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74187" w14:textId="77777777" w:rsidR="00963506" w:rsidRPr="00BD050E" w:rsidRDefault="00963506" w:rsidP="00963506">
      <w:pPr>
        <w:tabs>
          <w:tab w:val="left" w:pos="720"/>
        </w:tabs>
        <w:spacing w:after="0" w:line="276" w:lineRule="auto"/>
        <w:jc w:val="right"/>
        <w:rPr>
          <w:rFonts w:asciiTheme="majorHAnsi" w:eastAsia="Times New Roman" w:hAnsiTheme="majorHAnsi" w:cstheme="majorHAnsi"/>
          <w:bCs/>
          <w:color w:val="000000" w:themeColor="text1"/>
          <w:sz w:val="28"/>
          <w:szCs w:val="28"/>
          <w:lang w:val="ro-RO"/>
        </w:rPr>
      </w:pPr>
      <w:bookmarkStart w:id="0" w:name="_Toc468866344"/>
      <w:bookmarkStart w:id="1" w:name="_GoBack"/>
      <w:bookmarkEnd w:id="1"/>
      <w:r w:rsidRPr="00BD050E">
        <w:rPr>
          <w:rFonts w:asciiTheme="majorHAnsi" w:eastAsia="Times New Roman" w:hAnsiTheme="majorHAnsi" w:cstheme="majorHAnsi"/>
          <w:bCs/>
          <w:color w:val="000000" w:themeColor="text1"/>
          <w:sz w:val="28"/>
          <w:szCs w:val="28"/>
          <w:lang w:val="ro-RO"/>
        </w:rPr>
        <w:t xml:space="preserve">Anexă </w:t>
      </w:r>
    </w:p>
    <w:p w14:paraId="5D39C1C4" w14:textId="77777777" w:rsidR="00963506" w:rsidRPr="00BD050E" w:rsidRDefault="00963506" w:rsidP="00963506">
      <w:pPr>
        <w:tabs>
          <w:tab w:val="left" w:pos="720"/>
        </w:tabs>
        <w:spacing w:after="0" w:line="276" w:lineRule="auto"/>
        <w:jc w:val="right"/>
        <w:rPr>
          <w:rFonts w:asciiTheme="majorHAnsi" w:eastAsia="Times New Roman" w:hAnsiTheme="majorHAnsi" w:cstheme="majorHAnsi"/>
          <w:bCs/>
          <w:color w:val="000000" w:themeColor="text1"/>
          <w:sz w:val="28"/>
          <w:szCs w:val="28"/>
          <w:lang w:val="ro-RO"/>
        </w:rPr>
      </w:pPr>
      <w:r w:rsidRPr="00BD050E">
        <w:rPr>
          <w:rFonts w:asciiTheme="majorHAnsi" w:eastAsia="Times New Roman" w:hAnsiTheme="majorHAnsi" w:cstheme="majorHAnsi"/>
          <w:bCs/>
          <w:color w:val="000000" w:themeColor="text1"/>
          <w:sz w:val="28"/>
          <w:szCs w:val="28"/>
          <w:lang w:val="ro-RO"/>
        </w:rPr>
        <w:t xml:space="preserve">la Hotărârea Curții de Conturi </w:t>
      </w:r>
    </w:p>
    <w:p w14:paraId="0BCB616F" w14:textId="2FAAEE8E" w:rsidR="00963506" w:rsidRPr="00BD050E" w:rsidRDefault="00951377" w:rsidP="00963506">
      <w:pPr>
        <w:tabs>
          <w:tab w:val="left" w:pos="720"/>
        </w:tabs>
        <w:spacing w:after="0" w:line="276" w:lineRule="auto"/>
        <w:jc w:val="right"/>
        <w:rPr>
          <w:rFonts w:asciiTheme="majorHAnsi" w:eastAsia="Times New Roman" w:hAnsiTheme="majorHAnsi" w:cstheme="majorHAnsi"/>
          <w:bCs/>
          <w:color w:val="000000" w:themeColor="text1"/>
          <w:sz w:val="28"/>
          <w:szCs w:val="28"/>
          <w:lang w:val="ro-RO"/>
        </w:rPr>
      </w:pPr>
      <w:r>
        <w:rPr>
          <w:rFonts w:asciiTheme="majorHAnsi" w:eastAsia="Times New Roman" w:hAnsiTheme="majorHAnsi" w:cstheme="majorHAnsi"/>
          <w:bCs/>
          <w:color w:val="000000" w:themeColor="text1"/>
          <w:sz w:val="28"/>
          <w:szCs w:val="28"/>
          <w:lang w:val="ro-RO"/>
        </w:rPr>
        <w:t xml:space="preserve"> nr.38</w:t>
      </w:r>
      <w:r w:rsidR="00963506" w:rsidRPr="00BD050E">
        <w:rPr>
          <w:rFonts w:asciiTheme="majorHAnsi" w:eastAsia="Times New Roman" w:hAnsiTheme="majorHAnsi" w:cstheme="majorHAnsi"/>
          <w:bCs/>
          <w:color w:val="000000" w:themeColor="text1"/>
          <w:sz w:val="28"/>
          <w:szCs w:val="28"/>
          <w:lang w:val="ro-RO"/>
        </w:rPr>
        <w:t xml:space="preserve"> din 28 iulie 2022</w:t>
      </w:r>
    </w:p>
    <w:p w14:paraId="1465A203" w14:textId="77777777" w:rsidR="00963506" w:rsidRPr="00BD050E" w:rsidRDefault="00963506" w:rsidP="00963506">
      <w:pPr>
        <w:tabs>
          <w:tab w:val="left" w:pos="7200"/>
        </w:tabs>
        <w:spacing w:after="0" w:line="276" w:lineRule="auto"/>
        <w:rPr>
          <w:rFonts w:asciiTheme="majorHAnsi" w:hAnsiTheme="majorHAnsi" w:cstheme="majorHAnsi"/>
          <w:color w:val="000000" w:themeColor="text1"/>
          <w:lang w:val="ro-RO"/>
        </w:rPr>
      </w:pPr>
    </w:p>
    <w:p w14:paraId="1A0519E5" w14:textId="77777777" w:rsidR="00963506" w:rsidRPr="00BD050E" w:rsidRDefault="00963506" w:rsidP="00963506">
      <w:pPr>
        <w:spacing w:after="0" w:line="276" w:lineRule="auto"/>
        <w:rPr>
          <w:rFonts w:asciiTheme="majorHAnsi" w:hAnsiTheme="majorHAnsi" w:cstheme="majorHAnsi"/>
          <w:color w:val="000000" w:themeColor="text1"/>
          <w:lang w:val="ro-RO"/>
        </w:rPr>
      </w:pPr>
    </w:p>
    <w:p w14:paraId="50BF20A3" w14:textId="77777777" w:rsidR="00963506" w:rsidRPr="00BD050E" w:rsidRDefault="00963506" w:rsidP="00963506">
      <w:pPr>
        <w:spacing w:after="0" w:line="276" w:lineRule="auto"/>
        <w:rPr>
          <w:rFonts w:asciiTheme="majorHAnsi" w:hAnsiTheme="majorHAnsi" w:cstheme="majorHAnsi"/>
          <w:color w:val="000000" w:themeColor="text1"/>
          <w:lang w:val="ro-RO"/>
        </w:rPr>
      </w:pPr>
    </w:p>
    <w:p w14:paraId="4F53DAC4" w14:textId="77777777" w:rsidR="00963506" w:rsidRPr="00BD050E" w:rsidRDefault="00963506" w:rsidP="00963506">
      <w:pPr>
        <w:spacing w:after="0" w:line="276" w:lineRule="auto"/>
        <w:jc w:val="center"/>
        <w:rPr>
          <w:rFonts w:asciiTheme="majorHAnsi" w:hAnsiTheme="majorHAnsi" w:cstheme="majorHAnsi"/>
          <w:b/>
          <w:color w:val="000000" w:themeColor="text1"/>
          <w:sz w:val="28"/>
          <w:szCs w:val="28"/>
          <w:lang w:val="ro-RO"/>
        </w:rPr>
      </w:pPr>
    </w:p>
    <w:p w14:paraId="5EFC6AF7" w14:textId="77777777" w:rsidR="00963506" w:rsidRPr="00BD050E" w:rsidRDefault="00963506" w:rsidP="00963506">
      <w:pPr>
        <w:spacing w:after="0" w:line="276" w:lineRule="auto"/>
        <w:jc w:val="center"/>
        <w:rPr>
          <w:rFonts w:asciiTheme="majorHAnsi" w:hAnsiTheme="majorHAnsi" w:cstheme="majorHAnsi"/>
          <w:b/>
          <w:color w:val="000000" w:themeColor="text1"/>
          <w:sz w:val="28"/>
          <w:szCs w:val="28"/>
          <w:lang w:val="ro-RO"/>
        </w:rPr>
      </w:pPr>
      <w:r w:rsidRPr="00BD050E">
        <w:rPr>
          <w:rFonts w:asciiTheme="majorHAnsi" w:hAnsiTheme="majorHAnsi" w:cstheme="majorHAnsi"/>
          <w:b/>
          <w:noProof/>
          <w:color w:val="000000" w:themeColor="text1"/>
          <w:sz w:val="28"/>
          <w:szCs w:val="28"/>
        </w:rPr>
        <w:drawing>
          <wp:inline distT="0" distB="0" distL="0" distR="0" wp14:anchorId="10C465CB" wp14:editId="5981E20E">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4A076CD" w14:textId="77777777" w:rsidR="00963506" w:rsidRPr="00BD050E" w:rsidRDefault="00963506" w:rsidP="00963506">
      <w:pPr>
        <w:spacing w:after="0" w:line="276" w:lineRule="auto"/>
        <w:rPr>
          <w:rFonts w:asciiTheme="majorHAnsi" w:hAnsiTheme="majorHAnsi" w:cstheme="majorHAnsi"/>
          <w:i/>
          <w:color w:val="000000" w:themeColor="text1"/>
          <w:sz w:val="24"/>
          <w:szCs w:val="24"/>
          <w:lang w:val="ro-RO"/>
        </w:rPr>
      </w:pPr>
    </w:p>
    <w:p w14:paraId="6AFA4D9E" w14:textId="77777777" w:rsidR="00963506" w:rsidRPr="00BD050E" w:rsidRDefault="00963506" w:rsidP="00963506">
      <w:pPr>
        <w:spacing w:after="0" w:line="276" w:lineRule="auto"/>
        <w:rPr>
          <w:rFonts w:asciiTheme="majorHAnsi" w:hAnsiTheme="majorHAnsi" w:cstheme="majorHAnsi"/>
          <w:i/>
          <w:color w:val="000000" w:themeColor="text1"/>
          <w:sz w:val="24"/>
          <w:szCs w:val="24"/>
          <w:lang w:val="ro-RO"/>
        </w:rPr>
      </w:pPr>
    </w:p>
    <w:p w14:paraId="1F809A9D" w14:textId="77777777" w:rsidR="00963506" w:rsidRPr="00BD050E" w:rsidRDefault="00963506" w:rsidP="00963506">
      <w:pPr>
        <w:spacing w:after="0" w:line="276" w:lineRule="auto"/>
        <w:rPr>
          <w:rFonts w:asciiTheme="majorHAnsi" w:hAnsiTheme="majorHAnsi" w:cstheme="majorHAnsi"/>
          <w:i/>
          <w:color w:val="000000" w:themeColor="text1"/>
          <w:sz w:val="24"/>
          <w:szCs w:val="24"/>
          <w:lang w:val="ro-RO"/>
        </w:rPr>
      </w:pPr>
    </w:p>
    <w:p w14:paraId="23B84863" w14:textId="77777777" w:rsidR="00963506" w:rsidRPr="00BD050E" w:rsidRDefault="00963506" w:rsidP="00963506">
      <w:pPr>
        <w:spacing w:after="0" w:line="276" w:lineRule="auto"/>
        <w:rPr>
          <w:rFonts w:asciiTheme="majorHAnsi" w:hAnsiTheme="majorHAnsi" w:cstheme="majorHAnsi"/>
          <w:b/>
          <w:color w:val="000000" w:themeColor="text1"/>
          <w:sz w:val="24"/>
          <w:szCs w:val="24"/>
          <w:lang w:val="ro-RO"/>
        </w:rPr>
      </w:pPr>
    </w:p>
    <w:p w14:paraId="6FBDBF26" w14:textId="77777777" w:rsidR="00963506" w:rsidRPr="00BD050E" w:rsidRDefault="00963506" w:rsidP="00963506">
      <w:pPr>
        <w:spacing w:after="0" w:line="276" w:lineRule="auto"/>
        <w:jc w:val="center"/>
        <w:rPr>
          <w:rFonts w:asciiTheme="majorHAnsi" w:hAnsiTheme="majorHAnsi" w:cstheme="majorHAnsi"/>
          <w:b/>
          <w:color w:val="000000" w:themeColor="text1"/>
          <w:sz w:val="28"/>
          <w:szCs w:val="28"/>
          <w:lang w:val="ro-RO"/>
        </w:rPr>
      </w:pPr>
      <w:r w:rsidRPr="00BD050E">
        <w:rPr>
          <w:rFonts w:asciiTheme="majorHAnsi" w:hAnsiTheme="majorHAnsi" w:cstheme="majorHAnsi"/>
          <w:b/>
          <w:color w:val="000000" w:themeColor="text1"/>
          <w:sz w:val="28"/>
          <w:szCs w:val="28"/>
          <w:lang w:val="ro-RO"/>
        </w:rPr>
        <w:t>CURTEA DE CONTURI A REPUBLICII MOLDOVA</w:t>
      </w:r>
    </w:p>
    <w:p w14:paraId="5D5B160E" w14:textId="77777777" w:rsidR="00963506" w:rsidRPr="00BD050E" w:rsidRDefault="00963506" w:rsidP="00963506">
      <w:pPr>
        <w:spacing w:after="0" w:line="276" w:lineRule="auto"/>
        <w:rPr>
          <w:rFonts w:asciiTheme="majorHAnsi" w:hAnsiTheme="majorHAnsi" w:cstheme="majorHAnsi"/>
          <w:color w:val="000000" w:themeColor="text1"/>
          <w:sz w:val="24"/>
          <w:szCs w:val="24"/>
          <w:lang w:val="ro-RO"/>
        </w:rPr>
      </w:pPr>
    </w:p>
    <w:p w14:paraId="0A69FDAB" w14:textId="77777777" w:rsidR="00963506" w:rsidRPr="00BD050E" w:rsidRDefault="00963506" w:rsidP="00963506">
      <w:pPr>
        <w:spacing w:after="0" w:line="276" w:lineRule="auto"/>
        <w:rPr>
          <w:rFonts w:asciiTheme="majorHAnsi" w:hAnsiTheme="majorHAnsi" w:cstheme="majorHAnsi"/>
          <w:color w:val="000000" w:themeColor="text1"/>
          <w:sz w:val="24"/>
          <w:szCs w:val="24"/>
          <w:lang w:val="ro-RO"/>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814F8E" w:rsidRPr="00BD050E" w14:paraId="2E7C5AB3" w14:textId="77777777" w:rsidTr="00A26C34">
        <w:trPr>
          <w:trHeight w:val="396"/>
          <w:jc w:val="center"/>
        </w:trPr>
        <w:tc>
          <w:tcPr>
            <w:tcW w:w="9350" w:type="dxa"/>
            <w:tcBorders>
              <w:top w:val="thinThickSmallGap" w:sz="12" w:space="0" w:color="00000A"/>
              <w:bottom w:val="thickThinSmallGap" w:sz="12" w:space="0" w:color="00000A"/>
            </w:tcBorders>
            <w:shd w:val="clear" w:color="auto" w:fill="auto"/>
          </w:tcPr>
          <w:p w14:paraId="1F352FC9" w14:textId="77777777" w:rsidR="00963506" w:rsidRPr="00BD050E" w:rsidRDefault="00963506" w:rsidP="00A26C34">
            <w:pPr>
              <w:spacing w:after="0" w:line="276" w:lineRule="auto"/>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MD-2001, mun. Chișinău, bd. Ștefan cel Mare și Sfânt,69, tel.: (+373) 22 26 60 02, </w:t>
            </w:r>
          </w:p>
          <w:p w14:paraId="5677015E" w14:textId="77777777" w:rsidR="00963506" w:rsidRPr="00BD050E" w:rsidRDefault="00963506" w:rsidP="00A26C34">
            <w:pPr>
              <w:spacing w:after="0" w:line="276" w:lineRule="auto"/>
              <w:rPr>
                <w:rFonts w:asciiTheme="majorHAnsi" w:hAnsiTheme="majorHAnsi" w:cstheme="majorHAnsi"/>
                <w:b/>
                <w:color w:val="000000" w:themeColor="text1"/>
                <w:lang w:val="ro-RO"/>
              </w:rPr>
            </w:pPr>
            <w:r w:rsidRPr="00BD050E">
              <w:rPr>
                <w:rFonts w:asciiTheme="majorHAnsi" w:hAnsiTheme="majorHAnsi" w:cstheme="majorHAnsi"/>
                <w:color w:val="000000" w:themeColor="text1"/>
                <w:sz w:val="24"/>
                <w:szCs w:val="24"/>
                <w:lang w:val="ro-RO"/>
              </w:rPr>
              <w:t xml:space="preserve">fax: (+373) 22 26 61 00, </w:t>
            </w:r>
            <w:hyperlink r:id="rId9">
              <w:r w:rsidRPr="00BD050E">
                <w:rPr>
                  <w:rStyle w:val="LegturInternet"/>
                  <w:rFonts w:cstheme="majorHAnsi"/>
                  <w:color w:val="000000" w:themeColor="text1"/>
                  <w:sz w:val="24"/>
                  <w:szCs w:val="24"/>
                  <w:lang w:val="ro-RO"/>
                </w:rPr>
                <w:t>www.ccrm.md</w:t>
              </w:r>
            </w:hyperlink>
            <w:r w:rsidRPr="00BD050E">
              <w:rPr>
                <w:rFonts w:asciiTheme="majorHAnsi" w:hAnsiTheme="majorHAnsi" w:cstheme="majorHAnsi"/>
                <w:color w:val="000000" w:themeColor="text1"/>
                <w:sz w:val="24"/>
                <w:szCs w:val="24"/>
                <w:u w:val="single"/>
                <w:lang w:val="ro-RO"/>
              </w:rPr>
              <w:t>;</w:t>
            </w:r>
            <w:r w:rsidRPr="00BD050E">
              <w:rPr>
                <w:rFonts w:asciiTheme="majorHAnsi" w:hAnsiTheme="majorHAnsi" w:cstheme="majorHAnsi"/>
                <w:color w:val="000000" w:themeColor="text1"/>
                <w:sz w:val="24"/>
                <w:szCs w:val="24"/>
                <w:lang w:val="ro-RO"/>
              </w:rPr>
              <w:t xml:space="preserve"> e-mail: </w:t>
            </w:r>
            <w:hyperlink r:id="rId10">
              <w:r w:rsidRPr="00BD050E">
                <w:rPr>
                  <w:rStyle w:val="LegturInternet"/>
                  <w:rFonts w:cstheme="majorHAnsi"/>
                  <w:color w:val="000000" w:themeColor="text1"/>
                  <w:sz w:val="24"/>
                  <w:szCs w:val="24"/>
                  <w:lang w:val="ro-RO"/>
                </w:rPr>
                <w:t>ccrm@ccrm.md</w:t>
              </w:r>
            </w:hyperlink>
            <w:r w:rsidRPr="00BD050E">
              <w:rPr>
                <w:rStyle w:val="LegturInternet"/>
                <w:rFonts w:cstheme="majorHAnsi"/>
                <w:color w:val="000000" w:themeColor="text1"/>
                <w:sz w:val="24"/>
                <w:szCs w:val="24"/>
                <w:lang w:val="ro-RO"/>
              </w:rPr>
              <w:t xml:space="preserve"> </w:t>
            </w:r>
          </w:p>
        </w:tc>
      </w:tr>
    </w:tbl>
    <w:p w14:paraId="73B05FEA" w14:textId="77777777" w:rsidR="00963506" w:rsidRPr="00BD050E" w:rsidRDefault="00963506" w:rsidP="00963506">
      <w:pPr>
        <w:spacing w:after="0"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br/>
      </w:r>
    </w:p>
    <w:p w14:paraId="505C7A82" w14:textId="77777777" w:rsidR="00963506" w:rsidRPr="00BD050E" w:rsidRDefault="00963506" w:rsidP="00963506">
      <w:pPr>
        <w:tabs>
          <w:tab w:val="left" w:pos="720"/>
        </w:tabs>
        <w:spacing w:after="0" w:line="276" w:lineRule="auto"/>
        <w:jc w:val="center"/>
        <w:rPr>
          <w:rFonts w:asciiTheme="majorHAnsi" w:eastAsia="Times New Roman" w:hAnsiTheme="majorHAnsi" w:cstheme="majorHAnsi"/>
          <w:b/>
          <w:bCs/>
          <w:color w:val="000000" w:themeColor="text1"/>
          <w:sz w:val="32"/>
          <w:szCs w:val="28"/>
          <w:lang w:val="ro-RO"/>
        </w:rPr>
      </w:pPr>
      <w:r w:rsidRPr="00BD050E">
        <w:rPr>
          <w:rFonts w:asciiTheme="majorHAnsi" w:eastAsia="Times New Roman" w:hAnsiTheme="majorHAnsi" w:cstheme="majorHAnsi"/>
          <w:b/>
          <w:bCs/>
          <w:color w:val="000000" w:themeColor="text1"/>
          <w:sz w:val="32"/>
          <w:szCs w:val="28"/>
          <w:lang w:val="ro-RO"/>
        </w:rPr>
        <w:t>RAPORTUL</w:t>
      </w:r>
    </w:p>
    <w:p w14:paraId="06D4B9A7" w14:textId="77777777" w:rsidR="00963506" w:rsidRPr="00BD050E" w:rsidRDefault="00963506" w:rsidP="00963506">
      <w:pPr>
        <w:tabs>
          <w:tab w:val="left" w:pos="720"/>
        </w:tabs>
        <w:spacing w:after="0" w:line="240" w:lineRule="auto"/>
        <w:jc w:val="center"/>
        <w:rPr>
          <w:rFonts w:asciiTheme="majorHAnsi" w:eastAsia="Times New Roman" w:hAnsiTheme="majorHAnsi" w:cstheme="majorHAnsi"/>
          <w:b/>
          <w:bCs/>
          <w:color w:val="000000" w:themeColor="text1"/>
          <w:sz w:val="28"/>
          <w:szCs w:val="24"/>
          <w:lang w:val="ro-RO"/>
        </w:rPr>
      </w:pPr>
      <w:r w:rsidRPr="00BD050E">
        <w:rPr>
          <w:rFonts w:asciiTheme="majorHAnsi" w:eastAsia="Times New Roman" w:hAnsiTheme="majorHAnsi" w:cstheme="majorHAnsi"/>
          <w:b/>
          <w:bCs/>
          <w:color w:val="000000" w:themeColor="text1"/>
          <w:sz w:val="28"/>
          <w:szCs w:val="24"/>
          <w:lang w:val="ro-RO"/>
        </w:rPr>
        <w:t>auditului situațiilor financiare ale Operațiunii</w:t>
      </w:r>
    </w:p>
    <w:p w14:paraId="29E2E8C7" w14:textId="3C0194AF" w:rsidR="00963506" w:rsidRPr="00BD050E" w:rsidRDefault="00963506" w:rsidP="00963506">
      <w:pPr>
        <w:tabs>
          <w:tab w:val="left" w:pos="720"/>
        </w:tabs>
        <w:spacing w:after="0" w:line="240" w:lineRule="auto"/>
        <w:jc w:val="center"/>
        <w:rPr>
          <w:rFonts w:asciiTheme="majorHAnsi" w:eastAsia="Times New Roman" w:hAnsiTheme="majorHAnsi" w:cstheme="majorHAnsi"/>
          <w:b/>
          <w:bCs/>
          <w:color w:val="000000" w:themeColor="text1"/>
          <w:sz w:val="28"/>
          <w:szCs w:val="24"/>
          <w:lang w:val="ro-RO"/>
        </w:rPr>
      </w:pPr>
      <w:r w:rsidRPr="00BD050E">
        <w:rPr>
          <w:rFonts w:asciiTheme="majorHAnsi" w:eastAsia="Times New Roman" w:hAnsiTheme="majorHAnsi" w:cstheme="majorHAnsi"/>
          <w:b/>
          <w:bCs/>
          <w:color w:val="000000" w:themeColor="text1"/>
          <w:sz w:val="28"/>
          <w:szCs w:val="24"/>
          <w:lang w:val="ro-RO"/>
        </w:rPr>
        <w:t xml:space="preserve"> </w:t>
      </w:r>
      <w:r w:rsidR="00015FD1" w:rsidRPr="00BD050E">
        <w:rPr>
          <w:rFonts w:asciiTheme="majorHAnsi" w:eastAsia="Times New Roman" w:hAnsiTheme="majorHAnsi" w:cstheme="majorHAnsi"/>
          <w:b/>
          <w:bCs/>
          <w:color w:val="000000" w:themeColor="text1"/>
          <w:sz w:val="28"/>
          <w:szCs w:val="24"/>
          <w:lang w:val="ro-RO"/>
        </w:rPr>
        <w:t>„</w:t>
      </w:r>
      <w:r w:rsidRPr="00BD050E">
        <w:rPr>
          <w:rFonts w:asciiTheme="majorHAnsi" w:eastAsia="Times New Roman" w:hAnsiTheme="majorHAnsi" w:cstheme="majorHAnsi"/>
          <w:b/>
          <w:bCs/>
          <w:color w:val="000000" w:themeColor="text1"/>
          <w:sz w:val="28"/>
          <w:szCs w:val="24"/>
          <w:lang w:val="ro-RO"/>
        </w:rPr>
        <w:t>Modernizarea sectorului sănătății în Republica Moldova”</w:t>
      </w:r>
    </w:p>
    <w:p w14:paraId="0108DB1C" w14:textId="77777777" w:rsidR="00963506" w:rsidRPr="00BD050E" w:rsidRDefault="00963506" w:rsidP="00963506">
      <w:pPr>
        <w:tabs>
          <w:tab w:val="left" w:pos="720"/>
        </w:tabs>
        <w:spacing w:after="0" w:line="240" w:lineRule="auto"/>
        <w:jc w:val="center"/>
        <w:rPr>
          <w:rFonts w:asciiTheme="majorHAnsi" w:hAnsiTheme="majorHAnsi" w:cstheme="majorHAnsi"/>
          <w:color w:val="000000" w:themeColor="text1"/>
          <w:lang w:val="ro-RO"/>
        </w:rPr>
      </w:pPr>
      <w:r w:rsidRPr="00BD050E">
        <w:rPr>
          <w:rFonts w:asciiTheme="majorHAnsi" w:eastAsia="Times New Roman" w:hAnsiTheme="majorHAnsi" w:cstheme="majorHAnsi"/>
          <w:b/>
          <w:bCs/>
          <w:color w:val="000000" w:themeColor="text1"/>
          <w:sz w:val="28"/>
          <w:szCs w:val="24"/>
          <w:lang w:val="ro-RO"/>
        </w:rPr>
        <w:t>încheiate la 31 decembrie 2021</w:t>
      </w:r>
    </w:p>
    <w:p w14:paraId="4BCA7938" w14:textId="77777777" w:rsidR="00963506" w:rsidRPr="00BD050E" w:rsidRDefault="00963506" w:rsidP="00963506">
      <w:pPr>
        <w:spacing w:after="0" w:line="276" w:lineRule="auto"/>
        <w:jc w:val="center"/>
        <w:rPr>
          <w:rFonts w:asciiTheme="majorHAnsi" w:hAnsiTheme="majorHAnsi" w:cstheme="majorHAnsi"/>
          <w:color w:val="000000" w:themeColor="text1"/>
          <w:lang w:val="ro-RO"/>
        </w:rPr>
      </w:pPr>
      <w:r w:rsidRPr="00BD050E">
        <w:rPr>
          <w:rFonts w:asciiTheme="majorHAnsi" w:hAnsiTheme="majorHAnsi" w:cstheme="majorHAnsi"/>
          <w:color w:val="000000" w:themeColor="text1"/>
          <w:lang w:val="ro-RO"/>
        </w:rPr>
        <w:br w:type="page"/>
      </w:r>
    </w:p>
    <w:p w14:paraId="31992E17" w14:textId="77777777" w:rsidR="00963506" w:rsidRPr="00BD050E" w:rsidRDefault="00963506" w:rsidP="00963506">
      <w:pPr>
        <w:pStyle w:val="Heading1"/>
        <w:numPr>
          <w:ilvl w:val="0"/>
          <w:numId w:val="0"/>
        </w:numPr>
        <w:ind w:left="5246" w:hanging="1418"/>
        <w:jc w:val="left"/>
        <w:rPr>
          <w:rFonts w:asciiTheme="majorHAnsi" w:eastAsia="Times New Roman" w:hAnsiTheme="majorHAnsi" w:cs="Times New Roman"/>
          <w:b w:val="0"/>
          <w:bCs/>
          <w:color w:val="000000" w:themeColor="text1"/>
          <w:sz w:val="28"/>
          <w:szCs w:val="28"/>
          <w:lang w:val="ro-RO"/>
        </w:rPr>
      </w:pPr>
      <w:r w:rsidRPr="00BD050E">
        <w:rPr>
          <w:rFonts w:asciiTheme="majorHAnsi" w:eastAsia="Times New Roman" w:hAnsiTheme="majorHAnsi" w:cs="Times New Roman"/>
          <w:b w:val="0"/>
          <w:bCs/>
          <w:color w:val="000000" w:themeColor="text1"/>
          <w:sz w:val="28"/>
          <w:szCs w:val="28"/>
          <w:lang w:val="ro-RO"/>
        </w:rPr>
        <w:lastRenderedPageBreak/>
        <w:t>Lista acronimelor</w:t>
      </w:r>
    </w:p>
    <w:p w14:paraId="5C89F801" w14:textId="77777777" w:rsidR="00963506" w:rsidRPr="00BD050E" w:rsidRDefault="00963506" w:rsidP="00963506">
      <w:pPr>
        <w:tabs>
          <w:tab w:val="left" w:pos="720"/>
        </w:tabs>
        <w:spacing w:after="0" w:line="276" w:lineRule="auto"/>
        <w:jc w:val="center"/>
        <w:rPr>
          <w:rFonts w:asciiTheme="majorHAnsi" w:eastAsia="Times New Roman" w:hAnsiTheme="majorHAnsi" w:cs="Times New Roman"/>
          <w:b/>
          <w:bCs/>
          <w:color w:val="000000" w:themeColor="text1"/>
          <w:sz w:val="28"/>
          <w:szCs w:val="28"/>
          <w:lang w:val="ro-RO"/>
        </w:rPr>
      </w:pPr>
    </w:p>
    <w:tbl>
      <w:tblPr>
        <w:tblStyle w:val="GridTable1Light"/>
        <w:tblW w:w="0" w:type="auto"/>
        <w:jc w:val="center"/>
        <w:tblInd w:w="0" w:type="dxa"/>
        <w:tblLook w:val="04A0" w:firstRow="1" w:lastRow="0" w:firstColumn="1" w:lastColumn="0" w:noHBand="0" w:noVBand="1"/>
      </w:tblPr>
      <w:tblGrid>
        <w:gridCol w:w="1555"/>
        <w:gridCol w:w="7229"/>
      </w:tblGrid>
      <w:tr w:rsidR="00814F8E" w:rsidRPr="00BD050E" w14:paraId="5D41BB00" w14:textId="77777777" w:rsidTr="00A26C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FC1B6D" w14:textId="77777777" w:rsidR="00963506" w:rsidRPr="00BD050E" w:rsidRDefault="00963506" w:rsidP="00A26C34">
            <w:pPr>
              <w:tabs>
                <w:tab w:val="left" w:pos="720"/>
              </w:tabs>
              <w:spacing w:line="276" w:lineRule="auto"/>
              <w:jc w:val="center"/>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Acronimul</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9B4EF00" w14:textId="77777777" w:rsidR="00963506" w:rsidRPr="00BD050E" w:rsidRDefault="00963506" w:rsidP="00A26C34">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Termenul abreviat</w:t>
            </w:r>
          </w:p>
        </w:tc>
      </w:tr>
      <w:tr w:rsidR="00814F8E" w:rsidRPr="00BD050E" w14:paraId="7009CA1F"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3DAFCD56"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BM</w:t>
            </w:r>
          </w:p>
        </w:tc>
        <w:tc>
          <w:tcPr>
            <w:tcW w:w="7229" w:type="dxa"/>
          </w:tcPr>
          <w:p w14:paraId="1C652A05"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Banca Mondială</w:t>
            </w:r>
          </w:p>
        </w:tc>
      </w:tr>
      <w:tr w:rsidR="00814F8E" w:rsidRPr="00BD050E" w14:paraId="21B07670"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29BEBF7"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CNAM</w:t>
            </w:r>
          </w:p>
        </w:tc>
        <w:tc>
          <w:tcPr>
            <w:tcW w:w="7229" w:type="dxa"/>
          </w:tcPr>
          <w:p w14:paraId="72B8415D"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Compania Națională de Asigurări în Medicină</w:t>
            </w:r>
          </w:p>
        </w:tc>
      </w:tr>
      <w:tr w:rsidR="00814F8E" w:rsidRPr="00BD050E" w14:paraId="1D75F447"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3BCC9A96" w14:textId="77777777" w:rsidR="00B614FE" w:rsidRPr="00BD050E" w:rsidRDefault="00B614FE"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DCI</w:t>
            </w:r>
          </w:p>
        </w:tc>
        <w:tc>
          <w:tcPr>
            <w:tcW w:w="7229" w:type="dxa"/>
          </w:tcPr>
          <w:p w14:paraId="33534B21" w14:textId="77777777" w:rsidR="00B614FE" w:rsidRPr="00BD050E" w:rsidRDefault="00B614FE"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Denumiri comune internaționale</w:t>
            </w:r>
          </w:p>
        </w:tc>
      </w:tr>
      <w:tr w:rsidR="00814F8E" w:rsidRPr="00BD050E" w14:paraId="1DF2C4B6"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5128FF9D" w14:textId="4E789256" w:rsidR="00963506" w:rsidRPr="00BD050E" w:rsidRDefault="00CD3C6F"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ILD</w:t>
            </w:r>
          </w:p>
        </w:tc>
        <w:tc>
          <w:tcPr>
            <w:tcW w:w="7229" w:type="dxa"/>
          </w:tcPr>
          <w:p w14:paraId="2CE3103D"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Indicatori legați de debursări</w:t>
            </w:r>
          </w:p>
        </w:tc>
      </w:tr>
      <w:tr w:rsidR="00814F8E" w:rsidRPr="00BD050E" w14:paraId="4DE46875"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57137B6"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DLR</w:t>
            </w:r>
          </w:p>
        </w:tc>
        <w:tc>
          <w:tcPr>
            <w:tcW w:w="7229" w:type="dxa"/>
          </w:tcPr>
          <w:p w14:paraId="6373006E"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Rezultat conectat la debursare</w:t>
            </w:r>
          </w:p>
        </w:tc>
      </w:tr>
      <w:tr w:rsidR="00814F8E" w:rsidRPr="00BD050E" w14:paraId="47DC1318"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E882AF1"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DRG</w:t>
            </w:r>
          </w:p>
        </w:tc>
        <w:tc>
          <w:tcPr>
            <w:tcW w:w="7229" w:type="dxa"/>
          </w:tcPr>
          <w:p w14:paraId="58E4429B"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hAnsiTheme="majorHAnsi" w:cstheme="majorHAnsi"/>
                <w:color w:val="000000" w:themeColor="text1"/>
                <w:sz w:val="24"/>
                <w:szCs w:val="24"/>
                <w:lang w:val="ro-RO"/>
              </w:rPr>
              <w:t>Grupuri Omogene de Diagnostic</w:t>
            </w:r>
          </w:p>
        </w:tc>
      </w:tr>
      <w:tr w:rsidR="00814F8E" w:rsidRPr="00BD050E" w14:paraId="7385DFB9"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60D550F0"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DST</w:t>
            </w:r>
          </w:p>
        </w:tc>
        <w:tc>
          <w:tcPr>
            <w:tcW w:w="7229" w:type="dxa"/>
          </w:tcPr>
          <w:p w14:paraId="728F037E"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Drepturi Speciale de Tragere</w:t>
            </w:r>
          </w:p>
        </w:tc>
      </w:tr>
      <w:tr w:rsidR="00814F8E" w:rsidRPr="00BD050E" w14:paraId="357687E1"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71E4AC39"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IDA</w:t>
            </w:r>
          </w:p>
        </w:tc>
        <w:tc>
          <w:tcPr>
            <w:tcW w:w="7229" w:type="dxa"/>
          </w:tcPr>
          <w:p w14:paraId="6CAFF5D3"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Asociația Internațională pentru Dezvoltare</w:t>
            </w:r>
          </w:p>
        </w:tc>
      </w:tr>
      <w:tr w:rsidR="00D57F32" w:rsidRPr="00BD050E" w14:paraId="31BDCC3B"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E487ED8" w14:textId="6E8C6E01" w:rsidR="00D57F32" w:rsidRPr="00BD050E" w:rsidRDefault="00D57F32"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IMSP</w:t>
            </w:r>
          </w:p>
        </w:tc>
        <w:tc>
          <w:tcPr>
            <w:tcW w:w="7229" w:type="dxa"/>
          </w:tcPr>
          <w:p w14:paraId="4E371217" w14:textId="422B5EFE" w:rsidR="00D57F32" w:rsidRPr="00BD050E" w:rsidRDefault="00D57F32"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MD"/>
              </w:rPr>
            </w:pPr>
            <w:r w:rsidRPr="00BD050E">
              <w:rPr>
                <w:rFonts w:asciiTheme="majorHAnsi" w:eastAsia="Times New Roman" w:hAnsiTheme="majorHAnsi" w:cstheme="majorHAnsi"/>
                <w:color w:val="000000" w:themeColor="text1"/>
                <w:sz w:val="24"/>
                <w:szCs w:val="24"/>
                <w:lang w:val="ro-RO"/>
              </w:rPr>
              <w:t>Institu</w:t>
            </w:r>
            <w:r w:rsidRPr="00BD050E">
              <w:rPr>
                <w:rFonts w:asciiTheme="majorHAnsi" w:eastAsia="Times New Roman" w:hAnsiTheme="majorHAnsi" w:cstheme="majorHAnsi"/>
                <w:color w:val="000000" w:themeColor="text1"/>
                <w:sz w:val="24"/>
                <w:szCs w:val="24"/>
                <w:lang w:val="ro-MD"/>
              </w:rPr>
              <w:t>ție Medico Sanitară Publică</w:t>
            </w:r>
          </w:p>
        </w:tc>
      </w:tr>
      <w:tr w:rsidR="00814F8E" w:rsidRPr="00BD050E" w14:paraId="62C49BE2"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1F478FB1"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MSMPS</w:t>
            </w:r>
          </w:p>
        </w:tc>
        <w:tc>
          <w:tcPr>
            <w:tcW w:w="7229" w:type="dxa"/>
          </w:tcPr>
          <w:p w14:paraId="176041AF"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Ministerul Sănătății, Muncii și Protecției Sociale</w:t>
            </w:r>
          </w:p>
        </w:tc>
      </w:tr>
      <w:tr w:rsidR="00814F8E" w:rsidRPr="00BD050E" w14:paraId="7B24B72A"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2F4605A1" w14:textId="4127D6AE" w:rsidR="00CE4A1C" w:rsidRPr="00BD050E" w:rsidRDefault="00CE4A1C"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MS</w:t>
            </w:r>
          </w:p>
        </w:tc>
        <w:tc>
          <w:tcPr>
            <w:tcW w:w="7229" w:type="dxa"/>
          </w:tcPr>
          <w:p w14:paraId="2C52AF88" w14:textId="22F2393A" w:rsidR="00CE4A1C" w:rsidRPr="00BD050E" w:rsidRDefault="00CE4A1C"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Ministerul Sănătății</w:t>
            </w:r>
          </w:p>
        </w:tc>
      </w:tr>
      <w:tr w:rsidR="00814F8E" w:rsidRPr="00BD050E" w14:paraId="4587A61D"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2B9D079E"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OMS</w:t>
            </w:r>
          </w:p>
        </w:tc>
        <w:tc>
          <w:tcPr>
            <w:tcW w:w="7229" w:type="dxa"/>
          </w:tcPr>
          <w:p w14:paraId="4239FC0F"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Organizația Mondială a Sănătății</w:t>
            </w:r>
          </w:p>
        </w:tc>
      </w:tr>
      <w:tr w:rsidR="00814F8E" w:rsidRPr="00BD050E" w14:paraId="033AB848"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7FFC7821"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PAD</w:t>
            </w:r>
          </w:p>
        </w:tc>
        <w:tc>
          <w:tcPr>
            <w:tcW w:w="7229" w:type="dxa"/>
          </w:tcPr>
          <w:p w14:paraId="139982C7"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Durata de viață al Proiectului</w:t>
            </w:r>
          </w:p>
        </w:tc>
      </w:tr>
      <w:tr w:rsidR="00814F8E" w:rsidRPr="00BD050E" w14:paraId="4DB4A52C"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7EBC472B"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Proiect</w:t>
            </w:r>
          </w:p>
        </w:tc>
        <w:tc>
          <w:tcPr>
            <w:tcW w:w="7229" w:type="dxa"/>
          </w:tcPr>
          <w:p w14:paraId="1803327D" w14:textId="0BF9FC1E"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Proiectul „Modernizarea sectorului sănătății</w:t>
            </w:r>
            <w:r w:rsidR="0055470E" w:rsidRPr="00BD050E">
              <w:rPr>
                <w:rFonts w:asciiTheme="majorHAnsi" w:eastAsia="Times New Roman" w:hAnsiTheme="majorHAnsi" w:cstheme="majorHAnsi"/>
                <w:color w:val="000000" w:themeColor="text1"/>
                <w:sz w:val="24"/>
                <w:szCs w:val="24"/>
                <w:lang w:val="ro-RO"/>
              </w:rPr>
              <w:t xml:space="preserve"> în Republica Mold</w:t>
            </w:r>
            <w:r w:rsidR="0009712C" w:rsidRPr="00BD050E">
              <w:rPr>
                <w:rFonts w:asciiTheme="majorHAnsi" w:eastAsia="Times New Roman" w:hAnsiTheme="majorHAnsi" w:cstheme="majorHAnsi"/>
                <w:color w:val="000000" w:themeColor="text1"/>
                <w:sz w:val="24"/>
                <w:szCs w:val="24"/>
                <w:lang w:val="ro-RO"/>
              </w:rPr>
              <w:t>o</w:t>
            </w:r>
            <w:r w:rsidR="0055470E" w:rsidRPr="00BD050E">
              <w:rPr>
                <w:rFonts w:asciiTheme="majorHAnsi" w:eastAsia="Times New Roman" w:hAnsiTheme="majorHAnsi" w:cstheme="majorHAnsi"/>
                <w:color w:val="000000" w:themeColor="text1"/>
                <w:sz w:val="24"/>
                <w:szCs w:val="24"/>
                <w:lang w:val="ro-RO"/>
              </w:rPr>
              <w:t>va</w:t>
            </w:r>
            <w:r w:rsidRPr="00BD050E">
              <w:rPr>
                <w:rFonts w:asciiTheme="majorHAnsi" w:eastAsia="Times New Roman" w:hAnsiTheme="majorHAnsi" w:cstheme="majorHAnsi"/>
                <w:color w:val="000000" w:themeColor="text1"/>
                <w:sz w:val="24"/>
                <w:szCs w:val="24"/>
                <w:lang w:val="ro-RO"/>
              </w:rPr>
              <w:t>”</w:t>
            </w:r>
          </w:p>
        </w:tc>
      </w:tr>
      <w:tr w:rsidR="00814F8E" w:rsidRPr="00BD050E" w14:paraId="3621F14A"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263178EE"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STEPS</w:t>
            </w:r>
          </w:p>
        </w:tc>
        <w:tc>
          <w:tcPr>
            <w:tcW w:w="7229" w:type="dxa"/>
          </w:tcPr>
          <w:p w14:paraId="52F9042C"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4"/>
                <w:szCs w:val="24"/>
                <w:lang w:val="ro-RO"/>
              </w:rPr>
            </w:pPr>
            <w:r w:rsidRPr="00BD050E">
              <w:rPr>
                <w:rFonts w:asciiTheme="majorHAnsi" w:hAnsiTheme="majorHAnsi" w:cstheme="majorHAnsi"/>
                <w:color w:val="000000" w:themeColor="text1"/>
                <w:sz w:val="24"/>
                <w:lang w:val="ro-RO"/>
              </w:rPr>
              <w:t>Abordarea treptată a OMS în supraveghere</w:t>
            </w:r>
          </w:p>
        </w:tc>
      </w:tr>
      <w:tr w:rsidR="00814F8E" w:rsidRPr="00BD050E" w14:paraId="29E87FBF"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F326D89"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SIA AMP</w:t>
            </w:r>
          </w:p>
        </w:tc>
        <w:tc>
          <w:tcPr>
            <w:tcW w:w="7229" w:type="dxa"/>
          </w:tcPr>
          <w:p w14:paraId="5CA10FD0" w14:textId="4A532424"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lang w:val="ro-RO"/>
              </w:rPr>
            </w:pPr>
            <w:r w:rsidRPr="00BD050E">
              <w:rPr>
                <w:rFonts w:asciiTheme="majorHAnsi" w:hAnsiTheme="majorHAnsi" w:cstheme="majorHAnsi"/>
                <w:color w:val="000000" w:themeColor="text1"/>
                <w:sz w:val="24"/>
                <w:lang w:val="ro-RO"/>
              </w:rPr>
              <w:t xml:space="preserve">Sistemul Informațional Automatizat </w:t>
            </w:r>
            <w:r w:rsidR="00207151" w:rsidRPr="00BD050E">
              <w:rPr>
                <w:rFonts w:asciiTheme="majorHAnsi" w:hAnsiTheme="majorHAnsi" w:cstheme="majorHAnsi"/>
                <w:color w:val="000000" w:themeColor="text1"/>
                <w:sz w:val="24"/>
                <w:lang w:val="ro-RO"/>
              </w:rPr>
              <w:t>„</w:t>
            </w:r>
            <w:r w:rsidRPr="00BD050E">
              <w:rPr>
                <w:rFonts w:asciiTheme="majorHAnsi" w:hAnsiTheme="majorHAnsi" w:cstheme="majorHAnsi"/>
                <w:color w:val="000000" w:themeColor="text1"/>
                <w:sz w:val="24"/>
                <w:lang w:val="ro-RO"/>
              </w:rPr>
              <w:t>Asistența Medicală Primară”</w:t>
            </w:r>
          </w:p>
        </w:tc>
      </w:tr>
      <w:tr w:rsidR="00814F8E" w:rsidRPr="00BD050E" w14:paraId="19E3C17C" w14:textId="77777777" w:rsidTr="00A26C34">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57798C6A" w14:textId="77777777" w:rsidR="00963506" w:rsidRPr="00BD050E" w:rsidRDefault="00963506" w:rsidP="00A26C34">
            <w:pPr>
              <w:tabs>
                <w:tab w:val="left" w:pos="720"/>
              </w:tabs>
              <w:spacing w:line="276" w:lineRule="auto"/>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TOR</w:t>
            </w:r>
          </w:p>
        </w:tc>
        <w:tc>
          <w:tcPr>
            <w:tcW w:w="7229" w:type="dxa"/>
          </w:tcPr>
          <w:p w14:paraId="6D0CAA07" w14:textId="77777777" w:rsidR="00963506" w:rsidRPr="00BD050E" w:rsidRDefault="00963506" w:rsidP="00A26C3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Termeni de referință</w:t>
            </w:r>
          </w:p>
        </w:tc>
      </w:tr>
    </w:tbl>
    <w:p w14:paraId="51827E19" w14:textId="77777777" w:rsidR="00963506" w:rsidRPr="00BD050E" w:rsidRDefault="00963506" w:rsidP="00C321F8">
      <w:pPr>
        <w:rPr>
          <w:rFonts w:asciiTheme="majorHAnsi" w:hAnsiTheme="majorHAnsi" w:cstheme="majorHAnsi"/>
          <w:color w:val="000000" w:themeColor="text1"/>
          <w:lang w:val="ro-RO"/>
        </w:rPr>
      </w:pPr>
    </w:p>
    <w:p w14:paraId="24760C21" w14:textId="57DEAD04" w:rsidR="00963506" w:rsidRPr="00BD050E" w:rsidRDefault="00C321F8" w:rsidP="00C321F8">
      <w:pPr>
        <w:jc w:val="both"/>
        <w:rPr>
          <w:rFonts w:asciiTheme="majorHAnsi" w:hAnsiTheme="majorHAnsi" w:cstheme="majorHAnsi"/>
          <w:i/>
          <w:iCs/>
          <w:color w:val="000000" w:themeColor="text1"/>
          <w:sz w:val="24"/>
          <w:lang w:val="ro-RO"/>
        </w:rPr>
      </w:pPr>
      <w:bookmarkStart w:id="2" w:name="_Toc35000680"/>
      <w:bookmarkEnd w:id="0"/>
      <w:r w:rsidRPr="00BD050E">
        <w:rPr>
          <w:rFonts w:asciiTheme="majorHAnsi" w:hAnsiTheme="majorHAnsi" w:cstheme="majorHAnsi"/>
          <w:b/>
          <w:i/>
          <w:iCs/>
          <w:color w:val="000000" w:themeColor="text1"/>
          <w:sz w:val="24"/>
          <w:lang w:val="ro-RO"/>
        </w:rPr>
        <w:t>Notă</w:t>
      </w:r>
      <w:r w:rsidRPr="00BD050E">
        <w:rPr>
          <w:rFonts w:asciiTheme="majorHAnsi" w:hAnsiTheme="majorHAnsi" w:cstheme="majorHAnsi"/>
          <w:b/>
          <w:i/>
          <w:iCs/>
          <w:color w:val="000000" w:themeColor="text1"/>
          <w:sz w:val="24"/>
          <w:szCs w:val="24"/>
          <w:lang w:val="ro-RO"/>
        </w:rPr>
        <w:t>:</w:t>
      </w:r>
      <w:r w:rsidRPr="00BD050E">
        <w:rPr>
          <w:rFonts w:asciiTheme="majorHAnsi" w:hAnsiTheme="majorHAnsi" w:cstheme="majorHAnsi"/>
          <w:i/>
          <w:iCs/>
          <w:color w:val="000000" w:themeColor="text1"/>
          <w:sz w:val="24"/>
          <w:szCs w:val="24"/>
          <w:lang w:val="ro-RO"/>
        </w:rPr>
        <w:t xml:space="preserve"> Prin pct. 3 al Hotărârii nr. 117 din 12-08-2021 cu privire la restructurarea administrației publice centrale de specialitate </w:t>
      </w:r>
      <w:r w:rsidR="00AF43F5" w:rsidRPr="00BD050E">
        <w:rPr>
          <w:rFonts w:asciiTheme="majorHAnsi" w:hAnsiTheme="majorHAnsi" w:cstheme="majorHAnsi"/>
          <w:i/>
          <w:iCs/>
          <w:color w:val="000000" w:themeColor="text1"/>
          <w:sz w:val="24"/>
          <w:szCs w:val="24"/>
          <w:lang w:val="ro-RO"/>
        </w:rPr>
        <w:t>începând</w:t>
      </w:r>
      <w:r w:rsidRPr="00BD050E">
        <w:rPr>
          <w:rFonts w:asciiTheme="majorHAnsi" w:hAnsiTheme="majorHAnsi" w:cstheme="majorHAnsi"/>
          <w:i/>
          <w:iCs/>
          <w:color w:val="000000" w:themeColor="text1"/>
          <w:sz w:val="24"/>
          <w:szCs w:val="24"/>
          <w:lang w:val="ro-RO"/>
        </w:rPr>
        <w:t xml:space="preserve"> cu luna august 2021, s-a</w:t>
      </w:r>
      <w:r w:rsidRPr="00BD050E">
        <w:rPr>
          <w:rFonts w:asciiTheme="majorHAnsi" w:hAnsiTheme="majorHAnsi" w:cstheme="majorHAnsi"/>
          <w:i/>
          <w:color w:val="000000" w:themeColor="text1"/>
          <w:sz w:val="24"/>
          <w:szCs w:val="24"/>
          <w:lang w:val="ro-RO"/>
        </w:rPr>
        <w:t xml:space="preserve"> modificat denumirea Ministerului Sănătății, Muncii și Protecției Sociale în Ministerul Sănătății și s-a reorganizat prin dezmembrare (separare) și creare a Ministerului Muncii și Protecției Sociale. Astfel, ținând cont de responsabilitățile instituției respective, auditorul </w:t>
      </w:r>
      <w:r w:rsidR="00207151" w:rsidRPr="00BD050E">
        <w:rPr>
          <w:rFonts w:asciiTheme="majorHAnsi" w:hAnsiTheme="majorHAnsi" w:cstheme="majorHAnsi"/>
          <w:i/>
          <w:color w:val="000000" w:themeColor="text1"/>
          <w:sz w:val="24"/>
          <w:szCs w:val="24"/>
          <w:lang w:val="ro-RO"/>
        </w:rPr>
        <w:t>s-</w:t>
      </w:r>
      <w:r w:rsidRPr="00BD050E">
        <w:rPr>
          <w:rFonts w:asciiTheme="majorHAnsi" w:hAnsiTheme="majorHAnsi" w:cstheme="majorHAnsi"/>
          <w:i/>
          <w:color w:val="000000" w:themeColor="text1"/>
          <w:sz w:val="24"/>
          <w:szCs w:val="24"/>
          <w:lang w:val="ro-RO"/>
        </w:rPr>
        <w:t>a referi</w:t>
      </w:r>
      <w:r w:rsidR="00207151" w:rsidRPr="00BD050E">
        <w:rPr>
          <w:rFonts w:asciiTheme="majorHAnsi" w:hAnsiTheme="majorHAnsi" w:cstheme="majorHAnsi"/>
          <w:i/>
          <w:color w:val="000000" w:themeColor="text1"/>
          <w:sz w:val="24"/>
          <w:szCs w:val="24"/>
          <w:lang w:val="ro-RO"/>
        </w:rPr>
        <w:t>t</w:t>
      </w:r>
      <w:r w:rsidRPr="00BD050E">
        <w:rPr>
          <w:rFonts w:asciiTheme="majorHAnsi" w:hAnsiTheme="majorHAnsi" w:cstheme="majorHAnsi"/>
          <w:i/>
          <w:color w:val="000000" w:themeColor="text1"/>
          <w:sz w:val="24"/>
          <w:szCs w:val="24"/>
          <w:lang w:val="ro-RO"/>
        </w:rPr>
        <w:t xml:space="preserve"> atât la MSMPS</w:t>
      </w:r>
      <w:r w:rsidR="00207151" w:rsidRPr="00BD050E">
        <w:rPr>
          <w:rFonts w:asciiTheme="majorHAnsi" w:hAnsiTheme="majorHAnsi" w:cstheme="majorHAnsi"/>
          <w:i/>
          <w:color w:val="000000" w:themeColor="text1"/>
          <w:sz w:val="24"/>
          <w:szCs w:val="24"/>
          <w:lang w:val="ro-RO"/>
        </w:rPr>
        <w:t>,</w:t>
      </w:r>
      <w:r w:rsidRPr="00BD050E">
        <w:rPr>
          <w:rFonts w:asciiTheme="majorHAnsi" w:hAnsiTheme="majorHAnsi" w:cstheme="majorHAnsi"/>
          <w:i/>
          <w:color w:val="000000" w:themeColor="text1"/>
          <w:sz w:val="24"/>
          <w:szCs w:val="24"/>
          <w:lang w:val="ro-RO"/>
        </w:rPr>
        <w:t xml:space="preserve"> cât și la MS, în </w:t>
      </w:r>
      <w:r w:rsidR="00207151" w:rsidRPr="00BD050E">
        <w:rPr>
          <w:rFonts w:asciiTheme="majorHAnsi" w:hAnsiTheme="majorHAnsi" w:cstheme="majorHAnsi"/>
          <w:i/>
          <w:color w:val="000000" w:themeColor="text1"/>
          <w:sz w:val="24"/>
          <w:szCs w:val="24"/>
          <w:lang w:val="ro-RO"/>
        </w:rPr>
        <w:t xml:space="preserve">funcție </w:t>
      </w:r>
      <w:r w:rsidRPr="00BD050E">
        <w:rPr>
          <w:rFonts w:asciiTheme="majorHAnsi" w:hAnsiTheme="majorHAnsi" w:cstheme="majorHAnsi"/>
          <w:i/>
          <w:color w:val="000000" w:themeColor="text1"/>
          <w:sz w:val="24"/>
          <w:szCs w:val="24"/>
          <w:lang w:val="ro-RO"/>
        </w:rPr>
        <w:t xml:space="preserve"> de etapa la care au fost implementate activitățile auditate.</w:t>
      </w:r>
      <w:r w:rsidR="00963506" w:rsidRPr="00BD050E">
        <w:rPr>
          <w:rFonts w:asciiTheme="majorHAnsi" w:hAnsiTheme="majorHAnsi" w:cstheme="majorHAnsi"/>
          <w:color w:val="000000" w:themeColor="text1"/>
          <w:sz w:val="28"/>
          <w:szCs w:val="28"/>
          <w:lang w:val="ro-RO"/>
        </w:rPr>
        <w:br w:type="page"/>
      </w:r>
    </w:p>
    <w:p w14:paraId="5FBC1372" w14:textId="77777777" w:rsidR="00963506" w:rsidRPr="00BD050E" w:rsidRDefault="00963506" w:rsidP="00963506">
      <w:pPr>
        <w:pStyle w:val="Heading1"/>
        <w:numPr>
          <w:ilvl w:val="0"/>
          <w:numId w:val="13"/>
        </w:numPr>
        <w:ind w:left="0" w:firstLine="0"/>
        <w:jc w:val="left"/>
        <w:rPr>
          <w:rFonts w:asciiTheme="majorHAnsi" w:hAnsiTheme="majorHAnsi" w:cstheme="majorHAnsi"/>
          <w:color w:val="000000" w:themeColor="text1"/>
          <w:sz w:val="28"/>
          <w:szCs w:val="28"/>
          <w:lang w:val="ro-RO"/>
        </w:rPr>
      </w:pPr>
      <w:r w:rsidRPr="00BD050E">
        <w:rPr>
          <w:rFonts w:asciiTheme="majorHAnsi" w:hAnsiTheme="majorHAnsi" w:cstheme="majorHAnsi"/>
          <w:color w:val="000000" w:themeColor="text1"/>
          <w:sz w:val="28"/>
          <w:szCs w:val="28"/>
          <w:lang w:val="ro-RO"/>
        </w:rPr>
        <w:lastRenderedPageBreak/>
        <w:t>OPIN</w:t>
      </w:r>
      <w:bookmarkEnd w:id="2"/>
      <w:r w:rsidRPr="00BD050E">
        <w:rPr>
          <w:rFonts w:asciiTheme="majorHAnsi" w:hAnsiTheme="majorHAnsi" w:cstheme="majorHAnsi"/>
          <w:color w:val="000000" w:themeColor="text1"/>
          <w:sz w:val="28"/>
          <w:szCs w:val="28"/>
          <w:lang w:val="ro-RO"/>
        </w:rPr>
        <w:t>IE</w:t>
      </w:r>
    </w:p>
    <w:p w14:paraId="4D42E4DD" w14:textId="007D4849" w:rsidR="00963506" w:rsidRPr="00BD050E" w:rsidRDefault="00963506" w:rsidP="00963506">
      <w:pPr>
        <w:spacing w:after="0" w:line="276" w:lineRule="auto"/>
        <w:jc w:val="both"/>
        <w:rPr>
          <w:rFonts w:asciiTheme="majorHAnsi" w:eastAsia="Times New Roman"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Am auditat situațiile financiare ale</w:t>
      </w:r>
      <w:r w:rsidRPr="00BD050E">
        <w:rPr>
          <w:rFonts w:asciiTheme="majorHAnsi" w:eastAsia="Times New Roman" w:hAnsiTheme="majorHAnsi" w:cstheme="majorHAnsi"/>
          <w:color w:val="000000" w:themeColor="text1"/>
          <w:sz w:val="24"/>
          <w:szCs w:val="24"/>
          <w:lang w:val="ro-RO"/>
        </w:rPr>
        <w:t xml:space="preserve"> Operațiunii </w:t>
      </w:r>
      <w:r w:rsidR="00EB1EEF" w:rsidRPr="00BD050E">
        <w:rPr>
          <w:rFonts w:asciiTheme="majorHAnsi" w:eastAsia="Times New Roman" w:hAnsiTheme="majorHAnsi" w:cstheme="majorHAnsi"/>
          <w:color w:val="000000" w:themeColor="text1"/>
          <w:sz w:val="24"/>
          <w:szCs w:val="24"/>
          <w:lang w:val="ro-RO"/>
        </w:rPr>
        <w:t>„</w:t>
      </w:r>
      <w:r w:rsidRPr="00BD050E">
        <w:rPr>
          <w:rFonts w:asciiTheme="majorHAnsi" w:eastAsia="Times New Roman" w:hAnsiTheme="majorHAnsi" w:cstheme="majorHAnsi"/>
          <w:color w:val="000000" w:themeColor="text1"/>
          <w:sz w:val="24"/>
          <w:szCs w:val="24"/>
          <w:lang w:val="ro-RO"/>
        </w:rPr>
        <w:t xml:space="preserve">Modernizarea sectorului sănătății în Republica Moldova” </w:t>
      </w:r>
      <w:r w:rsidRPr="00BD050E">
        <w:rPr>
          <w:rFonts w:asciiTheme="majorHAnsi" w:hAnsiTheme="majorHAnsi" w:cstheme="majorHAnsi"/>
          <w:color w:val="000000" w:themeColor="text1"/>
          <w:sz w:val="24"/>
          <w:szCs w:val="24"/>
          <w:lang w:val="ro-RO"/>
        </w:rPr>
        <w:t>încheiate la 31 decembrie 202</w:t>
      </w:r>
      <w:r w:rsidR="00CE01A2" w:rsidRPr="00BD050E">
        <w:rPr>
          <w:rFonts w:asciiTheme="majorHAnsi" w:hAnsiTheme="majorHAnsi" w:cstheme="majorHAnsi"/>
          <w:color w:val="000000" w:themeColor="text1"/>
          <w:sz w:val="24"/>
          <w:szCs w:val="24"/>
          <w:lang w:val="ro-RO"/>
        </w:rPr>
        <w:t>1</w:t>
      </w:r>
      <w:r w:rsidRPr="00BD050E">
        <w:rPr>
          <w:rFonts w:asciiTheme="majorHAnsi" w:hAnsiTheme="majorHAnsi" w:cstheme="majorHAnsi"/>
          <w:color w:val="000000" w:themeColor="text1"/>
          <w:sz w:val="24"/>
          <w:szCs w:val="24"/>
          <w:lang w:val="ro-RO"/>
        </w:rPr>
        <w:t xml:space="preserve">, </w:t>
      </w:r>
      <w:r w:rsidR="00EB1EEF" w:rsidRPr="00BD050E">
        <w:rPr>
          <w:rFonts w:asciiTheme="majorHAnsi" w:eastAsia="Times New Roman" w:hAnsiTheme="majorHAnsi" w:cstheme="majorHAnsi"/>
          <w:color w:val="000000" w:themeColor="text1"/>
          <w:sz w:val="24"/>
          <w:szCs w:val="24"/>
          <w:lang w:val="ro-RO"/>
        </w:rPr>
        <w:t>în ce privește</w:t>
      </w:r>
      <w:r w:rsidRPr="00BD050E">
        <w:rPr>
          <w:rFonts w:asciiTheme="majorHAnsi" w:eastAsia="Times New Roman" w:hAnsiTheme="majorHAnsi" w:cstheme="majorHAnsi"/>
          <w:color w:val="000000" w:themeColor="text1"/>
          <w:sz w:val="24"/>
          <w:szCs w:val="24"/>
          <w:lang w:val="ro-RO"/>
        </w:rPr>
        <w:t xml:space="preserve"> </w:t>
      </w:r>
      <w:r w:rsidRPr="00BD050E">
        <w:rPr>
          <w:rFonts w:asciiTheme="majorHAnsi" w:hAnsiTheme="majorHAnsi" w:cstheme="majorHAnsi"/>
          <w:iCs/>
          <w:color w:val="000000" w:themeColor="text1"/>
          <w:sz w:val="24"/>
          <w:szCs w:val="24"/>
          <w:lang w:val="ro-RO"/>
        </w:rPr>
        <w:t>cheltuielile suportate/executate</w:t>
      </w:r>
      <w:r w:rsidRPr="00BD050E">
        <w:rPr>
          <w:rFonts w:asciiTheme="majorHAnsi" w:eastAsia="Times New Roman" w:hAnsiTheme="majorHAnsi" w:cstheme="majorHAnsi"/>
          <w:color w:val="000000" w:themeColor="text1"/>
          <w:sz w:val="24"/>
          <w:szCs w:val="24"/>
          <w:lang w:val="ro-RO"/>
        </w:rPr>
        <w:t xml:space="preserve"> pentru realizarea Operațiunii</w:t>
      </w:r>
      <w:r w:rsidRPr="00BD050E">
        <w:rPr>
          <w:rStyle w:val="FootnoteReference"/>
          <w:rFonts w:asciiTheme="majorHAnsi" w:eastAsia="Times New Roman" w:hAnsiTheme="majorHAnsi" w:cstheme="majorHAnsi"/>
          <w:color w:val="000000" w:themeColor="text1"/>
          <w:sz w:val="24"/>
          <w:szCs w:val="24"/>
          <w:lang w:val="ro-RO"/>
        </w:rPr>
        <w:footnoteReference w:id="1"/>
      </w:r>
      <w:r w:rsidRPr="00BD050E">
        <w:rPr>
          <w:rFonts w:asciiTheme="majorHAnsi" w:eastAsia="Times New Roman" w:hAnsiTheme="majorHAnsi" w:cstheme="majorHAnsi"/>
          <w:color w:val="000000" w:themeColor="text1"/>
          <w:sz w:val="24"/>
          <w:szCs w:val="24"/>
          <w:lang w:val="ro-RO"/>
        </w:rPr>
        <w:t>, prezentate Băncii Mondiale și Ministerului Finanțelor (Formularul FD-047)</w:t>
      </w:r>
      <w:r w:rsidRPr="00BD050E">
        <w:rPr>
          <w:rStyle w:val="FootnoteReference"/>
          <w:rFonts w:asciiTheme="majorHAnsi" w:eastAsia="Times New Roman" w:hAnsiTheme="majorHAnsi" w:cstheme="majorHAnsi"/>
          <w:color w:val="000000" w:themeColor="text1"/>
          <w:sz w:val="24"/>
          <w:szCs w:val="24"/>
          <w:lang w:val="ro-RO"/>
        </w:rPr>
        <w:footnoteReference w:id="2"/>
      </w:r>
      <w:r w:rsidRPr="00BD050E">
        <w:rPr>
          <w:rFonts w:asciiTheme="majorHAnsi" w:eastAsia="Times New Roman" w:hAnsiTheme="majorHAnsi" w:cstheme="majorHAnsi"/>
          <w:color w:val="000000" w:themeColor="text1"/>
          <w:sz w:val="24"/>
          <w:szCs w:val="24"/>
          <w:lang w:val="ro-RO"/>
        </w:rPr>
        <w:t xml:space="preserve">, care oferă, sub toate aspectele semnificative, o imagine corectă și fidelă în conformitate cu cerințele specifice de raportare financiară ale Băncii Mondiale și ale sistemului bugetar. </w:t>
      </w:r>
    </w:p>
    <w:p w14:paraId="1A52D412" w14:textId="77777777" w:rsidR="00963506" w:rsidRPr="00BD050E" w:rsidRDefault="00963506" w:rsidP="00963506">
      <w:pPr>
        <w:pStyle w:val="Heading1"/>
        <w:ind w:left="0" w:firstLine="0"/>
        <w:jc w:val="left"/>
        <w:rPr>
          <w:rFonts w:asciiTheme="majorHAnsi" w:hAnsiTheme="majorHAnsi" w:cstheme="majorHAnsi"/>
          <w:color w:val="000000" w:themeColor="text1"/>
          <w:sz w:val="28"/>
          <w:szCs w:val="28"/>
          <w:lang w:val="ro-RO"/>
        </w:rPr>
      </w:pPr>
      <w:r w:rsidRPr="00BD050E">
        <w:rPr>
          <w:rFonts w:asciiTheme="majorHAnsi" w:hAnsiTheme="majorHAnsi" w:cstheme="majorHAnsi"/>
          <w:color w:val="000000" w:themeColor="text1"/>
          <w:sz w:val="28"/>
          <w:szCs w:val="28"/>
          <w:lang w:val="ro-RO"/>
        </w:rPr>
        <w:t>ALTE ASPECTE</w:t>
      </w:r>
    </w:p>
    <w:p w14:paraId="769E6B96" w14:textId="4C3D65A3" w:rsidR="00963506" w:rsidRPr="00BD050E" w:rsidRDefault="00963506" w:rsidP="00963506">
      <w:pPr>
        <w:pStyle w:val="ListParagraph"/>
        <w:spacing w:line="276" w:lineRule="auto"/>
        <w:ind w:left="0"/>
        <w:jc w:val="both"/>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Situațiile financiare auditate sunt întoc</w:t>
      </w:r>
      <w:r w:rsidR="00C725A8" w:rsidRPr="00BD050E">
        <w:rPr>
          <w:rFonts w:asciiTheme="majorHAnsi" w:eastAsia="Times New Roman" w:hAnsiTheme="majorHAnsi" w:cstheme="majorHAnsi"/>
          <w:color w:val="000000" w:themeColor="text1"/>
          <w:sz w:val="24"/>
          <w:szCs w:val="24"/>
          <w:lang w:val="ro-RO"/>
        </w:rPr>
        <w:t>mite pentru a asista BM și MS</w:t>
      </w:r>
      <w:r w:rsidRPr="00BD050E">
        <w:rPr>
          <w:rFonts w:asciiTheme="majorHAnsi" w:eastAsia="Times New Roman" w:hAnsiTheme="majorHAnsi" w:cstheme="majorHAnsi"/>
          <w:color w:val="000000" w:themeColor="text1"/>
          <w:sz w:val="24"/>
          <w:szCs w:val="24"/>
          <w:lang w:val="ro-RO"/>
        </w:rPr>
        <w:t xml:space="preserve"> în </w:t>
      </w:r>
      <w:r w:rsidR="00C725A8" w:rsidRPr="00BD050E">
        <w:rPr>
          <w:rFonts w:asciiTheme="majorHAnsi" w:eastAsia="Times New Roman" w:hAnsiTheme="majorHAnsi" w:cstheme="majorHAnsi"/>
          <w:color w:val="000000" w:themeColor="text1"/>
          <w:sz w:val="24"/>
          <w:szCs w:val="24"/>
          <w:lang w:val="ro-RO"/>
        </w:rPr>
        <w:t>vederea respect</w:t>
      </w:r>
      <w:r w:rsidR="00C725A8" w:rsidRPr="00BD050E">
        <w:rPr>
          <w:rFonts w:asciiTheme="majorHAnsi" w:eastAsia="Times New Roman" w:hAnsiTheme="majorHAnsi" w:cstheme="majorHAnsi"/>
          <w:color w:val="000000" w:themeColor="text1"/>
          <w:sz w:val="24"/>
          <w:szCs w:val="24"/>
          <w:lang w:val="ro-MD"/>
        </w:rPr>
        <w:t>ării</w:t>
      </w:r>
      <w:r w:rsidRPr="00BD050E">
        <w:rPr>
          <w:rFonts w:asciiTheme="majorHAnsi" w:eastAsia="Times New Roman" w:hAnsiTheme="majorHAnsi" w:cstheme="majorHAnsi"/>
          <w:color w:val="000000" w:themeColor="text1"/>
          <w:sz w:val="24"/>
          <w:szCs w:val="24"/>
          <w:lang w:val="ro-RO"/>
        </w:rPr>
        <w:t xml:space="preserve"> prevederilor de raportare din Manualul operațional. Drept urmare, </w:t>
      </w:r>
      <w:r w:rsidR="007F528F" w:rsidRPr="00BD050E">
        <w:rPr>
          <w:rFonts w:asciiTheme="majorHAnsi" w:eastAsia="Times New Roman" w:hAnsiTheme="majorHAnsi" w:cstheme="majorHAnsi"/>
          <w:color w:val="000000" w:themeColor="text1"/>
          <w:sz w:val="24"/>
          <w:szCs w:val="24"/>
          <w:lang w:val="ro-RO"/>
        </w:rPr>
        <w:t>m</w:t>
      </w:r>
      <w:r w:rsidRPr="00BD050E">
        <w:rPr>
          <w:rFonts w:asciiTheme="majorHAnsi" w:eastAsia="Times New Roman" w:hAnsiTheme="majorHAnsi" w:cstheme="majorHAnsi"/>
          <w:color w:val="000000" w:themeColor="text1"/>
          <w:sz w:val="24"/>
          <w:szCs w:val="24"/>
          <w:lang w:val="ro-RO"/>
        </w:rPr>
        <w:t xml:space="preserve">isiunea de audit a fost efectuată </w:t>
      </w:r>
      <w:r w:rsidR="00980DE5" w:rsidRPr="00BD050E">
        <w:rPr>
          <w:rFonts w:asciiTheme="majorHAnsi" w:eastAsia="Times New Roman" w:hAnsiTheme="majorHAnsi" w:cstheme="majorHAnsi"/>
          <w:color w:val="000000" w:themeColor="text1"/>
          <w:sz w:val="24"/>
          <w:szCs w:val="24"/>
          <w:lang w:val="ro-RO"/>
        </w:rPr>
        <w:t>asupra</w:t>
      </w:r>
      <w:r w:rsidRPr="00BD050E">
        <w:rPr>
          <w:rFonts w:asciiTheme="majorHAnsi" w:eastAsia="Times New Roman" w:hAnsiTheme="majorHAnsi" w:cstheme="majorHAnsi"/>
          <w:color w:val="000000" w:themeColor="text1"/>
          <w:sz w:val="24"/>
          <w:szCs w:val="24"/>
          <w:lang w:val="ro-RO"/>
        </w:rPr>
        <w:t xml:space="preserve"> situațiil</w:t>
      </w:r>
      <w:r w:rsidR="00980DE5" w:rsidRPr="00BD050E">
        <w:rPr>
          <w:rFonts w:asciiTheme="majorHAnsi" w:eastAsia="Times New Roman" w:hAnsiTheme="majorHAnsi" w:cstheme="majorHAnsi"/>
          <w:color w:val="000000" w:themeColor="text1"/>
          <w:sz w:val="24"/>
          <w:szCs w:val="24"/>
          <w:lang w:val="ro-RO"/>
        </w:rPr>
        <w:t>or</w:t>
      </w:r>
      <w:r w:rsidRPr="00BD050E">
        <w:rPr>
          <w:rFonts w:asciiTheme="majorHAnsi" w:eastAsia="Times New Roman" w:hAnsiTheme="majorHAnsi" w:cstheme="majorHAnsi"/>
          <w:color w:val="000000" w:themeColor="text1"/>
          <w:sz w:val="24"/>
          <w:szCs w:val="24"/>
          <w:lang w:val="ro-RO"/>
        </w:rPr>
        <w:t xml:space="preserve"> financiare speciale, întocmite în baza unui cadru de raportare financiară cu scop special</w:t>
      </w:r>
      <w:r w:rsidRPr="00BD050E">
        <w:rPr>
          <w:rFonts w:asciiTheme="majorHAnsi" w:eastAsia="Times New Roman" w:hAnsiTheme="majorHAnsi" w:cstheme="majorHAnsi"/>
          <w:color w:val="000000" w:themeColor="text1"/>
          <w:sz w:val="24"/>
          <w:szCs w:val="24"/>
          <w:vertAlign w:val="superscript"/>
          <w:lang w:val="ro-RO"/>
        </w:rPr>
        <w:footnoteReference w:id="3"/>
      </w:r>
      <w:r w:rsidRPr="00BD050E">
        <w:rPr>
          <w:rFonts w:asciiTheme="majorHAnsi" w:eastAsia="Times New Roman" w:hAnsiTheme="majorHAnsi" w:cstheme="majorHAnsi"/>
          <w:color w:val="000000" w:themeColor="text1"/>
          <w:sz w:val="24"/>
          <w:szCs w:val="24"/>
          <w:lang w:val="ro-RO"/>
        </w:rPr>
        <w:t xml:space="preserve">. Raportul nostru este destinat exclusiv MS, CNAM și BM. </w:t>
      </w:r>
    </w:p>
    <w:p w14:paraId="36924A69" w14:textId="77777777" w:rsidR="00963506" w:rsidRPr="00BD050E" w:rsidRDefault="00963506" w:rsidP="00963506">
      <w:pPr>
        <w:pStyle w:val="Heading1"/>
        <w:ind w:left="0" w:firstLine="0"/>
        <w:jc w:val="left"/>
        <w:rPr>
          <w:rFonts w:asciiTheme="majorHAnsi" w:hAnsiTheme="majorHAnsi" w:cstheme="majorHAnsi"/>
          <w:color w:val="000000" w:themeColor="text1"/>
          <w:sz w:val="28"/>
          <w:szCs w:val="28"/>
          <w:lang w:val="ro-RO"/>
        </w:rPr>
      </w:pPr>
      <w:r w:rsidRPr="00BD050E">
        <w:rPr>
          <w:rFonts w:asciiTheme="majorHAnsi" w:hAnsiTheme="majorHAnsi" w:cstheme="majorHAnsi"/>
          <w:color w:val="000000" w:themeColor="text1"/>
          <w:sz w:val="28"/>
          <w:szCs w:val="28"/>
          <w:lang w:val="ro-RO"/>
        </w:rPr>
        <w:t>BAZA PENTRU OPINIE</w:t>
      </w:r>
    </w:p>
    <w:p w14:paraId="253D6DCC" w14:textId="77777777" w:rsidR="00963506" w:rsidRPr="00BD050E" w:rsidRDefault="00963506" w:rsidP="00963506">
      <w:pPr>
        <w:pStyle w:val="CommentText"/>
        <w:spacing w:after="0" w:line="276" w:lineRule="auto"/>
        <w:jc w:val="both"/>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Am realizat misiunea de audit public extern în conformitate cu Standardele Internaționale ale Instituțiilor Supreme de Audit aplicate de Curtea de Conturi</w:t>
      </w:r>
      <w:r w:rsidRPr="00BD050E">
        <w:rPr>
          <w:rStyle w:val="FootnoteReference"/>
          <w:rFonts w:asciiTheme="majorHAnsi" w:hAnsiTheme="majorHAnsi" w:cstheme="majorHAnsi"/>
          <w:color w:val="000000" w:themeColor="text1"/>
          <w:sz w:val="24"/>
          <w:szCs w:val="24"/>
          <w:lang w:val="ro-RO"/>
        </w:rPr>
        <w:footnoteReference w:id="4"/>
      </w:r>
      <w:r w:rsidRPr="00BD050E">
        <w:rPr>
          <w:rFonts w:asciiTheme="majorHAnsi" w:eastAsia="Times New Roman" w:hAnsiTheme="majorHAnsi" w:cstheme="majorHAnsi"/>
          <w:color w:val="000000" w:themeColor="text1"/>
          <w:sz w:val="24"/>
          <w:szCs w:val="24"/>
          <w:lang w:val="ro-RO"/>
        </w:rPr>
        <w:t xml:space="preserve">. Responsabilitățile noastre, potrivit standardelor respective, sunt expuse în secțiunea </w:t>
      </w:r>
      <w:r w:rsidRPr="00BD050E">
        <w:rPr>
          <w:rFonts w:asciiTheme="majorHAnsi" w:eastAsia="Times New Roman" w:hAnsiTheme="majorHAnsi" w:cstheme="majorHAnsi"/>
          <w:i/>
          <w:color w:val="000000" w:themeColor="text1"/>
          <w:sz w:val="24"/>
          <w:szCs w:val="24"/>
          <w:lang w:val="ro-RO"/>
        </w:rPr>
        <w:t>Responsabilitățile auditorului într-un audit al situațiilor financiare</w:t>
      </w:r>
      <w:r w:rsidRPr="00BD050E">
        <w:rPr>
          <w:rFonts w:asciiTheme="majorHAnsi" w:eastAsia="Times New Roman" w:hAnsiTheme="majorHAnsi" w:cstheme="majorHAnsi"/>
          <w:color w:val="000000" w:themeColor="text1"/>
          <w:sz w:val="24"/>
          <w:szCs w:val="24"/>
          <w:lang w:val="ro-RO"/>
        </w:rPr>
        <w:t xml:space="preserve"> din prezentul Raport. Suntem independenți față de instituția auditată și am îndeplinit responsabilitățile de etică conform cerințelor Codului etic al Curții de Conturi</w:t>
      </w:r>
      <w:r w:rsidRPr="00BD050E">
        <w:rPr>
          <w:rStyle w:val="FootnoteReference"/>
          <w:rFonts w:asciiTheme="majorHAnsi" w:hAnsiTheme="majorHAnsi" w:cstheme="majorHAnsi"/>
          <w:color w:val="000000" w:themeColor="text1"/>
          <w:sz w:val="24"/>
          <w:szCs w:val="24"/>
          <w:lang w:val="ro-RO"/>
        </w:rPr>
        <w:footnoteReference w:id="5"/>
      </w:r>
      <w:r w:rsidRPr="00BD050E">
        <w:rPr>
          <w:rFonts w:asciiTheme="majorHAnsi" w:eastAsia="Times New Roman" w:hAnsiTheme="majorHAnsi" w:cstheme="majorHAnsi"/>
          <w:color w:val="000000" w:themeColor="text1"/>
          <w:sz w:val="24"/>
          <w:szCs w:val="24"/>
          <w:lang w:val="ro-RO"/>
        </w:rPr>
        <w:t>. Considerăm că probele de audit pe care le-am obținut sunt suficiente și adecvate pentru a furniza o bază pentru opinia noastră.</w:t>
      </w:r>
    </w:p>
    <w:p w14:paraId="40A9E1CF" w14:textId="77777777" w:rsidR="00963506" w:rsidRPr="00BD050E" w:rsidRDefault="00963506" w:rsidP="00963506">
      <w:pPr>
        <w:tabs>
          <w:tab w:val="left" w:pos="-720"/>
          <w:tab w:val="left" w:pos="1134"/>
        </w:tabs>
        <w:suppressAutoHyphens/>
        <w:spacing w:after="0" w:line="276" w:lineRule="auto"/>
        <w:ind w:firstLine="450"/>
        <w:jc w:val="both"/>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 xml:space="preserve">     </w:t>
      </w:r>
    </w:p>
    <w:p w14:paraId="50488C9A" w14:textId="77777777" w:rsidR="00963506" w:rsidRPr="00BD050E" w:rsidRDefault="00963506" w:rsidP="00963506">
      <w:pPr>
        <w:pStyle w:val="Heading1"/>
        <w:spacing w:before="0"/>
        <w:ind w:left="0" w:firstLine="0"/>
        <w:jc w:val="left"/>
        <w:rPr>
          <w:rFonts w:asciiTheme="majorHAnsi" w:hAnsiTheme="majorHAnsi" w:cstheme="majorHAnsi"/>
          <w:color w:val="000000" w:themeColor="text1"/>
          <w:sz w:val="28"/>
          <w:szCs w:val="28"/>
          <w:lang w:val="ro-RO"/>
        </w:rPr>
      </w:pPr>
      <w:bookmarkStart w:id="3" w:name="_Toc35000683"/>
      <w:r w:rsidRPr="00BD050E">
        <w:rPr>
          <w:rFonts w:asciiTheme="majorHAnsi" w:hAnsiTheme="majorHAnsi" w:cstheme="majorHAnsi"/>
          <w:color w:val="000000" w:themeColor="text1"/>
          <w:sz w:val="28"/>
          <w:szCs w:val="28"/>
          <w:lang w:val="ro-RO"/>
        </w:rPr>
        <w:t>ASPECTE-CHEIE DE AUDIT</w:t>
      </w:r>
      <w:bookmarkEnd w:id="3"/>
    </w:p>
    <w:p w14:paraId="0A46D7F3" w14:textId="3756F494" w:rsidR="00963506" w:rsidRDefault="00963506" w:rsidP="00963506">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Aspectele-cheie de audit sunt acele aspecte care, în baza raționamentului nostru profesional, au avut cea mai mare importanță pentru auditul financiar al</w:t>
      </w:r>
      <w:r w:rsidRPr="00BD050E">
        <w:rPr>
          <w:rFonts w:asciiTheme="majorHAnsi" w:hAnsiTheme="majorHAnsi" w:cstheme="majorHAnsi"/>
          <w:color w:val="000000" w:themeColor="text1"/>
          <w:sz w:val="24"/>
          <w:szCs w:val="24"/>
          <w:lang w:val="ro-RO"/>
        </w:rPr>
        <w:t xml:space="preserve"> </w:t>
      </w:r>
      <w:r w:rsidR="00980DE5" w:rsidRPr="00BD050E">
        <w:rPr>
          <w:rFonts w:asciiTheme="majorHAnsi" w:eastAsia="Times New Roman" w:hAnsiTheme="majorHAnsi" w:cstheme="majorHAnsi"/>
          <w:color w:val="000000" w:themeColor="text1"/>
          <w:sz w:val="24"/>
          <w:szCs w:val="24"/>
          <w:lang w:val="ro-RO"/>
        </w:rPr>
        <w:t>O</w:t>
      </w:r>
      <w:r w:rsidRPr="00BD050E">
        <w:rPr>
          <w:rFonts w:asciiTheme="majorHAnsi" w:eastAsia="Times New Roman" w:hAnsiTheme="majorHAnsi" w:cstheme="majorHAnsi"/>
          <w:color w:val="000000" w:themeColor="text1"/>
          <w:sz w:val="24"/>
          <w:szCs w:val="24"/>
          <w:lang w:val="ro-RO"/>
        </w:rPr>
        <w:t xml:space="preserve">perațiunii </w:t>
      </w:r>
      <w:r w:rsidR="00980DE5" w:rsidRPr="00BD050E">
        <w:rPr>
          <w:rFonts w:asciiTheme="majorHAnsi" w:eastAsia="Times New Roman" w:hAnsiTheme="majorHAnsi" w:cstheme="majorHAnsi"/>
          <w:color w:val="000000" w:themeColor="text1"/>
          <w:sz w:val="24"/>
          <w:szCs w:val="24"/>
          <w:lang w:val="ro-RO"/>
        </w:rPr>
        <w:t>„</w:t>
      </w:r>
      <w:r w:rsidRPr="00BD050E">
        <w:rPr>
          <w:rFonts w:asciiTheme="majorHAnsi" w:eastAsia="Times New Roman" w:hAnsiTheme="majorHAnsi" w:cstheme="majorHAnsi"/>
          <w:color w:val="000000" w:themeColor="text1"/>
          <w:sz w:val="24"/>
          <w:szCs w:val="24"/>
          <w:lang w:val="ro-RO"/>
        </w:rPr>
        <w:t>Modernizarea sectorului sănătății în Republica Moldova</w:t>
      </w:r>
      <w:r w:rsidR="00980DE5" w:rsidRPr="00BD050E">
        <w:rPr>
          <w:rFonts w:asciiTheme="majorHAnsi" w:eastAsia="Times New Roman"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w:t>
      </w:r>
      <w:r w:rsidRPr="00BD050E">
        <w:rPr>
          <w:rFonts w:asciiTheme="majorHAnsi" w:eastAsia="Calibri" w:hAnsiTheme="majorHAnsi" w:cstheme="majorHAnsi"/>
          <w:color w:val="000000" w:themeColor="text1"/>
          <w:sz w:val="24"/>
          <w:szCs w:val="24"/>
          <w:lang w:val="ro-RO"/>
        </w:rPr>
        <w:t>în anul 202</w:t>
      </w:r>
      <w:r w:rsidR="00CE01A2" w:rsidRPr="00BD050E">
        <w:rPr>
          <w:rFonts w:asciiTheme="majorHAnsi" w:eastAsia="Calibri" w:hAnsiTheme="majorHAnsi" w:cstheme="majorHAnsi"/>
          <w:color w:val="000000" w:themeColor="text1"/>
          <w:sz w:val="24"/>
          <w:szCs w:val="24"/>
          <w:lang w:val="ro-RO"/>
        </w:rPr>
        <w:t>1</w:t>
      </w:r>
      <w:r w:rsidRPr="00BD050E">
        <w:rPr>
          <w:rFonts w:asciiTheme="majorHAnsi" w:eastAsia="Calibri" w:hAnsiTheme="majorHAnsi" w:cstheme="majorHAnsi"/>
          <w:color w:val="000000" w:themeColor="text1"/>
          <w:sz w:val="24"/>
          <w:szCs w:val="24"/>
          <w:lang w:val="ro-RO"/>
        </w:rPr>
        <w:t>. Aceste aspecte au fost abordate în contextul auditului situațiilor financiare în ansamblu şi în formarea opiniei asupra acestora și nu oferim o opinie separată cu privire la aspectele-cheie. Considerăm că aspectele descrise mai jos, deși nu au influențat opinia de audit, reprezintă aspectele-cheie de audit care trebuie comunicate în Raportul nostru.</w:t>
      </w:r>
    </w:p>
    <w:p w14:paraId="1DF1AE3B" w14:textId="4A69EFBB" w:rsidR="006D38A6" w:rsidRDefault="006D38A6" w:rsidP="00963506">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p>
    <w:p w14:paraId="5D1EC5F4" w14:textId="59906505" w:rsidR="006D38A6" w:rsidRDefault="006D38A6" w:rsidP="00963506">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p>
    <w:p w14:paraId="13806748" w14:textId="77777777" w:rsidR="006D38A6" w:rsidRPr="00BD050E" w:rsidRDefault="006D38A6" w:rsidP="00963506">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p>
    <w:p w14:paraId="5AD73D3F" w14:textId="376C7672" w:rsidR="00A26C34" w:rsidRPr="00BD050E" w:rsidRDefault="00A26C34" w:rsidP="00A26C34">
      <w:pPr>
        <w:pStyle w:val="ListParagraph"/>
        <w:numPr>
          <w:ilvl w:val="1"/>
          <w:numId w:val="19"/>
        </w:numPr>
        <w:tabs>
          <w:tab w:val="left" w:pos="720"/>
        </w:tabs>
        <w:spacing w:before="240" w:after="0" w:line="276" w:lineRule="auto"/>
        <w:ind w:left="0" w:right="-29" w:firstLine="0"/>
        <w:jc w:val="both"/>
        <w:outlineLvl w:val="1"/>
        <w:rPr>
          <w:rFonts w:asciiTheme="majorHAnsi" w:eastAsia="Calibri" w:hAnsiTheme="majorHAnsi" w:cstheme="majorHAnsi"/>
          <w:b/>
          <w:bCs/>
          <w:color w:val="000000" w:themeColor="text1"/>
          <w:sz w:val="24"/>
          <w:szCs w:val="24"/>
          <w:lang w:val="ro-RO"/>
        </w:rPr>
      </w:pPr>
      <w:r w:rsidRPr="00BD050E">
        <w:rPr>
          <w:rFonts w:asciiTheme="majorHAnsi" w:eastAsia="Calibri" w:hAnsiTheme="majorHAnsi" w:cstheme="majorHAnsi"/>
          <w:b/>
          <w:bCs/>
          <w:color w:val="000000" w:themeColor="text1"/>
          <w:sz w:val="24"/>
          <w:szCs w:val="24"/>
          <w:lang w:val="ro-RO"/>
        </w:rPr>
        <w:lastRenderedPageBreak/>
        <w:t xml:space="preserve">Deși </w:t>
      </w:r>
      <w:r w:rsidR="004A754B" w:rsidRPr="00BD050E">
        <w:rPr>
          <w:rFonts w:asciiTheme="majorHAnsi" w:eastAsia="Calibri" w:hAnsiTheme="majorHAnsi" w:cstheme="majorHAnsi"/>
          <w:b/>
          <w:bCs/>
          <w:color w:val="000000" w:themeColor="text1"/>
          <w:sz w:val="24"/>
          <w:szCs w:val="24"/>
          <w:lang w:val="ro-RO"/>
        </w:rPr>
        <w:t>Operațiunea</w:t>
      </w:r>
      <w:r w:rsidRPr="00BD050E">
        <w:rPr>
          <w:rFonts w:asciiTheme="majorHAnsi" w:eastAsia="Calibri" w:hAnsiTheme="majorHAnsi" w:cstheme="majorHAnsi"/>
          <w:b/>
          <w:bCs/>
          <w:color w:val="000000" w:themeColor="text1"/>
          <w:sz w:val="24"/>
          <w:szCs w:val="24"/>
          <w:lang w:val="ro-RO"/>
        </w:rPr>
        <w:t xml:space="preserve"> „Modernizarea sectorului sănătății în Republica Moldova” a fost extins</w:t>
      </w:r>
      <w:r w:rsidR="004A754B" w:rsidRPr="00BD050E">
        <w:rPr>
          <w:rFonts w:asciiTheme="majorHAnsi" w:eastAsia="Calibri" w:hAnsiTheme="majorHAnsi" w:cstheme="majorHAnsi"/>
          <w:b/>
          <w:bCs/>
          <w:color w:val="000000" w:themeColor="text1"/>
          <w:sz w:val="24"/>
          <w:szCs w:val="24"/>
          <w:lang w:val="ro-RO"/>
        </w:rPr>
        <w:t>ă</w:t>
      </w:r>
      <w:r w:rsidRPr="00BD050E">
        <w:rPr>
          <w:rFonts w:asciiTheme="majorHAnsi" w:eastAsia="Calibri" w:hAnsiTheme="majorHAnsi" w:cstheme="majorHAnsi"/>
          <w:b/>
          <w:bCs/>
          <w:color w:val="000000" w:themeColor="text1"/>
          <w:sz w:val="24"/>
          <w:szCs w:val="24"/>
          <w:lang w:val="ro-RO"/>
        </w:rPr>
        <w:t xml:space="preserve"> </w:t>
      </w:r>
      <w:r w:rsidR="00601BF8" w:rsidRPr="00BD050E">
        <w:rPr>
          <w:rFonts w:asciiTheme="majorHAnsi" w:eastAsia="Calibri" w:hAnsiTheme="majorHAnsi" w:cstheme="majorHAnsi"/>
          <w:b/>
          <w:bCs/>
          <w:color w:val="000000" w:themeColor="text1"/>
          <w:sz w:val="24"/>
          <w:szCs w:val="24"/>
          <w:lang w:val="ro-RO"/>
        </w:rPr>
        <w:t>pentru</w:t>
      </w:r>
      <w:r w:rsidRPr="00BD050E">
        <w:rPr>
          <w:rFonts w:asciiTheme="majorHAnsi" w:eastAsia="Calibri" w:hAnsiTheme="majorHAnsi" w:cstheme="majorHAnsi"/>
          <w:b/>
          <w:bCs/>
          <w:color w:val="000000" w:themeColor="text1"/>
          <w:sz w:val="24"/>
          <w:szCs w:val="24"/>
          <w:lang w:val="ro-RO"/>
        </w:rPr>
        <w:t xml:space="preserve"> anul 2021 în scopul validării/debursării a cinci indicatori planificați,</w:t>
      </w:r>
      <w:r w:rsidR="00A2062B" w:rsidRPr="00BD050E">
        <w:rPr>
          <w:rFonts w:asciiTheme="majorHAnsi" w:eastAsia="Calibri" w:hAnsiTheme="majorHAnsi" w:cstheme="majorHAnsi"/>
          <w:b/>
          <w:bCs/>
          <w:color w:val="000000" w:themeColor="text1"/>
          <w:sz w:val="24"/>
          <w:szCs w:val="24"/>
          <w:lang w:val="ro-RO"/>
        </w:rPr>
        <w:t xml:space="preserve"> </w:t>
      </w:r>
      <w:r w:rsidR="004A754B" w:rsidRPr="00BD050E">
        <w:rPr>
          <w:rFonts w:asciiTheme="majorHAnsi" w:eastAsia="Calibri" w:hAnsiTheme="majorHAnsi" w:cstheme="majorHAnsi"/>
          <w:b/>
          <w:bCs/>
          <w:color w:val="000000" w:themeColor="text1"/>
          <w:sz w:val="24"/>
          <w:szCs w:val="24"/>
          <w:lang w:val="ro-RO"/>
        </w:rPr>
        <w:t xml:space="preserve">unul </w:t>
      </w:r>
      <w:r w:rsidR="00796782" w:rsidRPr="00BD050E">
        <w:rPr>
          <w:rFonts w:asciiTheme="majorHAnsi" w:eastAsia="Calibri" w:hAnsiTheme="majorHAnsi" w:cstheme="majorHAnsi"/>
          <w:b/>
          <w:bCs/>
          <w:color w:val="000000" w:themeColor="text1"/>
          <w:sz w:val="24"/>
          <w:szCs w:val="24"/>
          <w:lang w:val="ro-RO"/>
        </w:rPr>
        <w:t xml:space="preserve">dintre aceștia </w:t>
      </w:r>
      <w:r w:rsidR="004A754B" w:rsidRPr="00BD050E">
        <w:rPr>
          <w:rFonts w:asciiTheme="majorHAnsi" w:eastAsia="Calibri" w:hAnsiTheme="majorHAnsi" w:cstheme="majorHAnsi"/>
          <w:b/>
          <w:bCs/>
          <w:color w:val="000000" w:themeColor="text1"/>
          <w:sz w:val="24"/>
          <w:szCs w:val="24"/>
          <w:lang w:val="ro-RO"/>
        </w:rPr>
        <w:t>a</w:t>
      </w:r>
      <w:r w:rsidR="00A2062B" w:rsidRPr="00BD050E">
        <w:rPr>
          <w:rFonts w:asciiTheme="majorHAnsi" w:eastAsia="Calibri" w:hAnsiTheme="majorHAnsi" w:cstheme="majorHAnsi"/>
          <w:b/>
          <w:bCs/>
          <w:color w:val="000000" w:themeColor="text1"/>
          <w:sz w:val="24"/>
          <w:szCs w:val="24"/>
          <w:lang w:val="ro-RO"/>
        </w:rPr>
        <w:t xml:space="preserve"> fost debursa</w:t>
      </w:r>
      <w:r w:rsidR="004A754B" w:rsidRPr="00BD050E">
        <w:rPr>
          <w:rFonts w:asciiTheme="majorHAnsi" w:eastAsia="Calibri" w:hAnsiTheme="majorHAnsi" w:cstheme="majorHAnsi"/>
          <w:b/>
          <w:bCs/>
          <w:color w:val="000000" w:themeColor="text1"/>
          <w:sz w:val="24"/>
          <w:szCs w:val="24"/>
          <w:lang w:val="ro-RO"/>
        </w:rPr>
        <w:t>t</w:t>
      </w:r>
      <w:r w:rsidR="00E85A97" w:rsidRPr="00BD050E">
        <w:rPr>
          <w:rStyle w:val="FootnoteReference"/>
          <w:rFonts w:asciiTheme="majorHAnsi" w:eastAsia="Calibri" w:hAnsiTheme="majorHAnsi" w:cstheme="majorHAnsi"/>
          <w:b/>
          <w:bCs/>
          <w:color w:val="000000" w:themeColor="text1"/>
          <w:sz w:val="24"/>
          <w:szCs w:val="24"/>
          <w:lang w:val="ro-RO"/>
        </w:rPr>
        <w:footnoteReference w:id="6"/>
      </w:r>
      <w:r w:rsidR="00A2062B" w:rsidRPr="00BD050E">
        <w:rPr>
          <w:rFonts w:asciiTheme="majorHAnsi" w:eastAsia="Calibri" w:hAnsiTheme="majorHAnsi" w:cstheme="majorHAnsi"/>
          <w:b/>
          <w:bCs/>
          <w:color w:val="000000" w:themeColor="text1"/>
          <w:sz w:val="24"/>
          <w:szCs w:val="24"/>
          <w:lang w:val="ro-RO"/>
        </w:rPr>
        <w:t xml:space="preserve">, </w:t>
      </w:r>
      <w:r w:rsidR="00F16438" w:rsidRPr="00BD050E">
        <w:rPr>
          <w:rFonts w:asciiTheme="majorHAnsi" w:eastAsia="Calibri" w:hAnsiTheme="majorHAnsi" w:cstheme="majorHAnsi"/>
          <w:b/>
          <w:bCs/>
          <w:color w:val="000000" w:themeColor="text1"/>
          <w:sz w:val="24"/>
          <w:szCs w:val="24"/>
          <w:lang w:val="ro-RO"/>
        </w:rPr>
        <w:t>iar</w:t>
      </w:r>
      <w:r w:rsidRPr="00BD050E">
        <w:rPr>
          <w:rFonts w:asciiTheme="majorHAnsi" w:eastAsia="Calibri" w:hAnsiTheme="majorHAnsi" w:cstheme="majorHAnsi"/>
          <w:b/>
          <w:bCs/>
          <w:color w:val="000000" w:themeColor="text1"/>
          <w:sz w:val="24"/>
          <w:szCs w:val="24"/>
          <w:lang w:val="ro-RO"/>
        </w:rPr>
        <w:t xml:space="preserve"> </w:t>
      </w:r>
      <w:r w:rsidR="004A754B" w:rsidRPr="00BD050E">
        <w:rPr>
          <w:rFonts w:asciiTheme="majorHAnsi" w:eastAsia="Calibri" w:hAnsiTheme="majorHAnsi" w:cstheme="majorHAnsi"/>
          <w:b/>
          <w:bCs/>
          <w:color w:val="000000" w:themeColor="text1"/>
          <w:sz w:val="24"/>
          <w:szCs w:val="24"/>
          <w:lang w:val="ro-RO"/>
        </w:rPr>
        <w:t xml:space="preserve">ceilalți </w:t>
      </w:r>
      <w:r w:rsidRPr="00BD050E">
        <w:rPr>
          <w:rFonts w:asciiTheme="majorHAnsi" w:eastAsia="Calibri" w:hAnsiTheme="majorHAnsi" w:cstheme="majorHAnsi"/>
          <w:b/>
          <w:bCs/>
          <w:color w:val="000000" w:themeColor="text1"/>
          <w:sz w:val="24"/>
          <w:szCs w:val="24"/>
          <w:lang w:val="ro-RO"/>
        </w:rPr>
        <w:t>nu a</w:t>
      </w:r>
      <w:r w:rsidR="004A754B" w:rsidRPr="00BD050E">
        <w:rPr>
          <w:rFonts w:asciiTheme="majorHAnsi" w:eastAsia="Calibri" w:hAnsiTheme="majorHAnsi" w:cstheme="majorHAnsi"/>
          <w:b/>
          <w:bCs/>
          <w:color w:val="000000" w:themeColor="text1"/>
          <w:sz w:val="24"/>
          <w:szCs w:val="24"/>
          <w:lang w:val="ro-RO"/>
        </w:rPr>
        <w:t>u fost atinși/validați</w:t>
      </w:r>
      <w:r w:rsidR="00C74CE1" w:rsidRPr="00BD050E">
        <w:rPr>
          <w:rStyle w:val="FootnoteReference"/>
          <w:rFonts w:asciiTheme="majorHAnsi" w:eastAsia="Calibri" w:hAnsiTheme="majorHAnsi" w:cstheme="majorHAnsi"/>
          <w:b/>
          <w:bCs/>
          <w:color w:val="000000" w:themeColor="text1"/>
          <w:sz w:val="24"/>
          <w:szCs w:val="24"/>
          <w:lang w:val="ro-RO"/>
        </w:rPr>
        <w:footnoteReference w:id="7"/>
      </w:r>
      <w:r w:rsidR="00AA486E" w:rsidRPr="00BD050E">
        <w:rPr>
          <w:rFonts w:asciiTheme="majorHAnsi" w:eastAsia="Calibri" w:hAnsiTheme="majorHAnsi" w:cstheme="majorHAnsi"/>
          <w:b/>
          <w:bCs/>
          <w:color w:val="000000" w:themeColor="text1"/>
          <w:sz w:val="24"/>
          <w:szCs w:val="24"/>
          <w:lang w:val="ro-RO"/>
        </w:rPr>
        <w:t>,</w:t>
      </w:r>
      <w:r w:rsidRPr="00BD050E">
        <w:rPr>
          <w:rFonts w:asciiTheme="majorHAnsi" w:eastAsia="Calibri" w:hAnsiTheme="majorHAnsi" w:cstheme="majorHAnsi"/>
          <w:b/>
          <w:bCs/>
          <w:color w:val="000000" w:themeColor="text1"/>
          <w:sz w:val="24"/>
          <w:szCs w:val="24"/>
          <w:lang w:val="ro-RO"/>
        </w:rPr>
        <w:t xml:space="preserve"> pentru </w:t>
      </w:r>
      <w:r w:rsidR="00601BF8" w:rsidRPr="00BD050E">
        <w:rPr>
          <w:rFonts w:asciiTheme="majorHAnsi" w:eastAsia="Calibri" w:hAnsiTheme="majorHAnsi" w:cstheme="majorHAnsi"/>
          <w:b/>
          <w:bCs/>
          <w:color w:val="000000" w:themeColor="text1"/>
          <w:sz w:val="24"/>
          <w:szCs w:val="24"/>
          <w:lang w:val="ro-RO"/>
        </w:rPr>
        <w:t xml:space="preserve">motivul </w:t>
      </w:r>
      <w:r w:rsidRPr="00BD050E">
        <w:rPr>
          <w:rFonts w:asciiTheme="majorHAnsi" w:eastAsia="Calibri" w:hAnsiTheme="majorHAnsi" w:cstheme="majorHAnsi"/>
          <w:b/>
          <w:bCs/>
          <w:color w:val="000000" w:themeColor="text1"/>
          <w:sz w:val="24"/>
          <w:szCs w:val="24"/>
          <w:lang w:val="ro-RO"/>
        </w:rPr>
        <w:t>c</w:t>
      </w:r>
      <w:r w:rsidR="00601BF8" w:rsidRPr="00BD050E">
        <w:rPr>
          <w:rFonts w:asciiTheme="majorHAnsi" w:eastAsia="Calibri" w:hAnsiTheme="majorHAnsi" w:cstheme="majorHAnsi"/>
          <w:b/>
          <w:bCs/>
          <w:color w:val="000000" w:themeColor="text1"/>
          <w:sz w:val="24"/>
          <w:szCs w:val="24"/>
          <w:lang w:val="ro-RO"/>
        </w:rPr>
        <w:t>ă</w:t>
      </w:r>
      <w:r w:rsidRPr="00BD050E">
        <w:rPr>
          <w:rFonts w:asciiTheme="majorHAnsi" w:eastAsia="Calibri" w:hAnsiTheme="majorHAnsi" w:cstheme="majorHAnsi"/>
          <w:b/>
          <w:bCs/>
          <w:color w:val="000000" w:themeColor="text1"/>
          <w:sz w:val="24"/>
          <w:szCs w:val="24"/>
          <w:lang w:val="ro-RO"/>
        </w:rPr>
        <w:t xml:space="preserve"> nu s-au acordat mijloace financiare</w:t>
      </w:r>
      <w:r w:rsidR="004A754B" w:rsidRPr="00BD050E">
        <w:rPr>
          <w:rFonts w:asciiTheme="majorHAnsi" w:eastAsia="Calibri" w:hAnsiTheme="majorHAnsi" w:cstheme="majorHAnsi"/>
          <w:b/>
          <w:bCs/>
          <w:color w:val="000000" w:themeColor="text1"/>
          <w:sz w:val="24"/>
          <w:szCs w:val="24"/>
          <w:lang w:val="ro-RO"/>
        </w:rPr>
        <w:t xml:space="preserve">, </w:t>
      </w:r>
      <w:r w:rsidR="00796782" w:rsidRPr="00BD050E">
        <w:rPr>
          <w:rFonts w:asciiTheme="majorHAnsi" w:eastAsia="Calibri" w:hAnsiTheme="majorHAnsi" w:cstheme="majorHAnsi"/>
          <w:b/>
          <w:bCs/>
          <w:color w:val="000000" w:themeColor="text1"/>
          <w:sz w:val="24"/>
          <w:szCs w:val="24"/>
          <w:lang w:val="ro-RO"/>
        </w:rPr>
        <w:t xml:space="preserve">astfel </w:t>
      </w:r>
      <w:r w:rsidR="004A754B" w:rsidRPr="00BD050E">
        <w:rPr>
          <w:rFonts w:asciiTheme="majorHAnsi" w:eastAsia="Calibri" w:hAnsiTheme="majorHAnsi" w:cstheme="majorHAnsi"/>
          <w:b/>
          <w:bCs/>
          <w:color w:val="000000" w:themeColor="text1"/>
          <w:sz w:val="24"/>
          <w:szCs w:val="24"/>
          <w:lang w:val="ro-RO"/>
        </w:rPr>
        <w:t xml:space="preserve">fiind extinsă perioada de implementare și </w:t>
      </w:r>
      <w:r w:rsidR="00601BF8" w:rsidRPr="00BD050E">
        <w:rPr>
          <w:rFonts w:asciiTheme="majorHAnsi" w:eastAsia="Calibri" w:hAnsiTheme="majorHAnsi" w:cstheme="majorHAnsi"/>
          <w:b/>
          <w:bCs/>
          <w:color w:val="000000" w:themeColor="text1"/>
          <w:sz w:val="24"/>
          <w:szCs w:val="24"/>
          <w:lang w:val="ro-RO"/>
        </w:rPr>
        <w:t>pentru</w:t>
      </w:r>
      <w:r w:rsidR="004A754B" w:rsidRPr="00BD050E">
        <w:rPr>
          <w:rFonts w:asciiTheme="majorHAnsi" w:eastAsia="Calibri" w:hAnsiTheme="majorHAnsi" w:cstheme="majorHAnsi"/>
          <w:b/>
          <w:bCs/>
          <w:color w:val="000000" w:themeColor="text1"/>
          <w:sz w:val="24"/>
          <w:szCs w:val="24"/>
          <w:lang w:val="ro-RO"/>
        </w:rPr>
        <w:t xml:space="preserve"> anul 2022.</w:t>
      </w:r>
    </w:p>
    <w:p w14:paraId="0E558E07" w14:textId="515FC525" w:rsidR="00F94462" w:rsidRPr="00BD050E" w:rsidRDefault="005B0749" w:rsidP="00A26C34">
      <w:pPr>
        <w:tabs>
          <w:tab w:val="left" w:pos="720"/>
        </w:tabs>
        <w:spacing w:after="0" w:line="276" w:lineRule="auto"/>
        <w:ind w:right="-29"/>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Potrivit</w:t>
      </w:r>
      <w:r w:rsidR="00F94462" w:rsidRPr="00BD050E">
        <w:rPr>
          <w:rFonts w:asciiTheme="majorHAnsi" w:hAnsiTheme="majorHAnsi" w:cstheme="majorHAnsi"/>
          <w:color w:val="000000" w:themeColor="text1"/>
          <w:sz w:val="24"/>
          <w:szCs w:val="24"/>
          <w:lang w:val="ro-RO"/>
        </w:rPr>
        <w:t xml:space="preserve"> Acordului de finanțare dintre Republica Moldova și Asociația Internațională pentru Dezvoltare, Operațiunea </w:t>
      </w:r>
      <w:r w:rsidR="00FF60FF" w:rsidRPr="00BD050E">
        <w:rPr>
          <w:rFonts w:asciiTheme="majorHAnsi" w:hAnsiTheme="majorHAnsi" w:cstheme="majorHAnsi"/>
          <w:color w:val="000000" w:themeColor="text1"/>
          <w:sz w:val="24"/>
          <w:szCs w:val="24"/>
          <w:lang w:val="ro-RO"/>
        </w:rPr>
        <w:t>„</w:t>
      </w:r>
      <w:r w:rsidR="00F94462" w:rsidRPr="00BD050E">
        <w:rPr>
          <w:rFonts w:asciiTheme="majorHAnsi" w:hAnsiTheme="majorHAnsi" w:cstheme="majorHAnsi"/>
          <w:color w:val="000000" w:themeColor="text1"/>
          <w:sz w:val="24"/>
          <w:szCs w:val="24"/>
          <w:lang w:val="ro-RO"/>
        </w:rPr>
        <w:t xml:space="preserve">Modernizarea sectorului sănătății </w:t>
      </w:r>
      <w:r w:rsidR="00FF60FF" w:rsidRPr="00BD050E">
        <w:rPr>
          <w:rFonts w:asciiTheme="majorHAnsi" w:hAnsiTheme="majorHAnsi" w:cstheme="majorHAnsi"/>
          <w:color w:val="000000" w:themeColor="text1"/>
          <w:sz w:val="24"/>
          <w:szCs w:val="24"/>
          <w:lang w:val="ro-RO"/>
        </w:rPr>
        <w:t xml:space="preserve">în Republica Moldova” </w:t>
      </w:r>
      <w:r w:rsidR="00F94462" w:rsidRPr="00BD050E">
        <w:rPr>
          <w:rFonts w:asciiTheme="majorHAnsi" w:hAnsiTheme="majorHAnsi" w:cstheme="majorHAnsi"/>
          <w:color w:val="000000" w:themeColor="text1"/>
          <w:sz w:val="24"/>
          <w:szCs w:val="24"/>
          <w:lang w:val="ro-RO"/>
        </w:rPr>
        <w:t xml:space="preserve">urma a fi realizată în termen de 5 ani, data încheierii fiind </w:t>
      </w:r>
      <w:r w:rsidR="00B75CF0" w:rsidRPr="00BD050E">
        <w:rPr>
          <w:rFonts w:asciiTheme="majorHAnsi" w:hAnsiTheme="majorHAnsi" w:cstheme="majorHAnsi"/>
          <w:color w:val="000000" w:themeColor="text1"/>
          <w:sz w:val="24"/>
          <w:szCs w:val="24"/>
          <w:lang w:val="ro-RO"/>
        </w:rPr>
        <w:t xml:space="preserve">stabilită </w:t>
      </w:r>
      <w:r w:rsidR="00F94462" w:rsidRPr="00BD050E">
        <w:rPr>
          <w:rFonts w:asciiTheme="majorHAnsi" w:hAnsiTheme="majorHAnsi" w:cstheme="majorHAnsi"/>
          <w:color w:val="000000" w:themeColor="text1"/>
          <w:sz w:val="24"/>
          <w:szCs w:val="24"/>
          <w:lang w:val="ro-RO"/>
        </w:rPr>
        <w:t>30 martie 2019. Conform Notei de Memoriu din octombrie 2018, pentru a asigura realizarea tuturor indicatorilor legați de debursare, precum și absorbția integrală a mijloacelor creditare, a fost acceptată extinderea termenului de realizare cu 21 de luni, până la 31 decembrie 2020.</w:t>
      </w:r>
      <w:r w:rsidR="00F94462" w:rsidRPr="00BD050E">
        <w:rPr>
          <w:rFonts w:asciiTheme="majorHAnsi" w:eastAsia="Times New Roman" w:hAnsiTheme="majorHAnsi" w:cstheme="majorHAnsi"/>
          <w:i/>
          <w:color w:val="000000" w:themeColor="text1"/>
          <w:sz w:val="24"/>
          <w:szCs w:val="24"/>
          <w:lang w:val="ro-RO"/>
        </w:rPr>
        <w:t xml:space="preserve"> </w:t>
      </w:r>
      <w:r w:rsidR="00F94462" w:rsidRPr="00BD050E">
        <w:rPr>
          <w:rFonts w:asciiTheme="majorHAnsi" w:eastAsia="Times New Roman" w:hAnsiTheme="majorHAnsi" w:cstheme="majorHAnsi"/>
          <w:color w:val="000000" w:themeColor="text1"/>
          <w:sz w:val="24"/>
          <w:szCs w:val="24"/>
          <w:lang w:val="ro-RO"/>
        </w:rPr>
        <w:t>Ulterior</w:t>
      </w:r>
      <w:r w:rsidR="00F94462" w:rsidRPr="00BD050E">
        <w:rPr>
          <w:rFonts w:asciiTheme="majorHAnsi" w:eastAsia="Times New Roman" w:hAnsiTheme="majorHAnsi" w:cstheme="majorHAnsi"/>
          <w:i/>
          <w:color w:val="000000" w:themeColor="text1"/>
          <w:sz w:val="24"/>
          <w:szCs w:val="24"/>
          <w:lang w:val="ro-RO"/>
        </w:rPr>
        <w:t xml:space="preserve">, </w:t>
      </w:r>
      <w:r w:rsidR="00F94462" w:rsidRPr="00BD050E">
        <w:rPr>
          <w:rFonts w:asciiTheme="majorHAnsi" w:hAnsiTheme="majorHAnsi" w:cstheme="majorHAnsi"/>
          <w:color w:val="000000" w:themeColor="text1"/>
          <w:sz w:val="24"/>
          <w:szCs w:val="24"/>
          <w:lang w:val="ro-RO"/>
        </w:rPr>
        <w:t>Banca Mondială, la solicitarea Ministerului Finanțelor</w:t>
      </w:r>
      <w:r w:rsidR="00C74CE1" w:rsidRPr="00BD050E">
        <w:rPr>
          <w:rStyle w:val="FootnoteReference"/>
          <w:rFonts w:asciiTheme="majorHAnsi" w:hAnsiTheme="majorHAnsi" w:cstheme="majorHAnsi"/>
          <w:color w:val="000000" w:themeColor="text1"/>
          <w:sz w:val="24"/>
          <w:szCs w:val="24"/>
          <w:lang w:val="ro-RO"/>
        </w:rPr>
        <w:footnoteReference w:id="8"/>
      </w:r>
      <w:r w:rsidR="00F94462" w:rsidRPr="00BD050E">
        <w:rPr>
          <w:rFonts w:asciiTheme="majorHAnsi" w:hAnsiTheme="majorHAnsi" w:cstheme="majorHAnsi"/>
          <w:color w:val="000000" w:themeColor="text1"/>
          <w:sz w:val="24"/>
          <w:szCs w:val="24"/>
          <w:lang w:val="ro-RO"/>
        </w:rPr>
        <w:t>, a extins termen</w:t>
      </w:r>
      <w:r w:rsidRPr="00BD050E">
        <w:rPr>
          <w:rFonts w:asciiTheme="majorHAnsi" w:hAnsiTheme="majorHAnsi" w:cstheme="majorHAnsi"/>
          <w:color w:val="000000" w:themeColor="text1"/>
          <w:sz w:val="24"/>
          <w:szCs w:val="24"/>
          <w:lang w:val="ro-RO"/>
        </w:rPr>
        <w:t>ul</w:t>
      </w:r>
      <w:r w:rsidR="00F94462" w:rsidRPr="00BD050E">
        <w:rPr>
          <w:rFonts w:asciiTheme="majorHAnsi" w:hAnsiTheme="majorHAnsi" w:cstheme="majorHAnsi"/>
          <w:color w:val="000000" w:themeColor="text1"/>
          <w:sz w:val="24"/>
          <w:szCs w:val="24"/>
          <w:lang w:val="ro-RO"/>
        </w:rPr>
        <w:t xml:space="preserve"> de implementare a Acordului până la 31 decembrie 2021, fără a modifica periodicitatea prezentării rapoartelor de monitorizare și evaluare a implementării Acordului și/sau organizării reuniunilor </w:t>
      </w:r>
      <w:r w:rsidRPr="00BD050E">
        <w:rPr>
          <w:rFonts w:asciiTheme="majorHAnsi" w:hAnsiTheme="majorHAnsi" w:cstheme="majorHAnsi"/>
          <w:color w:val="000000" w:themeColor="text1"/>
          <w:sz w:val="24"/>
          <w:szCs w:val="24"/>
          <w:lang w:val="ro-RO"/>
        </w:rPr>
        <w:t>C</w:t>
      </w:r>
      <w:r w:rsidR="00F94462" w:rsidRPr="00BD050E">
        <w:rPr>
          <w:rFonts w:asciiTheme="majorHAnsi" w:hAnsiTheme="majorHAnsi" w:cstheme="majorHAnsi"/>
          <w:color w:val="000000" w:themeColor="text1"/>
          <w:sz w:val="24"/>
          <w:szCs w:val="24"/>
          <w:lang w:val="ro-RO"/>
        </w:rPr>
        <w:t>omitetului de monitorizare a implementării acestuia.</w:t>
      </w:r>
    </w:p>
    <w:p w14:paraId="03366ADA" w14:textId="3BAE41CD" w:rsidR="00A26C34" w:rsidRPr="00BD050E" w:rsidRDefault="00A26C34" w:rsidP="00A26C34">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Prevederile Acordului de finanțare</w:t>
      </w:r>
      <w:r w:rsidRPr="00BD050E">
        <w:rPr>
          <w:rFonts w:asciiTheme="majorHAnsi" w:eastAsia="Calibri" w:hAnsiTheme="majorHAnsi" w:cstheme="majorHAnsi"/>
          <w:color w:val="000000" w:themeColor="text1"/>
          <w:sz w:val="24"/>
          <w:szCs w:val="24"/>
          <w:vertAlign w:val="superscript"/>
          <w:lang w:val="ro-RO"/>
        </w:rPr>
        <w:footnoteReference w:id="9"/>
      </w:r>
      <w:r w:rsidRPr="00BD050E">
        <w:rPr>
          <w:rFonts w:asciiTheme="majorHAnsi" w:eastAsia="Calibri" w:hAnsiTheme="majorHAnsi" w:cstheme="majorHAnsi"/>
          <w:color w:val="000000" w:themeColor="text1"/>
          <w:sz w:val="24"/>
          <w:szCs w:val="24"/>
          <w:lang w:val="ro-RO"/>
        </w:rPr>
        <w:t xml:space="preserve"> pentru debursarea mijloacelor financiare ale Programului  stabilesc rezultate</w:t>
      </w:r>
      <w:r w:rsidR="00072178"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care urmează a fi realizate de MS și CNAM (Anexele nr. 1, nr.6, nr. 7), fiind măsurate prin indicator</w:t>
      </w:r>
      <w:r w:rsidR="005719BF" w:rsidRPr="00BD050E">
        <w:rPr>
          <w:rFonts w:asciiTheme="majorHAnsi" w:eastAsia="Calibri" w:hAnsiTheme="majorHAnsi" w:cstheme="majorHAnsi"/>
          <w:color w:val="000000" w:themeColor="text1"/>
          <w:sz w:val="24"/>
          <w:szCs w:val="24"/>
          <w:lang w:val="ro-RO"/>
        </w:rPr>
        <w:t>i specifici legați de debursări</w:t>
      </w:r>
      <w:r w:rsidRPr="00BD050E">
        <w:rPr>
          <w:rFonts w:asciiTheme="majorHAnsi" w:eastAsia="Calibri" w:hAnsiTheme="majorHAnsi" w:cstheme="majorHAnsi"/>
          <w:color w:val="000000" w:themeColor="text1"/>
          <w:sz w:val="24"/>
          <w:szCs w:val="24"/>
          <w:lang w:val="ro-RO"/>
        </w:rPr>
        <w:t>. Se menționează că cota de finanțare alocată fiecărui indicator corespunde nivelului de efort necesar pentru realizarea acestuia, fiind evidențiat rolul în atinger</w:t>
      </w:r>
      <w:r w:rsidR="00444404" w:rsidRPr="00BD050E">
        <w:rPr>
          <w:rFonts w:asciiTheme="majorHAnsi" w:eastAsia="Calibri" w:hAnsiTheme="majorHAnsi" w:cstheme="majorHAnsi"/>
          <w:color w:val="000000" w:themeColor="text1"/>
          <w:sz w:val="24"/>
          <w:szCs w:val="24"/>
          <w:lang w:val="ro-RO"/>
        </w:rPr>
        <w:t>ea</w:t>
      </w:r>
      <w:r w:rsidRPr="00BD050E">
        <w:rPr>
          <w:rFonts w:asciiTheme="majorHAnsi" w:eastAsia="Calibri" w:hAnsiTheme="majorHAnsi" w:cstheme="majorHAnsi"/>
          <w:color w:val="000000" w:themeColor="text1"/>
          <w:sz w:val="24"/>
          <w:szCs w:val="24"/>
          <w:lang w:val="ro-RO"/>
        </w:rPr>
        <w:t xml:space="preserve"> obiectivului de dezvoltare al Operațiunii. Astfel, fondurile creditului se debursează de către Ministerul Finanțelor în funcție de nivelul de îndeplinire de către părțile implicate a indicatorilor aferenți debursărilor. </w:t>
      </w:r>
    </w:p>
    <w:p w14:paraId="383F671A" w14:textId="4496B5C5" w:rsidR="0086533E" w:rsidRPr="00BD050E" w:rsidRDefault="000B4C5A" w:rsidP="0086533E">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Analiza de audit denotă că</w:t>
      </w:r>
      <w:r w:rsidR="006D5691"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prin Legea bugetului </w:t>
      </w:r>
      <w:r w:rsidR="006D5691" w:rsidRPr="00BD050E">
        <w:rPr>
          <w:rFonts w:asciiTheme="majorHAnsi" w:eastAsia="Calibri" w:hAnsiTheme="majorHAnsi" w:cstheme="majorHAnsi"/>
          <w:color w:val="000000" w:themeColor="text1"/>
          <w:sz w:val="24"/>
          <w:szCs w:val="24"/>
          <w:lang w:val="ro-RO"/>
        </w:rPr>
        <w:t xml:space="preserve">de stat </w:t>
      </w:r>
      <w:r w:rsidRPr="00BD050E">
        <w:rPr>
          <w:rFonts w:asciiTheme="majorHAnsi" w:eastAsia="Calibri" w:hAnsiTheme="majorHAnsi" w:cstheme="majorHAnsi"/>
          <w:color w:val="000000" w:themeColor="text1"/>
          <w:sz w:val="24"/>
          <w:szCs w:val="24"/>
          <w:lang w:val="ro-RO"/>
        </w:rPr>
        <w:t>pentru anul 2021</w:t>
      </w:r>
      <w:r w:rsidRPr="00BD050E">
        <w:rPr>
          <w:rStyle w:val="FootnoteReference"/>
          <w:rFonts w:asciiTheme="majorHAnsi" w:eastAsia="Calibri" w:hAnsiTheme="majorHAnsi" w:cstheme="majorHAnsi"/>
          <w:color w:val="000000" w:themeColor="text1"/>
          <w:sz w:val="24"/>
          <w:szCs w:val="24"/>
          <w:lang w:val="ro-RO"/>
        </w:rPr>
        <w:footnoteReference w:id="10"/>
      </w:r>
      <w:r w:rsidR="006D5691"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pentru </w:t>
      </w:r>
      <w:r w:rsidR="00202E7D" w:rsidRPr="00BD050E">
        <w:rPr>
          <w:rFonts w:asciiTheme="majorHAnsi" w:eastAsia="Calibri" w:hAnsiTheme="majorHAnsi" w:cstheme="majorHAnsi"/>
          <w:color w:val="000000" w:themeColor="text1"/>
          <w:sz w:val="24"/>
          <w:szCs w:val="24"/>
          <w:lang w:val="ro-RO"/>
        </w:rPr>
        <w:t>P</w:t>
      </w:r>
      <w:r w:rsidRPr="00BD050E">
        <w:rPr>
          <w:rFonts w:asciiTheme="majorHAnsi" w:eastAsia="Calibri" w:hAnsiTheme="majorHAnsi" w:cstheme="majorHAnsi"/>
          <w:color w:val="000000" w:themeColor="text1"/>
          <w:sz w:val="24"/>
          <w:szCs w:val="24"/>
          <w:lang w:val="ro-RO"/>
        </w:rPr>
        <w:t xml:space="preserve">roiectul </w:t>
      </w:r>
      <w:r w:rsidR="00202E7D"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Modernizarea sectorului sănătății</w:t>
      </w:r>
      <w:r w:rsidR="00202E7D" w:rsidRPr="00BD050E">
        <w:rPr>
          <w:rFonts w:asciiTheme="majorHAnsi" w:eastAsia="Calibri" w:hAnsiTheme="majorHAnsi" w:cstheme="majorHAnsi"/>
          <w:color w:val="000000" w:themeColor="text1"/>
          <w:sz w:val="24"/>
          <w:szCs w:val="24"/>
          <w:lang w:val="ro-RO"/>
        </w:rPr>
        <w:t xml:space="preserve"> în Republica Moldova”</w:t>
      </w:r>
      <w:r w:rsidRPr="00BD050E">
        <w:rPr>
          <w:rFonts w:asciiTheme="majorHAnsi" w:eastAsia="Calibri" w:hAnsiTheme="majorHAnsi" w:cstheme="majorHAnsi"/>
          <w:color w:val="000000" w:themeColor="text1"/>
          <w:sz w:val="24"/>
          <w:szCs w:val="24"/>
          <w:lang w:val="ro-RO"/>
        </w:rPr>
        <w:t xml:space="preserve">, </w:t>
      </w:r>
      <w:r w:rsidR="0086533E" w:rsidRPr="00BD050E">
        <w:rPr>
          <w:rFonts w:asciiTheme="majorHAnsi" w:eastAsia="Calibri" w:hAnsiTheme="majorHAnsi" w:cstheme="majorHAnsi"/>
          <w:color w:val="000000" w:themeColor="text1"/>
          <w:sz w:val="24"/>
          <w:szCs w:val="24"/>
          <w:lang w:val="ro-RO"/>
        </w:rPr>
        <w:t xml:space="preserve">nu au fost </w:t>
      </w:r>
      <w:r w:rsidR="00DE1472" w:rsidRPr="00BD050E">
        <w:rPr>
          <w:rFonts w:asciiTheme="majorHAnsi" w:eastAsia="Calibri" w:hAnsiTheme="majorHAnsi" w:cstheme="majorHAnsi"/>
          <w:color w:val="000000" w:themeColor="text1"/>
          <w:sz w:val="24"/>
          <w:szCs w:val="24"/>
          <w:lang w:val="ro-RO"/>
        </w:rPr>
        <w:t xml:space="preserve">înaintate </w:t>
      </w:r>
      <w:r w:rsidR="0086533E" w:rsidRPr="00BD050E">
        <w:rPr>
          <w:rFonts w:asciiTheme="majorHAnsi" w:eastAsia="Calibri" w:hAnsiTheme="majorHAnsi" w:cstheme="majorHAnsi"/>
          <w:color w:val="000000" w:themeColor="text1"/>
          <w:sz w:val="24"/>
          <w:szCs w:val="24"/>
          <w:lang w:val="ro-RO"/>
        </w:rPr>
        <w:t xml:space="preserve">propuneri de buget </w:t>
      </w:r>
      <w:r w:rsidR="00DE1472" w:rsidRPr="00BD050E">
        <w:rPr>
          <w:rFonts w:asciiTheme="majorHAnsi" w:eastAsia="Calibri" w:hAnsiTheme="majorHAnsi" w:cstheme="majorHAnsi"/>
          <w:color w:val="000000" w:themeColor="text1"/>
          <w:sz w:val="24"/>
          <w:szCs w:val="24"/>
          <w:lang w:val="ro-RO"/>
        </w:rPr>
        <w:t>ș</w:t>
      </w:r>
      <w:r w:rsidR="0086533E" w:rsidRPr="00BD050E">
        <w:rPr>
          <w:rFonts w:asciiTheme="majorHAnsi" w:eastAsia="Calibri" w:hAnsiTheme="majorHAnsi" w:cstheme="majorHAnsi"/>
          <w:color w:val="000000" w:themeColor="text1"/>
          <w:sz w:val="24"/>
          <w:szCs w:val="24"/>
          <w:lang w:val="ro-RO"/>
        </w:rPr>
        <w:t>i</w:t>
      </w:r>
      <w:r w:rsidR="006D5691" w:rsidRPr="00BD050E">
        <w:rPr>
          <w:rFonts w:asciiTheme="majorHAnsi" w:eastAsia="Calibri" w:hAnsiTheme="majorHAnsi" w:cstheme="majorHAnsi"/>
          <w:color w:val="000000" w:themeColor="text1"/>
          <w:sz w:val="24"/>
          <w:szCs w:val="24"/>
          <w:lang w:val="ro-RO"/>
        </w:rPr>
        <w:t>,</w:t>
      </w:r>
      <w:r w:rsidR="0086533E" w:rsidRPr="00BD050E">
        <w:rPr>
          <w:rFonts w:asciiTheme="majorHAnsi" w:eastAsia="Calibri" w:hAnsiTheme="majorHAnsi" w:cstheme="majorHAnsi"/>
          <w:color w:val="000000" w:themeColor="text1"/>
          <w:sz w:val="24"/>
          <w:szCs w:val="24"/>
          <w:lang w:val="ro-RO"/>
        </w:rPr>
        <w:t xml:space="preserve"> respectiv</w:t>
      </w:r>
      <w:r w:rsidR="006D5691" w:rsidRPr="00BD050E">
        <w:rPr>
          <w:rFonts w:asciiTheme="majorHAnsi" w:eastAsia="Calibri" w:hAnsiTheme="majorHAnsi" w:cstheme="majorHAnsi"/>
          <w:color w:val="000000" w:themeColor="text1"/>
          <w:sz w:val="24"/>
          <w:szCs w:val="24"/>
          <w:lang w:val="ro-RO"/>
        </w:rPr>
        <w:t>,</w:t>
      </w:r>
      <w:r w:rsidR="0086533E" w:rsidRPr="00BD050E">
        <w:rPr>
          <w:rFonts w:asciiTheme="majorHAnsi" w:eastAsia="Calibri" w:hAnsiTheme="majorHAnsi" w:cstheme="majorHAnsi"/>
          <w:color w:val="000000" w:themeColor="text1"/>
          <w:sz w:val="24"/>
          <w:szCs w:val="24"/>
          <w:lang w:val="ro-RO"/>
        </w:rPr>
        <w:t xml:space="preserve"> pentru anul 2021 nu au fost aprobate cheltuielile necesare, din motivul c</w:t>
      </w:r>
      <w:r w:rsidR="00DE1472" w:rsidRPr="00BD050E">
        <w:rPr>
          <w:rFonts w:asciiTheme="majorHAnsi" w:eastAsia="Calibri" w:hAnsiTheme="majorHAnsi" w:cstheme="majorHAnsi"/>
          <w:color w:val="000000" w:themeColor="text1"/>
          <w:sz w:val="24"/>
          <w:szCs w:val="24"/>
          <w:lang w:val="ro-RO"/>
        </w:rPr>
        <w:t>ă</w:t>
      </w:r>
      <w:r w:rsidR="0086533E" w:rsidRPr="00BD050E">
        <w:rPr>
          <w:rFonts w:asciiTheme="majorHAnsi" w:eastAsia="Calibri" w:hAnsiTheme="majorHAnsi" w:cstheme="majorHAnsi"/>
          <w:color w:val="000000" w:themeColor="text1"/>
          <w:sz w:val="24"/>
          <w:szCs w:val="24"/>
          <w:lang w:val="ro-RO"/>
        </w:rPr>
        <w:t xml:space="preserve"> inițial proiectul nominalizat urma a fi închis la 31 decembrie 2020. Respectiv, Ministerul Sănătății</w:t>
      </w:r>
      <w:r w:rsidR="006D5691" w:rsidRPr="00BD050E">
        <w:rPr>
          <w:rFonts w:asciiTheme="majorHAnsi" w:eastAsia="Calibri" w:hAnsiTheme="majorHAnsi" w:cstheme="majorHAnsi"/>
          <w:color w:val="000000" w:themeColor="text1"/>
          <w:sz w:val="24"/>
          <w:szCs w:val="24"/>
          <w:lang w:val="ro-RO"/>
        </w:rPr>
        <w:t>,</w:t>
      </w:r>
      <w:r w:rsidR="0086533E" w:rsidRPr="00BD050E">
        <w:rPr>
          <w:rFonts w:asciiTheme="majorHAnsi" w:eastAsia="Calibri" w:hAnsiTheme="majorHAnsi" w:cstheme="majorHAnsi"/>
          <w:color w:val="000000" w:themeColor="text1"/>
          <w:sz w:val="24"/>
          <w:szCs w:val="24"/>
          <w:lang w:val="ro-RO"/>
        </w:rPr>
        <w:t xml:space="preserve"> </w:t>
      </w:r>
      <w:r w:rsidR="00C321F8" w:rsidRPr="00BD050E">
        <w:rPr>
          <w:rFonts w:asciiTheme="majorHAnsi" w:eastAsia="Calibri" w:hAnsiTheme="majorHAnsi" w:cstheme="majorHAnsi"/>
          <w:color w:val="000000" w:themeColor="text1"/>
          <w:sz w:val="24"/>
          <w:szCs w:val="24"/>
          <w:lang w:val="ro-RO"/>
        </w:rPr>
        <w:t>Muncii și Protecției Sociale</w:t>
      </w:r>
      <w:r w:rsidR="006D5691" w:rsidRPr="00BD050E">
        <w:rPr>
          <w:rFonts w:asciiTheme="majorHAnsi" w:eastAsia="Calibri" w:hAnsiTheme="majorHAnsi" w:cstheme="majorHAnsi"/>
          <w:color w:val="000000" w:themeColor="text1"/>
          <w:sz w:val="24"/>
          <w:szCs w:val="24"/>
          <w:lang w:val="ro-RO"/>
        </w:rPr>
        <w:t>,</w:t>
      </w:r>
      <w:r w:rsidR="00C321F8" w:rsidRPr="00BD050E">
        <w:rPr>
          <w:rFonts w:asciiTheme="majorHAnsi" w:eastAsia="Calibri" w:hAnsiTheme="majorHAnsi" w:cstheme="majorHAnsi"/>
          <w:color w:val="000000" w:themeColor="text1"/>
          <w:sz w:val="24"/>
          <w:szCs w:val="24"/>
          <w:lang w:val="ro-RO"/>
        </w:rPr>
        <w:t xml:space="preserve"> </w:t>
      </w:r>
      <w:r w:rsidR="0086533E" w:rsidRPr="00BD050E">
        <w:rPr>
          <w:rFonts w:asciiTheme="majorHAnsi" w:eastAsia="Calibri" w:hAnsiTheme="majorHAnsi" w:cstheme="majorHAnsi"/>
          <w:color w:val="000000" w:themeColor="text1"/>
          <w:sz w:val="24"/>
          <w:szCs w:val="24"/>
          <w:lang w:val="ro-RO"/>
        </w:rPr>
        <w:t>conform scrisorii nr. 01/384 din 27.01.2021</w:t>
      </w:r>
      <w:r w:rsidR="006D5691" w:rsidRPr="00BD050E">
        <w:rPr>
          <w:rFonts w:asciiTheme="majorHAnsi" w:eastAsia="Calibri" w:hAnsiTheme="majorHAnsi" w:cstheme="majorHAnsi"/>
          <w:color w:val="000000" w:themeColor="text1"/>
          <w:sz w:val="24"/>
          <w:szCs w:val="24"/>
          <w:lang w:val="ro-RO"/>
        </w:rPr>
        <w:t>,</w:t>
      </w:r>
      <w:r w:rsidR="0086533E" w:rsidRPr="00BD050E">
        <w:rPr>
          <w:rFonts w:asciiTheme="majorHAnsi" w:eastAsia="Calibri" w:hAnsiTheme="majorHAnsi" w:cstheme="majorHAnsi"/>
          <w:color w:val="000000" w:themeColor="text1"/>
          <w:sz w:val="24"/>
          <w:szCs w:val="24"/>
          <w:lang w:val="ro-RO"/>
        </w:rPr>
        <w:t xml:space="preserve"> a solicitat Ministerului Finanțelor modificări la Legea bugetului </w:t>
      </w:r>
      <w:r w:rsidR="006D5691" w:rsidRPr="00BD050E">
        <w:rPr>
          <w:rFonts w:asciiTheme="majorHAnsi" w:eastAsia="Calibri" w:hAnsiTheme="majorHAnsi" w:cstheme="majorHAnsi"/>
          <w:color w:val="000000" w:themeColor="text1"/>
          <w:sz w:val="24"/>
          <w:szCs w:val="24"/>
          <w:lang w:val="ro-RO"/>
        </w:rPr>
        <w:t xml:space="preserve">de stat, </w:t>
      </w:r>
      <w:r w:rsidR="0086533E" w:rsidRPr="00BD050E">
        <w:rPr>
          <w:rFonts w:asciiTheme="majorHAnsi" w:eastAsia="Calibri" w:hAnsiTheme="majorHAnsi" w:cstheme="majorHAnsi"/>
          <w:color w:val="000000" w:themeColor="text1"/>
          <w:sz w:val="24"/>
          <w:szCs w:val="24"/>
          <w:lang w:val="ro-RO"/>
        </w:rPr>
        <w:t>cu includerea cheltuielilor respective. După mai multe negocieri cu Ministerul Finanțelor, a</w:t>
      </w:r>
      <w:r w:rsidR="006D5691" w:rsidRPr="00BD050E">
        <w:rPr>
          <w:rFonts w:asciiTheme="majorHAnsi" w:eastAsia="Calibri" w:hAnsiTheme="majorHAnsi" w:cstheme="majorHAnsi"/>
          <w:color w:val="000000" w:themeColor="text1"/>
          <w:sz w:val="24"/>
          <w:szCs w:val="24"/>
          <w:lang w:val="ro-RO"/>
        </w:rPr>
        <w:t>u</w:t>
      </w:r>
      <w:r w:rsidR="00DE1472" w:rsidRPr="00BD050E">
        <w:rPr>
          <w:rFonts w:asciiTheme="majorHAnsi" w:eastAsia="Calibri" w:hAnsiTheme="majorHAnsi" w:cstheme="majorHAnsi"/>
          <w:color w:val="000000" w:themeColor="text1"/>
          <w:sz w:val="24"/>
          <w:szCs w:val="24"/>
          <w:lang w:val="ro-RO"/>
        </w:rPr>
        <w:t xml:space="preserve"> fost </w:t>
      </w:r>
      <w:r w:rsidR="0086533E" w:rsidRPr="00BD050E">
        <w:rPr>
          <w:rFonts w:asciiTheme="majorHAnsi" w:eastAsia="Calibri" w:hAnsiTheme="majorHAnsi" w:cstheme="majorHAnsi"/>
          <w:color w:val="000000" w:themeColor="text1"/>
          <w:sz w:val="24"/>
          <w:szCs w:val="24"/>
          <w:lang w:val="ro-RO"/>
        </w:rPr>
        <w:t>ajustat</w:t>
      </w:r>
      <w:r w:rsidR="003C4968" w:rsidRPr="00BD050E">
        <w:rPr>
          <w:rFonts w:asciiTheme="majorHAnsi" w:eastAsia="Calibri" w:hAnsiTheme="majorHAnsi" w:cstheme="majorHAnsi"/>
          <w:color w:val="000000" w:themeColor="text1"/>
          <w:sz w:val="24"/>
          <w:szCs w:val="24"/>
          <w:lang w:val="ro-RO"/>
        </w:rPr>
        <w:t>e</w:t>
      </w:r>
      <w:r w:rsidR="0086533E" w:rsidRPr="00BD050E">
        <w:rPr>
          <w:rFonts w:asciiTheme="majorHAnsi" w:eastAsia="Calibri" w:hAnsiTheme="majorHAnsi" w:cstheme="majorHAnsi"/>
          <w:color w:val="000000" w:themeColor="text1"/>
          <w:sz w:val="24"/>
          <w:szCs w:val="24"/>
          <w:lang w:val="ro-RO"/>
        </w:rPr>
        <w:t xml:space="preserve"> în sistem modificările propuse</w:t>
      </w:r>
      <w:r w:rsidR="00C74CE1" w:rsidRPr="00BD050E">
        <w:rPr>
          <w:rFonts w:asciiTheme="majorHAnsi" w:eastAsia="Calibri" w:hAnsiTheme="majorHAnsi" w:cstheme="majorHAnsi"/>
          <w:color w:val="000000" w:themeColor="text1"/>
          <w:sz w:val="24"/>
          <w:szCs w:val="24"/>
          <w:lang w:val="ro-RO"/>
        </w:rPr>
        <w:t xml:space="preserve"> prin rectificarea bugetului</w:t>
      </w:r>
      <w:r w:rsidR="00F77C13" w:rsidRPr="00BD050E">
        <w:rPr>
          <w:rStyle w:val="FootnoteReference"/>
          <w:rFonts w:asciiTheme="majorHAnsi" w:eastAsia="Calibri" w:hAnsiTheme="majorHAnsi" w:cstheme="majorHAnsi"/>
          <w:color w:val="000000" w:themeColor="text1"/>
          <w:sz w:val="24"/>
          <w:szCs w:val="24"/>
          <w:lang w:val="ro-RO"/>
        </w:rPr>
        <w:footnoteReference w:id="11"/>
      </w:r>
      <w:r w:rsidR="003C4968" w:rsidRPr="00BD050E">
        <w:rPr>
          <w:rFonts w:asciiTheme="majorHAnsi" w:eastAsia="Calibri" w:hAnsiTheme="majorHAnsi" w:cstheme="majorHAnsi"/>
          <w:color w:val="000000" w:themeColor="text1"/>
          <w:sz w:val="24"/>
          <w:szCs w:val="24"/>
          <w:lang w:val="ro-RO"/>
        </w:rPr>
        <w:t>. T</w:t>
      </w:r>
      <w:r w:rsidR="0086533E" w:rsidRPr="00BD050E">
        <w:rPr>
          <w:rFonts w:asciiTheme="majorHAnsi" w:eastAsia="Calibri" w:hAnsiTheme="majorHAnsi" w:cstheme="majorHAnsi"/>
          <w:color w:val="000000" w:themeColor="text1"/>
          <w:sz w:val="24"/>
          <w:szCs w:val="24"/>
          <w:lang w:val="ro-RO"/>
        </w:rPr>
        <w:t>otodată</w:t>
      </w:r>
      <w:r w:rsidR="003C4968" w:rsidRPr="00BD050E">
        <w:rPr>
          <w:rFonts w:asciiTheme="majorHAnsi" w:eastAsia="Calibri" w:hAnsiTheme="majorHAnsi" w:cstheme="majorHAnsi"/>
          <w:color w:val="000000" w:themeColor="text1"/>
          <w:sz w:val="24"/>
          <w:szCs w:val="24"/>
          <w:lang w:val="ro-RO"/>
        </w:rPr>
        <w:t xml:space="preserve">, </w:t>
      </w:r>
      <w:r w:rsidR="0086533E" w:rsidRPr="00BD050E">
        <w:rPr>
          <w:rFonts w:asciiTheme="majorHAnsi" w:eastAsia="Calibri" w:hAnsiTheme="majorHAnsi" w:cstheme="majorHAnsi"/>
          <w:color w:val="000000" w:themeColor="text1"/>
          <w:sz w:val="24"/>
          <w:szCs w:val="24"/>
          <w:lang w:val="ro-RO"/>
        </w:rPr>
        <w:t xml:space="preserve"> a continuat înregistra</w:t>
      </w:r>
      <w:r w:rsidR="003E50CF" w:rsidRPr="00BD050E">
        <w:rPr>
          <w:rFonts w:asciiTheme="majorHAnsi" w:eastAsia="Calibri" w:hAnsiTheme="majorHAnsi" w:cstheme="majorHAnsi"/>
          <w:color w:val="000000" w:themeColor="text1"/>
          <w:sz w:val="24"/>
          <w:szCs w:val="24"/>
          <w:lang w:val="ro-RO"/>
        </w:rPr>
        <w:t>re</w:t>
      </w:r>
      <w:r w:rsidR="003C4968" w:rsidRPr="00BD050E">
        <w:rPr>
          <w:rFonts w:asciiTheme="majorHAnsi" w:eastAsia="Calibri" w:hAnsiTheme="majorHAnsi" w:cstheme="majorHAnsi"/>
          <w:color w:val="000000" w:themeColor="text1"/>
          <w:sz w:val="24"/>
          <w:szCs w:val="24"/>
          <w:lang w:val="ro-RO"/>
        </w:rPr>
        <w:t>a</w:t>
      </w:r>
      <w:r w:rsidR="0086533E" w:rsidRPr="00BD050E">
        <w:rPr>
          <w:rFonts w:asciiTheme="majorHAnsi" w:eastAsia="Calibri" w:hAnsiTheme="majorHAnsi" w:cstheme="majorHAnsi"/>
          <w:color w:val="000000" w:themeColor="text1"/>
          <w:sz w:val="24"/>
          <w:szCs w:val="24"/>
          <w:lang w:val="ro-RO"/>
        </w:rPr>
        <w:t xml:space="preserve"> contractel</w:t>
      </w:r>
      <w:r w:rsidR="003E50CF" w:rsidRPr="00BD050E">
        <w:rPr>
          <w:rFonts w:asciiTheme="majorHAnsi" w:eastAsia="Calibri" w:hAnsiTheme="majorHAnsi" w:cstheme="majorHAnsi"/>
          <w:color w:val="000000" w:themeColor="text1"/>
          <w:sz w:val="24"/>
          <w:szCs w:val="24"/>
          <w:lang w:val="ro-RO"/>
        </w:rPr>
        <w:t>or</w:t>
      </w:r>
      <w:r w:rsidR="0086533E" w:rsidRPr="00BD050E">
        <w:rPr>
          <w:rFonts w:asciiTheme="majorHAnsi" w:eastAsia="Calibri" w:hAnsiTheme="majorHAnsi" w:cstheme="majorHAnsi"/>
          <w:color w:val="000000" w:themeColor="text1"/>
          <w:sz w:val="24"/>
          <w:szCs w:val="24"/>
          <w:lang w:val="ro-RO"/>
        </w:rPr>
        <w:t xml:space="preserve"> încheiate și efectuarea plăților pentru serviciile prestate</w:t>
      </w:r>
      <w:r w:rsidR="00865421" w:rsidRPr="00BD050E">
        <w:rPr>
          <w:rFonts w:asciiTheme="majorHAnsi" w:eastAsia="Calibri" w:hAnsiTheme="majorHAnsi" w:cstheme="majorHAnsi"/>
          <w:color w:val="000000" w:themeColor="text1"/>
          <w:sz w:val="24"/>
          <w:szCs w:val="24"/>
          <w:lang w:val="ro-RO"/>
        </w:rPr>
        <w:t>.</w:t>
      </w:r>
    </w:p>
    <w:p w14:paraId="0031C569" w14:textId="799957FC" w:rsidR="00337BD3" w:rsidRDefault="00337BD3" w:rsidP="00337BD3">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Pentru anul 2021 s-au planificat cinci indicatori</w:t>
      </w:r>
      <w:r w:rsidR="003C4968"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dintre care a fost atins doar unul</w:t>
      </w:r>
      <w:r w:rsidR="0099739B"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în perioadele precedente, după cum urmează:</w:t>
      </w:r>
    </w:p>
    <w:p w14:paraId="0AD15683" w14:textId="77777777" w:rsidR="006D38A6" w:rsidRPr="00BD050E" w:rsidRDefault="006D38A6" w:rsidP="00337BD3">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p>
    <w:p w14:paraId="106F0113" w14:textId="6E073E00" w:rsidR="00A26C34" w:rsidRPr="00BD050E" w:rsidRDefault="00A26C34" w:rsidP="00A2062B">
      <w:pPr>
        <w:pStyle w:val="ListParagraph"/>
        <w:numPr>
          <w:ilvl w:val="0"/>
          <w:numId w:val="10"/>
        </w:numPr>
        <w:spacing w:line="276" w:lineRule="auto"/>
        <w:ind w:left="0" w:right="-29" w:firstLine="360"/>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 xml:space="preserve">ILD 1.1.  </w:t>
      </w:r>
      <w:r w:rsidRPr="00BD050E">
        <w:rPr>
          <w:rFonts w:asciiTheme="majorHAnsi" w:eastAsia="Calibri" w:hAnsiTheme="majorHAnsi" w:cstheme="majorHAnsi"/>
          <w:b/>
          <w:i/>
          <w:color w:val="000000" w:themeColor="text1"/>
          <w:sz w:val="24"/>
          <w:szCs w:val="24"/>
          <w:lang w:val="ro-RO"/>
        </w:rPr>
        <w:t>„</w:t>
      </w:r>
      <w:bookmarkStart w:id="4" w:name="OLE_LINK146"/>
      <w:bookmarkStart w:id="5" w:name="OLE_LINK147"/>
      <w:bookmarkStart w:id="6" w:name="OLE_LINK148"/>
      <w:r w:rsidRPr="00BD050E">
        <w:rPr>
          <w:rFonts w:asciiTheme="majorHAnsi" w:eastAsia="Calibri" w:hAnsiTheme="majorHAnsi" w:cstheme="majorHAnsi"/>
          <w:b/>
          <w:i/>
          <w:color w:val="000000" w:themeColor="text1"/>
          <w:sz w:val="24"/>
          <w:szCs w:val="24"/>
          <w:lang w:val="ro-RO"/>
        </w:rPr>
        <w:t>Începând cu anul 2018, toate țigările importate și cele produse la nivel local, prezente pe piață, sunt în conformitate cu Regulamentul privind etichetarea produselor din tutun</w:t>
      </w:r>
      <w:bookmarkEnd w:id="4"/>
      <w:bookmarkEnd w:id="5"/>
      <w:bookmarkEnd w:id="6"/>
      <w:r w:rsidRPr="00BD050E">
        <w:rPr>
          <w:rFonts w:asciiTheme="majorHAnsi" w:eastAsia="Calibri" w:hAnsiTheme="majorHAnsi" w:cstheme="majorHAnsi"/>
          <w:b/>
          <w:i/>
          <w:color w:val="000000" w:themeColor="text1"/>
          <w:sz w:val="24"/>
          <w:szCs w:val="24"/>
          <w:lang w:val="ro-RO"/>
        </w:rPr>
        <w:t>”</w:t>
      </w:r>
      <w:r w:rsidR="00A2062B" w:rsidRPr="00BD050E">
        <w:rPr>
          <w:rFonts w:asciiTheme="majorHAnsi" w:eastAsia="Calibri" w:hAnsiTheme="majorHAnsi" w:cstheme="majorHAnsi"/>
          <w:color w:val="000000" w:themeColor="text1"/>
          <w:sz w:val="24"/>
          <w:szCs w:val="24"/>
          <w:lang w:val="ro-RO"/>
        </w:rPr>
        <w:t>. Deși a</w:t>
      </w:r>
      <w:r w:rsidRPr="00BD050E">
        <w:rPr>
          <w:rFonts w:asciiTheme="majorHAnsi" w:eastAsia="Calibri" w:hAnsiTheme="majorHAnsi" w:cstheme="majorHAnsi"/>
          <w:color w:val="000000" w:themeColor="text1"/>
          <w:sz w:val="24"/>
          <w:szCs w:val="24"/>
          <w:lang w:val="ro-RO"/>
        </w:rPr>
        <w:t>cest indicator a fost atins la finele anului 2017,</w:t>
      </w:r>
      <w:r w:rsidR="00A2062B" w:rsidRPr="00BD050E">
        <w:rPr>
          <w:rFonts w:asciiTheme="majorHAnsi" w:eastAsia="Calibri" w:hAnsiTheme="majorHAnsi" w:cstheme="majorHAnsi"/>
          <w:color w:val="000000" w:themeColor="text1"/>
          <w:sz w:val="24"/>
          <w:szCs w:val="24"/>
          <w:lang w:val="ro-RO"/>
        </w:rPr>
        <w:t xml:space="preserve"> auditul menționează că sum</w:t>
      </w:r>
      <w:r w:rsidR="0099739B" w:rsidRPr="00BD050E">
        <w:rPr>
          <w:rFonts w:asciiTheme="majorHAnsi" w:eastAsia="Calibri" w:hAnsiTheme="majorHAnsi" w:cstheme="majorHAnsi"/>
          <w:color w:val="000000" w:themeColor="text1"/>
          <w:sz w:val="24"/>
          <w:szCs w:val="24"/>
          <w:lang w:val="ro-RO"/>
        </w:rPr>
        <w:t>a</w:t>
      </w:r>
      <w:r w:rsidR="00A2062B" w:rsidRPr="00BD050E">
        <w:rPr>
          <w:rFonts w:asciiTheme="majorHAnsi" w:eastAsia="Calibri" w:hAnsiTheme="majorHAnsi" w:cstheme="majorHAnsi"/>
          <w:color w:val="000000" w:themeColor="text1"/>
          <w:sz w:val="24"/>
          <w:szCs w:val="24"/>
          <w:lang w:val="ro-RO"/>
        </w:rPr>
        <w:t xml:space="preserve"> de 323 500 </w:t>
      </w:r>
      <w:r w:rsidR="00A2062B" w:rsidRPr="00BD050E">
        <w:rPr>
          <w:rFonts w:asciiTheme="majorHAnsi" w:eastAsia="Calibri" w:hAnsiTheme="majorHAnsi" w:cstheme="majorHAnsi"/>
          <w:color w:val="000000" w:themeColor="text1"/>
          <w:sz w:val="24"/>
          <w:szCs w:val="24"/>
          <w:lang w:val="ro-RO"/>
        </w:rPr>
        <w:lastRenderedPageBreak/>
        <w:t xml:space="preserve">Drepturi Speciale de Tragere </w:t>
      </w:r>
      <w:r w:rsidR="0099739B" w:rsidRPr="00BD050E">
        <w:rPr>
          <w:rFonts w:asciiTheme="majorHAnsi" w:eastAsia="Calibri" w:hAnsiTheme="majorHAnsi" w:cstheme="majorHAnsi"/>
          <w:color w:val="000000" w:themeColor="text1"/>
          <w:sz w:val="24"/>
          <w:szCs w:val="24"/>
          <w:lang w:val="ro-RO"/>
        </w:rPr>
        <w:t xml:space="preserve">a fost debursată </w:t>
      </w:r>
      <w:r w:rsidR="00A2062B" w:rsidRPr="00BD050E">
        <w:rPr>
          <w:rFonts w:asciiTheme="majorHAnsi" w:eastAsia="Calibri" w:hAnsiTheme="majorHAnsi" w:cstheme="majorHAnsi"/>
          <w:color w:val="000000" w:themeColor="text1"/>
          <w:sz w:val="24"/>
          <w:szCs w:val="24"/>
          <w:lang w:val="ro-RO"/>
        </w:rPr>
        <w:t xml:space="preserve">la bugetul MSMPS în februarie 2021. Astfel, </w:t>
      </w:r>
      <w:r w:rsidRPr="00BD050E">
        <w:rPr>
          <w:rFonts w:asciiTheme="majorHAnsi" w:eastAsia="Calibri" w:hAnsiTheme="majorHAnsi" w:cstheme="majorHAnsi"/>
          <w:color w:val="000000" w:themeColor="text1"/>
          <w:sz w:val="24"/>
          <w:szCs w:val="24"/>
          <w:lang w:val="ro-RO"/>
        </w:rPr>
        <w:t>toate pachetele de țigări conțin mesaje de avertisment cu privire la riscul asupra sănătății, care acoperă parțial suprafața acestora. Validarea acestui indicator s-a realizat de către o entitate independentă, care a fost contractată în cadrul unei licitații deschise, în conformitate cu metodologia apro</w:t>
      </w:r>
      <w:r w:rsidR="00A2062B" w:rsidRPr="00BD050E">
        <w:rPr>
          <w:rFonts w:asciiTheme="majorHAnsi" w:eastAsia="Calibri" w:hAnsiTheme="majorHAnsi" w:cstheme="majorHAnsi"/>
          <w:color w:val="000000" w:themeColor="text1"/>
          <w:sz w:val="24"/>
          <w:szCs w:val="24"/>
          <w:lang w:val="ro-RO"/>
        </w:rPr>
        <w:t>bată în comun cu Banca Mondială. Prin urmare, l</w:t>
      </w:r>
      <w:r w:rsidRPr="00BD050E">
        <w:rPr>
          <w:rFonts w:asciiTheme="majorHAnsi" w:eastAsia="Calibri" w:hAnsiTheme="majorHAnsi" w:cstheme="majorHAnsi"/>
          <w:color w:val="000000" w:themeColor="text1"/>
          <w:sz w:val="24"/>
          <w:szCs w:val="24"/>
          <w:lang w:val="ro-RO"/>
        </w:rPr>
        <w:t>a finele lunii octombrie 2020, MSMPS a prezentat raportul final de valid</w:t>
      </w:r>
      <w:r w:rsidR="00A2062B" w:rsidRPr="00BD050E">
        <w:rPr>
          <w:rFonts w:asciiTheme="majorHAnsi" w:eastAsia="Calibri" w:hAnsiTheme="majorHAnsi" w:cstheme="majorHAnsi"/>
          <w:color w:val="000000" w:themeColor="text1"/>
          <w:sz w:val="24"/>
          <w:szCs w:val="24"/>
          <w:lang w:val="ro-RO"/>
        </w:rPr>
        <w:t>are a deciziei Băncii Mondiale, iar d</w:t>
      </w:r>
      <w:r w:rsidRPr="00BD050E">
        <w:rPr>
          <w:rFonts w:asciiTheme="majorHAnsi" w:eastAsia="Calibri" w:hAnsiTheme="majorHAnsi" w:cstheme="majorHAnsi"/>
          <w:color w:val="000000" w:themeColor="text1"/>
          <w:sz w:val="24"/>
          <w:szCs w:val="24"/>
          <w:lang w:val="ro-RO"/>
        </w:rPr>
        <w:t xml:space="preserve">in cauza situației de urgență în sănătate publică, echipa de consultanți a avut nevoie de mai mult timp decât </w:t>
      </w:r>
      <w:r w:rsidR="00221121" w:rsidRPr="00BD050E">
        <w:rPr>
          <w:rFonts w:asciiTheme="majorHAnsi" w:eastAsia="Calibri" w:hAnsiTheme="majorHAnsi" w:cstheme="majorHAnsi"/>
          <w:color w:val="000000" w:themeColor="text1"/>
          <w:sz w:val="24"/>
          <w:szCs w:val="24"/>
          <w:lang w:val="ro-RO"/>
        </w:rPr>
        <w:t>s-</w:t>
      </w:r>
      <w:r w:rsidRPr="00BD050E">
        <w:rPr>
          <w:rFonts w:asciiTheme="majorHAnsi" w:eastAsia="Calibri" w:hAnsiTheme="majorHAnsi" w:cstheme="majorHAnsi"/>
          <w:color w:val="000000" w:themeColor="text1"/>
          <w:sz w:val="24"/>
          <w:szCs w:val="24"/>
          <w:lang w:val="ro-RO"/>
        </w:rPr>
        <w:t xml:space="preserve">a </w:t>
      </w:r>
      <w:r w:rsidR="00221121" w:rsidRPr="00BD050E">
        <w:rPr>
          <w:rFonts w:asciiTheme="majorHAnsi" w:eastAsia="Calibri" w:hAnsiTheme="majorHAnsi" w:cstheme="majorHAnsi"/>
          <w:color w:val="000000" w:themeColor="text1"/>
          <w:sz w:val="24"/>
          <w:szCs w:val="24"/>
          <w:lang w:val="ro-RO"/>
        </w:rPr>
        <w:t xml:space="preserve">planificat </w:t>
      </w:r>
      <w:r w:rsidRPr="00BD050E">
        <w:rPr>
          <w:rFonts w:asciiTheme="majorHAnsi" w:eastAsia="Calibri" w:hAnsiTheme="majorHAnsi" w:cstheme="majorHAnsi"/>
          <w:color w:val="000000" w:themeColor="text1"/>
          <w:sz w:val="24"/>
          <w:szCs w:val="24"/>
          <w:lang w:val="ro-RO"/>
        </w:rPr>
        <w:t>inițial</w:t>
      </w:r>
      <w:r w:rsidR="00221121"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w:t>
      </w:r>
      <w:r w:rsidR="00A2062B" w:rsidRPr="00BD050E">
        <w:rPr>
          <w:rFonts w:asciiTheme="majorHAnsi" w:eastAsia="Calibri" w:hAnsiTheme="majorHAnsi" w:cstheme="majorHAnsi"/>
          <w:color w:val="000000" w:themeColor="text1"/>
          <w:sz w:val="24"/>
          <w:szCs w:val="24"/>
          <w:lang w:val="ro-RO"/>
        </w:rPr>
        <w:t>R</w:t>
      </w:r>
      <w:r w:rsidRPr="00BD050E">
        <w:rPr>
          <w:rFonts w:asciiTheme="majorHAnsi" w:eastAsia="Calibri" w:hAnsiTheme="majorHAnsi" w:cstheme="majorHAnsi"/>
          <w:color w:val="000000" w:themeColor="text1"/>
          <w:sz w:val="24"/>
          <w:szCs w:val="24"/>
          <w:lang w:val="ro-RO"/>
        </w:rPr>
        <w:t>apoartele prevăzute de contract a</w:t>
      </w:r>
      <w:r w:rsidR="00A2062B" w:rsidRPr="00BD050E">
        <w:rPr>
          <w:rFonts w:asciiTheme="majorHAnsi" w:eastAsia="Calibri" w:hAnsiTheme="majorHAnsi" w:cstheme="majorHAnsi"/>
          <w:color w:val="000000" w:themeColor="text1"/>
          <w:sz w:val="24"/>
          <w:szCs w:val="24"/>
          <w:lang w:val="ro-RO"/>
        </w:rPr>
        <w:t>u</w:t>
      </w:r>
      <w:r w:rsidRPr="00BD050E">
        <w:rPr>
          <w:rFonts w:asciiTheme="majorHAnsi" w:eastAsia="Calibri" w:hAnsiTheme="majorHAnsi" w:cstheme="majorHAnsi"/>
          <w:color w:val="000000" w:themeColor="text1"/>
          <w:sz w:val="24"/>
          <w:szCs w:val="24"/>
          <w:lang w:val="ro-RO"/>
        </w:rPr>
        <w:t xml:space="preserve"> fost analizate și acceptate de MSMPS, cu participarea Agenției Naționale pentru Sănătate Publică, în cadrul unui grup de lucru interinstituțional</w:t>
      </w:r>
      <w:r w:rsidR="00221121"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creat pentru această activitate și condus de Secretarul de stat responsabil de sănătatea publică.</w:t>
      </w:r>
      <w:r w:rsidR="00A2062B" w:rsidRPr="00BD050E">
        <w:rPr>
          <w:rFonts w:asciiTheme="majorHAnsi" w:eastAsia="Calibri" w:hAnsiTheme="majorHAnsi" w:cstheme="majorHAnsi"/>
          <w:color w:val="000000" w:themeColor="text1"/>
          <w:sz w:val="24"/>
          <w:szCs w:val="24"/>
          <w:lang w:val="ro-RO"/>
        </w:rPr>
        <w:t xml:space="preserve"> În </w:t>
      </w:r>
      <w:r w:rsidR="00221121" w:rsidRPr="00BD050E">
        <w:rPr>
          <w:rFonts w:asciiTheme="majorHAnsi" w:eastAsia="Calibri" w:hAnsiTheme="majorHAnsi" w:cstheme="majorHAnsi"/>
          <w:color w:val="000000" w:themeColor="text1"/>
          <w:sz w:val="24"/>
          <w:szCs w:val="24"/>
          <w:lang w:val="ro-RO"/>
        </w:rPr>
        <w:t xml:space="preserve">acest </w:t>
      </w:r>
      <w:r w:rsidR="00A2062B" w:rsidRPr="00BD050E">
        <w:rPr>
          <w:rFonts w:asciiTheme="majorHAnsi" w:eastAsia="Calibri" w:hAnsiTheme="majorHAnsi" w:cstheme="majorHAnsi"/>
          <w:color w:val="000000" w:themeColor="text1"/>
          <w:sz w:val="24"/>
          <w:szCs w:val="24"/>
          <w:lang w:val="ro-RO"/>
        </w:rPr>
        <w:t>context, a</w:t>
      </w:r>
      <w:r w:rsidR="006F2A2F" w:rsidRPr="00BD050E">
        <w:rPr>
          <w:rFonts w:asciiTheme="majorHAnsi" w:eastAsia="Calibri" w:hAnsiTheme="majorHAnsi" w:cstheme="majorHAnsi"/>
          <w:color w:val="000000" w:themeColor="text1"/>
          <w:sz w:val="24"/>
          <w:szCs w:val="24"/>
          <w:lang w:val="ro-RO"/>
        </w:rPr>
        <w:t xml:space="preserve">uditul denotă că </w:t>
      </w:r>
      <w:r w:rsidR="00221121" w:rsidRPr="00BD050E">
        <w:rPr>
          <w:rFonts w:asciiTheme="majorHAnsi" w:eastAsia="Calibri" w:hAnsiTheme="majorHAnsi" w:cstheme="majorHAnsi"/>
          <w:color w:val="000000" w:themeColor="text1"/>
          <w:sz w:val="24"/>
          <w:szCs w:val="24"/>
          <w:lang w:val="ro-RO"/>
        </w:rPr>
        <w:t xml:space="preserve">suma planificată </w:t>
      </w:r>
      <w:r w:rsidR="006F2A2F" w:rsidRPr="00BD050E">
        <w:rPr>
          <w:rFonts w:asciiTheme="majorHAnsi" w:eastAsia="Calibri" w:hAnsiTheme="majorHAnsi" w:cstheme="majorHAnsi"/>
          <w:color w:val="000000" w:themeColor="text1"/>
          <w:sz w:val="24"/>
          <w:szCs w:val="24"/>
          <w:lang w:val="ro-RO"/>
        </w:rPr>
        <w:t>pentru ILD 1.1</w:t>
      </w:r>
      <w:r w:rsidR="00221121" w:rsidRPr="00BD050E">
        <w:rPr>
          <w:rFonts w:asciiTheme="majorHAnsi" w:eastAsia="Calibri" w:hAnsiTheme="majorHAnsi" w:cstheme="majorHAnsi"/>
          <w:color w:val="000000" w:themeColor="text1"/>
          <w:sz w:val="24"/>
          <w:szCs w:val="24"/>
          <w:lang w:val="ro-RO"/>
        </w:rPr>
        <w:t>.</w:t>
      </w:r>
      <w:r w:rsidR="00A2062B" w:rsidRPr="00BD050E">
        <w:rPr>
          <w:rFonts w:asciiTheme="majorHAnsi" w:eastAsia="Calibri" w:hAnsiTheme="majorHAnsi" w:cstheme="majorHAnsi"/>
          <w:color w:val="000000" w:themeColor="text1"/>
          <w:sz w:val="24"/>
          <w:szCs w:val="24"/>
          <w:lang w:val="ro-RO"/>
        </w:rPr>
        <w:t xml:space="preserve"> a fost debursată integral, </w:t>
      </w:r>
      <w:r w:rsidR="002E7510" w:rsidRPr="00BD050E">
        <w:rPr>
          <w:rFonts w:asciiTheme="majorHAnsi" w:eastAsia="Calibri" w:hAnsiTheme="majorHAnsi" w:cstheme="majorHAnsi"/>
          <w:color w:val="000000" w:themeColor="text1"/>
          <w:sz w:val="24"/>
          <w:szCs w:val="24"/>
          <w:lang w:val="ro-RO"/>
        </w:rPr>
        <w:t xml:space="preserve">astfel </w:t>
      </w:r>
      <w:r w:rsidR="00A2062B" w:rsidRPr="00BD050E">
        <w:rPr>
          <w:rFonts w:asciiTheme="majorHAnsi" w:eastAsia="Calibri" w:hAnsiTheme="majorHAnsi" w:cstheme="majorHAnsi"/>
          <w:color w:val="000000" w:themeColor="text1"/>
          <w:sz w:val="24"/>
          <w:szCs w:val="24"/>
          <w:lang w:val="ro-RO"/>
        </w:rPr>
        <w:t>fiind atins scopul final prevăzut.</w:t>
      </w:r>
    </w:p>
    <w:p w14:paraId="0D88E4AA" w14:textId="00B1F89C" w:rsidR="00D26068" w:rsidRPr="00BD050E" w:rsidRDefault="002E7510" w:rsidP="0084481C">
      <w:pPr>
        <w:tabs>
          <w:tab w:val="left" w:pos="360"/>
        </w:tabs>
        <w:spacing w:before="24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 xml:space="preserve">     </w:t>
      </w:r>
      <w:r w:rsidR="00A26C34" w:rsidRPr="00BD050E">
        <w:rPr>
          <w:rFonts w:asciiTheme="majorHAnsi" w:eastAsia="Calibri" w:hAnsiTheme="majorHAnsi" w:cstheme="majorHAnsi"/>
          <w:color w:val="000000" w:themeColor="text1"/>
          <w:sz w:val="24"/>
          <w:szCs w:val="24"/>
          <w:lang w:val="ro-RO"/>
        </w:rPr>
        <w:t xml:space="preserve">ILD 2. </w:t>
      </w:r>
      <w:r w:rsidR="00A26C34" w:rsidRPr="00BD050E">
        <w:rPr>
          <w:rFonts w:asciiTheme="majorHAnsi" w:eastAsia="Calibri" w:hAnsiTheme="majorHAnsi" w:cstheme="majorHAnsi"/>
          <w:b/>
          <w:i/>
          <w:color w:val="000000" w:themeColor="text1"/>
          <w:sz w:val="24"/>
          <w:szCs w:val="24"/>
          <w:lang w:val="ro-RO"/>
        </w:rPr>
        <w:t>„Majorarea procentului de persoane cu boli cardiovasculare (BCV) care beneficiază de medicamente compensate pentru tratamentul BCV“</w:t>
      </w:r>
      <w:r w:rsidR="00A26C34" w:rsidRPr="00BD050E">
        <w:rPr>
          <w:rFonts w:asciiTheme="majorHAnsi" w:eastAsia="Calibri" w:hAnsiTheme="majorHAnsi" w:cstheme="majorHAnsi"/>
          <w:color w:val="000000" w:themeColor="text1"/>
          <w:sz w:val="24"/>
          <w:szCs w:val="24"/>
          <w:lang w:val="ro-RO"/>
        </w:rPr>
        <w:t>.</w:t>
      </w:r>
      <w:r w:rsidR="00D26068" w:rsidRPr="00BD050E">
        <w:rPr>
          <w:rFonts w:asciiTheme="majorHAnsi" w:eastAsia="Calibri" w:hAnsiTheme="majorHAnsi" w:cstheme="majorHAnsi"/>
          <w:color w:val="000000" w:themeColor="text1"/>
          <w:sz w:val="24"/>
          <w:szCs w:val="24"/>
          <w:lang w:val="ro-RO"/>
        </w:rPr>
        <w:t xml:space="preserve"> </w:t>
      </w:r>
      <w:r w:rsidR="00A26C34" w:rsidRPr="00BD050E">
        <w:rPr>
          <w:rFonts w:asciiTheme="majorHAnsi" w:eastAsia="SimSun" w:hAnsiTheme="majorHAnsi" w:cstheme="majorHAnsi"/>
          <w:iCs/>
          <w:color w:val="000000" w:themeColor="text1"/>
          <w:sz w:val="24"/>
          <w:szCs w:val="24"/>
          <w:lang w:val="ro-RO"/>
        </w:rPr>
        <w:t xml:space="preserve">Datele prezentate de către CNAM privind realizarea </w:t>
      </w:r>
      <w:r w:rsidR="00D57F32" w:rsidRPr="00BD050E">
        <w:rPr>
          <w:rFonts w:asciiTheme="majorHAnsi" w:eastAsia="SimSun" w:hAnsiTheme="majorHAnsi" w:cstheme="majorHAnsi"/>
          <w:iCs/>
          <w:color w:val="000000" w:themeColor="text1"/>
          <w:sz w:val="24"/>
          <w:szCs w:val="24"/>
          <w:lang w:val="ro-RO"/>
        </w:rPr>
        <w:t>ILD</w:t>
      </w:r>
      <w:r w:rsidR="00A26C34" w:rsidRPr="00BD050E">
        <w:rPr>
          <w:rFonts w:asciiTheme="majorHAnsi" w:eastAsia="SimSun" w:hAnsiTheme="majorHAnsi" w:cstheme="majorHAnsi"/>
          <w:iCs/>
          <w:color w:val="000000" w:themeColor="text1"/>
          <w:sz w:val="24"/>
          <w:szCs w:val="24"/>
          <w:lang w:val="ro-RO"/>
        </w:rPr>
        <w:t xml:space="preserve"> 2</w:t>
      </w:r>
      <w:r w:rsidR="00824809" w:rsidRPr="00BD050E">
        <w:rPr>
          <w:rFonts w:asciiTheme="majorHAnsi" w:eastAsia="SimSun" w:hAnsiTheme="majorHAnsi" w:cstheme="majorHAnsi"/>
          <w:iCs/>
          <w:color w:val="000000" w:themeColor="text1"/>
          <w:sz w:val="24"/>
          <w:szCs w:val="24"/>
          <w:lang w:val="ro-RO"/>
        </w:rPr>
        <w:t>,</w:t>
      </w:r>
      <w:r w:rsidR="00A26C34" w:rsidRPr="00BD050E">
        <w:rPr>
          <w:rFonts w:asciiTheme="majorHAnsi" w:eastAsia="SimSun" w:hAnsiTheme="majorHAnsi" w:cstheme="majorHAnsi"/>
          <w:iCs/>
          <w:color w:val="000000" w:themeColor="text1"/>
          <w:sz w:val="24"/>
          <w:szCs w:val="24"/>
          <w:lang w:val="ro-RO"/>
        </w:rPr>
        <w:t xml:space="preserve"> legat de debursări</w:t>
      </w:r>
      <w:r w:rsidR="00824809" w:rsidRPr="00BD050E">
        <w:rPr>
          <w:rFonts w:asciiTheme="majorHAnsi" w:eastAsia="SimSun" w:hAnsiTheme="majorHAnsi" w:cstheme="majorHAnsi"/>
          <w:iCs/>
          <w:color w:val="000000" w:themeColor="text1"/>
          <w:sz w:val="24"/>
          <w:szCs w:val="24"/>
          <w:lang w:val="ro-RO"/>
        </w:rPr>
        <w:t>,</w:t>
      </w:r>
      <w:r w:rsidR="00A26C34" w:rsidRPr="00BD050E">
        <w:rPr>
          <w:rFonts w:asciiTheme="majorHAnsi" w:eastAsia="SimSun" w:hAnsiTheme="majorHAnsi" w:cstheme="majorHAnsi"/>
          <w:iCs/>
          <w:color w:val="000000" w:themeColor="text1"/>
          <w:sz w:val="24"/>
          <w:szCs w:val="24"/>
          <w:lang w:val="ro-RO"/>
        </w:rPr>
        <w:t xml:space="preserve"> indică că numărul beneficiari</w:t>
      </w:r>
      <w:r w:rsidR="00824809" w:rsidRPr="00BD050E">
        <w:rPr>
          <w:rFonts w:asciiTheme="majorHAnsi" w:eastAsia="SimSun" w:hAnsiTheme="majorHAnsi" w:cstheme="majorHAnsi"/>
          <w:iCs/>
          <w:color w:val="000000" w:themeColor="text1"/>
          <w:sz w:val="24"/>
          <w:szCs w:val="24"/>
          <w:lang w:val="ro-RO"/>
        </w:rPr>
        <w:t xml:space="preserve">lor de </w:t>
      </w:r>
      <w:r w:rsidR="00A26C34" w:rsidRPr="00BD050E">
        <w:rPr>
          <w:rFonts w:asciiTheme="majorHAnsi" w:eastAsia="SimSun" w:hAnsiTheme="majorHAnsi" w:cstheme="majorHAnsi"/>
          <w:color w:val="000000" w:themeColor="text1"/>
          <w:sz w:val="24"/>
          <w:szCs w:val="24"/>
          <w:lang w:val="ro-RO"/>
        </w:rPr>
        <w:t>medicamente compensate pentru tratamentul maladiilor cardiovasculare</w:t>
      </w:r>
      <w:r w:rsidR="00A26C34" w:rsidRPr="00BD050E">
        <w:rPr>
          <w:rFonts w:asciiTheme="majorHAnsi" w:eastAsia="SimSun" w:hAnsiTheme="majorHAnsi" w:cstheme="majorHAnsi"/>
          <w:iCs/>
          <w:color w:val="000000" w:themeColor="text1"/>
          <w:sz w:val="24"/>
          <w:szCs w:val="24"/>
          <w:lang w:val="ro-RO"/>
        </w:rPr>
        <w:t xml:space="preserve"> </w:t>
      </w:r>
      <w:r w:rsidR="00A26C34" w:rsidRPr="00BD050E">
        <w:rPr>
          <w:rFonts w:asciiTheme="majorHAnsi" w:eastAsia="Calibri" w:hAnsiTheme="majorHAnsi" w:cstheme="majorHAnsi"/>
          <w:color w:val="000000" w:themeColor="text1"/>
          <w:sz w:val="24"/>
          <w:szCs w:val="24"/>
          <w:lang w:val="ro-RO"/>
        </w:rPr>
        <w:t xml:space="preserve">s-a majorat în perioada </w:t>
      </w:r>
      <w:r w:rsidR="00824809" w:rsidRPr="00BD050E">
        <w:rPr>
          <w:rFonts w:asciiTheme="majorHAnsi" w:eastAsia="Calibri" w:hAnsiTheme="majorHAnsi" w:cstheme="majorHAnsi"/>
          <w:color w:val="000000" w:themeColor="text1"/>
          <w:sz w:val="24"/>
          <w:szCs w:val="24"/>
          <w:lang w:val="ro-RO"/>
        </w:rPr>
        <w:t xml:space="preserve">anilor </w:t>
      </w:r>
      <w:r w:rsidR="00A26C34" w:rsidRPr="00BD050E">
        <w:rPr>
          <w:rFonts w:asciiTheme="majorHAnsi" w:eastAsia="Calibri" w:hAnsiTheme="majorHAnsi" w:cstheme="majorHAnsi"/>
          <w:color w:val="000000" w:themeColor="text1"/>
          <w:sz w:val="24"/>
          <w:szCs w:val="24"/>
          <w:lang w:val="ro-RO"/>
        </w:rPr>
        <w:t xml:space="preserve">2017-2019 și a fost introdusă compensarea de 100% a cel puțin unui medicament per DCI din februarie 2019. </w:t>
      </w:r>
      <w:r w:rsidR="00D26068" w:rsidRPr="00BD050E">
        <w:rPr>
          <w:rFonts w:asciiTheme="majorHAnsi" w:eastAsia="Calibri" w:hAnsiTheme="majorHAnsi" w:cstheme="majorHAnsi"/>
          <w:color w:val="000000" w:themeColor="text1"/>
          <w:sz w:val="24"/>
          <w:szCs w:val="24"/>
          <w:lang w:val="ro-RO"/>
        </w:rPr>
        <w:t xml:space="preserve">Acest indicator a fost evaluat de către Curtea de Conturi în anul 2021 ca un obiectiv separat în cadrul misiunii realizate privind auditul financiar </w:t>
      </w:r>
      <w:r w:rsidR="001F561A" w:rsidRPr="00BD050E">
        <w:rPr>
          <w:rFonts w:asciiTheme="majorHAnsi" w:eastAsia="Calibri" w:hAnsiTheme="majorHAnsi" w:cstheme="majorHAnsi"/>
          <w:color w:val="000000" w:themeColor="text1"/>
          <w:sz w:val="24"/>
          <w:szCs w:val="24"/>
          <w:lang w:val="ro-RO"/>
        </w:rPr>
        <w:t>asupra Raportului Guvernului privind executarea FAOAM în anul 2020</w:t>
      </w:r>
      <w:r w:rsidR="00D26068" w:rsidRPr="00BD050E">
        <w:rPr>
          <w:rStyle w:val="FootnoteReference"/>
          <w:rFonts w:asciiTheme="majorHAnsi" w:eastAsia="Calibri" w:hAnsiTheme="majorHAnsi" w:cstheme="majorHAnsi"/>
          <w:color w:val="000000" w:themeColor="text1"/>
          <w:sz w:val="24"/>
          <w:szCs w:val="24"/>
          <w:lang w:val="ro-RO"/>
        </w:rPr>
        <w:footnoteReference w:id="12"/>
      </w:r>
      <w:r w:rsidR="00D26068" w:rsidRPr="00BD050E">
        <w:rPr>
          <w:rFonts w:asciiTheme="majorHAnsi" w:eastAsia="Calibri" w:hAnsiTheme="majorHAnsi" w:cstheme="majorHAnsi"/>
          <w:color w:val="000000" w:themeColor="text1"/>
          <w:sz w:val="24"/>
          <w:szCs w:val="24"/>
          <w:lang w:val="ro-RO"/>
        </w:rPr>
        <w:t>. Astfel, potrivit Raportului auditului financiar</w:t>
      </w:r>
      <w:r w:rsidR="001F561A" w:rsidRPr="00BD050E">
        <w:rPr>
          <w:rFonts w:asciiTheme="majorHAnsi" w:eastAsia="Calibri" w:hAnsiTheme="majorHAnsi" w:cstheme="majorHAnsi"/>
          <w:color w:val="000000" w:themeColor="text1"/>
          <w:sz w:val="24"/>
          <w:szCs w:val="24"/>
          <w:lang w:val="ro-RO"/>
        </w:rPr>
        <w:t xml:space="preserve"> </w:t>
      </w:r>
      <w:r w:rsidR="00C74CE1" w:rsidRPr="00BD050E">
        <w:rPr>
          <w:rFonts w:asciiTheme="majorHAnsi" w:eastAsia="Calibri" w:hAnsiTheme="majorHAnsi" w:cstheme="majorHAnsi"/>
          <w:color w:val="000000" w:themeColor="text1"/>
          <w:sz w:val="24"/>
          <w:szCs w:val="24"/>
          <w:lang w:val="ro-RO"/>
        </w:rPr>
        <w:t>a</w:t>
      </w:r>
      <w:r w:rsidR="00725BCD" w:rsidRPr="00BD050E">
        <w:rPr>
          <w:rFonts w:asciiTheme="majorHAnsi" w:eastAsia="Calibri" w:hAnsiTheme="majorHAnsi" w:cstheme="majorHAnsi"/>
          <w:color w:val="000000" w:themeColor="text1"/>
          <w:sz w:val="24"/>
          <w:szCs w:val="24"/>
          <w:lang w:val="ro-RO"/>
        </w:rPr>
        <w:t>l</w:t>
      </w:r>
      <w:r w:rsidR="00C74CE1" w:rsidRPr="00BD050E">
        <w:rPr>
          <w:rFonts w:asciiTheme="majorHAnsi" w:eastAsia="Calibri" w:hAnsiTheme="majorHAnsi" w:cstheme="majorHAnsi"/>
          <w:color w:val="000000" w:themeColor="text1"/>
          <w:sz w:val="24"/>
          <w:szCs w:val="24"/>
          <w:lang w:val="ro-RO"/>
        </w:rPr>
        <w:t xml:space="preserve"> CCRM</w:t>
      </w:r>
      <w:r w:rsidR="00725BCD" w:rsidRPr="00BD050E">
        <w:rPr>
          <w:rFonts w:asciiTheme="majorHAnsi" w:eastAsia="Calibri" w:hAnsiTheme="majorHAnsi" w:cstheme="majorHAnsi"/>
          <w:color w:val="000000" w:themeColor="text1"/>
          <w:sz w:val="24"/>
          <w:szCs w:val="24"/>
          <w:lang w:val="ro-RO"/>
        </w:rPr>
        <w:t>,</w:t>
      </w:r>
      <w:r w:rsidR="00C74CE1" w:rsidRPr="00BD050E">
        <w:rPr>
          <w:rFonts w:asciiTheme="majorHAnsi" w:eastAsia="Calibri" w:hAnsiTheme="majorHAnsi" w:cstheme="majorHAnsi"/>
          <w:color w:val="000000" w:themeColor="text1"/>
          <w:sz w:val="24"/>
          <w:szCs w:val="24"/>
          <w:lang w:val="ro-RO"/>
        </w:rPr>
        <w:t xml:space="preserve"> </w:t>
      </w:r>
      <w:r w:rsidR="001F561A" w:rsidRPr="00BD050E">
        <w:rPr>
          <w:rFonts w:asciiTheme="majorHAnsi" w:eastAsia="Calibri" w:hAnsiTheme="majorHAnsi" w:cstheme="majorHAnsi"/>
          <w:color w:val="000000" w:themeColor="text1"/>
          <w:sz w:val="24"/>
          <w:szCs w:val="24"/>
          <w:lang w:val="ro-RO"/>
        </w:rPr>
        <w:t>se</w:t>
      </w:r>
      <w:r w:rsidR="00D26068" w:rsidRPr="00BD050E">
        <w:rPr>
          <w:rFonts w:asciiTheme="majorHAnsi" w:eastAsia="Calibri" w:hAnsiTheme="majorHAnsi" w:cstheme="majorHAnsi"/>
          <w:color w:val="000000" w:themeColor="text1"/>
          <w:sz w:val="24"/>
          <w:szCs w:val="24"/>
          <w:lang w:val="ro-RO"/>
        </w:rPr>
        <w:t xml:space="preserve"> atestă corespunderea datelor prezentate Băncii Mondiale de către CNAM</w:t>
      </w:r>
      <w:r w:rsidR="00725BCD" w:rsidRPr="00BD050E">
        <w:rPr>
          <w:rFonts w:asciiTheme="majorHAnsi" w:eastAsia="Calibri" w:hAnsiTheme="majorHAnsi" w:cstheme="majorHAnsi"/>
          <w:color w:val="000000" w:themeColor="text1"/>
          <w:sz w:val="24"/>
          <w:szCs w:val="24"/>
          <w:lang w:val="ro-RO"/>
        </w:rPr>
        <w:t>,</w:t>
      </w:r>
      <w:r w:rsidR="00D26068" w:rsidRPr="00BD050E">
        <w:rPr>
          <w:rFonts w:asciiTheme="majorHAnsi" w:eastAsia="Calibri" w:hAnsiTheme="majorHAnsi" w:cstheme="majorHAnsi"/>
          <w:color w:val="000000" w:themeColor="text1"/>
          <w:sz w:val="24"/>
          <w:szCs w:val="24"/>
          <w:lang w:val="ro-RO"/>
        </w:rPr>
        <w:t xml:space="preserve"> și anume </w:t>
      </w:r>
      <w:r w:rsidR="00725BCD" w:rsidRPr="00BD050E">
        <w:rPr>
          <w:rFonts w:asciiTheme="majorHAnsi" w:eastAsia="Calibri" w:hAnsiTheme="majorHAnsi" w:cstheme="majorHAnsi"/>
          <w:color w:val="000000" w:themeColor="text1"/>
          <w:sz w:val="24"/>
          <w:szCs w:val="24"/>
          <w:lang w:val="ro-RO"/>
        </w:rPr>
        <w:t xml:space="preserve">- </w:t>
      </w:r>
      <w:r w:rsidR="00D26068" w:rsidRPr="00BD050E">
        <w:rPr>
          <w:rFonts w:asciiTheme="majorHAnsi" w:eastAsia="Calibri" w:hAnsiTheme="majorHAnsi" w:cstheme="majorHAnsi"/>
          <w:color w:val="000000" w:themeColor="text1"/>
          <w:sz w:val="24"/>
          <w:szCs w:val="24"/>
          <w:lang w:val="ro-RO"/>
        </w:rPr>
        <w:t>majorarea numărului beneficiari</w:t>
      </w:r>
      <w:r w:rsidR="00725BCD" w:rsidRPr="00BD050E">
        <w:rPr>
          <w:rFonts w:asciiTheme="majorHAnsi" w:eastAsia="Calibri" w:hAnsiTheme="majorHAnsi" w:cstheme="majorHAnsi"/>
          <w:color w:val="000000" w:themeColor="text1"/>
          <w:sz w:val="24"/>
          <w:szCs w:val="24"/>
          <w:lang w:val="ro-RO"/>
        </w:rPr>
        <w:t xml:space="preserve">lor </w:t>
      </w:r>
      <w:r w:rsidR="00D26068" w:rsidRPr="00BD050E">
        <w:rPr>
          <w:rFonts w:asciiTheme="majorHAnsi" w:eastAsia="Calibri" w:hAnsiTheme="majorHAnsi" w:cstheme="majorHAnsi"/>
          <w:color w:val="000000" w:themeColor="text1"/>
          <w:sz w:val="24"/>
          <w:szCs w:val="24"/>
          <w:lang w:val="ro-RO"/>
        </w:rPr>
        <w:t xml:space="preserve"> unici </w:t>
      </w:r>
      <w:r w:rsidR="00E37A9D" w:rsidRPr="00BD050E">
        <w:rPr>
          <w:rFonts w:asciiTheme="majorHAnsi" w:eastAsia="Calibri" w:hAnsiTheme="majorHAnsi" w:cstheme="majorHAnsi"/>
          <w:color w:val="000000" w:themeColor="text1"/>
          <w:sz w:val="24"/>
          <w:szCs w:val="24"/>
          <w:lang w:val="ro-RO"/>
        </w:rPr>
        <w:t xml:space="preserve">de medicamente compensate de la 414744 </w:t>
      </w:r>
      <w:r w:rsidR="00725BCD" w:rsidRPr="00BD050E">
        <w:rPr>
          <w:rFonts w:asciiTheme="majorHAnsi" w:eastAsia="Calibri" w:hAnsiTheme="majorHAnsi" w:cstheme="majorHAnsi"/>
          <w:color w:val="000000" w:themeColor="text1"/>
          <w:sz w:val="24"/>
          <w:szCs w:val="24"/>
          <w:lang w:val="ro-RO"/>
        </w:rPr>
        <w:t xml:space="preserve">de </w:t>
      </w:r>
      <w:r w:rsidR="00E37A9D" w:rsidRPr="00BD050E">
        <w:rPr>
          <w:rFonts w:asciiTheme="majorHAnsi" w:eastAsia="Calibri" w:hAnsiTheme="majorHAnsi" w:cstheme="majorHAnsi"/>
          <w:color w:val="000000" w:themeColor="text1"/>
          <w:sz w:val="24"/>
          <w:szCs w:val="24"/>
          <w:lang w:val="ro-RO"/>
        </w:rPr>
        <w:t xml:space="preserve">persoane </w:t>
      </w:r>
      <w:r w:rsidR="00725BCD" w:rsidRPr="00BD050E">
        <w:rPr>
          <w:rFonts w:asciiTheme="majorHAnsi" w:eastAsia="Calibri" w:hAnsiTheme="majorHAnsi" w:cstheme="majorHAnsi"/>
          <w:color w:val="000000" w:themeColor="text1"/>
          <w:sz w:val="24"/>
          <w:szCs w:val="24"/>
          <w:lang w:val="ro-RO"/>
        </w:rPr>
        <w:t xml:space="preserve">- </w:t>
      </w:r>
      <w:r w:rsidR="00E37A9D" w:rsidRPr="00BD050E">
        <w:rPr>
          <w:rFonts w:asciiTheme="majorHAnsi" w:eastAsia="Calibri" w:hAnsiTheme="majorHAnsi" w:cstheme="majorHAnsi"/>
          <w:color w:val="000000" w:themeColor="text1"/>
          <w:sz w:val="24"/>
          <w:szCs w:val="24"/>
          <w:lang w:val="ro-RO"/>
        </w:rPr>
        <w:t>în anul 2017</w:t>
      </w:r>
      <w:r w:rsidR="00725BCD" w:rsidRPr="00BD050E">
        <w:rPr>
          <w:rFonts w:asciiTheme="majorHAnsi" w:eastAsia="Calibri" w:hAnsiTheme="majorHAnsi" w:cstheme="majorHAnsi"/>
          <w:color w:val="000000" w:themeColor="text1"/>
          <w:sz w:val="24"/>
          <w:szCs w:val="24"/>
          <w:lang w:val="ro-RO"/>
        </w:rPr>
        <w:t>,</w:t>
      </w:r>
      <w:r w:rsidR="00E37A9D" w:rsidRPr="00BD050E">
        <w:rPr>
          <w:rFonts w:asciiTheme="majorHAnsi" w:eastAsia="Calibri" w:hAnsiTheme="majorHAnsi" w:cstheme="majorHAnsi"/>
          <w:color w:val="000000" w:themeColor="text1"/>
          <w:sz w:val="24"/>
          <w:szCs w:val="24"/>
          <w:lang w:val="ro-RO"/>
        </w:rPr>
        <w:t xml:space="preserve"> până la 453160 </w:t>
      </w:r>
      <w:r w:rsidR="00725BCD" w:rsidRPr="00BD050E">
        <w:rPr>
          <w:rFonts w:asciiTheme="majorHAnsi" w:eastAsia="Calibri" w:hAnsiTheme="majorHAnsi" w:cstheme="majorHAnsi"/>
          <w:color w:val="000000" w:themeColor="text1"/>
          <w:sz w:val="24"/>
          <w:szCs w:val="24"/>
          <w:lang w:val="ro-RO"/>
        </w:rPr>
        <w:t xml:space="preserve">de </w:t>
      </w:r>
      <w:r w:rsidR="00E37A9D" w:rsidRPr="00BD050E">
        <w:rPr>
          <w:rFonts w:asciiTheme="majorHAnsi" w:eastAsia="Calibri" w:hAnsiTheme="majorHAnsi" w:cstheme="majorHAnsi"/>
          <w:color w:val="000000" w:themeColor="text1"/>
          <w:sz w:val="24"/>
          <w:szCs w:val="24"/>
          <w:lang w:val="ro-RO"/>
        </w:rPr>
        <w:t xml:space="preserve">persoane </w:t>
      </w:r>
      <w:r w:rsidR="00725BCD" w:rsidRPr="00BD050E">
        <w:rPr>
          <w:rFonts w:asciiTheme="majorHAnsi" w:eastAsia="Calibri" w:hAnsiTheme="majorHAnsi" w:cstheme="majorHAnsi"/>
          <w:color w:val="000000" w:themeColor="text1"/>
          <w:sz w:val="24"/>
          <w:szCs w:val="24"/>
          <w:lang w:val="ro-RO"/>
        </w:rPr>
        <w:t xml:space="preserve">- </w:t>
      </w:r>
      <w:r w:rsidR="00E37A9D" w:rsidRPr="00BD050E">
        <w:rPr>
          <w:rFonts w:asciiTheme="majorHAnsi" w:eastAsia="Calibri" w:hAnsiTheme="majorHAnsi" w:cstheme="majorHAnsi"/>
          <w:color w:val="000000" w:themeColor="text1"/>
          <w:sz w:val="24"/>
          <w:szCs w:val="24"/>
          <w:lang w:val="ro-RO"/>
        </w:rPr>
        <w:t>î</w:t>
      </w:r>
      <w:r w:rsidR="00D26068" w:rsidRPr="00BD050E">
        <w:rPr>
          <w:rFonts w:asciiTheme="majorHAnsi" w:eastAsia="Calibri" w:hAnsiTheme="majorHAnsi" w:cstheme="majorHAnsi"/>
          <w:color w:val="000000" w:themeColor="text1"/>
          <w:sz w:val="24"/>
          <w:szCs w:val="24"/>
          <w:lang w:val="ro-RO"/>
        </w:rPr>
        <w:t>n anul 2019</w:t>
      </w:r>
      <w:r w:rsidR="0084481C" w:rsidRPr="00BD050E">
        <w:rPr>
          <w:rFonts w:asciiTheme="majorHAnsi" w:eastAsia="Calibri" w:hAnsiTheme="majorHAnsi" w:cstheme="majorHAnsi"/>
          <w:color w:val="000000" w:themeColor="text1"/>
          <w:sz w:val="24"/>
          <w:szCs w:val="24"/>
          <w:lang w:val="ro-RO"/>
        </w:rPr>
        <w:t xml:space="preserve">, </w:t>
      </w:r>
      <w:r w:rsidR="00E37A9D" w:rsidRPr="00BD050E">
        <w:rPr>
          <w:rFonts w:asciiTheme="majorHAnsi" w:eastAsia="Calibri" w:hAnsiTheme="majorHAnsi" w:cstheme="majorHAnsi"/>
          <w:color w:val="000000" w:themeColor="text1"/>
          <w:sz w:val="24"/>
          <w:szCs w:val="24"/>
          <w:lang w:val="ro-RO"/>
        </w:rPr>
        <w:t xml:space="preserve">ceea ce constituie o creștere </w:t>
      </w:r>
      <w:r w:rsidR="00725BCD" w:rsidRPr="00BD050E">
        <w:rPr>
          <w:rFonts w:asciiTheme="majorHAnsi" w:eastAsia="Calibri" w:hAnsiTheme="majorHAnsi" w:cstheme="majorHAnsi"/>
          <w:color w:val="000000" w:themeColor="text1"/>
          <w:sz w:val="24"/>
          <w:szCs w:val="24"/>
          <w:lang w:val="ro-RO"/>
        </w:rPr>
        <w:t>cu</w:t>
      </w:r>
      <w:r w:rsidR="00E37A9D" w:rsidRPr="00BD050E">
        <w:rPr>
          <w:rFonts w:asciiTheme="majorHAnsi" w:eastAsia="Calibri" w:hAnsiTheme="majorHAnsi" w:cstheme="majorHAnsi"/>
          <w:color w:val="000000" w:themeColor="text1"/>
          <w:sz w:val="24"/>
          <w:szCs w:val="24"/>
          <w:lang w:val="ro-RO"/>
        </w:rPr>
        <w:t xml:space="preserve"> 38 416 persoane</w:t>
      </w:r>
      <w:r w:rsidR="00725BCD" w:rsidRPr="00BD050E">
        <w:rPr>
          <w:rFonts w:asciiTheme="majorHAnsi" w:eastAsia="Calibri" w:hAnsiTheme="majorHAnsi" w:cstheme="majorHAnsi"/>
          <w:color w:val="000000" w:themeColor="text1"/>
          <w:sz w:val="24"/>
          <w:szCs w:val="24"/>
          <w:lang w:val="ro-RO"/>
        </w:rPr>
        <w:t>,</w:t>
      </w:r>
      <w:r w:rsidR="00E37A9D" w:rsidRPr="00BD050E">
        <w:rPr>
          <w:rFonts w:asciiTheme="majorHAnsi" w:eastAsia="Calibri" w:hAnsiTheme="majorHAnsi" w:cstheme="majorHAnsi"/>
          <w:color w:val="000000" w:themeColor="text1"/>
          <w:sz w:val="24"/>
          <w:szCs w:val="24"/>
          <w:lang w:val="ro-RO"/>
        </w:rPr>
        <w:t xml:space="preserve"> sau </w:t>
      </w:r>
      <w:r w:rsidR="00A84CDC" w:rsidRPr="00BD050E">
        <w:rPr>
          <w:rFonts w:asciiTheme="majorHAnsi" w:eastAsia="Calibri" w:hAnsiTheme="majorHAnsi" w:cstheme="majorHAnsi"/>
          <w:color w:val="000000" w:themeColor="text1"/>
          <w:sz w:val="24"/>
          <w:szCs w:val="24"/>
          <w:lang w:val="ro-RO"/>
        </w:rPr>
        <w:t xml:space="preserve">cu </w:t>
      </w:r>
      <w:r w:rsidR="00E37A9D" w:rsidRPr="00BD050E">
        <w:rPr>
          <w:rFonts w:asciiTheme="majorHAnsi" w:eastAsia="Calibri" w:hAnsiTheme="majorHAnsi" w:cstheme="majorHAnsi"/>
          <w:color w:val="000000" w:themeColor="text1"/>
          <w:sz w:val="24"/>
          <w:szCs w:val="24"/>
          <w:lang w:val="ro-RO"/>
        </w:rPr>
        <w:t xml:space="preserve">9,26 puncte procentuale, </w:t>
      </w:r>
      <w:r w:rsidR="0084481C" w:rsidRPr="00BD050E">
        <w:rPr>
          <w:rFonts w:asciiTheme="majorHAnsi" w:eastAsia="Calibri" w:hAnsiTheme="majorHAnsi" w:cstheme="majorHAnsi"/>
          <w:color w:val="000000" w:themeColor="text1"/>
          <w:sz w:val="24"/>
          <w:szCs w:val="24"/>
          <w:lang w:val="ro-RO"/>
        </w:rPr>
        <w:t>indicatorul fiind validat</w:t>
      </w:r>
      <w:r w:rsidR="006D633A" w:rsidRPr="00BD050E">
        <w:rPr>
          <w:rFonts w:asciiTheme="majorHAnsi" w:eastAsia="Calibri" w:hAnsiTheme="majorHAnsi" w:cstheme="majorHAnsi"/>
          <w:color w:val="000000" w:themeColor="text1"/>
          <w:sz w:val="24"/>
          <w:szCs w:val="24"/>
          <w:lang w:val="ro-RO"/>
        </w:rPr>
        <w:t xml:space="preserve"> de către CCRM</w:t>
      </w:r>
      <w:r w:rsidR="0084481C" w:rsidRPr="00BD050E">
        <w:rPr>
          <w:rFonts w:asciiTheme="majorHAnsi" w:eastAsia="Calibri" w:hAnsiTheme="majorHAnsi" w:cstheme="majorHAnsi"/>
          <w:color w:val="000000" w:themeColor="text1"/>
          <w:sz w:val="24"/>
          <w:szCs w:val="24"/>
          <w:lang w:val="ro-RO"/>
        </w:rPr>
        <w:t>.</w:t>
      </w:r>
    </w:p>
    <w:p w14:paraId="57B8F66D" w14:textId="5C52689D" w:rsidR="00A26C34" w:rsidRPr="00BD050E" w:rsidRDefault="00A26C34" w:rsidP="00D26068">
      <w:pPr>
        <w:tabs>
          <w:tab w:val="left" w:pos="360"/>
        </w:tabs>
        <w:spacing w:before="24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Chiar dacă numărul beneficiari</w:t>
      </w:r>
      <w:r w:rsidR="00A84CDC" w:rsidRPr="00BD050E">
        <w:rPr>
          <w:rFonts w:asciiTheme="majorHAnsi" w:eastAsia="Calibri" w:hAnsiTheme="majorHAnsi" w:cstheme="majorHAnsi"/>
          <w:color w:val="000000" w:themeColor="text1"/>
          <w:sz w:val="24"/>
          <w:szCs w:val="24"/>
          <w:lang w:val="ro-RO"/>
        </w:rPr>
        <w:t>lor de medicamente compensate</w:t>
      </w:r>
      <w:r w:rsidRPr="00BD050E">
        <w:rPr>
          <w:rFonts w:asciiTheme="majorHAnsi" w:eastAsia="Calibri" w:hAnsiTheme="majorHAnsi" w:cstheme="majorHAnsi"/>
          <w:color w:val="000000" w:themeColor="text1"/>
          <w:sz w:val="24"/>
          <w:szCs w:val="24"/>
          <w:lang w:val="ro-RO"/>
        </w:rPr>
        <w:t xml:space="preserve"> a crescut semnificativ, conform datelor statistice, numărul de persoane cu BCV </w:t>
      </w:r>
      <w:r w:rsidR="00A84CDC" w:rsidRPr="00BD050E">
        <w:rPr>
          <w:rFonts w:asciiTheme="majorHAnsi" w:eastAsia="Calibri" w:hAnsiTheme="majorHAnsi" w:cstheme="majorHAnsi"/>
          <w:color w:val="000000" w:themeColor="text1"/>
          <w:sz w:val="24"/>
          <w:szCs w:val="24"/>
          <w:lang w:val="ro-RO"/>
        </w:rPr>
        <w:t>s-a majorat</w:t>
      </w:r>
      <w:r w:rsidRPr="00BD050E">
        <w:rPr>
          <w:rFonts w:asciiTheme="majorHAnsi" w:eastAsia="Calibri" w:hAnsiTheme="majorHAnsi" w:cstheme="majorHAnsi"/>
          <w:color w:val="000000" w:themeColor="text1"/>
          <w:sz w:val="24"/>
          <w:szCs w:val="24"/>
          <w:lang w:val="ro-RO"/>
        </w:rPr>
        <w:t xml:space="preserve"> și mai m</w:t>
      </w:r>
      <w:r w:rsidR="00A84CDC" w:rsidRPr="00BD050E">
        <w:rPr>
          <w:rFonts w:asciiTheme="majorHAnsi" w:eastAsia="Calibri" w:hAnsiTheme="majorHAnsi" w:cstheme="majorHAnsi"/>
          <w:color w:val="000000" w:themeColor="text1"/>
          <w:sz w:val="24"/>
          <w:szCs w:val="24"/>
          <w:lang w:val="ro-RO"/>
        </w:rPr>
        <w:t>ult</w:t>
      </w:r>
      <w:r w:rsidRPr="00BD050E">
        <w:rPr>
          <w:rFonts w:asciiTheme="majorHAnsi" w:eastAsia="Calibri" w:hAnsiTheme="majorHAnsi" w:cstheme="majorHAnsi"/>
          <w:color w:val="000000" w:themeColor="text1"/>
          <w:sz w:val="24"/>
          <w:szCs w:val="24"/>
          <w:lang w:val="ro-RO"/>
        </w:rPr>
        <w:t xml:space="preserve">. </w:t>
      </w:r>
      <w:r w:rsidR="00A84CDC" w:rsidRPr="00BD050E">
        <w:rPr>
          <w:rFonts w:asciiTheme="majorHAnsi" w:eastAsia="Calibri" w:hAnsiTheme="majorHAnsi" w:cstheme="majorHAnsi"/>
          <w:color w:val="000000" w:themeColor="text1"/>
          <w:sz w:val="24"/>
          <w:szCs w:val="24"/>
          <w:lang w:val="ro-RO"/>
        </w:rPr>
        <w:t>C</w:t>
      </w:r>
      <w:r w:rsidRPr="00BD050E">
        <w:rPr>
          <w:rFonts w:asciiTheme="majorHAnsi" w:eastAsia="Calibri" w:hAnsiTheme="majorHAnsi" w:cstheme="majorHAnsi"/>
          <w:color w:val="000000" w:themeColor="text1"/>
          <w:sz w:val="24"/>
          <w:szCs w:val="24"/>
          <w:lang w:val="ro-RO"/>
        </w:rPr>
        <w:t xml:space="preserve">reșterea mai intensă a ratei </w:t>
      </w:r>
      <w:r w:rsidR="00A84CDC" w:rsidRPr="00BD050E">
        <w:rPr>
          <w:rFonts w:asciiTheme="majorHAnsi" w:eastAsia="Calibri" w:hAnsiTheme="majorHAnsi" w:cstheme="majorHAnsi"/>
          <w:color w:val="000000" w:themeColor="text1"/>
          <w:sz w:val="24"/>
          <w:szCs w:val="24"/>
          <w:lang w:val="ro-RO"/>
        </w:rPr>
        <w:t xml:space="preserve">de </w:t>
      </w:r>
      <w:r w:rsidRPr="00BD050E">
        <w:rPr>
          <w:rFonts w:asciiTheme="majorHAnsi" w:eastAsia="Calibri" w:hAnsiTheme="majorHAnsi" w:cstheme="majorHAnsi"/>
          <w:color w:val="000000" w:themeColor="text1"/>
          <w:sz w:val="24"/>
          <w:szCs w:val="24"/>
          <w:lang w:val="ro-RO"/>
        </w:rPr>
        <w:t>depistare/înregistrare a BCV și, respectiv, a prevalenței BCV în această perioadă</w:t>
      </w:r>
      <w:r w:rsidR="00A84CDC" w:rsidRPr="00BD050E">
        <w:rPr>
          <w:rFonts w:asciiTheme="majorHAnsi" w:eastAsia="Calibri" w:hAnsiTheme="majorHAnsi" w:cstheme="majorHAnsi"/>
          <w:color w:val="000000" w:themeColor="text1"/>
          <w:sz w:val="24"/>
          <w:szCs w:val="24"/>
          <w:lang w:val="ro-RO"/>
        </w:rPr>
        <w:t xml:space="preserve"> a fost determinată de mai mulți factori</w:t>
      </w:r>
      <w:r w:rsidRPr="00BD050E">
        <w:rPr>
          <w:rFonts w:asciiTheme="majorHAnsi" w:eastAsia="Calibri" w:hAnsiTheme="majorHAnsi" w:cstheme="majorHAnsi"/>
          <w:color w:val="000000" w:themeColor="text1"/>
          <w:sz w:val="24"/>
          <w:szCs w:val="24"/>
          <w:lang w:val="ro-RO"/>
        </w:rPr>
        <w:t xml:space="preserve">: (i) introducerea protocoalelor OMS din cadrul Pachetului de intervenții esențiale pentru bolile netransmisibile (PEN) în </w:t>
      </w:r>
      <w:r w:rsidR="009A201F" w:rsidRPr="00BD050E">
        <w:rPr>
          <w:rFonts w:asciiTheme="majorHAnsi" w:eastAsia="Calibri" w:hAnsiTheme="majorHAnsi" w:cstheme="majorHAnsi"/>
          <w:color w:val="000000" w:themeColor="text1"/>
          <w:sz w:val="24"/>
          <w:szCs w:val="24"/>
          <w:lang w:val="ro-RO"/>
        </w:rPr>
        <w:t xml:space="preserve">anul </w:t>
      </w:r>
      <w:r w:rsidRPr="00BD050E">
        <w:rPr>
          <w:rFonts w:asciiTheme="majorHAnsi" w:eastAsia="Calibri" w:hAnsiTheme="majorHAnsi" w:cstheme="majorHAnsi"/>
          <w:color w:val="000000" w:themeColor="text1"/>
          <w:sz w:val="24"/>
          <w:szCs w:val="24"/>
          <w:lang w:val="ro-RO"/>
        </w:rPr>
        <w:t>2019; (ii) stimulentele din cadrul schemei de plată pentru performanță (ILD</w:t>
      </w:r>
      <w:r w:rsidR="003F54C8" w:rsidRPr="00BD050E">
        <w:rPr>
          <w:rFonts w:asciiTheme="majorHAnsi" w:eastAsia="Calibri" w:hAnsiTheme="majorHAnsi" w:cstheme="majorHAnsi"/>
          <w:color w:val="000000" w:themeColor="text1"/>
          <w:sz w:val="24"/>
          <w:szCs w:val="24"/>
          <w:lang w:val="ro-RO"/>
        </w:rPr>
        <w:t xml:space="preserve"> </w:t>
      </w:r>
      <w:r w:rsidRPr="00BD050E">
        <w:rPr>
          <w:rFonts w:asciiTheme="majorHAnsi" w:eastAsia="Calibri" w:hAnsiTheme="majorHAnsi" w:cstheme="majorHAnsi"/>
          <w:color w:val="000000" w:themeColor="text1"/>
          <w:sz w:val="24"/>
          <w:szCs w:val="24"/>
          <w:lang w:val="ro-RO"/>
        </w:rPr>
        <w:t xml:space="preserve">6); și (iii) migrația, când unii pacienți luați la evidență cu BCV nu primesc medicamentele compensate în Republica Moldova, dar în țara în care activează pe durata anului. </w:t>
      </w:r>
    </w:p>
    <w:p w14:paraId="79D96C09" w14:textId="2DDA4B24" w:rsidR="008F50F4" w:rsidRPr="00BD050E" w:rsidRDefault="008E1AB9" w:rsidP="00337BD3">
      <w:pPr>
        <w:tabs>
          <w:tab w:val="left" w:pos="360"/>
        </w:tabs>
        <w:spacing w:before="24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Validarea acestui indicator serve</w:t>
      </w:r>
      <w:r w:rsidRPr="00BD050E">
        <w:rPr>
          <w:rFonts w:asciiTheme="majorHAnsi" w:eastAsia="Calibri" w:hAnsiTheme="majorHAnsi" w:cstheme="majorHAnsi"/>
          <w:color w:val="000000" w:themeColor="text1"/>
          <w:sz w:val="24"/>
          <w:szCs w:val="24"/>
          <w:lang w:val="ro-MD"/>
        </w:rPr>
        <w:t>ște</w:t>
      </w:r>
      <w:r w:rsidRPr="00BD050E">
        <w:rPr>
          <w:rFonts w:asciiTheme="majorHAnsi" w:eastAsia="Calibri" w:hAnsiTheme="majorHAnsi" w:cstheme="majorHAnsi"/>
          <w:color w:val="000000" w:themeColor="text1"/>
          <w:sz w:val="24"/>
          <w:szCs w:val="24"/>
          <w:lang w:val="ro-RO"/>
        </w:rPr>
        <w:t xml:space="preserve"> ca temei pentru debursarea, și anume</w:t>
      </w:r>
      <w:r w:rsidR="009A201F"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w:t>
      </w:r>
      <w:r w:rsidR="003F54C8" w:rsidRPr="00BD050E">
        <w:rPr>
          <w:rFonts w:asciiTheme="majorHAnsi" w:eastAsia="Calibri" w:hAnsiTheme="majorHAnsi" w:cstheme="majorHAnsi"/>
          <w:color w:val="000000" w:themeColor="text1"/>
          <w:sz w:val="24"/>
          <w:szCs w:val="24"/>
          <w:lang w:val="ro-RO"/>
        </w:rPr>
        <w:t xml:space="preserve">a </w:t>
      </w:r>
      <w:r w:rsidRPr="00BD050E">
        <w:rPr>
          <w:rFonts w:asciiTheme="majorHAnsi" w:eastAsia="Calibri" w:hAnsiTheme="majorHAnsi" w:cstheme="majorHAnsi"/>
          <w:color w:val="000000" w:themeColor="text1"/>
          <w:sz w:val="24"/>
          <w:szCs w:val="24"/>
          <w:lang w:val="ro-RO"/>
        </w:rPr>
        <w:t xml:space="preserve">câte 291.150 Drepturi Speciale de Tragere pentru fiecare majorare cu 1 punct procentual față de nivelul de referință, până la nivelul maxim de 2.911.500,0 DST. </w:t>
      </w:r>
    </w:p>
    <w:p w14:paraId="6DD2871F" w14:textId="5A9464B5" w:rsidR="00337BD3" w:rsidRPr="00BD050E" w:rsidRDefault="008F50F4" w:rsidP="00337BD3">
      <w:pPr>
        <w:tabs>
          <w:tab w:val="left" w:pos="360"/>
        </w:tabs>
        <w:spacing w:before="24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MD"/>
        </w:rPr>
        <w:t xml:space="preserve">În </w:t>
      </w:r>
      <w:r w:rsidR="009A201F" w:rsidRPr="00BD050E">
        <w:rPr>
          <w:rFonts w:asciiTheme="majorHAnsi" w:eastAsia="Calibri" w:hAnsiTheme="majorHAnsi" w:cstheme="majorHAnsi"/>
          <w:color w:val="000000" w:themeColor="text1"/>
          <w:sz w:val="24"/>
          <w:szCs w:val="24"/>
          <w:lang w:val="ro-MD"/>
        </w:rPr>
        <w:t xml:space="preserve">acest </w:t>
      </w:r>
      <w:r w:rsidRPr="00BD050E">
        <w:rPr>
          <w:rFonts w:asciiTheme="majorHAnsi" w:eastAsia="Calibri" w:hAnsiTheme="majorHAnsi" w:cstheme="majorHAnsi"/>
          <w:color w:val="000000" w:themeColor="text1"/>
          <w:sz w:val="24"/>
          <w:szCs w:val="24"/>
          <w:lang w:val="ro-MD"/>
        </w:rPr>
        <w:t>context</w:t>
      </w:r>
      <w:r w:rsidR="00337BD3" w:rsidRPr="00BD050E">
        <w:rPr>
          <w:rFonts w:asciiTheme="majorHAnsi" w:eastAsia="Calibri" w:hAnsiTheme="majorHAnsi" w:cstheme="majorHAnsi"/>
          <w:color w:val="000000" w:themeColor="text1"/>
          <w:sz w:val="24"/>
          <w:szCs w:val="24"/>
          <w:lang w:val="ro-RO"/>
        </w:rPr>
        <w:t>, se atestă că indicatorul a fost validat parțial (92%)</w:t>
      </w:r>
      <w:r w:rsidRPr="00BD050E">
        <w:rPr>
          <w:rFonts w:asciiTheme="majorHAnsi" w:eastAsia="Calibri" w:hAnsiTheme="majorHAnsi" w:cstheme="majorHAnsi"/>
          <w:color w:val="000000" w:themeColor="text1"/>
          <w:sz w:val="24"/>
          <w:szCs w:val="24"/>
          <w:lang w:val="ro-RO"/>
        </w:rPr>
        <w:t xml:space="preserve"> în anul 2021</w:t>
      </w:r>
      <w:r w:rsidR="00337BD3" w:rsidRPr="00BD050E">
        <w:rPr>
          <w:rFonts w:asciiTheme="majorHAnsi" w:eastAsia="Calibri" w:hAnsiTheme="majorHAnsi" w:cstheme="majorHAnsi"/>
          <w:color w:val="000000" w:themeColor="text1"/>
          <w:sz w:val="24"/>
          <w:szCs w:val="24"/>
          <w:lang w:val="ro-RO"/>
        </w:rPr>
        <w:t>, debursarea mijloacelor financiare în sumă de 2 911 500</w:t>
      </w:r>
      <w:r w:rsidR="00337BD3" w:rsidRPr="00BD050E">
        <w:rPr>
          <w:color w:val="000000" w:themeColor="text1"/>
          <w:lang w:val="ro-RO"/>
        </w:rPr>
        <w:t xml:space="preserve"> </w:t>
      </w:r>
      <w:r w:rsidR="00337BD3" w:rsidRPr="00BD050E">
        <w:rPr>
          <w:rFonts w:asciiTheme="majorHAnsi" w:eastAsia="Calibri" w:hAnsiTheme="majorHAnsi" w:cstheme="majorHAnsi"/>
          <w:color w:val="000000" w:themeColor="text1"/>
          <w:sz w:val="24"/>
          <w:szCs w:val="24"/>
          <w:lang w:val="ro-RO"/>
        </w:rPr>
        <w:t xml:space="preserve">DST s-a rezumat la </w:t>
      </w:r>
      <w:r w:rsidRPr="00BD050E">
        <w:rPr>
          <w:rFonts w:asciiTheme="majorHAnsi" w:eastAsia="Times New Roman" w:hAnsiTheme="majorHAnsi" w:cstheme="majorHAnsi"/>
          <w:color w:val="000000" w:themeColor="text1"/>
          <w:sz w:val="24"/>
          <w:szCs w:val="24"/>
          <w:lang w:val="ro-RO"/>
        </w:rPr>
        <w:t>2.678.580 DST</w:t>
      </w:r>
      <w:r w:rsidR="007F528F" w:rsidRPr="00BD050E">
        <w:rPr>
          <w:rFonts w:asciiTheme="majorHAnsi" w:eastAsia="Times New Roman" w:hAnsiTheme="majorHAnsi" w:cstheme="majorHAnsi"/>
          <w:color w:val="000000" w:themeColor="text1"/>
          <w:sz w:val="24"/>
          <w:szCs w:val="24"/>
          <w:lang w:val="ro-RO"/>
        </w:rPr>
        <w:t xml:space="preserve"> în</w:t>
      </w:r>
      <w:r w:rsidR="006D3A2F" w:rsidRPr="00BD050E">
        <w:rPr>
          <w:rFonts w:asciiTheme="majorHAnsi" w:eastAsia="Times New Roman" w:hAnsiTheme="majorHAnsi" w:cstheme="majorHAnsi"/>
          <w:color w:val="000000" w:themeColor="text1"/>
          <w:sz w:val="24"/>
          <w:szCs w:val="24"/>
          <w:lang w:val="ro-RO"/>
        </w:rPr>
        <w:t xml:space="preserve"> bugetul CNAM</w:t>
      </w:r>
      <w:r w:rsidR="0086533E" w:rsidRPr="00BD050E">
        <w:rPr>
          <w:rFonts w:asciiTheme="majorHAnsi" w:eastAsia="Times New Roman" w:hAnsiTheme="majorHAnsi" w:cstheme="majorHAnsi"/>
          <w:color w:val="000000" w:themeColor="text1"/>
          <w:sz w:val="24"/>
          <w:szCs w:val="24"/>
          <w:lang w:val="ro-RO"/>
        </w:rPr>
        <w:t>.</w:t>
      </w:r>
    </w:p>
    <w:p w14:paraId="4096A646" w14:textId="77777777" w:rsidR="00337BD3" w:rsidRPr="00BD050E" w:rsidRDefault="0084481C" w:rsidP="0084481C">
      <w:pPr>
        <w:pStyle w:val="ListParagraph"/>
        <w:numPr>
          <w:ilvl w:val="0"/>
          <w:numId w:val="10"/>
        </w:numPr>
        <w:tabs>
          <w:tab w:val="left" w:pos="720"/>
        </w:tabs>
        <w:suppressAutoHyphens/>
        <w:spacing w:before="240" w:after="0" w:line="276" w:lineRule="auto"/>
        <w:ind w:left="0" w:right="-29" w:firstLine="360"/>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lastRenderedPageBreak/>
        <w:t xml:space="preserve">ILD 7. </w:t>
      </w:r>
      <w:r w:rsidR="00A26C34" w:rsidRPr="00BD050E">
        <w:rPr>
          <w:rFonts w:asciiTheme="majorHAnsi" w:eastAsia="Calibri" w:hAnsiTheme="majorHAnsi" w:cstheme="majorHAnsi"/>
          <w:b/>
          <w:i/>
          <w:color w:val="000000" w:themeColor="text1"/>
          <w:sz w:val="24"/>
          <w:szCs w:val="24"/>
          <w:lang w:val="ro-RO"/>
        </w:rPr>
        <w:t>„Introducerea stimulentelor bazate pe performanță pentru a îmbunătăți eficiența și calitatea asistenței medicale în spitale”</w:t>
      </w:r>
      <w:r w:rsidRPr="00BD050E">
        <w:rPr>
          <w:rFonts w:asciiTheme="majorHAnsi" w:eastAsia="Calibri" w:hAnsiTheme="majorHAnsi" w:cstheme="majorHAnsi"/>
          <w:color w:val="000000" w:themeColor="text1"/>
          <w:sz w:val="24"/>
          <w:szCs w:val="24"/>
          <w:lang w:val="ro-RO"/>
        </w:rPr>
        <w:t xml:space="preserve">  a fost modificat în </w:t>
      </w:r>
      <w:r w:rsidRPr="00BD050E">
        <w:rPr>
          <w:rFonts w:asciiTheme="majorHAnsi" w:eastAsia="Calibri" w:hAnsiTheme="majorHAnsi" w:cstheme="majorHAnsi"/>
          <w:b/>
          <w:i/>
          <w:color w:val="000000" w:themeColor="text1"/>
          <w:sz w:val="24"/>
          <w:szCs w:val="24"/>
          <w:lang w:val="ro-RO"/>
        </w:rPr>
        <w:t>„Proiectarea și pilotarea schemei de stimulente bazate pe performanță pentru toate spitalele”.</w:t>
      </w:r>
    </w:p>
    <w:p w14:paraId="6E75A890" w14:textId="489CCE33" w:rsidR="0084481C" w:rsidRPr="00BD050E" w:rsidRDefault="00337BD3" w:rsidP="00337BD3">
      <w:pPr>
        <w:tabs>
          <w:tab w:val="left" w:pos="720"/>
        </w:tabs>
        <w:suppressAutoHyphens/>
        <w:spacing w:before="240" w:after="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 xml:space="preserve">Sursele financiare prevăzute anterior pentru ILD 4 (323.500 DST) </w:t>
      </w:r>
      <w:r w:rsidR="00B614FE" w:rsidRPr="00BD050E">
        <w:rPr>
          <w:rFonts w:asciiTheme="majorHAnsi" w:eastAsia="Calibri" w:hAnsiTheme="majorHAnsi" w:cstheme="majorHAnsi"/>
          <w:color w:val="000000" w:themeColor="text1"/>
          <w:sz w:val="24"/>
          <w:szCs w:val="24"/>
          <w:lang w:val="ro-RO"/>
        </w:rPr>
        <w:t>au fost</w:t>
      </w:r>
      <w:r w:rsidRPr="00BD050E">
        <w:rPr>
          <w:rFonts w:asciiTheme="majorHAnsi" w:eastAsia="Calibri" w:hAnsiTheme="majorHAnsi" w:cstheme="majorHAnsi"/>
          <w:color w:val="000000" w:themeColor="text1"/>
          <w:sz w:val="24"/>
          <w:szCs w:val="24"/>
          <w:lang w:val="ro-RO"/>
        </w:rPr>
        <w:t xml:space="preserve"> realocate către DLR-urile 7.2 </w:t>
      </w:r>
      <w:r w:rsidR="008E1AB9" w:rsidRPr="00BD050E">
        <w:rPr>
          <w:rFonts w:asciiTheme="majorHAnsi" w:eastAsia="Calibri" w:hAnsiTheme="majorHAnsi" w:cstheme="majorHAnsi"/>
          <w:color w:val="000000" w:themeColor="text1"/>
          <w:sz w:val="24"/>
          <w:szCs w:val="24"/>
          <w:lang w:val="ro-RO"/>
        </w:rPr>
        <w:t xml:space="preserve">(161750 DTS) </w:t>
      </w:r>
      <w:r w:rsidRPr="00BD050E">
        <w:rPr>
          <w:rFonts w:asciiTheme="majorHAnsi" w:eastAsia="Calibri" w:hAnsiTheme="majorHAnsi" w:cstheme="majorHAnsi"/>
          <w:color w:val="000000" w:themeColor="text1"/>
          <w:sz w:val="24"/>
          <w:szCs w:val="24"/>
          <w:lang w:val="ro-RO"/>
        </w:rPr>
        <w:t>și 7.3</w:t>
      </w:r>
      <w:r w:rsidR="008E1AB9" w:rsidRPr="00BD050E">
        <w:rPr>
          <w:rFonts w:asciiTheme="majorHAnsi" w:eastAsia="Calibri" w:hAnsiTheme="majorHAnsi" w:cstheme="majorHAnsi"/>
          <w:color w:val="000000" w:themeColor="text1"/>
          <w:sz w:val="24"/>
          <w:szCs w:val="24"/>
          <w:lang w:val="ro-RO"/>
        </w:rPr>
        <w:t xml:space="preserve"> (161750 DTS)</w:t>
      </w:r>
      <w:r w:rsidRPr="00BD050E">
        <w:rPr>
          <w:rFonts w:asciiTheme="majorHAnsi" w:eastAsia="Calibri" w:hAnsiTheme="majorHAnsi" w:cstheme="majorHAnsi"/>
          <w:color w:val="000000" w:themeColor="text1"/>
          <w:sz w:val="24"/>
          <w:szCs w:val="24"/>
          <w:lang w:val="ro-RO"/>
        </w:rPr>
        <w:t xml:space="preserve">, care </w:t>
      </w:r>
      <w:r w:rsidR="00B614FE" w:rsidRPr="00BD050E">
        <w:rPr>
          <w:rFonts w:asciiTheme="majorHAnsi" w:eastAsia="Calibri" w:hAnsiTheme="majorHAnsi" w:cstheme="majorHAnsi"/>
          <w:color w:val="000000" w:themeColor="text1"/>
          <w:sz w:val="24"/>
          <w:szCs w:val="24"/>
          <w:lang w:val="ro-RO"/>
        </w:rPr>
        <w:t xml:space="preserve">s-au </w:t>
      </w:r>
      <w:r w:rsidRPr="00BD050E">
        <w:rPr>
          <w:rFonts w:asciiTheme="majorHAnsi" w:eastAsia="Calibri" w:hAnsiTheme="majorHAnsi" w:cstheme="majorHAnsi"/>
          <w:color w:val="000000" w:themeColor="text1"/>
          <w:sz w:val="24"/>
          <w:szCs w:val="24"/>
          <w:lang w:val="ro-RO"/>
        </w:rPr>
        <w:t>revizui</w:t>
      </w:r>
      <w:r w:rsidR="00B614FE" w:rsidRPr="00BD050E">
        <w:rPr>
          <w:rFonts w:asciiTheme="majorHAnsi" w:eastAsia="Calibri" w:hAnsiTheme="majorHAnsi" w:cstheme="majorHAnsi"/>
          <w:color w:val="000000" w:themeColor="text1"/>
          <w:sz w:val="24"/>
          <w:szCs w:val="24"/>
          <w:lang w:val="ro-RO"/>
        </w:rPr>
        <w:t>t</w:t>
      </w:r>
      <w:r w:rsidRPr="00BD050E">
        <w:rPr>
          <w:rFonts w:asciiTheme="majorHAnsi" w:eastAsia="Calibri" w:hAnsiTheme="majorHAnsi" w:cstheme="majorHAnsi"/>
          <w:color w:val="000000" w:themeColor="text1"/>
          <w:sz w:val="24"/>
          <w:szCs w:val="24"/>
          <w:lang w:val="ro-RO"/>
        </w:rPr>
        <w:t xml:space="preserve"> după cum urmează: 7.2: revizuirea schemei de plată pentru </w:t>
      </w:r>
      <w:r w:rsidR="00B614FE" w:rsidRPr="00BD050E">
        <w:rPr>
          <w:rFonts w:asciiTheme="majorHAnsi" w:eastAsia="Calibri" w:hAnsiTheme="majorHAnsi" w:cstheme="majorHAnsi"/>
          <w:color w:val="000000" w:themeColor="text1"/>
          <w:sz w:val="24"/>
          <w:szCs w:val="24"/>
          <w:lang w:val="ro-RO"/>
        </w:rPr>
        <w:t>performanță (485.250 DST</w:t>
      </w:r>
      <w:r w:rsidR="008C4E5C" w:rsidRPr="00BD050E">
        <w:rPr>
          <w:rFonts w:asciiTheme="majorHAnsi" w:eastAsia="Calibri" w:hAnsiTheme="majorHAnsi" w:cstheme="majorHAnsi"/>
          <w:color w:val="000000" w:themeColor="text1"/>
          <w:sz w:val="24"/>
          <w:szCs w:val="24"/>
          <w:lang w:val="ro-RO"/>
        </w:rPr>
        <w:t>, validat și debursat în mai 2022</w:t>
      </w:r>
      <w:r w:rsidR="00B614FE" w:rsidRPr="00BD050E">
        <w:rPr>
          <w:rFonts w:asciiTheme="majorHAnsi" w:eastAsia="Calibri" w:hAnsiTheme="majorHAnsi" w:cstheme="majorHAnsi"/>
          <w:color w:val="000000" w:themeColor="text1"/>
          <w:sz w:val="24"/>
          <w:szCs w:val="24"/>
          <w:lang w:val="ro-RO"/>
        </w:rPr>
        <w:t xml:space="preserve">) și </w:t>
      </w:r>
      <w:r w:rsidRPr="00BD050E">
        <w:rPr>
          <w:rFonts w:asciiTheme="majorHAnsi" w:eastAsia="Calibri" w:hAnsiTheme="majorHAnsi" w:cstheme="majorHAnsi"/>
          <w:color w:val="000000" w:themeColor="text1"/>
          <w:sz w:val="24"/>
          <w:szCs w:val="24"/>
          <w:lang w:val="ro-RO"/>
        </w:rPr>
        <w:t xml:space="preserve">7.3: pilotarea metodologiei revizuite în cel puțin 7 spitale (485.250 DST). </w:t>
      </w:r>
      <w:r w:rsidR="0084481C" w:rsidRPr="00BD050E">
        <w:rPr>
          <w:rFonts w:asciiTheme="majorHAnsi" w:eastAsia="Calibri" w:hAnsiTheme="majorHAnsi" w:cstheme="majorHAnsi"/>
          <w:b/>
          <w:i/>
          <w:color w:val="000000" w:themeColor="text1"/>
          <w:sz w:val="24"/>
          <w:szCs w:val="24"/>
          <w:lang w:val="ro-RO"/>
        </w:rPr>
        <w:t xml:space="preserve"> </w:t>
      </w:r>
      <w:r w:rsidR="00B614FE" w:rsidRPr="00BD050E">
        <w:rPr>
          <w:rFonts w:asciiTheme="majorHAnsi" w:eastAsia="Calibri" w:hAnsiTheme="majorHAnsi" w:cstheme="majorHAnsi"/>
          <w:color w:val="000000" w:themeColor="text1"/>
          <w:sz w:val="24"/>
          <w:szCs w:val="24"/>
          <w:lang w:val="ro-RO"/>
        </w:rPr>
        <w:t>Astfel, în decembrie 2021,</w:t>
      </w:r>
      <w:r w:rsidR="0084481C" w:rsidRPr="00BD050E">
        <w:rPr>
          <w:rFonts w:asciiTheme="majorHAnsi" w:eastAsia="Calibri" w:hAnsiTheme="majorHAnsi" w:cstheme="majorHAnsi"/>
          <w:color w:val="000000" w:themeColor="text1"/>
          <w:sz w:val="24"/>
          <w:szCs w:val="24"/>
          <w:lang w:val="ro-RO"/>
        </w:rPr>
        <w:t xml:space="preserve"> a fost apr</w:t>
      </w:r>
      <w:r w:rsidR="00B614FE" w:rsidRPr="00BD050E">
        <w:rPr>
          <w:rFonts w:asciiTheme="majorHAnsi" w:eastAsia="Calibri" w:hAnsiTheme="majorHAnsi" w:cstheme="majorHAnsi"/>
          <w:color w:val="000000" w:themeColor="text1"/>
          <w:sz w:val="24"/>
          <w:szCs w:val="24"/>
          <w:lang w:val="ro-RO"/>
        </w:rPr>
        <w:t>obat Ordinul comun al MS și CNAM „</w:t>
      </w:r>
      <w:r w:rsidR="0084481C" w:rsidRPr="00BD050E">
        <w:rPr>
          <w:rFonts w:asciiTheme="majorHAnsi" w:eastAsia="Calibri" w:hAnsiTheme="majorHAnsi" w:cstheme="majorHAnsi"/>
          <w:color w:val="000000" w:themeColor="text1"/>
          <w:sz w:val="24"/>
          <w:szCs w:val="24"/>
          <w:lang w:val="ro-RO"/>
        </w:rPr>
        <w:t>Cu privire la pilotarea mecanismului de plată pentru performanța în asistența medicală spitalicească</w:t>
      </w:r>
      <w:r w:rsidR="00B614FE" w:rsidRPr="00BD050E">
        <w:rPr>
          <w:rFonts w:asciiTheme="majorHAnsi" w:eastAsia="Calibri" w:hAnsiTheme="majorHAnsi" w:cstheme="majorHAnsi"/>
          <w:color w:val="000000" w:themeColor="text1"/>
          <w:sz w:val="24"/>
          <w:szCs w:val="24"/>
          <w:lang w:val="ro-RO"/>
        </w:rPr>
        <w:t>”</w:t>
      </w:r>
      <w:r w:rsidR="0084481C" w:rsidRPr="00BD050E">
        <w:rPr>
          <w:rFonts w:asciiTheme="majorHAnsi" w:eastAsia="Calibri" w:hAnsiTheme="majorHAnsi" w:cstheme="majorHAnsi"/>
          <w:color w:val="000000" w:themeColor="text1"/>
          <w:sz w:val="24"/>
          <w:szCs w:val="24"/>
          <w:lang w:val="ro-RO"/>
        </w:rPr>
        <w:t xml:space="preserve">. Acesta prevede inițierea </w:t>
      </w:r>
      <w:r w:rsidR="008C4E5C" w:rsidRPr="00BD050E">
        <w:rPr>
          <w:rFonts w:asciiTheme="majorHAnsi" w:eastAsia="Calibri" w:hAnsiTheme="majorHAnsi" w:cstheme="majorHAnsi"/>
          <w:color w:val="000000" w:themeColor="text1"/>
          <w:sz w:val="24"/>
          <w:szCs w:val="24"/>
          <w:lang w:val="ro-RO"/>
        </w:rPr>
        <w:t>pilotării</w:t>
      </w:r>
      <w:r w:rsidR="0084481C" w:rsidRPr="00BD050E">
        <w:rPr>
          <w:rFonts w:asciiTheme="majorHAnsi" w:eastAsia="Calibri" w:hAnsiTheme="majorHAnsi" w:cstheme="majorHAnsi"/>
          <w:color w:val="000000" w:themeColor="text1"/>
          <w:sz w:val="24"/>
          <w:szCs w:val="24"/>
          <w:lang w:val="ro-RO"/>
        </w:rPr>
        <w:t xml:space="preserve"> </w:t>
      </w:r>
      <w:r w:rsidR="008C4E5C" w:rsidRPr="00BD050E">
        <w:rPr>
          <w:rFonts w:asciiTheme="majorHAnsi" w:eastAsia="Calibri" w:hAnsiTheme="majorHAnsi" w:cstheme="majorHAnsi"/>
          <w:color w:val="000000" w:themeColor="text1"/>
          <w:sz w:val="24"/>
          <w:szCs w:val="24"/>
          <w:lang w:val="ro-RO"/>
        </w:rPr>
        <w:t>mecanismului</w:t>
      </w:r>
      <w:r w:rsidR="0084481C" w:rsidRPr="00BD050E">
        <w:rPr>
          <w:rFonts w:asciiTheme="majorHAnsi" w:eastAsia="Calibri" w:hAnsiTheme="majorHAnsi" w:cstheme="majorHAnsi"/>
          <w:color w:val="000000" w:themeColor="text1"/>
          <w:sz w:val="24"/>
          <w:szCs w:val="24"/>
          <w:lang w:val="ro-RO"/>
        </w:rPr>
        <w:t xml:space="preserve"> de plată pentru performanț</w:t>
      </w:r>
      <w:r w:rsidR="00157FB1" w:rsidRPr="00BD050E">
        <w:rPr>
          <w:rFonts w:asciiTheme="majorHAnsi" w:eastAsia="Calibri" w:hAnsiTheme="majorHAnsi" w:cstheme="majorHAnsi"/>
          <w:color w:val="000000" w:themeColor="text1"/>
          <w:sz w:val="24"/>
          <w:szCs w:val="24"/>
          <w:lang w:val="ro-RO"/>
        </w:rPr>
        <w:t>ă</w:t>
      </w:r>
      <w:r w:rsidR="0084481C" w:rsidRPr="00BD050E">
        <w:rPr>
          <w:rFonts w:asciiTheme="majorHAnsi" w:eastAsia="Calibri" w:hAnsiTheme="majorHAnsi" w:cstheme="majorHAnsi"/>
          <w:color w:val="000000" w:themeColor="text1"/>
          <w:sz w:val="24"/>
          <w:szCs w:val="24"/>
          <w:lang w:val="ro-RO"/>
        </w:rPr>
        <w:t xml:space="preserve"> (P4P) în baza performanței în </w:t>
      </w:r>
      <w:r w:rsidR="00D57F32" w:rsidRPr="00BD050E">
        <w:rPr>
          <w:rFonts w:asciiTheme="majorHAnsi" w:eastAsia="Calibri" w:hAnsiTheme="majorHAnsi" w:cstheme="majorHAnsi"/>
          <w:color w:val="000000" w:themeColor="text1"/>
          <w:sz w:val="24"/>
          <w:szCs w:val="24"/>
          <w:lang w:val="ro-RO"/>
        </w:rPr>
        <w:t>asistența medicală spitalicească,</w:t>
      </w:r>
      <w:r w:rsidR="0084481C" w:rsidRPr="00BD050E">
        <w:rPr>
          <w:rFonts w:asciiTheme="majorHAnsi" w:eastAsia="Calibri" w:hAnsiTheme="majorHAnsi" w:cstheme="majorHAnsi"/>
          <w:color w:val="000000" w:themeColor="text1"/>
          <w:sz w:val="24"/>
          <w:szCs w:val="24"/>
          <w:lang w:val="ro-RO"/>
        </w:rPr>
        <w:t xml:space="preserve"> pres</w:t>
      </w:r>
      <w:r w:rsidR="00B614FE" w:rsidRPr="00BD050E">
        <w:rPr>
          <w:rFonts w:asciiTheme="majorHAnsi" w:eastAsia="Calibri" w:hAnsiTheme="majorHAnsi" w:cstheme="majorHAnsi"/>
          <w:color w:val="000000" w:themeColor="text1"/>
          <w:sz w:val="24"/>
          <w:szCs w:val="24"/>
          <w:lang w:val="ro-RO"/>
        </w:rPr>
        <w:t xml:space="preserve">tată în cadrul </w:t>
      </w:r>
      <w:r w:rsidR="00D57F32" w:rsidRPr="00BD050E">
        <w:rPr>
          <w:rFonts w:asciiTheme="majorHAnsi" w:eastAsia="Calibri" w:hAnsiTheme="majorHAnsi" w:cstheme="majorHAnsi"/>
          <w:color w:val="000000" w:themeColor="text1"/>
          <w:sz w:val="24"/>
          <w:szCs w:val="24"/>
          <w:lang w:val="ro-RO"/>
        </w:rPr>
        <w:t>asigurării obligatorii de asistenţă medicală </w:t>
      </w:r>
      <w:r w:rsidR="00B614FE" w:rsidRPr="00BD050E">
        <w:rPr>
          <w:rFonts w:asciiTheme="majorHAnsi" w:eastAsia="Calibri" w:hAnsiTheme="majorHAnsi" w:cstheme="majorHAnsi"/>
          <w:color w:val="000000" w:themeColor="text1"/>
          <w:sz w:val="24"/>
          <w:szCs w:val="24"/>
          <w:lang w:val="ro-RO"/>
        </w:rPr>
        <w:t xml:space="preserve"> de către </w:t>
      </w:r>
      <w:r w:rsidR="0084481C" w:rsidRPr="00BD050E">
        <w:rPr>
          <w:rFonts w:asciiTheme="majorHAnsi" w:eastAsia="Calibri" w:hAnsiTheme="majorHAnsi" w:cstheme="majorHAnsi"/>
          <w:color w:val="000000" w:themeColor="text1"/>
          <w:sz w:val="24"/>
          <w:szCs w:val="24"/>
          <w:lang w:val="ro-RO"/>
        </w:rPr>
        <w:t>ș</w:t>
      </w:r>
      <w:r w:rsidR="00B614FE" w:rsidRPr="00BD050E">
        <w:rPr>
          <w:rFonts w:asciiTheme="majorHAnsi" w:eastAsia="Calibri" w:hAnsiTheme="majorHAnsi" w:cstheme="majorHAnsi"/>
          <w:color w:val="000000" w:themeColor="text1"/>
          <w:sz w:val="24"/>
          <w:szCs w:val="24"/>
          <w:lang w:val="ro-RO"/>
        </w:rPr>
        <w:t>apte</w:t>
      </w:r>
      <w:r w:rsidR="0084481C" w:rsidRPr="00BD050E">
        <w:rPr>
          <w:rFonts w:asciiTheme="majorHAnsi" w:eastAsia="Calibri" w:hAnsiTheme="majorHAnsi" w:cstheme="majorHAnsi"/>
          <w:color w:val="000000" w:themeColor="text1"/>
          <w:sz w:val="24"/>
          <w:szCs w:val="24"/>
          <w:lang w:val="ro-RO"/>
        </w:rPr>
        <w:t xml:space="preserve"> IMSP: Spitalul Clinic Republican „Timofei Moșneagă", Institutul Mamei și Copilului, Institutul de Medicin</w:t>
      </w:r>
      <w:r w:rsidR="00157FB1" w:rsidRPr="00BD050E">
        <w:rPr>
          <w:rFonts w:asciiTheme="majorHAnsi" w:eastAsia="Calibri" w:hAnsiTheme="majorHAnsi" w:cstheme="majorHAnsi"/>
          <w:color w:val="000000" w:themeColor="text1"/>
          <w:sz w:val="24"/>
          <w:szCs w:val="24"/>
          <w:lang w:val="ro-RO"/>
        </w:rPr>
        <w:t>ă</w:t>
      </w:r>
      <w:r w:rsidR="0084481C" w:rsidRPr="00BD050E">
        <w:rPr>
          <w:rFonts w:asciiTheme="majorHAnsi" w:eastAsia="Calibri" w:hAnsiTheme="majorHAnsi" w:cstheme="majorHAnsi"/>
          <w:color w:val="000000" w:themeColor="text1"/>
          <w:sz w:val="24"/>
          <w:szCs w:val="24"/>
          <w:lang w:val="ro-RO"/>
        </w:rPr>
        <w:t xml:space="preserve"> Urgentă</w:t>
      </w:r>
      <w:r w:rsidR="00157FB1" w:rsidRPr="00BD050E">
        <w:rPr>
          <w:rFonts w:asciiTheme="majorHAnsi" w:eastAsia="Calibri" w:hAnsiTheme="majorHAnsi" w:cstheme="majorHAnsi"/>
          <w:color w:val="000000" w:themeColor="text1"/>
          <w:sz w:val="24"/>
          <w:szCs w:val="24"/>
          <w:lang w:val="ro-RO"/>
        </w:rPr>
        <w:t>,</w:t>
      </w:r>
      <w:r w:rsidR="0084481C" w:rsidRPr="00BD050E">
        <w:rPr>
          <w:rFonts w:asciiTheme="majorHAnsi" w:eastAsia="Calibri" w:hAnsiTheme="majorHAnsi" w:cstheme="majorHAnsi"/>
          <w:color w:val="000000" w:themeColor="text1"/>
          <w:sz w:val="24"/>
          <w:szCs w:val="24"/>
          <w:lang w:val="ro-RO"/>
        </w:rPr>
        <w:t xml:space="preserve"> Spitalul Clinic Municipal „Gheorghe Paladi", Spitalul Raional Orhei, Spitalul Raional </w:t>
      </w:r>
      <w:r w:rsidR="002F38ED" w:rsidRPr="00BD050E">
        <w:rPr>
          <w:rFonts w:asciiTheme="majorHAnsi" w:eastAsia="Calibri" w:hAnsiTheme="majorHAnsi" w:cstheme="majorHAnsi"/>
          <w:color w:val="000000" w:themeColor="text1"/>
          <w:sz w:val="24"/>
          <w:szCs w:val="24"/>
          <w:lang w:val="ro-RO"/>
        </w:rPr>
        <w:t>Hâncești</w:t>
      </w:r>
      <w:r w:rsidR="0084481C" w:rsidRPr="00BD050E">
        <w:rPr>
          <w:rFonts w:asciiTheme="majorHAnsi" w:eastAsia="Calibri" w:hAnsiTheme="majorHAnsi" w:cstheme="majorHAnsi"/>
          <w:color w:val="000000" w:themeColor="text1"/>
          <w:sz w:val="24"/>
          <w:szCs w:val="24"/>
          <w:lang w:val="ro-RO"/>
        </w:rPr>
        <w:t xml:space="preserve"> și Spitalul Raional Anenii Noi.</w:t>
      </w:r>
    </w:p>
    <w:p w14:paraId="32D0940D" w14:textId="33D256A4" w:rsidR="00337BD3" w:rsidRPr="00BD050E" w:rsidRDefault="00337BD3" w:rsidP="00337BD3">
      <w:pPr>
        <w:tabs>
          <w:tab w:val="left" w:pos="360"/>
        </w:tabs>
        <w:spacing w:before="24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Ordinul în cauză stabilește pilotarea mecanismului P4P</w:t>
      </w:r>
      <w:r w:rsidR="00157FB1"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realizat în patru etape: etapa I - realizarea măsurării performanței inițiale pentru fiecare indicator și prestator, ce vizează activitatea </w:t>
      </w:r>
      <w:r w:rsidR="008B0EA5" w:rsidRPr="00BD050E">
        <w:rPr>
          <w:rFonts w:asciiTheme="majorHAnsi" w:eastAsia="Calibri" w:hAnsiTheme="majorHAnsi" w:cstheme="majorHAnsi"/>
          <w:color w:val="000000" w:themeColor="text1"/>
          <w:sz w:val="24"/>
          <w:szCs w:val="24"/>
          <w:lang w:val="ro-RO"/>
        </w:rPr>
        <w:t xml:space="preserve">în </w:t>
      </w:r>
      <w:r w:rsidRPr="00BD050E">
        <w:rPr>
          <w:rFonts w:asciiTheme="majorHAnsi" w:eastAsia="Calibri" w:hAnsiTheme="majorHAnsi" w:cstheme="majorHAnsi"/>
          <w:color w:val="000000" w:themeColor="text1"/>
          <w:sz w:val="24"/>
          <w:szCs w:val="24"/>
          <w:lang w:val="ro-RO"/>
        </w:rPr>
        <w:t>anul</w:t>
      </w:r>
      <w:r w:rsidR="008B0EA5" w:rsidRPr="00BD050E">
        <w:rPr>
          <w:rFonts w:asciiTheme="majorHAnsi" w:eastAsia="Calibri" w:hAnsiTheme="majorHAnsi" w:cstheme="majorHAnsi"/>
          <w:color w:val="000000" w:themeColor="text1"/>
          <w:sz w:val="24"/>
          <w:szCs w:val="24"/>
          <w:lang w:val="ro-RO"/>
        </w:rPr>
        <w:t xml:space="preserve"> </w:t>
      </w:r>
      <w:r w:rsidRPr="00BD050E">
        <w:rPr>
          <w:rFonts w:asciiTheme="majorHAnsi" w:eastAsia="Calibri" w:hAnsiTheme="majorHAnsi" w:cstheme="majorHAnsi"/>
          <w:color w:val="000000" w:themeColor="text1"/>
          <w:sz w:val="24"/>
          <w:szCs w:val="24"/>
          <w:lang w:val="ro-RO"/>
        </w:rPr>
        <w:t xml:space="preserve"> 2021; 2) etapa II - definirea pragului de performanță mediană; 3) etapa III - măsurarea performanței pentru fiecare indicator și prestator pe perioada de 6 luni </w:t>
      </w:r>
      <w:r w:rsidR="008B0EA5" w:rsidRPr="00BD050E">
        <w:rPr>
          <w:rFonts w:asciiTheme="majorHAnsi" w:eastAsia="Calibri" w:hAnsiTheme="majorHAnsi" w:cstheme="majorHAnsi"/>
          <w:color w:val="000000" w:themeColor="text1"/>
          <w:sz w:val="24"/>
          <w:szCs w:val="24"/>
          <w:lang w:val="ro-RO"/>
        </w:rPr>
        <w:t xml:space="preserve">ale anului </w:t>
      </w:r>
      <w:r w:rsidRPr="00BD050E">
        <w:rPr>
          <w:rFonts w:asciiTheme="majorHAnsi" w:eastAsia="Calibri" w:hAnsiTheme="majorHAnsi" w:cstheme="majorHAnsi"/>
          <w:color w:val="000000" w:themeColor="text1"/>
          <w:sz w:val="24"/>
          <w:szCs w:val="24"/>
          <w:lang w:val="ro-RO"/>
        </w:rPr>
        <w:t>2022; 4) etapa IV - calcularea plăților și a noului prag de performanță pentru activitate și elaborarea, la finele pilotării, a Raportului privind rezultatele pilotării mecanismului P4P (până la 01.08.2022)</w:t>
      </w:r>
      <w:r w:rsidR="008B0EA5" w:rsidRPr="00BD050E">
        <w:rPr>
          <w:rFonts w:asciiTheme="majorHAnsi" w:eastAsia="Calibri" w:hAnsiTheme="majorHAnsi" w:cstheme="majorHAnsi"/>
          <w:color w:val="000000" w:themeColor="text1"/>
          <w:sz w:val="24"/>
          <w:szCs w:val="24"/>
          <w:lang w:val="ro-RO"/>
        </w:rPr>
        <w:t>.</w:t>
      </w:r>
    </w:p>
    <w:p w14:paraId="06CC7464" w14:textId="2752B28A" w:rsidR="00B614FE" w:rsidRPr="00BD050E" w:rsidRDefault="00B614FE" w:rsidP="00B614FE">
      <w:pPr>
        <w:tabs>
          <w:tab w:val="left" w:pos="360"/>
        </w:tabs>
        <w:spacing w:before="24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Totodată</w:t>
      </w:r>
      <w:r w:rsidR="008B0EA5"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a fost aprobat</w:t>
      </w:r>
      <w:r w:rsidR="008B0EA5" w:rsidRPr="00BD050E">
        <w:rPr>
          <w:rFonts w:asciiTheme="majorHAnsi" w:eastAsia="Calibri" w:hAnsiTheme="majorHAnsi" w:cstheme="majorHAnsi"/>
          <w:color w:val="000000" w:themeColor="text1"/>
          <w:sz w:val="24"/>
          <w:szCs w:val="24"/>
          <w:lang w:val="ro-RO"/>
        </w:rPr>
        <w:t>ă</w:t>
      </w:r>
      <w:r w:rsidRPr="00BD050E">
        <w:rPr>
          <w:rFonts w:asciiTheme="majorHAnsi" w:eastAsia="Calibri" w:hAnsiTheme="majorHAnsi" w:cstheme="majorHAnsi"/>
          <w:color w:val="000000" w:themeColor="text1"/>
          <w:sz w:val="24"/>
          <w:szCs w:val="24"/>
          <w:lang w:val="ro-RO"/>
        </w:rPr>
        <w:t xml:space="preserve"> lista indicatorilor de performanță pentru pilotarea mecanismului P4P, precum și mecanismul de calcul al plății pentru performanță, care se bazează pe numărul de puncte acumulate pentru atingerea pragurilor de performanță a fiecăruia din</w:t>
      </w:r>
      <w:r w:rsidR="0055470E" w:rsidRPr="00BD050E">
        <w:rPr>
          <w:rFonts w:asciiTheme="majorHAnsi" w:eastAsia="Calibri" w:hAnsiTheme="majorHAnsi" w:cstheme="majorHAnsi"/>
          <w:color w:val="000000" w:themeColor="text1"/>
          <w:sz w:val="24"/>
          <w:szCs w:val="24"/>
          <w:lang w:val="ro-RO"/>
        </w:rPr>
        <w:t>tre</w:t>
      </w:r>
      <w:r w:rsidRPr="00BD050E">
        <w:rPr>
          <w:rFonts w:asciiTheme="majorHAnsi" w:eastAsia="Calibri" w:hAnsiTheme="majorHAnsi" w:cstheme="majorHAnsi"/>
          <w:color w:val="000000" w:themeColor="text1"/>
          <w:sz w:val="24"/>
          <w:szCs w:val="24"/>
          <w:lang w:val="ro-RO"/>
        </w:rPr>
        <w:t xml:space="preserve"> indicatorii stabiliți.</w:t>
      </w:r>
    </w:p>
    <w:p w14:paraId="3EF39AB8" w14:textId="2CCAF595" w:rsidR="00A51F03" w:rsidRPr="00BD050E" w:rsidRDefault="00A51F03" w:rsidP="00B614FE">
      <w:pPr>
        <w:tabs>
          <w:tab w:val="left" w:pos="360"/>
        </w:tabs>
        <w:spacing w:before="24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Astfel, în urma ratificării Acordului de finanțare dintre R</w:t>
      </w:r>
      <w:r w:rsidR="0055470E" w:rsidRPr="00BD050E">
        <w:rPr>
          <w:rFonts w:asciiTheme="majorHAnsi" w:eastAsia="Calibri" w:hAnsiTheme="majorHAnsi" w:cstheme="majorHAnsi"/>
          <w:color w:val="000000" w:themeColor="text1"/>
          <w:sz w:val="24"/>
          <w:szCs w:val="24"/>
          <w:lang w:val="ro-RO"/>
        </w:rPr>
        <w:t xml:space="preserve">epublica </w:t>
      </w:r>
      <w:r w:rsidRPr="00BD050E">
        <w:rPr>
          <w:rFonts w:asciiTheme="majorHAnsi" w:eastAsia="Calibri" w:hAnsiTheme="majorHAnsi" w:cstheme="majorHAnsi"/>
          <w:color w:val="000000" w:themeColor="text1"/>
          <w:sz w:val="24"/>
          <w:szCs w:val="24"/>
          <w:lang w:val="ro-RO"/>
        </w:rPr>
        <w:t>M</w:t>
      </w:r>
      <w:r w:rsidR="0055470E" w:rsidRPr="00BD050E">
        <w:rPr>
          <w:rFonts w:asciiTheme="majorHAnsi" w:eastAsia="Calibri" w:hAnsiTheme="majorHAnsi" w:cstheme="majorHAnsi"/>
          <w:color w:val="000000" w:themeColor="text1"/>
          <w:sz w:val="24"/>
          <w:szCs w:val="24"/>
          <w:lang w:val="ro-RO"/>
        </w:rPr>
        <w:t>oldova</w:t>
      </w:r>
      <w:r w:rsidRPr="00BD050E">
        <w:rPr>
          <w:rFonts w:asciiTheme="majorHAnsi" w:eastAsia="Calibri" w:hAnsiTheme="majorHAnsi" w:cstheme="majorHAnsi"/>
          <w:color w:val="000000" w:themeColor="text1"/>
          <w:sz w:val="24"/>
          <w:szCs w:val="24"/>
          <w:lang w:val="ro-RO"/>
        </w:rPr>
        <w:t xml:space="preserve"> și Asociația Internațională pentru Dezvoltare, în vederea realizării Proiectului „Modernizarea </w:t>
      </w:r>
      <w:r w:rsidR="0055470E" w:rsidRPr="00BD050E">
        <w:rPr>
          <w:rFonts w:asciiTheme="majorHAnsi" w:eastAsia="Calibri" w:hAnsiTheme="majorHAnsi" w:cstheme="majorHAnsi"/>
          <w:color w:val="000000" w:themeColor="text1"/>
          <w:sz w:val="24"/>
          <w:szCs w:val="24"/>
          <w:lang w:val="ro-RO"/>
        </w:rPr>
        <w:t>s</w:t>
      </w:r>
      <w:r w:rsidRPr="00BD050E">
        <w:rPr>
          <w:rFonts w:asciiTheme="majorHAnsi" w:eastAsia="Calibri" w:hAnsiTheme="majorHAnsi" w:cstheme="majorHAnsi"/>
          <w:color w:val="000000" w:themeColor="text1"/>
          <w:sz w:val="24"/>
          <w:szCs w:val="24"/>
          <w:lang w:val="ro-RO"/>
        </w:rPr>
        <w:t xml:space="preserve">ectorului </w:t>
      </w:r>
      <w:r w:rsidR="0055470E" w:rsidRPr="00BD050E">
        <w:rPr>
          <w:rFonts w:asciiTheme="majorHAnsi" w:eastAsia="Calibri" w:hAnsiTheme="majorHAnsi" w:cstheme="majorHAnsi"/>
          <w:color w:val="000000" w:themeColor="text1"/>
          <w:sz w:val="24"/>
          <w:szCs w:val="24"/>
          <w:lang w:val="ro-RO"/>
        </w:rPr>
        <w:t>s</w:t>
      </w:r>
      <w:r w:rsidRPr="00BD050E">
        <w:rPr>
          <w:rFonts w:asciiTheme="majorHAnsi" w:eastAsia="Calibri" w:hAnsiTheme="majorHAnsi" w:cstheme="majorHAnsi"/>
          <w:color w:val="000000" w:themeColor="text1"/>
          <w:sz w:val="24"/>
          <w:szCs w:val="24"/>
          <w:lang w:val="ro-RO"/>
        </w:rPr>
        <w:t>ănătății în R</w:t>
      </w:r>
      <w:r w:rsidR="0055470E" w:rsidRPr="00BD050E">
        <w:rPr>
          <w:rFonts w:asciiTheme="majorHAnsi" w:eastAsia="Calibri" w:hAnsiTheme="majorHAnsi" w:cstheme="majorHAnsi"/>
          <w:color w:val="000000" w:themeColor="text1"/>
          <w:sz w:val="24"/>
          <w:szCs w:val="24"/>
          <w:lang w:val="ro-RO"/>
        </w:rPr>
        <w:t xml:space="preserve">epublica </w:t>
      </w:r>
      <w:r w:rsidRPr="00BD050E">
        <w:rPr>
          <w:rFonts w:asciiTheme="majorHAnsi" w:eastAsia="Calibri" w:hAnsiTheme="majorHAnsi" w:cstheme="majorHAnsi"/>
          <w:color w:val="000000" w:themeColor="text1"/>
          <w:sz w:val="24"/>
          <w:szCs w:val="24"/>
          <w:lang w:val="ro-RO"/>
        </w:rPr>
        <w:t>M</w:t>
      </w:r>
      <w:r w:rsidR="0055470E" w:rsidRPr="00BD050E">
        <w:rPr>
          <w:rFonts w:asciiTheme="majorHAnsi" w:eastAsia="Calibri" w:hAnsiTheme="majorHAnsi" w:cstheme="majorHAnsi"/>
          <w:color w:val="000000" w:themeColor="text1"/>
          <w:sz w:val="24"/>
          <w:szCs w:val="24"/>
          <w:lang w:val="ro-RO"/>
        </w:rPr>
        <w:t>oldova</w:t>
      </w:r>
      <w:r w:rsidRPr="00BD050E">
        <w:rPr>
          <w:rFonts w:asciiTheme="majorHAnsi" w:eastAsia="Calibri" w:hAnsiTheme="majorHAnsi" w:cstheme="majorHAnsi"/>
          <w:color w:val="000000" w:themeColor="text1"/>
          <w:sz w:val="24"/>
          <w:szCs w:val="24"/>
          <w:lang w:val="ro-RO"/>
        </w:rPr>
        <w:t>”</w:t>
      </w:r>
      <w:r w:rsidRPr="00BD050E">
        <w:footnoteReference w:id="13"/>
      </w:r>
      <w:r w:rsidRPr="00BD050E">
        <w:rPr>
          <w:rFonts w:asciiTheme="majorHAnsi" w:eastAsia="Calibri" w:hAnsiTheme="majorHAnsi" w:cstheme="majorHAnsi"/>
          <w:color w:val="000000" w:themeColor="text1"/>
          <w:sz w:val="24"/>
          <w:szCs w:val="24"/>
          <w:lang w:val="ro-RO"/>
        </w:rPr>
        <w:t xml:space="preserve">, CNAM este în continuare responsabilă pentru ILD respectiv, pentru care în bugetul </w:t>
      </w:r>
      <w:r w:rsidR="00D57F32" w:rsidRPr="00BD050E">
        <w:rPr>
          <w:rFonts w:asciiTheme="majorHAnsi" w:eastAsia="Calibri" w:hAnsiTheme="majorHAnsi" w:cstheme="majorHAnsi"/>
          <w:color w:val="000000" w:themeColor="text1"/>
          <w:sz w:val="24"/>
          <w:szCs w:val="24"/>
          <w:lang w:val="ro-RO"/>
        </w:rPr>
        <w:t xml:space="preserve">Fondului Asigurărilor Obligatorii de Asistență Medicală </w:t>
      </w:r>
      <w:r w:rsidRPr="00BD050E">
        <w:rPr>
          <w:rFonts w:asciiTheme="majorHAnsi" w:eastAsia="Calibri" w:hAnsiTheme="majorHAnsi" w:cstheme="majorHAnsi"/>
          <w:color w:val="000000" w:themeColor="text1"/>
          <w:sz w:val="24"/>
          <w:szCs w:val="24"/>
          <w:lang w:val="ro-RO"/>
        </w:rPr>
        <w:t>au fost prevăzute mijloace financiare</w:t>
      </w:r>
      <w:r w:rsidR="0055470E"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în anul 2022, în sumă de  23,3 mil. lei.</w:t>
      </w:r>
    </w:p>
    <w:p w14:paraId="5045B5D8" w14:textId="3738EFF4" w:rsidR="00725D24" w:rsidRPr="00BD050E" w:rsidRDefault="00A26C34" w:rsidP="003E50CF">
      <w:pPr>
        <w:pStyle w:val="ListParagraph"/>
        <w:numPr>
          <w:ilvl w:val="0"/>
          <w:numId w:val="10"/>
        </w:numPr>
        <w:tabs>
          <w:tab w:val="left" w:pos="426"/>
          <w:tab w:val="left" w:pos="720"/>
        </w:tabs>
        <w:suppressAutoHyphens/>
        <w:spacing w:after="0" w:line="276" w:lineRule="auto"/>
        <w:ind w:left="0" w:right="-29" w:firstLine="426"/>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 xml:space="preserve">ILD 9. </w:t>
      </w:r>
      <w:r w:rsidRPr="00BD050E">
        <w:rPr>
          <w:rFonts w:asciiTheme="majorHAnsi" w:eastAsia="Calibri" w:hAnsiTheme="majorHAnsi" w:cstheme="majorHAnsi"/>
          <w:b/>
          <w:i/>
          <w:color w:val="000000" w:themeColor="text1"/>
          <w:sz w:val="24"/>
          <w:szCs w:val="24"/>
          <w:lang w:val="ro-RO"/>
        </w:rPr>
        <w:t>„Consolidarea spitalelor departamentale aflate în administrarea MSMPS”.</w:t>
      </w:r>
      <w:r w:rsidRPr="00BD050E">
        <w:rPr>
          <w:rFonts w:asciiTheme="majorHAnsi" w:eastAsia="Calibri" w:hAnsiTheme="majorHAnsi" w:cstheme="majorHAnsi"/>
          <w:color w:val="000000" w:themeColor="text1"/>
          <w:sz w:val="24"/>
          <w:szCs w:val="24"/>
          <w:lang w:val="ro-RO"/>
        </w:rPr>
        <w:t xml:space="preserve"> Guvernul a confirmat importanța îmbunătățirii prestării serviciilor în sectorul spitalicesc,  la momentul actual  fiind </w:t>
      </w:r>
      <w:r w:rsidR="00725D24" w:rsidRPr="00BD050E">
        <w:rPr>
          <w:rFonts w:asciiTheme="majorHAnsi" w:eastAsia="Calibri" w:hAnsiTheme="majorHAnsi" w:cstheme="majorHAnsi"/>
          <w:color w:val="000000" w:themeColor="text1"/>
          <w:sz w:val="24"/>
          <w:szCs w:val="24"/>
          <w:lang w:val="ro-RO"/>
        </w:rPr>
        <w:t xml:space="preserve">finalizat </w:t>
      </w:r>
      <w:r w:rsidRPr="00BD050E">
        <w:rPr>
          <w:rFonts w:asciiTheme="majorHAnsi" w:eastAsia="Calibri" w:hAnsiTheme="majorHAnsi" w:cstheme="majorHAnsi"/>
          <w:color w:val="000000" w:themeColor="text1"/>
          <w:sz w:val="24"/>
          <w:szCs w:val="24"/>
          <w:lang w:val="ro-RO"/>
        </w:rPr>
        <w:t>proces</w:t>
      </w:r>
      <w:r w:rsidR="00725D24" w:rsidRPr="00BD050E">
        <w:rPr>
          <w:rFonts w:asciiTheme="majorHAnsi" w:eastAsia="Calibri" w:hAnsiTheme="majorHAnsi" w:cstheme="majorHAnsi"/>
          <w:color w:val="000000" w:themeColor="text1"/>
          <w:sz w:val="24"/>
          <w:szCs w:val="24"/>
          <w:lang w:val="ro-RO"/>
        </w:rPr>
        <w:t>ul</w:t>
      </w:r>
      <w:r w:rsidRPr="00BD050E">
        <w:rPr>
          <w:rFonts w:asciiTheme="majorHAnsi" w:eastAsia="Calibri" w:hAnsiTheme="majorHAnsi" w:cstheme="majorHAnsi"/>
          <w:color w:val="000000" w:themeColor="text1"/>
          <w:sz w:val="24"/>
          <w:szCs w:val="24"/>
          <w:lang w:val="ro-RO"/>
        </w:rPr>
        <w:t xml:space="preserve"> de fuzionare </w:t>
      </w:r>
      <w:r w:rsidR="003E50CF" w:rsidRPr="00BD050E">
        <w:rPr>
          <w:rFonts w:asciiTheme="majorHAnsi" w:eastAsia="Calibri" w:hAnsiTheme="majorHAnsi" w:cstheme="majorHAnsi"/>
          <w:color w:val="000000" w:themeColor="text1"/>
          <w:sz w:val="24"/>
          <w:szCs w:val="24"/>
          <w:lang w:val="ro-RO"/>
        </w:rPr>
        <w:t xml:space="preserve">a </w:t>
      </w:r>
      <w:r w:rsidRPr="00BD050E">
        <w:rPr>
          <w:rFonts w:asciiTheme="majorHAnsi" w:eastAsia="Calibri" w:hAnsiTheme="majorHAnsi" w:cstheme="majorHAnsi"/>
          <w:color w:val="000000" w:themeColor="text1"/>
          <w:sz w:val="24"/>
          <w:szCs w:val="24"/>
          <w:lang w:val="ro-RO"/>
        </w:rPr>
        <w:t>Spitalul</w:t>
      </w:r>
      <w:r w:rsidR="001A5AB7" w:rsidRPr="00BD050E">
        <w:rPr>
          <w:rFonts w:asciiTheme="majorHAnsi" w:eastAsia="Calibri" w:hAnsiTheme="majorHAnsi" w:cstheme="majorHAnsi"/>
          <w:color w:val="000000" w:themeColor="text1"/>
          <w:sz w:val="24"/>
          <w:szCs w:val="24"/>
          <w:lang w:val="ro-RO"/>
        </w:rPr>
        <w:t>ui Clinic Central Feroviar</w:t>
      </w:r>
      <w:r w:rsidR="0057074D" w:rsidRPr="00BD050E">
        <w:rPr>
          <w:rFonts w:asciiTheme="majorHAnsi" w:eastAsia="Calibri" w:hAnsiTheme="majorHAnsi" w:cstheme="majorHAnsi"/>
          <w:color w:val="000000" w:themeColor="text1"/>
          <w:sz w:val="24"/>
          <w:szCs w:val="24"/>
          <w:lang w:val="ro-RO"/>
        </w:rPr>
        <w:t>,</w:t>
      </w:r>
      <w:r w:rsidR="001A5AB7" w:rsidRPr="00BD050E">
        <w:rPr>
          <w:rFonts w:asciiTheme="majorHAnsi" w:eastAsia="Calibri" w:hAnsiTheme="majorHAnsi" w:cstheme="majorHAnsi"/>
          <w:color w:val="000000" w:themeColor="text1"/>
          <w:sz w:val="24"/>
          <w:szCs w:val="24"/>
          <w:lang w:val="ro-RO"/>
        </w:rPr>
        <w:t xml:space="preserve"> </w:t>
      </w:r>
      <w:r w:rsidRPr="00BD050E">
        <w:rPr>
          <w:rFonts w:asciiTheme="majorHAnsi" w:eastAsia="Calibri" w:hAnsiTheme="majorHAnsi" w:cstheme="majorHAnsi"/>
          <w:color w:val="000000" w:themeColor="text1"/>
          <w:sz w:val="24"/>
          <w:szCs w:val="24"/>
          <w:lang w:val="ro-RO"/>
        </w:rPr>
        <w:t>absorbit de Spital</w:t>
      </w:r>
      <w:r w:rsidR="001A5AB7" w:rsidRPr="00BD050E">
        <w:rPr>
          <w:rFonts w:asciiTheme="majorHAnsi" w:eastAsia="Calibri" w:hAnsiTheme="majorHAnsi" w:cstheme="majorHAnsi"/>
          <w:color w:val="000000" w:themeColor="text1"/>
          <w:sz w:val="24"/>
          <w:szCs w:val="24"/>
          <w:lang w:val="ro-RO"/>
        </w:rPr>
        <w:t>ul Clinic al MSMPS în anul 2018. Prin urmare</w:t>
      </w:r>
      <w:r w:rsidR="0057074D"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s</w:t>
      </w:r>
      <w:r w:rsidR="00725D24" w:rsidRPr="00BD050E">
        <w:rPr>
          <w:rFonts w:asciiTheme="majorHAnsi" w:eastAsia="Calibri" w:hAnsiTheme="majorHAnsi" w:cstheme="majorHAnsi"/>
          <w:color w:val="000000" w:themeColor="text1"/>
          <w:sz w:val="24"/>
          <w:szCs w:val="24"/>
          <w:lang w:val="ro-RO"/>
        </w:rPr>
        <w:t>-a</w:t>
      </w:r>
      <w:r w:rsidRPr="00BD050E">
        <w:rPr>
          <w:rFonts w:asciiTheme="majorHAnsi" w:eastAsia="Calibri" w:hAnsiTheme="majorHAnsi" w:cstheme="majorHAnsi"/>
          <w:color w:val="000000" w:themeColor="text1"/>
          <w:sz w:val="24"/>
          <w:szCs w:val="24"/>
          <w:lang w:val="ro-RO"/>
        </w:rPr>
        <w:t xml:space="preserve"> realiza</w:t>
      </w:r>
      <w:r w:rsidR="00C725A8" w:rsidRPr="00BD050E">
        <w:rPr>
          <w:rFonts w:asciiTheme="majorHAnsi" w:eastAsia="Calibri" w:hAnsiTheme="majorHAnsi" w:cstheme="majorHAnsi"/>
          <w:color w:val="000000" w:themeColor="text1"/>
          <w:sz w:val="24"/>
          <w:szCs w:val="24"/>
          <w:lang w:val="ro-RO"/>
        </w:rPr>
        <w:t>t</w:t>
      </w:r>
      <w:r w:rsidRPr="00BD050E">
        <w:rPr>
          <w:rFonts w:asciiTheme="majorHAnsi" w:eastAsia="Calibri" w:hAnsiTheme="majorHAnsi" w:cstheme="majorHAnsi"/>
          <w:color w:val="000000" w:themeColor="text1"/>
          <w:sz w:val="24"/>
          <w:szCs w:val="24"/>
          <w:lang w:val="ro-RO"/>
        </w:rPr>
        <w:t xml:space="preserve"> </w:t>
      </w:r>
      <w:r w:rsidR="00C725A8" w:rsidRPr="00BD050E">
        <w:rPr>
          <w:rFonts w:asciiTheme="majorHAnsi" w:eastAsia="Calibri" w:hAnsiTheme="majorHAnsi" w:cstheme="majorHAnsi"/>
          <w:color w:val="000000" w:themeColor="text1"/>
          <w:sz w:val="24"/>
          <w:szCs w:val="24"/>
          <w:lang w:val="ro-RO"/>
        </w:rPr>
        <w:t xml:space="preserve">parțial </w:t>
      </w:r>
      <w:r w:rsidRPr="00BD050E">
        <w:rPr>
          <w:rFonts w:asciiTheme="majorHAnsi" w:eastAsia="Calibri" w:hAnsiTheme="majorHAnsi" w:cstheme="majorHAnsi"/>
          <w:color w:val="000000" w:themeColor="text1"/>
          <w:sz w:val="24"/>
          <w:szCs w:val="24"/>
          <w:lang w:val="ro-RO"/>
        </w:rPr>
        <w:t>indicatorul intermediar 9.1</w:t>
      </w:r>
      <w:r w:rsidR="00725D24" w:rsidRPr="00BD050E">
        <w:rPr>
          <w:rStyle w:val="FootnoteReference"/>
          <w:rFonts w:asciiTheme="majorHAnsi" w:eastAsia="Calibri" w:hAnsiTheme="majorHAnsi" w:cstheme="majorHAnsi"/>
          <w:color w:val="000000" w:themeColor="text1"/>
          <w:sz w:val="24"/>
          <w:szCs w:val="24"/>
          <w:lang w:val="ro-RO"/>
        </w:rPr>
        <w:footnoteReference w:id="14"/>
      </w:r>
      <w:r w:rsidRPr="00BD050E">
        <w:rPr>
          <w:rFonts w:asciiTheme="majorHAnsi" w:eastAsia="Calibri" w:hAnsiTheme="majorHAnsi" w:cstheme="majorHAnsi"/>
          <w:color w:val="000000" w:themeColor="text1"/>
          <w:sz w:val="24"/>
          <w:szCs w:val="24"/>
          <w:lang w:val="ro-RO"/>
        </w:rPr>
        <w:t>, care prevede stabilirea managementului comun la 3 spitale din Chișinău și pentru care s-au debursat sumele în avans (404 050 DTS)</w:t>
      </w:r>
      <w:r w:rsidR="00E06E19" w:rsidRPr="00BD050E">
        <w:rPr>
          <w:rFonts w:asciiTheme="majorHAnsi" w:eastAsia="Calibri" w:hAnsiTheme="majorHAnsi" w:cstheme="majorHAnsi"/>
          <w:color w:val="000000" w:themeColor="text1"/>
          <w:sz w:val="24"/>
          <w:szCs w:val="24"/>
          <w:lang w:val="ro-RO"/>
        </w:rPr>
        <w:t>.</w:t>
      </w:r>
      <w:r w:rsidR="00E906EA" w:rsidRPr="00BD050E">
        <w:rPr>
          <w:color w:val="000000" w:themeColor="text1"/>
          <w:lang w:val="ro-RO"/>
        </w:rPr>
        <w:t xml:space="preserve"> </w:t>
      </w:r>
    </w:p>
    <w:p w14:paraId="57B6C23F" w14:textId="71C95674" w:rsidR="00A26C34" w:rsidRPr="00BD050E" w:rsidRDefault="00725D24" w:rsidP="00725D24">
      <w:pPr>
        <w:tabs>
          <w:tab w:val="left" w:pos="426"/>
          <w:tab w:val="left" w:pos="720"/>
        </w:tabs>
        <w:suppressAutoHyphens/>
        <w:spacing w:after="0" w:line="276" w:lineRule="auto"/>
        <w:ind w:right="-29"/>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ab/>
      </w:r>
      <w:r w:rsidR="00CD37F0" w:rsidRPr="00BD050E">
        <w:rPr>
          <w:rFonts w:asciiTheme="majorHAnsi" w:eastAsia="Calibri" w:hAnsiTheme="majorHAnsi" w:cstheme="majorHAnsi"/>
          <w:color w:val="000000" w:themeColor="text1"/>
          <w:sz w:val="24"/>
          <w:szCs w:val="24"/>
          <w:lang w:val="ro-RO"/>
        </w:rPr>
        <w:t xml:space="preserve">Cu referire la ILD 9.2 și </w:t>
      </w:r>
      <w:r w:rsidR="0057074D" w:rsidRPr="00BD050E">
        <w:rPr>
          <w:rFonts w:asciiTheme="majorHAnsi" w:eastAsia="Calibri" w:hAnsiTheme="majorHAnsi" w:cstheme="majorHAnsi"/>
          <w:color w:val="000000" w:themeColor="text1"/>
          <w:sz w:val="24"/>
          <w:szCs w:val="24"/>
          <w:lang w:val="ro-RO"/>
        </w:rPr>
        <w:t xml:space="preserve">ILD </w:t>
      </w:r>
      <w:r w:rsidR="00CD37F0" w:rsidRPr="00BD050E">
        <w:rPr>
          <w:rFonts w:asciiTheme="majorHAnsi" w:eastAsia="Calibri" w:hAnsiTheme="majorHAnsi" w:cstheme="majorHAnsi"/>
          <w:color w:val="000000" w:themeColor="text1"/>
          <w:sz w:val="24"/>
          <w:szCs w:val="24"/>
          <w:lang w:val="ro-RO"/>
        </w:rPr>
        <w:t>9.3</w:t>
      </w:r>
      <w:r w:rsidR="0057074D" w:rsidRPr="00BD050E">
        <w:rPr>
          <w:rFonts w:asciiTheme="majorHAnsi" w:eastAsia="Calibri" w:hAnsiTheme="majorHAnsi" w:cstheme="majorHAnsi"/>
          <w:color w:val="000000" w:themeColor="text1"/>
          <w:sz w:val="24"/>
          <w:szCs w:val="24"/>
          <w:lang w:val="ro-RO"/>
        </w:rPr>
        <w:t>,</w:t>
      </w:r>
      <w:r w:rsidR="00CD37F0" w:rsidRPr="00BD050E">
        <w:rPr>
          <w:rFonts w:asciiTheme="majorHAnsi" w:eastAsia="Calibri" w:hAnsiTheme="majorHAnsi" w:cstheme="majorHAnsi"/>
          <w:color w:val="000000" w:themeColor="text1"/>
          <w:sz w:val="24"/>
          <w:szCs w:val="24"/>
          <w:lang w:val="ro-RO"/>
        </w:rPr>
        <w:t xml:space="preserve"> se</w:t>
      </w:r>
      <w:r w:rsidR="00A26C34" w:rsidRPr="00BD050E">
        <w:rPr>
          <w:rFonts w:asciiTheme="majorHAnsi" w:eastAsia="Calibri" w:hAnsiTheme="majorHAnsi" w:cstheme="majorHAnsi"/>
          <w:color w:val="000000" w:themeColor="text1"/>
          <w:sz w:val="24"/>
          <w:szCs w:val="24"/>
          <w:lang w:val="ro-RO"/>
        </w:rPr>
        <w:t xml:space="preserve"> menționează că, </w:t>
      </w:r>
      <w:r w:rsidR="00CD37F0" w:rsidRPr="00BD050E">
        <w:rPr>
          <w:rFonts w:asciiTheme="majorHAnsi" w:eastAsia="Calibri" w:hAnsiTheme="majorHAnsi" w:cstheme="majorHAnsi"/>
          <w:color w:val="000000" w:themeColor="text1"/>
          <w:sz w:val="24"/>
          <w:szCs w:val="24"/>
          <w:lang w:val="ro-RO"/>
        </w:rPr>
        <w:t>odată cu</w:t>
      </w:r>
      <w:r w:rsidR="00A26C34" w:rsidRPr="00BD050E">
        <w:rPr>
          <w:rFonts w:asciiTheme="majorHAnsi" w:eastAsia="Calibri" w:hAnsiTheme="majorHAnsi" w:cstheme="majorHAnsi"/>
          <w:color w:val="000000" w:themeColor="text1"/>
          <w:sz w:val="24"/>
          <w:szCs w:val="24"/>
          <w:lang w:val="ro-RO"/>
        </w:rPr>
        <w:t xml:space="preserve"> apariția pandemiei </w:t>
      </w:r>
      <w:r w:rsidR="0057074D" w:rsidRPr="00BD050E">
        <w:rPr>
          <w:rFonts w:asciiTheme="majorHAnsi" w:eastAsia="Calibri" w:hAnsiTheme="majorHAnsi" w:cstheme="majorHAnsi"/>
          <w:color w:val="000000" w:themeColor="text1"/>
          <w:sz w:val="24"/>
          <w:szCs w:val="24"/>
          <w:lang w:val="ro-RO"/>
        </w:rPr>
        <w:t xml:space="preserve">de </w:t>
      </w:r>
      <w:r w:rsidR="00A26C34" w:rsidRPr="00BD050E">
        <w:rPr>
          <w:rFonts w:asciiTheme="majorHAnsi" w:eastAsia="Calibri" w:hAnsiTheme="majorHAnsi" w:cstheme="majorHAnsi"/>
          <w:color w:val="000000" w:themeColor="text1"/>
          <w:sz w:val="24"/>
          <w:szCs w:val="24"/>
          <w:lang w:val="ro-RO"/>
        </w:rPr>
        <w:t xml:space="preserve">COVID-19 și urmare suprasolicitării paturilor din spital, rolul spitalelor </w:t>
      </w:r>
      <w:r w:rsidR="00B614FE" w:rsidRPr="00BD050E">
        <w:rPr>
          <w:rFonts w:asciiTheme="majorHAnsi" w:eastAsia="Calibri" w:hAnsiTheme="majorHAnsi" w:cstheme="majorHAnsi"/>
          <w:color w:val="000000" w:themeColor="text1"/>
          <w:sz w:val="24"/>
          <w:szCs w:val="24"/>
          <w:lang w:val="ro-RO"/>
        </w:rPr>
        <w:t>a fost</w:t>
      </w:r>
      <w:r w:rsidR="00A26C34" w:rsidRPr="00BD050E">
        <w:rPr>
          <w:rFonts w:asciiTheme="majorHAnsi" w:eastAsia="Calibri" w:hAnsiTheme="majorHAnsi" w:cstheme="majorHAnsi"/>
          <w:color w:val="000000" w:themeColor="text1"/>
          <w:sz w:val="24"/>
          <w:szCs w:val="24"/>
          <w:lang w:val="ro-RO"/>
        </w:rPr>
        <w:t xml:space="preserve"> revizuit. Astfel, </w:t>
      </w:r>
      <w:r w:rsidR="00CB5527" w:rsidRPr="00BD050E">
        <w:rPr>
          <w:rFonts w:asciiTheme="majorHAnsi" w:eastAsia="Calibri" w:hAnsiTheme="majorHAnsi" w:cstheme="majorHAnsi"/>
          <w:color w:val="000000" w:themeColor="text1"/>
          <w:sz w:val="24"/>
          <w:szCs w:val="24"/>
          <w:lang w:val="ro-RO"/>
        </w:rPr>
        <w:t>S</w:t>
      </w:r>
      <w:r w:rsidR="00A26C34" w:rsidRPr="00BD050E">
        <w:rPr>
          <w:rFonts w:asciiTheme="majorHAnsi" w:eastAsia="Calibri" w:hAnsiTheme="majorHAnsi" w:cstheme="majorHAnsi"/>
          <w:color w:val="000000" w:themeColor="text1"/>
          <w:sz w:val="24"/>
          <w:szCs w:val="24"/>
          <w:lang w:val="ro-RO"/>
        </w:rPr>
        <w:t>trategia națională</w:t>
      </w:r>
      <w:r w:rsidR="00CB5527" w:rsidRPr="00BD050E">
        <w:rPr>
          <w:rFonts w:asciiTheme="majorHAnsi" w:eastAsia="Calibri" w:hAnsiTheme="majorHAnsi" w:cstheme="majorHAnsi"/>
          <w:color w:val="000000" w:themeColor="text1"/>
          <w:sz w:val="24"/>
          <w:szCs w:val="24"/>
          <w:lang w:val="ro-RO"/>
        </w:rPr>
        <w:t>,</w:t>
      </w:r>
      <w:r w:rsidR="00A26C34" w:rsidRPr="00BD050E">
        <w:rPr>
          <w:rFonts w:asciiTheme="majorHAnsi" w:eastAsia="Calibri" w:hAnsiTheme="majorHAnsi" w:cstheme="majorHAnsi"/>
          <w:color w:val="000000" w:themeColor="text1"/>
          <w:sz w:val="24"/>
          <w:szCs w:val="24"/>
          <w:lang w:val="ro-RO"/>
        </w:rPr>
        <w:t xml:space="preserve"> planificată anterior</w:t>
      </w:r>
      <w:r w:rsidR="00CB5527" w:rsidRPr="00BD050E">
        <w:rPr>
          <w:rFonts w:asciiTheme="majorHAnsi" w:eastAsia="Calibri" w:hAnsiTheme="majorHAnsi" w:cstheme="majorHAnsi"/>
          <w:color w:val="000000" w:themeColor="text1"/>
          <w:sz w:val="24"/>
          <w:szCs w:val="24"/>
          <w:lang w:val="ro-RO"/>
        </w:rPr>
        <w:t>,</w:t>
      </w:r>
      <w:r w:rsidR="00A26C34" w:rsidRPr="00BD050E">
        <w:rPr>
          <w:rFonts w:asciiTheme="majorHAnsi" w:eastAsia="Calibri" w:hAnsiTheme="majorHAnsi" w:cstheme="majorHAnsi"/>
          <w:color w:val="000000" w:themeColor="text1"/>
          <w:sz w:val="24"/>
          <w:szCs w:val="24"/>
          <w:lang w:val="ro-RO"/>
        </w:rPr>
        <w:t xml:space="preserve"> și </w:t>
      </w:r>
      <w:r w:rsidR="00CB5527" w:rsidRPr="00BD050E">
        <w:rPr>
          <w:rFonts w:asciiTheme="majorHAnsi" w:eastAsia="Calibri" w:hAnsiTheme="majorHAnsi" w:cstheme="majorHAnsi"/>
          <w:color w:val="000000" w:themeColor="text1"/>
          <w:sz w:val="24"/>
          <w:szCs w:val="24"/>
          <w:lang w:val="ro-RO"/>
        </w:rPr>
        <w:t>P</w:t>
      </w:r>
      <w:r w:rsidR="00A26C34" w:rsidRPr="00BD050E">
        <w:rPr>
          <w:rFonts w:asciiTheme="majorHAnsi" w:eastAsia="Calibri" w:hAnsiTheme="majorHAnsi" w:cstheme="majorHAnsi"/>
          <w:color w:val="000000" w:themeColor="text1"/>
          <w:sz w:val="24"/>
          <w:szCs w:val="24"/>
          <w:lang w:val="ro-RO"/>
        </w:rPr>
        <w:t xml:space="preserve">lanul general de consolidare și raționalizare a spitalelor </w:t>
      </w:r>
      <w:r w:rsidR="00B614FE" w:rsidRPr="00BD050E">
        <w:rPr>
          <w:rFonts w:asciiTheme="majorHAnsi" w:eastAsia="Calibri" w:hAnsiTheme="majorHAnsi" w:cstheme="majorHAnsi"/>
          <w:color w:val="000000" w:themeColor="text1"/>
          <w:sz w:val="24"/>
          <w:szCs w:val="24"/>
          <w:lang w:val="ro-RO"/>
        </w:rPr>
        <w:t>a</w:t>
      </w:r>
      <w:r w:rsidR="0057074D" w:rsidRPr="00BD050E">
        <w:rPr>
          <w:rFonts w:asciiTheme="majorHAnsi" w:eastAsia="Calibri" w:hAnsiTheme="majorHAnsi" w:cstheme="majorHAnsi"/>
          <w:color w:val="000000" w:themeColor="text1"/>
          <w:sz w:val="24"/>
          <w:szCs w:val="24"/>
          <w:lang w:val="ro-RO"/>
        </w:rPr>
        <w:t>u</w:t>
      </w:r>
      <w:r w:rsidR="00B614FE" w:rsidRPr="00BD050E">
        <w:rPr>
          <w:rFonts w:asciiTheme="majorHAnsi" w:eastAsia="Calibri" w:hAnsiTheme="majorHAnsi" w:cstheme="majorHAnsi"/>
          <w:color w:val="000000" w:themeColor="text1"/>
          <w:sz w:val="24"/>
          <w:szCs w:val="24"/>
          <w:lang w:val="ro-RO"/>
        </w:rPr>
        <w:t xml:space="preserve"> fost </w:t>
      </w:r>
      <w:r w:rsidR="00B614FE" w:rsidRPr="00BD050E">
        <w:rPr>
          <w:rFonts w:asciiTheme="majorHAnsi" w:eastAsia="Calibri" w:hAnsiTheme="majorHAnsi" w:cstheme="majorHAnsi"/>
          <w:color w:val="000000" w:themeColor="text1"/>
          <w:sz w:val="24"/>
          <w:szCs w:val="24"/>
          <w:lang w:val="ro-RO"/>
        </w:rPr>
        <w:lastRenderedPageBreak/>
        <w:t>reanalizat</w:t>
      </w:r>
      <w:r w:rsidR="0057074D" w:rsidRPr="00BD050E">
        <w:rPr>
          <w:rFonts w:asciiTheme="majorHAnsi" w:eastAsia="Calibri" w:hAnsiTheme="majorHAnsi" w:cstheme="majorHAnsi"/>
          <w:color w:val="000000" w:themeColor="text1"/>
          <w:sz w:val="24"/>
          <w:szCs w:val="24"/>
          <w:lang w:val="ro-RO"/>
        </w:rPr>
        <w:t>e</w:t>
      </w:r>
      <w:r w:rsidR="00A26C34" w:rsidRPr="00BD050E">
        <w:rPr>
          <w:rFonts w:asciiTheme="majorHAnsi" w:eastAsia="Calibri" w:hAnsiTheme="majorHAnsi" w:cstheme="majorHAnsi"/>
          <w:color w:val="000000" w:themeColor="text1"/>
          <w:sz w:val="24"/>
          <w:szCs w:val="24"/>
          <w:lang w:val="ro-RO"/>
        </w:rPr>
        <w:t xml:space="preserve"> odată cu aplanarea situației pandemice. În acest context, s-a</w:t>
      </w:r>
      <w:r w:rsidR="00A023EA" w:rsidRPr="00BD050E">
        <w:rPr>
          <w:rFonts w:asciiTheme="majorHAnsi" w:eastAsia="Calibri" w:hAnsiTheme="majorHAnsi" w:cstheme="majorHAnsi"/>
          <w:color w:val="000000" w:themeColor="text1"/>
          <w:sz w:val="24"/>
          <w:szCs w:val="24"/>
          <w:lang w:val="ro-RO"/>
        </w:rPr>
        <w:t>u</w:t>
      </w:r>
      <w:r w:rsidR="008F50F4" w:rsidRPr="00BD050E">
        <w:rPr>
          <w:rFonts w:asciiTheme="majorHAnsi" w:eastAsia="Calibri" w:hAnsiTheme="majorHAnsi" w:cstheme="majorHAnsi"/>
          <w:color w:val="000000" w:themeColor="text1"/>
          <w:sz w:val="24"/>
          <w:szCs w:val="24"/>
          <w:lang w:val="ro-RO"/>
        </w:rPr>
        <w:t xml:space="preserve"> anula</w:t>
      </w:r>
      <w:r w:rsidR="00A023EA" w:rsidRPr="00BD050E">
        <w:rPr>
          <w:rFonts w:asciiTheme="majorHAnsi" w:eastAsia="Calibri" w:hAnsiTheme="majorHAnsi" w:cstheme="majorHAnsi"/>
          <w:color w:val="000000" w:themeColor="text1"/>
          <w:sz w:val="24"/>
          <w:szCs w:val="24"/>
          <w:lang w:val="ro-RO"/>
        </w:rPr>
        <w:t>t</w:t>
      </w:r>
      <w:r w:rsidR="008F50F4" w:rsidRPr="00BD050E">
        <w:rPr>
          <w:rFonts w:asciiTheme="majorHAnsi" w:eastAsia="Calibri" w:hAnsiTheme="majorHAnsi" w:cstheme="majorHAnsi"/>
          <w:color w:val="000000" w:themeColor="text1"/>
          <w:sz w:val="24"/>
          <w:szCs w:val="24"/>
          <w:lang w:val="ro-RO"/>
        </w:rPr>
        <w:t xml:space="preserve"> ILD 9.2</w:t>
      </w:r>
      <w:r w:rsidR="00A26C34" w:rsidRPr="00BD050E">
        <w:rPr>
          <w:rFonts w:asciiTheme="majorHAnsi" w:eastAsia="Calibri" w:hAnsiTheme="majorHAnsi" w:cstheme="majorHAnsi"/>
          <w:color w:val="000000" w:themeColor="text1"/>
          <w:sz w:val="24"/>
          <w:szCs w:val="24"/>
          <w:lang w:val="ro-RO"/>
        </w:rPr>
        <w:t xml:space="preserve">: Studiul de fezabilitate privind optimizarea spitalelor, și ILD 9.3: Strategia națională și Planul general </w:t>
      </w:r>
      <w:r w:rsidR="00BD050E" w:rsidRPr="00BD050E">
        <w:rPr>
          <w:rFonts w:asciiTheme="majorHAnsi" w:eastAsia="Calibri" w:hAnsiTheme="majorHAnsi" w:cstheme="majorHAnsi"/>
          <w:color w:val="000000" w:themeColor="text1"/>
          <w:sz w:val="24"/>
          <w:szCs w:val="24"/>
          <w:lang w:val="ro-RO"/>
        </w:rPr>
        <w:t>de</w:t>
      </w:r>
      <w:r w:rsidR="00A26C34" w:rsidRPr="00BD050E">
        <w:rPr>
          <w:rFonts w:asciiTheme="majorHAnsi" w:eastAsia="Calibri" w:hAnsiTheme="majorHAnsi" w:cstheme="majorHAnsi"/>
          <w:color w:val="000000" w:themeColor="text1"/>
          <w:sz w:val="24"/>
          <w:szCs w:val="24"/>
          <w:lang w:val="ro-RO"/>
        </w:rPr>
        <w:t xml:space="preserve"> consolidarea și rațio</w:t>
      </w:r>
      <w:r w:rsidR="00B93A82" w:rsidRPr="00BD050E">
        <w:rPr>
          <w:rFonts w:asciiTheme="majorHAnsi" w:eastAsia="Calibri" w:hAnsiTheme="majorHAnsi" w:cstheme="majorHAnsi"/>
          <w:color w:val="000000" w:themeColor="text1"/>
          <w:sz w:val="24"/>
          <w:szCs w:val="24"/>
          <w:lang w:val="ro-RO"/>
        </w:rPr>
        <w:t>nalizarea spitalelor. Astfel, ILD 9</w:t>
      </w:r>
      <w:r w:rsidR="00931BBE" w:rsidRPr="00BD050E">
        <w:rPr>
          <w:rFonts w:asciiTheme="majorHAnsi" w:eastAsia="Calibri" w:hAnsiTheme="majorHAnsi" w:cstheme="majorHAnsi"/>
          <w:color w:val="000000" w:themeColor="text1"/>
          <w:sz w:val="24"/>
          <w:szCs w:val="24"/>
          <w:lang w:val="ro-RO"/>
        </w:rPr>
        <w:t xml:space="preserve">.2 și </w:t>
      </w:r>
      <w:r w:rsidR="0057074D" w:rsidRPr="00BD050E">
        <w:rPr>
          <w:rFonts w:asciiTheme="majorHAnsi" w:eastAsia="Calibri" w:hAnsiTheme="majorHAnsi" w:cstheme="majorHAnsi"/>
          <w:color w:val="000000" w:themeColor="text1"/>
          <w:sz w:val="24"/>
          <w:szCs w:val="24"/>
          <w:lang w:val="ro-RO"/>
        </w:rPr>
        <w:t xml:space="preserve">ILD </w:t>
      </w:r>
      <w:r w:rsidR="00931BBE" w:rsidRPr="00BD050E">
        <w:rPr>
          <w:rFonts w:asciiTheme="majorHAnsi" w:eastAsia="Calibri" w:hAnsiTheme="majorHAnsi" w:cstheme="majorHAnsi"/>
          <w:color w:val="000000" w:themeColor="text1"/>
          <w:sz w:val="24"/>
          <w:szCs w:val="24"/>
          <w:lang w:val="ro-RO"/>
        </w:rPr>
        <w:t>9.3</w:t>
      </w:r>
      <w:r w:rsidR="00B93A82" w:rsidRPr="00BD050E">
        <w:rPr>
          <w:rFonts w:asciiTheme="majorHAnsi" w:eastAsia="Calibri" w:hAnsiTheme="majorHAnsi" w:cstheme="majorHAnsi"/>
          <w:color w:val="000000" w:themeColor="text1"/>
          <w:sz w:val="24"/>
          <w:szCs w:val="24"/>
          <w:lang w:val="ro-RO"/>
        </w:rPr>
        <w:t xml:space="preserve"> a</w:t>
      </w:r>
      <w:r w:rsidR="0057074D" w:rsidRPr="00BD050E">
        <w:rPr>
          <w:rFonts w:asciiTheme="majorHAnsi" w:eastAsia="Calibri" w:hAnsiTheme="majorHAnsi" w:cstheme="majorHAnsi"/>
          <w:color w:val="000000" w:themeColor="text1"/>
          <w:sz w:val="24"/>
          <w:szCs w:val="24"/>
          <w:lang w:val="ro-RO"/>
        </w:rPr>
        <w:t>u</w:t>
      </w:r>
      <w:r w:rsidR="00B93A82" w:rsidRPr="00BD050E">
        <w:rPr>
          <w:rFonts w:asciiTheme="majorHAnsi" w:eastAsia="Calibri" w:hAnsiTheme="majorHAnsi" w:cstheme="majorHAnsi"/>
          <w:color w:val="000000" w:themeColor="text1"/>
          <w:sz w:val="24"/>
          <w:szCs w:val="24"/>
          <w:lang w:val="ro-RO"/>
        </w:rPr>
        <w:t xml:space="preserve"> rămas neimplementat</w:t>
      </w:r>
      <w:r w:rsidR="0057074D" w:rsidRPr="00BD050E">
        <w:rPr>
          <w:rFonts w:asciiTheme="majorHAnsi" w:eastAsia="Calibri" w:hAnsiTheme="majorHAnsi" w:cstheme="majorHAnsi"/>
          <w:color w:val="000000" w:themeColor="text1"/>
          <w:sz w:val="24"/>
          <w:szCs w:val="24"/>
          <w:lang w:val="ro-RO"/>
        </w:rPr>
        <w:t>e</w:t>
      </w:r>
      <w:r w:rsidR="00B93A82" w:rsidRPr="00BD050E">
        <w:rPr>
          <w:rFonts w:asciiTheme="majorHAnsi" w:eastAsia="Calibri" w:hAnsiTheme="majorHAnsi" w:cstheme="majorHAnsi"/>
          <w:color w:val="000000" w:themeColor="text1"/>
          <w:sz w:val="24"/>
          <w:szCs w:val="24"/>
          <w:lang w:val="ro-RO"/>
        </w:rPr>
        <w:t xml:space="preserve">, iar mijloacele financiare au fost </w:t>
      </w:r>
      <w:r w:rsidR="00A26C34" w:rsidRPr="00BD050E">
        <w:rPr>
          <w:rFonts w:asciiTheme="majorHAnsi" w:eastAsia="Calibri" w:hAnsiTheme="majorHAnsi" w:cstheme="majorHAnsi"/>
          <w:color w:val="000000" w:themeColor="text1"/>
          <w:sz w:val="24"/>
          <w:szCs w:val="24"/>
          <w:lang w:val="ro-RO"/>
        </w:rPr>
        <w:t>realoca</w:t>
      </w:r>
      <w:r w:rsidR="00B93A82" w:rsidRPr="00BD050E">
        <w:rPr>
          <w:rFonts w:asciiTheme="majorHAnsi" w:eastAsia="Calibri" w:hAnsiTheme="majorHAnsi" w:cstheme="majorHAnsi"/>
          <w:color w:val="000000" w:themeColor="text1"/>
          <w:sz w:val="24"/>
          <w:szCs w:val="24"/>
          <w:lang w:val="ro-RO"/>
        </w:rPr>
        <w:t>te pentru</w:t>
      </w:r>
      <w:r w:rsidR="00A26C34" w:rsidRPr="00BD050E">
        <w:rPr>
          <w:rFonts w:asciiTheme="majorHAnsi" w:eastAsia="Calibri" w:hAnsiTheme="majorHAnsi" w:cstheme="majorHAnsi"/>
          <w:color w:val="000000" w:themeColor="text1"/>
          <w:sz w:val="24"/>
          <w:szCs w:val="24"/>
          <w:lang w:val="ro-RO"/>
        </w:rPr>
        <w:t xml:space="preserve"> finanț</w:t>
      </w:r>
      <w:r w:rsidR="00B93A82" w:rsidRPr="00BD050E">
        <w:rPr>
          <w:rFonts w:asciiTheme="majorHAnsi" w:eastAsia="Calibri" w:hAnsiTheme="majorHAnsi" w:cstheme="majorHAnsi"/>
          <w:color w:val="000000" w:themeColor="text1"/>
          <w:sz w:val="24"/>
          <w:szCs w:val="24"/>
          <w:lang w:val="ro-RO"/>
        </w:rPr>
        <w:t>area nou</w:t>
      </w:r>
      <w:r w:rsidR="00CB5527" w:rsidRPr="00BD050E">
        <w:rPr>
          <w:rFonts w:asciiTheme="majorHAnsi" w:eastAsia="Calibri" w:hAnsiTheme="majorHAnsi" w:cstheme="majorHAnsi"/>
          <w:color w:val="000000" w:themeColor="text1"/>
          <w:sz w:val="24"/>
          <w:szCs w:val="24"/>
          <w:lang w:val="ro-RO"/>
        </w:rPr>
        <w:t>lui</w:t>
      </w:r>
      <w:r w:rsidR="00A26C34" w:rsidRPr="00BD050E">
        <w:rPr>
          <w:rFonts w:asciiTheme="majorHAnsi" w:eastAsia="Calibri" w:hAnsiTheme="majorHAnsi" w:cstheme="majorHAnsi"/>
          <w:color w:val="000000" w:themeColor="text1"/>
          <w:sz w:val="24"/>
          <w:szCs w:val="24"/>
          <w:lang w:val="ro-RO"/>
        </w:rPr>
        <w:t xml:space="preserve"> ILD 11</w:t>
      </w:r>
      <w:r w:rsidR="003E50CF" w:rsidRPr="00BD050E">
        <w:rPr>
          <w:rFonts w:asciiTheme="majorHAnsi" w:eastAsia="Calibri" w:hAnsiTheme="majorHAnsi" w:cstheme="majorHAnsi"/>
          <w:color w:val="000000" w:themeColor="text1"/>
          <w:sz w:val="24"/>
          <w:szCs w:val="24"/>
          <w:lang w:val="ro-RO"/>
        </w:rPr>
        <w:t xml:space="preserve"> „Integrarea lecțiilor învățate în campaniile de comunicare privind schimbarea comportamentului populației și evaluarea gradului de pregătire pentru vaccin”.</w:t>
      </w:r>
    </w:p>
    <w:p w14:paraId="1946D164" w14:textId="77777777" w:rsidR="00F94462" w:rsidRPr="00BD050E" w:rsidRDefault="00F94462" w:rsidP="00A26C34">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p>
    <w:p w14:paraId="4CDBAF63" w14:textId="7116E92C" w:rsidR="00F94462" w:rsidRPr="00BD050E" w:rsidRDefault="00AA2208" w:rsidP="00C57989">
      <w:pPr>
        <w:pStyle w:val="ListParagraph"/>
        <w:numPr>
          <w:ilvl w:val="0"/>
          <w:numId w:val="12"/>
        </w:numPr>
        <w:tabs>
          <w:tab w:val="left" w:pos="426"/>
        </w:tabs>
        <w:spacing w:line="276" w:lineRule="auto"/>
        <w:ind w:left="0" w:right="-29" w:firstLine="417"/>
        <w:jc w:val="both"/>
        <w:rPr>
          <w:rFonts w:asciiTheme="majorHAnsi" w:eastAsia="Calibri" w:hAnsiTheme="majorHAnsi" w:cstheme="majorHAnsi"/>
          <w:color w:val="000000" w:themeColor="text1"/>
          <w:sz w:val="24"/>
          <w:szCs w:val="24"/>
          <w:lang w:val="ro-RO"/>
        </w:rPr>
      </w:pPr>
      <w:r w:rsidRPr="00BD050E">
        <w:rPr>
          <w:rFonts w:asciiTheme="majorHAnsi" w:eastAsia="Calibri" w:hAnsiTheme="majorHAnsi" w:cstheme="majorHAnsi"/>
          <w:color w:val="000000" w:themeColor="text1"/>
          <w:sz w:val="24"/>
          <w:szCs w:val="24"/>
          <w:lang w:val="ro-RO"/>
        </w:rPr>
        <w:t>ILD 11. „</w:t>
      </w:r>
      <w:r w:rsidRPr="00BD050E">
        <w:rPr>
          <w:rFonts w:asciiTheme="majorHAnsi" w:eastAsia="Calibri" w:hAnsiTheme="majorHAnsi" w:cstheme="majorHAnsi"/>
          <w:b/>
          <w:i/>
          <w:color w:val="000000" w:themeColor="text1"/>
          <w:sz w:val="24"/>
          <w:szCs w:val="24"/>
          <w:lang w:val="ro-RO"/>
        </w:rPr>
        <w:t>Integrarea lecțiilor învățate în campaniile de comunicare privind schimbarea comportamentului populației și evaluarea gradului de pregătire pentru vaccin</w:t>
      </w:r>
      <w:r w:rsidRPr="00BD050E">
        <w:rPr>
          <w:rFonts w:asciiTheme="majorHAnsi" w:eastAsia="Calibri" w:hAnsiTheme="majorHAnsi" w:cstheme="majorHAnsi"/>
          <w:color w:val="000000" w:themeColor="text1"/>
          <w:sz w:val="24"/>
          <w:szCs w:val="24"/>
          <w:lang w:val="ro-RO"/>
        </w:rPr>
        <w:t xml:space="preserve">” </w:t>
      </w:r>
      <w:r w:rsidR="00C57989" w:rsidRPr="00BD050E">
        <w:rPr>
          <w:rFonts w:asciiTheme="majorHAnsi" w:eastAsia="Calibri" w:hAnsiTheme="majorHAnsi" w:cstheme="majorHAnsi"/>
          <w:color w:val="000000" w:themeColor="text1"/>
          <w:sz w:val="24"/>
          <w:szCs w:val="24"/>
          <w:lang w:val="ro-RO"/>
        </w:rPr>
        <w:t xml:space="preserve">(3297000 DTS) </w:t>
      </w:r>
      <w:r w:rsidRPr="00BD050E">
        <w:rPr>
          <w:rFonts w:asciiTheme="majorHAnsi" w:eastAsia="Calibri" w:hAnsiTheme="majorHAnsi" w:cstheme="majorHAnsi"/>
          <w:color w:val="000000" w:themeColor="text1"/>
          <w:sz w:val="24"/>
          <w:szCs w:val="24"/>
          <w:lang w:val="ro-RO"/>
        </w:rPr>
        <w:t xml:space="preserve">este definitivat și pus în responsabilitatea MS și în susținerea eforturilor de luptă cu pandemia </w:t>
      </w:r>
      <w:r w:rsidR="008332C3" w:rsidRPr="00BD050E">
        <w:rPr>
          <w:rFonts w:asciiTheme="majorHAnsi" w:eastAsia="Calibri" w:hAnsiTheme="majorHAnsi" w:cstheme="majorHAnsi"/>
          <w:color w:val="000000" w:themeColor="text1"/>
          <w:sz w:val="24"/>
          <w:szCs w:val="24"/>
          <w:lang w:val="ro-RO"/>
        </w:rPr>
        <w:t xml:space="preserve">de </w:t>
      </w:r>
      <w:r w:rsidRPr="00BD050E">
        <w:rPr>
          <w:rFonts w:asciiTheme="majorHAnsi" w:eastAsia="Calibri" w:hAnsiTheme="majorHAnsi" w:cstheme="majorHAnsi"/>
          <w:color w:val="000000" w:themeColor="text1"/>
          <w:sz w:val="24"/>
          <w:szCs w:val="24"/>
          <w:lang w:val="ro-RO"/>
        </w:rPr>
        <w:t xml:space="preserve">COVID-19. Acest ILD </w:t>
      </w:r>
      <w:r w:rsidR="00CD37F0" w:rsidRPr="00BD050E">
        <w:rPr>
          <w:rFonts w:asciiTheme="majorHAnsi" w:eastAsia="Calibri" w:hAnsiTheme="majorHAnsi" w:cstheme="majorHAnsi"/>
          <w:color w:val="000000" w:themeColor="text1"/>
          <w:sz w:val="24"/>
          <w:szCs w:val="24"/>
          <w:lang w:val="ro-RO"/>
        </w:rPr>
        <w:t>a avut stabilite</w:t>
      </w:r>
      <w:r w:rsidRPr="00BD050E">
        <w:rPr>
          <w:rFonts w:asciiTheme="majorHAnsi" w:eastAsia="Calibri" w:hAnsiTheme="majorHAnsi" w:cstheme="majorHAnsi"/>
          <w:color w:val="000000" w:themeColor="text1"/>
          <w:sz w:val="24"/>
          <w:szCs w:val="24"/>
          <w:lang w:val="ro-RO"/>
        </w:rPr>
        <w:t xml:space="preserve"> 3 rezultate intermediare pentru anul 2021, și anume</w:t>
      </w:r>
      <w:r w:rsidR="008332C3" w:rsidRPr="00BD050E">
        <w:rPr>
          <w:rFonts w:asciiTheme="majorHAnsi" w:eastAsia="Calibri" w:hAnsiTheme="majorHAnsi" w:cstheme="majorHAnsi"/>
          <w:color w:val="000000" w:themeColor="text1"/>
          <w:sz w:val="24"/>
          <w:szCs w:val="24"/>
          <w:lang w:val="ro-RO"/>
        </w:rPr>
        <w:t>:</w:t>
      </w:r>
      <w:r w:rsidR="003C6885" w:rsidRPr="00BD050E">
        <w:rPr>
          <w:rFonts w:asciiTheme="majorHAnsi" w:eastAsia="Calibri" w:hAnsiTheme="majorHAnsi" w:cstheme="majorHAnsi"/>
          <w:color w:val="000000" w:themeColor="text1"/>
          <w:sz w:val="24"/>
          <w:szCs w:val="24"/>
          <w:lang w:val="ro-RO"/>
        </w:rPr>
        <w:t>/</w:t>
      </w:r>
      <w:r w:rsidRPr="00BD050E">
        <w:rPr>
          <w:rFonts w:asciiTheme="majorHAnsi" w:eastAsia="Calibri" w:hAnsiTheme="majorHAnsi" w:cstheme="majorHAnsi"/>
          <w:color w:val="000000" w:themeColor="text1"/>
          <w:sz w:val="24"/>
          <w:szCs w:val="24"/>
          <w:lang w:val="ro-RO"/>
        </w:rPr>
        <w:t xml:space="preserve"> (i) desfășurarea unui studiu de evaluare a cunoștințelor, comportamentelor și atitudinilor persoanelor în legătură cu încetinirea transmiterii COVID-19 (1 099 000 DST); (ii) realizarea evaluării gradului de pregătire pentru vaccinul COVID-19 (1 099 000 DST); și (iii) revizuirea </w:t>
      </w:r>
      <w:r w:rsidR="00FA19B9" w:rsidRPr="00BD050E">
        <w:rPr>
          <w:rFonts w:asciiTheme="majorHAnsi" w:eastAsia="Calibri" w:hAnsiTheme="majorHAnsi" w:cstheme="majorHAnsi"/>
          <w:color w:val="000000" w:themeColor="text1"/>
          <w:sz w:val="24"/>
          <w:szCs w:val="24"/>
          <w:lang w:val="ro-RO"/>
        </w:rPr>
        <w:t>S</w:t>
      </w:r>
      <w:r w:rsidRPr="00BD050E">
        <w:rPr>
          <w:rFonts w:asciiTheme="majorHAnsi" w:eastAsia="Calibri" w:hAnsiTheme="majorHAnsi" w:cstheme="majorHAnsi"/>
          <w:color w:val="000000" w:themeColor="text1"/>
          <w:sz w:val="24"/>
          <w:szCs w:val="24"/>
          <w:lang w:val="ro-RO"/>
        </w:rPr>
        <w:t>trategiei naționale de comunicare pentru COVID-19 (pe baza rezultatelor studiului și evaluării gradului de pregătire pentru vaccinare) și realizarea a șase activități din Strategia revizuită (1 099 000 DST). Prin urmare</w:t>
      </w:r>
      <w:r w:rsidR="00CD37F0" w:rsidRPr="00BD050E">
        <w:rPr>
          <w:rFonts w:asciiTheme="majorHAnsi" w:eastAsia="Calibri" w:hAnsiTheme="majorHAnsi" w:cstheme="majorHAnsi"/>
          <w:color w:val="000000" w:themeColor="text1"/>
          <w:sz w:val="24"/>
          <w:szCs w:val="24"/>
          <w:lang w:val="ro-RO"/>
        </w:rPr>
        <w:t>, acest indicator</w:t>
      </w:r>
      <w:r w:rsidRPr="00BD050E">
        <w:rPr>
          <w:rFonts w:asciiTheme="majorHAnsi" w:eastAsia="Calibri" w:hAnsiTheme="majorHAnsi" w:cstheme="majorHAnsi"/>
          <w:color w:val="000000" w:themeColor="text1"/>
          <w:sz w:val="24"/>
          <w:szCs w:val="24"/>
          <w:lang w:val="ro-RO"/>
        </w:rPr>
        <w:t xml:space="preserve"> a fost validat și </w:t>
      </w:r>
      <w:r w:rsidR="003E50CF" w:rsidRPr="00BD050E">
        <w:rPr>
          <w:rFonts w:asciiTheme="majorHAnsi" w:eastAsia="Calibri" w:hAnsiTheme="majorHAnsi" w:cstheme="majorHAnsi"/>
          <w:color w:val="000000" w:themeColor="text1"/>
          <w:sz w:val="24"/>
          <w:szCs w:val="24"/>
          <w:lang w:val="ro-RO"/>
        </w:rPr>
        <w:t>de</w:t>
      </w:r>
      <w:r w:rsidRPr="00BD050E">
        <w:rPr>
          <w:rFonts w:asciiTheme="majorHAnsi" w:eastAsia="Calibri" w:hAnsiTheme="majorHAnsi" w:cstheme="majorHAnsi"/>
          <w:color w:val="000000" w:themeColor="text1"/>
          <w:sz w:val="24"/>
          <w:szCs w:val="24"/>
          <w:lang w:val="ro-RO"/>
        </w:rPr>
        <w:t>bursat în mai 2022 pentru finalizarea de către OMS a studiului de evaluare a cunoștințelor, comportamentelor și atitudin</w:t>
      </w:r>
      <w:r w:rsidR="00FA19B9" w:rsidRPr="00BD050E">
        <w:rPr>
          <w:rFonts w:asciiTheme="majorHAnsi" w:eastAsia="Calibri" w:hAnsiTheme="majorHAnsi" w:cstheme="majorHAnsi"/>
          <w:color w:val="000000" w:themeColor="text1"/>
          <w:sz w:val="24"/>
          <w:szCs w:val="24"/>
          <w:lang w:val="ro-RO"/>
        </w:rPr>
        <w:t>ii</w:t>
      </w:r>
      <w:r w:rsidRPr="00BD050E">
        <w:rPr>
          <w:rFonts w:asciiTheme="majorHAnsi" w:eastAsia="Calibri" w:hAnsiTheme="majorHAnsi" w:cstheme="majorHAnsi"/>
          <w:color w:val="000000" w:themeColor="text1"/>
          <w:sz w:val="24"/>
          <w:szCs w:val="24"/>
          <w:lang w:val="ro-RO"/>
        </w:rPr>
        <w:t xml:space="preserve"> persoanelor în legătură cu încetinirea transmiterii COVID-19; evaluarea gradului de</w:t>
      </w:r>
      <w:r w:rsidR="008F50F4" w:rsidRPr="00BD050E">
        <w:rPr>
          <w:rFonts w:asciiTheme="majorHAnsi" w:eastAsia="Calibri" w:hAnsiTheme="majorHAnsi" w:cstheme="majorHAnsi"/>
          <w:color w:val="000000" w:themeColor="text1"/>
          <w:sz w:val="24"/>
          <w:szCs w:val="24"/>
          <w:lang w:val="ro-RO"/>
        </w:rPr>
        <w:t xml:space="preserve"> pregătire pentru vaccinul COVID</w:t>
      </w:r>
      <w:r w:rsidRPr="00BD050E">
        <w:rPr>
          <w:rFonts w:asciiTheme="majorHAnsi" w:eastAsia="Calibri" w:hAnsiTheme="majorHAnsi" w:cstheme="majorHAnsi"/>
          <w:color w:val="000000" w:themeColor="text1"/>
          <w:sz w:val="24"/>
          <w:szCs w:val="24"/>
          <w:lang w:val="ro-RO"/>
        </w:rPr>
        <w:t>-19 și revizuirea Strategiei naționale de comunicare pentru COVID-19, pe baza rezultatelor studiului și evaluării gradului de pregătire pentru vaccin.</w:t>
      </w:r>
      <w:bookmarkStart w:id="7" w:name="_Toc10125919"/>
      <w:bookmarkStart w:id="8" w:name="_Toc470707055"/>
    </w:p>
    <w:p w14:paraId="22E43C70" w14:textId="77777777" w:rsidR="00963506" w:rsidRPr="00BD050E" w:rsidRDefault="00963506" w:rsidP="00963506">
      <w:pPr>
        <w:pStyle w:val="Heading1"/>
        <w:tabs>
          <w:tab w:val="left" w:pos="426"/>
        </w:tabs>
        <w:spacing w:after="240"/>
        <w:ind w:left="0" w:firstLine="0"/>
        <w:jc w:val="left"/>
        <w:rPr>
          <w:rFonts w:asciiTheme="majorHAnsi" w:hAnsiTheme="majorHAnsi" w:cstheme="majorHAnsi"/>
          <w:color w:val="000000" w:themeColor="text1"/>
          <w:sz w:val="24"/>
          <w:szCs w:val="24"/>
          <w:lang w:val="ro-RO"/>
        </w:rPr>
      </w:pPr>
      <w:bookmarkStart w:id="9" w:name="_Toc35000689"/>
      <w:bookmarkEnd w:id="7"/>
      <w:bookmarkEnd w:id="8"/>
      <w:r w:rsidRPr="00BD050E">
        <w:rPr>
          <w:rFonts w:asciiTheme="majorHAnsi" w:hAnsiTheme="majorHAnsi" w:cstheme="majorHAnsi"/>
          <w:color w:val="000000" w:themeColor="text1"/>
          <w:sz w:val="24"/>
          <w:szCs w:val="24"/>
          <w:lang w:val="ro-RO"/>
        </w:rPr>
        <w:t>BUNA GUVERNANȚĂ</w:t>
      </w:r>
    </w:p>
    <w:p w14:paraId="28EF5581" w14:textId="00BC4794" w:rsidR="00963506" w:rsidRPr="00BD050E" w:rsidRDefault="00963506" w:rsidP="002B7EFF">
      <w:pPr>
        <w:pStyle w:val="Heading2"/>
        <w:numPr>
          <w:ilvl w:val="1"/>
          <w:numId w:val="28"/>
        </w:numPr>
        <w:spacing w:before="0" w:line="276" w:lineRule="auto"/>
        <w:ind w:left="0" w:firstLine="0"/>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MS are instituit sistemul de control intern managerial, cu activități și reglementări</w:t>
      </w:r>
      <w:r w:rsidR="00E228B3" w:rsidRPr="00BD050E">
        <w:rPr>
          <w:rFonts w:asciiTheme="majorHAnsi" w:hAnsiTheme="majorHAnsi" w:cstheme="majorHAnsi"/>
          <w:color w:val="000000" w:themeColor="text1"/>
          <w:sz w:val="24"/>
          <w:szCs w:val="24"/>
          <w:lang w:val="ro-RO"/>
        </w:rPr>
        <w:t xml:space="preserve"> funcționa</w:t>
      </w:r>
      <w:r w:rsidR="0009712C" w:rsidRPr="00BD050E">
        <w:rPr>
          <w:rFonts w:asciiTheme="majorHAnsi" w:hAnsiTheme="majorHAnsi" w:cstheme="majorHAnsi"/>
          <w:color w:val="000000" w:themeColor="text1"/>
          <w:sz w:val="24"/>
          <w:szCs w:val="24"/>
          <w:lang w:val="ro-RO"/>
        </w:rPr>
        <w:t>l</w:t>
      </w:r>
      <w:r w:rsidR="00E228B3" w:rsidRPr="00BD050E">
        <w:rPr>
          <w:rFonts w:asciiTheme="majorHAnsi" w:hAnsiTheme="majorHAnsi" w:cstheme="majorHAnsi"/>
          <w:color w:val="000000" w:themeColor="text1"/>
          <w:sz w:val="24"/>
          <w:szCs w:val="24"/>
          <w:lang w:val="ro-RO"/>
        </w:rPr>
        <w:t>e</w:t>
      </w:r>
      <w:r w:rsidRPr="00BD050E">
        <w:rPr>
          <w:rFonts w:asciiTheme="majorHAnsi" w:hAnsiTheme="majorHAnsi" w:cstheme="majorHAnsi"/>
          <w:color w:val="000000" w:themeColor="text1"/>
          <w:sz w:val="24"/>
          <w:szCs w:val="24"/>
          <w:lang w:val="ro-RO"/>
        </w:rPr>
        <w:t xml:space="preserve">, care </w:t>
      </w:r>
      <w:r w:rsidR="00E228B3" w:rsidRPr="00BD050E">
        <w:rPr>
          <w:rFonts w:asciiTheme="majorHAnsi" w:hAnsiTheme="majorHAnsi" w:cstheme="majorHAnsi"/>
          <w:color w:val="000000" w:themeColor="text1"/>
          <w:sz w:val="24"/>
          <w:szCs w:val="24"/>
          <w:lang w:val="ro-RO"/>
        </w:rPr>
        <w:t>necesită a fi intensificate</w:t>
      </w:r>
      <w:r w:rsidRPr="00BD050E">
        <w:rPr>
          <w:rFonts w:asciiTheme="majorHAnsi" w:hAnsiTheme="majorHAnsi" w:cstheme="majorHAnsi"/>
          <w:color w:val="000000" w:themeColor="text1"/>
          <w:sz w:val="24"/>
          <w:szCs w:val="24"/>
          <w:lang w:val="ro-RO"/>
        </w:rPr>
        <w:t xml:space="preserve"> pentru Operațiunea „Modernizarea </w:t>
      </w:r>
      <w:r w:rsidR="00E96671" w:rsidRPr="00BD050E">
        <w:rPr>
          <w:rFonts w:asciiTheme="majorHAnsi" w:hAnsiTheme="majorHAnsi" w:cstheme="majorHAnsi"/>
          <w:color w:val="000000" w:themeColor="text1"/>
          <w:sz w:val="24"/>
          <w:szCs w:val="24"/>
          <w:lang w:val="ro-RO"/>
        </w:rPr>
        <w:t>s</w:t>
      </w:r>
      <w:r w:rsidRPr="00BD050E">
        <w:rPr>
          <w:rFonts w:asciiTheme="majorHAnsi" w:hAnsiTheme="majorHAnsi" w:cstheme="majorHAnsi"/>
          <w:color w:val="000000" w:themeColor="text1"/>
          <w:sz w:val="24"/>
          <w:szCs w:val="24"/>
          <w:lang w:val="ro-RO"/>
        </w:rPr>
        <w:t xml:space="preserve">ectorului </w:t>
      </w:r>
      <w:r w:rsidR="00E96671" w:rsidRPr="00BD050E">
        <w:rPr>
          <w:rFonts w:asciiTheme="majorHAnsi" w:hAnsiTheme="majorHAnsi" w:cstheme="majorHAnsi"/>
          <w:color w:val="000000" w:themeColor="text1"/>
          <w:sz w:val="24"/>
          <w:szCs w:val="24"/>
          <w:lang w:val="ro-RO"/>
        </w:rPr>
        <w:t>s</w:t>
      </w:r>
      <w:r w:rsidRPr="00BD050E">
        <w:rPr>
          <w:rFonts w:asciiTheme="majorHAnsi" w:hAnsiTheme="majorHAnsi" w:cstheme="majorHAnsi"/>
          <w:color w:val="000000" w:themeColor="text1"/>
          <w:sz w:val="24"/>
          <w:szCs w:val="24"/>
          <w:lang w:val="ro-RO"/>
        </w:rPr>
        <w:t>ănătății în R</w:t>
      </w:r>
      <w:r w:rsidR="00E96671" w:rsidRPr="00BD050E">
        <w:rPr>
          <w:rFonts w:asciiTheme="majorHAnsi" w:hAnsiTheme="majorHAnsi" w:cstheme="majorHAnsi"/>
          <w:color w:val="000000" w:themeColor="text1"/>
          <w:sz w:val="24"/>
          <w:szCs w:val="24"/>
          <w:lang w:val="ro-RO"/>
        </w:rPr>
        <w:t xml:space="preserve">epublica </w:t>
      </w:r>
      <w:r w:rsidRPr="00BD050E">
        <w:rPr>
          <w:rFonts w:asciiTheme="majorHAnsi" w:hAnsiTheme="majorHAnsi" w:cstheme="majorHAnsi"/>
          <w:color w:val="000000" w:themeColor="text1"/>
          <w:sz w:val="24"/>
          <w:szCs w:val="24"/>
          <w:lang w:val="ro-RO"/>
        </w:rPr>
        <w:t>M</w:t>
      </w:r>
      <w:r w:rsidR="00E96671" w:rsidRPr="00BD050E">
        <w:rPr>
          <w:rFonts w:asciiTheme="majorHAnsi" w:hAnsiTheme="majorHAnsi" w:cstheme="majorHAnsi"/>
          <w:color w:val="000000" w:themeColor="text1"/>
          <w:sz w:val="24"/>
          <w:szCs w:val="24"/>
          <w:lang w:val="ro-RO"/>
        </w:rPr>
        <w:t>oldova</w:t>
      </w:r>
      <w:r w:rsidRPr="00BD050E">
        <w:rPr>
          <w:rFonts w:asciiTheme="majorHAnsi" w:hAnsiTheme="majorHAnsi" w:cstheme="majorHAnsi"/>
          <w:color w:val="000000" w:themeColor="text1"/>
          <w:sz w:val="24"/>
          <w:szCs w:val="24"/>
          <w:lang w:val="ro-RO"/>
        </w:rPr>
        <w:t>”</w:t>
      </w:r>
    </w:p>
    <w:p w14:paraId="63BF2970" w14:textId="1A77860E" w:rsidR="002B7EFF" w:rsidRPr="00BD050E" w:rsidRDefault="00963506" w:rsidP="002B7EFF">
      <w:pPr>
        <w:spacing w:line="276" w:lineRule="auto"/>
        <w:jc w:val="both"/>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 xml:space="preserve">Evaluarea de </w:t>
      </w:r>
      <w:r w:rsidR="00E96671" w:rsidRPr="00BD050E">
        <w:rPr>
          <w:rFonts w:asciiTheme="majorHAnsi" w:eastAsia="Times New Roman" w:hAnsiTheme="majorHAnsi" w:cstheme="majorHAnsi"/>
          <w:color w:val="000000" w:themeColor="text1"/>
          <w:sz w:val="24"/>
          <w:szCs w:val="24"/>
          <w:lang w:val="ro-RO"/>
        </w:rPr>
        <w:t xml:space="preserve">către </w:t>
      </w:r>
      <w:r w:rsidRPr="00BD050E">
        <w:rPr>
          <w:rFonts w:asciiTheme="majorHAnsi" w:eastAsia="Times New Roman" w:hAnsiTheme="majorHAnsi" w:cstheme="majorHAnsi"/>
          <w:color w:val="000000" w:themeColor="text1"/>
          <w:sz w:val="24"/>
          <w:szCs w:val="24"/>
          <w:lang w:val="ro-RO"/>
        </w:rPr>
        <w:t xml:space="preserve">audit a sistemului </w:t>
      </w:r>
      <w:r w:rsidR="0009712C" w:rsidRPr="00BD050E">
        <w:rPr>
          <w:rFonts w:asciiTheme="majorHAnsi" w:eastAsia="Times New Roman" w:hAnsiTheme="majorHAnsi" w:cstheme="majorHAnsi"/>
          <w:color w:val="000000" w:themeColor="text1"/>
          <w:sz w:val="24"/>
          <w:szCs w:val="24"/>
          <w:lang w:val="ro-RO"/>
        </w:rPr>
        <w:t>de control intern managerial</w:t>
      </w:r>
      <w:r w:rsidRPr="00BD050E">
        <w:rPr>
          <w:rFonts w:asciiTheme="majorHAnsi" w:eastAsia="Times New Roman" w:hAnsiTheme="majorHAnsi" w:cstheme="majorHAnsi"/>
          <w:color w:val="000000" w:themeColor="text1"/>
          <w:sz w:val="24"/>
          <w:szCs w:val="24"/>
          <w:lang w:val="ro-RO"/>
        </w:rPr>
        <w:t xml:space="preserve"> al MS, conform cerințelor legale</w:t>
      </w:r>
      <w:r w:rsidRPr="00BD050E">
        <w:rPr>
          <w:rStyle w:val="FootnoteReference"/>
          <w:rFonts w:asciiTheme="majorHAnsi" w:eastAsia="Times New Roman" w:hAnsiTheme="majorHAnsi" w:cstheme="majorHAnsi"/>
          <w:color w:val="000000" w:themeColor="text1"/>
          <w:sz w:val="24"/>
          <w:szCs w:val="24"/>
          <w:lang w:val="ro-RO"/>
        </w:rPr>
        <w:footnoteReference w:id="15"/>
      </w:r>
      <w:r w:rsidRPr="00BD050E">
        <w:rPr>
          <w:rFonts w:asciiTheme="majorHAnsi" w:eastAsia="Times New Roman" w:hAnsiTheme="majorHAnsi" w:cstheme="majorHAnsi"/>
          <w:color w:val="000000" w:themeColor="text1"/>
          <w:sz w:val="24"/>
          <w:szCs w:val="24"/>
          <w:lang w:val="ro-RO"/>
        </w:rPr>
        <w:t>, denotă că</w:t>
      </w:r>
      <w:r w:rsidR="00A92DF4" w:rsidRPr="00BD050E">
        <w:rPr>
          <w:rFonts w:asciiTheme="majorHAnsi" w:eastAsia="Times New Roman" w:hAnsiTheme="majorHAnsi" w:cstheme="majorHAnsi"/>
          <w:color w:val="000000" w:themeColor="text1"/>
          <w:sz w:val="24"/>
          <w:szCs w:val="24"/>
          <w:lang w:val="ro-RO"/>
        </w:rPr>
        <w:t>,</w:t>
      </w:r>
      <w:r w:rsidRPr="00BD050E">
        <w:rPr>
          <w:rFonts w:asciiTheme="majorHAnsi" w:eastAsia="Times New Roman" w:hAnsiTheme="majorHAnsi" w:cstheme="majorHAnsi"/>
          <w:color w:val="000000" w:themeColor="text1"/>
          <w:sz w:val="24"/>
          <w:szCs w:val="24"/>
          <w:lang w:val="ro-RO"/>
        </w:rPr>
        <w:t xml:space="preserve"> </w:t>
      </w:r>
      <w:r w:rsidRPr="00BD050E">
        <w:rPr>
          <w:rFonts w:asciiTheme="majorHAnsi" w:hAnsiTheme="majorHAnsi" w:cstheme="majorHAnsi"/>
          <w:color w:val="000000" w:themeColor="text1"/>
          <w:sz w:val="24"/>
          <w:szCs w:val="24"/>
          <w:lang w:val="ro-RO"/>
        </w:rPr>
        <w:t>î</w:t>
      </w:r>
      <w:r w:rsidRPr="00BD050E">
        <w:rPr>
          <w:rFonts w:asciiTheme="majorHAnsi" w:eastAsia="Times New Roman" w:hAnsiTheme="majorHAnsi" w:cstheme="majorHAnsi"/>
          <w:color w:val="000000" w:themeColor="text1"/>
          <w:sz w:val="24"/>
          <w:szCs w:val="24"/>
          <w:lang w:val="ro-RO"/>
        </w:rPr>
        <w:t>n perioada auditată, au fost aprobate planurile strategice și planurile anuale de activitate, c</w:t>
      </w:r>
      <w:r w:rsidR="00A92DF4" w:rsidRPr="00BD050E">
        <w:rPr>
          <w:rFonts w:asciiTheme="majorHAnsi" w:eastAsia="Times New Roman" w:hAnsiTheme="majorHAnsi" w:cstheme="majorHAnsi"/>
          <w:color w:val="000000" w:themeColor="text1"/>
          <w:sz w:val="24"/>
          <w:szCs w:val="24"/>
          <w:lang w:val="ro-RO"/>
        </w:rPr>
        <w:t>ar</w:t>
      </w:r>
      <w:r w:rsidRPr="00BD050E">
        <w:rPr>
          <w:rFonts w:asciiTheme="majorHAnsi" w:eastAsia="Times New Roman" w:hAnsiTheme="majorHAnsi" w:cstheme="majorHAnsi"/>
          <w:color w:val="000000" w:themeColor="text1"/>
          <w:sz w:val="24"/>
          <w:szCs w:val="24"/>
          <w:lang w:val="ro-RO"/>
        </w:rPr>
        <w:t>e includ obiective strategice/operaționale, indicatori de performanță și riscuri asociate obiectivelor. În același timp</w:t>
      </w:r>
      <w:r w:rsidR="00A92DF4" w:rsidRPr="00BD050E">
        <w:rPr>
          <w:rFonts w:asciiTheme="majorHAnsi" w:eastAsia="Times New Roman" w:hAnsiTheme="majorHAnsi" w:cstheme="majorHAnsi"/>
          <w:color w:val="000000" w:themeColor="text1"/>
          <w:sz w:val="24"/>
          <w:szCs w:val="24"/>
          <w:lang w:val="ro-RO"/>
        </w:rPr>
        <w:t>,</w:t>
      </w:r>
      <w:r w:rsidRPr="00BD050E">
        <w:rPr>
          <w:rFonts w:asciiTheme="majorHAnsi" w:eastAsia="Times New Roman" w:hAnsiTheme="majorHAnsi" w:cstheme="majorHAnsi"/>
          <w:color w:val="000000" w:themeColor="text1"/>
          <w:sz w:val="24"/>
          <w:szCs w:val="24"/>
          <w:lang w:val="ro-RO"/>
        </w:rPr>
        <w:t xml:space="preserve"> se consideră oportună necesitatea ajustării și intensificării activității de control intern pentru o bună guvernanță asupra proceselor realizate în cadrul </w:t>
      </w:r>
      <w:r w:rsidR="00E228B3" w:rsidRPr="00BD050E">
        <w:rPr>
          <w:rFonts w:asciiTheme="majorHAnsi" w:eastAsia="Times New Roman" w:hAnsiTheme="majorHAnsi" w:cstheme="majorHAnsi"/>
          <w:color w:val="000000" w:themeColor="text1"/>
          <w:sz w:val="24"/>
          <w:szCs w:val="24"/>
          <w:lang w:val="ro-RO"/>
        </w:rPr>
        <w:t xml:space="preserve">Operațiunii </w:t>
      </w:r>
      <w:r w:rsidRPr="00BD050E">
        <w:rPr>
          <w:rFonts w:asciiTheme="majorHAnsi" w:eastAsia="Times New Roman" w:hAnsiTheme="majorHAnsi" w:cstheme="majorHAnsi"/>
          <w:color w:val="000000" w:themeColor="text1"/>
          <w:sz w:val="24"/>
          <w:szCs w:val="24"/>
          <w:lang w:val="ro-RO"/>
        </w:rPr>
        <w:t>„Moderniza</w:t>
      </w:r>
      <w:r w:rsidR="00E228B3" w:rsidRPr="00BD050E">
        <w:rPr>
          <w:rFonts w:asciiTheme="majorHAnsi" w:eastAsia="Times New Roman" w:hAnsiTheme="majorHAnsi" w:cstheme="majorHAnsi"/>
          <w:color w:val="000000" w:themeColor="text1"/>
          <w:sz w:val="24"/>
          <w:szCs w:val="24"/>
          <w:lang w:val="ro-RO"/>
        </w:rPr>
        <w:t xml:space="preserve">rea </w:t>
      </w:r>
      <w:r w:rsidR="00A92DF4" w:rsidRPr="00BD050E">
        <w:rPr>
          <w:rFonts w:asciiTheme="majorHAnsi" w:eastAsia="Times New Roman" w:hAnsiTheme="majorHAnsi" w:cstheme="majorHAnsi"/>
          <w:color w:val="000000" w:themeColor="text1"/>
          <w:sz w:val="24"/>
          <w:szCs w:val="24"/>
          <w:lang w:val="ro-RO"/>
        </w:rPr>
        <w:t>s</w:t>
      </w:r>
      <w:r w:rsidR="00E228B3" w:rsidRPr="00BD050E">
        <w:rPr>
          <w:rFonts w:asciiTheme="majorHAnsi" w:eastAsia="Times New Roman" w:hAnsiTheme="majorHAnsi" w:cstheme="majorHAnsi"/>
          <w:color w:val="000000" w:themeColor="text1"/>
          <w:sz w:val="24"/>
          <w:szCs w:val="24"/>
          <w:lang w:val="ro-RO"/>
        </w:rPr>
        <w:t xml:space="preserve">ectorului </w:t>
      </w:r>
      <w:r w:rsidR="00A92DF4" w:rsidRPr="00BD050E">
        <w:rPr>
          <w:rFonts w:asciiTheme="majorHAnsi" w:eastAsia="Times New Roman" w:hAnsiTheme="majorHAnsi" w:cstheme="majorHAnsi"/>
          <w:color w:val="000000" w:themeColor="text1"/>
          <w:sz w:val="24"/>
          <w:szCs w:val="24"/>
          <w:lang w:val="ro-RO"/>
        </w:rPr>
        <w:t>s</w:t>
      </w:r>
      <w:r w:rsidR="00E228B3" w:rsidRPr="00BD050E">
        <w:rPr>
          <w:rFonts w:asciiTheme="majorHAnsi" w:eastAsia="Times New Roman" w:hAnsiTheme="majorHAnsi" w:cstheme="majorHAnsi"/>
          <w:color w:val="000000" w:themeColor="text1"/>
          <w:sz w:val="24"/>
          <w:szCs w:val="24"/>
          <w:lang w:val="ro-RO"/>
        </w:rPr>
        <w:t>ănătății în R</w:t>
      </w:r>
      <w:r w:rsidR="00A92DF4" w:rsidRPr="00BD050E">
        <w:rPr>
          <w:rFonts w:asciiTheme="majorHAnsi" w:eastAsia="Times New Roman" w:hAnsiTheme="majorHAnsi" w:cstheme="majorHAnsi"/>
          <w:color w:val="000000" w:themeColor="text1"/>
          <w:sz w:val="24"/>
          <w:szCs w:val="24"/>
          <w:lang w:val="ro-RO"/>
        </w:rPr>
        <w:t xml:space="preserve">epublica </w:t>
      </w:r>
      <w:r w:rsidR="00E228B3" w:rsidRPr="00BD050E">
        <w:rPr>
          <w:rFonts w:asciiTheme="majorHAnsi" w:eastAsia="Times New Roman" w:hAnsiTheme="majorHAnsi" w:cstheme="majorHAnsi"/>
          <w:color w:val="000000" w:themeColor="text1"/>
          <w:sz w:val="24"/>
          <w:szCs w:val="24"/>
          <w:lang w:val="ro-RO"/>
        </w:rPr>
        <w:t>M</w:t>
      </w:r>
      <w:r w:rsidR="00A92DF4" w:rsidRPr="00BD050E">
        <w:rPr>
          <w:rFonts w:asciiTheme="majorHAnsi" w:eastAsia="Times New Roman" w:hAnsiTheme="majorHAnsi" w:cstheme="majorHAnsi"/>
          <w:color w:val="000000" w:themeColor="text1"/>
          <w:sz w:val="24"/>
          <w:szCs w:val="24"/>
          <w:lang w:val="ro-RO"/>
        </w:rPr>
        <w:t>oldova</w:t>
      </w:r>
      <w:r w:rsidR="00E228B3" w:rsidRPr="00BD050E">
        <w:rPr>
          <w:rFonts w:asciiTheme="majorHAnsi" w:eastAsia="Times New Roman" w:hAnsiTheme="majorHAnsi" w:cstheme="majorHAnsi"/>
          <w:color w:val="000000" w:themeColor="text1"/>
          <w:sz w:val="24"/>
          <w:szCs w:val="24"/>
          <w:lang w:val="ro-RO"/>
        </w:rPr>
        <w:t>”</w:t>
      </w:r>
      <w:r w:rsidR="00A92DF4" w:rsidRPr="00BD050E">
        <w:rPr>
          <w:rFonts w:asciiTheme="majorHAnsi" w:eastAsia="Times New Roman" w:hAnsiTheme="majorHAnsi" w:cstheme="majorHAnsi"/>
          <w:color w:val="000000" w:themeColor="text1"/>
          <w:sz w:val="24"/>
          <w:szCs w:val="24"/>
          <w:lang w:val="ro-RO"/>
        </w:rPr>
        <w:t>,</w:t>
      </w:r>
      <w:r w:rsidR="00E228B3" w:rsidRPr="00BD050E">
        <w:rPr>
          <w:rFonts w:asciiTheme="majorHAnsi" w:eastAsia="Times New Roman" w:hAnsiTheme="majorHAnsi" w:cstheme="majorHAnsi"/>
          <w:color w:val="000000" w:themeColor="text1"/>
          <w:sz w:val="24"/>
          <w:szCs w:val="24"/>
          <w:lang w:val="ro-RO"/>
        </w:rPr>
        <w:t xml:space="preserve"> în scopul atingerii progreselor și scopului final stabilit.</w:t>
      </w:r>
    </w:p>
    <w:p w14:paraId="1409C96B" w14:textId="146C7AE1" w:rsidR="00D1174F" w:rsidRPr="00BD050E" w:rsidRDefault="003F47E5" w:rsidP="00A4146A">
      <w:pPr>
        <w:pStyle w:val="ListParagraph"/>
        <w:numPr>
          <w:ilvl w:val="1"/>
          <w:numId w:val="28"/>
        </w:numPr>
        <w:spacing w:line="276" w:lineRule="auto"/>
        <w:ind w:left="0" w:firstLine="0"/>
        <w:jc w:val="both"/>
        <w:outlineLvl w:val="1"/>
        <w:rPr>
          <w:rFonts w:asciiTheme="majorHAnsi" w:hAnsiTheme="majorHAnsi" w:cstheme="majorHAnsi"/>
          <w:color w:val="000000" w:themeColor="text1"/>
          <w:sz w:val="24"/>
          <w:szCs w:val="24"/>
          <w:lang w:val="ro-MD"/>
        </w:rPr>
      </w:pPr>
      <w:r w:rsidRPr="00BD050E">
        <w:rPr>
          <w:rFonts w:asciiTheme="majorHAnsi" w:eastAsia="Times New Roman" w:hAnsiTheme="majorHAnsi" w:cstheme="majorHAnsi"/>
          <w:b/>
          <w:color w:val="000000" w:themeColor="text1"/>
          <w:sz w:val="24"/>
          <w:szCs w:val="24"/>
          <w:lang w:val="ro-RO"/>
        </w:rPr>
        <w:t>U</w:t>
      </w:r>
      <w:r w:rsidR="00D1174F" w:rsidRPr="00BD050E">
        <w:rPr>
          <w:rFonts w:asciiTheme="majorHAnsi" w:eastAsia="Times New Roman" w:hAnsiTheme="majorHAnsi" w:cstheme="majorHAnsi"/>
          <w:b/>
          <w:color w:val="000000" w:themeColor="text1"/>
          <w:sz w:val="24"/>
          <w:szCs w:val="24"/>
          <w:lang w:val="ro-RO"/>
        </w:rPr>
        <w:t>nitate</w:t>
      </w:r>
      <w:r w:rsidRPr="00BD050E">
        <w:rPr>
          <w:rFonts w:asciiTheme="majorHAnsi" w:eastAsia="Times New Roman" w:hAnsiTheme="majorHAnsi" w:cstheme="majorHAnsi"/>
          <w:b/>
          <w:color w:val="000000" w:themeColor="text1"/>
          <w:sz w:val="24"/>
          <w:szCs w:val="24"/>
          <w:lang w:val="ro-RO"/>
        </w:rPr>
        <w:t>a</w:t>
      </w:r>
      <w:r w:rsidR="00D1174F" w:rsidRPr="00BD050E">
        <w:rPr>
          <w:rFonts w:asciiTheme="majorHAnsi" w:eastAsia="Times New Roman" w:hAnsiTheme="majorHAnsi" w:cstheme="majorHAnsi"/>
          <w:b/>
          <w:color w:val="000000" w:themeColor="text1"/>
          <w:sz w:val="24"/>
          <w:szCs w:val="24"/>
          <w:lang w:val="ro-RO"/>
        </w:rPr>
        <w:t xml:space="preserve"> de </w:t>
      </w:r>
      <w:r w:rsidR="00E96671" w:rsidRPr="00BD050E">
        <w:rPr>
          <w:rFonts w:asciiTheme="majorHAnsi" w:eastAsia="Times New Roman" w:hAnsiTheme="majorHAnsi" w:cstheme="majorHAnsi"/>
          <w:b/>
          <w:color w:val="000000" w:themeColor="text1"/>
          <w:sz w:val="24"/>
          <w:szCs w:val="24"/>
          <w:lang w:val="ro-RO"/>
        </w:rPr>
        <w:t>audit intern</w:t>
      </w:r>
      <w:r w:rsidRPr="00BD050E">
        <w:rPr>
          <w:rFonts w:asciiTheme="majorHAnsi" w:eastAsia="Times New Roman" w:hAnsiTheme="majorHAnsi" w:cstheme="majorHAnsi"/>
          <w:b/>
          <w:color w:val="000000" w:themeColor="text1"/>
          <w:sz w:val="24"/>
          <w:szCs w:val="24"/>
          <w:lang w:val="ro-RO"/>
        </w:rPr>
        <w:t xml:space="preserve"> din cadrul MS</w:t>
      </w:r>
      <w:r w:rsidR="00D1174F" w:rsidRPr="00BD050E">
        <w:rPr>
          <w:rFonts w:asciiTheme="majorHAnsi" w:eastAsia="Times New Roman" w:hAnsiTheme="majorHAnsi" w:cstheme="majorHAnsi"/>
          <w:b/>
          <w:color w:val="000000" w:themeColor="text1"/>
          <w:sz w:val="24"/>
          <w:szCs w:val="24"/>
          <w:lang w:val="ro-RO"/>
        </w:rPr>
        <w:t xml:space="preserve"> </w:t>
      </w:r>
      <w:r w:rsidR="00A4146A" w:rsidRPr="00BD050E">
        <w:rPr>
          <w:rFonts w:asciiTheme="majorHAnsi" w:eastAsia="Times New Roman" w:hAnsiTheme="majorHAnsi" w:cstheme="majorHAnsi"/>
          <w:b/>
          <w:color w:val="000000" w:themeColor="text1"/>
          <w:sz w:val="24"/>
          <w:szCs w:val="24"/>
          <w:lang w:val="ro-RO"/>
        </w:rPr>
        <w:t>a funcționat parțial, exist</w:t>
      </w:r>
      <w:r w:rsidR="00A92DF4" w:rsidRPr="00BD050E">
        <w:rPr>
          <w:rFonts w:asciiTheme="majorHAnsi" w:eastAsia="Times New Roman" w:hAnsiTheme="majorHAnsi" w:cstheme="majorHAnsi"/>
          <w:b/>
          <w:color w:val="000000" w:themeColor="text1"/>
          <w:sz w:val="24"/>
          <w:szCs w:val="24"/>
          <w:lang w:val="ro-RO"/>
        </w:rPr>
        <w:t>â</w:t>
      </w:r>
      <w:r w:rsidR="00A4146A" w:rsidRPr="00BD050E">
        <w:rPr>
          <w:rFonts w:asciiTheme="majorHAnsi" w:eastAsia="Times New Roman" w:hAnsiTheme="majorHAnsi" w:cstheme="majorHAnsi"/>
          <w:b/>
          <w:color w:val="000000" w:themeColor="text1"/>
          <w:sz w:val="24"/>
          <w:szCs w:val="24"/>
          <w:lang w:val="ro-RO"/>
        </w:rPr>
        <w:t>nd</w:t>
      </w:r>
      <w:r w:rsidR="00D1174F" w:rsidRPr="00BD050E">
        <w:rPr>
          <w:rFonts w:asciiTheme="majorHAnsi" w:eastAsia="Times New Roman" w:hAnsiTheme="majorHAnsi" w:cstheme="majorHAnsi"/>
          <w:b/>
          <w:color w:val="000000" w:themeColor="text1"/>
          <w:sz w:val="24"/>
          <w:szCs w:val="24"/>
          <w:lang w:val="ro-RO"/>
        </w:rPr>
        <w:t xml:space="preserve"> </w:t>
      </w:r>
      <w:r w:rsidR="00A4146A" w:rsidRPr="00BD050E">
        <w:rPr>
          <w:rFonts w:asciiTheme="majorHAnsi" w:hAnsiTheme="majorHAnsi" w:cstheme="majorHAnsi"/>
          <w:b/>
          <w:color w:val="000000" w:themeColor="text1"/>
          <w:sz w:val="24"/>
          <w:szCs w:val="24"/>
          <w:lang w:val="ro-MD"/>
        </w:rPr>
        <w:t>dificultăți</w:t>
      </w:r>
      <w:r w:rsidR="00D71ED1" w:rsidRPr="00BD050E">
        <w:rPr>
          <w:rFonts w:asciiTheme="majorHAnsi" w:hAnsiTheme="majorHAnsi" w:cstheme="majorHAnsi"/>
          <w:b/>
          <w:color w:val="000000" w:themeColor="text1"/>
          <w:sz w:val="24"/>
          <w:szCs w:val="24"/>
          <w:lang w:val="ro-MD"/>
        </w:rPr>
        <w:t xml:space="preserve"> la încadrarea personalului în</w:t>
      </w:r>
      <w:r w:rsidR="00D1174F" w:rsidRPr="00BD050E">
        <w:rPr>
          <w:rFonts w:asciiTheme="majorHAnsi" w:hAnsiTheme="majorHAnsi" w:cstheme="majorHAnsi"/>
          <w:b/>
          <w:color w:val="000000" w:themeColor="text1"/>
          <w:sz w:val="24"/>
          <w:szCs w:val="24"/>
          <w:lang w:val="ro-MD"/>
        </w:rPr>
        <w:t xml:space="preserve"> această</w:t>
      </w:r>
      <w:r w:rsidR="00D71ED1" w:rsidRPr="00BD050E">
        <w:rPr>
          <w:rFonts w:asciiTheme="majorHAnsi" w:hAnsiTheme="majorHAnsi" w:cstheme="majorHAnsi"/>
          <w:b/>
          <w:color w:val="000000" w:themeColor="text1"/>
          <w:sz w:val="24"/>
          <w:szCs w:val="24"/>
          <w:lang w:val="ro-MD"/>
        </w:rPr>
        <w:t xml:space="preserve"> funcți</w:t>
      </w:r>
      <w:r w:rsidR="00D1174F" w:rsidRPr="00BD050E">
        <w:rPr>
          <w:rFonts w:asciiTheme="majorHAnsi" w:hAnsiTheme="majorHAnsi" w:cstheme="majorHAnsi"/>
          <w:b/>
          <w:color w:val="000000" w:themeColor="text1"/>
          <w:sz w:val="24"/>
          <w:szCs w:val="24"/>
          <w:lang w:val="ro-MD"/>
        </w:rPr>
        <w:t>e</w:t>
      </w:r>
    </w:p>
    <w:p w14:paraId="3B18A7B2" w14:textId="3F0466FB" w:rsidR="002B7EFF" w:rsidRPr="00BD050E" w:rsidRDefault="003F47E5" w:rsidP="00D1174F">
      <w:pPr>
        <w:spacing w:line="276" w:lineRule="auto"/>
        <w:jc w:val="both"/>
        <w:rPr>
          <w:rFonts w:asciiTheme="majorHAnsi" w:eastAsia="Times New Roman"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MD"/>
        </w:rPr>
        <w:t>Pe parcursul anului 2021</w:t>
      </w:r>
      <w:r w:rsidR="00A92DF4" w:rsidRPr="00BD050E">
        <w:rPr>
          <w:rFonts w:asciiTheme="majorHAnsi" w:hAnsiTheme="majorHAnsi" w:cstheme="majorHAnsi"/>
          <w:color w:val="000000" w:themeColor="text1"/>
          <w:sz w:val="24"/>
          <w:szCs w:val="24"/>
          <w:lang w:val="ro-MD"/>
        </w:rPr>
        <w:t>,</w:t>
      </w:r>
      <w:r w:rsidR="00A4146A" w:rsidRPr="00BD050E">
        <w:rPr>
          <w:rFonts w:asciiTheme="majorHAnsi" w:hAnsiTheme="majorHAnsi" w:cstheme="majorHAnsi"/>
          <w:color w:val="000000" w:themeColor="text1"/>
          <w:sz w:val="24"/>
          <w:szCs w:val="24"/>
          <w:lang w:val="ro-MD"/>
        </w:rPr>
        <w:t xml:space="preserve"> unitatea de audit intern a fost funcțională 8 luni. Totodată, </w:t>
      </w:r>
      <w:r w:rsidR="00D71ED1" w:rsidRPr="00BD050E">
        <w:rPr>
          <w:rFonts w:asciiTheme="majorHAnsi" w:hAnsiTheme="majorHAnsi" w:cstheme="majorHAnsi"/>
          <w:color w:val="000000" w:themeColor="text1"/>
          <w:sz w:val="24"/>
          <w:szCs w:val="24"/>
          <w:lang w:val="ro-MD"/>
        </w:rPr>
        <w:t>nu s-a</w:t>
      </w:r>
      <w:r w:rsidR="00D1174F" w:rsidRPr="00BD050E">
        <w:rPr>
          <w:rFonts w:asciiTheme="majorHAnsi" w:hAnsiTheme="majorHAnsi" w:cstheme="majorHAnsi"/>
          <w:color w:val="000000" w:themeColor="text1"/>
          <w:sz w:val="24"/>
          <w:szCs w:val="24"/>
          <w:lang w:val="ro-MD"/>
        </w:rPr>
        <w:t>u evaluat procesele din domeniul financiar-contabil, c</w:t>
      </w:r>
      <w:r w:rsidR="00A92DF4" w:rsidRPr="00BD050E">
        <w:rPr>
          <w:rFonts w:asciiTheme="majorHAnsi" w:hAnsiTheme="majorHAnsi" w:cstheme="majorHAnsi"/>
          <w:color w:val="000000" w:themeColor="text1"/>
          <w:sz w:val="24"/>
          <w:szCs w:val="24"/>
          <w:lang w:val="ro-MD"/>
        </w:rPr>
        <w:t>ar</w:t>
      </w:r>
      <w:r w:rsidR="00D1174F" w:rsidRPr="00BD050E">
        <w:rPr>
          <w:rFonts w:asciiTheme="majorHAnsi" w:hAnsiTheme="majorHAnsi" w:cstheme="majorHAnsi"/>
          <w:color w:val="000000" w:themeColor="text1"/>
          <w:sz w:val="24"/>
          <w:szCs w:val="24"/>
          <w:lang w:val="ro-MD"/>
        </w:rPr>
        <w:t>e se referă la Operațiunea „Modernizarea sectorului sănătății în R</w:t>
      </w:r>
      <w:r w:rsidR="00A92DF4" w:rsidRPr="00BD050E">
        <w:rPr>
          <w:rFonts w:asciiTheme="majorHAnsi" w:hAnsiTheme="majorHAnsi" w:cstheme="majorHAnsi"/>
          <w:color w:val="000000" w:themeColor="text1"/>
          <w:sz w:val="24"/>
          <w:szCs w:val="24"/>
          <w:lang w:val="ro-MD"/>
        </w:rPr>
        <w:t xml:space="preserve">epublica </w:t>
      </w:r>
      <w:r w:rsidR="00D1174F" w:rsidRPr="00BD050E">
        <w:rPr>
          <w:rFonts w:asciiTheme="majorHAnsi" w:hAnsiTheme="majorHAnsi" w:cstheme="majorHAnsi"/>
          <w:color w:val="000000" w:themeColor="text1"/>
          <w:sz w:val="24"/>
          <w:szCs w:val="24"/>
          <w:lang w:val="ro-MD"/>
        </w:rPr>
        <w:t>M</w:t>
      </w:r>
      <w:r w:rsidR="00A92DF4" w:rsidRPr="00BD050E">
        <w:rPr>
          <w:rFonts w:asciiTheme="majorHAnsi" w:hAnsiTheme="majorHAnsi" w:cstheme="majorHAnsi"/>
          <w:color w:val="000000" w:themeColor="text1"/>
          <w:sz w:val="24"/>
          <w:szCs w:val="24"/>
          <w:lang w:val="ro-MD"/>
        </w:rPr>
        <w:t>oldova</w:t>
      </w:r>
      <w:r w:rsidR="00D1174F" w:rsidRPr="00BD050E">
        <w:rPr>
          <w:rFonts w:asciiTheme="majorHAnsi" w:hAnsiTheme="majorHAnsi" w:cstheme="majorHAnsi"/>
          <w:color w:val="000000" w:themeColor="text1"/>
          <w:sz w:val="24"/>
          <w:szCs w:val="24"/>
          <w:lang w:val="ro-MD"/>
        </w:rPr>
        <w:t xml:space="preserve">” . Prin urmare, nu a fost </w:t>
      </w:r>
      <w:r w:rsidR="00C725A8" w:rsidRPr="00BD050E">
        <w:rPr>
          <w:rFonts w:asciiTheme="majorHAnsi" w:hAnsiTheme="majorHAnsi" w:cstheme="majorHAnsi"/>
          <w:color w:val="000000" w:themeColor="text1"/>
          <w:sz w:val="24"/>
          <w:szCs w:val="24"/>
          <w:lang w:val="ro-MD"/>
        </w:rPr>
        <w:t>obținută</w:t>
      </w:r>
      <w:r w:rsidR="00D71ED1" w:rsidRPr="00BD050E">
        <w:rPr>
          <w:rFonts w:asciiTheme="majorHAnsi" w:hAnsiTheme="majorHAnsi" w:cstheme="majorHAnsi"/>
          <w:color w:val="000000" w:themeColor="text1"/>
          <w:sz w:val="24"/>
          <w:szCs w:val="24"/>
          <w:lang w:val="ro-MD"/>
        </w:rPr>
        <w:t xml:space="preserve"> asigurarea așteptată asupra eficacității sau ineficacităț</w:t>
      </w:r>
      <w:r w:rsidR="00D1174F" w:rsidRPr="00BD050E">
        <w:rPr>
          <w:rFonts w:asciiTheme="majorHAnsi" w:hAnsiTheme="majorHAnsi" w:cstheme="majorHAnsi"/>
          <w:color w:val="000000" w:themeColor="text1"/>
          <w:sz w:val="24"/>
          <w:szCs w:val="24"/>
          <w:lang w:val="ro-MD"/>
        </w:rPr>
        <w:t>ii acțiunilor de control-cheie</w:t>
      </w:r>
      <w:r w:rsidR="00A4146A" w:rsidRPr="00BD050E">
        <w:rPr>
          <w:rFonts w:asciiTheme="majorHAnsi" w:hAnsiTheme="majorHAnsi" w:cstheme="majorHAnsi"/>
          <w:color w:val="000000" w:themeColor="text1"/>
          <w:sz w:val="24"/>
          <w:szCs w:val="24"/>
          <w:lang w:val="ro-MD"/>
        </w:rPr>
        <w:t xml:space="preserve"> ale domeniului respectiv</w:t>
      </w:r>
      <w:r w:rsidR="00D71ED1" w:rsidRPr="00BD050E">
        <w:rPr>
          <w:rFonts w:asciiTheme="majorHAnsi" w:hAnsiTheme="majorHAnsi" w:cstheme="majorHAnsi"/>
          <w:color w:val="000000" w:themeColor="text1"/>
          <w:sz w:val="24"/>
          <w:szCs w:val="24"/>
          <w:lang w:val="ro-MD"/>
        </w:rPr>
        <w:t xml:space="preserve">. În aceste condiții, </w:t>
      </w:r>
      <w:r w:rsidR="00D71ED1" w:rsidRPr="00BD050E">
        <w:rPr>
          <w:rFonts w:asciiTheme="majorHAnsi" w:hAnsiTheme="majorHAnsi" w:cs="Times New Roman"/>
          <w:color w:val="000000" w:themeColor="text1"/>
          <w:sz w:val="24"/>
          <w:szCs w:val="24"/>
          <w:lang w:val="ro-MD"/>
        </w:rPr>
        <w:t xml:space="preserve">conducerea ministerului a fost lipsită de un instrument care asigură gestionarea prudentă </w:t>
      </w:r>
      <w:r w:rsidR="00D71ED1" w:rsidRPr="00BD050E">
        <w:rPr>
          <w:rFonts w:asciiTheme="majorHAnsi" w:hAnsiTheme="majorHAnsi" w:cs="Times New Roman"/>
          <w:color w:val="000000" w:themeColor="text1"/>
          <w:sz w:val="24"/>
          <w:szCs w:val="24"/>
          <w:lang w:val="ro-MD"/>
        </w:rPr>
        <w:lastRenderedPageBreak/>
        <w:t>a riscurilor, contribuie la îmbunătățirea controlului intern managerial, precum și sporește nivelul de eficiență și eficacitate a proceselor gestionate.</w:t>
      </w:r>
      <w:r w:rsidR="00D71ED1" w:rsidRPr="00BD050E">
        <w:rPr>
          <w:rFonts w:asciiTheme="majorHAnsi" w:hAnsiTheme="majorHAnsi" w:cstheme="majorHAnsi"/>
          <w:color w:val="000000" w:themeColor="text1"/>
          <w:sz w:val="24"/>
          <w:szCs w:val="24"/>
          <w:lang w:val="ro-MD"/>
        </w:rPr>
        <w:t xml:space="preserve"> </w:t>
      </w:r>
    </w:p>
    <w:p w14:paraId="7846D863" w14:textId="319BF08F" w:rsidR="00963506" w:rsidRPr="00BD050E" w:rsidRDefault="00290D70" w:rsidP="002B7EFF">
      <w:pPr>
        <w:pStyle w:val="ListParagraph"/>
        <w:numPr>
          <w:ilvl w:val="1"/>
          <w:numId w:val="29"/>
        </w:numPr>
        <w:spacing w:after="0" w:line="276" w:lineRule="auto"/>
        <w:ind w:left="0" w:firstLine="0"/>
        <w:jc w:val="both"/>
        <w:outlineLvl w:val="1"/>
        <w:rPr>
          <w:rFonts w:asciiTheme="majorHAnsi" w:eastAsia="Times New Roman" w:hAnsiTheme="majorHAnsi" w:cstheme="majorHAnsi"/>
          <w:b/>
          <w:bCs/>
          <w:color w:val="000000" w:themeColor="text1"/>
          <w:sz w:val="24"/>
          <w:szCs w:val="24"/>
          <w:lang w:val="ro-RO"/>
        </w:rPr>
      </w:pPr>
      <w:r w:rsidRPr="00BD050E">
        <w:rPr>
          <w:rFonts w:asciiTheme="majorHAnsi" w:eastAsia="Times New Roman" w:hAnsiTheme="majorHAnsi" w:cstheme="majorHAnsi"/>
          <w:b/>
          <w:bCs/>
          <w:color w:val="000000" w:themeColor="text1"/>
          <w:sz w:val="24"/>
          <w:szCs w:val="24"/>
          <w:lang w:val="ro-RO"/>
        </w:rPr>
        <w:t>Recomandările</w:t>
      </w:r>
      <w:r w:rsidR="00963506" w:rsidRPr="00BD050E">
        <w:rPr>
          <w:rFonts w:asciiTheme="majorHAnsi" w:eastAsia="Times New Roman" w:hAnsiTheme="majorHAnsi" w:cstheme="majorHAnsi"/>
          <w:b/>
          <w:bCs/>
          <w:color w:val="000000" w:themeColor="text1"/>
          <w:sz w:val="24"/>
          <w:szCs w:val="24"/>
          <w:lang w:val="ro-RO"/>
        </w:rPr>
        <w:t xml:space="preserve"> înaintat</w:t>
      </w:r>
      <w:r w:rsidRPr="00BD050E">
        <w:rPr>
          <w:rFonts w:asciiTheme="majorHAnsi" w:eastAsia="Times New Roman" w:hAnsiTheme="majorHAnsi" w:cstheme="majorHAnsi"/>
          <w:b/>
          <w:bCs/>
          <w:color w:val="000000" w:themeColor="text1"/>
          <w:sz w:val="24"/>
          <w:szCs w:val="24"/>
          <w:lang w:val="ro-RO"/>
        </w:rPr>
        <w:t xml:space="preserve">e </w:t>
      </w:r>
      <w:r w:rsidR="00963506" w:rsidRPr="00BD050E">
        <w:rPr>
          <w:rFonts w:asciiTheme="majorHAnsi" w:eastAsia="Times New Roman" w:hAnsiTheme="majorHAnsi" w:cstheme="majorHAnsi"/>
          <w:b/>
          <w:bCs/>
          <w:color w:val="000000" w:themeColor="text1"/>
          <w:sz w:val="24"/>
          <w:szCs w:val="24"/>
          <w:lang w:val="ro-RO"/>
        </w:rPr>
        <w:t>anterior nu a</w:t>
      </w:r>
      <w:r w:rsidRPr="00BD050E">
        <w:rPr>
          <w:rFonts w:asciiTheme="majorHAnsi" w:eastAsia="Times New Roman" w:hAnsiTheme="majorHAnsi" w:cstheme="majorHAnsi"/>
          <w:b/>
          <w:bCs/>
          <w:color w:val="000000" w:themeColor="text1"/>
          <w:sz w:val="24"/>
          <w:szCs w:val="24"/>
          <w:lang w:val="ro-RO"/>
        </w:rPr>
        <w:t>u</w:t>
      </w:r>
      <w:r w:rsidR="00963506" w:rsidRPr="00BD050E">
        <w:rPr>
          <w:rFonts w:asciiTheme="majorHAnsi" w:eastAsia="Times New Roman" w:hAnsiTheme="majorHAnsi" w:cstheme="majorHAnsi"/>
          <w:b/>
          <w:bCs/>
          <w:color w:val="000000" w:themeColor="text1"/>
          <w:sz w:val="24"/>
          <w:szCs w:val="24"/>
          <w:lang w:val="ro-RO"/>
        </w:rPr>
        <w:t xml:space="preserve"> fost implementat</w:t>
      </w:r>
      <w:r w:rsidRPr="00BD050E">
        <w:rPr>
          <w:rFonts w:asciiTheme="majorHAnsi" w:eastAsia="Times New Roman" w:hAnsiTheme="majorHAnsi" w:cstheme="majorHAnsi"/>
          <w:b/>
          <w:bCs/>
          <w:color w:val="000000" w:themeColor="text1"/>
          <w:sz w:val="24"/>
          <w:szCs w:val="24"/>
          <w:lang w:val="ro-RO"/>
        </w:rPr>
        <w:t>e integral</w:t>
      </w:r>
      <w:r w:rsidR="00963506" w:rsidRPr="00BD050E">
        <w:rPr>
          <w:rFonts w:asciiTheme="majorHAnsi" w:eastAsia="Times New Roman" w:hAnsiTheme="majorHAnsi" w:cstheme="majorHAnsi"/>
          <w:b/>
          <w:bCs/>
          <w:color w:val="000000" w:themeColor="text1"/>
          <w:sz w:val="24"/>
          <w:szCs w:val="24"/>
          <w:lang w:val="ro-RO"/>
        </w:rPr>
        <w:t>, fapt c</w:t>
      </w:r>
      <w:r w:rsidR="00CE7817" w:rsidRPr="00BD050E">
        <w:rPr>
          <w:rFonts w:asciiTheme="majorHAnsi" w:eastAsia="Times New Roman" w:hAnsiTheme="majorHAnsi" w:cstheme="majorHAnsi"/>
          <w:b/>
          <w:bCs/>
          <w:color w:val="000000" w:themeColor="text1"/>
          <w:sz w:val="24"/>
          <w:szCs w:val="24"/>
          <w:lang w:val="ro-RO"/>
        </w:rPr>
        <w:t>ar</w:t>
      </w:r>
      <w:r w:rsidR="00963506" w:rsidRPr="00BD050E">
        <w:rPr>
          <w:rFonts w:asciiTheme="majorHAnsi" w:eastAsia="Times New Roman" w:hAnsiTheme="majorHAnsi" w:cstheme="majorHAnsi"/>
          <w:b/>
          <w:bCs/>
          <w:color w:val="000000" w:themeColor="text1"/>
          <w:sz w:val="24"/>
          <w:szCs w:val="24"/>
          <w:lang w:val="ro-RO"/>
        </w:rPr>
        <w:t>e a cauzat ne</w:t>
      </w:r>
      <w:r w:rsidR="00963506" w:rsidRPr="00BD050E">
        <w:rPr>
          <w:rFonts w:asciiTheme="majorHAnsi" w:hAnsiTheme="majorHAnsi" w:cstheme="majorHAnsi"/>
          <w:b/>
          <w:color w:val="000000" w:themeColor="text1"/>
          <w:sz w:val="24"/>
          <w:szCs w:val="24"/>
          <w:lang w:val="ro-RO"/>
        </w:rPr>
        <w:t>debursarea mijloacelor financiare pentru atingerea</w:t>
      </w:r>
      <w:r w:rsidRPr="00BD050E">
        <w:rPr>
          <w:rFonts w:asciiTheme="majorHAnsi" w:hAnsiTheme="majorHAnsi" w:cstheme="majorHAnsi"/>
          <w:b/>
          <w:color w:val="000000" w:themeColor="text1"/>
          <w:sz w:val="24"/>
          <w:szCs w:val="24"/>
          <w:lang w:val="ro-RO"/>
        </w:rPr>
        <w:t xml:space="preserve"> tuturor</w:t>
      </w:r>
      <w:r w:rsidR="00963506" w:rsidRPr="00BD050E">
        <w:rPr>
          <w:rFonts w:asciiTheme="majorHAnsi" w:hAnsiTheme="majorHAnsi" w:cstheme="majorHAnsi"/>
          <w:b/>
          <w:color w:val="000000" w:themeColor="text1"/>
          <w:sz w:val="24"/>
          <w:szCs w:val="24"/>
          <w:lang w:val="ro-RO"/>
        </w:rPr>
        <w:t xml:space="preserve"> indicatorilor</w:t>
      </w:r>
      <w:r w:rsidRPr="00BD050E">
        <w:rPr>
          <w:rFonts w:asciiTheme="majorHAnsi" w:hAnsiTheme="majorHAnsi" w:cstheme="majorHAnsi"/>
          <w:b/>
          <w:color w:val="000000" w:themeColor="text1"/>
          <w:sz w:val="24"/>
          <w:szCs w:val="24"/>
          <w:lang w:val="ro-RO"/>
        </w:rPr>
        <w:t xml:space="preserve"> </w:t>
      </w:r>
      <w:r w:rsidR="009C1BBA" w:rsidRPr="00BD050E">
        <w:rPr>
          <w:rFonts w:asciiTheme="majorHAnsi" w:hAnsiTheme="majorHAnsi" w:cstheme="majorHAnsi"/>
          <w:b/>
          <w:color w:val="000000" w:themeColor="text1"/>
          <w:sz w:val="24"/>
          <w:szCs w:val="24"/>
          <w:lang w:val="ro-RO"/>
        </w:rPr>
        <w:t>stabiliți</w:t>
      </w:r>
    </w:p>
    <w:p w14:paraId="50E83883" w14:textId="16EB4961" w:rsidR="00963506" w:rsidRPr="00BD050E" w:rsidRDefault="00963506" w:rsidP="00963506">
      <w:pPr>
        <w:jc w:val="both"/>
        <w:rPr>
          <w:rFonts w:asciiTheme="majorHAnsi" w:hAnsiTheme="majorHAnsi" w:cstheme="majorHAnsi"/>
          <w:color w:val="000000" w:themeColor="text1"/>
          <w:sz w:val="24"/>
          <w:szCs w:val="24"/>
          <w:lang w:val="ro-RO"/>
        </w:rPr>
      </w:pPr>
      <w:r w:rsidRPr="00BD050E">
        <w:rPr>
          <w:rFonts w:asciiTheme="majorHAnsi" w:hAnsiTheme="majorHAnsi" w:cs="Calibri Light"/>
          <w:iCs/>
          <w:color w:val="000000" w:themeColor="text1"/>
          <w:sz w:val="24"/>
          <w:szCs w:val="24"/>
          <w:lang w:val="ro-RO"/>
        </w:rPr>
        <w:t xml:space="preserve">Analiza implementării recomandării </w:t>
      </w:r>
      <w:r w:rsidR="0009712C" w:rsidRPr="00BD050E">
        <w:rPr>
          <w:rFonts w:asciiTheme="majorHAnsi" w:hAnsiTheme="majorHAnsi" w:cs="Calibri Light"/>
          <w:iCs/>
          <w:color w:val="000000" w:themeColor="text1"/>
          <w:sz w:val="24"/>
          <w:szCs w:val="24"/>
          <w:lang w:val="ro-RO"/>
        </w:rPr>
        <w:t xml:space="preserve">de </w:t>
      </w:r>
      <w:r w:rsidRPr="00BD050E">
        <w:rPr>
          <w:rFonts w:asciiTheme="majorHAnsi" w:hAnsiTheme="majorHAnsi" w:cstheme="majorHAnsi"/>
          <w:color w:val="000000" w:themeColor="text1"/>
          <w:sz w:val="24"/>
          <w:szCs w:val="24"/>
          <w:lang w:val="ro-RO"/>
        </w:rPr>
        <w:t>monitorizare</w:t>
      </w:r>
      <w:r w:rsidR="0009712C" w:rsidRPr="00BD050E">
        <w:rPr>
          <w:rFonts w:asciiTheme="majorHAnsi" w:hAnsiTheme="majorHAnsi" w:cstheme="majorHAnsi"/>
          <w:color w:val="000000" w:themeColor="text1"/>
          <w:sz w:val="24"/>
          <w:szCs w:val="24"/>
          <w:lang w:val="ro-RO"/>
        </w:rPr>
        <w:t xml:space="preserve"> </w:t>
      </w:r>
      <w:r w:rsidRPr="00BD050E">
        <w:rPr>
          <w:rFonts w:asciiTheme="majorHAnsi" w:hAnsiTheme="majorHAnsi" w:cstheme="majorHAnsi"/>
          <w:color w:val="000000" w:themeColor="text1"/>
          <w:sz w:val="24"/>
          <w:szCs w:val="24"/>
          <w:lang w:val="ro-RO"/>
        </w:rPr>
        <w:t xml:space="preserve">a atingerii indicatorilor în cadrul Proiectului </w:t>
      </w:r>
      <w:r w:rsidR="00CE7817" w:rsidRPr="00BD050E">
        <w:rPr>
          <w:rFonts w:asciiTheme="majorHAnsi" w:hAnsiTheme="majorHAnsi" w:cstheme="majorHAnsi"/>
          <w:color w:val="000000" w:themeColor="text1"/>
          <w:sz w:val="24"/>
          <w:szCs w:val="24"/>
          <w:lang w:val="ro-RO"/>
        </w:rPr>
        <w:t>„M</w:t>
      </w:r>
      <w:r w:rsidRPr="00BD050E">
        <w:rPr>
          <w:rFonts w:asciiTheme="majorHAnsi" w:hAnsiTheme="majorHAnsi" w:cstheme="majorHAnsi"/>
          <w:color w:val="000000" w:themeColor="text1"/>
          <w:sz w:val="24"/>
          <w:szCs w:val="24"/>
          <w:lang w:val="ro-RO"/>
        </w:rPr>
        <w:t>odernizarea sectorului sănătății</w:t>
      </w:r>
      <w:r w:rsidR="00212961" w:rsidRPr="00BD050E">
        <w:rPr>
          <w:rFonts w:asciiTheme="majorHAnsi" w:hAnsiTheme="majorHAnsi" w:cstheme="majorHAnsi"/>
          <w:color w:val="000000" w:themeColor="text1"/>
          <w:sz w:val="24"/>
          <w:szCs w:val="24"/>
          <w:lang w:val="ro-RO"/>
        </w:rPr>
        <w:t xml:space="preserve"> în Republica Moldova</w:t>
      </w:r>
      <w:r w:rsidR="00CE7817" w:rsidRPr="00BD050E">
        <w:rPr>
          <w:rFonts w:asciiTheme="majorHAnsi" w:hAnsiTheme="majorHAnsi" w:cs="Calibri Light"/>
          <w:iCs/>
          <w:color w:val="000000" w:themeColor="text1"/>
          <w:sz w:val="24"/>
          <w:szCs w:val="24"/>
          <w:lang w:val="ro-RO"/>
        </w:rPr>
        <w:t>”</w:t>
      </w:r>
      <w:r w:rsidRPr="00BD050E">
        <w:rPr>
          <w:rFonts w:asciiTheme="majorHAnsi" w:hAnsiTheme="majorHAnsi" w:cs="Calibri Light"/>
          <w:iCs/>
          <w:color w:val="000000" w:themeColor="text1"/>
          <w:sz w:val="24"/>
          <w:szCs w:val="24"/>
          <w:lang w:val="ro-RO"/>
        </w:rPr>
        <w:t xml:space="preserve"> atestă un nivel redus de implementare</w:t>
      </w:r>
      <w:r w:rsidR="00290D70" w:rsidRPr="00BD050E">
        <w:rPr>
          <w:rFonts w:asciiTheme="majorHAnsi" w:hAnsiTheme="majorHAnsi" w:cs="Calibri Light"/>
          <w:iCs/>
          <w:color w:val="000000" w:themeColor="text1"/>
          <w:sz w:val="24"/>
          <w:szCs w:val="24"/>
          <w:lang w:val="ro-RO"/>
        </w:rPr>
        <w:t xml:space="preserve"> în anul 2021, indicatorii fiind debursați</w:t>
      </w:r>
      <w:r w:rsidR="00CE7817" w:rsidRPr="00BD050E">
        <w:rPr>
          <w:rFonts w:asciiTheme="majorHAnsi" w:hAnsiTheme="majorHAnsi" w:cs="Calibri Light"/>
          <w:iCs/>
          <w:color w:val="000000" w:themeColor="text1"/>
          <w:sz w:val="24"/>
          <w:szCs w:val="24"/>
          <w:lang w:val="ro-RO"/>
        </w:rPr>
        <w:t>,</w:t>
      </w:r>
      <w:r w:rsidR="00290D70" w:rsidRPr="00BD050E">
        <w:rPr>
          <w:rFonts w:asciiTheme="majorHAnsi" w:hAnsiTheme="majorHAnsi" w:cs="Calibri Light"/>
          <w:iCs/>
          <w:color w:val="000000" w:themeColor="text1"/>
          <w:sz w:val="24"/>
          <w:szCs w:val="24"/>
          <w:lang w:val="ro-RO"/>
        </w:rPr>
        <w:t xml:space="preserve"> în mare parte</w:t>
      </w:r>
      <w:r w:rsidR="00CE7817" w:rsidRPr="00BD050E">
        <w:rPr>
          <w:rFonts w:asciiTheme="majorHAnsi" w:hAnsiTheme="majorHAnsi" w:cs="Calibri Light"/>
          <w:iCs/>
          <w:color w:val="000000" w:themeColor="text1"/>
          <w:sz w:val="24"/>
          <w:szCs w:val="24"/>
          <w:lang w:val="ro-RO"/>
        </w:rPr>
        <w:t>,</w:t>
      </w:r>
      <w:r w:rsidR="00290D70" w:rsidRPr="00BD050E">
        <w:rPr>
          <w:rFonts w:asciiTheme="majorHAnsi" w:hAnsiTheme="majorHAnsi" w:cs="Calibri Light"/>
          <w:iCs/>
          <w:color w:val="000000" w:themeColor="text1"/>
          <w:sz w:val="24"/>
          <w:szCs w:val="24"/>
          <w:lang w:val="ro-RO"/>
        </w:rPr>
        <w:t xml:space="preserve"> în anul 2022</w:t>
      </w:r>
      <w:r w:rsidR="00290D70" w:rsidRPr="00BD050E">
        <w:rPr>
          <w:rStyle w:val="FootnoteReference"/>
          <w:rFonts w:asciiTheme="majorHAnsi" w:hAnsiTheme="majorHAnsi" w:cs="Calibri Light"/>
          <w:iCs/>
          <w:color w:val="000000" w:themeColor="text1"/>
          <w:sz w:val="24"/>
          <w:szCs w:val="24"/>
          <w:lang w:val="ro-RO"/>
        </w:rPr>
        <w:footnoteReference w:id="16"/>
      </w:r>
      <w:r w:rsidRPr="00BD050E">
        <w:rPr>
          <w:rFonts w:asciiTheme="majorHAnsi" w:hAnsiTheme="majorHAnsi" w:cs="Calibri Light"/>
          <w:iCs/>
          <w:color w:val="000000" w:themeColor="text1"/>
          <w:sz w:val="24"/>
          <w:szCs w:val="24"/>
          <w:lang w:val="ro-RO"/>
        </w:rPr>
        <w:t xml:space="preserve">. Neimplementarea recomandării menține în continuare situațiile incerte în aspectul </w:t>
      </w:r>
      <w:r w:rsidR="00F91512" w:rsidRPr="00BD050E">
        <w:rPr>
          <w:rFonts w:asciiTheme="majorHAnsi" w:hAnsiTheme="majorHAnsi" w:cstheme="majorHAnsi"/>
          <w:color w:val="000000" w:themeColor="text1"/>
          <w:sz w:val="24"/>
          <w:szCs w:val="24"/>
          <w:lang w:val="ro-RO"/>
        </w:rPr>
        <w:t xml:space="preserve">atingerii indicatorilor ILD </w:t>
      </w:r>
      <w:r w:rsidR="00C97D80" w:rsidRPr="00BD050E">
        <w:rPr>
          <w:rFonts w:asciiTheme="majorHAnsi" w:hAnsiTheme="majorHAnsi" w:cstheme="majorHAnsi"/>
          <w:color w:val="000000" w:themeColor="text1"/>
          <w:sz w:val="24"/>
          <w:szCs w:val="24"/>
          <w:lang w:val="ro-RO"/>
        </w:rPr>
        <w:t>7</w:t>
      </w:r>
      <w:r w:rsidR="00290D70" w:rsidRPr="00BD050E">
        <w:rPr>
          <w:rFonts w:asciiTheme="majorHAnsi" w:hAnsiTheme="majorHAnsi" w:cstheme="majorHAnsi"/>
          <w:color w:val="000000" w:themeColor="text1"/>
          <w:sz w:val="24"/>
          <w:szCs w:val="24"/>
          <w:lang w:val="ro-RO"/>
        </w:rPr>
        <w:t>.3</w:t>
      </w:r>
      <w:r w:rsidR="00B63081" w:rsidRPr="00BD050E">
        <w:rPr>
          <w:rFonts w:asciiTheme="majorHAnsi" w:hAnsiTheme="majorHAnsi" w:cstheme="majorHAnsi"/>
          <w:color w:val="000000" w:themeColor="text1"/>
          <w:sz w:val="24"/>
          <w:szCs w:val="24"/>
          <w:lang w:val="ro-RO"/>
        </w:rPr>
        <w:t xml:space="preserve"> și </w:t>
      </w:r>
      <w:r w:rsidR="00CE7817" w:rsidRPr="00BD050E">
        <w:rPr>
          <w:rFonts w:asciiTheme="majorHAnsi" w:hAnsiTheme="majorHAnsi" w:cstheme="majorHAnsi"/>
          <w:color w:val="000000" w:themeColor="text1"/>
          <w:sz w:val="24"/>
          <w:szCs w:val="24"/>
          <w:lang w:val="ro-RO"/>
        </w:rPr>
        <w:t xml:space="preserve">ILD </w:t>
      </w:r>
      <w:r w:rsidR="008C111F" w:rsidRPr="00BD050E">
        <w:rPr>
          <w:rFonts w:asciiTheme="majorHAnsi" w:hAnsiTheme="majorHAnsi" w:cstheme="majorHAnsi"/>
          <w:color w:val="000000" w:themeColor="text1"/>
          <w:sz w:val="24"/>
          <w:szCs w:val="24"/>
          <w:lang w:val="ro-RO"/>
        </w:rPr>
        <w:t>9</w:t>
      </w:r>
      <w:r w:rsidRPr="00BD050E">
        <w:rPr>
          <w:rStyle w:val="FootnoteReference"/>
          <w:rFonts w:asciiTheme="majorHAnsi" w:hAnsiTheme="majorHAnsi" w:cstheme="majorHAnsi"/>
          <w:color w:val="000000" w:themeColor="text1"/>
          <w:sz w:val="24"/>
          <w:szCs w:val="24"/>
          <w:lang w:val="ro-RO"/>
        </w:rPr>
        <w:footnoteReference w:id="17"/>
      </w:r>
      <w:r w:rsidRPr="00BD050E">
        <w:rPr>
          <w:rFonts w:asciiTheme="majorHAnsi" w:hAnsiTheme="majorHAnsi" w:cstheme="majorHAnsi"/>
          <w:color w:val="000000" w:themeColor="text1"/>
          <w:sz w:val="24"/>
          <w:szCs w:val="24"/>
          <w:lang w:val="ro-RO"/>
        </w:rPr>
        <w:t xml:space="preserve">, ceea ce ar fi servit </w:t>
      </w:r>
      <w:r w:rsidR="00CE7817" w:rsidRPr="00BD050E">
        <w:rPr>
          <w:rFonts w:asciiTheme="majorHAnsi" w:hAnsiTheme="majorHAnsi" w:cstheme="majorHAnsi"/>
          <w:color w:val="000000" w:themeColor="text1"/>
          <w:sz w:val="24"/>
          <w:szCs w:val="24"/>
          <w:lang w:val="ro-RO"/>
        </w:rPr>
        <w:t xml:space="preserve">ca </w:t>
      </w:r>
      <w:r w:rsidRPr="00BD050E">
        <w:rPr>
          <w:rFonts w:asciiTheme="majorHAnsi" w:hAnsiTheme="majorHAnsi" w:cstheme="majorHAnsi"/>
          <w:color w:val="000000" w:themeColor="text1"/>
          <w:sz w:val="24"/>
          <w:szCs w:val="24"/>
          <w:lang w:val="ro-RO"/>
        </w:rPr>
        <w:t>temei pentru debursarea mijloacelor financiare. Prin urmare, aceast</w:t>
      </w:r>
      <w:r w:rsidR="00CE7817" w:rsidRPr="00BD050E">
        <w:rPr>
          <w:rFonts w:asciiTheme="majorHAnsi" w:hAnsiTheme="majorHAnsi" w:cstheme="majorHAnsi"/>
          <w:color w:val="000000" w:themeColor="text1"/>
          <w:sz w:val="24"/>
          <w:szCs w:val="24"/>
          <w:lang w:val="ro-RO"/>
        </w:rPr>
        <w:t xml:space="preserve">ă recomandare </w:t>
      </w:r>
      <w:r w:rsidRPr="00BD050E">
        <w:rPr>
          <w:rFonts w:asciiTheme="majorHAnsi" w:hAnsiTheme="majorHAnsi" w:cstheme="majorHAnsi"/>
          <w:color w:val="000000" w:themeColor="text1"/>
          <w:sz w:val="24"/>
          <w:szCs w:val="24"/>
          <w:lang w:val="ro-RO"/>
        </w:rPr>
        <w:t xml:space="preserve"> a fost reiterată.</w:t>
      </w:r>
    </w:p>
    <w:p w14:paraId="77CCEA34" w14:textId="2DAF8BF3" w:rsidR="00963506" w:rsidRPr="00BD050E" w:rsidRDefault="00963506" w:rsidP="002B7EFF">
      <w:pPr>
        <w:pStyle w:val="ListParagraph"/>
        <w:numPr>
          <w:ilvl w:val="1"/>
          <w:numId w:val="29"/>
        </w:numPr>
        <w:spacing w:after="0" w:line="276" w:lineRule="auto"/>
        <w:ind w:left="0" w:firstLine="0"/>
        <w:jc w:val="both"/>
        <w:outlineLvl w:val="1"/>
        <w:rPr>
          <w:rFonts w:asciiTheme="majorHAnsi" w:eastAsia="Times New Roman" w:hAnsiTheme="majorHAnsi" w:cstheme="majorHAnsi"/>
          <w:b/>
          <w:bCs/>
          <w:color w:val="000000" w:themeColor="text1"/>
          <w:sz w:val="24"/>
          <w:szCs w:val="24"/>
          <w:lang w:val="ro-RO"/>
        </w:rPr>
      </w:pPr>
      <w:r w:rsidRPr="00BD050E">
        <w:rPr>
          <w:rFonts w:asciiTheme="majorHAnsi" w:hAnsiTheme="majorHAnsi" w:cstheme="majorHAnsi"/>
          <w:b/>
          <w:color w:val="000000" w:themeColor="text1"/>
          <w:sz w:val="24"/>
          <w:szCs w:val="24"/>
          <w:lang w:val="ro-RO"/>
        </w:rPr>
        <w:t xml:space="preserve">Cheltuielile </w:t>
      </w:r>
      <w:r w:rsidR="008C18B3" w:rsidRPr="00BD050E">
        <w:rPr>
          <w:rFonts w:asciiTheme="majorHAnsi" w:hAnsiTheme="majorHAnsi" w:cstheme="majorHAnsi"/>
          <w:b/>
          <w:color w:val="000000" w:themeColor="text1"/>
          <w:sz w:val="24"/>
          <w:szCs w:val="24"/>
          <w:lang w:val="ro-RO"/>
        </w:rPr>
        <w:t xml:space="preserve">pentru </w:t>
      </w:r>
      <w:r w:rsidR="00CE7817" w:rsidRPr="00BD050E">
        <w:rPr>
          <w:rFonts w:asciiTheme="majorHAnsi" w:hAnsiTheme="majorHAnsi" w:cstheme="majorHAnsi"/>
          <w:b/>
          <w:color w:val="000000" w:themeColor="text1"/>
          <w:sz w:val="24"/>
          <w:szCs w:val="24"/>
          <w:lang w:val="ro-RO"/>
        </w:rPr>
        <w:t>C</w:t>
      </w:r>
      <w:r w:rsidR="008C18B3" w:rsidRPr="00BD050E">
        <w:rPr>
          <w:rFonts w:asciiTheme="majorHAnsi" w:hAnsiTheme="majorHAnsi" w:cstheme="majorHAnsi"/>
          <w:b/>
          <w:color w:val="000000" w:themeColor="text1"/>
          <w:sz w:val="24"/>
          <w:szCs w:val="24"/>
          <w:lang w:val="ro-RO"/>
        </w:rPr>
        <w:t xml:space="preserve">omponenta </w:t>
      </w:r>
      <w:r w:rsidR="00CE7817" w:rsidRPr="00BD050E">
        <w:rPr>
          <w:rFonts w:asciiTheme="majorHAnsi" w:hAnsiTheme="majorHAnsi" w:cstheme="majorHAnsi"/>
          <w:b/>
          <w:color w:val="000000" w:themeColor="text1"/>
          <w:sz w:val="24"/>
          <w:szCs w:val="24"/>
          <w:lang w:val="ro-RO"/>
        </w:rPr>
        <w:t>„</w:t>
      </w:r>
      <w:r w:rsidR="008C18B3" w:rsidRPr="00BD050E">
        <w:rPr>
          <w:rFonts w:asciiTheme="majorHAnsi" w:hAnsiTheme="majorHAnsi" w:cstheme="majorHAnsi"/>
          <w:b/>
          <w:color w:val="000000" w:themeColor="text1"/>
          <w:sz w:val="24"/>
          <w:szCs w:val="24"/>
          <w:lang w:val="ro-RO"/>
        </w:rPr>
        <w:t>Asistență Tehnică</w:t>
      </w:r>
      <w:r w:rsidR="00CE7817" w:rsidRPr="00BD050E">
        <w:rPr>
          <w:rFonts w:asciiTheme="majorHAnsi" w:hAnsiTheme="majorHAnsi" w:cstheme="majorHAnsi"/>
          <w:b/>
          <w:color w:val="000000" w:themeColor="text1"/>
          <w:sz w:val="24"/>
          <w:szCs w:val="24"/>
          <w:lang w:val="ro-RO"/>
        </w:rPr>
        <w:t>”</w:t>
      </w:r>
      <w:r w:rsidR="008C18B3" w:rsidRPr="00BD050E">
        <w:rPr>
          <w:rFonts w:asciiTheme="majorHAnsi" w:hAnsiTheme="majorHAnsi" w:cstheme="majorHAnsi"/>
          <w:b/>
          <w:color w:val="000000" w:themeColor="text1"/>
          <w:sz w:val="24"/>
          <w:szCs w:val="24"/>
          <w:lang w:val="ro-RO"/>
        </w:rPr>
        <w:t xml:space="preserve"> a Proiectului </w:t>
      </w:r>
      <w:r w:rsidR="00CE7817" w:rsidRPr="00BD050E">
        <w:rPr>
          <w:rFonts w:asciiTheme="majorHAnsi" w:hAnsiTheme="majorHAnsi" w:cstheme="majorHAnsi"/>
          <w:b/>
          <w:color w:val="000000" w:themeColor="text1"/>
          <w:sz w:val="24"/>
          <w:szCs w:val="24"/>
          <w:lang w:val="ro-RO"/>
        </w:rPr>
        <w:t>„</w:t>
      </w:r>
      <w:r w:rsidR="008C18B3" w:rsidRPr="00BD050E">
        <w:rPr>
          <w:rFonts w:asciiTheme="majorHAnsi" w:hAnsiTheme="majorHAnsi" w:cstheme="majorHAnsi"/>
          <w:b/>
          <w:color w:val="000000" w:themeColor="text1"/>
          <w:sz w:val="24"/>
          <w:szCs w:val="24"/>
          <w:lang w:val="ro-RO"/>
        </w:rPr>
        <w:t>Modernizarea sectorului sănătății</w:t>
      </w:r>
      <w:r w:rsidR="00CE7817" w:rsidRPr="00BD050E">
        <w:rPr>
          <w:rFonts w:asciiTheme="majorHAnsi" w:hAnsiTheme="majorHAnsi" w:cstheme="majorHAnsi"/>
          <w:b/>
          <w:color w:val="000000" w:themeColor="text1"/>
          <w:sz w:val="24"/>
          <w:szCs w:val="24"/>
          <w:lang w:val="ro-RO"/>
        </w:rPr>
        <w:t xml:space="preserve"> în Republica Moldova”</w:t>
      </w:r>
      <w:r w:rsidR="00290D70" w:rsidRPr="00BD050E">
        <w:rPr>
          <w:rFonts w:asciiTheme="majorHAnsi" w:hAnsiTheme="majorHAnsi" w:cstheme="majorHAnsi"/>
          <w:b/>
          <w:color w:val="000000" w:themeColor="text1"/>
          <w:sz w:val="24"/>
          <w:szCs w:val="24"/>
          <w:lang w:val="ro-RO"/>
        </w:rPr>
        <w:t xml:space="preserve"> </w:t>
      </w:r>
      <w:r w:rsidR="00224AE9" w:rsidRPr="00BD050E">
        <w:rPr>
          <w:rFonts w:asciiTheme="majorHAnsi" w:hAnsiTheme="majorHAnsi" w:cstheme="majorHAnsi"/>
          <w:b/>
          <w:color w:val="000000" w:themeColor="text1"/>
          <w:sz w:val="24"/>
          <w:szCs w:val="24"/>
          <w:lang w:val="ro-RO"/>
        </w:rPr>
        <w:t>au</w:t>
      </w:r>
      <w:r w:rsidR="00290D70" w:rsidRPr="00BD050E">
        <w:rPr>
          <w:rFonts w:asciiTheme="majorHAnsi" w:hAnsiTheme="majorHAnsi" w:cstheme="majorHAnsi"/>
          <w:b/>
          <w:color w:val="000000" w:themeColor="text1"/>
          <w:sz w:val="24"/>
          <w:szCs w:val="24"/>
          <w:lang w:val="ro-RO"/>
        </w:rPr>
        <w:t xml:space="preserve"> înregistrat progrese</w:t>
      </w:r>
      <w:r w:rsidR="00CE7817" w:rsidRPr="00BD050E">
        <w:rPr>
          <w:rFonts w:asciiTheme="majorHAnsi" w:hAnsiTheme="majorHAnsi" w:cstheme="majorHAnsi"/>
          <w:b/>
          <w:color w:val="000000" w:themeColor="text1"/>
          <w:sz w:val="24"/>
          <w:szCs w:val="24"/>
          <w:lang w:val="ro-RO"/>
        </w:rPr>
        <w:t>,</w:t>
      </w:r>
      <w:r w:rsidR="00290D70" w:rsidRPr="00BD050E">
        <w:rPr>
          <w:rFonts w:asciiTheme="majorHAnsi" w:hAnsiTheme="majorHAnsi" w:cstheme="majorHAnsi"/>
          <w:b/>
          <w:color w:val="000000" w:themeColor="text1"/>
          <w:sz w:val="24"/>
          <w:szCs w:val="24"/>
          <w:lang w:val="ro-RO"/>
        </w:rPr>
        <w:t xml:space="preserve"> </w:t>
      </w:r>
      <w:r w:rsidR="00224AE9" w:rsidRPr="00BD050E">
        <w:rPr>
          <w:rFonts w:asciiTheme="majorHAnsi" w:hAnsiTheme="majorHAnsi" w:cstheme="majorHAnsi"/>
          <w:b/>
          <w:color w:val="000000" w:themeColor="text1"/>
          <w:sz w:val="24"/>
          <w:szCs w:val="24"/>
          <w:lang w:val="ro-RO"/>
        </w:rPr>
        <w:t xml:space="preserve">care au servit </w:t>
      </w:r>
      <w:r w:rsidR="00CE7817" w:rsidRPr="00BD050E">
        <w:rPr>
          <w:rFonts w:asciiTheme="majorHAnsi" w:hAnsiTheme="majorHAnsi" w:cstheme="majorHAnsi"/>
          <w:b/>
          <w:color w:val="000000" w:themeColor="text1"/>
          <w:sz w:val="24"/>
          <w:szCs w:val="24"/>
          <w:lang w:val="ro-RO"/>
        </w:rPr>
        <w:t xml:space="preserve">drept </w:t>
      </w:r>
      <w:r w:rsidR="00224AE9" w:rsidRPr="00BD050E">
        <w:rPr>
          <w:rFonts w:asciiTheme="majorHAnsi" w:hAnsiTheme="majorHAnsi" w:cstheme="majorHAnsi"/>
          <w:b/>
          <w:color w:val="000000" w:themeColor="text1"/>
          <w:sz w:val="24"/>
          <w:szCs w:val="24"/>
          <w:lang w:val="ro-RO"/>
        </w:rPr>
        <w:t>temei pentru debursarea indicatorilor</w:t>
      </w:r>
    </w:p>
    <w:p w14:paraId="1EF82E7B" w14:textId="7954289A" w:rsidR="004E63A0" w:rsidRPr="00BD050E" w:rsidRDefault="004E63A0" w:rsidP="004E63A0">
      <w:pPr>
        <w:jc w:val="both"/>
        <w:rPr>
          <w:rFonts w:asciiTheme="majorHAnsi" w:eastAsia="Times New Roman" w:hAnsiTheme="majorHAnsi" w:cstheme="majorHAnsi"/>
          <w:bCs/>
          <w:iCs/>
          <w:color w:val="000000" w:themeColor="text1"/>
          <w:sz w:val="24"/>
          <w:szCs w:val="24"/>
          <w:lang w:val="ro-RO"/>
        </w:rPr>
      </w:pPr>
      <w:r w:rsidRPr="00BD050E">
        <w:rPr>
          <w:rFonts w:asciiTheme="majorHAnsi" w:eastAsia="Times New Roman" w:hAnsiTheme="majorHAnsi" w:cstheme="majorHAnsi"/>
          <w:bCs/>
          <w:iCs/>
          <w:color w:val="000000" w:themeColor="text1"/>
          <w:sz w:val="24"/>
          <w:szCs w:val="24"/>
          <w:lang w:val="ro-RO"/>
        </w:rPr>
        <w:t xml:space="preserve">Componenta „Asistență Tehnică” </w:t>
      </w:r>
      <w:r w:rsidRPr="00BD050E">
        <w:rPr>
          <w:rFonts w:asciiTheme="majorHAnsi" w:eastAsia="Times New Roman" w:hAnsiTheme="majorHAnsi" w:cstheme="majorHAnsi"/>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Proiect</w:t>
      </w:r>
      <w:r w:rsidR="00CE7817" w:rsidRPr="00BD050E">
        <w:rPr>
          <w:rFonts w:asciiTheme="majorHAnsi" w:eastAsia="Times New Roman" w:hAnsiTheme="majorHAnsi" w:cstheme="majorHAnsi"/>
          <w:bCs/>
          <w:iCs/>
          <w:color w:val="000000" w:themeColor="text1"/>
          <w:sz w:val="24"/>
          <w:szCs w:val="24"/>
          <w:lang w:val="ro-RO"/>
        </w:rPr>
        <w:t>ul</w:t>
      </w:r>
      <w:r w:rsidRPr="00BD050E">
        <w:rPr>
          <w:rFonts w:asciiTheme="majorHAnsi" w:eastAsia="Times New Roman" w:hAnsiTheme="majorHAnsi" w:cstheme="majorHAnsi"/>
          <w:bCs/>
          <w:iCs/>
          <w:color w:val="000000" w:themeColor="text1"/>
          <w:sz w:val="24"/>
          <w:szCs w:val="24"/>
          <w:lang w:val="ro-RO"/>
        </w:rPr>
        <w:t xml:space="preserve">/Creditul </w:t>
      </w:r>
      <w:r w:rsidR="00CE7817" w:rsidRPr="00BD050E">
        <w:rPr>
          <w:rFonts w:asciiTheme="majorHAnsi" w:eastAsia="Times New Roman" w:hAnsiTheme="majorHAnsi" w:cstheme="majorHAnsi"/>
          <w:bCs/>
          <w:iCs/>
          <w:color w:val="000000" w:themeColor="text1"/>
          <w:sz w:val="24"/>
          <w:szCs w:val="24"/>
          <w:lang w:val="ro-RO"/>
        </w:rPr>
        <w:t>n</w:t>
      </w:r>
      <w:r w:rsidRPr="00BD050E">
        <w:rPr>
          <w:rFonts w:asciiTheme="majorHAnsi" w:eastAsia="Times New Roman" w:hAnsiTheme="majorHAnsi" w:cstheme="majorHAnsi"/>
          <w:bCs/>
          <w:iCs/>
          <w:color w:val="000000" w:themeColor="text1"/>
          <w:sz w:val="24"/>
          <w:szCs w:val="24"/>
          <w:lang w:val="ro-RO"/>
        </w:rPr>
        <w:t xml:space="preserve">r. 5470-MD) prezintă mai multe acţiuni de asistenţă tehnică prin care se facilitează atingerea indicatorilor legaţi de debursări. Din mijloacele alocate în cadrul </w:t>
      </w:r>
      <w:r w:rsidR="00CE7817" w:rsidRPr="00BD050E">
        <w:rPr>
          <w:rFonts w:asciiTheme="majorHAnsi" w:eastAsia="Times New Roman" w:hAnsiTheme="majorHAnsi" w:cstheme="majorHAnsi"/>
          <w:bCs/>
          <w:iCs/>
          <w:color w:val="000000" w:themeColor="text1"/>
          <w:sz w:val="24"/>
          <w:szCs w:val="24"/>
          <w:lang w:val="ro-RO"/>
        </w:rPr>
        <w:t xml:space="preserve">acestei </w:t>
      </w:r>
      <w:r w:rsidRPr="00BD050E">
        <w:rPr>
          <w:rFonts w:asciiTheme="majorHAnsi" w:eastAsia="Times New Roman" w:hAnsiTheme="majorHAnsi" w:cstheme="majorHAnsi"/>
          <w:bCs/>
          <w:iCs/>
          <w:color w:val="000000" w:themeColor="text1"/>
          <w:sz w:val="24"/>
          <w:szCs w:val="24"/>
          <w:lang w:val="ro-RO"/>
        </w:rPr>
        <w:t>Componente, 86% a</w:t>
      </w:r>
      <w:r w:rsidR="00CE7817" w:rsidRPr="00BD050E">
        <w:rPr>
          <w:rFonts w:asciiTheme="majorHAnsi" w:eastAsia="Times New Roman" w:hAnsiTheme="majorHAnsi" w:cstheme="majorHAnsi"/>
          <w:bCs/>
          <w:iCs/>
          <w:color w:val="000000" w:themeColor="text1"/>
          <w:sz w:val="24"/>
          <w:szCs w:val="24"/>
          <w:lang w:val="ro-RO"/>
        </w:rPr>
        <w:t>u</w:t>
      </w:r>
      <w:r w:rsidRPr="00BD050E">
        <w:rPr>
          <w:rFonts w:asciiTheme="majorHAnsi" w:eastAsia="Times New Roman" w:hAnsiTheme="majorHAnsi" w:cstheme="majorHAnsi"/>
          <w:bCs/>
          <w:iCs/>
          <w:color w:val="000000" w:themeColor="text1"/>
          <w:sz w:val="24"/>
          <w:szCs w:val="24"/>
          <w:lang w:val="ro-RO"/>
        </w:rPr>
        <w:t xml:space="preserve"> fost deja contractate şi se valorifică pe măsura acceptării rapoartelor consultanţilor locali şi internaţionali. La 23 decembrie 2020 a fost prelungit termenul de implementare a Proiectului „Modernizarea sectorului sănătății în R</w:t>
      </w:r>
      <w:r w:rsidR="00212961" w:rsidRPr="00BD050E">
        <w:rPr>
          <w:rFonts w:asciiTheme="majorHAnsi" w:eastAsia="Times New Roman" w:hAnsiTheme="majorHAnsi" w:cstheme="majorHAnsi"/>
          <w:bCs/>
          <w:iCs/>
          <w:color w:val="000000" w:themeColor="text1"/>
          <w:sz w:val="24"/>
          <w:szCs w:val="24"/>
          <w:lang w:val="ro-RO"/>
        </w:rPr>
        <w:t xml:space="preserve">epublica </w:t>
      </w:r>
      <w:r w:rsidRPr="00BD050E">
        <w:rPr>
          <w:rFonts w:asciiTheme="majorHAnsi" w:eastAsia="Times New Roman" w:hAnsiTheme="majorHAnsi" w:cstheme="majorHAnsi"/>
          <w:bCs/>
          <w:iCs/>
          <w:color w:val="000000" w:themeColor="text1"/>
          <w:sz w:val="24"/>
          <w:szCs w:val="24"/>
          <w:lang w:val="ro-RO"/>
        </w:rPr>
        <w:t>M</w:t>
      </w:r>
      <w:r w:rsidR="00212961" w:rsidRPr="00BD050E">
        <w:rPr>
          <w:rFonts w:asciiTheme="majorHAnsi" w:eastAsia="Times New Roman" w:hAnsiTheme="majorHAnsi" w:cstheme="majorHAnsi"/>
          <w:bCs/>
          <w:iCs/>
          <w:color w:val="000000" w:themeColor="text1"/>
          <w:sz w:val="24"/>
          <w:szCs w:val="24"/>
          <w:lang w:val="ro-RO"/>
        </w:rPr>
        <w:t>oldova</w:t>
      </w:r>
      <w:r w:rsidRPr="00BD050E">
        <w:rPr>
          <w:rFonts w:asciiTheme="majorHAnsi" w:eastAsia="Times New Roman" w:hAnsiTheme="majorHAnsi" w:cstheme="majorHAnsi"/>
          <w:bCs/>
          <w:iCs/>
          <w:color w:val="000000" w:themeColor="text1"/>
          <w:sz w:val="24"/>
          <w:szCs w:val="24"/>
          <w:lang w:val="ro-RO"/>
        </w:rPr>
        <w:t>” până la 31 decembrie 2021, Acordul de Finanțare (credit nr. 5470-MD și credit nr. 5469-MD) încheiat  între Republica Moldova și Asociația Internațională pentru Dezvoltare la 11 iulie 2014, ratificat prin Legea nr. 35 din 19 martie 2015 și intrat în vigoare la data de 08 aprilie 2015. Reieșind din faptul că inițial proiectul nominalizat urma a fi închis la 31 decembrie 2020, pentru anul 2021 nu au fost înaintate propuneri de buget și</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 xml:space="preserve"> respectiv</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 xml:space="preserve"> pentru </w:t>
      </w:r>
      <w:r w:rsidR="00212961" w:rsidRPr="00BD050E">
        <w:rPr>
          <w:rFonts w:asciiTheme="majorHAnsi" w:eastAsia="Times New Roman" w:hAnsiTheme="majorHAnsi" w:cstheme="majorHAnsi"/>
          <w:bCs/>
          <w:iCs/>
          <w:color w:val="000000" w:themeColor="text1"/>
          <w:sz w:val="24"/>
          <w:szCs w:val="24"/>
          <w:lang w:val="ro-RO"/>
        </w:rPr>
        <w:t xml:space="preserve">acest </w:t>
      </w:r>
      <w:r w:rsidRPr="00BD050E">
        <w:rPr>
          <w:rFonts w:asciiTheme="majorHAnsi" w:eastAsia="Times New Roman" w:hAnsiTheme="majorHAnsi" w:cstheme="majorHAnsi"/>
          <w:bCs/>
          <w:iCs/>
          <w:color w:val="000000" w:themeColor="text1"/>
          <w:sz w:val="24"/>
          <w:szCs w:val="24"/>
          <w:lang w:val="ro-RO"/>
        </w:rPr>
        <w:t>an nu au fost aprobate nici cheltuieli. Prin urmare, pe parcursul anului 2021, Ministerul Sănătății</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 xml:space="preserve"> Muncii și Protecției Sociale a solicitat</w:t>
      </w:r>
      <w:r w:rsidRPr="00BD050E">
        <w:rPr>
          <w:rStyle w:val="FootnoteReference"/>
          <w:rFonts w:asciiTheme="majorHAnsi" w:eastAsia="Times New Roman" w:hAnsiTheme="majorHAnsi" w:cstheme="majorHAnsi"/>
          <w:bCs/>
          <w:iCs/>
          <w:color w:val="000000" w:themeColor="text1"/>
          <w:sz w:val="24"/>
          <w:szCs w:val="24"/>
          <w:lang w:val="ro-RO"/>
        </w:rPr>
        <w:footnoteReference w:id="18"/>
      </w:r>
      <w:r w:rsidRPr="00BD050E">
        <w:rPr>
          <w:rFonts w:asciiTheme="majorHAnsi" w:eastAsia="Times New Roman" w:hAnsiTheme="majorHAnsi" w:cstheme="majorHAnsi"/>
          <w:bCs/>
          <w:iCs/>
          <w:color w:val="000000" w:themeColor="text1"/>
          <w:sz w:val="24"/>
          <w:szCs w:val="24"/>
          <w:lang w:val="ro-RO"/>
        </w:rPr>
        <w:t xml:space="preserve"> Ministerului Finanțelor modificări la Legea bugetului</w:t>
      </w:r>
      <w:r w:rsidR="00212961" w:rsidRPr="00BD050E">
        <w:rPr>
          <w:rFonts w:asciiTheme="majorHAnsi" w:eastAsia="Times New Roman" w:hAnsiTheme="majorHAnsi" w:cstheme="majorHAnsi"/>
          <w:bCs/>
          <w:iCs/>
          <w:color w:val="000000" w:themeColor="text1"/>
          <w:sz w:val="24"/>
          <w:szCs w:val="24"/>
          <w:lang w:val="ro-RO"/>
        </w:rPr>
        <w:t xml:space="preserve"> de stat,</w:t>
      </w:r>
      <w:r w:rsidRPr="00BD050E">
        <w:rPr>
          <w:rFonts w:asciiTheme="majorHAnsi" w:eastAsia="Times New Roman" w:hAnsiTheme="majorHAnsi" w:cstheme="majorHAnsi"/>
          <w:bCs/>
          <w:iCs/>
          <w:color w:val="000000" w:themeColor="text1"/>
          <w:sz w:val="24"/>
          <w:szCs w:val="24"/>
          <w:lang w:val="ro-RO"/>
        </w:rPr>
        <w:t xml:space="preserve"> cu includerea cheltuielilor respective.  În </w:t>
      </w:r>
      <w:r w:rsidR="00212961" w:rsidRPr="00BD050E">
        <w:rPr>
          <w:rFonts w:asciiTheme="majorHAnsi" w:eastAsia="Times New Roman" w:hAnsiTheme="majorHAnsi" w:cstheme="majorHAnsi"/>
          <w:bCs/>
          <w:iCs/>
          <w:color w:val="000000" w:themeColor="text1"/>
          <w:sz w:val="24"/>
          <w:szCs w:val="24"/>
          <w:lang w:val="ro-RO"/>
        </w:rPr>
        <w:t xml:space="preserve">acest </w:t>
      </w:r>
      <w:r w:rsidRPr="00BD050E">
        <w:rPr>
          <w:rFonts w:asciiTheme="majorHAnsi" w:eastAsia="Times New Roman" w:hAnsiTheme="majorHAnsi" w:cstheme="majorHAnsi"/>
          <w:bCs/>
          <w:iCs/>
          <w:color w:val="000000" w:themeColor="text1"/>
          <w:sz w:val="24"/>
          <w:szCs w:val="24"/>
          <w:lang w:val="ro-RO"/>
        </w:rPr>
        <w:t>context, pentru anul 2021 au fost aprobate</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 xml:space="preserve"> conform limitelor de cheltuieli bugetare</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 xml:space="preserve"> cheltuieli în </w:t>
      </w:r>
      <w:r w:rsidR="00212961" w:rsidRPr="00BD050E">
        <w:rPr>
          <w:rFonts w:asciiTheme="majorHAnsi" w:eastAsia="Times New Roman" w:hAnsiTheme="majorHAnsi" w:cstheme="majorHAnsi"/>
          <w:bCs/>
          <w:iCs/>
          <w:color w:val="000000" w:themeColor="text1"/>
          <w:sz w:val="24"/>
          <w:szCs w:val="24"/>
          <w:lang w:val="ro-RO"/>
        </w:rPr>
        <w:t>sumă</w:t>
      </w:r>
      <w:r w:rsidRPr="00BD050E">
        <w:rPr>
          <w:rFonts w:asciiTheme="majorHAnsi" w:eastAsia="Times New Roman" w:hAnsiTheme="majorHAnsi" w:cstheme="majorHAnsi"/>
          <w:bCs/>
          <w:iCs/>
          <w:color w:val="000000" w:themeColor="text1"/>
          <w:sz w:val="24"/>
          <w:szCs w:val="24"/>
          <w:lang w:val="ro-RO"/>
        </w:rPr>
        <w:t xml:space="preserve"> </w:t>
      </w:r>
      <w:r w:rsidR="00212961" w:rsidRPr="00BD050E">
        <w:rPr>
          <w:rFonts w:asciiTheme="majorHAnsi" w:eastAsia="Times New Roman" w:hAnsiTheme="majorHAnsi" w:cstheme="majorHAnsi"/>
          <w:bCs/>
          <w:iCs/>
          <w:color w:val="000000" w:themeColor="text1"/>
          <w:sz w:val="24"/>
          <w:szCs w:val="24"/>
          <w:lang w:val="ro-RO"/>
        </w:rPr>
        <w:t xml:space="preserve">de </w:t>
      </w:r>
      <w:r w:rsidRPr="00BD050E">
        <w:rPr>
          <w:rFonts w:asciiTheme="majorHAnsi" w:eastAsia="Times New Roman" w:hAnsiTheme="majorHAnsi" w:cstheme="majorHAnsi"/>
          <w:bCs/>
          <w:iCs/>
          <w:color w:val="000000" w:themeColor="text1"/>
          <w:sz w:val="24"/>
          <w:szCs w:val="24"/>
          <w:lang w:val="ro-RO"/>
        </w:rPr>
        <w:t xml:space="preserve">2,0 mil. lei pentru Componenta </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Asistență Tehnică</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 xml:space="preserve"> a Proiectului </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Modernizarea sectorului sănătății</w:t>
      </w:r>
      <w:r w:rsidR="00212961" w:rsidRPr="00BD050E">
        <w:rPr>
          <w:rFonts w:asciiTheme="majorHAnsi" w:eastAsia="Times New Roman" w:hAnsiTheme="majorHAnsi" w:cstheme="majorHAnsi"/>
          <w:bCs/>
          <w:iCs/>
          <w:color w:val="000000" w:themeColor="text1"/>
          <w:sz w:val="24"/>
          <w:szCs w:val="24"/>
          <w:lang w:val="ro-RO"/>
        </w:rPr>
        <w:t xml:space="preserve"> în Republica Moldova”</w:t>
      </w:r>
      <w:r w:rsidRPr="00BD050E">
        <w:rPr>
          <w:rFonts w:asciiTheme="majorHAnsi" w:eastAsia="Times New Roman" w:hAnsiTheme="majorHAnsi" w:cstheme="majorHAnsi"/>
          <w:bCs/>
          <w:iCs/>
          <w:color w:val="000000" w:themeColor="text1"/>
          <w:sz w:val="24"/>
          <w:szCs w:val="24"/>
          <w:lang w:val="ro-RO"/>
        </w:rPr>
        <w:t>,  </w:t>
      </w:r>
      <w:r w:rsidR="00212961" w:rsidRPr="00BD050E">
        <w:rPr>
          <w:rFonts w:asciiTheme="majorHAnsi" w:eastAsia="Times New Roman" w:hAnsiTheme="majorHAnsi" w:cstheme="majorHAnsi"/>
          <w:bCs/>
          <w:iCs/>
          <w:color w:val="000000" w:themeColor="text1"/>
          <w:sz w:val="24"/>
          <w:szCs w:val="24"/>
          <w:lang w:val="ro-RO"/>
        </w:rPr>
        <w:t>d</w:t>
      </w:r>
      <w:r w:rsidRPr="00BD050E">
        <w:rPr>
          <w:rFonts w:asciiTheme="majorHAnsi" w:eastAsia="Times New Roman" w:hAnsiTheme="majorHAnsi" w:cstheme="majorHAnsi"/>
          <w:bCs/>
          <w:iCs/>
          <w:color w:val="000000" w:themeColor="text1"/>
          <w:sz w:val="24"/>
          <w:szCs w:val="24"/>
          <w:lang w:val="ro-RO"/>
        </w:rPr>
        <w:t xml:space="preserve">ar </w:t>
      </w:r>
      <w:r w:rsidR="00212961" w:rsidRPr="00BD050E">
        <w:rPr>
          <w:rFonts w:asciiTheme="majorHAnsi" w:eastAsia="Times New Roman" w:hAnsiTheme="majorHAnsi" w:cstheme="majorHAnsi"/>
          <w:bCs/>
          <w:iCs/>
          <w:color w:val="000000" w:themeColor="text1"/>
          <w:sz w:val="24"/>
          <w:szCs w:val="24"/>
          <w:lang w:val="ro-RO"/>
        </w:rPr>
        <w:t xml:space="preserve">s-au </w:t>
      </w:r>
      <w:r w:rsidRPr="00BD050E">
        <w:rPr>
          <w:rFonts w:asciiTheme="majorHAnsi" w:eastAsia="Times New Roman" w:hAnsiTheme="majorHAnsi" w:cstheme="majorHAnsi"/>
          <w:bCs/>
          <w:iCs/>
          <w:color w:val="000000" w:themeColor="text1"/>
          <w:sz w:val="24"/>
          <w:szCs w:val="24"/>
          <w:lang w:val="ro-RO"/>
        </w:rPr>
        <w:t xml:space="preserve">executat  în </w:t>
      </w:r>
      <w:r w:rsidR="00212961" w:rsidRPr="00BD050E">
        <w:rPr>
          <w:rFonts w:asciiTheme="majorHAnsi" w:eastAsia="Times New Roman" w:hAnsiTheme="majorHAnsi" w:cstheme="majorHAnsi"/>
          <w:bCs/>
          <w:iCs/>
          <w:color w:val="000000" w:themeColor="text1"/>
          <w:sz w:val="24"/>
          <w:szCs w:val="24"/>
          <w:lang w:val="ro-RO"/>
        </w:rPr>
        <w:t>sumă</w:t>
      </w:r>
      <w:r w:rsidRPr="00BD050E">
        <w:rPr>
          <w:rFonts w:asciiTheme="majorHAnsi" w:eastAsia="Times New Roman" w:hAnsiTheme="majorHAnsi" w:cstheme="majorHAnsi"/>
          <w:bCs/>
          <w:iCs/>
          <w:color w:val="000000" w:themeColor="text1"/>
          <w:sz w:val="24"/>
          <w:szCs w:val="24"/>
          <w:lang w:val="ro-RO"/>
        </w:rPr>
        <w:t xml:space="preserve"> de 1,84 mil. lei. Din aceast</w:t>
      </w:r>
      <w:r w:rsidR="00212961" w:rsidRPr="00BD050E">
        <w:rPr>
          <w:rFonts w:asciiTheme="majorHAnsi" w:eastAsia="Times New Roman" w:hAnsiTheme="majorHAnsi" w:cstheme="majorHAnsi"/>
          <w:bCs/>
          <w:iCs/>
          <w:color w:val="000000" w:themeColor="text1"/>
          <w:sz w:val="24"/>
          <w:szCs w:val="24"/>
          <w:lang w:val="ro-RO"/>
        </w:rPr>
        <w:t>ă</w:t>
      </w:r>
      <w:r w:rsidRPr="00BD050E">
        <w:rPr>
          <w:rFonts w:asciiTheme="majorHAnsi" w:eastAsia="Times New Roman" w:hAnsiTheme="majorHAnsi" w:cstheme="majorHAnsi"/>
          <w:bCs/>
          <w:iCs/>
          <w:color w:val="000000" w:themeColor="text1"/>
          <w:sz w:val="24"/>
          <w:szCs w:val="24"/>
          <w:lang w:val="ro-RO"/>
        </w:rPr>
        <w:t xml:space="preserve"> sumă au fost finanțate 5 contracte</w:t>
      </w:r>
      <w:r w:rsidR="00212961" w:rsidRPr="00BD050E">
        <w:rPr>
          <w:rFonts w:asciiTheme="majorHAnsi" w:eastAsia="Times New Roman" w:hAnsiTheme="majorHAnsi" w:cstheme="majorHAnsi"/>
          <w:bCs/>
          <w:iCs/>
          <w:color w:val="000000" w:themeColor="text1"/>
          <w:sz w:val="24"/>
          <w:szCs w:val="24"/>
          <w:lang w:val="ro-RO"/>
        </w:rPr>
        <w:t>,</w:t>
      </w:r>
      <w:r w:rsidRPr="00BD050E">
        <w:rPr>
          <w:rFonts w:asciiTheme="majorHAnsi" w:eastAsia="Times New Roman" w:hAnsiTheme="majorHAnsi" w:cstheme="majorHAnsi"/>
          <w:bCs/>
          <w:iCs/>
          <w:color w:val="000000" w:themeColor="text1"/>
          <w:sz w:val="24"/>
          <w:szCs w:val="24"/>
          <w:lang w:val="ro-RO"/>
        </w:rPr>
        <w:t xml:space="preserve"> după cum urmează:</w:t>
      </w:r>
    </w:p>
    <w:p w14:paraId="766E8326" w14:textId="36AF60AB" w:rsidR="00BC151C" w:rsidRPr="00BD050E" w:rsidRDefault="00BC151C" w:rsidP="00BC151C">
      <w:pPr>
        <w:spacing w:after="0" w:line="276" w:lineRule="auto"/>
        <w:jc w:val="right"/>
        <w:rPr>
          <w:rFonts w:asciiTheme="majorHAnsi" w:eastAsia="Times New Roman" w:hAnsiTheme="majorHAnsi" w:cstheme="majorHAnsi"/>
          <w:bCs/>
          <w:iCs/>
          <w:color w:val="000000" w:themeColor="text1"/>
          <w:sz w:val="24"/>
          <w:szCs w:val="24"/>
          <w:lang w:val="ro-RO"/>
        </w:rPr>
      </w:pPr>
      <w:r w:rsidRPr="00BD050E">
        <w:rPr>
          <w:rFonts w:asciiTheme="majorHAnsi" w:eastAsia="Times New Roman" w:hAnsiTheme="majorHAnsi" w:cstheme="majorHAnsi"/>
          <w:bCs/>
          <w:iCs/>
          <w:color w:val="000000" w:themeColor="text1"/>
          <w:sz w:val="24"/>
          <w:szCs w:val="24"/>
          <w:lang w:val="ro-RO"/>
        </w:rPr>
        <w:t>Tabel</w:t>
      </w:r>
      <w:r w:rsidR="00212961" w:rsidRPr="00BD050E">
        <w:rPr>
          <w:rFonts w:asciiTheme="majorHAnsi" w:eastAsia="Times New Roman" w:hAnsiTheme="majorHAnsi" w:cstheme="majorHAnsi"/>
          <w:bCs/>
          <w:iCs/>
          <w:color w:val="000000" w:themeColor="text1"/>
          <w:sz w:val="24"/>
          <w:szCs w:val="24"/>
          <w:lang w:val="ro-RO"/>
        </w:rPr>
        <w:t>ul</w:t>
      </w:r>
      <w:r w:rsidRPr="00BD050E">
        <w:rPr>
          <w:rFonts w:asciiTheme="majorHAnsi" w:eastAsia="Times New Roman" w:hAnsiTheme="majorHAnsi" w:cstheme="majorHAnsi"/>
          <w:bCs/>
          <w:iCs/>
          <w:color w:val="000000" w:themeColor="text1"/>
          <w:sz w:val="24"/>
          <w:szCs w:val="24"/>
          <w:lang w:val="ro-RO"/>
        </w:rPr>
        <w:t xml:space="preserve"> nr.</w:t>
      </w:r>
      <w:r w:rsidR="00E9100E" w:rsidRPr="00BD050E">
        <w:rPr>
          <w:rFonts w:asciiTheme="majorHAnsi" w:eastAsia="Times New Roman" w:hAnsiTheme="majorHAnsi" w:cstheme="majorHAnsi"/>
          <w:bCs/>
          <w:iCs/>
          <w:color w:val="000000" w:themeColor="text1"/>
          <w:sz w:val="24"/>
          <w:szCs w:val="24"/>
          <w:lang w:val="ro-RO"/>
        </w:rPr>
        <w:t xml:space="preserve"> 1</w:t>
      </w:r>
    </w:p>
    <w:tbl>
      <w:tblPr>
        <w:tblStyle w:val="TableGrid"/>
        <w:tblW w:w="5000" w:type="pct"/>
        <w:tblLook w:val="04A0" w:firstRow="1" w:lastRow="0" w:firstColumn="1" w:lastColumn="0" w:noHBand="0" w:noVBand="1"/>
      </w:tblPr>
      <w:tblGrid>
        <w:gridCol w:w="1794"/>
        <w:gridCol w:w="1462"/>
        <w:gridCol w:w="2116"/>
        <w:gridCol w:w="2073"/>
        <w:gridCol w:w="1902"/>
      </w:tblGrid>
      <w:tr w:rsidR="00814F8E" w:rsidRPr="00BD050E" w14:paraId="5D3A9E30" w14:textId="77777777" w:rsidTr="003E50CF">
        <w:trPr>
          <w:trHeight w:val="15"/>
        </w:trPr>
        <w:tc>
          <w:tcPr>
            <w:tcW w:w="1794" w:type="dxa"/>
            <w:shd w:val="clear" w:color="auto" w:fill="9CC2E5" w:themeFill="accent1" w:themeFillTint="99"/>
            <w:vAlign w:val="center"/>
            <w:hideMark/>
          </w:tcPr>
          <w:p w14:paraId="08AA4A22" w14:textId="2CA68286" w:rsidR="003E50CF" w:rsidRPr="00BD050E" w:rsidRDefault="003E50CF" w:rsidP="00BC151C">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 xml:space="preserve">Nr. </w:t>
            </w:r>
            <w:r w:rsidR="00212961" w:rsidRPr="00BD050E">
              <w:rPr>
                <w:rFonts w:asciiTheme="majorHAnsi" w:eastAsia="Times New Roman" w:hAnsiTheme="majorHAnsi" w:cstheme="majorHAnsi"/>
                <w:b/>
                <w:bCs/>
                <w:iCs/>
                <w:color w:val="000000" w:themeColor="text1"/>
                <w:sz w:val="20"/>
                <w:szCs w:val="20"/>
                <w:lang w:val="ro-RO"/>
              </w:rPr>
              <w:t>c</w:t>
            </w:r>
            <w:r w:rsidRPr="00BD050E">
              <w:rPr>
                <w:rFonts w:asciiTheme="majorHAnsi" w:eastAsia="Times New Roman" w:hAnsiTheme="majorHAnsi" w:cstheme="majorHAnsi"/>
                <w:b/>
                <w:bCs/>
                <w:iCs/>
                <w:color w:val="000000" w:themeColor="text1"/>
                <w:sz w:val="20"/>
                <w:szCs w:val="20"/>
                <w:lang w:val="ro-RO"/>
              </w:rPr>
              <w:t>ontractului</w:t>
            </w:r>
          </w:p>
        </w:tc>
        <w:tc>
          <w:tcPr>
            <w:tcW w:w="1462" w:type="dxa"/>
            <w:shd w:val="clear" w:color="auto" w:fill="9CC2E5" w:themeFill="accent1" w:themeFillTint="99"/>
            <w:vAlign w:val="center"/>
            <w:hideMark/>
          </w:tcPr>
          <w:p w14:paraId="07EAC19D" w14:textId="77777777" w:rsidR="003E50CF" w:rsidRPr="00BD050E" w:rsidRDefault="003E50CF" w:rsidP="00BC151C">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Data începerii</w:t>
            </w:r>
          </w:p>
        </w:tc>
        <w:tc>
          <w:tcPr>
            <w:tcW w:w="2116" w:type="dxa"/>
            <w:shd w:val="clear" w:color="auto" w:fill="9CC2E5" w:themeFill="accent1" w:themeFillTint="99"/>
            <w:vAlign w:val="center"/>
          </w:tcPr>
          <w:p w14:paraId="54124D8B" w14:textId="77777777" w:rsidR="003E50CF" w:rsidRPr="00BD050E" w:rsidRDefault="003E50CF" w:rsidP="00BC151C">
            <w:pPr>
              <w:jc w:val="center"/>
              <w:rPr>
                <w:rFonts w:asciiTheme="majorHAnsi" w:eastAsia="Times New Roman" w:hAnsiTheme="majorHAnsi" w:cstheme="majorHAnsi"/>
                <w:b/>
                <w:bCs/>
                <w:iCs/>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Obiectul contractului</w:t>
            </w:r>
          </w:p>
        </w:tc>
        <w:tc>
          <w:tcPr>
            <w:tcW w:w="2073" w:type="dxa"/>
            <w:shd w:val="clear" w:color="auto" w:fill="9CC2E5" w:themeFill="accent1" w:themeFillTint="99"/>
            <w:vAlign w:val="center"/>
            <w:hideMark/>
          </w:tcPr>
          <w:p w14:paraId="5D35BF76" w14:textId="26A7FCE0" w:rsidR="003E50CF" w:rsidRPr="00BD050E" w:rsidRDefault="003E50CF" w:rsidP="00BC151C">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Suma contractului</w:t>
            </w:r>
            <w:r w:rsidR="00212961" w:rsidRPr="00BD050E">
              <w:rPr>
                <w:rFonts w:asciiTheme="majorHAnsi" w:eastAsia="Times New Roman" w:hAnsiTheme="majorHAnsi" w:cstheme="majorHAnsi"/>
                <w:b/>
                <w:bCs/>
                <w:iCs/>
                <w:color w:val="000000" w:themeColor="text1"/>
                <w:sz w:val="20"/>
                <w:szCs w:val="20"/>
                <w:lang w:val="ro-RO"/>
              </w:rPr>
              <w:t>,</w:t>
            </w:r>
            <w:r w:rsidRPr="00BD050E">
              <w:rPr>
                <w:rFonts w:asciiTheme="majorHAnsi" w:eastAsia="Times New Roman" w:hAnsiTheme="majorHAnsi" w:cstheme="majorHAnsi"/>
                <w:b/>
                <w:bCs/>
                <w:iCs/>
                <w:color w:val="000000" w:themeColor="text1"/>
                <w:sz w:val="20"/>
                <w:szCs w:val="20"/>
                <w:lang w:val="ro-RO"/>
              </w:rPr>
              <w:t xml:space="preserve"> total, mii lei</w:t>
            </w:r>
          </w:p>
        </w:tc>
        <w:tc>
          <w:tcPr>
            <w:tcW w:w="1902" w:type="dxa"/>
            <w:shd w:val="clear" w:color="auto" w:fill="9CC2E5" w:themeFill="accent1" w:themeFillTint="99"/>
            <w:vAlign w:val="center"/>
            <w:hideMark/>
          </w:tcPr>
          <w:p w14:paraId="71FEF645" w14:textId="7EF3B0F8" w:rsidR="003E50CF" w:rsidRPr="00BD050E" w:rsidRDefault="003E50CF" w:rsidP="00DB389E">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Suma executată în anul 2021, lei</w:t>
            </w:r>
          </w:p>
        </w:tc>
      </w:tr>
      <w:tr w:rsidR="00814F8E" w:rsidRPr="00BD050E" w14:paraId="561EDF51" w14:textId="77777777" w:rsidTr="00D74CBC">
        <w:trPr>
          <w:trHeight w:val="15"/>
        </w:trPr>
        <w:tc>
          <w:tcPr>
            <w:tcW w:w="1794" w:type="dxa"/>
            <w:hideMark/>
          </w:tcPr>
          <w:p w14:paraId="2CD391A6" w14:textId="77777777" w:rsidR="003E50CF" w:rsidRPr="00BD050E" w:rsidRDefault="003E50CF" w:rsidP="00DB389E">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CO/16/IDA</w:t>
            </w:r>
          </w:p>
        </w:tc>
        <w:tc>
          <w:tcPr>
            <w:tcW w:w="1462" w:type="dxa"/>
            <w:hideMark/>
          </w:tcPr>
          <w:p w14:paraId="4B874A98" w14:textId="77777777" w:rsidR="003E50CF" w:rsidRPr="00BD050E" w:rsidRDefault="003E50CF" w:rsidP="00DB389E">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20.08.2018</w:t>
            </w:r>
          </w:p>
        </w:tc>
        <w:tc>
          <w:tcPr>
            <w:tcW w:w="2116" w:type="dxa"/>
          </w:tcPr>
          <w:p w14:paraId="20459963" w14:textId="232B77DB" w:rsidR="003E50CF" w:rsidRPr="00BD050E" w:rsidRDefault="003E50CF" w:rsidP="00DB389E">
            <w:pPr>
              <w:jc w:val="center"/>
              <w:rPr>
                <w:rFonts w:asciiTheme="majorHAnsi" w:eastAsia="Times New Roman" w:hAnsiTheme="majorHAnsi" w:cstheme="majorHAnsi"/>
                <w:bCs/>
                <w:iCs/>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Servicii de mentenanță IT</w:t>
            </w:r>
          </w:p>
        </w:tc>
        <w:tc>
          <w:tcPr>
            <w:tcW w:w="2073" w:type="dxa"/>
            <w:shd w:val="clear" w:color="auto" w:fill="auto"/>
            <w:vAlign w:val="center"/>
            <w:hideMark/>
          </w:tcPr>
          <w:p w14:paraId="291A4195" w14:textId="1872477E" w:rsidR="003E50CF" w:rsidRPr="00BD050E" w:rsidRDefault="003E50CF" w:rsidP="00D74CBC">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2 560 152,38</w:t>
            </w:r>
          </w:p>
        </w:tc>
        <w:tc>
          <w:tcPr>
            <w:tcW w:w="1902" w:type="dxa"/>
            <w:vAlign w:val="center"/>
          </w:tcPr>
          <w:p w14:paraId="6F52CA11" w14:textId="1242F69F" w:rsidR="003E50CF" w:rsidRPr="00BD050E" w:rsidRDefault="003E50CF">
            <w:pPr>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olor w:val="000000" w:themeColor="text1"/>
                <w:sz w:val="20"/>
                <w:szCs w:val="20"/>
                <w:lang w:val="ro-RO"/>
              </w:rPr>
              <w:t>443 800,0</w:t>
            </w:r>
          </w:p>
        </w:tc>
      </w:tr>
      <w:tr w:rsidR="00814F8E" w:rsidRPr="00BD050E" w14:paraId="3D4FB0A7" w14:textId="77777777" w:rsidTr="00D74CBC">
        <w:trPr>
          <w:trHeight w:val="15"/>
        </w:trPr>
        <w:tc>
          <w:tcPr>
            <w:tcW w:w="1794" w:type="dxa"/>
            <w:hideMark/>
          </w:tcPr>
          <w:p w14:paraId="796A0B0D" w14:textId="77777777" w:rsidR="003E50CF" w:rsidRPr="00BD050E" w:rsidRDefault="003E50CF" w:rsidP="00DB389E">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CO/19/IDA</w:t>
            </w:r>
          </w:p>
        </w:tc>
        <w:tc>
          <w:tcPr>
            <w:tcW w:w="1462" w:type="dxa"/>
            <w:hideMark/>
          </w:tcPr>
          <w:p w14:paraId="7436EFC0" w14:textId="77777777" w:rsidR="003E50CF" w:rsidRPr="00BD050E" w:rsidRDefault="003E50CF" w:rsidP="00DB389E">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01.04.2019</w:t>
            </w:r>
          </w:p>
        </w:tc>
        <w:tc>
          <w:tcPr>
            <w:tcW w:w="2116" w:type="dxa"/>
          </w:tcPr>
          <w:p w14:paraId="7A9886AB" w14:textId="06204B20" w:rsidR="003E50CF" w:rsidRPr="00BD050E" w:rsidRDefault="003E50CF" w:rsidP="00DB389E">
            <w:pPr>
              <w:jc w:val="center"/>
              <w:rPr>
                <w:rFonts w:asciiTheme="majorHAnsi" w:eastAsia="Times New Roman" w:hAnsiTheme="majorHAnsi" w:cstheme="majorHAnsi"/>
                <w:bCs/>
                <w:iCs/>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Servicii de consultanță</w:t>
            </w:r>
          </w:p>
        </w:tc>
        <w:tc>
          <w:tcPr>
            <w:tcW w:w="2073" w:type="dxa"/>
            <w:shd w:val="clear" w:color="auto" w:fill="auto"/>
            <w:vAlign w:val="center"/>
            <w:hideMark/>
          </w:tcPr>
          <w:p w14:paraId="487339F1" w14:textId="32B4DC2D" w:rsidR="003E50CF" w:rsidRPr="00BD050E" w:rsidRDefault="003E50CF" w:rsidP="00D74CBC">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797 478,90</w:t>
            </w:r>
          </w:p>
        </w:tc>
        <w:tc>
          <w:tcPr>
            <w:tcW w:w="1902" w:type="dxa"/>
            <w:vAlign w:val="center"/>
          </w:tcPr>
          <w:p w14:paraId="0782BB14" w14:textId="468C7170" w:rsidR="003E50CF" w:rsidRPr="00BD050E" w:rsidRDefault="003E50CF">
            <w:pPr>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olor w:val="000000" w:themeColor="text1"/>
                <w:sz w:val="20"/>
                <w:szCs w:val="20"/>
                <w:lang w:val="ro-RO"/>
              </w:rPr>
              <w:t>73 982,70</w:t>
            </w:r>
          </w:p>
        </w:tc>
      </w:tr>
      <w:tr w:rsidR="00814F8E" w:rsidRPr="00BD050E" w14:paraId="78DB9289" w14:textId="77777777" w:rsidTr="00D74CBC">
        <w:trPr>
          <w:trHeight w:val="15"/>
        </w:trPr>
        <w:tc>
          <w:tcPr>
            <w:tcW w:w="1794" w:type="dxa"/>
            <w:hideMark/>
          </w:tcPr>
          <w:p w14:paraId="3538CDF6" w14:textId="77777777" w:rsidR="003E50CF" w:rsidRPr="00BD050E" w:rsidRDefault="003E50CF" w:rsidP="00DB389E">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CO/21/IDA</w:t>
            </w:r>
          </w:p>
        </w:tc>
        <w:tc>
          <w:tcPr>
            <w:tcW w:w="1462" w:type="dxa"/>
            <w:hideMark/>
          </w:tcPr>
          <w:p w14:paraId="5F42214B" w14:textId="77777777" w:rsidR="003E50CF" w:rsidRPr="00BD050E" w:rsidRDefault="003E50CF" w:rsidP="00DB389E">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18.02.2021</w:t>
            </w:r>
          </w:p>
        </w:tc>
        <w:tc>
          <w:tcPr>
            <w:tcW w:w="2116" w:type="dxa"/>
          </w:tcPr>
          <w:p w14:paraId="07042CAA" w14:textId="6E9212AE" w:rsidR="003E50CF" w:rsidRPr="00BD050E" w:rsidRDefault="003E50CF" w:rsidP="00DB389E">
            <w:pPr>
              <w:jc w:val="center"/>
              <w:rPr>
                <w:rFonts w:asciiTheme="majorHAnsi" w:eastAsia="Times New Roman" w:hAnsiTheme="majorHAnsi" w:cstheme="majorHAnsi"/>
                <w:bCs/>
                <w:iCs/>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Servicii de elaborare a Strategiei de comunicare 2021-2023</w:t>
            </w:r>
          </w:p>
        </w:tc>
        <w:tc>
          <w:tcPr>
            <w:tcW w:w="2073" w:type="dxa"/>
            <w:shd w:val="clear" w:color="auto" w:fill="auto"/>
            <w:vAlign w:val="center"/>
            <w:hideMark/>
          </w:tcPr>
          <w:p w14:paraId="4632373F" w14:textId="53268302" w:rsidR="003E50CF" w:rsidRPr="00BD050E" w:rsidRDefault="003E50CF" w:rsidP="00D74CBC">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38 400,00</w:t>
            </w:r>
          </w:p>
        </w:tc>
        <w:tc>
          <w:tcPr>
            <w:tcW w:w="1902" w:type="dxa"/>
            <w:vAlign w:val="center"/>
          </w:tcPr>
          <w:p w14:paraId="0F7E3C4A" w14:textId="14E8B9A5" w:rsidR="003E50CF" w:rsidRPr="00BD050E" w:rsidRDefault="003E50CF">
            <w:pPr>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olor w:val="000000" w:themeColor="text1"/>
                <w:sz w:val="20"/>
                <w:szCs w:val="20"/>
                <w:lang w:val="ro-RO"/>
              </w:rPr>
              <w:t>681.133,44</w:t>
            </w:r>
          </w:p>
        </w:tc>
      </w:tr>
      <w:tr w:rsidR="00814F8E" w:rsidRPr="00BD050E" w14:paraId="52BA06B9" w14:textId="77777777" w:rsidTr="00D74CBC">
        <w:trPr>
          <w:trHeight w:val="15"/>
        </w:trPr>
        <w:tc>
          <w:tcPr>
            <w:tcW w:w="1794" w:type="dxa"/>
            <w:hideMark/>
          </w:tcPr>
          <w:p w14:paraId="1A917FB1" w14:textId="77777777" w:rsidR="003E50CF" w:rsidRPr="00BD050E" w:rsidRDefault="003E50CF" w:rsidP="00DB389E">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CO/08/IDA</w:t>
            </w:r>
          </w:p>
        </w:tc>
        <w:tc>
          <w:tcPr>
            <w:tcW w:w="1462" w:type="dxa"/>
            <w:hideMark/>
          </w:tcPr>
          <w:p w14:paraId="5ADC6EC2" w14:textId="77777777" w:rsidR="003E50CF" w:rsidRPr="00BD050E" w:rsidRDefault="003E50CF" w:rsidP="00DB389E">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28.03.2016</w:t>
            </w:r>
          </w:p>
        </w:tc>
        <w:tc>
          <w:tcPr>
            <w:tcW w:w="2116" w:type="dxa"/>
          </w:tcPr>
          <w:p w14:paraId="5591F0ED" w14:textId="5233A331" w:rsidR="003E50CF" w:rsidRPr="00BD050E" w:rsidRDefault="003E50CF" w:rsidP="00DB389E">
            <w:pPr>
              <w:jc w:val="center"/>
              <w:rPr>
                <w:rFonts w:asciiTheme="majorHAnsi" w:eastAsia="Times New Roman" w:hAnsiTheme="majorHAnsi" w:cstheme="majorHAnsi"/>
                <w:bCs/>
                <w:iCs/>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Servicii de traducere</w:t>
            </w:r>
          </w:p>
        </w:tc>
        <w:tc>
          <w:tcPr>
            <w:tcW w:w="2073" w:type="dxa"/>
            <w:shd w:val="clear" w:color="auto" w:fill="auto"/>
            <w:vAlign w:val="center"/>
            <w:hideMark/>
          </w:tcPr>
          <w:p w14:paraId="5AD495E1" w14:textId="56C37DE2" w:rsidR="003E50CF" w:rsidRPr="00BD050E" w:rsidRDefault="003E50CF" w:rsidP="00D74CBC">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100 000,00</w:t>
            </w:r>
          </w:p>
        </w:tc>
        <w:tc>
          <w:tcPr>
            <w:tcW w:w="1902" w:type="dxa"/>
            <w:vAlign w:val="center"/>
          </w:tcPr>
          <w:p w14:paraId="2886B427" w14:textId="3F26AE42" w:rsidR="003E50CF" w:rsidRPr="00BD050E" w:rsidRDefault="003E50CF">
            <w:pPr>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olor w:val="000000" w:themeColor="text1"/>
                <w:sz w:val="20"/>
                <w:szCs w:val="20"/>
                <w:lang w:val="ro-RO"/>
              </w:rPr>
              <w:t>9 437,16</w:t>
            </w:r>
          </w:p>
        </w:tc>
      </w:tr>
      <w:tr w:rsidR="00814F8E" w:rsidRPr="00BD050E" w14:paraId="64648ECD" w14:textId="77777777" w:rsidTr="00D74CBC">
        <w:trPr>
          <w:trHeight w:val="15"/>
        </w:trPr>
        <w:tc>
          <w:tcPr>
            <w:tcW w:w="1794" w:type="dxa"/>
            <w:hideMark/>
          </w:tcPr>
          <w:p w14:paraId="45A0B6C8" w14:textId="77777777" w:rsidR="003E50CF" w:rsidRPr="00BD050E" w:rsidRDefault="003E50CF" w:rsidP="00DB389E">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lastRenderedPageBreak/>
              <w:t>CO/23/IDA</w:t>
            </w:r>
          </w:p>
        </w:tc>
        <w:tc>
          <w:tcPr>
            <w:tcW w:w="1462" w:type="dxa"/>
            <w:hideMark/>
          </w:tcPr>
          <w:p w14:paraId="4190ECC0" w14:textId="77777777" w:rsidR="003E50CF" w:rsidRPr="00BD050E" w:rsidRDefault="003E50CF" w:rsidP="00DB389E">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09.09.2021</w:t>
            </w:r>
          </w:p>
        </w:tc>
        <w:tc>
          <w:tcPr>
            <w:tcW w:w="2116" w:type="dxa"/>
          </w:tcPr>
          <w:p w14:paraId="6FD75046" w14:textId="6A268765" w:rsidR="003E50CF" w:rsidRPr="00BD050E" w:rsidRDefault="003E50CF" w:rsidP="00DB389E">
            <w:pPr>
              <w:jc w:val="center"/>
              <w:rPr>
                <w:rFonts w:asciiTheme="majorHAnsi" w:eastAsia="Times New Roman" w:hAnsiTheme="majorHAnsi" w:cstheme="majorHAnsi"/>
                <w:bCs/>
                <w:iCs/>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 xml:space="preserve">Elaborarea Studiului bugetului </w:t>
            </w:r>
            <w:r w:rsidR="00C516EB" w:rsidRPr="00BD050E">
              <w:rPr>
                <w:rFonts w:asciiTheme="majorHAnsi" w:eastAsia="Times New Roman" w:hAnsiTheme="majorHAnsi" w:cstheme="majorHAnsi"/>
                <w:bCs/>
                <w:iCs/>
                <w:color w:val="000000" w:themeColor="text1"/>
                <w:sz w:val="20"/>
                <w:szCs w:val="20"/>
                <w:lang w:val="ro-RO"/>
              </w:rPr>
              <w:t>gospodăriilor</w:t>
            </w:r>
            <w:r w:rsidRPr="00BD050E">
              <w:rPr>
                <w:rFonts w:asciiTheme="majorHAnsi" w:eastAsia="Times New Roman" w:hAnsiTheme="majorHAnsi" w:cstheme="majorHAnsi"/>
                <w:bCs/>
                <w:iCs/>
                <w:color w:val="000000" w:themeColor="text1"/>
                <w:sz w:val="20"/>
                <w:szCs w:val="20"/>
                <w:lang w:val="ro-RO"/>
              </w:rPr>
              <w:t xml:space="preserve"> casnice</w:t>
            </w:r>
          </w:p>
        </w:tc>
        <w:tc>
          <w:tcPr>
            <w:tcW w:w="2073" w:type="dxa"/>
            <w:shd w:val="clear" w:color="auto" w:fill="auto"/>
            <w:vAlign w:val="center"/>
            <w:hideMark/>
          </w:tcPr>
          <w:p w14:paraId="322F750F" w14:textId="208C8A0D" w:rsidR="003E50CF" w:rsidRPr="00BD050E" w:rsidRDefault="003E50CF" w:rsidP="00D74CBC">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634 526,00</w:t>
            </w:r>
          </w:p>
        </w:tc>
        <w:tc>
          <w:tcPr>
            <w:tcW w:w="1902" w:type="dxa"/>
            <w:vAlign w:val="center"/>
          </w:tcPr>
          <w:p w14:paraId="61AA7C04" w14:textId="49F7E01C" w:rsidR="003E50CF" w:rsidRPr="00BD050E" w:rsidRDefault="003E50CF">
            <w:pPr>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olor w:val="000000" w:themeColor="text1"/>
                <w:sz w:val="20"/>
                <w:szCs w:val="20"/>
                <w:lang w:val="ro-RO"/>
              </w:rPr>
              <w:t>634 526,00</w:t>
            </w:r>
          </w:p>
        </w:tc>
      </w:tr>
      <w:tr w:rsidR="00814F8E" w:rsidRPr="00BD050E" w14:paraId="5170E398" w14:textId="77777777" w:rsidTr="00D74CBC">
        <w:trPr>
          <w:trHeight w:val="15"/>
        </w:trPr>
        <w:tc>
          <w:tcPr>
            <w:tcW w:w="5372" w:type="dxa"/>
            <w:gridSpan w:val="3"/>
          </w:tcPr>
          <w:p w14:paraId="691C2A09" w14:textId="771632B9" w:rsidR="003E50CF" w:rsidRPr="00BD050E" w:rsidRDefault="003E50CF" w:rsidP="000B4C5A">
            <w:pPr>
              <w:jc w:val="center"/>
              <w:rPr>
                <w:rFonts w:asciiTheme="majorHAnsi" w:eastAsia="Times New Roman" w:hAnsiTheme="majorHAnsi" w:cstheme="majorHAnsi"/>
                <w:bCs/>
                <w:iCs/>
                <w:color w:val="000000" w:themeColor="text1"/>
                <w:sz w:val="20"/>
                <w:szCs w:val="20"/>
                <w:lang w:val="ro-RO"/>
              </w:rPr>
            </w:pPr>
            <w:r w:rsidRPr="00BD050E">
              <w:rPr>
                <w:rFonts w:asciiTheme="majorHAnsi" w:eastAsia="Times New Roman" w:hAnsiTheme="majorHAnsi" w:cstheme="majorHAnsi"/>
                <w:b/>
                <w:bCs/>
                <w:iCs/>
                <w:color w:val="000000" w:themeColor="text1"/>
                <w:sz w:val="20"/>
                <w:szCs w:val="20"/>
                <w:lang w:val="ro-RO"/>
              </w:rPr>
              <w:t>TOTAL</w:t>
            </w:r>
          </w:p>
        </w:tc>
        <w:tc>
          <w:tcPr>
            <w:tcW w:w="2073" w:type="dxa"/>
            <w:shd w:val="clear" w:color="auto" w:fill="auto"/>
            <w:vAlign w:val="center"/>
          </w:tcPr>
          <w:p w14:paraId="788598EC" w14:textId="663EB06A" w:rsidR="003E50CF" w:rsidRPr="00BD050E" w:rsidRDefault="003E50CF" w:rsidP="00D74CBC">
            <w:pPr>
              <w:jc w:val="center"/>
              <w:rPr>
                <w:rFonts w:asciiTheme="majorHAnsi" w:eastAsia="Times New Roman" w:hAnsiTheme="majorHAnsi" w:cstheme="majorHAnsi"/>
                <w:bCs/>
                <w:iCs/>
                <w:color w:val="000000" w:themeColor="text1"/>
                <w:sz w:val="20"/>
                <w:szCs w:val="20"/>
                <w:lang w:val="ro-RO"/>
              </w:rPr>
            </w:pPr>
            <w:r w:rsidRPr="00BD050E">
              <w:rPr>
                <w:rFonts w:asciiTheme="majorHAnsi" w:eastAsia="Times New Roman" w:hAnsiTheme="majorHAnsi" w:cstheme="majorHAnsi"/>
                <w:bCs/>
                <w:iCs/>
                <w:color w:val="000000" w:themeColor="text1"/>
                <w:sz w:val="20"/>
                <w:szCs w:val="20"/>
                <w:lang w:val="ro-RO"/>
              </w:rPr>
              <w:t>4130557,28</w:t>
            </w:r>
          </w:p>
        </w:tc>
        <w:tc>
          <w:tcPr>
            <w:tcW w:w="1902" w:type="dxa"/>
            <w:vAlign w:val="center"/>
          </w:tcPr>
          <w:p w14:paraId="38488707" w14:textId="494A1287" w:rsidR="003E50CF" w:rsidRPr="00BD050E" w:rsidRDefault="003E50CF">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1.842.879,30</w:t>
            </w:r>
          </w:p>
        </w:tc>
      </w:tr>
    </w:tbl>
    <w:p w14:paraId="72D82611" w14:textId="63B2858A" w:rsidR="00A26C34" w:rsidRPr="00BD050E" w:rsidRDefault="00A26C34" w:rsidP="00A26C34">
      <w:pPr>
        <w:jc w:val="both"/>
        <w:rPr>
          <w:rFonts w:asciiTheme="majorHAnsi" w:hAnsiTheme="majorHAnsi" w:cstheme="majorHAnsi"/>
          <w:i/>
          <w:color w:val="000000" w:themeColor="text1"/>
          <w:sz w:val="20"/>
          <w:szCs w:val="20"/>
          <w:lang w:val="ro-RO"/>
        </w:rPr>
      </w:pPr>
      <w:r w:rsidRPr="00BD050E">
        <w:rPr>
          <w:rFonts w:asciiTheme="majorHAnsi" w:hAnsiTheme="majorHAnsi" w:cstheme="majorHAnsi"/>
          <w:b/>
          <w:i/>
          <w:color w:val="000000" w:themeColor="text1"/>
          <w:sz w:val="20"/>
          <w:szCs w:val="20"/>
          <w:lang w:val="ro-RO"/>
        </w:rPr>
        <w:t>Sursa:</w:t>
      </w:r>
      <w:r w:rsidRPr="00BD050E">
        <w:rPr>
          <w:rFonts w:asciiTheme="majorHAnsi" w:hAnsiTheme="majorHAnsi" w:cstheme="majorHAnsi"/>
          <w:i/>
          <w:color w:val="000000" w:themeColor="text1"/>
          <w:sz w:val="20"/>
          <w:szCs w:val="20"/>
          <w:lang w:val="ro-RO"/>
        </w:rPr>
        <w:t xml:space="preserve"> </w:t>
      </w:r>
      <w:r w:rsidR="00BC151C" w:rsidRPr="00BD050E">
        <w:rPr>
          <w:rFonts w:asciiTheme="majorHAnsi" w:hAnsiTheme="majorHAnsi" w:cstheme="majorHAnsi"/>
          <w:i/>
          <w:color w:val="000000" w:themeColor="text1"/>
          <w:sz w:val="20"/>
          <w:szCs w:val="20"/>
          <w:lang w:val="ro-RO"/>
        </w:rPr>
        <w:t>Elaborat de audit în baza informației prezentat</w:t>
      </w:r>
      <w:r w:rsidR="00212961" w:rsidRPr="00BD050E">
        <w:rPr>
          <w:rFonts w:asciiTheme="majorHAnsi" w:hAnsiTheme="majorHAnsi" w:cstheme="majorHAnsi"/>
          <w:i/>
          <w:color w:val="000000" w:themeColor="text1"/>
          <w:sz w:val="20"/>
          <w:szCs w:val="20"/>
          <w:lang w:val="ro-RO"/>
        </w:rPr>
        <w:t>e</w:t>
      </w:r>
      <w:r w:rsidR="00BC151C" w:rsidRPr="00BD050E">
        <w:rPr>
          <w:rFonts w:asciiTheme="majorHAnsi" w:hAnsiTheme="majorHAnsi" w:cstheme="majorHAnsi"/>
          <w:i/>
          <w:color w:val="000000" w:themeColor="text1"/>
          <w:sz w:val="20"/>
          <w:szCs w:val="20"/>
          <w:lang w:val="ro-RO"/>
        </w:rPr>
        <w:t xml:space="preserve"> de entitate</w:t>
      </w:r>
      <w:r w:rsidR="00212961" w:rsidRPr="00BD050E">
        <w:rPr>
          <w:rFonts w:asciiTheme="majorHAnsi" w:hAnsiTheme="majorHAnsi" w:cstheme="majorHAnsi"/>
          <w:i/>
          <w:color w:val="000000" w:themeColor="text1"/>
          <w:sz w:val="20"/>
          <w:szCs w:val="20"/>
          <w:lang w:val="ro-RO"/>
        </w:rPr>
        <w:t>.</w:t>
      </w:r>
    </w:p>
    <w:p w14:paraId="693950EF" w14:textId="66EAB8E6" w:rsidR="00BC151C" w:rsidRPr="00BD050E" w:rsidRDefault="00BC151C" w:rsidP="00D36F21">
      <w:pPr>
        <w:pStyle w:val="ListParagraph"/>
        <w:numPr>
          <w:ilvl w:val="0"/>
          <w:numId w:val="12"/>
        </w:numPr>
        <w:ind w:left="0" w:firstLine="417"/>
        <w:jc w:val="both"/>
        <w:rPr>
          <w:rFonts w:asciiTheme="majorHAnsi" w:hAnsiTheme="majorHAnsi" w:cstheme="majorHAnsi"/>
          <w:b/>
          <w:color w:val="000000" w:themeColor="text1"/>
          <w:sz w:val="24"/>
          <w:szCs w:val="24"/>
          <w:lang w:val="ro-RO"/>
        </w:rPr>
      </w:pPr>
      <w:r w:rsidRPr="00BD050E">
        <w:rPr>
          <w:rFonts w:asciiTheme="majorHAnsi" w:hAnsiTheme="majorHAnsi" w:cstheme="majorHAnsi"/>
          <w:b/>
          <w:color w:val="000000" w:themeColor="text1"/>
          <w:sz w:val="24"/>
          <w:szCs w:val="24"/>
          <w:lang w:val="ro-RO"/>
        </w:rPr>
        <w:t xml:space="preserve">Activitățile de asistență tehnică orientate </w:t>
      </w:r>
      <w:r w:rsidR="007C5397" w:rsidRPr="00BD050E">
        <w:rPr>
          <w:rFonts w:asciiTheme="majorHAnsi" w:hAnsiTheme="majorHAnsi" w:cstheme="majorHAnsi"/>
          <w:b/>
          <w:color w:val="000000" w:themeColor="text1"/>
          <w:sz w:val="24"/>
          <w:szCs w:val="24"/>
          <w:lang w:val="ro-RO"/>
        </w:rPr>
        <w:t>spre</w:t>
      </w:r>
      <w:r w:rsidRPr="00BD050E">
        <w:rPr>
          <w:rFonts w:asciiTheme="majorHAnsi" w:hAnsiTheme="majorHAnsi" w:cstheme="majorHAnsi"/>
          <w:b/>
          <w:color w:val="000000" w:themeColor="text1"/>
          <w:sz w:val="24"/>
          <w:szCs w:val="24"/>
          <w:lang w:val="ro-RO"/>
        </w:rPr>
        <w:t xml:space="preserve"> dezvoltarea modulelor adiționale pentru Sistemul </w:t>
      </w:r>
      <w:r w:rsidR="0078350E" w:rsidRPr="00BD050E">
        <w:rPr>
          <w:rFonts w:asciiTheme="majorHAnsi" w:hAnsiTheme="majorHAnsi" w:cstheme="majorHAnsi"/>
          <w:b/>
          <w:color w:val="000000" w:themeColor="text1"/>
          <w:sz w:val="24"/>
          <w:szCs w:val="24"/>
          <w:lang w:val="ro-RO"/>
        </w:rPr>
        <w:t>I</w:t>
      </w:r>
      <w:r w:rsidRPr="00BD050E">
        <w:rPr>
          <w:rFonts w:asciiTheme="majorHAnsi" w:hAnsiTheme="majorHAnsi" w:cstheme="majorHAnsi"/>
          <w:b/>
          <w:color w:val="000000" w:themeColor="text1"/>
          <w:sz w:val="24"/>
          <w:szCs w:val="24"/>
          <w:lang w:val="ro-RO"/>
        </w:rPr>
        <w:t>nforma</w:t>
      </w:r>
      <w:r w:rsidR="0078350E" w:rsidRPr="00BD050E">
        <w:rPr>
          <w:rFonts w:asciiTheme="majorHAnsi" w:hAnsiTheme="majorHAnsi" w:cstheme="majorHAnsi"/>
          <w:b/>
          <w:color w:val="000000" w:themeColor="text1"/>
          <w:sz w:val="24"/>
          <w:szCs w:val="24"/>
          <w:lang w:val="ro-RO"/>
        </w:rPr>
        <w:t>țional</w:t>
      </w:r>
      <w:r w:rsidRPr="00BD050E">
        <w:rPr>
          <w:rFonts w:asciiTheme="majorHAnsi" w:hAnsiTheme="majorHAnsi" w:cstheme="majorHAnsi"/>
          <w:b/>
          <w:color w:val="000000" w:themeColor="text1"/>
          <w:sz w:val="24"/>
          <w:szCs w:val="24"/>
          <w:lang w:val="ro-RO"/>
        </w:rPr>
        <w:t xml:space="preserve"> </w:t>
      </w:r>
      <w:r w:rsidR="0078350E" w:rsidRPr="00BD050E">
        <w:rPr>
          <w:rFonts w:asciiTheme="majorHAnsi" w:hAnsiTheme="majorHAnsi" w:cstheme="majorHAnsi"/>
          <w:b/>
          <w:color w:val="000000" w:themeColor="text1"/>
          <w:sz w:val="24"/>
          <w:szCs w:val="24"/>
          <w:lang w:val="ro-RO"/>
        </w:rPr>
        <w:t>A</w:t>
      </w:r>
      <w:r w:rsidRPr="00BD050E">
        <w:rPr>
          <w:rFonts w:asciiTheme="majorHAnsi" w:hAnsiTheme="majorHAnsi" w:cstheme="majorHAnsi"/>
          <w:b/>
          <w:color w:val="000000" w:themeColor="text1"/>
          <w:sz w:val="24"/>
          <w:szCs w:val="24"/>
          <w:lang w:val="ro-RO"/>
        </w:rPr>
        <w:t>utomatizat „Asistenț</w:t>
      </w:r>
      <w:r w:rsidR="0078350E" w:rsidRPr="00BD050E">
        <w:rPr>
          <w:rFonts w:asciiTheme="majorHAnsi" w:hAnsiTheme="majorHAnsi" w:cstheme="majorHAnsi"/>
          <w:b/>
          <w:color w:val="000000" w:themeColor="text1"/>
          <w:sz w:val="24"/>
          <w:szCs w:val="24"/>
          <w:lang w:val="ro-RO"/>
        </w:rPr>
        <w:t>a</w:t>
      </w:r>
      <w:r w:rsidRPr="00BD050E">
        <w:rPr>
          <w:rFonts w:asciiTheme="majorHAnsi" w:hAnsiTheme="majorHAnsi" w:cstheme="majorHAnsi"/>
          <w:b/>
          <w:color w:val="000000" w:themeColor="text1"/>
          <w:sz w:val="24"/>
          <w:szCs w:val="24"/>
          <w:lang w:val="ro-RO"/>
        </w:rPr>
        <w:t xml:space="preserve"> </w:t>
      </w:r>
      <w:r w:rsidR="0078350E" w:rsidRPr="00BD050E">
        <w:rPr>
          <w:rFonts w:asciiTheme="majorHAnsi" w:hAnsiTheme="majorHAnsi" w:cstheme="majorHAnsi"/>
          <w:b/>
          <w:color w:val="000000" w:themeColor="text1"/>
          <w:sz w:val="24"/>
          <w:szCs w:val="24"/>
          <w:lang w:val="ro-RO"/>
        </w:rPr>
        <w:t>M</w:t>
      </w:r>
      <w:r w:rsidRPr="00BD050E">
        <w:rPr>
          <w:rFonts w:asciiTheme="majorHAnsi" w:hAnsiTheme="majorHAnsi" w:cstheme="majorHAnsi"/>
          <w:b/>
          <w:color w:val="000000" w:themeColor="text1"/>
          <w:sz w:val="24"/>
          <w:szCs w:val="24"/>
          <w:lang w:val="ro-RO"/>
        </w:rPr>
        <w:t xml:space="preserve">edicală </w:t>
      </w:r>
      <w:r w:rsidR="0078350E" w:rsidRPr="00BD050E">
        <w:rPr>
          <w:rFonts w:asciiTheme="majorHAnsi" w:hAnsiTheme="majorHAnsi" w:cstheme="majorHAnsi"/>
          <w:b/>
          <w:color w:val="000000" w:themeColor="text1"/>
          <w:sz w:val="24"/>
          <w:szCs w:val="24"/>
          <w:lang w:val="ro-RO"/>
        </w:rPr>
        <w:t>P</w:t>
      </w:r>
      <w:r w:rsidRPr="00BD050E">
        <w:rPr>
          <w:rFonts w:asciiTheme="majorHAnsi" w:hAnsiTheme="majorHAnsi" w:cstheme="majorHAnsi"/>
          <w:b/>
          <w:color w:val="000000" w:themeColor="text1"/>
          <w:sz w:val="24"/>
          <w:szCs w:val="24"/>
          <w:lang w:val="ro-RO"/>
        </w:rPr>
        <w:t>rimară” nu au înregistrat progrese</w:t>
      </w:r>
      <w:r w:rsidR="00D36F21" w:rsidRPr="00BD050E">
        <w:rPr>
          <w:rFonts w:asciiTheme="majorHAnsi" w:hAnsiTheme="majorHAnsi" w:cstheme="majorHAnsi"/>
          <w:b/>
          <w:color w:val="000000" w:themeColor="text1"/>
          <w:sz w:val="24"/>
          <w:szCs w:val="24"/>
          <w:lang w:val="ro-RO"/>
        </w:rPr>
        <w:t>, fondurile fiind utilizate pentru alte achiziții</w:t>
      </w:r>
    </w:p>
    <w:p w14:paraId="56E2DD47" w14:textId="4505CA62" w:rsidR="00290D70" w:rsidRPr="00BD050E" w:rsidRDefault="00290D70" w:rsidP="0036424B">
      <w:pPr>
        <w:spacing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În urma Amendamentului nr.1 la Contractul de finanțare, din </w:t>
      </w:r>
      <w:r w:rsidR="007C5397" w:rsidRPr="00BD050E">
        <w:rPr>
          <w:rFonts w:asciiTheme="majorHAnsi" w:hAnsiTheme="majorHAnsi" w:cstheme="majorHAnsi"/>
          <w:color w:val="000000" w:themeColor="text1"/>
          <w:sz w:val="24"/>
          <w:szCs w:val="24"/>
          <w:lang w:val="ro-RO"/>
        </w:rPr>
        <w:t xml:space="preserve">anul </w:t>
      </w:r>
      <w:r w:rsidRPr="00BD050E">
        <w:rPr>
          <w:rFonts w:asciiTheme="majorHAnsi" w:hAnsiTheme="majorHAnsi" w:cstheme="majorHAnsi"/>
          <w:color w:val="000000" w:themeColor="text1"/>
          <w:sz w:val="24"/>
          <w:szCs w:val="24"/>
          <w:lang w:val="ro-RO"/>
        </w:rPr>
        <w:t>2018, suma de 714.500 DST din Programul de sprijin bugetar (</w:t>
      </w:r>
      <w:r w:rsidR="007C5397" w:rsidRPr="00BD050E">
        <w:rPr>
          <w:rFonts w:asciiTheme="majorHAnsi" w:hAnsiTheme="majorHAnsi" w:cstheme="majorHAnsi"/>
          <w:color w:val="000000" w:themeColor="text1"/>
          <w:sz w:val="24"/>
          <w:szCs w:val="24"/>
          <w:lang w:val="ro-RO"/>
        </w:rPr>
        <w:t>c</w:t>
      </w:r>
      <w:r w:rsidRPr="00BD050E">
        <w:rPr>
          <w:rFonts w:asciiTheme="majorHAnsi" w:hAnsiTheme="majorHAnsi" w:cstheme="majorHAnsi"/>
          <w:color w:val="000000" w:themeColor="text1"/>
          <w:sz w:val="24"/>
          <w:szCs w:val="24"/>
          <w:lang w:val="ro-RO"/>
        </w:rPr>
        <w:t>redit nr. 5469-MD) a fost realocat</w:t>
      </w:r>
      <w:r w:rsidR="007C5397" w:rsidRPr="00BD050E">
        <w:rPr>
          <w:rFonts w:asciiTheme="majorHAnsi" w:hAnsiTheme="majorHAnsi" w:cstheme="majorHAnsi"/>
          <w:color w:val="000000" w:themeColor="text1"/>
          <w:sz w:val="24"/>
          <w:szCs w:val="24"/>
          <w:lang w:val="ro-RO"/>
        </w:rPr>
        <w:t>ă</w:t>
      </w:r>
      <w:r w:rsidRPr="00BD050E">
        <w:rPr>
          <w:rFonts w:asciiTheme="majorHAnsi" w:hAnsiTheme="majorHAnsi" w:cstheme="majorHAnsi"/>
          <w:color w:val="000000" w:themeColor="text1"/>
          <w:sz w:val="24"/>
          <w:szCs w:val="24"/>
          <w:lang w:val="ro-RO"/>
        </w:rPr>
        <w:t xml:space="preserve"> pentru unele activități de asistență tehnică, legate</w:t>
      </w:r>
      <w:r w:rsidR="007C5397"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în principal</w:t>
      </w:r>
      <w:r w:rsidR="007C5397"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de dezvoltarea modulelor adiționale pentru Sistemul </w:t>
      </w:r>
      <w:r w:rsidR="0078350E" w:rsidRPr="00BD050E">
        <w:rPr>
          <w:rFonts w:asciiTheme="majorHAnsi" w:hAnsiTheme="majorHAnsi" w:cstheme="majorHAnsi"/>
          <w:color w:val="000000" w:themeColor="text1"/>
          <w:sz w:val="24"/>
          <w:szCs w:val="24"/>
          <w:lang w:val="ro-RO"/>
        </w:rPr>
        <w:t>I</w:t>
      </w:r>
      <w:r w:rsidRPr="00BD050E">
        <w:rPr>
          <w:rFonts w:asciiTheme="majorHAnsi" w:hAnsiTheme="majorHAnsi" w:cstheme="majorHAnsi"/>
          <w:color w:val="000000" w:themeColor="text1"/>
          <w:sz w:val="24"/>
          <w:szCs w:val="24"/>
          <w:lang w:val="ro-RO"/>
        </w:rPr>
        <w:t>nforma</w:t>
      </w:r>
      <w:r w:rsidR="0078350E" w:rsidRPr="00BD050E">
        <w:rPr>
          <w:rFonts w:asciiTheme="majorHAnsi" w:hAnsiTheme="majorHAnsi" w:cstheme="majorHAnsi"/>
          <w:color w:val="000000" w:themeColor="text1"/>
          <w:sz w:val="24"/>
          <w:szCs w:val="24"/>
          <w:lang w:val="ro-RO"/>
        </w:rPr>
        <w:t>țional</w:t>
      </w:r>
      <w:r w:rsidRPr="00BD050E">
        <w:rPr>
          <w:rFonts w:asciiTheme="majorHAnsi" w:hAnsiTheme="majorHAnsi" w:cstheme="majorHAnsi"/>
          <w:color w:val="000000" w:themeColor="text1"/>
          <w:sz w:val="24"/>
          <w:szCs w:val="24"/>
          <w:lang w:val="ro-RO"/>
        </w:rPr>
        <w:t xml:space="preserve"> </w:t>
      </w:r>
      <w:r w:rsidR="0078350E" w:rsidRPr="00BD050E">
        <w:rPr>
          <w:rFonts w:asciiTheme="majorHAnsi" w:hAnsiTheme="majorHAnsi" w:cstheme="majorHAnsi"/>
          <w:color w:val="000000" w:themeColor="text1"/>
          <w:sz w:val="24"/>
          <w:szCs w:val="24"/>
          <w:lang w:val="ro-RO"/>
        </w:rPr>
        <w:t>A</w:t>
      </w:r>
      <w:r w:rsidRPr="00BD050E">
        <w:rPr>
          <w:rFonts w:asciiTheme="majorHAnsi" w:hAnsiTheme="majorHAnsi" w:cstheme="majorHAnsi"/>
          <w:color w:val="000000" w:themeColor="text1"/>
          <w:sz w:val="24"/>
          <w:szCs w:val="24"/>
          <w:lang w:val="ro-RO"/>
        </w:rPr>
        <w:t>utomatizat „Asistenț</w:t>
      </w:r>
      <w:r w:rsidR="0078350E" w:rsidRPr="00BD050E">
        <w:rPr>
          <w:rFonts w:asciiTheme="majorHAnsi" w:hAnsiTheme="majorHAnsi" w:cstheme="majorHAnsi"/>
          <w:color w:val="000000" w:themeColor="text1"/>
          <w:sz w:val="24"/>
          <w:szCs w:val="24"/>
          <w:lang w:val="ro-RO"/>
        </w:rPr>
        <w:t>a</w:t>
      </w:r>
      <w:r w:rsidRPr="00BD050E">
        <w:rPr>
          <w:rFonts w:asciiTheme="majorHAnsi" w:hAnsiTheme="majorHAnsi" w:cstheme="majorHAnsi"/>
          <w:color w:val="000000" w:themeColor="text1"/>
          <w:sz w:val="24"/>
          <w:szCs w:val="24"/>
          <w:lang w:val="ro-RO"/>
        </w:rPr>
        <w:t xml:space="preserve"> </w:t>
      </w:r>
      <w:r w:rsidR="0078350E" w:rsidRPr="00BD050E">
        <w:rPr>
          <w:rFonts w:asciiTheme="majorHAnsi" w:hAnsiTheme="majorHAnsi" w:cstheme="majorHAnsi"/>
          <w:color w:val="000000" w:themeColor="text1"/>
          <w:sz w:val="24"/>
          <w:szCs w:val="24"/>
          <w:lang w:val="ro-RO"/>
        </w:rPr>
        <w:t>M</w:t>
      </w:r>
      <w:r w:rsidRPr="00BD050E">
        <w:rPr>
          <w:rFonts w:asciiTheme="majorHAnsi" w:hAnsiTheme="majorHAnsi" w:cstheme="majorHAnsi"/>
          <w:color w:val="000000" w:themeColor="text1"/>
          <w:sz w:val="24"/>
          <w:szCs w:val="24"/>
          <w:lang w:val="ro-RO"/>
        </w:rPr>
        <w:t xml:space="preserve">edicală </w:t>
      </w:r>
      <w:r w:rsidR="0078350E" w:rsidRPr="00BD050E">
        <w:rPr>
          <w:rFonts w:asciiTheme="majorHAnsi" w:hAnsiTheme="majorHAnsi" w:cstheme="majorHAnsi"/>
          <w:color w:val="000000" w:themeColor="text1"/>
          <w:sz w:val="24"/>
          <w:szCs w:val="24"/>
          <w:lang w:val="ro-RO"/>
        </w:rPr>
        <w:t>P</w:t>
      </w:r>
      <w:r w:rsidRPr="00BD050E">
        <w:rPr>
          <w:rFonts w:asciiTheme="majorHAnsi" w:hAnsiTheme="majorHAnsi" w:cstheme="majorHAnsi"/>
          <w:color w:val="000000" w:themeColor="text1"/>
          <w:sz w:val="24"/>
          <w:szCs w:val="24"/>
          <w:lang w:val="ro-RO"/>
        </w:rPr>
        <w:t xml:space="preserve">rimară”. </w:t>
      </w:r>
      <w:r w:rsidR="00BC151C" w:rsidRPr="00BD050E">
        <w:rPr>
          <w:rFonts w:asciiTheme="majorHAnsi" w:hAnsiTheme="majorHAnsi" w:cstheme="majorHAnsi"/>
          <w:color w:val="000000" w:themeColor="text1"/>
          <w:sz w:val="24"/>
          <w:szCs w:val="24"/>
          <w:lang w:val="ro-RO"/>
        </w:rPr>
        <w:t>Astfel, u</w:t>
      </w:r>
      <w:r w:rsidRPr="00BD050E">
        <w:rPr>
          <w:rFonts w:asciiTheme="majorHAnsi" w:hAnsiTheme="majorHAnsi" w:cstheme="majorHAnsi"/>
          <w:color w:val="000000" w:themeColor="text1"/>
          <w:sz w:val="24"/>
          <w:szCs w:val="24"/>
          <w:lang w:val="ro-RO"/>
        </w:rPr>
        <w:t xml:space="preserve">rmau să fie demarate procedurile </w:t>
      </w:r>
      <w:r w:rsidR="00BC151C" w:rsidRPr="00BD050E">
        <w:rPr>
          <w:rFonts w:asciiTheme="majorHAnsi" w:hAnsiTheme="majorHAnsi" w:cstheme="majorHAnsi"/>
          <w:color w:val="000000" w:themeColor="text1"/>
          <w:sz w:val="24"/>
          <w:szCs w:val="24"/>
          <w:lang w:val="ro-RO"/>
        </w:rPr>
        <w:t>de selecție și contractare a c</w:t>
      </w:r>
      <w:r w:rsidRPr="00BD050E">
        <w:rPr>
          <w:rFonts w:asciiTheme="majorHAnsi" w:hAnsiTheme="majorHAnsi" w:cstheme="majorHAnsi"/>
          <w:color w:val="000000" w:themeColor="text1"/>
          <w:sz w:val="24"/>
          <w:szCs w:val="24"/>
          <w:lang w:val="ro-RO"/>
        </w:rPr>
        <w:t>ompaniei IT, dar acestea au fost amânate din cauza necesității consultării specificațiilor tehnice cu Proiectul e-Guvernare</w:t>
      </w:r>
      <w:r w:rsidR="00F506F2"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w:t>
      </w:r>
      <w:r w:rsidR="00BC151C" w:rsidRPr="00BD050E">
        <w:rPr>
          <w:rFonts w:asciiTheme="majorHAnsi" w:hAnsiTheme="majorHAnsi" w:cstheme="majorHAnsi"/>
          <w:color w:val="000000" w:themeColor="text1"/>
          <w:sz w:val="24"/>
          <w:szCs w:val="24"/>
          <w:lang w:val="ro-RO"/>
        </w:rPr>
        <w:t xml:space="preserve">precum și </w:t>
      </w:r>
      <w:r w:rsidR="00F506F2" w:rsidRPr="00BD050E">
        <w:rPr>
          <w:rFonts w:asciiTheme="majorHAnsi" w:hAnsiTheme="majorHAnsi" w:cstheme="majorHAnsi"/>
          <w:color w:val="000000" w:themeColor="text1"/>
          <w:sz w:val="24"/>
          <w:szCs w:val="24"/>
          <w:lang w:val="ro-RO"/>
        </w:rPr>
        <w:t xml:space="preserve">a </w:t>
      </w:r>
      <w:r w:rsidR="00BC151C" w:rsidRPr="00BD050E">
        <w:rPr>
          <w:rFonts w:asciiTheme="majorHAnsi" w:hAnsiTheme="majorHAnsi" w:cstheme="majorHAnsi"/>
          <w:color w:val="000000" w:themeColor="text1"/>
          <w:sz w:val="24"/>
          <w:szCs w:val="24"/>
          <w:lang w:val="ro-RO"/>
        </w:rPr>
        <w:t>dificultățil</w:t>
      </w:r>
      <w:r w:rsidR="00F506F2" w:rsidRPr="00BD050E">
        <w:rPr>
          <w:rFonts w:asciiTheme="majorHAnsi" w:hAnsiTheme="majorHAnsi" w:cstheme="majorHAnsi"/>
          <w:color w:val="000000" w:themeColor="text1"/>
          <w:sz w:val="24"/>
          <w:szCs w:val="24"/>
          <w:lang w:val="ro-RO"/>
        </w:rPr>
        <w:t>or</w:t>
      </w:r>
      <w:r w:rsidR="00BC151C" w:rsidRPr="00BD050E">
        <w:rPr>
          <w:rFonts w:asciiTheme="majorHAnsi" w:hAnsiTheme="majorHAnsi" w:cstheme="majorHAnsi"/>
          <w:color w:val="000000" w:themeColor="text1"/>
          <w:sz w:val="24"/>
          <w:szCs w:val="24"/>
          <w:lang w:val="ro-RO"/>
        </w:rPr>
        <w:t xml:space="preserve"> legate de</w:t>
      </w:r>
      <w:r w:rsidRPr="00BD050E">
        <w:rPr>
          <w:rFonts w:asciiTheme="majorHAnsi" w:hAnsiTheme="majorHAnsi" w:cstheme="majorHAnsi"/>
          <w:color w:val="000000" w:themeColor="text1"/>
          <w:sz w:val="24"/>
          <w:szCs w:val="24"/>
          <w:lang w:val="ro-RO"/>
        </w:rPr>
        <w:t xml:space="preserve"> pandemia </w:t>
      </w:r>
      <w:r w:rsidR="00C150D4" w:rsidRPr="00BD050E">
        <w:rPr>
          <w:rFonts w:asciiTheme="majorHAnsi" w:hAnsiTheme="majorHAnsi" w:cstheme="majorHAnsi"/>
          <w:color w:val="000000" w:themeColor="text1"/>
          <w:sz w:val="24"/>
          <w:szCs w:val="24"/>
          <w:lang w:val="ro-RO"/>
        </w:rPr>
        <w:t xml:space="preserve">de </w:t>
      </w:r>
      <w:r w:rsidRPr="00BD050E">
        <w:rPr>
          <w:rFonts w:asciiTheme="majorHAnsi" w:hAnsiTheme="majorHAnsi" w:cstheme="majorHAnsi"/>
          <w:color w:val="000000" w:themeColor="text1"/>
          <w:sz w:val="24"/>
          <w:szCs w:val="24"/>
          <w:lang w:val="ro-RO"/>
        </w:rPr>
        <w:t>COVID-19. În</w:t>
      </w:r>
      <w:r w:rsidR="00DD3658" w:rsidRPr="00BD050E">
        <w:rPr>
          <w:rFonts w:asciiTheme="majorHAnsi" w:hAnsiTheme="majorHAnsi" w:cstheme="majorHAnsi"/>
          <w:color w:val="000000" w:themeColor="text1"/>
          <w:sz w:val="24"/>
          <w:szCs w:val="24"/>
          <w:lang w:val="ro-RO"/>
        </w:rPr>
        <w:t xml:space="preserve"> luna</w:t>
      </w:r>
      <w:r w:rsidRPr="00BD050E">
        <w:rPr>
          <w:rFonts w:asciiTheme="majorHAnsi" w:hAnsiTheme="majorHAnsi" w:cstheme="majorHAnsi"/>
          <w:color w:val="000000" w:themeColor="text1"/>
          <w:sz w:val="24"/>
          <w:szCs w:val="24"/>
          <w:lang w:val="ro-RO"/>
        </w:rPr>
        <w:t xml:space="preserve"> iunie</w:t>
      </w:r>
      <w:r w:rsidR="00DD3658" w:rsidRPr="00BD050E">
        <w:rPr>
          <w:rFonts w:asciiTheme="majorHAnsi" w:hAnsiTheme="majorHAnsi" w:cstheme="majorHAnsi"/>
          <w:color w:val="000000" w:themeColor="text1"/>
          <w:sz w:val="24"/>
          <w:szCs w:val="24"/>
          <w:lang w:val="ro-RO"/>
        </w:rPr>
        <w:t xml:space="preserve"> 2021</w:t>
      </w:r>
      <w:r w:rsidRPr="00BD050E">
        <w:rPr>
          <w:rFonts w:asciiTheme="majorHAnsi" w:hAnsiTheme="majorHAnsi" w:cstheme="majorHAnsi"/>
          <w:color w:val="000000" w:themeColor="text1"/>
          <w:sz w:val="24"/>
          <w:szCs w:val="24"/>
          <w:lang w:val="ro-RO"/>
        </w:rPr>
        <w:t xml:space="preserve"> </w:t>
      </w:r>
      <w:r w:rsidR="00CB16E6" w:rsidRPr="00BD050E">
        <w:rPr>
          <w:rFonts w:asciiTheme="majorHAnsi" w:hAnsiTheme="majorHAnsi" w:cstheme="majorHAnsi"/>
          <w:color w:val="000000" w:themeColor="text1"/>
          <w:sz w:val="24"/>
          <w:szCs w:val="24"/>
          <w:lang w:val="ro-RO"/>
        </w:rPr>
        <w:t>s-</w:t>
      </w:r>
      <w:r w:rsidRPr="00BD050E">
        <w:rPr>
          <w:rFonts w:asciiTheme="majorHAnsi" w:hAnsiTheme="majorHAnsi" w:cstheme="majorHAnsi"/>
          <w:color w:val="000000" w:themeColor="text1"/>
          <w:sz w:val="24"/>
          <w:szCs w:val="24"/>
          <w:lang w:val="ro-RO"/>
        </w:rPr>
        <w:t>a</w:t>
      </w:r>
      <w:r w:rsidR="00CB16E6" w:rsidRPr="00BD050E">
        <w:rPr>
          <w:rFonts w:asciiTheme="majorHAnsi" w:hAnsiTheme="majorHAnsi" w:cstheme="majorHAnsi"/>
          <w:color w:val="000000" w:themeColor="text1"/>
          <w:sz w:val="24"/>
          <w:szCs w:val="24"/>
          <w:lang w:val="ro-RO"/>
        </w:rPr>
        <w:t xml:space="preserve"> </w:t>
      </w:r>
      <w:r w:rsidRPr="00BD050E">
        <w:rPr>
          <w:rFonts w:asciiTheme="majorHAnsi" w:hAnsiTheme="majorHAnsi" w:cstheme="majorHAnsi"/>
          <w:color w:val="000000" w:themeColor="text1"/>
          <w:sz w:val="24"/>
          <w:szCs w:val="24"/>
          <w:lang w:val="ro-RO"/>
        </w:rPr>
        <w:t xml:space="preserve">lansat licitația, iar ofertele au fost primite și evaluate. </w:t>
      </w:r>
      <w:r w:rsidR="00D36F21" w:rsidRPr="00BD050E">
        <w:rPr>
          <w:rFonts w:asciiTheme="majorHAnsi" w:hAnsiTheme="majorHAnsi" w:cstheme="majorHAnsi"/>
          <w:color w:val="000000" w:themeColor="text1"/>
          <w:sz w:val="24"/>
          <w:szCs w:val="24"/>
          <w:lang w:val="ro-RO"/>
        </w:rPr>
        <w:t>Conform estimărilor MS,</w:t>
      </w:r>
      <w:r w:rsidRPr="00BD050E">
        <w:rPr>
          <w:rFonts w:asciiTheme="majorHAnsi" w:hAnsiTheme="majorHAnsi" w:cstheme="majorHAnsi"/>
          <w:color w:val="000000" w:themeColor="text1"/>
          <w:sz w:val="24"/>
          <w:szCs w:val="24"/>
          <w:lang w:val="ro-RO"/>
        </w:rPr>
        <w:t xml:space="preserve"> dezvoltarea funcționalităților suplimentare (Prescripție electronică (E-Prescripție); Certificat electronic de concediu medical (E-Certificat); Certificat electronic de naștere; Certificat electronic de deces; Registrul de diabet zaharat; Registrul renal național) v</w:t>
      </w:r>
      <w:r w:rsidR="00CB16E6" w:rsidRPr="00BD050E">
        <w:rPr>
          <w:rFonts w:asciiTheme="majorHAnsi" w:hAnsiTheme="majorHAnsi" w:cstheme="majorHAnsi"/>
          <w:color w:val="000000" w:themeColor="text1"/>
          <w:sz w:val="24"/>
          <w:szCs w:val="24"/>
          <w:lang w:val="ro-RO"/>
        </w:rPr>
        <w:t xml:space="preserve">a </w:t>
      </w:r>
      <w:r w:rsidRPr="00BD050E">
        <w:rPr>
          <w:rFonts w:asciiTheme="majorHAnsi" w:hAnsiTheme="majorHAnsi" w:cstheme="majorHAnsi"/>
          <w:color w:val="000000" w:themeColor="text1"/>
          <w:sz w:val="24"/>
          <w:szCs w:val="24"/>
          <w:lang w:val="ro-RO"/>
        </w:rPr>
        <w:t xml:space="preserve"> dura cel puțin 7 luni</w:t>
      </w:r>
      <w:r w:rsidR="00D36F21" w:rsidRPr="00BD050E">
        <w:rPr>
          <w:rFonts w:asciiTheme="majorHAnsi" w:hAnsiTheme="majorHAnsi" w:cstheme="majorHAnsi"/>
          <w:color w:val="000000" w:themeColor="text1"/>
          <w:sz w:val="24"/>
          <w:szCs w:val="24"/>
          <w:lang w:val="ro-RO"/>
        </w:rPr>
        <w:t>. În acest context,</w:t>
      </w:r>
      <w:r w:rsidRPr="00BD050E">
        <w:rPr>
          <w:rFonts w:asciiTheme="majorHAnsi" w:hAnsiTheme="majorHAnsi" w:cstheme="majorHAnsi"/>
          <w:color w:val="000000" w:themeColor="text1"/>
          <w:sz w:val="24"/>
          <w:szCs w:val="24"/>
          <w:lang w:val="ro-RO"/>
        </w:rPr>
        <w:t xml:space="preserve"> ținând cont de faptul că închiderea proiectului a fost</w:t>
      </w:r>
      <w:r w:rsidR="003E50CF" w:rsidRPr="00BD050E">
        <w:rPr>
          <w:rFonts w:asciiTheme="majorHAnsi" w:hAnsiTheme="majorHAnsi" w:cstheme="majorHAnsi"/>
          <w:color w:val="000000" w:themeColor="text1"/>
          <w:sz w:val="24"/>
          <w:szCs w:val="24"/>
          <w:lang w:val="ro-RO"/>
        </w:rPr>
        <w:t xml:space="preserve"> prevăzută </w:t>
      </w:r>
      <w:r w:rsidR="00764667" w:rsidRPr="00BD050E">
        <w:rPr>
          <w:rFonts w:asciiTheme="majorHAnsi" w:hAnsiTheme="majorHAnsi" w:cstheme="majorHAnsi"/>
          <w:color w:val="000000" w:themeColor="text1"/>
          <w:sz w:val="24"/>
          <w:szCs w:val="24"/>
          <w:lang w:val="ro-RO"/>
        </w:rPr>
        <w:t xml:space="preserve">pentru date de </w:t>
      </w:r>
      <w:r w:rsidRPr="00BD050E">
        <w:rPr>
          <w:rFonts w:asciiTheme="majorHAnsi" w:hAnsiTheme="majorHAnsi" w:cstheme="majorHAnsi"/>
          <w:color w:val="000000" w:themeColor="text1"/>
          <w:sz w:val="24"/>
          <w:szCs w:val="24"/>
          <w:lang w:val="ro-RO"/>
        </w:rPr>
        <w:t>31 decembrie 2021, iar fondurile proiectului nu pot fi uti</w:t>
      </w:r>
      <w:r w:rsidR="00D36F21" w:rsidRPr="00BD050E">
        <w:rPr>
          <w:rFonts w:asciiTheme="majorHAnsi" w:hAnsiTheme="majorHAnsi" w:cstheme="majorHAnsi"/>
          <w:color w:val="000000" w:themeColor="text1"/>
          <w:sz w:val="24"/>
          <w:szCs w:val="24"/>
          <w:lang w:val="ro-RO"/>
        </w:rPr>
        <w:t>lizate după datele de închidere și</w:t>
      </w:r>
      <w:r w:rsidRPr="00BD050E">
        <w:rPr>
          <w:rFonts w:asciiTheme="majorHAnsi" w:hAnsiTheme="majorHAnsi" w:cstheme="majorHAnsi"/>
          <w:color w:val="000000" w:themeColor="text1"/>
          <w:sz w:val="24"/>
          <w:szCs w:val="24"/>
          <w:lang w:val="ro-RO"/>
        </w:rPr>
        <w:t xml:space="preserve"> MS nu a avut o asigurare clară cu privire la disponibilitatea</w:t>
      </w:r>
      <w:r w:rsidR="00D36F21" w:rsidRPr="00BD050E">
        <w:rPr>
          <w:rFonts w:asciiTheme="majorHAnsi" w:hAnsiTheme="majorHAnsi" w:cstheme="majorHAnsi"/>
          <w:color w:val="000000" w:themeColor="text1"/>
          <w:sz w:val="24"/>
          <w:szCs w:val="24"/>
          <w:lang w:val="ro-RO"/>
        </w:rPr>
        <w:t xml:space="preserve"> fondurilor după 31 decembrie </w:t>
      </w:r>
      <w:r w:rsidRPr="00BD050E">
        <w:rPr>
          <w:rFonts w:asciiTheme="majorHAnsi" w:hAnsiTheme="majorHAnsi" w:cstheme="majorHAnsi"/>
          <w:color w:val="000000" w:themeColor="text1"/>
          <w:sz w:val="24"/>
          <w:szCs w:val="24"/>
          <w:lang w:val="ro-RO"/>
        </w:rPr>
        <w:t>2021, s-a decis anularea achiziției.</w:t>
      </w:r>
    </w:p>
    <w:p w14:paraId="584FE1AE" w14:textId="31ECA26E" w:rsidR="00290D70" w:rsidRPr="00BD050E" w:rsidRDefault="00D36F21" w:rsidP="0036424B">
      <w:pPr>
        <w:spacing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Ulterior, după</w:t>
      </w:r>
      <w:r w:rsidR="00290D70" w:rsidRPr="00BD050E">
        <w:rPr>
          <w:rFonts w:asciiTheme="majorHAnsi" w:hAnsiTheme="majorHAnsi" w:cstheme="majorHAnsi"/>
          <w:color w:val="000000" w:themeColor="text1"/>
          <w:sz w:val="24"/>
          <w:szCs w:val="24"/>
          <w:lang w:val="ro-RO"/>
        </w:rPr>
        <w:t xml:space="preserve"> prelungirea perioadei de implementare cu 8 luni</w:t>
      </w:r>
      <w:r w:rsidRPr="00BD050E">
        <w:rPr>
          <w:rFonts w:asciiTheme="majorHAnsi" w:hAnsiTheme="majorHAnsi" w:cstheme="majorHAnsi"/>
          <w:color w:val="000000" w:themeColor="text1"/>
          <w:sz w:val="24"/>
          <w:szCs w:val="24"/>
          <w:lang w:val="ro-RO"/>
        </w:rPr>
        <w:t xml:space="preserve"> ale anului 2022</w:t>
      </w:r>
      <w:r w:rsidR="00290D70" w:rsidRPr="00BD050E">
        <w:rPr>
          <w:rFonts w:asciiTheme="majorHAnsi" w:hAnsiTheme="majorHAnsi" w:cstheme="majorHAnsi"/>
          <w:color w:val="000000" w:themeColor="text1"/>
          <w:sz w:val="24"/>
          <w:szCs w:val="24"/>
          <w:lang w:val="ro-RO"/>
        </w:rPr>
        <w:t>,</w:t>
      </w:r>
      <w:r w:rsidR="00C57989" w:rsidRPr="00BD050E">
        <w:rPr>
          <w:rFonts w:asciiTheme="majorHAnsi" w:hAnsiTheme="majorHAnsi" w:cstheme="majorHAnsi"/>
          <w:color w:val="000000" w:themeColor="text1"/>
          <w:sz w:val="24"/>
          <w:szCs w:val="24"/>
          <w:lang w:val="ro-RO"/>
        </w:rPr>
        <w:t xml:space="preserve"> </w:t>
      </w:r>
      <w:r w:rsidR="00764667" w:rsidRPr="00BD050E">
        <w:rPr>
          <w:rFonts w:asciiTheme="majorHAnsi" w:hAnsiTheme="majorHAnsi" w:cstheme="majorHAnsi"/>
          <w:color w:val="000000" w:themeColor="text1"/>
          <w:sz w:val="24"/>
          <w:szCs w:val="24"/>
          <w:lang w:val="ro-RO"/>
        </w:rPr>
        <w:t>în</w:t>
      </w:r>
      <w:r w:rsidR="00C57989" w:rsidRPr="00BD050E">
        <w:rPr>
          <w:rFonts w:asciiTheme="majorHAnsi" w:hAnsiTheme="majorHAnsi" w:cstheme="majorHAnsi"/>
          <w:color w:val="000000" w:themeColor="text1"/>
          <w:sz w:val="24"/>
          <w:szCs w:val="24"/>
          <w:lang w:val="ro-RO"/>
        </w:rPr>
        <w:t xml:space="preserve"> comun cu coordonatorul</w:t>
      </w:r>
      <w:r w:rsidR="00764667" w:rsidRPr="00BD050E">
        <w:rPr>
          <w:rFonts w:asciiTheme="majorHAnsi" w:hAnsiTheme="majorHAnsi" w:cstheme="majorHAnsi"/>
          <w:color w:val="000000" w:themeColor="text1"/>
          <w:sz w:val="24"/>
          <w:szCs w:val="24"/>
          <w:lang w:val="ro-RO"/>
        </w:rPr>
        <w:t>,</w:t>
      </w:r>
      <w:r w:rsidR="00290D70" w:rsidRPr="00BD050E">
        <w:rPr>
          <w:rFonts w:asciiTheme="majorHAnsi" w:hAnsiTheme="majorHAnsi" w:cstheme="majorHAnsi"/>
          <w:color w:val="000000" w:themeColor="text1"/>
          <w:sz w:val="24"/>
          <w:szCs w:val="24"/>
          <w:lang w:val="ro-RO"/>
        </w:rPr>
        <w:t xml:space="preserve"> s-a decis folosirea fondurilor disponibile </w:t>
      </w:r>
      <w:r w:rsidR="00764667" w:rsidRPr="00BD050E">
        <w:rPr>
          <w:rFonts w:asciiTheme="majorHAnsi" w:hAnsiTheme="majorHAnsi" w:cstheme="majorHAnsi"/>
          <w:color w:val="000000" w:themeColor="text1"/>
          <w:sz w:val="24"/>
          <w:szCs w:val="24"/>
          <w:lang w:val="ro-RO"/>
        </w:rPr>
        <w:t>la</w:t>
      </w:r>
      <w:r w:rsidR="00290D70" w:rsidRPr="00BD050E">
        <w:rPr>
          <w:rFonts w:asciiTheme="majorHAnsi" w:hAnsiTheme="majorHAnsi" w:cstheme="majorHAnsi"/>
          <w:color w:val="000000" w:themeColor="text1"/>
          <w:sz w:val="24"/>
          <w:szCs w:val="24"/>
          <w:lang w:val="ro-RO"/>
        </w:rPr>
        <w:t xml:space="preserve"> procurarea a 2 </w:t>
      </w:r>
      <w:r w:rsidR="001A5AB7" w:rsidRPr="00BD050E">
        <w:rPr>
          <w:rFonts w:asciiTheme="majorHAnsi" w:hAnsiTheme="majorHAnsi" w:cstheme="majorHAnsi"/>
          <w:color w:val="000000" w:themeColor="text1"/>
          <w:sz w:val="24"/>
          <w:szCs w:val="24"/>
          <w:lang w:val="ro-RO"/>
        </w:rPr>
        <w:t>Sisteme de mamografie cu tomosinteză digitală</w:t>
      </w:r>
      <w:r w:rsidR="00764667" w:rsidRPr="00BD050E">
        <w:rPr>
          <w:rFonts w:asciiTheme="majorHAnsi" w:hAnsiTheme="majorHAnsi" w:cstheme="majorHAnsi"/>
          <w:color w:val="000000" w:themeColor="text1"/>
          <w:sz w:val="24"/>
          <w:szCs w:val="24"/>
          <w:lang w:val="ro-RO"/>
        </w:rPr>
        <w:t>,</w:t>
      </w:r>
      <w:r w:rsidR="001A5AB7" w:rsidRPr="00BD050E">
        <w:rPr>
          <w:rFonts w:asciiTheme="majorHAnsi" w:hAnsiTheme="majorHAnsi" w:cstheme="majorHAnsi"/>
          <w:color w:val="000000" w:themeColor="text1"/>
          <w:sz w:val="24"/>
          <w:szCs w:val="24"/>
          <w:lang w:val="ro-RO"/>
        </w:rPr>
        <w:t xml:space="preserve"> conectate la un server PACS</w:t>
      </w:r>
      <w:r w:rsidR="00764667" w:rsidRPr="00BD050E">
        <w:rPr>
          <w:rFonts w:asciiTheme="majorHAnsi" w:hAnsiTheme="majorHAnsi" w:cstheme="majorHAnsi"/>
          <w:color w:val="000000" w:themeColor="text1"/>
          <w:sz w:val="24"/>
          <w:szCs w:val="24"/>
          <w:lang w:val="ro-RO"/>
        </w:rPr>
        <w:t>,</w:t>
      </w:r>
      <w:r w:rsidR="001A5AB7" w:rsidRPr="00BD050E">
        <w:rPr>
          <w:rFonts w:asciiTheme="majorHAnsi" w:hAnsiTheme="majorHAnsi" w:cstheme="majorHAnsi"/>
          <w:color w:val="000000" w:themeColor="text1"/>
          <w:sz w:val="24"/>
          <w:szCs w:val="24"/>
          <w:lang w:val="ro-RO"/>
        </w:rPr>
        <w:t xml:space="preserve"> </w:t>
      </w:r>
      <w:r w:rsidR="00290D70" w:rsidRPr="00BD050E">
        <w:rPr>
          <w:rFonts w:asciiTheme="majorHAnsi" w:hAnsiTheme="majorHAnsi" w:cstheme="majorHAnsi"/>
          <w:color w:val="000000" w:themeColor="text1"/>
          <w:sz w:val="24"/>
          <w:szCs w:val="24"/>
          <w:lang w:val="ro-RO"/>
        </w:rPr>
        <w:t xml:space="preserve"> pentru două spitale</w:t>
      </w:r>
      <w:r w:rsidR="00764667" w:rsidRPr="00BD050E">
        <w:rPr>
          <w:rFonts w:asciiTheme="majorHAnsi" w:hAnsiTheme="majorHAnsi" w:cstheme="majorHAnsi"/>
          <w:color w:val="000000" w:themeColor="text1"/>
          <w:sz w:val="24"/>
          <w:szCs w:val="24"/>
          <w:lang w:val="ro-RO"/>
        </w:rPr>
        <w:t xml:space="preserve"> -</w:t>
      </w:r>
      <w:r w:rsidR="00290D70" w:rsidRPr="00BD050E">
        <w:rPr>
          <w:rFonts w:asciiTheme="majorHAnsi" w:hAnsiTheme="majorHAnsi" w:cstheme="majorHAnsi"/>
          <w:color w:val="000000" w:themeColor="text1"/>
          <w:sz w:val="24"/>
          <w:szCs w:val="24"/>
          <w:lang w:val="ro-RO"/>
        </w:rPr>
        <w:t xml:space="preserve"> Institutul de Oncologie din Chișinău și Spitalul Clinic din Bălți.</w:t>
      </w:r>
    </w:p>
    <w:p w14:paraId="74A063AC" w14:textId="78228A5F" w:rsidR="004E63A0" w:rsidRPr="00BD050E" w:rsidRDefault="004E63A0" w:rsidP="0036424B">
      <w:pPr>
        <w:spacing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Cele relatate denotă că scopul inițial prevăzut de activitățile de asistență tehnică orientate </w:t>
      </w:r>
      <w:r w:rsidR="00764667" w:rsidRPr="00BD050E">
        <w:rPr>
          <w:rFonts w:asciiTheme="majorHAnsi" w:hAnsiTheme="majorHAnsi" w:cstheme="majorHAnsi"/>
          <w:color w:val="000000" w:themeColor="text1"/>
          <w:sz w:val="24"/>
          <w:szCs w:val="24"/>
          <w:lang w:val="ro-RO"/>
        </w:rPr>
        <w:t xml:space="preserve">spre </w:t>
      </w:r>
      <w:r w:rsidRPr="00BD050E">
        <w:rPr>
          <w:rFonts w:asciiTheme="majorHAnsi" w:hAnsiTheme="majorHAnsi" w:cstheme="majorHAnsi"/>
          <w:color w:val="000000" w:themeColor="text1"/>
          <w:sz w:val="24"/>
          <w:szCs w:val="24"/>
          <w:lang w:val="ro-RO"/>
        </w:rPr>
        <w:t xml:space="preserve"> dezvoltarea modulelor adiționale pentru Sistemul </w:t>
      </w:r>
      <w:r w:rsidR="0078350E" w:rsidRPr="00BD050E">
        <w:rPr>
          <w:rFonts w:asciiTheme="majorHAnsi" w:hAnsiTheme="majorHAnsi" w:cstheme="majorHAnsi"/>
          <w:color w:val="000000" w:themeColor="text1"/>
          <w:sz w:val="24"/>
          <w:szCs w:val="24"/>
          <w:lang w:val="ro-RO"/>
        </w:rPr>
        <w:t>I</w:t>
      </w:r>
      <w:r w:rsidRPr="00BD050E">
        <w:rPr>
          <w:rFonts w:asciiTheme="majorHAnsi" w:hAnsiTheme="majorHAnsi" w:cstheme="majorHAnsi"/>
          <w:color w:val="000000" w:themeColor="text1"/>
          <w:sz w:val="24"/>
          <w:szCs w:val="24"/>
          <w:lang w:val="ro-RO"/>
        </w:rPr>
        <w:t>nforma</w:t>
      </w:r>
      <w:r w:rsidR="0078350E" w:rsidRPr="00BD050E">
        <w:rPr>
          <w:rFonts w:asciiTheme="majorHAnsi" w:hAnsiTheme="majorHAnsi" w:cstheme="majorHAnsi"/>
          <w:color w:val="000000" w:themeColor="text1"/>
          <w:sz w:val="24"/>
          <w:szCs w:val="24"/>
          <w:lang w:val="ro-RO"/>
        </w:rPr>
        <w:t xml:space="preserve">țional </w:t>
      </w:r>
      <w:r w:rsidRPr="00BD050E">
        <w:rPr>
          <w:rFonts w:asciiTheme="majorHAnsi" w:hAnsiTheme="majorHAnsi" w:cstheme="majorHAnsi"/>
          <w:color w:val="000000" w:themeColor="text1"/>
          <w:sz w:val="24"/>
          <w:szCs w:val="24"/>
          <w:lang w:val="ro-RO"/>
        </w:rPr>
        <w:t xml:space="preserve"> </w:t>
      </w:r>
      <w:r w:rsidR="0078350E" w:rsidRPr="00BD050E">
        <w:rPr>
          <w:rFonts w:asciiTheme="majorHAnsi" w:hAnsiTheme="majorHAnsi" w:cstheme="majorHAnsi"/>
          <w:color w:val="000000" w:themeColor="text1"/>
          <w:sz w:val="24"/>
          <w:szCs w:val="24"/>
          <w:lang w:val="ro-RO"/>
        </w:rPr>
        <w:t>A</w:t>
      </w:r>
      <w:r w:rsidRPr="00BD050E">
        <w:rPr>
          <w:rFonts w:asciiTheme="majorHAnsi" w:hAnsiTheme="majorHAnsi" w:cstheme="majorHAnsi"/>
          <w:color w:val="000000" w:themeColor="text1"/>
          <w:sz w:val="24"/>
          <w:szCs w:val="24"/>
          <w:lang w:val="ro-RO"/>
        </w:rPr>
        <w:t>utomatizat „Asistenț</w:t>
      </w:r>
      <w:r w:rsidR="0078350E" w:rsidRPr="00BD050E">
        <w:rPr>
          <w:rFonts w:asciiTheme="majorHAnsi" w:hAnsiTheme="majorHAnsi" w:cstheme="majorHAnsi"/>
          <w:color w:val="000000" w:themeColor="text1"/>
          <w:sz w:val="24"/>
          <w:szCs w:val="24"/>
          <w:lang w:val="ro-RO"/>
        </w:rPr>
        <w:t>a</w:t>
      </w:r>
      <w:r w:rsidRPr="00BD050E">
        <w:rPr>
          <w:rFonts w:asciiTheme="majorHAnsi" w:hAnsiTheme="majorHAnsi" w:cstheme="majorHAnsi"/>
          <w:color w:val="000000" w:themeColor="text1"/>
          <w:sz w:val="24"/>
          <w:szCs w:val="24"/>
          <w:lang w:val="ro-RO"/>
        </w:rPr>
        <w:t xml:space="preserve"> </w:t>
      </w:r>
      <w:r w:rsidR="0078350E" w:rsidRPr="00BD050E">
        <w:rPr>
          <w:rFonts w:asciiTheme="majorHAnsi" w:hAnsiTheme="majorHAnsi" w:cstheme="majorHAnsi"/>
          <w:color w:val="000000" w:themeColor="text1"/>
          <w:sz w:val="24"/>
          <w:szCs w:val="24"/>
          <w:lang w:val="ro-RO"/>
        </w:rPr>
        <w:t>M</w:t>
      </w:r>
      <w:r w:rsidRPr="00BD050E">
        <w:rPr>
          <w:rFonts w:asciiTheme="majorHAnsi" w:hAnsiTheme="majorHAnsi" w:cstheme="majorHAnsi"/>
          <w:color w:val="000000" w:themeColor="text1"/>
          <w:sz w:val="24"/>
          <w:szCs w:val="24"/>
          <w:lang w:val="ro-RO"/>
        </w:rPr>
        <w:t xml:space="preserve">edicală </w:t>
      </w:r>
      <w:r w:rsidR="0078350E" w:rsidRPr="00BD050E">
        <w:rPr>
          <w:rFonts w:asciiTheme="majorHAnsi" w:hAnsiTheme="majorHAnsi" w:cstheme="majorHAnsi"/>
          <w:color w:val="000000" w:themeColor="text1"/>
          <w:sz w:val="24"/>
          <w:szCs w:val="24"/>
          <w:lang w:val="ro-RO"/>
        </w:rPr>
        <w:t>P</w:t>
      </w:r>
      <w:r w:rsidRPr="00BD050E">
        <w:rPr>
          <w:rFonts w:asciiTheme="majorHAnsi" w:hAnsiTheme="majorHAnsi" w:cstheme="majorHAnsi"/>
          <w:color w:val="000000" w:themeColor="text1"/>
          <w:sz w:val="24"/>
          <w:szCs w:val="24"/>
          <w:lang w:val="ro-RO"/>
        </w:rPr>
        <w:t>rimară” nu a fost atins.</w:t>
      </w:r>
    </w:p>
    <w:p w14:paraId="09D92F79" w14:textId="6023513A" w:rsidR="00076B79" w:rsidRPr="00BD050E" w:rsidRDefault="003F47E5" w:rsidP="00076B79">
      <w:pPr>
        <w:pStyle w:val="ListParagraph"/>
        <w:numPr>
          <w:ilvl w:val="0"/>
          <w:numId w:val="12"/>
        </w:numPr>
        <w:spacing w:line="276" w:lineRule="auto"/>
        <w:ind w:left="0" w:firstLine="567"/>
        <w:jc w:val="both"/>
        <w:rPr>
          <w:rFonts w:asciiTheme="majorHAnsi" w:hAnsiTheme="majorHAnsi" w:cstheme="majorHAnsi"/>
          <w:color w:val="000000" w:themeColor="text1"/>
          <w:sz w:val="24"/>
          <w:szCs w:val="24"/>
          <w:lang w:val="ro-RO"/>
        </w:rPr>
      </w:pPr>
      <w:r w:rsidRPr="00BD050E">
        <w:rPr>
          <w:rFonts w:asciiTheme="majorHAnsi" w:hAnsiTheme="majorHAnsi" w:cstheme="majorHAnsi"/>
          <w:b/>
          <w:color w:val="000000" w:themeColor="text1"/>
          <w:sz w:val="24"/>
          <w:szCs w:val="24"/>
          <w:lang w:val="ro-RO"/>
        </w:rPr>
        <w:t>În scopul validării integrale a indicatorilor, s</w:t>
      </w:r>
      <w:r w:rsidR="00076B79" w:rsidRPr="00BD050E">
        <w:rPr>
          <w:rFonts w:asciiTheme="majorHAnsi" w:hAnsiTheme="majorHAnsi" w:cstheme="majorHAnsi"/>
          <w:b/>
          <w:color w:val="000000" w:themeColor="text1"/>
          <w:sz w:val="24"/>
          <w:szCs w:val="24"/>
          <w:lang w:val="ro-RO"/>
        </w:rPr>
        <w:t>tudiul STEPS privind prevalența factorilor de risc pentru bolile netransmisibile a continuat și în anul 2021</w:t>
      </w:r>
    </w:p>
    <w:p w14:paraId="62ACE3B2" w14:textId="10F11E28" w:rsidR="0046493C" w:rsidRPr="00BD050E" w:rsidRDefault="00076B79" w:rsidP="0046493C">
      <w:pPr>
        <w:spacing w:after="0" w:line="276" w:lineRule="auto"/>
        <w:jc w:val="both"/>
        <w:rPr>
          <w:rFonts w:asciiTheme="majorHAnsi" w:eastAsia="Calibri" w:hAnsiTheme="majorHAnsi" w:cstheme="majorHAnsi"/>
          <w:bCs/>
          <w:color w:val="000000" w:themeColor="text1"/>
          <w:sz w:val="24"/>
          <w:szCs w:val="24"/>
          <w:lang w:val="ro-RO"/>
        </w:rPr>
      </w:pPr>
      <w:r w:rsidRPr="00BD050E">
        <w:rPr>
          <w:rFonts w:asciiTheme="majorHAnsi" w:hAnsiTheme="majorHAnsi" w:cstheme="majorHAnsi"/>
          <w:color w:val="000000" w:themeColor="text1"/>
          <w:sz w:val="24"/>
          <w:szCs w:val="24"/>
          <w:lang w:val="ro-RO"/>
        </w:rPr>
        <w:t>Organizaţia Mondială a Sănătăţii urma să repete</w:t>
      </w:r>
      <w:r w:rsidR="00F62533"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în perioada anilor 2019-2020</w:t>
      </w:r>
      <w:r w:rsidR="00F62533"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studiul STEPS </w:t>
      </w:r>
      <w:r w:rsidRPr="00BD050E">
        <w:rPr>
          <w:rFonts w:asciiTheme="majorHAnsi" w:eastAsia="SimSun" w:hAnsiTheme="majorHAnsi" w:cstheme="majorHAnsi"/>
          <w:color w:val="000000" w:themeColor="text1"/>
          <w:sz w:val="24"/>
          <w:szCs w:val="24"/>
          <w:lang w:val="ro-RO" w:eastAsia="zh-CN"/>
        </w:rPr>
        <w:t xml:space="preserve">privind prevalența factorilor de risc pentru bolile netransmisibile </w:t>
      </w:r>
      <w:r w:rsidRPr="00BD050E">
        <w:rPr>
          <w:rFonts w:asciiTheme="majorHAnsi" w:hAnsiTheme="majorHAnsi" w:cstheme="majorHAnsi"/>
          <w:color w:val="000000" w:themeColor="text1"/>
          <w:sz w:val="24"/>
          <w:szCs w:val="24"/>
          <w:lang w:val="ro-RO"/>
        </w:rPr>
        <w:t xml:space="preserve">pentru ILD 1 şi </w:t>
      </w:r>
      <w:r w:rsidR="00F62533" w:rsidRPr="00BD050E">
        <w:rPr>
          <w:rFonts w:asciiTheme="majorHAnsi" w:hAnsiTheme="majorHAnsi" w:cstheme="majorHAnsi"/>
          <w:color w:val="000000" w:themeColor="text1"/>
          <w:sz w:val="24"/>
          <w:szCs w:val="24"/>
          <w:lang w:val="ro-RO"/>
        </w:rPr>
        <w:t xml:space="preserve">ILD </w:t>
      </w:r>
      <w:r w:rsidRPr="00BD050E">
        <w:rPr>
          <w:rFonts w:asciiTheme="majorHAnsi" w:hAnsiTheme="majorHAnsi" w:cstheme="majorHAnsi"/>
          <w:color w:val="000000" w:themeColor="text1"/>
          <w:sz w:val="24"/>
          <w:szCs w:val="24"/>
          <w:lang w:val="ro-RO"/>
        </w:rPr>
        <w:t>2</w:t>
      </w:r>
      <w:r w:rsidRPr="00BD050E">
        <w:rPr>
          <w:rFonts w:asciiTheme="majorHAnsi" w:hAnsiTheme="majorHAnsi" w:cstheme="majorHAnsi"/>
          <w:i/>
          <w:color w:val="000000" w:themeColor="text1"/>
          <w:sz w:val="24"/>
          <w:szCs w:val="24"/>
          <w:lang w:val="ro-RO"/>
        </w:rPr>
        <w:t>,</w:t>
      </w:r>
      <w:r w:rsidRPr="00BD050E">
        <w:rPr>
          <w:rFonts w:asciiTheme="majorHAnsi" w:hAnsiTheme="majorHAnsi" w:cstheme="majorHAnsi"/>
          <w:b/>
          <w:i/>
          <w:color w:val="000000" w:themeColor="text1"/>
          <w:sz w:val="24"/>
          <w:szCs w:val="24"/>
          <w:lang w:val="ro-RO"/>
        </w:rPr>
        <w:t xml:space="preserve"> </w:t>
      </w:r>
      <w:r w:rsidRPr="00BD050E">
        <w:rPr>
          <w:rFonts w:asciiTheme="majorHAnsi" w:eastAsia="SimSun" w:hAnsiTheme="majorHAnsi" w:cstheme="majorHAnsi"/>
          <w:color w:val="000000" w:themeColor="text1"/>
          <w:sz w:val="24"/>
          <w:szCs w:val="24"/>
          <w:lang w:val="ro-RO" w:eastAsia="zh-CN"/>
        </w:rPr>
        <w:t>care a fost efectuat prima dată în</w:t>
      </w:r>
      <w:r w:rsidRPr="00BD050E">
        <w:rPr>
          <w:rFonts w:asciiTheme="majorHAnsi" w:hAnsiTheme="majorHAnsi" w:cstheme="majorHAnsi"/>
          <w:color w:val="000000" w:themeColor="text1"/>
          <w:sz w:val="24"/>
          <w:szCs w:val="24"/>
          <w:lang w:val="ro-RO"/>
        </w:rPr>
        <w:t xml:space="preserve"> </w:t>
      </w:r>
      <w:r w:rsidR="00F62533" w:rsidRPr="00BD050E">
        <w:rPr>
          <w:rFonts w:asciiTheme="majorHAnsi" w:hAnsiTheme="majorHAnsi" w:cstheme="majorHAnsi"/>
          <w:color w:val="000000" w:themeColor="text1"/>
          <w:sz w:val="24"/>
          <w:szCs w:val="24"/>
          <w:lang w:val="ro-RO"/>
        </w:rPr>
        <w:t xml:space="preserve">anul </w:t>
      </w:r>
      <w:r w:rsidRPr="00BD050E">
        <w:rPr>
          <w:rFonts w:asciiTheme="majorHAnsi" w:hAnsiTheme="majorHAnsi" w:cstheme="majorHAnsi"/>
          <w:color w:val="000000" w:themeColor="text1"/>
          <w:sz w:val="24"/>
          <w:szCs w:val="24"/>
          <w:lang w:val="ro-RO"/>
        </w:rPr>
        <w:t xml:space="preserve">2013. Astfel, în </w:t>
      </w:r>
      <w:r w:rsidR="00F62533" w:rsidRPr="00BD050E">
        <w:rPr>
          <w:rFonts w:asciiTheme="majorHAnsi" w:hAnsiTheme="majorHAnsi" w:cstheme="majorHAnsi"/>
          <w:color w:val="000000" w:themeColor="text1"/>
          <w:sz w:val="24"/>
          <w:szCs w:val="24"/>
          <w:lang w:val="ro-RO"/>
        </w:rPr>
        <w:t xml:space="preserve">anul </w:t>
      </w:r>
      <w:r w:rsidRPr="00BD050E">
        <w:rPr>
          <w:rFonts w:asciiTheme="majorHAnsi" w:hAnsiTheme="majorHAnsi" w:cstheme="majorHAnsi"/>
          <w:color w:val="000000" w:themeColor="text1"/>
          <w:sz w:val="24"/>
          <w:szCs w:val="24"/>
          <w:lang w:val="ro-RO"/>
        </w:rPr>
        <w:t>2019 au demarat activităţile implementate de Organizația Mondială a Sănătății, în calitate de agenţie independentă de verificare (AIV)</w:t>
      </w:r>
      <w:r w:rsidR="009B4D47"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w:t>
      </w:r>
      <w:r w:rsidR="009B4D47"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comun cu Direcţia politici în sănătate şi Agenţia Naţională de Sănătate Publică. S</w:t>
      </w:r>
      <w:r w:rsidRPr="00BD050E">
        <w:rPr>
          <w:rFonts w:asciiTheme="majorHAnsi" w:eastAsia="Calibri" w:hAnsiTheme="majorHAnsi" w:cstheme="majorHAnsi"/>
          <w:bCs/>
          <w:color w:val="000000" w:themeColor="text1"/>
          <w:sz w:val="24"/>
          <w:szCs w:val="24"/>
          <w:lang w:val="ro-RO"/>
        </w:rPr>
        <w:t>tudiul STEPS urma a fi finalizat de către OMS în septembrie 2020</w:t>
      </w:r>
      <w:r w:rsidR="009B4D47" w:rsidRPr="00BD050E">
        <w:rPr>
          <w:rFonts w:asciiTheme="majorHAnsi" w:eastAsia="Calibri" w:hAnsiTheme="majorHAnsi" w:cstheme="majorHAnsi"/>
          <w:bCs/>
          <w:color w:val="000000" w:themeColor="text1"/>
          <w:sz w:val="24"/>
          <w:szCs w:val="24"/>
          <w:lang w:val="ro-RO"/>
        </w:rPr>
        <w:t>. R</w:t>
      </w:r>
      <w:r w:rsidRPr="00BD050E">
        <w:rPr>
          <w:rFonts w:asciiTheme="majorHAnsi" w:eastAsia="Calibri" w:hAnsiTheme="majorHAnsi" w:cstheme="majorHAnsi"/>
          <w:bCs/>
          <w:color w:val="000000" w:themeColor="text1"/>
          <w:sz w:val="24"/>
          <w:szCs w:val="24"/>
          <w:lang w:val="ro-RO"/>
        </w:rPr>
        <w:t xml:space="preserve">ezultatele acestuia servesc ca temei pentru Banca Mondială  </w:t>
      </w:r>
      <w:r w:rsidR="009B4D47" w:rsidRPr="00BD050E">
        <w:rPr>
          <w:rFonts w:asciiTheme="majorHAnsi" w:eastAsia="Calibri" w:hAnsiTheme="majorHAnsi" w:cstheme="majorHAnsi"/>
          <w:bCs/>
          <w:color w:val="000000" w:themeColor="text1"/>
          <w:sz w:val="24"/>
          <w:szCs w:val="24"/>
          <w:lang w:val="ro-RO"/>
        </w:rPr>
        <w:t>l</w:t>
      </w:r>
      <w:r w:rsidRPr="00BD050E">
        <w:rPr>
          <w:rFonts w:asciiTheme="majorHAnsi" w:eastAsia="Calibri" w:hAnsiTheme="majorHAnsi" w:cstheme="majorHAnsi"/>
          <w:bCs/>
          <w:color w:val="000000" w:themeColor="text1"/>
          <w:sz w:val="24"/>
          <w:szCs w:val="24"/>
          <w:lang w:val="ro-RO"/>
        </w:rPr>
        <w:t>a debursa</w:t>
      </w:r>
      <w:r w:rsidR="009B4D47" w:rsidRPr="00BD050E">
        <w:rPr>
          <w:rFonts w:asciiTheme="majorHAnsi" w:eastAsia="Calibri" w:hAnsiTheme="majorHAnsi" w:cstheme="majorHAnsi"/>
          <w:bCs/>
          <w:color w:val="000000" w:themeColor="text1"/>
          <w:sz w:val="24"/>
          <w:szCs w:val="24"/>
          <w:lang w:val="ro-RO"/>
        </w:rPr>
        <w:t>rea</w:t>
      </w:r>
      <w:r w:rsidRPr="00BD050E">
        <w:rPr>
          <w:rFonts w:asciiTheme="majorHAnsi" w:eastAsia="Calibri" w:hAnsiTheme="majorHAnsi" w:cstheme="majorHAnsi"/>
          <w:bCs/>
          <w:color w:val="000000" w:themeColor="text1"/>
          <w:sz w:val="24"/>
          <w:szCs w:val="24"/>
          <w:lang w:val="ro-RO"/>
        </w:rPr>
        <w:t xml:space="preserve"> sumel</w:t>
      </w:r>
      <w:r w:rsidR="009B4D47" w:rsidRPr="00BD050E">
        <w:rPr>
          <w:rFonts w:asciiTheme="majorHAnsi" w:eastAsia="Calibri" w:hAnsiTheme="majorHAnsi" w:cstheme="majorHAnsi"/>
          <w:bCs/>
          <w:color w:val="000000" w:themeColor="text1"/>
          <w:sz w:val="24"/>
          <w:szCs w:val="24"/>
          <w:lang w:val="ro-RO"/>
        </w:rPr>
        <w:t>or</w:t>
      </w:r>
      <w:r w:rsidRPr="00BD050E">
        <w:rPr>
          <w:rFonts w:asciiTheme="majorHAnsi" w:eastAsia="Calibri" w:hAnsiTheme="majorHAnsi" w:cstheme="majorHAnsi"/>
          <w:bCs/>
          <w:color w:val="000000" w:themeColor="text1"/>
          <w:sz w:val="24"/>
          <w:szCs w:val="24"/>
          <w:lang w:val="ro-RO"/>
        </w:rPr>
        <w:t xml:space="preserve"> prevăzute </w:t>
      </w:r>
      <w:r w:rsidR="009B4D47" w:rsidRPr="00BD050E">
        <w:rPr>
          <w:rFonts w:asciiTheme="majorHAnsi" w:eastAsia="Calibri" w:hAnsiTheme="majorHAnsi" w:cstheme="majorHAnsi"/>
          <w:bCs/>
          <w:color w:val="000000" w:themeColor="text1"/>
          <w:sz w:val="24"/>
          <w:szCs w:val="24"/>
          <w:lang w:val="ro-RO"/>
        </w:rPr>
        <w:t>în</w:t>
      </w:r>
      <w:r w:rsidRPr="00BD050E">
        <w:rPr>
          <w:rFonts w:asciiTheme="majorHAnsi" w:eastAsia="Calibri" w:hAnsiTheme="majorHAnsi" w:cstheme="majorHAnsi"/>
          <w:bCs/>
          <w:color w:val="000000" w:themeColor="text1"/>
          <w:sz w:val="24"/>
          <w:szCs w:val="24"/>
          <w:lang w:val="ro-RO"/>
        </w:rPr>
        <w:t xml:space="preserve"> bugetul de stat pentru </w:t>
      </w:r>
      <w:r w:rsidR="009B4D47" w:rsidRPr="00BD050E">
        <w:rPr>
          <w:rFonts w:asciiTheme="majorHAnsi" w:eastAsia="Calibri" w:hAnsiTheme="majorHAnsi" w:cstheme="majorHAnsi"/>
          <w:bCs/>
          <w:color w:val="000000" w:themeColor="text1"/>
          <w:sz w:val="24"/>
          <w:szCs w:val="24"/>
          <w:lang w:val="ro-RO"/>
        </w:rPr>
        <w:t>ILD</w:t>
      </w:r>
      <w:r w:rsidR="007B65EF" w:rsidRPr="00BD050E">
        <w:rPr>
          <w:rFonts w:asciiTheme="majorHAnsi" w:eastAsia="Calibri" w:hAnsiTheme="majorHAnsi" w:cstheme="majorHAnsi"/>
          <w:bCs/>
          <w:color w:val="000000" w:themeColor="text1"/>
          <w:sz w:val="24"/>
          <w:szCs w:val="24"/>
          <w:lang w:val="ro-RO"/>
        </w:rPr>
        <w:t xml:space="preserve"> </w:t>
      </w:r>
      <w:r w:rsidRPr="00BD050E">
        <w:rPr>
          <w:rFonts w:asciiTheme="majorHAnsi" w:eastAsia="Calibri" w:hAnsiTheme="majorHAnsi" w:cstheme="majorHAnsi"/>
          <w:bCs/>
          <w:color w:val="000000" w:themeColor="text1"/>
          <w:sz w:val="24"/>
          <w:szCs w:val="24"/>
          <w:lang w:val="ro-RO"/>
        </w:rPr>
        <w:t xml:space="preserve">1.2. </w:t>
      </w:r>
      <w:r w:rsidR="007B65EF" w:rsidRPr="00BD050E">
        <w:rPr>
          <w:rFonts w:asciiTheme="majorHAnsi" w:eastAsia="Calibri" w:hAnsiTheme="majorHAnsi" w:cstheme="majorHAnsi"/>
          <w:bCs/>
          <w:color w:val="000000" w:themeColor="text1"/>
          <w:sz w:val="24"/>
          <w:szCs w:val="24"/>
          <w:lang w:val="ro-RO"/>
        </w:rPr>
        <w:t>C</w:t>
      </w:r>
      <w:r w:rsidRPr="00BD050E">
        <w:rPr>
          <w:rFonts w:asciiTheme="majorHAnsi" w:eastAsia="Calibri" w:hAnsiTheme="majorHAnsi" w:cstheme="majorHAnsi"/>
          <w:bCs/>
          <w:color w:val="000000" w:themeColor="text1"/>
          <w:sz w:val="24"/>
          <w:szCs w:val="24"/>
          <w:lang w:val="ro-RO"/>
        </w:rPr>
        <w:t xml:space="preserve">el mai mare obstacol </w:t>
      </w:r>
      <w:r w:rsidR="009B4D47" w:rsidRPr="00BD050E">
        <w:rPr>
          <w:rFonts w:asciiTheme="majorHAnsi" w:eastAsia="Calibri" w:hAnsiTheme="majorHAnsi" w:cstheme="majorHAnsi"/>
          <w:bCs/>
          <w:color w:val="000000" w:themeColor="text1"/>
          <w:sz w:val="24"/>
          <w:szCs w:val="24"/>
          <w:lang w:val="ro-RO"/>
        </w:rPr>
        <w:t>în</w:t>
      </w:r>
      <w:r w:rsidRPr="00BD050E">
        <w:rPr>
          <w:rFonts w:asciiTheme="majorHAnsi" w:eastAsia="Calibri" w:hAnsiTheme="majorHAnsi" w:cstheme="majorHAnsi"/>
          <w:bCs/>
          <w:color w:val="000000" w:themeColor="text1"/>
          <w:sz w:val="24"/>
          <w:szCs w:val="24"/>
          <w:lang w:val="ro-RO"/>
        </w:rPr>
        <w:t xml:space="preserve"> continuarea studiului a fost situația epidemiologică privind </w:t>
      </w:r>
      <w:r w:rsidR="007B65EF" w:rsidRPr="00BD050E">
        <w:rPr>
          <w:rFonts w:asciiTheme="majorHAnsi" w:eastAsia="Calibri" w:hAnsiTheme="majorHAnsi" w:cstheme="majorHAnsi"/>
          <w:bCs/>
          <w:color w:val="000000" w:themeColor="text1"/>
          <w:sz w:val="24"/>
          <w:szCs w:val="24"/>
          <w:lang w:val="ro-RO"/>
        </w:rPr>
        <w:t>infecția</w:t>
      </w:r>
      <w:r w:rsidRPr="00BD050E">
        <w:rPr>
          <w:rFonts w:asciiTheme="majorHAnsi" w:eastAsia="Calibri" w:hAnsiTheme="majorHAnsi" w:cstheme="majorHAnsi"/>
          <w:bCs/>
          <w:color w:val="000000" w:themeColor="text1"/>
          <w:sz w:val="24"/>
          <w:szCs w:val="24"/>
          <w:lang w:val="ro-RO"/>
        </w:rPr>
        <w:t xml:space="preserve"> cu COVID-19. </w:t>
      </w:r>
      <w:r w:rsidR="0046493C" w:rsidRPr="00BD050E">
        <w:rPr>
          <w:rFonts w:asciiTheme="majorHAnsi" w:eastAsia="Calibri" w:hAnsiTheme="majorHAnsi" w:cstheme="majorHAnsi"/>
          <w:bCs/>
          <w:color w:val="000000" w:themeColor="text1"/>
          <w:sz w:val="24"/>
          <w:szCs w:val="24"/>
          <w:lang w:val="ro-RO"/>
        </w:rPr>
        <w:t xml:space="preserve">Solicitarea argumentată </w:t>
      </w:r>
      <w:r w:rsidR="007B65EF" w:rsidRPr="00BD050E">
        <w:rPr>
          <w:rFonts w:asciiTheme="majorHAnsi" w:eastAsia="Calibri" w:hAnsiTheme="majorHAnsi" w:cstheme="majorHAnsi"/>
          <w:bCs/>
          <w:color w:val="000000" w:themeColor="text1"/>
          <w:sz w:val="24"/>
          <w:szCs w:val="24"/>
          <w:lang w:val="ro-RO"/>
        </w:rPr>
        <w:t>de către</w:t>
      </w:r>
      <w:r w:rsidR="0046493C" w:rsidRPr="00BD050E">
        <w:rPr>
          <w:rFonts w:asciiTheme="majorHAnsi" w:eastAsia="Calibri" w:hAnsiTheme="majorHAnsi" w:cstheme="majorHAnsi"/>
          <w:bCs/>
          <w:color w:val="000000" w:themeColor="text1"/>
          <w:sz w:val="24"/>
          <w:szCs w:val="24"/>
          <w:lang w:val="ro-RO"/>
        </w:rPr>
        <w:t xml:space="preserve"> OMS</w:t>
      </w:r>
      <w:r w:rsidR="007B65EF" w:rsidRPr="00BD050E">
        <w:rPr>
          <w:rFonts w:asciiTheme="majorHAnsi" w:eastAsia="Calibri" w:hAnsiTheme="majorHAnsi" w:cstheme="majorHAnsi"/>
          <w:bCs/>
          <w:color w:val="000000" w:themeColor="text1"/>
          <w:sz w:val="24"/>
          <w:szCs w:val="24"/>
          <w:lang w:val="ro-RO"/>
        </w:rPr>
        <w:t>,</w:t>
      </w:r>
      <w:r w:rsidR="0046493C" w:rsidRPr="00BD050E">
        <w:rPr>
          <w:rFonts w:asciiTheme="majorHAnsi" w:eastAsia="Calibri" w:hAnsiTheme="majorHAnsi" w:cstheme="majorHAnsi"/>
          <w:bCs/>
          <w:color w:val="000000" w:themeColor="text1"/>
          <w:sz w:val="24"/>
          <w:szCs w:val="24"/>
          <w:lang w:val="ro-RO"/>
        </w:rPr>
        <w:t xml:space="preserve"> din luna iunie</w:t>
      </w:r>
      <w:r w:rsidR="007B65EF" w:rsidRPr="00BD050E">
        <w:rPr>
          <w:rFonts w:asciiTheme="majorHAnsi" w:eastAsia="Calibri" w:hAnsiTheme="majorHAnsi" w:cstheme="majorHAnsi"/>
          <w:bCs/>
          <w:color w:val="000000" w:themeColor="text1"/>
          <w:sz w:val="24"/>
          <w:szCs w:val="24"/>
          <w:lang w:val="ro-RO"/>
        </w:rPr>
        <w:t>,</w:t>
      </w:r>
      <w:r w:rsidR="0046493C" w:rsidRPr="00BD050E">
        <w:rPr>
          <w:rFonts w:asciiTheme="majorHAnsi" w:eastAsia="Calibri" w:hAnsiTheme="majorHAnsi" w:cstheme="majorHAnsi"/>
          <w:bCs/>
          <w:color w:val="000000" w:themeColor="text1"/>
          <w:sz w:val="24"/>
          <w:szCs w:val="24"/>
          <w:lang w:val="ro-RO"/>
        </w:rPr>
        <w:t xml:space="preserve"> </w:t>
      </w:r>
      <w:r w:rsidR="007B65EF" w:rsidRPr="00BD050E">
        <w:rPr>
          <w:rFonts w:asciiTheme="majorHAnsi" w:eastAsia="Calibri" w:hAnsiTheme="majorHAnsi" w:cstheme="majorHAnsi"/>
          <w:bCs/>
          <w:color w:val="000000" w:themeColor="text1"/>
          <w:sz w:val="24"/>
          <w:szCs w:val="24"/>
          <w:lang w:val="ro-RO"/>
        </w:rPr>
        <w:t>a</w:t>
      </w:r>
      <w:r w:rsidR="0046493C" w:rsidRPr="00BD050E">
        <w:rPr>
          <w:rFonts w:asciiTheme="majorHAnsi" w:eastAsia="Calibri" w:hAnsiTheme="majorHAnsi" w:cstheme="majorHAnsi"/>
          <w:bCs/>
          <w:color w:val="000000" w:themeColor="text1"/>
          <w:sz w:val="24"/>
          <w:szCs w:val="24"/>
          <w:lang w:val="ro-RO"/>
        </w:rPr>
        <w:t xml:space="preserve"> extinder</w:t>
      </w:r>
      <w:r w:rsidR="007B65EF" w:rsidRPr="00BD050E">
        <w:rPr>
          <w:rFonts w:asciiTheme="majorHAnsi" w:eastAsia="Calibri" w:hAnsiTheme="majorHAnsi" w:cstheme="majorHAnsi"/>
          <w:bCs/>
          <w:color w:val="000000" w:themeColor="text1"/>
          <w:sz w:val="24"/>
          <w:szCs w:val="24"/>
          <w:lang w:val="ro-RO"/>
        </w:rPr>
        <w:t>ii</w:t>
      </w:r>
      <w:r w:rsidR="0046493C" w:rsidRPr="00BD050E">
        <w:rPr>
          <w:rFonts w:asciiTheme="majorHAnsi" w:eastAsia="Calibri" w:hAnsiTheme="majorHAnsi" w:cstheme="majorHAnsi"/>
          <w:bCs/>
          <w:color w:val="000000" w:themeColor="text1"/>
          <w:sz w:val="24"/>
          <w:szCs w:val="24"/>
          <w:lang w:val="ro-RO"/>
        </w:rPr>
        <w:t xml:space="preserve"> fără costuri adiționale a termenului contractului a fost acceptată de Comitetul de implementare a studiului STEPS la </w:t>
      </w:r>
      <w:r w:rsidR="0046493C" w:rsidRPr="00BD050E">
        <w:rPr>
          <w:rFonts w:asciiTheme="majorHAnsi" w:eastAsia="Calibri" w:hAnsiTheme="majorHAnsi" w:cstheme="majorHAnsi"/>
          <w:bCs/>
          <w:color w:val="000000" w:themeColor="text1"/>
          <w:sz w:val="24"/>
          <w:szCs w:val="24"/>
          <w:lang w:val="ro-RO"/>
        </w:rPr>
        <w:lastRenderedPageBreak/>
        <w:t>mijlocul lunii iunie, după ce s-a agreat cu Banca Mondială extinderea cu 12 luni a termenului de realizare a Operațiunii. În acest context, a</w:t>
      </w:r>
      <w:r w:rsidR="0046493C" w:rsidRPr="00BD050E">
        <w:rPr>
          <w:rFonts w:asciiTheme="majorHAnsi" w:hAnsiTheme="majorHAnsi" w:cstheme="majorHAnsi"/>
          <w:color w:val="000000" w:themeColor="text1"/>
          <w:sz w:val="24"/>
          <w:szCs w:val="24"/>
          <w:lang w:val="ro-RO"/>
        </w:rPr>
        <w:t xml:space="preserve">cordul cu OMS </w:t>
      </w:r>
      <w:r w:rsidR="00C57989" w:rsidRPr="00BD050E">
        <w:rPr>
          <w:rFonts w:asciiTheme="majorHAnsi" w:hAnsiTheme="majorHAnsi" w:cstheme="majorHAnsi"/>
          <w:color w:val="000000" w:themeColor="text1"/>
          <w:sz w:val="24"/>
          <w:szCs w:val="24"/>
          <w:lang w:val="ro-RO"/>
        </w:rPr>
        <w:t>a fost</w:t>
      </w:r>
      <w:r w:rsidR="007B65EF" w:rsidRPr="00BD050E">
        <w:rPr>
          <w:rFonts w:asciiTheme="majorHAnsi" w:hAnsiTheme="majorHAnsi" w:cstheme="majorHAnsi"/>
          <w:color w:val="000000" w:themeColor="text1"/>
          <w:sz w:val="24"/>
          <w:szCs w:val="24"/>
          <w:lang w:val="ro-RO"/>
        </w:rPr>
        <w:t xml:space="preserve"> prelungit</w:t>
      </w:r>
      <w:r w:rsidR="0046493C" w:rsidRPr="00BD050E">
        <w:rPr>
          <w:rFonts w:asciiTheme="majorHAnsi" w:hAnsiTheme="majorHAnsi" w:cstheme="majorHAnsi"/>
          <w:color w:val="000000" w:themeColor="text1"/>
          <w:sz w:val="24"/>
          <w:szCs w:val="24"/>
          <w:lang w:val="ro-RO"/>
        </w:rPr>
        <w:t xml:space="preserve"> până la finele </w:t>
      </w:r>
      <w:r w:rsidR="007B65EF" w:rsidRPr="00BD050E">
        <w:rPr>
          <w:rFonts w:asciiTheme="majorHAnsi" w:hAnsiTheme="majorHAnsi" w:cstheme="majorHAnsi"/>
          <w:color w:val="000000" w:themeColor="text1"/>
          <w:sz w:val="24"/>
          <w:szCs w:val="24"/>
          <w:lang w:val="ro-RO"/>
        </w:rPr>
        <w:t>anu</w:t>
      </w:r>
      <w:r w:rsidR="0046493C" w:rsidRPr="00BD050E">
        <w:rPr>
          <w:rFonts w:asciiTheme="majorHAnsi" w:hAnsiTheme="majorHAnsi" w:cstheme="majorHAnsi"/>
          <w:color w:val="000000" w:themeColor="text1"/>
          <w:sz w:val="24"/>
          <w:szCs w:val="24"/>
          <w:lang w:val="ro-RO"/>
        </w:rPr>
        <w:t>lui 2021.</w:t>
      </w:r>
    </w:p>
    <w:p w14:paraId="1DA7FC62" w14:textId="0D1EB023" w:rsidR="0046493C" w:rsidRPr="00BD050E" w:rsidRDefault="0046493C" w:rsidP="0046493C">
      <w:pPr>
        <w:spacing w:after="0" w:line="276" w:lineRule="auto"/>
        <w:jc w:val="both"/>
        <w:rPr>
          <w:rFonts w:asciiTheme="majorHAnsi" w:eastAsia="Calibri" w:hAnsiTheme="majorHAnsi" w:cstheme="majorHAnsi"/>
          <w:bCs/>
          <w:color w:val="000000" w:themeColor="text1"/>
          <w:sz w:val="24"/>
          <w:szCs w:val="24"/>
          <w:lang w:val="ro-RO"/>
        </w:rPr>
      </w:pPr>
      <w:r w:rsidRPr="00BD050E">
        <w:rPr>
          <w:rFonts w:asciiTheme="majorHAnsi" w:eastAsia="Calibri" w:hAnsiTheme="majorHAnsi" w:cstheme="majorHAnsi"/>
          <w:bCs/>
          <w:color w:val="000000" w:themeColor="text1"/>
          <w:sz w:val="24"/>
          <w:szCs w:val="24"/>
          <w:lang w:val="ro-RO"/>
        </w:rPr>
        <w:t>Echipa OMS a prezentat cel de-al doilea raport de progres în luna aprilie, iar în perioada raportată s-au pregătit toate documentele și materialele necesare pentru studiu, inclusiv fiind contractată Asociația Epidemiologilor din R</w:t>
      </w:r>
      <w:r w:rsidR="003E0613" w:rsidRPr="00BD050E">
        <w:rPr>
          <w:rFonts w:asciiTheme="majorHAnsi" w:eastAsia="Calibri" w:hAnsiTheme="majorHAnsi" w:cstheme="majorHAnsi"/>
          <w:bCs/>
          <w:color w:val="000000" w:themeColor="text1"/>
          <w:sz w:val="24"/>
          <w:szCs w:val="24"/>
          <w:lang w:val="ro-RO"/>
        </w:rPr>
        <w:t xml:space="preserve">epublica </w:t>
      </w:r>
      <w:r w:rsidRPr="00BD050E">
        <w:rPr>
          <w:rFonts w:asciiTheme="majorHAnsi" w:eastAsia="Calibri" w:hAnsiTheme="majorHAnsi" w:cstheme="majorHAnsi"/>
          <w:bCs/>
          <w:color w:val="000000" w:themeColor="text1"/>
          <w:sz w:val="24"/>
          <w:szCs w:val="24"/>
          <w:lang w:val="ro-RO"/>
        </w:rPr>
        <w:t>M</w:t>
      </w:r>
      <w:r w:rsidR="003E0613" w:rsidRPr="00BD050E">
        <w:rPr>
          <w:rFonts w:asciiTheme="majorHAnsi" w:eastAsia="Calibri" w:hAnsiTheme="majorHAnsi" w:cstheme="majorHAnsi"/>
          <w:bCs/>
          <w:color w:val="000000" w:themeColor="text1"/>
          <w:sz w:val="24"/>
          <w:szCs w:val="24"/>
          <w:lang w:val="ro-RO"/>
        </w:rPr>
        <w:t>oldova,</w:t>
      </w:r>
      <w:r w:rsidRPr="00BD050E">
        <w:rPr>
          <w:rFonts w:asciiTheme="majorHAnsi" w:eastAsia="Calibri" w:hAnsiTheme="majorHAnsi" w:cstheme="majorHAnsi"/>
          <w:bCs/>
          <w:color w:val="000000" w:themeColor="text1"/>
          <w:sz w:val="24"/>
          <w:szCs w:val="24"/>
          <w:lang w:val="ro-RO"/>
        </w:rPr>
        <w:t xml:space="preserve"> pentru colectarea datelor din teritoriu.</w:t>
      </w:r>
    </w:p>
    <w:p w14:paraId="5089F179" w14:textId="6D57ECC1" w:rsidR="0046493C" w:rsidRPr="00BD050E" w:rsidRDefault="0046493C" w:rsidP="00F74BD3">
      <w:pPr>
        <w:spacing w:line="276" w:lineRule="auto"/>
        <w:jc w:val="both"/>
        <w:rPr>
          <w:rFonts w:asciiTheme="majorHAnsi" w:eastAsia="Calibri" w:hAnsiTheme="majorHAnsi" w:cstheme="majorHAnsi"/>
          <w:bCs/>
          <w:color w:val="000000" w:themeColor="text1"/>
          <w:sz w:val="24"/>
          <w:szCs w:val="24"/>
          <w:lang w:val="ro-RO"/>
        </w:rPr>
      </w:pPr>
      <w:r w:rsidRPr="00BD050E">
        <w:rPr>
          <w:rFonts w:asciiTheme="majorHAnsi" w:eastAsia="Calibri" w:hAnsiTheme="majorHAnsi" w:cstheme="majorHAnsi"/>
          <w:bCs/>
          <w:color w:val="000000" w:themeColor="text1"/>
          <w:sz w:val="24"/>
          <w:szCs w:val="24"/>
          <w:lang w:val="ro-RO"/>
        </w:rPr>
        <w:t>Pentru „Validarea indicatorului nr. 1.1</w:t>
      </w:r>
      <w:r w:rsidR="003E0613" w:rsidRPr="00BD050E">
        <w:rPr>
          <w:rFonts w:asciiTheme="majorHAnsi" w:eastAsia="Calibri" w:hAnsiTheme="majorHAnsi" w:cstheme="majorHAnsi"/>
          <w:bCs/>
          <w:color w:val="000000" w:themeColor="text1"/>
          <w:sz w:val="24"/>
          <w:szCs w:val="24"/>
          <w:lang w:val="ro-RO"/>
        </w:rPr>
        <w:t>.</w:t>
      </w:r>
      <w:r w:rsidRPr="00BD050E">
        <w:rPr>
          <w:rFonts w:asciiTheme="majorHAnsi" w:eastAsia="Calibri" w:hAnsiTheme="majorHAnsi" w:cstheme="majorHAnsi"/>
          <w:bCs/>
          <w:color w:val="000000" w:themeColor="text1"/>
          <w:sz w:val="24"/>
          <w:szCs w:val="24"/>
          <w:lang w:val="ro-RO"/>
        </w:rPr>
        <w:t>” o entitate independentă a fost contractată în cadrul unei licitații deschise. Metodologia a fost elaborată de consultanți și aprobată de grupul de lucru a</w:t>
      </w:r>
      <w:r w:rsidR="003E0613" w:rsidRPr="00BD050E">
        <w:rPr>
          <w:rFonts w:asciiTheme="majorHAnsi" w:eastAsia="Calibri" w:hAnsiTheme="majorHAnsi" w:cstheme="majorHAnsi"/>
          <w:bCs/>
          <w:color w:val="000000" w:themeColor="text1"/>
          <w:sz w:val="24"/>
          <w:szCs w:val="24"/>
          <w:lang w:val="ro-RO"/>
        </w:rPr>
        <w:t xml:space="preserve">l </w:t>
      </w:r>
      <w:r w:rsidRPr="00BD050E">
        <w:rPr>
          <w:rFonts w:asciiTheme="majorHAnsi" w:eastAsia="Calibri" w:hAnsiTheme="majorHAnsi" w:cstheme="majorHAnsi"/>
          <w:bCs/>
          <w:color w:val="000000" w:themeColor="text1"/>
          <w:sz w:val="24"/>
          <w:szCs w:val="24"/>
          <w:lang w:val="ro-RO"/>
        </w:rPr>
        <w:t xml:space="preserve"> Ministerului Sănătății, Muncii și Protecției Sociale și de echipa Băncii Mondiale, indicatorul fiind validat.</w:t>
      </w:r>
    </w:p>
    <w:p w14:paraId="7B25A36A" w14:textId="6122913C" w:rsidR="00F74BD3" w:rsidRPr="00BD050E" w:rsidRDefault="00290D70" w:rsidP="00F74BD3">
      <w:pPr>
        <w:pStyle w:val="ListParagraph"/>
        <w:numPr>
          <w:ilvl w:val="0"/>
          <w:numId w:val="12"/>
        </w:numPr>
        <w:spacing w:line="276" w:lineRule="auto"/>
        <w:ind w:left="0" w:firstLine="567"/>
        <w:jc w:val="both"/>
        <w:rPr>
          <w:rFonts w:asciiTheme="majorHAnsi" w:hAnsiTheme="majorHAnsi" w:cstheme="majorHAnsi"/>
          <w:b/>
          <w:color w:val="000000" w:themeColor="text1"/>
          <w:sz w:val="24"/>
          <w:szCs w:val="24"/>
          <w:lang w:val="ro-RO"/>
        </w:rPr>
      </w:pPr>
      <w:bookmarkStart w:id="10" w:name="OLE_LINK113"/>
      <w:bookmarkStart w:id="11" w:name="OLE_LINK114"/>
      <w:bookmarkStart w:id="12" w:name="OLE_LINK86"/>
      <w:bookmarkStart w:id="13" w:name="OLE_LINK87"/>
      <w:bookmarkStart w:id="14" w:name="OLE_LINK88"/>
      <w:r w:rsidRPr="00BD050E">
        <w:rPr>
          <w:rFonts w:asciiTheme="majorHAnsi" w:hAnsiTheme="majorHAnsi" w:cstheme="majorHAnsi"/>
          <w:b/>
          <w:color w:val="000000" w:themeColor="text1"/>
          <w:sz w:val="24"/>
          <w:szCs w:val="24"/>
          <w:lang w:val="ro-RO"/>
        </w:rPr>
        <w:t>Rezultatele</w:t>
      </w:r>
      <w:r w:rsidR="00F74BD3" w:rsidRPr="00BD050E">
        <w:rPr>
          <w:rFonts w:asciiTheme="majorHAnsi" w:hAnsiTheme="majorHAnsi" w:cstheme="majorHAnsi"/>
          <w:b/>
          <w:color w:val="000000" w:themeColor="text1"/>
          <w:sz w:val="24"/>
          <w:szCs w:val="24"/>
          <w:lang w:val="ro-RO"/>
        </w:rPr>
        <w:t xml:space="preserve"> s</w:t>
      </w:r>
      <w:r w:rsidRPr="00BD050E">
        <w:rPr>
          <w:rFonts w:asciiTheme="majorHAnsi" w:hAnsiTheme="majorHAnsi" w:cstheme="majorHAnsi"/>
          <w:b/>
          <w:color w:val="000000" w:themeColor="text1"/>
          <w:sz w:val="24"/>
          <w:szCs w:val="24"/>
          <w:lang w:val="ro-RO"/>
        </w:rPr>
        <w:t xml:space="preserve">tudiului „Accesul </w:t>
      </w:r>
      <w:r w:rsidR="00047BCB" w:rsidRPr="00BD050E">
        <w:rPr>
          <w:rFonts w:asciiTheme="majorHAnsi" w:hAnsiTheme="majorHAnsi" w:cstheme="majorHAnsi"/>
          <w:b/>
          <w:color w:val="000000" w:themeColor="text1"/>
          <w:sz w:val="24"/>
          <w:szCs w:val="24"/>
          <w:lang w:val="ro-RO"/>
        </w:rPr>
        <w:t>populației</w:t>
      </w:r>
      <w:r w:rsidRPr="00BD050E">
        <w:rPr>
          <w:rFonts w:asciiTheme="majorHAnsi" w:hAnsiTheme="majorHAnsi" w:cstheme="majorHAnsi"/>
          <w:b/>
          <w:color w:val="000000" w:themeColor="text1"/>
          <w:sz w:val="24"/>
          <w:szCs w:val="24"/>
          <w:lang w:val="ro-RO"/>
        </w:rPr>
        <w:t xml:space="preserve"> la serviciile de sănătate</w:t>
      </w:r>
      <w:bookmarkEnd w:id="10"/>
      <w:bookmarkEnd w:id="11"/>
      <w:r w:rsidR="00F74BD3" w:rsidRPr="00BD050E">
        <w:rPr>
          <w:rFonts w:asciiTheme="majorHAnsi" w:hAnsiTheme="majorHAnsi" w:cstheme="majorHAnsi"/>
          <w:b/>
          <w:color w:val="000000" w:themeColor="text1"/>
          <w:sz w:val="24"/>
          <w:szCs w:val="24"/>
          <w:lang w:val="ro-RO"/>
        </w:rPr>
        <w:t>”</w:t>
      </w:r>
      <w:r w:rsidR="003E0613" w:rsidRPr="00BD050E">
        <w:rPr>
          <w:rFonts w:asciiTheme="majorHAnsi" w:hAnsiTheme="majorHAnsi" w:cstheme="majorHAnsi"/>
          <w:b/>
          <w:color w:val="000000" w:themeColor="text1"/>
          <w:sz w:val="24"/>
          <w:szCs w:val="24"/>
          <w:lang w:val="ro-RO"/>
        </w:rPr>
        <w:t>,</w:t>
      </w:r>
      <w:r w:rsidR="00F74BD3" w:rsidRPr="00BD050E">
        <w:rPr>
          <w:rFonts w:asciiTheme="majorHAnsi" w:hAnsiTheme="majorHAnsi" w:cstheme="majorHAnsi"/>
          <w:b/>
          <w:color w:val="000000" w:themeColor="text1"/>
          <w:sz w:val="24"/>
          <w:szCs w:val="24"/>
          <w:lang w:val="ro-RO"/>
        </w:rPr>
        <w:t xml:space="preserve"> </w:t>
      </w:r>
      <w:r w:rsidRPr="00BD050E">
        <w:rPr>
          <w:rFonts w:asciiTheme="majorHAnsi" w:hAnsiTheme="majorHAnsi" w:cstheme="majorHAnsi"/>
          <w:b/>
          <w:color w:val="000000" w:themeColor="text1"/>
          <w:sz w:val="24"/>
          <w:szCs w:val="24"/>
          <w:lang w:val="ro-RO"/>
        </w:rPr>
        <w:t xml:space="preserve">realizat de Biroul </w:t>
      </w:r>
      <w:r w:rsidR="00047BCB" w:rsidRPr="00BD050E">
        <w:rPr>
          <w:rFonts w:asciiTheme="majorHAnsi" w:hAnsiTheme="majorHAnsi" w:cstheme="majorHAnsi"/>
          <w:b/>
          <w:color w:val="000000" w:themeColor="text1"/>
          <w:sz w:val="24"/>
          <w:szCs w:val="24"/>
          <w:lang w:val="ro-RO"/>
        </w:rPr>
        <w:t>Național</w:t>
      </w:r>
      <w:r w:rsidRPr="00BD050E">
        <w:rPr>
          <w:rFonts w:asciiTheme="majorHAnsi" w:hAnsiTheme="majorHAnsi" w:cstheme="majorHAnsi"/>
          <w:b/>
          <w:color w:val="000000" w:themeColor="text1"/>
          <w:sz w:val="24"/>
          <w:szCs w:val="24"/>
          <w:lang w:val="ro-RO"/>
        </w:rPr>
        <w:t xml:space="preserve"> de Statistică</w:t>
      </w:r>
      <w:r w:rsidR="003E0613" w:rsidRPr="00BD050E">
        <w:rPr>
          <w:rFonts w:asciiTheme="majorHAnsi" w:hAnsiTheme="majorHAnsi" w:cstheme="majorHAnsi"/>
          <w:b/>
          <w:color w:val="000000" w:themeColor="text1"/>
          <w:sz w:val="24"/>
          <w:szCs w:val="24"/>
          <w:lang w:val="ro-RO"/>
        </w:rPr>
        <w:t>,</w:t>
      </w:r>
      <w:r w:rsidR="00F74BD3" w:rsidRPr="00BD050E">
        <w:rPr>
          <w:rFonts w:asciiTheme="majorHAnsi" w:hAnsiTheme="majorHAnsi" w:cstheme="majorHAnsi"/>
          <w:b/>
          <w:color w:val="000000" w:themeColor="text1"/>
          <w:sz w:val="24"/>
          <w:szCs w:val="24"/>
          <w:lang w:val="ro-RO"/>
        </w:rPr>
        <w:t xml:space="preserve"> vor serv</w:t>
      </w:r>
      <w:r w:rsidR="00D97068" w:rsidRPr="00BD050E">
        <w:rPr>
          <w:rFonts w:asciiTheme="majorHAnsi" w:hAnsiTheme="majorHAnsi" w:cstheme="majorHAnsi"/>
          <w:b/>
          <w:color w:val="000000" w:themeColor="text1"/>
          <w:sz w:val="24"/>
          <w:szCs w:val="24"/>
          <w:lang w:val="ro-RO"/>
        </w:rPr>
        <w:t xml:space="preserve">i </w:t>
      </w:r>
      <w:r w:rsidR="003E0613" w:rsidRPr="00BD050E">
        <w:rPr>
          <w:rFonts w:asciiTheme="majorHAnsi" w:hAnsiTheme="majorHAnsi" w:cstheme="majorHAnsi"/>
          <w:b/>
          <w:color w:val="000000" w:themeColor="text1"/>
          <w:sz w:val="24"/>
          <w:szCs w:val="24"/>
          <w:lang w:val="ro-RO"/>
        </w:rPr>
        <w:t xml:space="preserve">ca </w:t>
      </w:r>
      <w:r w:rsidR="00D97068" w:rsidRPr="00BD050E">
        <w:rPr>
          <w:rFonts w:asciiTheme="majorHAnsi" w:hAnsiTheme="majorHAnsi" w:cstheme="majorHAnsi"/>
          <w:b/>
          <w:color w:val="000000" w:themeColor="text1"/>
          <w:sz w:val="24"/>
          <w:szCs w:val="24"/>
          <w:lang w:val="ro-RO"/>
        </w:rPr>
        <w:t>temei pentru Banca Mondială la</w:t>
      </w:r>
      <w:r w:rsidR="00F74BD3" w:rsidRPr="00BD050E">
        <w:rPr>
          <w:rFonts w:asciiTheme="majorHAnsi" w:hAnsiTheme="majorHAnsi" w:cstheme="majorHAnsi"/>
          <w:b/>
          <w:color w:val="000000" w:themeColor="text1"/>
          <w:sz w:val="24"/>
          <w:szCs w:val="24"/>
          <w:lang w:val="ro-RO"/>
        </w:rPr>
        <w:t xml:space="preserve"> aprecierea progresului Proiectului</w:t>
      </w:r>
    </w:p>
    <w:p w14:paraId="197C4D5E" w14:textId="29EC668C" w:rsidR="0046493C" w:rsidRPr="00BD050E" w:rsidRDefault="00F74BD3" w:rsidP="002A40E6">
      <w:pPr>
        <w:spacing w:line="276" w:lineRule="auto"/>
        <w:jc w:val="both"/>
        <w:rPr>
          <w:rFonts w:asciiTheme="majorHAnsi" w:hAnsiTheme="majorHAnsi" w:cstheme="majorHAnsi"/>
          <w:color w:val="000000" w:themeColor="text1"/>
          <w:sz w:val="24"/>
          <w:szCs w:val="24"/>
          <w:lang w:val="ro-RO"/>
        </w:rPr>
      </w:pPr>
      <w:r w:rsidRPr="00BD050E">
        <w:rPr>
          <w:rFonts w:asciiTheme="majorHAnsi" w:eastAsia="Calibri" w:hAnsiTheme="majorHAnsi" w:cstheme="majorHAnsi"/>
          <w:bCs/>
          <w:color w:val="000000" w:themeColor="text1"/>
          <w:sz w:val="24"/>
          <w:szCs w:val="24"/>
          <w:lang w:val="ro-RO"/>
        </w:rPr>
        <w:t xml:space="preserve">Repetarea studiului „Accesul populației la serviciile de sănătate” (1.1.8 din Planul de procurări) </w:t>
      </w:r>
      <w:r w:rsidRPr="00BD050E">
        <w:rPr>
          <w:rFonts w:asciiTheme="majorHAnsi" w:hAnsiTheme="majorHAnsi" w:cstheme="majorHAnsi"/>
          <w:color w:val="000000" w:themeColor="text1"/>
          <w:sz w:val="24"/>
          <w:szCs w:val="24"/>
          <w:lang w:val="ro-RO"/>
        </w:rPr>
        <w:t>a fost prevăzut</w:t>
      </w:r>
      <w:r w:rsidR="004118C9" w:rsidRPr="00BD050E">
        <w:rPr>
          <w:rFonts w:asciiTheme="majorHAnsi" w:hAnsiTheme="majorHAnsi" w:cstheme="majorHAnsi"/>
          <w:color w:val="000000" w:themeColor="text1"/>
          <w:sz w:val="24"/>
          <w:szCs w:val="24"/>
          <w:lang w:val="ro-RO"/>
        </w:rPr>
        <w:t>ă</w:t>
      </w:r>
      <w:r w:rsidR="00290D70" w:rsidRPr="00BD050E">
        <w:rPr>
          <w:rFonts w:asciiTheme="majorHAnsi" w:hAnsiTheme="majorHAnsi" w:cstheme="majorHAnsi"/>
          <w:color w:val="000000" w:themeColor="text1"/>
          <w:sz w:val="24"/>
          <w:szCs w:val="24"/>
          <w:lang w:val="ro-RO"/>
        </w:rPr>
        <w:t xml:space="preserve"> pentru raportare, evaluarea impactului asupra </w:t>
      </w:r>
      <w:r w:rsidR="00047BCB" w:rsidRPr="00BD050E">
        <w:rPr>
          <w:rFonts w:asciiTheme="majorHAnsi" w:hAnsiTheme="majorHAnsi" w:cstheme="majorHAnsi"/>
          <w:color w:val="000000" w:themeColor="text1"/>
          <w:sz w:val="24"/>
          <w:szCs w:val="24"/>
          <w:lang w:val="ro-RO"/>
        </w:rPr>
        <w:t>populației</w:t>
      </w:r>
      <w:r w:rsidR="00290D70" w:rsidRPr="00BD050E">
        <w:rPr>
          <w:rFonts w:asciiTheme="majorHAnsi" w:hAnsiTheme="majorHAnsi" w:cstheme="majorHAnsi"/>
          <w:color w:val="000000" w:themeColor="text1"/>
          <w:sz w:val="24"/>
          <w:szCs w:val="24"/>
          <w:lang w:val="ro-RO"/>
        </w:rPr>
        <w:t xml:space="preserve"> a</w:t>
      </w:r>
      <w:r w:rsidR="0056125E" w:rsidRPr="00BD050E">
        <w:rPr>
          <w:rFonts w:asciiTheme="majorHAnsi" w:hAnsiTheme="majorHAnsi" w:cstheme="majorHAnsi"/>
          <w:color w:val="000000" w:themeColor="text1"/>
          <w:sz w:val="24"/>
          <w:szCs w:val="24"/>
          <w:lang w:val="ro-RO"/>
        </w:rPr>
        <w:t>l</w:t>
      </w:r>
      <w:r w:rsidR="00290D70" w:rsidRPr="00BD050E">
        <w:rPr>
          <w:rFonts w:asciiTheme="majorHAnsi" w:hAnsiTheme="majorHAnsi" w:cstheme="majorHAnsi"/>
          <w:color w:val="000000" w:themeColor="text1"/>
          <w:sz w:val="24"/>
          <w:szCs w:val="24"/>
          <w:lang w:val="ro-RO"/>
        </w:rPr>
        <w:t xml:space="preserve"> politicilor şi măsurilor din sector, în scopul reducerii </w:t>
      </w:r>
      <w:r w:rsidR="00047BCB" w:rsidRPr="00BD050E">
        <w:rPr>
          <w:rFonts w:asciiTheme="majorHAnsi" w:hAnsiTheme="majorHAnsi" w:cstheme="majorHAnsi"/>
          <w:color w:val="000000" w:themeColor="text1"/>
          <w:sz w:val="24"/>
          <w:szCs w:val="24"/>
          <w:lang w:val="ro-RO"/>
        </w:rPr>
        <w:t>inechităților</w:t>
      </w:r>
      <w:r w:rsidR="00290D70" w:rsidRPr="00BD050E">
        <w:rPr>
          <w:rFonts w:asciiTheme="majorHAnsi" w:hAnsiTheme="majorHAnsi" w:cstheme="majorHAnsi"/>
          <w:color w:val="000000" w:themeColor="text1"/>
          <w:sz w:val="24"/>
          <w:szCs w:val="24"/>
          <w:lang w:val="ro-RO"/>
        </w:rPr>
        <w:t xml:space="preserve">, fiind un studiu general al </w:t>
      </w:r>
      <w:r w:rsidR="00047BCB" w:rsidRPr="00BD050E">
        <w:rPr>
          <w:rFonts w:asciiTheme="majorHAnsi" w:hAnsiTheme="majorHAnsi" w:cstheme="majorHAnsi"/>
          <w:color w:val="000000" w:themeColor="text1"/>
          <w:sz w:val="24"/>
          <w:szCs w:val="24"/>
          <w:lang w:val="ro-RO"/>
        </w:rPr>
        <w:t>populației</w:t>
      </w:r>
      <w:r w:rsidR="00290D70" w:rsidRPr="00BD050E">
        <w:rPr>
          <w:rFonts w:asciiTheme="majorHAnsi" w:hAnsiTheme="majorHAnsi" w:cstheme="majorHAnsi"/>
          <w:color w:val="000000" w:themeColor="text1"/>
          <w:sz w:val="24"/>
          <w:szCs w:val="24"/>
          <w:lang w:val="ro-RO"/>
        </w:rPr>
        <w:t>, fă</w:t>
      </w:r>
      <w:r w:rsidRPr="00BD050E">
        <w:rPr>
          <w:rFonts w:asciiTheme="majorHAnsi" w:hAnsiTheme="majorHAnsi" w:cstheme="majorHAnsi"/>
          <w:color w:val="000000" w:themeColor="text1"/>
          <w:sz w:val="24"/>
          <w:szCs w:val="24"/>
          <w:lang w:val="ro-RO"/>
        </w:rPr>
        <w:t>ră a se axa pe o careva maladie</w:t>
      </w:r>
      <w:r w:rsidR="00290D70" w:rsidRPr="00BD050E">
        <w:rPr>
          <w:rFonts w:asciiTheme="majorHAnsi" w:hAnsiTheme="majorHAnsi" w:cstheme="majorHAnsi"/>
          <w:color w:val="000000" w:themeColor="text1"/>
          <w:sz w:val="24"/>
          <w:szCs w:val="24"/>
          <w:lang w:val="ro-RO"/>
        </w:rPr>
        <w:t>. Studiu</w:t>
      </w:r>
      <w:r w:rsidRPr="00BD050E">
        <w:rPr>
          <w:rFonts w:asciiTheme="majorHAnsi" w:hAnsiTheme="majorHAnsi" w:cstheme="majorHAnsi"/>
          <w:color w:val="000000" w:themeColor="text1"/>
          <w:sz w:val="24"/>
          <w:szCs w:val="24"/>
          <w:lang w:val="ro-RO"/>
        </w:rPr>
        <w:t>l</w:t>
      </w:r>
      <w:r w:rsidR="00290D70" w:rsidRPr="00BD050E">
        <w:rPr>
          <w:rFonts w:asciiTheme="majorHAnsi" w:hAnsiTheme="majorHAnsi" w:cstheme="majorHAnsi"/>
          <w:color w:val="000000" w:themeColor="text1"/>
          <w:sz w:val="24"/>
          <w:szCs w:val="24"/>
          <w:lang w:val="ro-RO"/>
        </w:rPr>
        <w:t xml:space="preserve"> </w:t>
      </w:r>
      <w:r w:rsidR="00047BCB" w:rsidRPr="00BD050E">
        <w:rPr>
          <w:rFonts w:asciiTheme="majorHAnsi" w:hAnsiTheme="majorHAnsi" w:cstheme="majorHAnsi"/>
          <w:color w:val="000000" w:themeColor="text1"/>
          <w:sz w:val="24"/>
          <w:szCs w:val="24"/>
          <w:lang w:val="ro-RO"/>
        </w:rPr>
        <w:t>conține</w:t>
      </w:r>
      <w:r w:rsidR="00290D70" w:rsidRPr="00BD050E">
        <w:rPr>
          <w:rFonts w:asciiTheme="majorHAnsi" w:hAnsiTheme="majorHAnsi" w:cstheme="majorHAnsi"/>
          <w:color w:val="000000" w:themeColor="text1"/>
          <w:sz w:val="24"/>
          <w:szCs w:val="24"/>
          <w:lang w:val="ro-RO"/>
        </w:rPr>
        <w:t xml:space="preserve"> date din </w:t>
      </w:r>
      <w:r w:rsidRPr="00BD050E">
        <w:rPr>
          <w:rFonts w:asciiTheme="majorHAnsi" w:hAnsiTheme="majorHAnsi" w:cstheme="majorHAnsi"/>
          <w:color w:val="000000" w:themeColor="text1"/>
          <w:sz w:val="24"/>
          <w:szCs w:val="24"/>
          <w:lang w:val="ro-RO"/>
        </w:rPr>
        <w:t>domenii/</w:t>
      </w:r>
      <w:r w:rsidR="00290D70" w:rsidRPr="00BD050E">
        <w:rPr>
          <w:rFonts w:asciiTheme="majorHAnsi" w:hAnsiTheme="majorHAnsi" w:cstheme="majorHAnsi"/>
          <w:color w:val="000000" w:themeColor="text1"/>
          <w:sz w:val="24"/>
          <w:szCs w:val="24"/>
          <w:lang w:val="ro-RO"/>
        </w:rPr>
        <w:t>compartimente</w:t>
      </w:r>
      <w:r w:rsidRPr="00BD050E">
        <w:rPr>
          <w:rFonts w:asciiTheme="majorHAnsi" w:hAnsiTheme="majorHAnsi" w:cstheme="majorHAnsi"/>
          <w:color w:val="000000" w:themeColor="text1"/>
          <w:sz w:val="24"/>
          <w:szCs w:val="24"/>
          <w:lang w:val="ro-RO"/>
        </w:rPr>
        <w:t xml:space="preserve"> relevante</w:t>
      </w:r>
      <w:r w:rsidR="0056125E" w:rsidRPr="00BD050E">
        <w:rPr>
          <w:rFonts w:asciiTheme="majorHAnsi" w:hAnsiTheme="majorHAnsi" w:cstheme="majorHAnsi"/>
          <w:color w:val="000000" w:themeColor="text1"/>
          <w:sz w:val="24"/>
          <w:szCs w:val="24"/>
          <w:lang w:val="ro-RO"/>
        </w:rPr>
        <w:t xml:space="preserve">, </w:t>
      </w:r>
      <w:r w:rsidRPr="00BD050E">
        <w:rPr>
          <w:rFonts w:asciiTheme="majorHAnsi" w:hAnsiTheme="majorHAnsi" w:cstheme="majorHAnsi"/>
          <w:color w:val="000000" w:themeColor="text1"/>
          <w:sz w:val="24"/>
          <w:szCs w:val="24"/>
          <w:lang w:val="ro-RO"/>
        </w:rPr>
        <w:t xml:space="preserve"> c</w:t>
      </w:r>
      <w:r w:rsidR="0056125E" w:rsidRPr="00BD050E">
        <w:rPr>
          <w:rFonts w:asciiTheme="majorHAnsi" w:hAnsiTheme="majorHAnsi" w:cstheme="majorHAnsi"/>
          <w:color w:val="000000" w:themeColor="text1"/>
          <w:sz w:val="24"/>
          <w:szCs w:val="24"/>
          <w:lang w:val="ro-RO"/>
        </w:rPr>
        <w:t>ar</w:t>
      </w:r>
      <w:r w:rsidRPr="00BD050E">
        <w:rPr>
          <w:rFonts w:asciiTheme="majorHAnsi" w:hAnsiTheme="majorHAnsi" w:cstheme="majorHAnsi"/>
          <w:color w:val="000000" w:themeColor="text1"/>
          <w:sz w:val="24"/>
          <w:szCs w:val="24"/>
          <w:lang w:val="ro-RO"/>
        </w:rPr>
        <w:t xml:space="preserve">e se referă la: </w:t>
      </w:r>
      <w:r w:rsidRPr="00BD050E">
        <w:rPr>
          <w:rFonts w:asciiTheme="majorHAnsi" w:hAnsiTheme="majorHAnsi" w:cstheme="majorHAnsi"/>
          <w:b/>
          <w:i/>
          <w:color w:val="000000" w:themeColor="text1"/>
          <w:sz w:val="24"/>
          <w:szCs w:val="24"/>
          <w:lang w:val="ro-RO"/>
        </w:rPr>
        <w:t>s</w:t>
      </w:r>
      <w:r w:rsidR="00290D70" w:rsidRPr="00BD050E">
        <w:rPr>
          <w:rFonts w:asciiTheme="majorHAnsi" w:hAnsiTheme="majorHAnsi" w:cstheme="majorHAnsi"/>
          <w:b/>
          <w:i/>
          <w:color w:val="000000" w:themeColor="text1"/>
          <w:sz w:val="24"/>
          <w:szCs w:val="24"/>
          <w:lang w:val="ro-RO"/>
        </w:rPr>
        <w:t>t</w:t>
      </w:r>
      <w:r w:rsidRPr="00BD050E">
        <w:rPr>
          <w:rFonts w:asciiTheme="majorHAnsi" w:hAnsiTheme="majorHAnsi" w:cstheme="majorHAnsi"/>
          <w:b/>
          <w:i/>
          <w:color w:val="000000" w:themeColor="text1"/>
          <w:sz w:val="24"/>
          <w:szCs w:val="24"/>
          <w:lang w:val="ro-RO"/>
        </w:rPr>
        <w:t xml:space="preserve">area de sănătate a </w:t>
      </w:r>
      <w:r w:rsidR="00047BCB" w:rsidRPr="00BD050E">
        <w:rPr>
          <w:rFonts w:asciiTheme="majorHAnsi" w:hAnsiTheme="majorHAnsi" w:cstheme="majorHAnsi"/>
          <w:b/>
          <w:i/>
          <w:color w:val="000000" w:themeColor="text1"/>
          <w:sz w:val="24"/>
          <w:szCs w:val="24"/>
          <w:lang w:val="ro-RO"/>
        </w:rPr>
        <w:t>populației</w:t>
      </w:r>
      <w:r w:rsidRPr="00BD050E">
        <w:rPr>
          <w:rFonts w:asciiTheme="majorHAnsi" w:hAnsiTheme="majorHAnsi" w:cstheme="majorHAnsi"/>
          <w:b/>
          <w:i/>
          <w:color w:val="000000" w:themeColor="text1"/>
          <w:sz w:val="24"/>
          <w:szCs w:val="24"/>
          <w:lang w:val="ro-RO"/>
        </w:rPr>
        <w:t xml:space="preserve"> </w:t>
      </w:r>
      <w:r w:rsidRPr="00BD050E">
        <w:rPr>
          <w:rFonts w:asciiTheme="majorHAnsi" w:hAnsiTheme="majorHAnsi" w:cstheme="majorHAnsi"/>
          <w:color w:val="000000" w:themeColor="text1"/>
          <w:sz w:val="24"/>
          <w:szCs w:val="24"/>
          <w:lang w:val="ro-RO"/>
        </w:rPr>
        <w:t>(</w:t>
      </w:r>
      <w:r w:rsidR="00047BCB" w:rsidRPr="00BD050E">
        <w:rPr>
          <w:rFonts w:asciiTheme="majorHAnsi" w:hAnsiTheme="majorHAnsi" w:cstheme="majorHAnsi"/>
          <w:color w:val="000000" w:themeColor="text1"/>
          <w:sz w:val="24"/>
          <w:szCs w:val="24"/>
          <w:lang w:val="ro-RO"/>
        </w:rPr>
        <w:t>percepția</w:t>
      </w:r>
      <w:r w:rsidRPr="00BD050E">
        <w:rPr>
          <w:rFonts w:asciiTheme="majorHAnsi" w:hAnsiTheme="majorHAnsi" w:cstheme="majorHAnsi"/>
          <w:color w:val="000000" w:themeColor="text1"/>
          <w:sz w:val="24"/>
          <w:szCs w:val="24"/>
          <w:lang w:val="ro-RO"/>
        </w:rPr>
        <w:t xml:space="preserve"> stării de sănătate; </w:t>
      </w:r>
      <w:r w:rsidR="00047BCB" w:rsidRPr="00BD050E">
        <w:rPr>
          <w:rFonts w:asciiTheme="majorHAnsi" w:hAnsiTheme="majorHAnsi" w:cstheme="majorHAnsi"/>
          <w:color w:val="000000" w:themeColor="text1"/>
          <w:sz w:val="24"/>
          <w:szCs w:val="24"/>
          <w:lang w:val="ro-RO"/>
        </w:rPr>
        <w:t>prevalența</w:t>
      </w:r>
      <w:r w:rsidRPr="00BD050E">
        <w:rPr>
          <w:rFonts w:asciiTheme="majorHAnsi" w:hAnsiTheme="majorHAnsi" w:cstheme="majorHAnsi"/>
          <w:color w:val="000000" w:themeColor="text1"/>
          <w:sz w:val="24"/>
          <w:szCs w:val="24"/>
          <w:lang w:val="ro-RO"/>
        </w:rPr>
        <w:t xml:space="preserve"> prin boli cronice); </w:t>
      </w:r>
      <w:r w:rsidRPr="00BD050E">
        <w:rPr>
          <w:rFonts w:asciiTheme="majorHAnsi" w:hAnsiTheme="majorHAnsi" w:cstheme="majorHAnsi"/>
          <w:b/>
          <w:i/>
          <w:color w:val="000000" w:themeColor="text1"/>
          <w:sz w:val="24"/>
          <w:szCs w:val="24"/>
          <w:lang w:val="ro-RO"/>
        </w:rPr>
        <w:t>u</w:t>
      </w:r>
      <w:r w:rsidR="00290D70" w:rsidRPr="00BD050E">
        <w:rPr>
          <w:rFonts w:asciiTheme="majorHAnsi" w:hAnsiTheme="majorHAnsi" w:cstheme="majorHAnsi"/>
          <w:b/>
          <w:i/>
          <w:color w:val="000000" w:themeColor="text1"/>
          <w:sz w:val="24"/>
          <w:szCs w:val="24"/>
          <w:lang w:val="ro-RO"/>
        </w:rPr>
        <w:t xml:space="preserve">tilizarea serviciilor de </w:t>
      </w:r>
      <w:r w:rsidR="00BD050E" w:rsidRPr="00BD050E">
        <w:rPr>
          <w:rFonts w:asciiTheme="majorHAnsi" w:hAnsiTheme="majorHAnsi" w:cstheme="majorHAnsi"/>
          <w:b/>
          <w:i/>
          <w:color w:val="000000" w:themeColor="text1"/>
          <w:sz w:val="24"/>
          <w:szCs w:val="24"/>
          <w:lang w:val="ro-RO"/>
        </w:rPr>
        <w:t>asistență medicală prespitalicească</w:t>
      </w:r>
      <w:r w:rsidRPr="00BD050E">
        <w:rPr>
          <w:rFonts w:asciiTheme="majorHAnsi" w:hAnsiTheme="majorHAnsi" w:cstheme="majorHAnsi"/>
          <w:color w:val="000000" w:themeColor="text1"/>
          <w:sz w:val="24"/>
          <w:szCs w:val="24"/>
          <w:lang w:val="ro-RO"/>
        </w:rPr>
        <w:t xml:space="preserve"> (consultarea medicului; t</w:t>
      </w:r>
      <w:r w:rsidR="00290D70" w:rsidRPr="00BD050E">
        <w:rPr>
          <w:rFonts w:asciiTheme="majorHAnsi" w:hAnsiTheme="majorHAnsi" w:cstheme="majorHAnsi"/>
          <w:color w:val="000000" w:themeColor="text1"/>
          <w:sz w:val="24"/>
          <w:szCs w:val="24"/>
          <w:lang w:val="ro-RO"/>
        </w:rPr>
        <w:t>ipul celei mai recente vizite;</w:t>
      </w:r>
      <w:r w:rsidRPr="00BD050E">
        <w:rPr>
          <w:rFonts w:asciiTheme="majorHAnsi" w:hAnsiTheme="majorHAnsi" w:cstheme="majorHAnsi"/>
          <w:color w:val="000000" w:themeColor="text1"/>
          <w:sz w:val="24"/>
          <w:szCs w:val="24"/>
          <w:lang w:val="ro-RO"/>
        </w:rPr>
        <w:t xml:space="preserve"> a</w:t>
      </w:r>
      <w:r w:rsidR="00290D70" w:rsidRPr="00BD050E">
        <w:rPr>
          <w:rFonts w:asciiTheme="majorHAnsi" w:hAnsiTheme="majorHAnsi" w:cstheme="majorHAnsi"/>
          <w:color w:val="000000" w:themeColor="text1"/>
          <w:sz w:val="24"/>
          <w:szCs w:val="24"/>
          <w:lang w:val="ro-RO"/>
        </w:rPr>
        <w:t>c</w:t>
      </w:r>
      <w:r w:rsidRPr="00BD050E">
        <w:rPr>
          <w:rFonts w:asciiTheme="majorHAnsi" w:hAnsiTheme="majorHAnsi" w:cstheme="majorHAnsi"/>
          <w:color w:val="000000" w:themeColor="text1"/>
          <w:sz w:val="24"/>
          <w:szCs w:val="24"/>
          <w:lang w:val="ro-RO"/>
        </w:rPr>
        <w:t>ordarea serviciilor medicale; f</w:t>
      </w:r>
      <w:r w:rsidR="00290D70" w:rsidRPr="00BD050E">
        <w:rPr>
          <w:rFonts w:asciiTheme="majorHAnsi" w:hAnsiTheme="majorHAnsi" w:cstheme="majorHAnsi"/>
          <w:color w:val="000000" w:themeColor="text1"/>
          <w:sz w:val="24"/>
          <w:szCs w:val="24"/>
          <w:lang w:val="ro-RO"/>
        </w:rPr>
        <w:t>orma de</w:t>
      </w:r>
      <w:r w:rsidRPr="00BD050E">
        <w:rPr>
          <w:rFonts w:asciiTheme="majorHAnsi" w:hAnsiTheme="majorHAnsi" w:cstheme="majorHAnsi"/>
          <w:color w:val="000000" w:themeColor="text1"/>
          <w:sz w:val="24"/>
          <w:szCs w:val="24"/>
          <w:lang w:val="ro-RO"/>
        </w:rPr>
        <w:t xml:space="preserve"> proprietate a prestatorului; m</w:t>
      </w:r>
      <w:r w:rsidR="00290D70" w:rsidRPr="00BD050E">
        <w:rPr>
          <w:rFonts w:asciiTheme="majorHAnsi" w:hAnsiTheme="majorHAnsi" w:cstheme="majorHAnsi"/>
          <w:color w:val="000000" w:themeColor="text1"/>
          <w:sz w:val="24"/>
          <w:szCs w:val="24"/>
          <w:lang w:val="ro-RO"/>
        </w:rPr>
        <w:t>oti</w:t>
      </w:r>
      <w:r w:rsidRPr="00BD050E">
        <w:rPr>
          <w:rFonts w:asciiTheme="majorHAnsi" w:hAnsiTheme="majorHAnsi" w:cstheme="majorHAnsi"/>
          <w:color w:val="000000" w:themeColor="text1"/>
          <w:sz w:val="24"/>
          <w:szCs w:val="24"/>
          <w:lang w:val="ro-RO"/>
        </w:rPr>
        <w:t xml:space="preserve">vul celei mai recente vizite); </w:t>
      </w:r>
      <w:r w:rsidRPr="00BD050E">
        <w:rPr>
          <w:rFonts w:asciiTheme="majorHAnsi" w:hAnsiTheme="majorHAnsi" w:cstheme="majorHAnsi"/>
          <w:b/>
          <w:i/>
          <w:color w:val="000000" w:themeColor="text1"/>
          <w:sz w:val="24"/>
          <w:szCs w:val="24"/>
          <w:lang w:val="ro-RO"/>
        </w:rPr>
        <w:t>u</w:t>
      </w:r>
      <w:r w:rsidR="00290D70" w:rsidRPr="00BD050E">
        <w:rPr>
          <w:rFonts w:asciiTheme="majorHAnsi" w:hAnsiTheme="majorHAnsi" w:cstheme="majorHAnsi"/>
          <w:b/>
          <w:i/>
          <w:color w:val="000000" w:themeColor="text1"/>
          <w:sz w:val="24"/>
          <w:szCs w:val="24"/>
          <w:lang w:val="ro-RO"/>
        </w:rPr>
        <w:t>tiliz</w:t>
      </w:r>
      <w:r w:rsidRPr="00BD050E">
        <w:rPr>
          <w:rFonts w:asciiTheme="majorHAnsi" w:hAnsiTheme="majorHAnsi" w:cstheme="majorHAnsi"/>
          <w:b/>
          <w:i/>
          <w:color w:val="000000" w:themeColor="text1"/>
          <w:sz w:val="24"/>
          <w:szCs w:val="24"/>
          <w:lang w:val="ro-RO"/>
        </w:rPr>
        <w:t xml:space="preserve">area serviciilor </w:t>
      </w:r>
      <w:r w:rsidR="00047BCB" w:rsidRPr="00BD050E">
        <w:rPr>
          <w:rFonts w:asciiTheme="majorHAnsi" w:hAnsiTheme="majorHAnsi" w:cstheme="majorHAnsi"/>
          <w:b/>
          <w:i/>
          <w:color w:val="000000" w:themeColor="text1"/>
          <w:sz w:val="24"/>
          <w:szCs w:val="24"/>
          <w:lang w:val="ro-RO"/>
        </w:rPr>
        <w:t>spitalicești</w:t>
      </w:r>
      <w:r w:rsidRPr="00BD050E">
        <w:rPr>
          <w:rFonts w:asciiTheme="majorHAnsi" w:hAnsiTheme="majorHAnsi" w:cstheme="majorHAnsi"/>
          <w:b/>
          <w:i/>
          <w:color w:val="000000" w:themeColor="text1"/>
          <w:sz w:val="24"/>
          <w:szCs w:val="24"/>
          <w:lang w:val="ro-RO"/>
        </w:rPr>
        <w:t>; consumul de medicamente; g</w:t>
      </w:r>
      <w:r w:rsidR="00290D70" w:rsidRPr="00BD050E">
        <w:rPr>
          <w:rFonts w:asciiTheme="majorHAnsi" w:hAnsiTheme="majorHAnsi" w:cstheme="majorHAnsi"/>
          <w:b/>
          <w:i/>
          <w:color w:val="000000" w:themeColor="text1"/>
          <w:sz w:val="24"/>
          <w:szCs w:val="24"/>
          <w:lang w:val="ro-RO"/>
        </w:rPr>
        <w:t xml:space="preserve">radul de acoperire a </w:t>
      </w:r>
      <w:r w:rsidR="00047BCB" w:rsidRPr="00BD050E">
        <w:rPr>
          <w:rFonts w:asciiTheme="majorHAnsi" w:hAnsiTheme="majorHAnsi" w:cstheme="majorHAnsi"/>
          <w:b/>
          <w:i/>
          <w:color w:val="000000" w:themeColor="text1"/>
          <w:sz w:val="24"/>
          <w:szCs w:val="24"/>
          <w:lang w:val="ro-RO"/>
        </w:rPr>
        <w:t>populației</w:t>
      </w:r>
      <w:r w:rsidR="00290D70" w:rsidRPr="00BD050E">
        <w:rPr>
          <w:rFonts w:asciiTheme="majorHAnsi" w:hAnsiTheme="majorHAnsi" w:cstheme="majorHAnsi"/>
          <w:b/>
          <w:i/>
          <w:color w:val="000000" w:themeColor="text1"/>
          <w:sz w:val="24"/>
          <w:szCs w:val="24"/>
          <w:lang w:val="ro-RO"/>
        </w:rPr>
        <w:t xml:space="preserve"> cu asigurare medicală</w:t>
      </w:r>
      <w:r w:rsidRPr="00BD050E">
        <w:rPr>
          <w:rFonts w:asciiTheme="majorHAnsi" w:hAnsiTheme="majorHAnsi" w:cstheme="majorHAnsi"/>
          <w:color w:val="000000" w:themeColor="text1"/>
          <w:sz w:val="24"/>
          <w:szCs w:val="24"/>
          <w:lang w:val="ro-RO"/>
        </w:rPr>
        <w:t xml:space="preserve"> (</w:t>
      </w:r>
      <w:r w:rsidR="00047BCB" w:rsidRPr="00BD050E">
        <w:rPr>
          <w:rFonts w:asciiTheme="majorHAnsi" w:hAnsiTheme="majorHAnsi" w:cstheme="majorHAnsi"/>
          <w:color w:val="000000" w:themeColor="text1"/>
          <w:sz w:val="24"/>
          <w:szCs w:val="24"/>
          <w:lang w:val="ro-RO"/>
        </w:rPr>
        <w:t>renunțarea</w:t>
      </w:r>
      <w:r w:rsidR="00290D70" w:rsidRPr="00BD050E">
        <w:rPr>
          <w:rFonts w:asciiTheme="majorHAnsi" w:hAnsiTheme="majorHAnsi" w:cstheme="majorHAnsi"/>
          <w:color w:val="000000" w:themeColor="text1"/>
          <w:sz w:val="24"/>
          <w:szCs w:val="24"/>
          <w:lang w:val="ro-RO"/>
        </w:rPr>
        <w:t xml:space="preserve"> la serviciile medicale); </w:t>
      </w:r>
      <w:r w:rsidRPr="00BD050E">
        <w:rPr>
          <w:rFonts w:asciiTheme="majorHAnsi" w:hAnsiTheme="majorHAnsi" w:cstheme="majorHAnsi"/>
          <w:b/>
          <w:i/>
          <w:color w:val="000000" w:themeColor="text1"/>
          <w:sz w:val="24"/>
          <w:szCs w:val="24"/>
          <w:lang w:val="ro-RO"/>
        </w:rPr>
        <w:t>i</w:t>
      </w:r>
      <w:r w:rsidR="00290D70" w:rsidRPr="00BD050E">
        <w:rPr>
          <w:rFonts w:asciiTheme="majorHAnsi" w:hAnsiTheme="majorHAnsi" w:cstheme="majorHAnsi"/>
          <w:b/>
          <w:i/>
          <w:color w:val="000000" w:themeColor="text1"/>
          <w:sz w:val="24"/>
          <w:szCs w:val="24"/>
          <w:lang w:val="ro-RO"/>
        </w:rPr>
        <w:t xml:space="preserve">nformarea </w:t>
      </w:r>
      <w:r w:rsidR="00047BCB" w:rsidRPr="00BD050E">
        <w:rPr>
          <w:rFonts w:asciiTheme="majorHAnsi" w:hAnsiTheme="majorHAnsi" w:cstheme="majorHAnsi"/>
          <w:b/>
          <w:i/>
          <w:color w:val="000000" w:themeColor="text1"/>
          <w:sz w:val="24"/>
          <w:szCs w:val="24"/>
          <w:lang w:val="ro-RO"/>
        </w:rPr>
        <w:t>populației</w:t>
      </w:r>
      <w:r w:rsidRPr="00BD050E">
        <w:rPr>
          <w:rFonts w:asciiTheme="majorHAnsi" w:hAnsiTheme="majorHAnsi" w:cstheme="majorHAnsi"/>
          <w:color w:val="000000" w:themeColor="text1"/>
          <w:sz w:val="24"/>
          <w:szCs w:val="24"/>
          <w:lang w:val="ro-RO"/>
        </w:rPr>
        <w:t xml:space="preserve"> (metode de tratament; a</w:t>
      </w:r>
      <w:r w:rsidR="00290D70" w:rsidRPr="00BD050E">
        <w:rPr>
          <w:rFonts w:asciiTheme="majorHAnsi" w:hAnsiTheme="majorHAnsi" w:cstheme="majorHAnsi"/>
          <w:color w:val="000000" w:themeColor="text1"/>
          <w:sz w:val="24"/>
          <w:szCs w:val="24"/>
          <w:lang w:val="ro-RO"/>
        </w:rPr>
        <w:t>ccesul</w:t>
      </w:r>
      <w:r w:rsidRPr="00BD050E">
        <w:rPr>
          <w:rFonts w:asciiTheme="majorHAnsi" w:hAnsiTheme="majorHAnsi" w:cstheme="majorHAnsi"/>
          <w:color w:val="000000" w:themeColor="text1"/>
          <w:sz w:val="24"/>
          <w:szCs w:val="24"/>
          <w:lang w:val="ro-RO"/>
        </w:rPr>
        <w:t xml:space="preserve"> </w:t>
      </w:r>
      <w:r w:rsidR="00047BCB" w:rsidRPr="00BD050E">
        <w:rPr>
          <w:rFonts w:asciiTheme="majorHAnsi" w:hAnsiTheme="majorHAnsi" w:cstheme="majorHAnsi"/>
          <w:color w:val="000000" w:themeColor="text1"/>
          <w:sz w:val="24"/>
          <w:szCs w:val="24"/>
          <w:lang w:val="ro-RO"/>
        </w:rPr>
        <w:t>populației</w:t>
      </w:r>
      <w:r w:rsidRPr="00BD050E">
        <w:rPr>
          <w:rFonts w:asciiTheme="majorHAnsi" w:hAnsiTheme="majorHAnsi" w:cstheme="majorHAnsi"/>
          <w:color w:val="000000" w:themeColor="text1"/>
          <w:sz w:val="24"/>
          <w:szCs w:val="24"/>
          <w:lang w:val="ro-RO"/>
        </w:rPr>
        <w:t xml:space="preserve"> la fişa medicală; medicamente compensate; adresări în caz de fraude); </w:t>
      </w:r>
      <w:r w:rsidRPr="00BD050E">
        <w:rPr>
          <w:rFonts w:asciiTheme="majorHAnsi" w:hAnsiTheme="majorHAnsi" w:cstheme="majorHAnsi"/>
          <w:b/>
          <w:i/>
          <w:color w:val="000000" w:themeColor="text1"/>
          <w:sz w:val="24"/>
          <w:szCs w:val="24"/>
          <w:lang w:val="ro-RO"/>
        </w:rPr>
        <w:t>a</w:t>
      </w:r>
      <w:r w:rsidR="00290D70" w:rsidRPr="00BD050E">
        <w:rPr>
          <w:rFonts w:asciiTheme="majorHAnsi" w:hAnsiTheme="majorHAnsi" w:cstheme="majorHAnsi"/>
          <w:b/>
          <w:i/>
          <w:color w:val="000000" w:themeColor="text1"/>
          <w:sz w:val="24"/>
          <w:szCs w:val="24"/>
          <w:lang w:val="ro-RO"/>
        </w:rPr>
        <w:t xml:space="preserve">precierea </w:t>
      </w:r>
      <w:r w:rsidR="00047BCB" w:rsidRPr="00BD050E">
        <w:rPr>
          <w:rFonts w:asciiTheme="majorHAnsi" w:hAnsiTheme="majorHAnsi" w:cstheme="majorHAnsi"/>
          <w:b/>
          <w:i/>
          <w:color w:val="000000" w:themeColor="text1"/>
          <w:sz w:val="24"/>
          <w:szCs w:val="24"/>
          <w:lang w:val="ro-RO"/>
        </w:rPr>
        <w:t>calității</w:t>
      </w:r>
      <w:r w:rsidRPr="00BD050E">
        <w:rPr>
          <w:rFonts w:asciiTheme="majorHAnsi" w:hAnsiTheme="majorHAnsi" w:cstheme="majorHAnsi"/>
          <w:b/>
          <w:i/>
          <w:color w:val="000000" w:themeColor="text1"/>
          <w:sz w:val="24"/>
          <w:szCs w:val="24"/>
          <w:lang w:val="ro-RO"/>
        </w:rPr>
        <w:t xml:space="preserve"> serviciilor medicale; c</w:t>
      </w:r>
      <w:r w:rsidR="00290D70" w:rsidRPr="00BD050E">
        <w:rPr>
          <w:rFonts w:asciiTheme="majorHAnsi" w:hAnsiTheme="majorHAnsi" w:cstheme="majorHAnsi"/>
          <w:b/>
          <w:i/>
          <w:color w:val="000000" w:themeColor="text1"/>
          <w:sz w:val="24"/>
          <w:szCs w:val="24"/>
          <w:lang w:val="ro-RO"/>
        </w:rPr>
        <w:t>onsumul de tutun</w:t>
      </w:r>
      <w:r w:rsidR="00290D70" w:rsidRPr="00BD050E">
        <w:rPr>
          <w:rFonts w:asciiTheme="majorHAnsi" w:hAnsiTheme="majorHAnsi" w:cstheme="majorHAnsi"/>
          <w:color w:val="000000" w:themeColor="text1"/>
          <w:sz w:val="24"/>
          <w:szCs w:val="24"/>
          <w:lang w:val="ro-RO"/>
        </w:rPr>
        <w:t>.</w:t>
      </w:r>
      <w:bookmarkEnd w:id="12"/>
      <w:bookmarkEnd w:id="13"/>
      <w:bookmarkEnd w:id="14"/>
      <w:r w:rsidR="00C76C03" w:rsidRPr="00BD050E">
        <w:rPr>
          <w:rFonts w:asciiTheme="majorHAnsi" w:hAnsiTheme="majorHAnsi" w:cstheme="majorHAnsi"/>
          <w:color w:val="000000" w:themeColor="text1"/>
          <w:sz w:val="24"/>
          <w:szCs w:val="24"/>
          <w:lang w:val="ro-RO"/>
        </w:rPr>
        <w:t xml:space="preserve"> </w:t>
      </w:r>
      <w:r w:rsidR="00290D70" w:rsidRPr="00BD050E">
        <w:rPr>
          <w:rFonts w:asciiTheme="majorHAnsi" w:hAnsiTheme="majorHAnsi" w:cstheme="majorHAnsi"/>
          <w:bCs/>
          <w:color w:val="000000" w:themeColor="text1"/>
          <w:sz w:val="24"/>
          <w:szCs w:val="24"/>
          <w:lang w:val="ro-RO"/>
        </w:rPr>
        <w:t xml:space="preserve">Rezultatele modulului „Sănătate” în cadrul sondajului bugetelor gospodăriilor casnice de către </w:t>
      </w:r>
      <w:r w:rsidR="00BD050E" w:rsidRPr="00BD050E">
        <w:rPr>
          <w:rFonts w:asciiTheme="majorHAnsi" w:hAnsiTheme="majorHAnsi" w:cstheme="majorHAnsi"/>
          <w:bCs/>
          <w:color w:val="000000" w:themeColor="text1"/>
          <w:sz w:val="24"/>
          <w:szCs w:val="24"/>
          <w:lang w:val="ro-RO"/>
        </w:rPr>
        <w:t>Biroul Național de Statistică</w:t>
      </w:r>
      <w:r w:rsidR="00290D70" w:rsidRPr="00BD050E">
        <w:rPr>
          <w:rFonts w:asciiTheme="majorHAnsi" w:hAnsiTheme="majorHAnsi" w:cstheme="majorHAnsi"/>
          <w:bCs/>
          <w:color w:val="000000" w:themeColor="text1"/>
          <w:sz w:val="24"/>
          <w:szCs w:val="24"/>
          <w:lang w:val="ro-RO"/>
        </w:rPr>
        <w:t xml:space="preserve"> vor servi </w:t>
      </w:r>
      <w:r w:rsidR="0056125E" w:rsidRPr="00BD050E">
        <w:rPr>
          <w:rFonts w:asciiTheme="majorHAnsi" w:hAnsiTheme="majorHAnsi" w:cstheme="majorHAnsi"/>
          <w:bCs/>
          <w:color w:val="000000" w:themeColor="text1"/>
          <w:sz w:val="24"/>
          <w:szCs w:val="24"/>
          <w:lang w:val="ro-RO"/>
        </w:rPr>
        <w:t xml:space="preserve">ca </w:t>
      </w:r>
      <w:r w:rsidR="00290D70" w:rsidRPr="00BD050E">
        <w:rPr>
          <w:rFonts w:asciiTheme="majorHAnsi" w:hAnsiTheme="majorHAnsi" w:cstheme="majorHAnsi"/>
          <w:bCs/>
          <w:color w:val="000000" w:themeColor="text1"/>
          <w:sz w:val="24"/>
          <w:szCs w:val="24"/>
          <w:lang w:val="ro-RO"/>
        </w:rPr>
        <w:t>temei pentru Banca Mondială în apr</w:t>
      </w:r>
      <w:r w:rsidR="00C76C03" w:rsidRPr="00BD050E">
        <w:rPr>
          <w:rFonts w:asciiTheme="majorHAnsi" w:hAnsiTheme="majorHAnsi" w:cstheme="majorHAnsi"/>
          <w:bCs/>
          <w:color w:val="000000" w:themeColor="text1"/>
          <w:sz w:val="24"/>
          <w:szCs w:val="24"/>
          <w:lang w:val="ro-RO"/>
        </w:rPr>
        <w:t>ecierea progresului Proiectului.</w:t>
      </w:r>
    </w:p>
    <w:p w14:paraId="5D16AB1C" w14:textId="38ED4F38" w:rsidR="00C76C03" w:rsidRPr="00BD050E" w:rsidRDefault="00C76C03" w:rsidP="008A4784">
      <w:pPr>
        <w:pStyle w:val="ListParagraph"/>
        <w:numPr>
          <w:ilvl w:val="0"/>
          <w:numId w:val="12"/>
        </w:numPr>
        <w:spacing w:line="276" w:lineRule="auto"/>
        <w:ind w:left="0" w:firstLine="417"/>
        <w:jc w:val="both"/>
        <w:rPr>
          <w:rFonts w:asciiTheme="majorHAnsi" w:hAnsiTheme="majorHAnsi" w:cstheme="majorHAnsi"/>
          <w:b/>
          <w:color w:val="000000" w:themeColor="text1"/>
          <w:sz w:val="24"/>
          <w:szCs w:val="24"/>
          <w:lang w:val="ro-RO"/>
        </w:rPr>
      </w:pPr>
      <w:r w:rsidRPr="00BD050E">
        <w:rPr>
          <w:rFonts w:asciiTheme="majorHAnsi" w:hAnsiTheme="majorHAnsi" w:cstheme="majorHAnsi"/>
          <w:b/>
          <w:color w:val="000000" w:themeColor="text1"/>
          <w:sz w:val="24"/>
          <w:szCs w:val="24"/>
          <w:lang w:val="ro-RO"/>
        </w:rPr>
        <w:t>Elaborarea Strategiei de comunicare a M</w:t>
      </w:r>
      <w:r w:rsidR="008A4784" w:rsidRPr="00BD050E">
        <w:rPr>
          <w:rFonts w:asciiTheme="majorHAnsi" w:hAnsiTheme="majorHAnsi" w:cstheme="majorHAnsi"/>
          <w:b/>
          <w:color w:val="000000" w:themeColor="text1"/>
          <w:sz w:val="24"/>
          <w:szCs w:val="24"/>
          <w:lang w:val="ro-RO"/>
        </w:rPr>
        <w:t>inisterului Sănătății</w:t>
      </w:r>
      <w:r w:rsidRPr="00BD050E">
        <w:rPr>
          <w:rFonts w:asciiTheme="majorHAnsi" w:hAnsiTheme="majorHAnsi" w:cstheme="majorHAnsi"/>
          <w:b/>
          <w:color w:val="000000" w:themeColor="text1"/>
          <w:sz w:val="24"/>
          <w:szCs w:val="24"/>
          <w:lang w:val="ro-RO"/>
        </w:rPr>
        <w:t xml:space="preserve"> 2021-2023 (</w:t>
      </w:r>
      <w:r w:rsidR="00C150D4" w:rsidRPr="00BD050E">
        <w:rPr>
          <w:rFonts w:asciiTheme="majorHAnsi" w:hAnsiTheme="majorHAnsi" w:cstheme="majorHAnsi"/>
          <w:b/>
          <w:color w:val="000000" w:themeColor="text1"/>
          <w:sz w:val="24"/>
          <w:szCs w:val="24"/>
          <w:lang w:val="ro-RO"/>
        </w:rPr>
        <w:t>C</w:t>
      </w:r>
      <w:r w:rsidRPr="00BD050E">
        <w:rPr>
          <w:rFonts w:asciiTheme="majorHAnsi" w:hAnsiTheme="majorHAnsi" w:cstheme="majorHAnsi"/>
          <w:b/>
          <w:color w:val="000000" w:themeColor="text1"/>
          <w:sz w:val="24"/>
          <w:szCs w:val="24"/>
          <w:lang w:val="ro-RO"/>
        </w:rPr>
        <w:t xml:space="preserve">omponenta </w:t>
      </w:r>
      <w:r w:rsidR="00A91C5D" w:rsidRPr="00BD050E">
        <w:rPr>
          <w:rFonts w:asciiTheme="majorHAnsi" w:hAnsiTheme="majorHAnsi" w:cstheme="majorHAnsi"/>
          <w:b/>
          <w:color w:val="000000" w:themeColor="text1"/>
          <w:sz w:val="24"/>
          <w:szCs w:val="24"/>
          <w:lang w:val="ro-RO"/>
        </w:rPr>
        <w:t>„S</w:t>
      </w:r>
      <w:r w:rsidRPr="00BD050E">
        <w:rPr>
          <w:rFonts w:asciiTheme="majorHAnsi" w:hAnsiTheme="majorHAnsi" w:cstheme="majorHAnsi"/>
          <w:b/>
          <w:color w:val="000000" w:themeColor="text1"/>
          <w:sz w:val="24"/>
          <w:szCs w:val="24"/>
          <w:lang w:val="ro-RO"/>
        </w:rPr>
        <w:t>ănătate</w:t>
      </w:r>
      <w:r w:rsidR="00A91C5D" w:rsidRPr="00BD050E">
        <w:rPr>
          <w:rFonts w:asciiTheme="majorHAnsi" w:hAnsiTheme="majorHAnsi" w:cstheme="majorHAnsi"/>
          <w:b/>
          <w:color w:val="000000" w:themeColor="text1"/>
          <w:sz w:val="24"/>
          <w:szCs w:val="24"/>
          <w:lang w:val="ro-RO"/>
        </w:rPr>
        <w:t>”</w:t>
      </w:r>
      <w:r w:rsidRPr="00BD050E">
        <w:rPr>
          <w:rFonts w:asciiTheme="majorHAnsi" w:hAnsiTheme="majorHAnsi" w:cstheme="majorHAnsi"/>
          <w:b/>
          <w:color w:val="000000" w:themeColor="text1"/>
          <w:sz w:val="24"/>
          <w:szCs w:val="24"/>
          <w:lang w:val="ro-RO"/>
        </w:rPr>
        <w:t xml:space="preserve"> și </w:t>
      </w:r>
      <w:r w:rsidR="00C150D4" w:rsidRPr="00BD050E">
        <w:rPr>
          <w:rFonts w:asciiTheme="majorHAnsi" w:hAnsiTheme="majorHAnsi" w:cstheme="majorHAnsi"/>
          <w:b/>
          <w:color w:val="000000" w:themeColor="text1"/>
          <w:sz w:val="24"/>
          <w:szCs w:val="24"/>
          <w:lang w:val="ro-RO"/>
        </w:rPr>
        <w:t>C</w:t>
      </w:r>
      <w:r w:rsidRPr="00BD050E">
        <w:rPr>
          <w:rFonts w:asciiTheme="majorHAnsi" w:hAnsiTheme="majorHAnsi" w:cstheme="majorHAnsi"/>
          <w:b/>
          <w:color w:val="000000" w:themeColor="text1"/>
          <w:sz w:val="24"/>
          <w:szCs w:val="24"/>
          <w:lang w:val="ro-RO"/>
        </w:rPr>
        <w:t xml:space="preserve">omponenta </w:t>
      </w:r>
      <w:r w:rsidR="00A91C5D" w:rsidRPr="00BD050E">
        <w:rPr>
          <w:rFonts w:asciiTheme="majorHAnsi" w:hAnsiTheme="majorHAnsi" w:cstheme="majorHAnsi"/>
          <w:b/>
          <w:color w:val="000000" w:themeColor="text1"/>
          <w:sz w:val="24"/>
          <w:szCs w:val="24"/>
          <w:lang w:val="ro-RO"/>
        </w:rPr>
        <w:t>„P</w:t>
      </w:r>
      <w:r w:rsidRPr="00BD050E">
        <w:rPr>
          <w:rFonts w:asciiTheme="majorHAnsi" w:hAnsiTheme="majorHAnsi" w:cstheme="majorHAnsi"/>
          <w:b/>
          <w:color w:val="000000" w:themeColor="text1"/>
          <w:sz w:val="24"/>
          <w:szCs w:val="24"/>
          <w:lang w:val="ro-RO"/>
        </w:rPr>
        <w:t>rotecție socială</w:t>
      </w:r>
      <w:r w:rsidR="00A91C5D" w:rsidRPr="00BD050E">
        <w:rPr>
          <w:rFonts w:asciiTheme="majorHAnsi" w:hAnsiTheme="majorHAnsi" w:cstheme="majorHAnsi"/>
          <w:b/>
          <w:color w:val="000000" w:themeColor="text1"/>
          <w:sz w:val="24"/>
          <w:szCs w:val="24"/>
          <w:lang w:val="ro-RO"/>
        </w:rPr>
        <w:t>”</w:t>
      </w:r>
      <w:r w:rsidRPr="00BD050E">
        <w:rPr>
          <w:rFonts w:asciiTheme="majorHAnsi" w:hAnsiTheme="majorHAnsi" w:cstheme="majorHAnsi"/>
          <w:b/>
          <w:color w:val="000000" w:themeColor="text1"/>
          <w:sz w:val="24"/>
          <w:szCs w:val="24"/>
          <w:lang w:val="ro-RO"/>
        </w:rPr>
        <w:t>)</w:t>
      </w:r>
      <w:r w:rsidR="008A4784" w:rsidRPr="00BD050E">
        <w:rPr>
          <w:rFonts w:asciiTheme="majorHAnsi" w:hAnsiTheme="majorHAnsi" w:cstheme="majorHAnsi"/>
          <w:b/>
          <w:color w:val="000000" w:themeColor="text1"/>
          <w:sz w:val="24"/>
          <w:szCs w:val="24"/>
          <w:lang w:val="ro-RO"/>
        </w:rPr>
        <w:t xml:space="preserve"> </w:t>
      </w:r>
      <w:r w:rsidR="00A91C5D" w:rsidRPr="00BD050E">
        <w:rPr>
          <w:rFonts w:asciiTheme="majorHAnsi" w:hAnsiTheme="majorHAnsi" w:cstheme="majorHAnsi"/>
          <w:b/>
          <w:color w:val="000000" w:themeColor="text1"/>
          <w:sz w:val="24"/>
          <w:szCs w:val="24"/>
          <w:lang w:val="ro-RO"/>
        </w:rPr>
        <w:t>s-</w:t>
      </w:r>
      <w:r w:rsidR="008A4784" w:rsidRPr="00BD050E">
        <w:rPr>
          <w:rFonts w:asciiTheme="majorHAnsi" w:hAnsiTheme="majorHAnsi" w:cstheme="majorHAnsi"/>
          <w:b/>
          <w:bCs/>
          <w:color w:val="000000" w:themeColor="text1"/>
          <w:sz w:val="24"/>
          <w:szCs w:val="24"/>
          <w:lang w:val="ro-RO"/>
        </w:rPr>
        <w:t xml:space="preserve">a orientat spre informarea populației în lupta cu pandemia </w:t>
      </w:r>
      <w:r w:rsidR="00A91C5D" w:rsidRPr="00BD050E">
        <w:rPr>
          <w:rFonts w:asciiTheme="majorHAnsi" w:hAnsiTheme="majorHAnsi" w:cstheme="majorHAnsi"/>
          <w:b/>
          <w:bCs/>
          <w:color w:val="000000" w:themeColor="text1"/>
          <w:sz w:val="24"/>
          <w:szCs w:val="24"/>
          <w:lang w:val="ro-RO"/>
        </w:rPr>
        <w:t xml:space="preserve">de </w:t>
      </w:r>
      <w:r w:rsidR="008A4784" w:rsidRPr="00BD050E">
        <w:rPr>
          <w:rFonts w:asciiTheme="majorHAnsi" w:hAnsiTheme="majorHAnsi" w:cstheme="majorHAnsi"/>
          <w:b/>
          <w:bCs/>
          <w:color w:val="000000" w:themeColor="text1"/>
          <w:sz w:val="24"/>
          <w:szCs w:val="24"/>
          <w:lang w:val="ro-RO"/>
        </w:rPr>
        <w:t>COVID-19</w:t>
      </w:r>
      <w:r w:rsidR="00A91C5D" w:rsidRPr="00BD050E">
        <w:rPr>
          <w:rFonts w:asciiTheme="majorHAnsi" w:hAnsiTheme="majorHAnsi" w:cstheme="majorHAnsi"/>
          <w:b/>
          <w:bCs/>
          <w:color w:val="000000" w:themeColor="text1"/>
          <w:sz w:val="24"/>
          <w:szCs w:val="24"/>
          <w:lang w:val="ro-RO"/>
        </w:rPr>
        <w:t>,</w:t>
      </w:r>
      <w:r w:rsidR="00E20806" w:rsidRPr="00BD050E">
        <w:rPr>
          <w:rFonts w:asciiTheme="majorHAnsi" w:hAnsiTheme="majorHAnsi" w:cstheme="majorHAnsi"/>
          <w:b/>
          <w:bCs/>
          <w:color w:val="000000" w:themeColor="text1"/>
          <w:sz w:val="24"/>
          <w:szCs w:val="24"/>
          <w:lang w:val="ro-RO"/>
        </w:rPr>
        <w:t xml:space="preserve"> </w:t>
      </w:r>
      <w:r w:rsidR="00A91C5D" w:rsidRPr="00BD050E">
        <w:rPr>
          <w:rFonts w:asciiTheme="majorHAnsi" w:hAnsiTheme="majorHAnsi" w:cstheme="majorHAnsi"/>
          <w:b/>
          <w:bCs/>
          <w:color w:val="000000" w:themeColor="text1"/>
          <w:sz w:val="24"/>
          <w:szCs w:val="24"/>
          <w:lang w:val="ro-RO"/>
        </w:rPr>
        <w:t xml:space="preserve">ceea </w:t>
      </w:r>
      <w:r w:rsidR="00E20806" w:rsidRPr="00BD050E">
        <w:rPr>
          <w:rFonts w:asciiTheme="majorHAnsi" w:hAnsiTheme="majorHAnsi" w:cstheme="majorHAnsi"/>
          <w:b/>
          <w:bCs/>
          <w:color w:val="000000" w:themeColor="text1"/>
          <w:sz w:val="24"/>
          <w:szCs w:val="24"/>
          <w:lang w:val="ro-RO"/>
        </w:rPr>
        <w:t>ce a contribuit la debursarea ILD 11.3</w:t>
      </w:r>
    </w:p>
    <w:p w14:paraId="791868E6" w14:textId="2421FCEC" w:rsidR="00290D70" w:rsidRDefault="00050878" w:rsidP="008A4784">
      <w:pPr>
        <w:spacing w:line="276" w:lineRule="auto"/>
        <w:jc w:val="both"/>
        <w:rPr>
          <w:rFonts w:asciiTheme="majorHAnsi" w:hAnsiTheme="majorHAnsi" w:cstheme="majorHAnsi"/>
          <w:bCs/>
          <w:color w:val="000000" w:themeColor="text1"/>
          <w:sz w:val="24"/>
          <w:szCs w:val="24"/>
          <w:lang w:val="ro-RO"/>
        </w:rPr>
      </w:pPr>
      <w:r w:rsidRPr="00BD050E">
        <w:rPr>
          <w:rFonts w:asciiTheme="majorHAnsi" w:hAnsiTheme="majorHAnsi" w:cstheme="majorHAnsi"/>
          <w:color w:val="000000" w:themeColor="text1"/>
          <w:sz w:val="24"/>
          <w:szCs w:val="24"/>
          <w:lang w:val="ro-RO"/>
        </w:rPr>
        <w:t xml:space="preserve">În luna februarie 2021, </w:t>
      </w:r>
      <w:r w:rsidR="00290D70" w:rsidRPr="00BD050E">
        <w:rPr>
          <w:rFonts w:asciiTheme="majorHAnsi" w:hAnsiTheme="majorHAnsi" w:cstheme="majorHAnsi"/>
          <w:color w:val="000000" w:themeColor="text1"/>
          <w:sz w:val="24"/>
          <w:szCs w:val="24"/>
          <w:lang w:val="ro-RO"/>
        </w:rPr>
        <w:t>MSMPS a contractat servicii</w:t>
      </w:r>
      <w:r w:rsidRPr="00BD050E">
        <w:rPr>
          <w:rFonts w:asciiTheme="majorHAnsi" w:hAnsiTheme="majorHAnsi" w:cstheme="majorHAnsi"/>
          <w:color w:val="000000" w:themeColor="text1"/>
          <w:sz w:val="24"/>
          <w:szCs w:val="24"/>
          <w:lang w:val="ro-RO"/>
        </w:rPr>
        <w:t xml:space="preserve"> </w:t>
      </w:r>
      <w:r w:rsidR="00290D70" w:rsidRPr="00BD050E">
        <w:rPr>
          <w:rFonts w:asciiTheme="majorHAnsi" w:hAnsiTheme="majorHAnsi" w:cstheme="majorHAnsi"/>
          <w:color w:val="000000" w:themeColor="text1"/>
          <w:sz w:val="24"/>
          <w:szCs w:val="24"/>
          <w:lang w:val="ro-RO"/>
        </w:rPr>
        <w:t xml:space="preserve">de consultanță pentru elaborarea Strategiei de comunicare a MS </w:t>
      </w:r>
      <w:r w:rsidR="00C150D4" w:rsidRPr="00BD050E">
        <w:rPr>
          <w:rFonts w:asciiTheme="majorHAnsi" w:hAnsiTheme="majorHAnsi" w:cstheme="majorHAnsi"/>
          <w:color w:val="000000" w:themeColor="text1"/>
          <w:sz w:val="24"/>
          <w:szCs w:val="24"/>
          <w:lang w:val="ro-RO"/>
        </w:rPr>
        <w:t xml:space="preserve">pentru anii </w:t>
      </w:r>
      <w:r w:rsidR="00290D70" w:rsidRPr="00BD050E">
        <w:rPr>
          <w:rFonts w:asciiTheme="majorHAnsi" w:hAnsiTheme="majorHAnsi" w:cstheme="majorHAnsi"/>
          <w:color w:val="000000" w:themeColor="text1"/>
          <w:sz w:val="24"/>
          <w:szCs w:val="24"/>
          <w:lang w:val="ro-RO"/>
        </w:rPr>
        <w:t>2021-2023 (</w:t>
      </w:r>
      <w:r w:rsidR="00C150D4" w:rsidRPr="00BD050E">
        <w:rPr>
          <w:rFonts w:asciiTheme="majorHAnsi" w:hAnsiTheme="majorHAnsi" w:cstheme="majorHAnsi"/>
          <w:color w:val="000000" w:themeColor="text1"/>
          <w:sz w:val="24"/>
          <w:szCs w:val="24"/>
          <w:lang w:val="ro-RO"/>
        </w:rPr>
        <w:t>C</w:t>
      </w:r>
      <w:r w:rsidR="00290D70" w:rsidRPr="00BD050E">
        <w:rPr>
          <w:rFonts w:asciiTheme="majorHAnsi" w:hAnsiTheme="majorHAnsi" w:cstheme="majorHAnsi"/>
          <w:color w:val="000000" w:themeColor="text1"/>
          <w:sz w:val="24"/>
          <w:szCs w:val="24"/>
          <w:lang w:val="ro-RO"/>
        </w:rPr>
        <w:t xml:space="preserve">omponenta </w:t>
      </w:r>
      <w:r w:rsidR="00A91C5D" w:rsidRPr="00BD050E">
        <w:rPr>
          <w:rFonts w:asciiTheme="majorHAnsi" w:hAnsiTheme="majorHAnsi" w:cstheme="majorHAnsi"/>
          <w:color w:val="000000" w:themeColor="text1"/>
          <w:sz w:val="24"/>
          <w:szCs w:val="24"/>
          <w:lang w:val="ro-RO"/>
        </w:rPr>
        <w:t>„S</w:t>
      </w:r>
      <w:r w:rsidR="00290D70" w:rsidRPr="00BD050E">
        <w:rPr>
          <w:rFonts w:asciiTheme="majorHAnsi" w:hAnsiTheme="majorHAnsi" w:cstheme="majorHAnsi"/>
          <w:color w:val="000000" w:themeColor="text1"/>
          <w:sz w:val="24"/>
          <w:szCs w:val="24"/>
          <w:lang w:val="ro-RO"/>
        </w:rPr>
        <w:t>ănătate</w:t>
      </w:r>
      <w:r w:rsidR="00A91C5D" w:rsidRPr="00BD050E">
        <w:rPr>
          <w:rFonts w:asciiTheme="majorHAnsi" w:hAnsiTheme="majorHAnsi" w:cstheme="majorHAnsi"/>
          <w:color w:val="000000" w:themeColor="text1"/>
          <w:sz w:val="24"/>
          <w:szCs w:val="24"/>
          <w:lang w:val="ro-RO"/>
        </w:rPr>
        <w:t>”</w:t>
      </w:r>
      <w:r w:rsidR="00290D70" w:rsidRPr="00BD050E">
        <w:rPr>
          <w:rFonts w:asciiTheme="majorHAnsi" w:hAnsiTheme="majorHAnsi" w:cstheme="majorHAnsi"/>
          <w:color w:val="000000" w:themeColor="text1"/>
          <w:sz w:val="24"/>
          <w:szCs w:val="24"/>
          <w:lang w:val="ro-RO"/>
        </w:rPr>
        <w:t xml:space="preserve"> și </w:t>
      </w:r>
      <w:r w:rsidR="00C150D4" w:rsidRPr="00BD050E">
        <w:rPr>
          <w:rFonts w:asciiTheme="majorHAnsi" w:hAnsiTheme="majorHAnsi" w:cstheme="majorHAnsi"/>
          <w:color w:val="000000" w:themeColor="text1"/>
          <w:sz w:val="24"/>
          <w:szCs w:val="24"/>
          <w:lang w:val="ro-RO"/>
        </w:rPr>
        <w:t>C</w:t>
      </w:r>
      <w:r w:rsidR="00290D70" w:rsidRPr="00BD050E">
        <w:rPr>
          <w:rFonts w:asciiTheme="majorHAnsi" w:hAnsiTheme="majorHAnsi" w:cstheme="majorHAnsi"/>
          <w:color w:val="000000" w:themeColor="text1"/>
          <w:sz w:val="24"/>
          <w:szCs w:val="24"/>
          <w:lang w:val="ro-RO"/>
        </w:rPr>
        <w:t xml:space="preserve">omponenta </w:t>
      </w:r>
      <w:r w:rsidR="00A91C5D" w:rsidRPr="00BD050E">
        <w:rPr>
          <w:rFonts w:asciiTheme="majorHAnsi" w:hAnsiTheme="majorHAnsi" w:cstheme="majorHAnsi"/>
          <w:color w:val="000000" w:themeColor="text1"/>
          <w:sz w:val="24"/>
          <w:szCs w:val="24"/>
          <w:lang w:val="ro-RO"/>
        </w:rPr>
        <w:t>„P</w:t>
      </w:r>
      <w:r w:rsidR="00290D70" w:rsidRPr="00BD050E">
        <w:rPr>
          <w:rFonts w:asciiTheme="majorHAnsi" w:hAnsiTheme="majorHAnsi" w:cstheme="majorHAnsi"/>
          <w:color w:val="000000" w:themeColor="text1"/>
          <w:sz w:val="24"/>
          <w:szCs w:val="24"/>
          <w:lang w:val="ro-RO"/>
        </w:rPr>
        <w:t>rotecție socială</w:t>
      </w:r>
      <w:r w:rsidR="00A91C5D" w:rsidRPr="00BD050E">
        <w:rPr>
          <w:rFonts w:asciiTheme="majorHAnsi" w:hAnsiTheme="majorHAnsi" w:cstheme="majorHAnsi"/>
          <w:color w:val="000000" w:themeColor="text1"/>
          <w:sz w:val="24"/>
          <w:szCs w:val="24"/>
          <w:lang w:val="ro-RO"/>
        </w:rPr>
        <w:t>”</w:t>
      </w:r>
      <w:r w:rsidR="00290D70" w:rsidRPr="00BD050E">
        <w:rPr>
          <w:rFonts w:asciiTheme="majorHAnsi" w:hAnsiTheme="majorHAnsi" w:cstheme="majorHAnsi"/>
          <w:color w:val="000000" w:themeColor="text1"/>
          <w:sz w:val="24"/>
          <w:szCs w:val="24"/>
          <w:lang w:val="ro-RO"/>
        </w:rPr>
        <w:t>)</w:t>
      </w:r>
      <w:r w:rsidR="00C150D4" w:rsidRPr="00BD050E">
        <w:rPr>
          <w:rFonts w:asciiTheme="majorHAnsi" w:hAnsiTheme="majorHAnsi" w:cstheme="majorHAnsi"/>
          <w:color w:val="000000" w:themeColor="text1"/>
          <w:sz w:val="24"/>
          <w:szCs w:val="24"/>
          <w:lang w:val="ro-RO"/>
        </w:rPr>
        <w:t>e</w:t>
      </w:r>
      <w:r w:rsidR="00290D70" w:rsidRPr="00BD050E">
        <w:rPr>
          <w:rFonts w:asciiTheme="majorHAnsi" w:hAnsiTheme="majorHAnsi" w:cstheme="majorHAnsi"/>
          <w:bCs/>
          <w:color w:val="000000" w:themeColor="text1"/>
          <w:sz w:val="24"/>
          <w:szCs w:val="24"/>
          <w:lang w:val="ro-RO"/>
        </w:rPr>
        <w:t xml:space="preserve"> Servicii</w:t>
      </w:r>
      <w:r w:rsidRPr="00BD050E">
        <w:rPr>
          <w:rFonts w:asciiTheme="majorHAnsi" w:hAnsiTheme="majorHAnsi" w:cstheme="majorHAnsi"/>
          <w:bCs/>
          <w:color w:val="000000" w:themeColor="text1"/>
          <w:sz w:val="24"/>
          <w:szCs w:val="24"/>
          <w:lang w:val="ro-RO"/>
        </w:rPr>
        <w:t>le</w:t>
      </w:r>
      <w:r w:rsidR="00290D70" w:rsidRPr="00BD050E">
        <w:rPr>
          <w:rFonts w:asciiTheme="majorHAnsi" w:hAnsiTheme="majorHAnsi" w:cstheme="majorHAnsi"/>
          <w:bCs/>
          <w:color w:val="000000" w:themeColor="text1"/>
          <w:sz w:val="24"/>
          <w:szCs w:val="24"/>
          <w:lang w:val="ro-RO"/>
        </w:rPr>
        <w:t xml:space="preserve"> de consu</w:t>
      </w:r>
      <w:r w:rsidR="008A4784" w:rsidRPr="00BD050E">
        <w:rPr>
          <w:rFonts w:asciiTheme="majorHAnsi" w:hAnsiTheme="majorHAnsi" w:cstheme="majorHAnsi"/>
          <w:bCs/>
          <w:color w:val="000000" w:themeColor="text1"/>
          <w:sz w:val="24"/>
          <w:szCs w:val="24"/>
          <w:lang w:val="ro-RO"/>
        </w:rPr>
        <w:t xml:space="preserve">ltanță </w:t>
      </w:r>
      <w:r w:rsidRPr="00BD050E">
        <w:rPr>
          <w:rFonts w:asciiTheme="majorHAnsi" w:hAnsiTheme="majorHAnsi" w:cstheme="majorHAnsi"/>
          <w:bCs/>
          <w:color w:val="000000" w:themeColor="text1"/>
          <w:sz w:val="24"/>
          <w:szCs w:val="24"/>
          <w:lang w:val="ro-RO"/>
        </w:rPr>
        <w:t>au fost realizat</w:t>
      </w:r>
      <w:r w:rsidR="00C150D4" w:rsidRPr="00BD050E">
        <w:rPr>
          <w:rFonts w:asciiTheme="majorHAnsi" w:hAnsiTheme="majorHAnsi" w:cstheme="majorHAnsi"/>
          <w:bCs/>
          <w:color w:val="000000" w:themeColor="text1"/>
          <w:sz w:val="24"/>
          <w:szCs w:val="24"/>
          <w:lang w:val="ro-RO"/>
        </w:rPr>
        <w:t>e</w:t>
      </w:r>
      <w:r w:rsidR="008A4784" w:rsidRPr="00BD050E">
        <w:rPr>
          <w:rFonts w:asciiTheme="majorHAnsi" w:hAnsiTheme="majorHAnsi" w:cstheme="majorHAnsi"/>
          <w:bCs/>
          <w:color w:val="000000" w:themeColor="text1"/>
          <w:sz w:val="24"/>
          <w:szCs w:val="24"/>
          <w:lang w:val="ro-RO"/>
        </w:rPr>
        <w:t xml:space="preserve"> pâ</w:t>
      </w:r>
      <w:r w:rsidR="00290D70" w:rsidRPr="00BD050E">
        <w:rPr>
          <w:rFonts w:asciiTheme="majorHAnsi" w:hAnsiTheme="majorHAnsi" w:cstheme="majorHAnsi"/>
          <w:bCs/>
          <w:color w:val="000000" w:themeColor="text1"/>
          <w:sz w:val="24"/>
          <w:szCs w:val="24"/>
          <w:lang w:val="ro-RO"/>
        </w:rPr>
        <w:t xml:space="preserve">nă la finele lunii iunie 2021, iar </w:t>
      </w:r>
      <w:r w:rsidR="002C5F89" w:rsidRPr="00BD050E">
        <w:rPr>
          <w:rFonts w:asciiTheme="majorHAnsi" w:hAnsiTheme="majorHAnsi" w:cstheme="majorHAnsi"/>
          <w:bCs/>
          <w:color w:val="000000" w:themeColor="text1"/>
          <w:sz w:val="24"/>
          <w:szCs w:val="24"/>
          <w:lang w:val="ro-RO"/>
        </w:rPr>
        <w:t>S</w:t>
      </w:r>
      <w:r w:rsidR="00290D70" w:rsidRPr="00BD050E">
        <w:rPr>
          <w:rFonts w:asciiTheme="majorHAnsi" w:hAnsiTheme="majorHAnsi" w:cstheme="majorHAnsi"/>
          <w:bCs/>
          <w:color w:val="000000" w:themeColor="text1"/>
          <w:sz w:val="24"/>
          <w:szCs w:val="24"/>
          <w:lang w:val="ro-RO"/>
        </w:rPr>
        <w:t>trategia elaborată</w:t>
      </w:r>
      <w:r w:rsidR="002C5F89" w:rsidRPr="00BD050E">
        <w:rPr>
          <w:rFonts w:asciiTheme="majorHAnsi" w:hAnsiTheme="majorHAnsi" w:cstheme="majorHAnsi"/>
          <w:bCs/>
          <w:color w:val="000000" w:themeColor="text1"/>
          <w:sz w:val="24"/>
          <w:szCs w:val="24"/>
          <w:lang w:val="ro-RO"/>
        </w:rPr>
        <w:t>,</w:t>
      </w:r>
      <w:r w:rsidR="00290D70" w:rsidRPr="00BD050E">
        <w:rPr>
          <w:rFonts w:asciiTheme="majorHAnsi" w:hAnsiTheme="majorHAnsi" w:cstheme="majorHAnsi"/>
          <w:bCs/>
          <w:color w:val="000000" w:themeColor="text1"/>
          <w:sz w:val="24"/>
          <w:szCs w:val="24"/>
          <w:lang w:val="ro-RO"/>
        </w:rPr>
        <w:t xml:space="preserve"> cu </w:t>
      </w:r>
      <w:r w:rsidR="002C5F89" w:rsidRPr="00BD050E">
        <w:rPr>
          <w:rFonts w:asciiTheme="majorHAnsi" w:hAnsiTheme="majorHAnsi" w:cstheme="majorHAnsi"/>
          <w:bCs/>
          <w:color w:val="000000" w:themeColor="text1"/>
          <w:sz w:val="24"/>
          <w:szCs w:val="24"/>
          <w:lang w:val="ro-RO"/>
        </w:rPr>
        <w:t>P</w:t>
      </w:r>
      <w:r w:rsidR="00290D70" w:rsidRPr="00BD050E">
        <w:rPr>
          <w:rFonts w:asciiTheme="majorHAnsi" w:hAnsiTheme="majorHAnsi" w:cstheme="majorHAnsi"/>
          <w:bCs/>
          <w:color w:val="000000" w:themeColor="text1"/>
          <w:sz w:val="24"/>
          <w:szCs w:val="24"/>
          <w:lang w:val="ro-RO"/>
        </w:rPr>
        <w:t>lanul de acțiun</w:t>
      </w:r>
      <w:r w:rsidR="002C5F89" w:rsidRPr="00BD050E">
        <w:rPr>
          <w:rFonts w:asciiTheme="majorHAnsi" w:hAnsiTheme="majorHAnsi" w:cstheme="majorHAnsi"/>
          <w:bCs/>
          <w:color w:val="000000" w:themeColor="text1"/>
          <w:sz w:val="24"/>
          <w:szCs w:val="24"/>
          <w:lang w:val="ro-RO"/>
        </w:rPr>
        <w:t>i</w:t>
      </w:r>
      <w:r w:rsidR="00290D70" w:rsidRPr="00BD050E">
        <w:rPr>
          <w:rFonts w:asciiTheme="majorHAnsi" w:hAnsiTheme="majorHAnsi" w:cstheme="majorHAnsi"/>
          <w:bCs/>
          <w:color w:val="000000" w:themeColor="text1"/>
          <w:sz w:val="24"/>
          <w:szCs w:val="24"/>
          <w:lang w:val="ro-RO"/>
        </w:rPr>
        <w:t xml:space="preserve"> pentru implementarea Strategiei de comunicare 2021-2023 conțin și </w:t>
      </w:r>
      <w:r w:rsidR="00C150D4" w:rsidRPr="00BD050E">
        <w:rPr>
          <w:rFonts w:asciiTheme="majorHAnsi" w:hAnsiTheme="majorHAnsi" w:cstheme="majorHAnsi"/>
          <w:bCs/>
          <w:color w:val="000000" w:themeColor="text1"/>
          <w:sz w:val="24"/>
          <w:szCs w:val="24"/>
          <w:lang w:val="ro-RO"/>
        </w:rPr>
        <w:t>C</w:t>
      </w:r>
      <w:r w:rsidR="00290D70" w:rsidRPr="00BD050E">
        <w:rPr>
          <w:rFonts w:asciiTheme="majorHAnsi" w:hAnsiTheme="majorHAnsi" w:cstheme="majorHAnsi"/>
          <w:bCs/>
          <w:color w:val="000000" w:themeColor="text1"/>
          <w:sz w:val="24"/>
          <w:szCs w:val="24"/>
          <w:lang w:val="ro-RO"/>
        </w:rPr>
        <w:t xml:space="preserve">omponenta de informare a populației în lupta cu pandemia </w:t>
      </w:r>
      <w:r w:rsidR="00A91C5D" w:rsidRPr="00BD050E">
        <w:rPr>
          <w:rFonts w:asciiTheme="majorHAnsi" w:hAnsiTheme="majorHAnsi" w:cstheme="majorHAnsi"/>
          <w:bCs/>
          <w:color w:val="000000" w:themeColor="text1"/>
          <w:sz w:val="24"/>
          <w:szCs w:val="24"/>
          <w:lang w:val="ro-RO"/>
        </w:rPr>
        <w:t xml:space="preserve">de </w:t>
      </w:r>
      <w:r w:rsidR="00290D70" w:rsidRPr="00BD050E">
        <w:rPr>
          <w:rFonts w:asciiTheme="majorHAnsi" w:hAnsiTheme="majorHAnsi" w:cstheme="majorHAnsi"/>
          <w:bCs/>
          <w:color w:val="000000" w:themeColor="text1"/>
          <w:sz w:val="24"/>
          <w:szCs w:val="24"/>
          <w:lang w:val="ro-RO"/>
        </w:rPr>
        <w:t>COVID-19. Suma pentru această activitate</w:t>
      </w:r>
      <w:r w:rsidRPr="00BD050E">
        <w:rPr>
          <w:rFonts w:asciiTheme="majorHAnsi" w:hAnsiTheme="majorHAnsi" w:cstheme="majorHAnsi"/>
          <w:bCs/>
          <w:color w:val="000000" w:themeColor="text1"/>
          <w:sz w:val="24"/>
          <w:szCs w:val="24"/>
          <w:lang w:val="ro-RO"/>
        </w:rPr>
        <w:t xml:space="preserve"> a constituit 40.000 dolari SUA. Mai mult </w:t>
      </w:r>
      <w:r w:rsidR="00A91C5D" w:rsidRPr="00BD050E">
        <w:rPr>
          <w:rFonts w:asciiTheme="majorHAnsi" w:hAnsiTheme="majorHAnsi" w:cstheme="majorHAnsi"/>
          <w:bCs/>
          <w:color w:val="000000" w:themeColor="text1"/>
          <w:sz w:val="24"/>
          <w:szCs w:val="24"/>
          <w:lang w:val="ro-RO"/>
        </w:rPr>
        <w:t>decât</w:t>
      </w:r>
      <w:r w:rsidRPr="00BD050E">
        <w:rPr>
          <w:rFonts w:asciiTheme="majorHAnsi" w:hAnsiTheme="majorHAnsi" w:cstheme="majorHAnsi"/>
          <w:bCs/>
          <w:color w:val="000000" w:themeColor="text1"/>
          <w:sz w:val="24"/>
          <w:szCs w:val="24"/>
          <w:lang w:val="ro-RO"/>
        </w:rPr>
        <w:t xml:space="preserve"> atât, </w:t>
      </w:r>
      <w:r w:rsidR="00290D70" w:rsidRPr="00BD050E">
        <w:rPr>
          <w:rFonts w:asciiTheme="majorHAnsi" w:hAnsiTheme="majorHAnsi" w:cstheme="majorHAnsi"/>
          <w:bCs/>
          <w:color w:val="000000" w:themeColor="text1"/>
          <w:sz w:val="24"/>
          <w:szCs w:val="24"/>
          <w:lang w:val="ro-RO"/>
        </w:rPr>
        <w:t>fin</w:t>
      </w:r>
      <w:r w:rsidR="00A91C5D" w:rsidRPr="00BD050E">
        <w:rPr>
          <w:rFonts w:asciiTheme="majorHAnsi" w:hAnsiTheme="majorHAnsi" w:cstheme="majorHAnsi"/>
          <w:bCs/>
          <w:color w:val="000000" w:themeColor="text1"/>
          <w:sz w:val="24"/>
          <w:szCs w:val="24"/>
          <w:lang w:val="ro-RO"/>
        </w:rPr>
        <w:t>aliz</w:t>
      </w:r>
      <w:r w:rsidR="00290D70" w:rsidRPr="00BD050E">
        <w:rPr>
          <w:rFonts w:asciiTheme="majorHAnsi" w:hAnsiTheme="majorHAnsi" w:cstheme="majorHAnsi"/>
          <w:bCs/>
          <w:color w:val="000000" w:themeColor="text1"/>
          <w:sz w:val="24"/>
          <w:szCs w:val="24"/>
          <w:lang w:val="ro-RO"/>
        </w:rPr>
        <w:t xml:space="preserve">area acestei strategii </w:t>
      </w:r>
      <w:r w:rsidRPr="00BD050E">
        <w:rPr>
          <w:rFonts w:asciiTheme="majorHAnsi" w:hAnsiTheme="majorHAnsi" w:cstheme="majorHAnsi"/>
          <w:bCs/>
          <w:color w:val="000000" w:themeColor="text1"/>
          <w:sz w:val="24"/>
          <w:szCs w:val="24"/>
          <w:lang w:val="ro-RO"/>
        </w:rPr>
        <w:t xml:space="preserve"> a făcut </w:t>
      </w:r>
      <w:r w:rsidR="00290D70" w:rsidRPr="00BD050E">
        <w:rPr>
          <w:rFonts w:asciiTheme="majorHAnsi" w:hAnsiTheme="majorHAnsi" w:cstheme="majorHAnsi"/>
          <w:bCs/>
          <w:color w:val="000000" w:themeColor="text1"/>
          <w:sz w:val="24"/>
          <w:szCs w:val="24"/>
          <w:lang w:val="ro-RO"/>
        </w:rPr>
        <w:t>posibil</w:t>
      </w:r>
      <w:r w:rsidRPr="00BD050E">
        <w:rPr>
          <w:rFonts w:asciiTheme="majorHAnsi" w:hAnsiTheme="majorHAnsi" w:cstheme="majorHAnsi"/>
          <w:bCs/>
          <w:color w:val="000000" w:themeColor="text1"/>
          <w:sz w:val="24"/>
          <w:szCs w:val="24"/>
          <w:lang w:val="ro-RO"/>
        </w:rPr>
        <w:t>ă</w:t>
      </w:r>
      <w:r w:rsidR="00290D70" w:rsidRPr="00BD050E">
        <w:rPr>
          <w:rFonts w:asciiTheme="majorHAnsi" w:hAnsiTheme="majorHAnsi" w:cstheme="majorHAnsi"/>
          <w:bCs/>
          <w:color w:val="000000" w:themeColor="text1"/>
          <w:sz w:val="24"/>
          <w:szCs w:val="24"/>
          <w:lang w:val="ro-RO"/>
        </w:rPr>
        <w:t xml:space="preserve"> debursarea</w:t>
      </w:r>
      <w:r w:rsidRPr="00BD050E">
        <w:rPr>
          <w:rFonts w:asciiTheme="majorHAnsi" w:hAnsiTheme="majorHAnsi" w:cstheme="majorHAnsi"/>
          <w:bCs/>
          <w:color w:val="000000" w:themeColor="text1"/>
          <w:sz w:val="24"/>
          <w:szCs w:val="24"/>
          <w:lang w:val="ro-RO"/>
        </w:rPr>
        <w:t xml:space="preserve"> </w:t>
      </w:r>
      <w:r w:rsidR="00290D70" w:rsidRPr="00BD050E">
        <w:rPr>
          <w:rFonts w:asciiTheme="majorHAnsi" w:hAnsiTheme="majorHAnsi" w:cstheme="majorHAnsi"/>
          <w:bCs/>
          <w:color w:val="000000" w:themeColor="text1"/>
          <w:sz w:val="24"/>
          <w:szCs w:val="24"/>
          <w:lang w:val="ro-RO"/>
        </w:rPr>
        <w:t xml:space="preserve">de către Ministerul Finanțelor a sumei de 1.099.000 </w:t>
      </w:r>
      <w:r w:rsidRPr="00BD050E">
        <w:rPr>
          <w:rFonts w:asciiTheme="majorHAnsi" w:hAnsiTheme="majorHAnsi" w:cstheme="majorHAnsi"/>
          <w:bCs/>
          <w:color w:val="000000" w:themeColor="text1"/>
          <w:sz w:val="24"/>
          <w:szCs w:val="24"/>
          <w:lang w:val="ro-RO"/>
        </w:rPr>
        <w:t>DST</w:t>
      </w:r>
      <w:r w:rsidR="00290D70" w:rsidRPr="00BD050E">
        <w:rPr>
          <w:rFonts w:asciiTheme="majorHAnsi" w:hAnsiTheme="majorHAnsi" w:cstheme="majorHAnsi"/>
          <w:bCs/>
          <w:color w:val="000000" w:themeColor="text1"/>
          <w:sz w:val="24"/>
          <w:szCs w:val="24"/>
          <w:lang w:val="ro-RO"/>
        </w:rPr>
        <w:t xml:space="preserve"> pentru</w:t>
      </w:r>
      <w:r w:rsidR="002C5F89" w:rsidRPr="00BD050E">
        <w:rPr>
          <w:rFonts w:asciiTheme="majorHAnsi" w:hAnsiTheme="majorHAnsi" w:cstheme="majorHAnsi"/>
          <w:bCs/>
          <w:color w:val="000000" w:themeColor="text1"/>
          <w:sz w:val="24"/>
          <w:szCs w:val="24"/>
          <w:lang w:val="ro-RO"/>
        </w:rPr>
        <w:t xml:space="preserve"> ILD </w:t>
      </w:r>
      <w:r w:rsidR="00290D70" w:rsidRPr="00BD050E">
        <w:rPr>
          <w:rFonts w:asciiTheme="majorHAnsi" w:hAnsiTheme="majorHAnsi" w:cstheme="majorHAnsi"/>
          <w:bCs/>
          <w:color w:val="000000" w:themeColor="text1"/>
          <w:sz w:val="24"/>
          <w:szCs w:val="24"/>
          <w:lang w:val="ro-RO"/>
        </w:rPr>
        <w:t xml:space="preserve">11.3 (Revizuirea </w:t>
      </w:r>
      <w:r w:rsidR="002C5F89" w:rsidRPr="00BD050E">
        <w:rPr>
          <w:rFonts w:asciiTheme="majorHAnsi" w:hAnsiTheme="majorHAnsi" w:cstheme="majorHAnsi"/>
          <w:bCs/>
          <w:color w:val="000000" w:themeColor="text1"/>
          <w:sz w:val="24"/>
          <w:szCs w:val="24"/>
          <w:lang w:val="ro-RO"/>
        </w:rPr>
        <w:t>S</w:t>
      </w:r>
      <w:r w:rsidR="00290D70" w:rsidRPr="00BD050E">
        <w:rPr>
          <w:rFonts w:asciiTheme="majorHAnsi" w:hAnsiTheme="majorHAnsi" w:cstheme="majorHAnsi"/>
          <w:bCs/>
          <w:color w:val="000000" w:themeColor="text1"/>
          <w:sz w:val="24"/>
          <w:szCs w:val="24"/>
          <w:lang w:val="ro-RO"/>
        </w:rPr>
        <w:t>trategiei naționale de comunicare pentru COVID-19</w:t>
      </w:r>
      <w:r w:rsidR="002C5F89" w:rsidRPr="00BD050E">
        <w:rPr>
          <w:rFonts w:asciiTheme="majorHAnsi" w:hAnsiTheme="majorHAnsi" w:cstheme="majorHAnsi"/>
          <w:bCs/>
          <w:color w:val="000000" w:themeColor="text1"/>
          <w:sz w:val="24"/>
          <w:szCs w:val="24"/>
          <w:lang w:val="ro-RO"/>
        </w:rPr>
        <w:t>,</w:t>
      </w:r>
      <w:r w:rsidR="00290D70" w:rsidRPr="00BD050E">
        <w:rPr>
          <w:rFonts w:asciiTheme="majorHAnsi" w:hAnsiTheme="majorHAnsi" w:cstheme="majorHAnsi"/>
          <w:bCs/>
          <w:color w:val="000000" w:themeColor="text1"/>
          <w:sz w:val="24"/>
          <w:szCs w:val="24"/>
          <w:lang w:val="ro-RO"/>
        </w:rPr>
        <w:t xml:space="preserve"> cu implementarea a șase activități ale strategi</w:t>
      </w:r>
      <w:r w:rsidR="002C5F89" w:rsidRPr="00BD050E">
        <w:rPr>
          <w:rFonts w:asciiTheme="majorHAnsi" w:hAnsiTheme="majorHAnsi" w:cstheme="majorHAnsi"/>
          <w:bCs/>
          <w:color w:val="000000" w:themeColor="text1"/>
          <w:sz w:val="24"/>
          <w:szCs w:val="24"/>
          <w:lang w:val="ro-RO"/>
        </w:rPr>
        <w:t>ei</w:t>
      </w:r>
      <w:r w:rsidR="00290D70" w:rsidRPr="00BD050E">
        <w:rPr>
          <w:rFonts w:asciiTheme="majorHAnsi" w:hAnsiTheme="majorHAnsi" w:cstheme="majorHAnsi"/>
          <w:bCs/>
          <w:color w:val="000000" w:themeColor="text1"/>
          <w:sz w:val="24"/>
          <w:szCs w:val="24"/>
          <w:lang w:val="ro-RO"/>
        </w:rPr>
        <w:t xml:space="preserve"> revizuit</w:t>
      </w:r>
      <w:r w:rsidR="002C5F89" w:rsidRPr="00BD050E">
        <w:rPr>
          <w:rFonts w:asciiTheme="majorHAnsi" w:hAnsiTheme="majorHAnsi" w:cstheme="majorHAnsi"/>
          <w:bCs/>
          <w:color w:val="000000" w:themeColor="text1"/>
          <w:sz w:val="24"/>
          <w:szCs w:val="24"/>
          <w:lang w:val="ro-RO"/>
        </w:rPr>
        <w:t>e</w:t>
      </w:r>
      <w:r w:rsidR="00290D70" w:rsidRPr="00BD050E">
        <w:rPr>
          <w:rFonts w:asciiTheme="majorHAnsi" w:hAnsiTheme="majorHAnsi" w:cstheme="majorHAnsi"/>
          <w:bCs/>
          <w:color w:val="000000" w:themeColor="text1"/>
          <w:sz w:val="24"/>
          <w:szCs w:val="24"/>
          <w:lang w:val="ro-RO"/>
        </w:rPr>
        <w:t>).</w:t>
      </w:r>
    </w:p>
    <w:p w14:paraId="46F09FE8" w14:textId="17C94BAC" w:rsidR="006D38A6" w:rsidRDefault="006D38A6" w:rsidP="008A4784">
      <w:pPr>
        <w:spacing w:line="276" w:lineRule="auto"/>
        <w:jc w:val="both"/>
        <w:rPr>
          <w:rFonts w:asciiTheme="majorHAnsi" w:hAnsiTheme="majorHAnsi" w:cstheme="majorHAnsi"/>
          <w:bCs/>
          <w:color w:val="000000" w:themeColor="text1"/>
          <w:sz w:val="24"/>
          <w:szCs w:val="24"/>
          <w:lang w:val="ro-RO"/>
        </w:rPr>
      </w:pPr>
    </w:p>
    <w:p w14:paraId="2068CB8B" w14:textId="77777777" w:rsidR="006D38A6" w:rsidRPr="00BD050E" w:rsidRDefault="006D38A6" w:rsidP="008A4784">
      <w:pPr>
        <w:spacing w:line="276" w:lineRule="auto"/>
        <w:jc w:val="both"/>
        <w:rPr>
          <w:rFonts w:asciiTheme="majorHAnsi" w:hAnsiTheme="majorHAnsi" w:cstheme="majorHAnsi"/>
          <w:color w:val="000000" w:themeColor="text1"/>
          <w:sz w:val="24"/>
          <w:szCs w:val="24"/>
          <w:lang w:val="ro-RO"/>
        </w:rPr>
      </w:pPr>
    </w:p>
    <w:p w14:paraId="2E8ED98D" w14:textId="6FC9F373" w:rsidR="006E0028" w:rsidRPr="00BD050E" w:rsidRDefault="006E0028" w:rsidP="006E0028">
      <w:pPr>
        <w:pStyle w:val="ListParagraph"/>
        <w:numPr>
          <w:ilvl w:val="0"/>
          <w:numId w:val="12"/>
        </w:numPr>
        <w:spacing w:line="276" w:lineRule="auto"/>
        <w:jc w:val="both"/>
        <w:rPr>
          <w:rFonts w:asciiTheme="majorHAnsi" w:hAnsiTheme="majorHAnsi" w:cstheme="majorHAnsi"/>
          <w:b/>
          <w:color w:val="000000" w:themeColor="text1"/>
          <w:sz w:val="24"/>
          <w:szCs w:val="24"/>
          <w:lang w:val="ro-RO"/>
        </w:rPr>
      </w:pPr>
      <w:r w:rsidRPr="00BD050E">
        <w:rPr>
          <w:rFonts w:asciiTheme="majorHAnsi" w:hAnsiTheme="majorHAnsi" w:cstheme="majorHAnsi"/>
          <w:b/>
          <w:color w:val="000000" w:themeColor="text1"/>
          <w:sz w:val="24"/>
          <w:szCs w:val="24"/>
          <w:lang w:val="ro-RO"/>
        </w:rPr>
        <w:lastRenderedPageBreak/>
        <w:t xml:space="preserve">Situațiile financiare ale Proiectului de Asistență Tehnică, care cuprind cheltuielile aferente serviciilor de consultanță, au fost raportate corect și </w:t>
      </w:r>
      <w:r w:rsidR="002D2109" w:rsidRPr="00BD050E">
        <w:rPr>
          <w:rFonts w:asciiTheme="majorHAnsi" w:hAnsiTheme="majorHAnsi" w:cstheme="majorHAnsi"/>
          <w:b/>
          <w:color w:val="000000" w:themeColor="text1"/>
          <w:sz w:val="24"/>
          <w:szCs w:val="24"/>
          <w:lang w:val="ro-RO"/>
        </w:rPr>
        <w:t>pe</w:t>
      </w:r>
      <w:r w:rsidRPr="00BD050E">
        <w:rPr>
          <w:rFonts w:asciiTheme="majorHAnsi" w:hAnsiTheme="majorHAnsi" w:cstheme="majorHAnsi"/>
          <w:b/>
          <w:color w:val="000000" w:themeColor="text1"/>
          <w:sz w:val="24"/>
          <w:szCs w:val="24"/>
          <w:lang w:val="ro-RO"/>
        </w:rPr>
        <w:t xml:space="preserve"> deplin</w:t>
      </w:r>
    </w:p>
    <w:p w14:paraId="387D4740" w14:textId="5D10CB9F" w:rsidR="00F94462" w:rsidRPr="00BD050E" w:rsidRDefault="002D2109" w:rsidP="006E0028">
      <w:pPr>
        <w:spacing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R</w:t>
      </w:r>
      <w:r w:rsidR="00290D70" w:rsidRPr="00BD050E">
        <w:rPr>
          <w:rFonts w:asciiTheme="majorHAnsi" w:hAnsiTheme="majorHAnsi" w:cstheme="majorHAnsi"/>
          <w:color w:val="000000" w:themeColor="text1"/>
          <w:sz w:val="24"/>
          <w:szCs w:val="24"/>
          <w:lang w:val="ro-RO"/>
        </w:rPr>
        <w:t>eferi</w:t>
      </w:r>
      <w:r w:rsidRPr="00BD050E">
        <w:rPr>
          <w:rFonts w:asciiTheme="majorHAnsi" w:hAnsiTheme="majorHAnsi" w:cstheme="majorHAnsi"/>
          <w:color w:val="000000" w:themeColor="text1"/>
          <w:sz w:val="24"/>
          <w:szCs w:val="24"/>
          <w:lang w:val="ro-RO"/>
        </w:rPr>
        <w:t>tor</w:t>
      </w:r>
      <w:r w:rsidR="00290D70" w:rsidRPr="00BD050E">
        <w:rPr>
          <w:rFonts w:asciiTheme="majorHAnsi" w:hAnsiTheme="majorHAnsi" w:cstheme="majorHAnsi"/>
          <w:color w:val="000000" w:themeColor="text1"/>
          <w:sz w:val="24"/>
          <w:szCs w:val="24"/>
          <w:lang w:val="ro-RO"/>
        </w:rPr>
        <w:t xml:space="preserve"> la Suportul </w:t>
      </w:r>
      <w:r w:rsidR="00047BCB" w:rsidRPr="00BD050E">
        <w:rPr>
          <w:rFonts w:asciiTheme="majorHAnsi" w:hAnsiTheme="majorHAnsi" w:cstheme="majorHAnsi"/>
          <w:color w:val="000000" w:themeColor="text1"/>
          <w:sz w:val="24"/>
          <w:szCs w:val="24"/>
          <w:lang w:val="ro-RO"/>
        </w:rPr>
        <w:t>instituțional</w:t>
      </w:r>
      <w:r w:rsidR="00290D70" w:rsidRPr="00BD050E">
        <w:rPr>
          <w:rFonts w:asciiTheme="majorHAnsi" w:hAnsiTheme="majorHAnsi" w:cstheme="majorHAnsi"/>
          <w:color w:val="000000" w:themeColor="text1"/>
          <w:sz w:val="24"/>
          <w:szCs w:val="24"/>
          <w:lang w:val="ro-RO"/>
        </w:rPr>
        <w:t xml:space="preserve"> (1.2.1-1.2.2 din Planul de procurări), pentru implementarea </w:t>
      </w:r>
      <w:r w:rsidRPr="00BD050E">
        <w:rPr>
          <w:rFonts w:asciiTheme="majorHAnsi" w:hAnsiTheme="majorHAnsi" w:cstheme="majorHAnsi"/>
          <w:color w:val="000000" w:themeColor="text1"/>
          <w:sz w:val="24"/>
          <w:szCs w:val="24"/>
          <w:lang w:val="ro-RO"/>
        </w:rPr>
        <w:t>C</w:t>
      </w:r>
      <w:r w:rsidR="00290D70" w:rsidRPr="00BD050E">
        <w:rPr>
          <w:rFonts w:asciiTheme="majorHAnsi" w:hAnsiTheme="majorHAnsi" w:cstheme="majorHAnsi"/>
          <w:color w:val="000000" w:themeColor="text1"/>
          <w:sz w:val="24"/>
          <w:szCs w:val="24"/>
          <w:lang w:val="ro-RO"/>
        </w:rPr>
        <w:t xml:space="preserve">omponentei </w:t>
      </w:r>
      <w:r w:rsidRPr="00BD050E">
        <w:rPr>
          <w:rFonts w:asciiTheme="majorHAnsi" w:hAnsiTheme="majorHAnsi" w:cstheme="majorHAnsi"/>
          <w:color w:val="000000" w:themeColor="text1"/>
          <w:sz w:val="24"/>
          <w:szCs w:val="24"/>
          <w:lang w:val="ro-RO"/>
        </w:rPr>
        <w:t>„A</w:t>
      </w:r>
      <w:r w:rsidR="00047BCB" w:rsidRPr="00BD050E">
        <w:rPr>
          <w:rFonts w:asciiTheme="majorHAnsi" w:hAnsiTheme="majorHAnsi" w:cstheme="majorHAnsi"/>
          <w:color w:val="000000" w:themeColor="text1"/>
          <w:sz w:val="24"/>
          <w:szCs w:val="24"/>
          <w:lang w:val="ro-RO"/>
        </w:rPr>
        <w:t>sistență</w:t>
      </w:r>
      <w:r w:rsidR="00290D70" w:rsidRPr="00BD050E">
        <w:rPr>
          <w:rFonts w:asciiTheme="majorHAnsi" w:hAnsiTheme="majorHAnsi" w:cstheme="majorHAnsi"/>
          <w:color w:val="000000" w:themeColor="text1"/>
          <w:sz w:val="24"/>
          <w:szCs w:val="24"/>
          <w:lang w:val="ro-RO"/>
        </w:rPr>
        <w:t xml:space="preserve"> tehnică</w:t>
      </w:r>
      <w:r w:rsidRPr="00BD050E">
        <w:rPr>
          <w:rFonts w:asciiTheme="majorHAnsi" w:hAnsiTheme="majorHAnsi" w:cstheme="majorHAnsi"/>
          <w:color w:val="000000" w:themeColor="text1"/>
          <w:sz w:val="24"/>
          <w:szCs w:val="24"/>
          <w:lang w:val="ro-RO"/>
        </w:rPr>
        <w:t>”,</w:t>
      </w:r>
      <w:r w:rsidR="00290D70" w:rsidRPr="00BD050E">
        <w:rPr>
          <w:rFonts w:asciiTheme="majorHAnsi" w:hAnsiTheme="majorHAnsi" w:cstheme="majorHAnsi"/>
          <w:color w:val="000000" w:themeColor="text1"/>
          <w:sz w:val="24"/>
          <w:szCs w:val="24"/>
          <w:lang w:val="ro-RO"/>
        </w:rPr>
        <w:t xml:space="preserve"> </w:t>
      </w:r>
      <w:r w:rsidR="00F16438" w:rsidRPr="00BD050E">
        <w:rPr>
          <w:rFonts w:asciiTheme="majorHAnsi" w:hAnsiTheme="majorHAnsi" w:cstheme="majorHAnsi"/>
          <w:color w:val="000000" w:themeColor="text1"/>
          <w:sz w:val="24"/>
          <w:szCs w:val="24"/>
          <w:lang w:val="ro-RO"/>
        </w:rPr>
        <w:t>pe parcursul anului</w:t>
      </w:r>
      <w:r w:rsidRPr="00BD050E">
        <w:rPr>
          <w:rFonts w:asciiTheme="majorHAnsi" w:hAnsiTheme="majorHAnsi" w:cstheme="majorHAnsi"/>
          <w:color w:val="000000" w:themeColor="text1"/>
          <w:sz w:val="24"/>
          <w:szCs w:val="24"/>
          <w:lang w:val="ro-RO"/>
        </w:rPr>
        <w:t>,</w:t>
      </w:r>
      <w:r w:rsidR="00290D70" w:rsidRPr="00BD050E">
        <w:rPr>
          <w:rFonts w:asciiTheme="majorHAnsi" w:hAnsiTheme="majorHAnsi" w:cstheme="majorHAnsi"/>
          <w:color w:val="000000" w:themeColor="text1"/>
          <w:sz w:val="24"/>
          <w:szCs w:val="24"/>
          <w:lang w:val="ro-RO"/>
        </w:rPr>
        <w:t xml:space="preserve"> au fost </w:t>
      </w:r>
      <w:r w:rsidR="00047BCB" w:rsidRPr="00BD050E">
        <w:rPr>
          <w:rFonts w:asciiTheme="majorHAnsi" w:hAnsiTheme="majorHAnsi" w:cstheme="majorHAnsi"/>
          <w:color w:val="000000" w:themeColor="text1"/>
          <w:sz w:val="24"/>
          <w:szCs w:val="24"/>
          <w:lang w:val="ro-RO"/>
        </w:rPr>
        <w:t>contractați</w:t>
      </w:r>
      <w:r w:rsidR="00290D70" w:rsidRPr="00BD050E">
        <w:rPr>
          <w:rFonts w:asciiTheme="majorHAnsi" w:hAnsiTheme="majorHAnsi" w:cstheme="majorHAnsi"/>
          <w:color w:val="000000" w:themeColor="text1"/>
          <w:sz w:val="24"/>
          <w:szCs w:val="24"/>
          <w:lang w:val="ro-RO"/>
        </w:rPr>
        <w:t xml:space="preserve"> </w:t>
      </w:r>
      <w:r w:rsidR="00F16438" w:rsidRPr="00BD050E">
        <w:rPr>
          <w:rFonts w:asciiTheme="majorHAnsi" w:hAnsiTheme="majorHAnsi" w:cstheme="majorHAnsi"/>
          <w:color w:val="000000" w:themeColor="text1"/>
          <w:sz w:val="24"/>
          <w:szCs w:val="24"/>
          <w:lang w:val="ro-RO"/>
        </w:rPr>
        <w:t>3</w:t>
      </w:r>
      <w:r w:rsidR="00290D70" w:rsidRPr="00BD050E">
        <w:rPr>
          <w:rFonts w:asciiTheme="majorHAnsi" w:hAnsiTheme="majorHAnsi" w:cstheme="majorHAnsi"/>
          <w:color w:val="000000" w:themeColor="text1"/>
          <w:sz w:val="24"/>
          <w:szCs w:val="24"/>
          <w:lang w:val="ro-RO"/>
        </w:rPr>
        <w:t xml:space="preserve"> </w:t>
      </w:r>
      <w:r w:rsidR="001804CC" w:rsidRPr="00BD050E">
        <w:rPr>
          <w:rFonts w:asciiTheme="majorHAnsi" w:hAnsiTheme="majorHAnsi" w:cstheme="majorHAnsi"/>
          <w:color w:val="000000" w:themeColor="text1"/>
          <w:sz w:val="24"/>
          <w:szCs w:val="24"/>
          <w:lang w:val="ro-RO"/>
        </w:rPr>
        <w:t xml:space="preserve">consultanți locali part-time: </w:t>
      </w:r>
      <w:r w:rsidR="00290D70" w:rsidRPr="00BD050E">
        <w:rPr>
          <w:rFonts w:asciiTheme="majorHAnsi" w:hAnsiTheme="majorHAnsi" w:cstheme="majorHAnsi"/>
          <w:color w:val="000000" w:themeColor="text1"/>
          <w:sz w:val="24"/>
          <w:szCs w:val="24"/>
          <w:lang w:val="ro-RO"/>
        </w:rPr>
        <w:t xml:space="preserve">coordonator/consultant în M&amp;E pentru ambele componente ale </w:t>
      </w:r>
      <w:r w:rsidRPr="00BD050E">
        <w:rPr>
          <w:rFonts w:asciiTheme="majorHAnsi" w:hAnsiTheme="majorHAnsi" w:cstheme="majorHAnsi"/>
          <w:color w:val="000000" w:themeColor="text1"/>
          <w:sz w:val="24"/>
          <w:szCs w:val="24"/>
          <w:lang w:val="ro-RO"/>
        </w:rPr>
        <w:t>O</w:t>
      </w:r>
      <w:r w:rsidR="00290D70" w:rsidRPr="00BD050E">
        <w:rPr>
          <w:rFonts w:asciiTheme="majorHAnsi" w:hAnsiTheme="majorHAnsi" w:cstheme="majorHAnsi"/>
          <w:color w:val="000000" w:themeColor="text1"/>
          <w:sz w:val="24"/>
          <w:szCs w:val="24"/>
          <w:lang w:val="ro-RO"/>
        </w:rPr>
        <w:t>perațiunii (Program suport la buget și</w:t>
      </w:r>
      <w:r w:rsidR="0068665E" w:rsidRPr="00BD050E">
        <w:rPr>
          <w:rFonts w:asciiTheme="majorHAnsi" w:hAnsiTheme="majorHAnsi" w:cstheme="majorHAnsi"/>
          <w:color w:val="000000" w:themeColor="text1"/>
          <w:sz w:val="24"/>
          <w:szCs w:val="24"/>
          <w:lang w:val="ro-RO"/>
        </w:rPr>
        <w:t xml:space="preserve"> Proiect de asistență tehnică) </w:t>
      </w:r>
      <w:r w:rsidR="00290D70" w:rsidRPr="00BD050E">
        <w:rPr>
          <w:rFonts w:asciiTheme="majorHAnsi" w:hAnsiTheme="majorHAnsi" w:cstheme="majorHAnsi"/>
          <w:color w:val="000000" w:themeColor="text1"/>
          <w:sz w:val="24"/>
          <w:szCs w:val="24"/>
          <w:lang w:val="ro-RO"/>
        </w:rPr>
        <w:t>şi</w:t>
      </w:r>
      <w:r w:rsidR="00E20806" w:rsidRPr="00BD050E">
        <w:rPr>
          <w:rFonts w:asciiTheme="majorHAnsi" w:hAnsiTheme="majorHAnsi" w:cstheme="majorHAnsi"/>
          <w:color w:val="000000" w:themeColor="text1"/>
          <w:sz w:val="24"/>
          <w:szCs w:val="24"/>
          <w:lang w:val="ro-RO"/>
        </w:rPr>
        <w:t xml:space="preserve"> </w:t>
      </w:r>
      <w:r w:rsidR="00290D70" w:rsidRPr="00BD050E">
        <w:rPr>
          <w:rFonts w:asciiTheme="majorHAnsi" w:hAnsiTheme="majorHAnsi" w:cstheme="majorHAnsi"/>
          <w:color w:val="000000" w:themeColor="text1"/>
          <w:sz w:val="24"/>
          <w:szCs w:val="24"/>
          <w:lang w:val="ro-RO"/>
        </w:rPr>
        <w:t xml:space="preserve"> traducător. </w:t>
      </w:r>
      <w:r w:rsidR="00F94462" w:rsidRPr="00BD050E">
        <w:rPr>
          <w:rFonts w:asciiTheme="majorHAnsi" w:eastAsiaTheme="majorEastAsia" w:hAnsiTheme="majorHAnsi" w:cstheme="majorHAnsi"/>
          <w:color w:val="000000" w:themeColor="text1"/>
          <w:sz w:val="24"/>
          <w:szCs w:val="24"/>
          <w:lang w:val="ro-RO"/>
        </w:rPr>
        <w:t>C</w:t>
      </w:r>
      <w:r w:rsidR="00C97D80" w:rsidRPr="00BD050E">
        <w:rPr>
          <w:rFonts w:asciiTheme="majorHAnsi" w:hAnsiTheme="majorHAnsi" w:cstheme="majorHAnsi"/>
          <w:color w:val="000000" w:themeColor="text1"/>
          <w:sz w:val="24"/>
          <w:szCs w:val="24"/>
          <w:lang w:val="ro-RO"/>
        </w:rPr>
        <w:t>h</w:t>
      </w:r>
      <w:r w:rsidR="00F94462" w:rsidRPr="00BD050E">
        <w:rPr>
          <w:rFonts w:asciiTheme="majorHAnsi" w:hAnsiTheme="majorHAnsi" w:cstheme="majorHAnsi"/>
          <w:color w:val="000000" w:themeColor="text1"/>
          <w:sz w:val="24"/>
          <w:szCs w:val="24"/>
          <w:lang w:val="ro-RO"/>
        </w:rPr>
        <w:t xml:space="preserve">eltuielile suportate din sursele Proiectului de Asistență Tehnică aferente </w:t>
      </w:r>
      <w:r w:rsidR="001804CC" w:rsidRPr="00BD050E">
        <w:rPr>
          <w:rFonts w:asciiTheme="majorHAnsi" w:hAnsiTheme="majorHAnsi" w:cstheme="majorHAnsi"/>
          <w:color w:val="000000" w:themeColor="text1"/>
          <w:sz w:val="24"/>
          <w:szCs w:val="24"/>
          <w:lang w:val="ro-RO"/>
        </w:rPr>
        <w:t>serviciilor de</w:t>
      </w:r>
      <w:r w:rsidR="00F94462" w:rsidRPr="00BD050E">
        <w:rPr>
          <w:rFonts w:asciiTheme="majorHAnsi" w:hAnsiTheme="majorHAnsi" w:cstheme="majorHAnsi"/>
          <w:color w:val="000000" w:themeColor="text1"/>
          <w:sz w:val="24"/>
          <w:szCs w:val="24"/>
          <w:lang w:val="ro-RO"/>
        </w:rPr>
        <w:t xml:space="preserve"> consultanță în anul 2021 au fost </w:t>
      </w:r>
      <w:r w:rsidRPr="00BD050E">
        <w:rPr>
          <w:rFonts w:asciiTheme="majorHAnsi" w:hAnsiTheme="majorHAnsi" w:cstheme="majorHAnsi"/>
          <w:color w:val="000000" w:themeColor="text1"/>
          <w:sz w:val="24"/>
          <w:szCs w:val="24"/>
          <w:lang w:val="ro-RO"/>
        </w:rPr>
        <w:t>utiliz</w:t>
      </w:r>
      <w:r w:rsidR="00F94462" w:rsidRPr="00BD050E">
        <w:rPr>
          <w:rFonts w:asciiTheme="majorHAnsi" w:hAnsiTheme="majorHAnsi" w:cstheme="majorHAnsi"/>
          <w:color w:val="000000" w:themeColor="text1"/>
          <w:sz w:val="24"/>
          <w:szCs w:val="24"/>
          <w:lang w:val="ro-RO"/>
        </w:rPr>
        <w:t xml:space="preserve">ate corespunzător și raportate </w:t>
      </w:r>
      <w:r w:rsidRPr="00BD050E">
        <w:rPr>
          <w:rFonts w:asciiTheme="majorHAnsi" w:hAnsiTheme="majorHAnsi" w:cstheme="majorHAnsi"/>
          <w:color w:val="000000" w:themeColor="text1"/>
          <w:sz w:val="24"/>
          <w:szCs w:val="24"/>
          <w:lang w:val="ro-RO"/>
        </w:rPr>
        <w:t>pe</w:t>
      </w:r>
      <w:r w:rsidR="00F94462" w:rsidRPr="00BD050E">
        <w:rPr>
          <w:rFonts w:asciiTheme="majorHAnsi" w:hAnsiTheme="majorHAnsi" w:cstheme="majorHAnsi"/>
          <w:color w:val="000000" w:themeColor="text1"/>
          <w:sz w:val="24"/>
          <w:szCs w:val="24"/>
          <w:lang w:val="ro-RO"/>
        </w:rPr>
        <w:t xml:space="preserve"> deplin, prezentând o imagine fidelă și veridică</w:t>
      </w:r>
      <w:r w:rsidR="00F16438" w:rsidRPr="00BD050E">
        <w:rPr>
          <w:rFonts w:asciiTheme="majorHAnsi" w:hAnsiTheme="majorHAnsi" w:cstheme="majorHAnsi"/>
          <w:color w:val="000000" w:themeColor="text1"/>
          <w:sz w:val="24"/>
          <w:szCs w:val="24"/>
          <w:lang w:val="ro-RO"/>
        </w:rPr>
        <w:t xml:space="preserve">. </w:t>
      </w:r>
      <w:r w:rsidR="00F94462" w:rsidRPr="00BD050E">
        <w:rPr>
          <w:rFonts w:asciiTheme="majorHAnsi" w:hAnsiTheme="majorHAnsi" w:cstheme="majorHAnsi"/>
          <w:color w:val="000000" w:themeColor="text1"/>
          <w:sz w:val="24"/>
          <w:szCs w:val="24"/>
          <w:lang w:val="ro-RO"/>
        </w:rPr>
        <w:t xml:space="preserve">Totodată, situațiile financiare ale Proiectului de Asistență Tehnică, care cuprind cheltuielile aferente serviciilor de consultanță, au fost raportate corect și </w:t>
      </w:r>
      <w:r w:rsidRPr="00BD050E">
        <w:rPr>
          <w:rFonts w:asciiTheme="majorHAnsi" w:hAnsiTheme="majorHAnsi" w:cstheme="majorHAnsi"/>
          <w:color w:val="000000" w:themeColor="text1"/>
          <w:sz w:val="24"/>
          <w:szCs w:val="24"/>
          <w:lang w:val="ro-RO"/>
        </w:rPr>
        <w:t>pe</w:t>
      </w:r>
      <w:r w:rsidR="00F94462" w:rsidRPr="00BD050E">
        <w:rPr>
          <w:rFonts w:asciiTheme="majorHAnsi" w:hAnsiTheme="majorHAnsi" w:cstheme="majorHAnsi"/>
          <w:color w:val="000000" w:themeColor="text1"/>
          <w:sz w:val="24"/>
          <w:szCs w:val="24"/>
          <w:lang w:val="ro-RO"/>
        </w:rPr>
        <w:t xml:space="preserve"> deplin, auditul mențion</w:t>
      </w:r>
      <w:r w:rsidR="00FE5EBD" w:rsidRPr="00BD050E">
        <w:rPr>
          <w:rFonts w:asciiTheme="majorHAnsi" w:hAnsiTheme="majorHAnsi" w:cstheme="majorHAnsi"/>
          <w:color w:val="000000" w:themeColor="text1"/>
          <w:sz w:val="24"/>
          <w:szCs w:val="24"/>
          <w:lang w:val="ro-RO"/>
        </w:rPr>
        <w:t>ând</w:t>
      </w:r>
      <w:r w:rsidR="00F94462" w:rsidRPr="00BD050E">
        <w:rPr>
          <w:rFonts w:asciiTheme="majorHAnsi" w:hAnsiTheme="majorHAnsi" w:cstheme="majorHAnsi"/>
          <w:color w:val="000000" w:themeColor="text1"/>
          <w:sz w:val="24"/>
          <w:szCs w:val="24"/>
          <w:lang w:val="ro-RO"/>
        </w:rPr>
        <w:t xml:space="preserve"> că nu au fost </w:t>
      </w:r>
      <w:r w:rsidR="00FE5EBD" w:rsidRPr="00BD050E">
        <w:rPr>
          <w:rFonts w:asciiTheme="majorHAnsi" w:hAnsiTheme="majorHAnsi" w:cstheme="majorHAnsi"/>
          <w:color w:val="000000" w:themeColor="text1"/>
          <w:sz w:val="24"/>
          <w:szCs w:val="24"/>
          <w:lang w:val="ro-RO"/>
        </w:rPr>
        <w:t>constata</w:t>
      </w:r>
      <w:r w:rsidR="00F94462" w:rsidRPr="00BD050E">
        <w:rPr>
          <w:rFonts w:asciiTheme="majorHAnsi" w:hAnsiTheme="majorHAnsi" w:cstheme="majorHAnsi"/>
          <w:color w:val="000000" w:themeColor="text1"/>
          <w:sz w:val="24"/>
          <w:szCs w:val="24"/>
          <w:lang w:val="ro-RO"/>
        </w:rPr>
        <w:t>te nereguli.</w:t>
      </w:r>
    </w:p>
    <w:p w14:paraId="39233A4B" w14:textId="77777777" w:rsidR="00963506" w:rsidRPr="00BD050E" w:rsidRDefault="00963506" w:rsidP="00963506">
      <w:pPr>
        <w:pStyle w:val="Heading1"/>
        <w:tabs>
          <w:tab w:val="left" w:pos="426"/>
        </w:tabs>
        <w:ind w:left="0" w:firstLine="0"/>
        <w:jc w:val="left"/>
        <w:rPr>
          <w:rFonts w:asciiTheme="majorHAnsi" w:eastAsia="Calibri" w:hAnsiTheme="majorHAnsi" w:cstheme="majorHAnsi"/>
          <w:color w:val="000000" w:themeColor="text1"/>
          <w:sz w:val="28"/>
          <w:szCs w:val="28"/>
          <w:lang w:val="ro-RO"/>
        </w:rPr>
      </w:pPr>
      <w:r w:rsidRPr="00BD050E">
        <w:rPr>
          <w:rFonts w:asciiTheme="majorHAnsi" w:eastAsia="Calibri" w:hAnsiTheme="majorHAnsi" w:cstheme="majorHAnsi"/>
          <w:color w:val="000000" w:themeColor="text1"/>
          <w:sz w:val="28"/>
          <w:szCs w:val="28"/>
          <w:lang w:val="ro-RO"/>
        </w:rPr>
        <w:t>PREZENTAREA PROIECTULUI</w:t>
      </w:r>
    </w:p>
    <w:p w14:paraId="17801322" w14:textId="5FE93B5A" w:rsidR="00AA2208" w:rsidRPr="00BD050E" w:rsidRDefault="00AA2208" w:rsidP="00AA2208">
      <w:pPr>
        <w:spacing w:after="0"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color w:val="000000" w:themeColor="text1"/>
          <w:sz w:val="24"/>
          <w:szCs w:val="24"/>
          <w:lang w:val="ro-RO"/>
        </w:rPr>
        <w:t xml:space="preserve">Operațiunea </w:t>
      </w:r>
      <w:r w:rsidR="00764667"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Modernizarea sectorului sănătății în Republica Moldova”</w:t>
      </w:r>
      <w:r w:rsidRPr="00BD050E">
        <w:rPr>
          <w:rFonts w:asciiTheme="majorHAnsi" w:hAnsiTheme="majorHAnsi" w:cstheme="majorHAnsi"/>
          <w:iCs/>
          <w:color w:val="000000" w:themeColor="text1"/>
          <w:sz w:val="24"/>
          <w:szCs w:val="24"/>
          <w:lang w:val="ro-RO"/>
        </w:rPr>
        <w:t xml:space="preserve"> a fost inițiat</w:t>
      </w:r>
      <w:r w:rsidR="00FA1C89" w:rsidRPr="00BD050E">
        <w:rPr>
          <w:rFonts w:asciiTheme="majorHAnsi" w:hAnsiTheme="majorHAnsi" w:cstheme="majorHAnsi"/>
          <w:iCs/>
          <w:color w:val="000000" w:themeColor="text1"/>
          <w:sz w:val="24"/>
          <w:szCs w:val="24"/>
          <w:lang w:val="ro-RO"/>
        </w:rPr>
        <w:t>ă</w:t>
      </w:r>
      <w:r w:rsidRPr="00BD050E">
        <w:rPr>
          <w:rFonts w:asciiTheme="majorHAnsi" w:hAnsiTheme="majorHAnsi" w:cstheme="majorHAnsi"/>
          <w:iCs/>
          <w:color w:val="000000" w:themeColor="text1"/>
          <w:sz w:val="24"/>
          <w:szCs w:val="24"/>
          <w:lang w:val="ro-RO"/>
        </w:rPr>
        <w:t xml:space="preserve"> în scopul reducerii riscurilor</w:t>
      </w:r>
      <w:r w:rsidR="00FE5EBD" w:rsidRPr="00BD050E">
        <w:rPr>
          <w:rFonts w:asciiTheme="majorHAnsi" w:hAnsiTheme="majorHAnsi" w:cstheme="majorHAnsi"/>
          <w:iCs/>
          <w:color w:val="000000" w:themeColor="text1"/>
          <w:sz w:val="24"/>
          <w:szCs w:val="24"/>
          <w:lang w:val="ro-RO"/>
        </w:rPr>
        <w:t>-</w:t>
      </w:r>
      <w:r w:rsidRPr="00BD050E">
        <w:rPr>
          <w:rFonts w:asciiTheme="majorHAnsi" w:hAnsiTheme="majorHAnsi" w:cstheme="majorHAnsi"/>
          <w:iCs/>
          <w:color w:val="000000" w:themeColor="text1"/>
          <w:sz w:val="24"/>
          <w:szCs w:val="24"/>
          <w:lang w:val="ro-RO"/>
        </w:rPr>
        <w:t>cheie aferente bolilor nontransmisibile, sporirii eficienței serviciilor de sănătate oferite populației, reducerii invalidității și incapacității de muncă</w:t>
      </w:r>
      <w:r w:rsidR="00FE5EBD" w:rsidRPr="00BD050E">
        <w:rPr>
          <w:rFonts w:asciiTheme="majorHAnsi" w:hAnsiTheme="majorHAnsi" w:cstheme="majorHAnsi"/>
          <w:iCs/>
          <w:color w:val="000000" w:themeColor="text1"/>
          <w:sz w:val="24"/>
          <w:szCs w:val="24"/>
          <w:lang w:val="ro-RO"/>
        </w:rPr>
        <w:t>,</w:t>
      </w:r>
      <w:r w:rsidRPr="00BD050E">
        <w:rPr>
          <w:rFonts w:asciiTheme="majorHAnsi" w:hAnsiTheme="majorHAnsi" w:cstheme="majorHAnsi"/>
          <w:iCs/>
          <w:color w:val="000000" w:themeColor="text1"/>
          <w:sz w:val="24"/>
          <w:szCs w:val="24"/>
          <w:lang w:val="ro-RO"/>
        </w:rPr>
        <w:t xml:space="preserve"> precum și îmbunătățirii indicatorilor de sănătate în Republica Moldova. Acordul de finanțare a fost semnat </w:t>
      </w:r>
      <w:r w:rsidR="00FE5EBD" w:rsidRPr="00BD050E">
        <w:rPr>
          <w:rFonts w:asciiTheme="majorHAnsi" w:hAnsiTheme="majorHAnsi" w:cstheme="majorHAnsi"/>
          <w:iCs/>
          <w:color w:val="000000" w:themeColor="text1"/>
          <w:sz w:val="24"/>
          <w:szCs w:val="24"/>
          <w:lang w:val="ro-RO"/>
        </w:rPr>
        <w:t>la</w:t>
      </w:r>
      <w:r w:rsidRPr="00BD050E">
        <w:rPr>
          <w:rFonts w:asciiTheme="majorHAnsi" w:hAnsiTheme="majorHAnsi" w:cstheme="majorHAnsi"/>
          <w:iCs/>
          <w:color w:val="000000" w:themeColor="text1"/>
          <w:sz w:val="24"/>
          <w:szCs w:val="24"/>
          <w:lang w:val="ro-RO"/>
        </w:rPr>
        <w:t xml:space="preserve"> 11 iulie 2014</w:t>
      </w:r>
      <w:r w:rsidR="00FE5EBD" w:rsidRPr="00BD050E">
        <w:rPr>
          <w:rFonts w:asciiTheme="majorHAnsi" w:hAnsiTheme="majorHAnsi" w:cstheme="majorHAnsi"/>
          <w:iCs/>
          <w:color w:val="000000" w:themeColor="text1"/>
          <w:sz w:val="24"/>
          <w:szCs w:val="24"/>
          <w:lang w:val="ro-RO"/>
        </w:rPr>
        <w:t>,</w:t>
      </w:r>
      <w:r w:rsidRPr="00BD050E">
        <w:rPr>
          <w:rFonts w:asciiTheme="majorHAnsi" w:hAnsiTheme="majorHAnsi" w:cstheme="majorHAnsi"/>
          <w:iCs/>
          <w:color w:val="000000" w:themeColor="text1"/>
          <w:sz w:val="24"/>
          <w:szCs w:val="24"/>
          <w:lang w:val="ro-RO"/>
        </w:rPr>
        <w:t xml:space="preserve"> în cadrul Strategiei de parteneriat cu BM pe anii 2014-2017</w:t>
      </w:r>
      <w:r w:rsidR="00FE5EBD" w:rsidRPr="00BD050E">
        <w:rPr>
          <w:rFonts w:asciiTheme="majorHAnsi" w:hAnsiTheme="majorHAnsi" w:cstheme="majorHAnsi"/>
          <w:iCs/>
          <w:color w:val="000000" w:themeColor="text1"/>
          <w:sz w:val="24"/>
          <w:szCs w:val="24"/>
          <w:lang w:val="ro-RO"/>
        </w:rPr>
        <w:t>,</w:t>
      </w:r>
      <w:r w:rsidRPr="00BD050E">
        <w:rPr>
          <w:rFonts w:asciiTheme="majorHAnsi" w:hAnsiTheme="majorHAnsi" w:cstheme="majorHAnsi"/>
          <w:iCs/>
          <w:color w:val="000000" w:themeColor="text1"/>
          <w:sz w:val="24"/>
          <w:szCs w:val="24"/>
          <w:lang w:val="ro-RO"/>
        </w:rPr>
        <w:t xml:space="preserve"> și prevede acordarea unui împrumut în valoare de 20</w:t>
      </w:r>
      <w:r w:rsidR="00FE5EBD" w:rsidRPr="00BD050E">
        <w:rPr>
          <w:rFonts w:asciiTheme="majorHAnsi" w:hAnsiTheme="majorHAnsi" w:cstheme="majorHAnsi"/>
          <w:iCs/>
          <w:color w:val="000000" w:themeColor="text1"/>
          <w:sz w:val="24"/>
          <w:szCs w:val="24"/>
          <w:lang w:val="ro-RO"/>
        </w:rPr>
        <w:t>,0</w:t>
      </w:r>
      <w:r w:rsidRPr="00BD050E">
        <w:rPr>
          <w:rFonts w:asciiTheme="majorHAnsi" w:hAnsiTheme="majorHAnsi" w:cstheme="majorHAnsi"/>
          <w:iCs/>
          <w:color w:val="000000" w:themeColor="text1"/>
          <w:sz w:val="24"/>
          <w:szCs w:val="24"/>
          <w:lang w:val="ro-RO"/>
        </w:rPr>
        <w:t xml:space="preserve"> mil. Drepturi Speciale de Tragere, echivalent</w:t>
      </w:r>
      <w:r w:rsidR="00FE5EBD" w:rsidRPr="00BD050E">
        <w:rPr>
          <w:rFonts w:asciiTheme="majorHAnsi" w:hAnsiTheme="majorHAnsi" w:cstheme="majorHAnsi"/>
          <w:iCs/>
          <w:color w:val="000000" w:themeColor="text1"/>
          <w:sz w:val="24"/>
          <w:szCs w:val="24"/>
          <w:lang w:val="ro-RO"/>
        </w:rPr>
        <w:t>ul</w:t>
      </w:r>
      <w:r w:rsidRPr="00BD050E">
        <w:rPr>
          <w:rFonts w:asciiTheme="majorHAnsi" w:hAnsiTheme="majorHAnsi" w:cstheme="majorHAnsi"/>
          <w:iCs/>
          <w:color w:val="000000" w:themeColor="text1"/>
          <w:sz w:val="24"/>
          <w:szCs w:val="24"/>
          <w:lang w:val="ro-RO"/>
        </w:rPr>
        <w:t xml:space="preserve"> a 30,8 mil. dolari SUA. Împrumutul a fost acordat în condiții standard prevăzute de Asociația Internațională pentru Dezvoltare. Finanțarea Programului este acordată sub formă de suport bugetar, iar suma este debursată în baza realizării indicatorilor stabiliți între Banca Mondială, Ministerul Sănătății, Muncii și Protecției Sociale și Compania Națională de Asigurări în Medicină. Fondurile de asistență tehnică sunt furnizate</w:t>
      </w:r>
      <w:r w:rsidR="00944D43" w:rsidRPr="00BD050E">
        <w:rPr>
          <w:rFonts w:asciiTheme="majorHAnsi" w:hAnsiTheme="majorHAnsi" w:cstheme="majorHAnsi"/>
          <w:iCs/>
          <w:color w:val="000000" w:themeColor="text1"/>
          <w:sz w:val="24"/>
          <w:szCs w:val="24"/>
          <w:lang w:val="ro-RO"/>
        </w:rPr>
        <w:t xml:space="preserve"> direct la Ministerul Sănătății</w:t>
      </w:r>
      <w:r w:rsidRPr="00BD050E">
        <w:rPr>
          <w:rFonts w:asciiTheme="majorHAnsi" w:hAnsiTheme="majorHAnsi" w:cstheme="majorHAnsi"/>
          <w:iCs/>
          <w:color w:val="000000" w:themeColor="text1"/>
          <w:sz w:val="24"/>
          <w:szCs w:val="24"/>
          <w:lang w:val="ro-RO"/>
        </w:rPr>
        <w:t>. Condițiile de acordare a împrumutului sunt prezentate în următorul tabel.</w:t>
      </w:r>
    </w:p>
    <w:p w14:paraId="276AC88F" w14:textId="35404917" w:rsidR="00AA2208" w:rsidRPr="00BD050E" w:rsidRDefault="00FA1C89" w:rsidP="00AA2208">
      <w:pPr>
        <w:spacing w:after="0" w:line="276" w:lineRule="auto"/>
        <w:jc w:val="right"/>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Tabel</w:t>
      </w:r>
      <w:r w:rsidR="005009F9" w:rsidRPr="00BD050E">
        <w:rPr>
          <w:rFonts w:asciiTheme="majorHAnsi" w:hAnsiTheme="majorHAnsi" w:cstheme="majorHAnsi"/>
          <w:iCs/>
          <w:color w:val="000000" w:themeColor="text1"/>
          <w:sz w:val="24"/>
          <w:szCs w:val="24"/>
          <w:lang w:val="ro-RO"/>
        </w:rPr>
        <w:t>ul</w:t>
      </w:r>
      <w:r w:rsidRPr="00BD050E">
        <w:rPr>
          <w:rFonts w:asciiTheme="majorHAnsi" w:hAnsiTheme="majorHAnsi" w:cstheme="majorHAnsi"/>
          <w:iCs/>
          <w:color w:val="000000" w:themeColor="text1"/>
          <w:sz w:val="24"/>
          <w:szCs w:val="24"/>
          <w:lang w:val="ro-RO"/>
        </w:rPr>
        <w:t xml:space="preserve"> nr.2 </w:t>
      </w:r>
    </w:p>
    <w:tbl>
      <w:tblPr>
        <w:tblStyle w:val="TableGrid"/>
        <w:tblW w:w="0" w:type="auto"/>
        <w:tblLook w:val="04A0" w:firstRow="1" w:lastRow="0" w:firstColumn="1" w:lastColumn="0" w:noHBand="0" w:noVBand="1"/>
      </w:tblPr>
      <w:tblGrid>
        <w:gridCol w:w="4673"/>
        <w:gridCol w:w="4674"/>
      </w:tblGrid>
      <w:tr w:rsidR="00814F8E" w:rsidRPr="00BD050E" w14:paraId="0827348C" w14:textId="77777777" w:rsidTr="00E37A9D">
        <w:tc>
          <w:tcPr>
            <w:tcW w:w="4673" w:type="dxa"/>
            <w:shd w:val="clear" w:color="auto" w:fill="BDD6EE" w:themeFill="accent1" w:themeFillTint="66"/>
          </w:tcPr>
          <w:p w14:paraId="469CDB2F" w14:textId="3350763F" w:rsidR="00AA2208" w:rsidRPr="00BD050E" w:rsidRDefault="00AA2208" w:rsidP="00E37A9D">
            <w:pPr>
              <w:spacing w:line="276" w:lineRule="auto"/>
              <w:jc w:val="both"/>
              <w:rPr>
                <w:rFonts w:asciiTheme="majorHAnsi" w:hAnsiTheme="majorHAnsi" w:cstheme="majorHAnsi"/>
                <w:b/>
                <w:iCs/>
                <w:color w:val="000000" w:themeColor="text1"/>
                <w:sz w:val="24"/>
                <w:szCs w:val="24"/>
                <w:lang w:val="ro-RO"/>
              </w:rPr>
            </w:pPr>
            <w:r w:rsidRPr="00BD050E">
              <w:rPr>
                <w:rFonts w:asciiTheme="majorHAnsi" w:hAnsiTheme="majorHAnsi" w:cstheme="majorHAnsi"/>
                <w:b/>
                <w:iCs/>
                <w:color w:val="000000" w:themeColor="text1"/>
                <w:sz w:val="24"/>
                <w:szCs w:val="24"/>
                <w:lang w:val="ro-RO"/>
              </w:rPr>
              <w:t xml:space="preserve">Responsabil de implementarea </w:t>
            </w:r>
            <w:r w:rsidR="005009F9" w:rsidRPr="00BD050E">
              <w:rPr>
                <w:rFonts w:asciiTheme="majorHAnsi" w:hAnsiTheme="majorHAnsi" w:cstheme="majorHAnsi"/>
                <w:b/>
                <w:iCs/>
                <w:color w:val="000000" w:themeColor="text1"/>
                <w:sz w:val="24"/>
                <w:szCs w:val="24"/>
                <w:lang w:val="ro-RO"/>
              </w:rPr>
              <w:t>P</w:t>
            </w:r>
            <w:r w:rsidRPr="00BD050E">
              <w:rPr>
                <w:rFonts w:asciiTheme="majorHAnsi" w:hAnsiTheme="majorHAnsi" w:cstheme="majorHAnsi"/>
                <w:b/>
                <w:iCs/>
                <w:color w:val="000000" w:themeColor="text1"/>
                <w:sz w:val="24"/>
                <w:szCs w:val="24"/>
                <w:lang w:val="ro-RO"/>
              </w:rPr>
              <w:t>roiectului</w:t>
            </w:r>
          </w:p>
        </w:tc>
        <w:tc>
          <w:tcPr>
            <w:tcW w:w="4674" w:type="dxa"/>
          </w:tcPr>
          <w:p w14:paraId="0A916D9F" w14:textId="30D50D9A" w:rsidR="00AA2208" w:rsidRPr="00BD050E" w:rsidRDefault="00AA2208" w:rsidP="00E37A9D">
            <w:pPr>
              <w:spacing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MSMPS și CNAM</w:t>
            </w:r>
          </w:p>
        </w:tc>
      </w:tr>
      <w:tr w:rsidR="00814F8E" w:rsidRPr="00BD050E" w14:paraId="7C306BBD" w14:textId="77777777" w:rsidTr="00E37A9D">
        <w:tc>
          <w:tcPr>
            <w:tcW w:w="4673" w:type="dxa"/>
            <w:shd w:val="clear" w:color="auto" w:fill="BDD6EE" w:themeFill="accent1" w:themeFillTint="66"/>
          </w:tcPr>
          <w:p w14:paraId="631792C8" w14:textId="77777777" w:rsidR="00AA2208" w:rsidRPr="00BD050E" w:rsidRDefault="00AA2208" w:rsidP="00E37A9D">
            <w:pPr>
              <w:spacing w:line="276" w:lineRule="auto"/>
              <w:jc w:val="both"/>
              <w:rPr>
                <w:rFonts w:asciiTheme="majorHAnsi" w:hAnsiTheme="majorHAnsi" w:cstheme="majorHAnsi"/>
                <w:b/>
                <w:iCs/>
                <w:color w:val="000000" w:themeColor="text1"/>
                <w:sz w:val="24"/>
                <w:szCs w:val="24"/>
                <w:lang w:val="ro-RO"/>
              </w:rPr>
            </w:pPr>
            <w:r w:rsidRPr="00BD050E">
              <w:rPr>
                <w:rFonts w:asciiTheme="majorHAnsi" w:hAnsiTheme="majorHAnsi" w:cstheme="majorHAnsi"/>
                <w:b/>
                <w:iCs/>
                <w:color w:val="000000" w:themeColor="text1"/>
                <w:sz w:val="24"/>
                <w:szCs w:val="24"/>
                <w:lang w:val="ro-RO"/>
              </w:rPr>
              <w:t>Suma împrumutului</w:t>
            </w:r>
          </w:p>
        </w:tc>
        <w:tc>
          <w:tcPr>
            <w:tcW w:w="4674" w:type="dxa"/>
          </w:tcPr>
          <w:p w14:paraId="1A66FE24" w14:textId="5DE53DBF" w:rsidR="00AA2208" w:rsidRPr="00BD050E" w:rsidRDefault="00AA2208" w:rsidP="00E37A9D">
            <w:pPr>
              <w:spacing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20</w:t>
            </w:r>
            <w:r w:rsidR="00FE5EBD" w:rsidRPr="00BD050E">
              <w:rPr>
                <w:rFonts w:asciiTheme="majorHAnsi" w:hAnsiTheme="majorHAnsi" w:cstheme="majorHAnsi"/>
                <w:iCs/>
                <w:color w:val="000000" w:themeColor="text1"/>
                <w:sz w:val="24"/>
                <w:szCs w:val="24"/>
                <w:lang w:val="ro-RO"/>
              </w:rPr>
              <w:t>,0</w:t>
            </w:r>
            <w:r w:rsidRPr="00BD050E">
              <w:rPr>
                <w:rFonts w:asciiTheme="majorHAnsi" w:hAnsiTheme="majorHAnsi" w:cstheme="majorHAnsi"/>
                <w:iCs/>
                <w:color w:val="000000" w:themeColor="text1"/>
                <w:sz w:val="24"/>
                <w:szCs w:val="24"/>
                <w:lang w:val="ro-RO"/>
              </w:rPr>
              <w:t xml:space="preserve"> mil</w:t>
            </w:r>
            <w:r w:rsidR="00FE5EBD" w:rsidRPr="00BD050E">
              <w:rPr>
                <w:rFonts w:asciiTheme="majorHAnsi" w:hAnsiTheme="majorHAnsi" w:cstheme="majorHAnsi"/>
                <w:iCs/>
                <w:color w:val="000000" w:themeColor="text1"/>
                <w:sz w:val="24"/>
                <w:szCs w:val="24"/>
                <w:lang w:val="ro-RO"/>
              </w:rPr>
              <w:t>.</w:t>
            </w:r>
            <w:r w:rsidRPr="00BD050E">
              <w:rPr>
                <w:rFonts w:asciiTheme="majorHAnsi" w:hAnsiTheme="majorHAnsi" w:cstheme="majorHAnsi"/>
                <w:iCs/>
                <w:color w:val="000000" w:themeColor="text1"/>
                <w:sz w:val="24"/>
                <w:szCs w:val="24"/>
                <w:lang w:val="ro-RO"/>
              </w:rPr>
              <w:t xml:space="preserve"> DST / 30,8 mil</w:t>
            </w:r>
            <w:r w:rsidR="00FE5EBD" w:rsidRPr="00BD050E">
              <w:rPr>
                <w:rFonts w:asciiTheme="majorHAnsi" w:hAnsiTheme="majorHAnsi" w:cstheme="majorHAnsi"/>
                <w:iCs/>
                <w:color w:val="000000" w:themeColor="text1"/>
                <w:sz w:val="24"/>
                <w:szCs w:val="24"/>
                <w:lang w:val="ro-RO"/>
              </w:rPr>
              <w:t>.</w:t>
            </w:r>
            <w:r w:rsidRPr="00BD050E">
              <w:rPr>
                <w:rFonts w:asciiTheme="majorHAnsi" w:hAnsiTheme="majorHAnsi" w:cstheme="majorHAnsi"/>
                <w:iCs/>
                <w:color w:val="000000" w:themeColor="text1"/>
                <w:sz w:val="24"/>
                <w:szCs w:val="24"/>
                <w:lang w:val="ro-RO"/>
              </w:rPr>
              <w:t xml:space="preserve"> dolari SUA</w:t>
            </w:r>
          </w:p>
        </w:tc>
      </w:tr>
      <w:tr w:rsidR="00814F8E" w:rsidRPr="00BD050E" w14:paraId="6884E7CD" w14:textId="77777777" w:rsidTr="00E37A9D">
        <w:tc>
          <w:tcPr>
            <w:tcW w:w="4673" w:type="dxa"/>
            <w:shd w:val="clear" w:color="auto" w:fill="BDD6EE" w:themeFill="accent1" w:themeFillTint="66"/>
          </w:tcPr>
          <w:p w14:paraId="68A2287F" w14:textId="77777777" w:rsidR="00AA2208" w:rsidRPr="00BD050E" w:rsidRDefault="00AA2208" w:rsidP="00E37A9D">
            <w:pPr>
              <w:spacing w:line="276" w:lineRule="auto"/>
              <w:jc w:val="both"/>
              <w:rPr>
                <w:rFonts w:asciiTheme="majorHAnsi" w:hAnsiTheme="majorHAnsi" w:cstheme="majorHAnsi"/>
                <w:b/>
                <w:iCs/>
                <w:color w:val="000000" w:themeColor="text1"/>
                <w:sz w:val="24"/>
                <w:szCs w:val="24"/>
                <w:lang w:val="ro-RO"/>
              </w:rPr>
            </w:pPr>
            <w:r w:rsidRPr="00BD050E">
              <w:rPr>
                <w:rFonts w:asciiTheme="majorHAnsi" w:hAnsiTheme="majorHAnsi" w:cstheme="majorHAnsi"/>
                <w:b/>
                <w:iCs/>
                <w:color w:val="000000" w:themeColor="text1"/>
                <w:sz w:val="24"/>
                <w:szCs w:val="24"/>
                <w:lang w:val="ro-RO"/>
              </w:rPr>
              <w:t>Perioada de acordare a împrumutului</w:t>
            </w:r>
          </w:p>
        </w:tc>
        <w:tc>
          <w:tcPr>
            <w:tcW w:w="4674" w:type="dxa"/>
          </w:tcPr>
          <w:p w14:paraId="2FF86D46" w14:textId="77777777" w:rsidR="00AA2208" w:rsidRPr="00BD050E" w:rsidRDefault="00AA2208" w:rsidP="00E37A9D">
            <w:pPr>
              <w:spacing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25 ani</w:t>
            </w:r>
          </w:p>
        </w:tc>
      </w:tr>
      <w:tr w:rsidR="00814F8E" w:rsidRPr="00BD050E" w14:paraId="0CAB6E0A" w14:textId="77777777" w:rsidTr="00E37A9D">
        <w:tc>
          <w:tcPr>
            <w:tcW w:w="4673" w:type="dxa"/>
            <w:shd w:val="clear" w:color="auto" w:fill="BDD6EE" w:themeFill="accent1" w:themeFillTint="66"/>
          </w:tcPr>
          <w:p w14:paraId="4DBD875A" w14:textId="77777777" w:rsidR="00AA2208" w:rsidRPr="00BD050E" w:rsidRDefault="00AA2208" w:rsidP="00E37A9D">
            <w:pPr>
              <w:spacing w:line="276" w:lineRule="auto"/>
              <w:jc w:val="both"/>
              <w:rPr>
                <w:rFonts w:asciiTheme="majorHAnsi" w:hAnsiTheme="majorHAnsi" w:cstheme="majorHAnsi"/>
                <w:b/>
                <w:iCs/>
                <w:color w:val="000000" w:themeColor="text1"/>
                <w:sz w:val="24"/>
                <w:szCs w:val="24"/>
                <w:lang w:val="ro-RO"/>
              </w:rPr>
            </w:pPr>
            <w:r w:rsidRPr="00BD050E">
              <w:rPr>
                <w:rFonts w:asciiTheme="majorHAnsi" w:hAnsiTheme="majorHAnsi" w:cstheme="majorHAnsi"/>
                <w:b/>
                <w:iCs/>
                <w:color w:val="000000" w:themeColor="text1"/>
                <w:sz w:val="24"/>
                <w:szCs w:val="24"/>
                <w:lang w:val="ro-RO"/>
              </w:rPr>
              <w:t xml:space="preserve">Taxa de angajament  </w:t>
            </w:r>
          </w:p>
        </w:tc>
        <w:tc>
          <w:tcPr>
            <w:tcW w:w="4674" w:type="dxa"/>
          </w:tcPr>
          <w:p w14:paraId="7AFE6667" w14:textId="77777777" w:rsidR="00AA2208" w:rsidRPr="00BD050E" w:rsidRDefault="00AA2208" w:rsidP="00E37A9D">
            <w:pPr>
              <w:spacing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0,5%</w:t>
            </w:r>
          </w:p>
        </w:tc>
      </w:tr>
      <w:tr w:rsidR="00814F8E" w:rsidRPr="00BD050E" w14:paraId="4DFD276C" w14:textId="77777777" w:rsidTr="00E37A9D">
        <w:tc>
          <w:tcPr>
            <w:tcW w:w="4673" w:type="dxa"/>
            <w:shd w:val="clear" w:color="auto" w:fill="BDD6EE" w:themeFill="accent1" w:themeFillTint="66"/>
          </w:tcPr>
          <w:p w14:paraId="27A92969" w14:textId="77777777" w:rsidR="00AA2208" w:rsidRPr="00BD050E" w:rsidRDefault="00AA2208" w:rsidP="00E37A9D">
            <w:pPr>
              <w:spacing w:line="276" w:lineRule="auto"/>
              <w:jc w:val="both"/>
              <w:rPr>
                <w:rFonts w:asciiTheme="majorHAnsi" w:hAnsiTheme="majorHAnsi" w:cstheme="majorHAnsi"/>
                <w:b/>
                <w:iCs/>
                <w:color w:val="000000" w:themeColor="text1"/>
                <w:sz w:val="24"/>
                <w:szCs w:val="24"/>
                <w:lang w:val="ro-RO"/>
              </w:rPr>
            </w:pPr>
            <w:r w:rsidRPr="00BD050E">
              <w:rPr>
                <w:rFonts w:asciiTheme="majorHAnsi" w:hAnsiTheme="majorHAnsi" w:cstheme="majorHAnsi"/>
                <w:b/>
                <w:iCs/>
                <w:color w:val="000000" w:themeColor="text1"/>
                <w:sz w:val="24"/>
                <w:szCs w:val="24"/>
                <w:lang w:val="ro-RO"/>
              </w:rPr>
              <w:t xml:space="preserve">Taxa de deservire </w:t>
            </w:r>
          </w:p>
        </w:tc>
        <w:tc>
          <w:tcPr>
            <w:tcW w:w="4674" w:type="dxa"/>
          </w:tcPr>
          <w:p w14:paraId="1FA66854" w14:textId="77777777" w:rsidR="00AA2208" w:rsidRPr="00BD050E" w:rsidRDefault="00AA2208" w:rsidP="00E37A9D">
            <w:pPr>
              <w:spacing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0,75%</w:t>
            </w:r>
          </w:p>
        </w:tc>
      </w:tr>
      <w:tr w:rsidR="00814F8E" w:rsidRPr="00BD050E" w14:paraId="7DC89F8D" w14:textId="77777777" w:rsidTr="00E37A9D">
        <w:tc>
          <w:tcPr>
            <w:tcW w:w="4673" w:type="dxa"/>
            <w:shd w:val="clear" w:color="auto" w:fill="BDD6EE" w:themeFill="accent1" w:themeFillTint="66"/>
          </w:tcPr>
          <w:p w14:paraId="03DE29F6" w14:textId="77777777" w:rsidR="00AA2208" w:rsidRPr="00BD050E" w:rsidRDefault="00AA2208" w:rsidP="00E37A9D">
            <w:pPr>
              <w:spacing w:line="276" w:lineRule="auto"/>
              <w:jc w:val="both"/>
              <w:rPr>
                <w:rFonts w:asciiTheme="majorHAnsi" w:hAnsiTheme="majorHAnsi" w:cstheme="majorHAnsi"/>
                <w:b/>
                <w:iCs/>
                <w:color w:val="000000" w:themeColor="text1"/>
                <w:sz w:val="24"/>
                <w:szCs w:val="24"/>
                <w:lang w:val="ro-RO"/>
              </w:rPr>
            </w:pPr>
            <w:r w:rsidRPr="00BD050E">
              <w:rPr>
                <w:rFonts w:asciiTheme="majorHAnsi" w:hAnsiTheme="majorHAnsi" w:cstheme="majorHAnsi"/>
                <w:b/>
                <w:iCs/>
                <w:color w:val="000000" w:themeColor="text1"/>
                <w:sz w:val="24"/>
                <w:szCs w:val="24"/>
                <w:lang w:val="ro-RO"/>
              </w:rPr>
              <w:t>Dobânda anuală</w:t>
            </w:r>
          </w:p>
        </w:tc>
        <w:tc>
          <w:tcPr>
            <w:tcW w:w="4674" w:type="dxa"/>
          </w:tcPr>
          <w:p w14:paraId="7CFC8008" w14:textId="7877A80E" w:rsidR="00AA2208" w:rsidRPr="00BD050E" w:rsidRDefault="00AA2208" w:rsidP="00E37A9D">
            <w:pPr>
              <w:spacing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1,25%</w:t>
            </w:r>
          </w:p>
        </w:tc>
      </w:tr>
    </w:tbl>
    <w:p w14:paraId="149DCCC0" w14:textId="77777777" w:rsidR="00AA2208" w:rsidRPr="00BD050E" w:rsidRDefault="00AA2208" w:rsidP="00AA2208">
      <w:pPr>
        <w:spacing w:after="0" w:line="276" w:lineRule="auto"/>
        <w:jc w:val="both"/>
        <w:rPr>
          <w:rFonts w:asciiTheme="majorHAnsi" w:hAnsiTheme="majorHAnsi" w:cstheme="majorHAnsi"/>
          <w:iCs/>
          <w:color w:val="000000" w:themeColor="text1"/>
          <w:sz w:val="24"/>
          <w:szCs w:val="24"/>
          <w:lang w:val="ro-RO"/>
        </w:rPr>
      </w:pPr>
    </w:p>
    <w:p w14:paraId="04C4A437" w14:textId="718CEDE7" w:rsidR="00AA2208" w:rsidRPr="00BD050E" w:rsidRDefault="00AA2208" w:rsidP="00AA2208">
      <w:pPr>
        <w:spacing w:line="276" w:lineRule="auto"/>
        <w:jc w:val="both"/>
        <w:rPr>
          <w:rFonts w:asciiTheme="majorHAnsi"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Astfel, pentru a acorda o asistență tehnică adecvată și în timp util pentru Program, din cauza că MS dispune de o capacitate limitată de achiziționare a serviciilor de consultanță, din valoarea totală a Acordului de finanțare (30,8 mil. dolari SUA) a fost prevăzută suma de 2,1 mil. dolari SUA, în cadrul unei componente separate ce urmează procedurile de creditare pentru investiții, din care urmează a fi finanțat un set selectat de activități de asistență tehnică și de consolidare a capacităților</w:t>
      </w:r>
      <w:r w:rsidRPr="00BD050E">
        <w:rPr>
          <w:rFonts w:asciiTheme="majorHAnsi" w:eastAsia="Times New Roman" w:hAnsiTheme="majorHAnsi" w:cstheme="majorHAnsi"/>
          <w:color w:val="000000" w:themeColor="text1"/>
          <w:sz w:val="24"/>
          <w:szCs w:val="24"/>
          <w:vertAlign w:val="superscript"/>
          <w:lang w:val="ro-RO"/>
        </w:rPr>
        <w:footnoteReference w:id="19"/>
      </w:r>
      <w:r w:rsidRPr="00BD050E">
        <w:rPr>
          <w:rFonts w:asciiTheme="majorHAnsi" w:hAnsiTheme="majorHAnsi" w:cstheme="majorHAnsi"/>
          <w:iCs/>
          <w:color w:val="000000" w:themeColor="text1"/>
          <w:sz w:val="24"/>
          <w:szCs w:val="24"/>
          <w:lang w:val="ro-RO"/>
        </w:rPr>
        <w:t xml:space="preserve">, destinat unor acțiuni întreprinse pentru atingerea indicatorilor legați de debursări. </w:t>
      </w:r>
      <w:r w:rsidRPr="00BD050E">
        <w:rPr>
          <w:rFonts w:asciiTheme="majorHAnsi" w:hAnsiTheme="majorHAnsi" w:cstheme="majorHAnsi"/>
          <w:iCs/>
          <w:color w:val="000000" w:themeColor="text1"/>
          <w:sz w:val="24"/>
          <w:szCs w:val="24"/>
          <w:lang w:val="ro-RO"/>
        </w:rPr>
        <w:lastRenderedPageBreak/>
        <w:t>Cheltuielile efectuate din mijloacele Proiectului de Asistență Tehnică</w:t>
      </w:r>
      <w:r w:rsidRPr="00BD050E">
        <w:rPr>
          <w:rFonts w:asciiTheme="majorHAnsi" w:hAnsiTheme="majorHAnsi" w:cstheme="majorHAnsi"/>
          <w:color w:val="000000" w:themeColor="text1"/>
          <w:sz w:val="24"/>
          <w:szCs w:val="24"/>
          <w:lang w:val="ro-RO"/>
        </w:rPr>
        <w:t xml:space="preserve"> au menirea de a sprijini realizarea obiectivelor Programului</w:t>
      </w:r>
      <w:r w:rsidR="00302018"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prin consolidarea capacităților MS și ale CNAM.</w:t>
      </w:r>
    </w:p>
    <w:p w14:paraId="06DC89E1" w14:textId="468FB8D8" w:rsidR="00AA2208" w:rsidRPr="00BD050E" w:rsidRDefault="00AA2208" w:rsidP="00AA2208">
      <w:pPr>
        <w:spacing w:line="276" w:lineRule="auto"/>
        <w:jc w:val="both"/>
        <w:rPr>
          <w:rFonts w:asciiTheme="majorHAnsi" w:hAnsiTheme="majorHAnsi" w:cstheme="majorHAnsi"/>
          <w:iCs/>
          <w:color w:val="000000" w:themeColor="text1"/>
          <w:sz w:val="24"/>
          <w:szCs w:val="24"/>
          <w:lang w:val="ro-RO"/>
        </w:rPr>
      </w:pPr>
      <w:r w:rsidRPr="00BD050E">
        <w:rPr>
          <w:rFonts w:asciiTheme="majorHAnsi" w:hAnsiTheme="majorHAnsi" w:cstheme="majorHAnsi"/>
          <w:iCs/>
          <w:color w:val="000000" w:themeColor="text1"/>
          <w:sz w:val="24"/>
          <w:szCs w:val="24"/>
          <w:lang w:val="ro-RO"/>
        </w:rPr>
        <w:t>Situațiile financiare ale Proiectului</w:t>
      </w:r>
      <w:r w:rsidR="00B2329D" w:rsidRPr="00BD050E">
        <w:rPr>
          <w:rFonts w:asciiTheme="majorHAnsi" w:hAnsiTheme="majorHAnsi" w:cstheme="majorHAnsi"/>
          <w:iCs/>
          <w:color w:val="000000" w:themeColor="text1"/>
          <w:sz w:val="24"/>
          <w:szCs w:val="24"/>
          <w:lang w:val="ro-RO"/>
        </w:rPr>
        <w:t>, care</w:t>
      </w:r>
      <w:r w:rsidRPr="00BD050E">
        <w:rPr>
          <w:rFonts w:asciiTheme="majorHAnsi" w:hAnsiTheme="majorHAnsi" w:cstheme="majorHAnsi"/>
          <w:iCs/>
          <w:color w:val="000000" w:themeColor="text1"/>
          <w:sz w:val="24"/>
          <w:szCs w:val="24"/>
          <w:lang w:val="ro-RO"/>
        </w:rPr>
        <w:t xml:space="preserve"> sunt raportate Băncii Mondiale și Ministerului Finanțelor, includ: un raport de progres al debursărilor recepționate și al cheltuielilor suportate pe componente și activități pentru anul de gestiune, în care sunt indicate fondurile acumulate de Proiect, soldurile bancare şi alte active, precum şi obligațiunile acestora (Anexele nr. 1</w:t>
      </w:r>
      <w:r w:rsidR="00B2329D" w:rsidRPr="00BD050E">
        <w:rPr>
          <w:rFonts w:asciiTheme="majorHAnsi" w:hAnsiTheme="majorHAnsi" w:cstheme="majorHAnsi"/>
          <w:iCs/>
          <w:color w:val="000000" w:themeColor="text1"/>
          <w:sz w:val="24"/>
          <w:szCs w:val="24"/>
          <w:lang w:val="ro-RO"/>
        </w:rPr>
        <w:t xml:space="preserve"> </w:t>
      </w:r>
      <w:r w:rsidRPr="00BD050E">
        <w:rPr>
          <w:rFonts w:asciiTheme="majorHAnsi" w:hAnsiTheme="majorHAnsi" w:cstheme="majorHAnsi"/>
          <w:iCs/>
          <w:color w:val="000000" w:themeColor="text1"/>
          <w:sz w:val="24"/>
          <w:szCs w:val="24"/>
          <w:lang w:val="ro-RO"/>
        </w:rPr>
        <w:t>-</w:t>
      </w:r>
      <w:r w:rsidR="00B2329D" w:rsidRPr="00BD050E">
        <w:rPr>
          <w:rFonts w:asciiTheme="majorHAnsi" w:hAnsiTheme="majorHAnsi" w:cstheme="majorHAnsi"/>
          <w:iCs/>
          <w:color w:val="000000" w:themeColor="text1"/>
          <w:sz w:val="24"/>
          <w:szCs w:val="24"/>
          <w:lang w:val="ro-RO"/>
        </w:rPr>
        <w:t xml:space="preserve"> nr.</w:t>
      </w:r>
      <w:r w:rsidRPr="00BD050E">
        <w:rPr>
          <w:rFonts w:asciiTheme="majorHAnsi" w:hAnsiTheme="majorHAnsi" w:cstheme="majorHAnsi"/>
          <w:iCs/>
          <w:color w:val="000000" w:themeColor="text1"/>
          <w:sz w:val="24"/>
          <w:szCs w:val="24"/>
          <w:lang w:val="ro-RO"/>
        </w:rPr>
        <w:t>5).</w:t>
      </w:r>
    </w:p>
    <w:p w14:paraId="55A2438B" w14:textId="09010FA7" w:rsidR="00AA2208" w:rsidRPr="00BD050E" w:rsidRDefault="00AA2208" w:rsidP="00AA2208">
      <w:pPr>
        <w:spacing w:after="0" w:line="276" w:lineRule="auto"/>
        <w:jc w:val="both"/>
        <w:rPr>
          <w:rFonts w:asciiTheme="majorHAnsi"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 xml:space="preserve">Potrivit Acordului de finanțare dintre Republica Moldova și Asociația Internațională pentru Dezvoltare, Operațiunea </w:t>
      </w:r>
      <w:r w:rsidR="00B2329D" w:rsidRPr="00BD050E">
        <w:rPr>
          <w:rFonts w:asciiTheme="majorHAnsi" w:eastAsia="Times New Roman" w:hAnsiTheme="majorHAnsi" w:cstheme="majorHAnsi"/>
          <w:color w:val="000000" w:themeColor="text1"/>
          <w:sz w:val="24"/>
          <w:szCs w:val="24"/>
          <w:lang w:val="ro-RO"/>
        </w:rPr>
        <w:t>„</w:t>
      </w:r>
      <w:r w:rsidRPr="00BD050E">
        <w:rPr>
          <w:rFonts w:asciiTheme="majorHAnsi" w:eastAsia="Times New Roman" w:hAnsiTheme="majorHAnsi" w:cstheme="majorHAnsi"/>
          <w:color w:val="000000" w:themeColor="text1"/>
          <w:sz w:val="24"/>
          <w:szCs w:val="24"/>
          <w:lang w:val="ro-RO"/>
        </w:rPr>
        <w:t xml:space="preserve">Modernizarea sectorului sănătății </w:t>
      </w:r>
      <w:r w:rsidR="00B2329D" w:rsidRPr="00BD050E">
        <w:rPr>
          <w:rFonts w:asciiTheme="majorHAnsi" w:eastAsia="Times New Roman" w:hAnsiTheme="majorHAnsi" w:cstheme="majorHAnsi"/>
          <w:color w:val="000000" w:themeColor="text1"/>
          <w:sz w:val="24"/>
          <w:szCs w:val="24"/>
          <w:lang w:val="ro-RO"/>
        </w:rPr>
        <w:t xml:space="preserve">în Republica Moldova” </w:t>
      </w:r>
      <w:r w:rsidRPr="00BD050E">
        <w:rPr>
          <w:rFonts w:asciiTheme="majorHAnsi" w:eastAsia="Times New Roman" w:hAnsiTheme="majorHAnsi" w:cstheme="majorHAnsi"/>
          <w:color w:val="000000" w:themeColor="text1"/>
          <w:sz w:val="24"/>
          <w:szCs w:val="24"/>
          <w:lang w:val="ro-RO"/>
        </w:rPr>
        <w:t>urma a fi realizată în termen de 5 ani, data încheierii fiind 30 martie 2019. Conform Notei de Memoriu</w:t>
      </w:r>
      <w:r w:rsidRPr="00BD050E">
        <w:rPr>
          <w:rFonts w:asciiTheme="majorHAnsi" w:eastAsia="Times New Roman" w:hAnsiTheme="majorHAnsi" w:cstheme="majorHAnsi"/>
          <w:color w:val="000000" w:themeColor="text1"/>
          <w:sz w:val="24"/>
          <w:szCs w:val="24"/>
          <w:vertAlign w:val="superscript"/>
          <w:lang w:val="ro-RO"/>
        </w:rPr>
        <w:footnoteReference w:id="20"/>
      </w:r>
      <w:r w:rsidRPr="00BD050E">
        <w:rPr>
          <w:rFonts w:asciiTheme="majorHAnsi" w:eastAsia="Times New Roman" w:hAnsiTheme="majorHAnsi" w:cstheme="majorHAnsi"/>
          <w:color w:val="000000" w:themeColor="text1"/>
          <w:sz w:val="24"/>
          <w:szCs w:val="24"/>
          <w:lang w:val="ro-RO"/>
        </w:rPr>
        <w:t xml:space="preserve"> din octombrie 2018, pentru a asigura realizarea tuturor indicatorilor legați de debursare, precum și absorbția integrală a mijloacelor creditare, a fost acceptată extinderea termenului de realizare cu 12 luni, până la 31 decembrie 2020.</w:t>
      </w:r>
      <w:r w:rsidRPr="00BD050E">
        <w:rPr>
          <w:rFonts w:asciiTheme="majorHAnsi" w:hAnsiTheme="majorHAnsi" w:cstheme="majorHAnsi"/>
          <w:color w:val="000000" w:themeColor="text1"/>
          <w:sz w:val="24"/>
          <w:szCs w:val="24"/>
          <w:lang w:val="ro-RO"/>
        </w:rPr>
        <w:t xml:space="preserve"> </w:t>
      </w:r>
    </w:p>
    <w:p w14:paraId="7EC4BAD8" w14:textId="64392BCC" w:rsidR="00AA2208" w:rsidRPr="00BD050E" w:rsidRDefault="00FA1C89" w:rsidP="00AA2208">
      <w:pPr>
        <w:spacing w:after="0"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Ulterior, în legătură cu pandemia existentă, precum și din cauza nedebursării tuturor indicatorilor, </w:t>
      </w:r>
      <w:r w:rsidR="00AA2208" w:rsidRPr="00BD050E">
        <w:rPr>
          <w:rFonts w:asciiTheme="majorHAnsi" w:hAnsiTheme="majorHAnsi" w:cstheme="majorHAnsi"/>
          <w:color w:val="000000" w:themeColor="text1"/>
          <w:sz w:val="24"/>
          <w:szCs w:val="24"/>
          <w:lang w:val="ro-RO"/>
        </w:rPr>
        <w:t>prin scrisoarea nr. 14/1-07/431 din 21 octombrie 2021</w:t>
      </w:r>
      <w:r w:rsidR="002742C0" w:rsidRPr="00BD050E">
        <w:rPr>
          <w:rFonts w:asciiTheme="majorHAnsi" w:hAnsiTheme="majorHAnsi" w:cstheme="majorHAnsi"/>
          <w:color w:val="000000" w:themeColor="text1"/>
          <w:sz w:val="24"/>
          <w:szCs w:val="24"/>
          <w:lang w:val="ro-RO"/>
        </w:rPr>
        <w:t>,</w:t>
      </w:r>
      <w:r w:rsidR="00AA2208" w:rsidRPr="00BD050E">
        <w:rPr>
          <w:rFonts w:asciiTheme="majorHAnsi" w:hAnsiTheme="majorHAnsi" w:cstheme="majorHAnsi"/>
          <w:color w:val="000000" w:themeColor="text1"/>
          <w:sz w:val="24"/>
          <w:szCs w:val="24"/>
          <w:lang w:val="ro-RO"/>
        </w:rPr>
        <w:t xml:space="preserve"> s-a solicit</w:t>
      </w:r>
      <w:r w:rsidR="009E7FDF" w:rsidRPr="00BD050E">
        <w:rPr>
          <w:rFonts w:asciiTheme="majorHAnsi" w:hAnsiTheme="majorHAnsi" w:cstheme="majorHAnsi"/>
          <w:color w:val="000000" w:themeColor="text1"/>
          <w:sz w:val="24"/>
          <w:szCs w:val="24"/>
          <w:lang w:val="ro-RO"/>
        </w:rPr>
        <w:t>at</w:t>
      </w:r>
      <w:r w:rsidR="00AA2208" w:rsidRPr="00BD050E">
        <w:rPr>
          <w:rFonts w:asciiTheme="majorHAnsi" w:hAnsiTheme="majorHAnsi" w:cstheme="majorHAnsi"/>
          <w:color w:val="000000" w:themeColor="text1"/>
          <w:sz w:val="24"/>
          <w:szCs w:val="24"/>
          <w:lang w:val="ro-RO"/>
        </w:rPr>
        <w:t xml:space="preserve"> o prelungire cu șase luni a termenului de închidere, în vederea finalizării p</w:t>
      </w:r>
      <w:r w:rsidR="009E7FDF" w:rsidRPr="00BD050E">
        <w:rPr>
          <w:rFonts w:asciiTheme="majorHAnsi" w:hAnsiTheme="majorHAnsi" w:cstheme="majorHAnsi"/>
          <w:color w:val="000000" w:themeColor="text1"/>
          <w:sz w:val="24"/>
          <w:szCs w:val="24"/>
          <w:lang w:val="ro-RO"/>
        </w:rPr>
        <w:t>lății planificate, recuperării</w:t>
      </w:r>
      <w:r w:rsidR="00AA2208" w:rsidRPr="00BD050E">
        <w:rPr>
          <w:rFonts w:asciiTheme="majorHAnsi" w:hAnsiTheme="majorHAnsi" w:cstheme="majorHAnsi"/>
          <w:color w:val="000000" w:themeColor="text1"/>
          <w:sz w:val="24"/>
          <w:szCs w:val="24"/>
          <w:lang w:val="ro-RO"/>
        </w:rPr>
        <w:t xml:space="preserve"> activităților întârziate și oferi</w:t>
      </w:r>
      <w:r w:rsidR="002742C0" w:rsidRPr="00BD050E">
        <w:rPr>
          <w:rFonts w:asciiTheme="majorHAnsi" w:hAnsiTheme="majorHAnsi" w:cstheme="majorHAnsi"/>
          <w:color w:val="000000" w:themeColor="text1"/>
          <w:sz w:val="24"/>
          <w:szCs w:val="24"/>
          <w:lang w:val="ro-RO"/>
        </w:rPr>
        <w:t>rii</w:t>
      </w:r>
      <w:r w:rsidR="00AA2208" w:rsidRPr="00BD050E">
        <w:rPr>
          <w:rFonts w:asciiTheme="majorHAnsi" w:hAnsiTheme="majorHAnsi" w:cstheme="majorHAnsi"/>
          <w:color w:val="000000" w:themeColor="text1"/>
          <w:sz w:val="24"/>
          <w:szCs w:val="24"/>
          <w:lang w:val="ro-RO"/>
        </w:rPr>
        <w:t xml:space="preserve"> sprijin</w:t>
      </w:r>
      <w:r w:rsidR="002742C0" w:rsidRPr="00BD050E">
        <w:rPr>
          <w:rFonts w:asciiTheme="majorHAnsi" w:hAnsiTheme="majorHAnsi" w:cstheme="majorHAnsi"/>
          <w:color w:val="000000" w:themeColor="text1"/>
          <w:sz w:val="24"/>
          <w:szCs w:val="24"/>
          <w:lang w:val="ro-RO"/>
        </w:rPr>
        <w:t>ului</w:t>
      </w:r>
      <w:r w:rsidR="00AA2208" w:rsidRPr="00BD050E">
        <w:rPr>
          <w:rFonts w:asciiTheme="majorHAnsi" w:hAnsiTheme="majorHAnsi" w:cstheme="majorHAnsi"/>
          <w:color w:val="000000" w:themeColor="text1"/>
          <w:sz w:val="24"/>
          <w:szCs w:val="24"/>
          <w:lang w:val="ro-RO"/>
        </w:rPr>
        <w:t xml:space="preserve"> suplimentar pentru atenuarea impactul</w:t>
      </w:r>
      <w:r w:rsidR="002742C0" w:rsidRPr="00BD050E">
        <w:rPr>
          <w:rFonts w:asciiTheme="majorHAnsi" w:hAnsiTheme="majorHAnsi" w:cstheme="majorHAnsi"/>
          <w:color w:val="000000" w:themeColor="text1"/>
          <w:sz w:val="24"/>
          <w:szCs w:val="24"/>
          <w:lang w:val="ro-RO"/>
        </w:rPr>
        <w:t>ui</w:t>
      </w:r>
      <w:r w:rsidR="00AA2208" w:rsidRPr="00BD050E">
        <w:rPr>
          <w:rFonts w:asciiTheme="majorHAnsi" w:hAnsiTheme="majorHAnsi" w:cstheme="majorHAnsi"/>
          <w:color w:val="000000" w:themeColor="text1"/>
          <w:sz w:val="24"/>
          <w:szCs w:val="24"/>
          <w:lang w:val="ro-RO"/>
        </w:rPr>
        <w:t xml:space="preserve"> negativ al</w:t>
      </w:r>
      <w:r w:rsidRPr="00BD050E">
        <w:rPr>
          <w:rFonts w:asciiTheme="majorHAnsi" w:hAnsiTheme="majorHAnsi" w:cstheme="majorHAnsi"/>
          <w:color w:val="000000" w:themeColor="text1"/>
          <w:sz w:val="24"/>
          <w:szCs w:val="24"/>
          <w:lang w:val="ro-RO"/>
        </w:rPr>
        <w:t xml:space="preserve"> </w:t>
      </w:r>
      <w:r w:rsidR="002742C0" w:rsidRPr="00BD050E">
        <w:rPr>
          <w:rFonts w:asciiTheme="majorHAnsi" w:hAnsiTheme="majorHAnsi" w:cstheme="majorHAnsi"/>
          <w:color w:val="000000" w:themeColor="text1"/>
          <w:sz w:val="24"/>
          <w:szCs w:val="24"/>
          <w:lang w:val="ro-RO"/>
        </w:rPr>
        <w:t xml:space="preserve">infecției cu </w:t>
      </w:r>
      <w:r w:rsidRPr="00BD050E">
        <w:rPr>
          <w:rFonts w:asciiTheme="majorHAnsi" w:hAnsiTheme="majorHAnsi" w:cstheme="majorHAnsi"/>
          <w:color w:val="000000" w:themeColor="text1"/>
          <w:sz w:val="24"/>
          <w:szCs w:val="24"/>
          <w:lang w:val="ro-RO"/>
        </w:rPr>
        <w:t xml:space="preserve">COVID-19 în Republica Moldova. </w:t>
      </w:r>
      <w:r w:rsidR="00AA2208" w:rsidRPr="00BD050E">
        <w:rPr>
          <w:rFonts w:asciiTheme="majorHAnsi" w:hAnsiTheme="majorHAnsi" w:cstheme="majorHAnsi"/>
          <w:color w:val="000000" w:themeColor="text1"/>
          <w:sz w:val="24"/>
          <w:szCs w:val="24"/>
          <w:lang w:val="ro-RO"/>
        </w:rPr>
        <w:t>În urma primirii cererii de prelungire, a fost elaborat un plan de acțiun</w:t>
      </w:r>
      <w:r w:rsidR="002742C0" w:rsidRPr="00BD050E">
        <w:rPr>
          <w:rFonts w:asciiTheme="majorHAnsi" w:hAnsiTheme="majorHAnsi" w:cstheme="majorHAnsi"/>
          <w:color w:val="000000" w:themeColor="text1"/>
          <w:sz w:val="24"/>
          <w:szCs w:val="24"/>
          <w:lang w:val="ro-RO"/>
        </w:rPr>
        <w:t>i</w:t>
      </w:r>
      <w:r w:rsidR="00AA2208" w:rsidRPr="00BD050E">
        <w:rPr>
          <w:rFonts w:asciiTheme="majorHAnsi" w:hAnsiTheme="majorHAnsi" w:cstheme="majorHAnsi"/>
          <w:color w:val="000000" w:themeColor="text1"/>
          <w:sz w:val="24"/>
          <w:szCs w:val="24"/>
          <w:lang w:val="ro-RO"/>
        </w:rPr>
        <w:t xml:space="preserve"> și un calendar pentru finalizarea activităților rămase ale </w:t>
      </w:r>
      <w:r w:rsidR="002742C0" w:rsidRPr="00BD050E">
        <w:rPr>
          <w:rFonts w:asciiTheme="majorHAnsi" w:hAnsiTheme="majorHAnsi" w:cstheme="majorHAnsi"/>
          <w:color w:val="000000" w:themeColor="text1"/>
          <w:sz w:val="24"/>
          <w:szCs w:val="24"/>
          <w:lang w:val="ro-RO"/>
        </w:rPr>
        <w:t>P</w:t>
      </w:r>
      <w:r w:rsidR="00AA2208" w:rsidRPr="00BD050E">
        <w:rPr>
          <w:rFonts w:asciiTheme="majorHAnsi" w:hAnsiTheme="majorHAnsi" w:cstheme="majorHAnsi"/>
          <w:color w:val="000000" w:themeColor="text1"/>
          <w:sz w:val="24"/>
          <w:szCs w:val="24"/>
          <w:lang w:val="ro-RO"/>
        </w:rPr>
        <w:t xml:space="preserve">roiectului. </w:t>
      </w:r>
      <w:r w:rsidR="002742C0" w:rsidRPr="00BD050E">
        <w:rPr>
          <w:rFonts w:asciiTheme="majorHAnsi" w:hAnsiTheme="majorHAnsi" w:cstheme="majorHAnsi"/>
          <w:color w:val="000000" w:themeColor="text1"/>
          <w:sz w:val="24"/>
          <w:szCs w:val="24"/>
          <w:lang w:val="ro-RO"/>
        </w:rPr>
        <w:t>În</w:t>
      </w:r>
      <w:r w:rsidR="00AA2208" w:rsidRPr="00BD050E">
        <w:rPr>
          <w:rFonts w:asciiTheme="majorHAnsi" w:hAnsiTheme="majorHAnsi" w:cstheme="majorHAnsi"/>
          <w:color w:val="000000" w:themeColor="text1"/>
          <w:sz w:val="24"/>
          <w:szCs w:val="24"/>
          <w:lang w:val="ro-RO"/>
        </w:rPr>
        <w:t xml:space="preserve"> baza acestui act, conducerea Băncii Mondiale a propus o prelungire cu opt luni pentru finalizarea acestor acțiuni importante. </w:t>
      </w:r>
    </w:p>
    <w:p w14:paraId="5C40F8FD" w14:textId="77777777" w:rsidR="00AA2208" w:rsidRPr="00BD050E" w:rsidRDefault="00AA2208" w:rsidP="00AA2208">
      <w:pPr>
        <w:spacing w:after="0" w:line="276" w:lineRule="auto"/>
        <w:jc w:val="both"/>
        <w:rPr>
          <w:rFonts w:asciiTheme="majorHAnsi" w:hAnsiTheme="majorHAnsi" w:cstheme="majorHAnsi"/>
          <w:color w:val="000000" w:themeColor="text1"/>
          <w:sz w:val="24"/>
          <w:szCs w:val="24"/>
          <w:lang w:val="ro-RO"/>
        </w:rPr>
      </w:pPr>
    </w:p>
    <w:p w14:paraId="439CD9F3" w14:textId="63A3E423" w:rsidR="00AA2208" w:rsidRPr="00BD050E" w:rsidRDefault="00AA2208" w:rsidP="00AA2208">
      <w:pPr>
        <w:spacing w:after="0"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Astfel, progresul în sensul realizării Proiectului </w:t>
      </w:r>
      <w:r w:rsidR="00F16438" w:rsidRPr="00BD050E">
        <w:rPr>
          <w:rFonts w:asciiTheme="majorHAnsi" w:hAnsiTheme="majorHAnsi" w:cstheme="majorHAnsi"/>
          <w:color w:val="000000" w:themeColor="text1"/>
          <w:sz w:val="24"/>
          <w:szCs w:val="24"/>
          <w:lang w:val="ro-RO"/>
        </w:rPr>
        <w:t xml:space="preserve">până la finele anului 2021 a fost </w:t>
      </w:r>
      <w:r w:rsidRPr="00BD050E">
        <w:rPr>
          <w:rFonts w:asciiTheme="majorHAnsi" w:hAnsiTheme="majorHAnsi" w:cstheme="majorHAnsi"/>
          <w:color w:val="000000" w:themeColor="text1"/>
          <w:sz w:val="24"/>
          <w:szCs w:val="24"/>
          <w:lang w:val="ro-RO"/>
        </w:rPr>
        <w:t xml:space="preserve">menținut la un nivel moderat, fără modificări substanțiale ale coeficientului de debursare. Sumele debursate în cadrul Proiectului </w:t>
      </w:r>
      <w:r w:rsidR="00CB0B8C" w:rsidRPr="00BD050E">
        <w:rPr>
          <w:rFonts w:asciiTheme="majorHAnsi" w:hAnsiTheme="majorHAnsi" w:cstheme="majorHAnsi"/>
          <w:color w:val="000000" w:themeColor="text1"/>
          <w:sz w:val="24"/>
          <w:szCs w:val="24"/>
          <w:lang w:val="ro-RO"/>
        </w:rPr>
        <w:t>„M</w:t>
      </w:r>
      <w:r w:rsidRPr="00BD050E">
        <w:rPr>
          <w:rFonts w:asciiTheme="majorHAnsi" w:hAnsiTheme="majorHAnsi" w:cstheme="majorHAnsi"/>
          <w:color w:val="000000" w:themeColor="text1"/>
          <w:sz w:val="24"/>
          <w:szCs w:val="24"/>
          <w:lang w:val="ro-RO"/>
        </w:rPr>
        <w:t>odernizarea sectorului sănătății</w:t>
      </w:r>
      <w:r w:rsidR="00CB0B8C" w:rsidRPr="00BD050E">
        <w:rPr>
          <w:rFonts w:asciiTheme="majorHAnsi" w:hAnsiTheme="majorHAnsi" w:cstheme="majorHAnsi"/>
          <w:color w:val="000000" w:themeColor="text1"/>
          <w:sz w:val="24"/>
          <w:szCs w:val="24"/>
          <w:lang w:val="ro-RO"/>
        </w:rPr>
        <w:t xml:space="preserve"> în Republica M</w:t>
      </w:r>
      <w:r w:rsidR="005719BF" w:rsidRPr="00BD050E">
        <w:rPr>
          <w:rFonts w:asciiTheme="majorHAnsi" w:hAnsiTheme="majorHAnsi" w:cstheme="majorHAnsi"/>
          <w:color w:val="000000" w:themeColor="text1"/>
          <w:sz w:val="24"/>
          <w:szCs w:val="24"/>
          <w:lang w:val="ro-RO"/>
        </w:rPr>
        <w:t>o</w:t>
      </w:r>
      <w:r w:rsidR="00CB0B8C" w:rsidRPr="00BD050E">
        <w:rPr>
          <w:rFonts w:asciiTheme="majorHAnsi" w:hAnsiTheme="majorHAnsi" w:cstheme="majorHAnsi"/>
          <w:color w:val="000000" w:themeColor="text1"/>
          <w:sz w:val="24"/>
          <w:szCs w:val="24"/>
          <w:lang w:val="ro-RO"/>
        </w:rPr>
        <w:t>ldova”</w:t>
      </w:r>
      <w:r w:rsidRPr="00BD050E">
        <w:rPr>
          <w:rFonts w:asciiTheme="majorHAnsi" w:hAnsiTheme="majorHAnsi" w:cstheme="majorHAnsi"/>
          <w:color w:val="000000" w:themeColor="text1"/>
          <w:sz w:val="24"/>
          <w:szCs w:val="24"/>
          <w:lang w:val="ro-RO"/>
        </w:rPr>
        <w:t xml:space="preserve">, până în anul 2021, sunt următoarele: </w:t>
      </w:r>
    </w:p>
    <w:p w14:paraId="73622986" w14:textId="5482B9B2" w:rsidR="00AA2208" w:rsidRPr="00BD050E" w:rsidRDefault="00AA2208" w:rsidP="00AA2208">
      <w:pPr>
        <w:spacing w:after="0"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Program Suport la Buget</w:t>
      </w:r>
      <w:r w:rsidRPr="00BD050E">
        <w:rPr>
          <w:rStyle w:val="FootnoteReference"/>
          <w:rFonts w:asciiTheme="majorHAnsi" w:hAnsiTheme="majorHAnsi" w:cstheme="majorHAnsi"/>
          <w:color w:val="000000" w:themeColor="text1"/>
          <w:sz w:val="24"/>
          <w:szCs w:val="24"/>
          <w:lang w:val="ro-RO"/>
        </w:rPr>
        <w:footnoteReference w:id="21"/>
      </w:r>
      <w:r w:rsidRPr="00BD050E">
        <w:rPr>
          <w:rFonts w:asciiTheme="majorHAnsi" w:hAnsiTheme="majorHAnsi" w:cstheme="majorHAnsi"/>
          <w:color w:val="000000" w:themeColor="text1"/>
          <w:sz w:val="24"/>
          <w:szCs w:val="24"/>
          <w:lang w:val="ro-RO"/>
        </w:rPr>
        <w:t>: 1</w:t>
      </w:r>
      <w:r w:rsidR="00C32331" w:rsidRPr="00BD050E">
        <w:rPr>
          <w:rFonts w:asciiTheme="majorHAnsi" w:hAnsiTheme="majorHAnsi" w:cstheme="majorHAnsi"/>
          <w:color w:val="000000" w:themeColor="text1"/>
          <w:sz w:val="24"/>
          <w:szCs w:val="24"/>
          <w:lang w:val="ro-RO"/>
        </w:rPr>
        <w:t>2.5</w:t>
      </w:r>
      <w:r w:rsidRPr="00BD050E">
        <w:rPr>
          <w:rFonts w:asciiTheme="majorHAnsi" w:hAnsiTheme="majorHAnsi" w:cstheme="majorHAnsi"/>
          <w:color w:val="000000" w:themeColor="text1"/>
          <w:sz w:val="24"/>
          <w:szCs w:val="24"/>
          <w:lang w:val="ro-RO"/>
        </w:rPr>
        <w:t xml:space="preserve"> mil. DST au fost debursate, ceea ce reprezintă </w:t>
      </w:r>
      <w:r w:rsidR="00C32331" w:rsidRPr="00BD050E">
        <w:rPr>
          <w:rFonts w:asciiTheme="majorHAnsi" w:hAnsiTheme="majorHAnsi" w:cstheme="majorHAnsi"/>
          <w:color w:val="000000" w:themeColor="text1"/>
          <w:sz w:val="24"/>
          <w:szCs w:val="24"/>
          <w:lang w:val="ro-RO"/>
        </w:rPr>
        <w:t>67,55</w:t>
      </w:r>
      <w:r w:rsidRPr="00BD050E">
        <w:rPr>
          <w:rFonts w:asciiTheme="majorHAnsi" w:hAnsiTheme="majorHAnsi" w:cstheme="majorHAnsi"/>
          <w:color w:val="000000" w:themeColor="text1"/>
          <w:sz w:val="24"/>
          <w:szCs w:val="24"/>
          <w:lang w:val="ro-RO"/>
        </w:rPr>
        <w:t xml:space="preserve"> procente din creditul în valoare </w:t>
      </w:r>
      <w:r w:rsidR="006F4697" w:rsidRPr="00BD050E">
        <w:rPr>
          <w:rFonts w:asciiTheme="majorHAnsi" w:hAnsiTheme="majorHAnsi" w:cstheme="majorHAnsi"/>
          <w:color w:val="000000" w:themeColor="text1"/>
          <w:sz w:val="24"/>
          <w:szCs w:val="24"/>
          <w:lang w:val="ro-RO"/>
        </w:rPr>
        <w:t xml:space="preserve">totală </w:t>
      </w:r>
      <w:r w:rsidRPr="00BD050E">
        <w:rPr>
          <w:rFonts w:asciiTheme="majorHAnsi" w:hAnsiTheme="majorHAnsi" w:cstheme="majorHAnsi"/>
          <w:color w:val="000000" w:themeColor="text1"/>
          <w:sz w:val="24"/>
          <w:szCs w:val="24"/>
          <w:lang w:val="ro-RO"/>
        </w:rPr>
        <w:t xml:space="preserve">de 18,6 mil. DST; </w:t>
      </w:r>
      <w:r w:rsidRPr="00BD050E">
        <w:rPr>
          <w:rFonts w:asciiTheme="majorHAnsi" w:eastAsia="Times New Roman" w:hAnsiTheme="majorHAnsi" w:cstheme="majorHAnsi"/>
          <w:color w:val="000000" w:themeColor="text1"/>
          <w:sz w:val="24"/>
          <w:szCs w:val="24"/>
          <w:lang w:val="ro-RO"/>
        </w:rPr>
        <w:t>Mijloacele au fost debursate urmare realizării integrale a șapte indicatori: (ILD 1,</w:t>
      </w:r>
      <w:r w:rsidR="00C32331" w:rsidRPr="00BD050E">
        <w:rPr>
          <w:rFonts w:asciiTheme="majorHAnsi" w:eastAsia="Times New Roman" w:hAnsiTheme="majorHAnsi" w:cstheme="majorHAnsi"/>
          <w:color w:val="000000" w:themeColor="text1"/>
          <w:sz w:val="24"/>
          <w:szCs w:val="24"/>
          <w:lang w:val="ro-RO"/>
        </w:rPr>
        <w:t xml:space="preserve"> </w:t>
      </w:r>
      <w:r w:rsidRPr="00BD050E">
        <w:rPr>
          <w:rFonts w:asciiTheme="majorHAnsi" w:eastAsia="Times New Roman" w:hAnsiTheme="majorHAnsi" w:cstheme="majorHAnsi"/>
          <w:color w:val="000000" w:themeColor="text1"/>
          <w:sz w:val="24"/>
          <w:szCs w:val="24"/>
          <w:lang w:val="ro-RO"/>
        </w:rPr>
        <w:t>3, 4, 5, 6, 8 și 10</w:t>
      </w:r>
      <w:r w:rsidRPr="00BD050E">
        <w:rPr>
          <w:rStyle w:val="FootnoteReference"/>
          <w:rFonts w:asciiTheme="majorHAnsi" w:eastAsia="Times New Roman" w:hAnsiTheme="majorHAnsi" w:cstheme="majorHAnsi"/>
          <w:color w:val="000000" w:themeColor="text1"/>
          <w:sz w:val="24"/>
          <w:szCs w:val="24"/>
          <w:lang w:val="ro-RO"/>
        </w:rPr>
        <w:footnoteReference w:id="22"/>
      </w:r>
      <w:r w:rsidRPr="00BD050E">
        <w:rPr>
          <w:rFonts w:asciiTheme="majorHAnsi" w:eastAsia="Times New Roman"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w:t>
      </w:r>
      <w:r w:rsidRPr="00BD050E">
        <w:rPr>
          <w:rFonts w:asciiTheme="majorHAnsi" w:eastAsia="Times New Roman" w:hAnsiTheme="majorHAnsi" w:cstheme="majorHAnsi"/>
          <w:color w:val="000000" w:themeColor="text1"/>
          <w:sz w:val="24"/>
          <w:szCs w:val="24"/>
          <w:lang w:val="ro-RO"/>
        </w:rPr>
        <w:t>Totodată, parțial au fost atinși patru indicatori (DLR 2, 7, 9 și 11)</w:t>
      </w:r>
      <w:r w:rsidR="006F4697" w:rsidRPr="00BD050E">
        <w:rPr>
          <w:rFonts w:asciiTheme="majorHAnsi" w:eastAsia="Times New Roman" w:hAnsiTheme="majorHAnsi" w:cstheme="majorHAnsi"/>
          <w:color w:val="000000" w:themeColor="text1"/>
          <w:sz w:val="24"/>
          <w:szCs w:val="24"/>
          <w:lang w:val="ro-RO"/>
        </w:rPr>
        <w:t xml:space="preserve">, </w:t>
      </w:r>
      <w:r w:rsidRPr="00BD050E">
        <w:rPr>
          <w:rFonts w:asciiTheme="majorHAnsi" w:eastAsia="Times New Roman" w:hAnsiTheme="majorHAnsi" w:cstheme="majorHAnsi"/>
          <w:color w:val="000000" w:themeColor="text1"/>
          <w:sz w:val="24"/>
          <w:szCs w:val="24"/>
          <w:lang w:val="ro-RO"/>
        </w:rPr>
        <w:t>care urmează a fi realizați până la finalizarea Pro</w:t>
      </w:r>
      <w:r w:rsidR="00FA1C89" w:rsidRPr="00BD050E">
        <w:rPr>
          <w:rFonts w:asciiTheme="majorHAnsi" w:eastAsia="Times New Roman" w:hAnsiTheme="majorHAnsi" w:cstheme="majorHAnsi"/>
          <w:color w:val="000000" w:themeColor="text1"/>
          <w:sz w:val="24"/>
          <w:szCs w:val="24"/>
          <w:lang w:val="ro-RO"/>
        </w:rPr>
        <w:t>iectului</w:t>
      </w:r>
      <w:r w:rsidR="006F4697" w:rsidRPr="00BD050E">
        <w:rPr>
          <w:rFonts w:asciiTheme="majorHAnsi" w:eastAsia="Times New Roman" w:hAnsiTheme="majorHAnsi" w:cstheme="majorHAnsi"/>
          <w:color w:val="000000" w:themeColor="text1"/>
          <w:sz w:val="24"/>
          <w:szCs w:val="24"/>
          <w:lang w:val="ro-RO"/>
        </w:rPr>
        <w:t>,</w:t>
      </w:r>
      <w:r w:rsidR="00FA1C89" w:rsidRPr="00BD050E">
        <w:rPr>
          <w:rFonts w:asciiTheme="majorHAnsi" w:eastAsia="Times New Roman" w:hAnsiTheme="majorHAnsi" w:cstheme="majorHAnsi"/>
          <w:color w:val="000000" w:themeColor="text1"/>
          <w:sz w:val="24"/>
          <w:szCs w:val="24"/>
          <w:lang w:val="ro-RO"/>
        </w:rPr>
        <w:t xml:space="preserve"> și debursate mijloace, unii din</w:t>
      </w:r>
      <w:r w:rsidR="006F4697" w:rsidRPr="00BD050E">
        <w:rPr>
          <w:rFonts w:asciiTheme="majorHAnsi" w:eastAsia="Times New Roman" w:hAnsiTheme="majorHAnsi" w:cstheme="majorHAnsi"/>
          <w:color w:val="000000" w:themeColor="text1"/>
          <w:sz w:val="24"/>
          <w:szCs w:val="24"/>
          <w:lang w:val="ro-RO"/>
        </w:rPr>
        <w:t>tre</w:t>
      </w:r>
      <w:r w:rsidR="00FA1C89" w:rsidRPr="00BD050E">
        <w:rPr>
          <w:rFonts w:asciiTheme="majorHAnsi" w:eastAsia="Times New Roman" w:hAnsiTheme="majorHAnsi" w:cstheme="majorHAnsi"/>
          <w:color w:val="000000" w:themeColor="text1"/>
          <w:sz w:val="24"/>
          <w:szCs w:val="24"/>
          <w:lang w:val="ro-RO"/>
        </w:rPr>
        <w:t xml:space="preserve"> acești indicatori fiind debursați în anul 2022 (</w:t>
      </w:r>
      <w:r w:rsidR="00D57F32" w:rsidRPr="00BD050E">
        <w:rPr>
          <w:rFonts w:asciiTheme="majorHAnsi" w:eastAsia="Times New Roman" w:hAnsiTheme="majorHAnsi" w:cstheme="majorHAnsi"/>
          <w:color w:val="000000" w:themeColor="text1"/>
          <w:sz w:val="24"/>
          <w:szCs w:val="24"/>
          <w:lang w:val="ro-RO"/>
        </w:rPr>
        <w:t>ILD</w:t>
      </w:r>
      <w:r w:rsidR="00C32331" w:rsidRPr="00BD050E">
        <w:rPr>
          <w:rFonts w:asciiTheme="majorHAnsi" w:eastAsia="Times New Roman" w:hAnsiTheme="majorHAnsi" w:cstheme="majorHAnsi"/>
          <w:color w:val="000000" w:themeColor="text1"/>
          <w:sz w:val="24"/>
          <w:szCs w:val="24"/>
          <w:lang w:val="ro-RO"/>
        </w:rPr>
        <w:t xml:space="preserve"> 2, 7.2, 11</w:t>
      </w:r>
      <w:r w:rsidR="00FA1C89" w:rsidRPr="00BD050E">
        <w:rPr>
          <w:rFonts w:asciiTheme="majorHAnsi" w:eastAsia="Times New Roman" w:hAnsiTheme="majorHAnsi" w:cstheme="majorHAnsi"/>
          <w:color w:val="000000" w:themeColor="text1"/>
          <w:sz w:val="24"/>
          <w:szCs w:val="24"/>
          <w:lang w:val="ro-RO"/>
        </w:rPr>
        <w:t xml:space="preserve">).  </w:t>
      </w:r>
    </w:p>
    <w:p w14:paraId="17DFE940" w14:textId="20B57249" w:rsidR="00AA2208" w:rsidRDefault="00AA2208" w:rsidP="00AA2208">
      <w:pPr>
        <w:spacing w:after="0" w:line="276" w:lineRule="auto"/>
        <w:jc w:val="both"/>
        <w:rPr>
          <w:rFonts w:asciiTheme="majorHAnsi" w:eastAsia="Times New Roman"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Componenta </w:t>
      </w:r>
      <w:r w:rsidR="006F4697"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Asistenț</w:t>
      </w:r>
      <w:r w:rsidR="006F4697" w:rsidRPr="00BD050E">
        <w:rPr>
          <w:rFonts w:asciiTheme="majorHAnsi" w:hAnsiTheme="majorHAnsi" w:cstheme="majorHAnsi"/>
          <w:color w:val="000000" w:themeColor="text1"/>
          <w:sz w:val="24"/>
          <w:szCs w:val="24"/>
          <w:lang w:val="ro-RO"/>
        </w:rPr>
        <w:t>ă</w:t>
      </w:r>
      <w:r w:rsidRPr="00BD050E">
        <w:rPr>
          <w:rFonts w:asciiTheme="majorHAnsi" w:hAnsiTheme="majorHAnsi" w:cstheme="majorHAnsi"/>
          <w:color w:val="000000" w:themeColor="text1"/>
          <w:sz w:val="24"/>
          <w:szCs w:val="24"/>
          <w:lang w:val="ro-RO"/>
        </w:rPr>
        <w:t xml:space="preserve"> tehnică</w:t>
      </w:r>
      <w:r w:rsidR="006F4697" w:rsidRPr="00BD050E">
        <w:rPr>
          <w:rFonts w:asciiTheme="majorHAnsi" w:hAnsiTheme="majorHAnsi" w:cstheme="majorHAnsi"/>
          <w:color w:val="000000" w:themeColor="text1"/>
          <w:sz w:val="24"/>
          <w:szCs w:val="24"/>
          <w:lang w:val="ro-RO"/>
        </w:rPr>
        <w:t>”</w:t>
      </w:r>
      <w:r w:rsidRPr="00BD050E">
        <w:rPr>
          <w:rStyle w:val="FootnoteReference"/>
          <w:rFonts w:asciiTheme="majorHAnsi" w:hAnsiTheme="majorHAnsi" w:cstheme="majorHAnsi"/>
          <w:color w:val="000000" w:themeColor="text1"/>
          <w:sz w:val="24"/>
          <w:szCs w:val="24"/>
          <w:lang w:val="ro-RO"/>
        </w:rPr>
        <w:footnoteReference w:id="23"/>
      </w:r>
      <w:r w:rsidRPr="00BD050E">
        <w:rPr>
          <w:rFonts w:asciiTheme="majorHAnsi" w:hAnsiTheme="majorHAnsi" w:cstheme="majorHAnsi"/>
          <w:color w:val="000000" w:themeColor="text1"/>
          <w:sz w:val="24"/>
          <w:szCs w:val="24"/>
          <w:lang w:val="ro-RO"/>
        </w:rPr>
        <w:t xml:space="preserve">: 1,2 mil. DST au fost debursate, ceea ce reprezintă </w:t>
      </w:r>
      <w:r w:rsidR="00F32099" w:rsidRPr="00BD050E">
        <w:rPr>
          <w:rFonts w:asciiTheme="majorHAnsi" w:hAnsiTheme="majorHAnsi" w:cstheme="majorHAnsi"/>
          <w:color w:val="000000" w:themeColor="text1"/>
          <w:sz w:val="24"/>
          <w:szCs w:val="24"/>
          <w:lang w:val="ro-RO"/>
        </w:rPr>
        <w:t>89,8</w:t>
      </w:r>
      <w:r w:rsidRPr="00BD050E">
        <w:rPr>
          <w:rFonts w:asciiTheme="majorHAnsi" w:hAnsiTheme="majorHAnsi" w:cstheme="majorHAnsi"/>
          <w:color w:val="000000" w:themeColor="text1"/>
          <w:sz w:val="24"/>
          <w:szCs w:val="24"/>
          <w:lang w:val="ro-RO"/>
        </w:rPr>
        <w:t xml:space="preserve"> </w:t>
      </w:r>
      <w:r w:rsidR="005E1A29"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din creditul </w:t>
      </w:r>
      <w:r w:rsidR="006F4697" w:rsidRPr="00BD050E">
        <w:rPr>
          <w:rFonts w:asciiTheme="majorHAnsi" w:hAnsiTheme="majorHAnsi" w:cstheme="majorHAnsi"/>
          <w:color w:val="000000" w:themeColor="text1"/>
          <w:sz w:val="24"/>
          <w:szCs w:val="24"/>
          <w:lang w:val="ro-RO"/>
        </w:rPr>
        <w:t>î</w:t>
      </w:r>
      <w:r w:rsidRPr="00BD050E">
        <w:rPr>
          <w:rFonts w:asciiTheme="majorHAnsi" w:hAnsiTheme="majorHAnsi" w:cstheme="majorHAnsi"/>
          <w:color w:val="000000" w:themeColor="text1"/>
          <w:sz w:val="24"/>
          <w:szCs w:val="24"/>
          <w:lang w:val="ro-RO"/>
        </w:rPr>
        <w:t xml:space="preserve">n valoare </w:t>
      </w:r>
      <w:r w:rsidR="006F4697" w:rsidRPr="00BD050E">
        <w:rPr>
          <w:rFonts w:asciiTheme="majorHAnsi" w:hAnsiTheme="majorHAnsi" w:cstheme="majorHAnsi"/>
          <w:color w:val="000000" w:themeColor="text1"/>
          <w:sz w:val="24"/>
          <w:szCs w:val="24"/>
          <w:lang w:val="ro-RO"/>
        </w:rPr>
        <w:t xml:space="preserve">totală </w:t>
      </w:r>
      <w:r w:rsidRPr="00BD050E">
        <w:rPr>
          <w:rFonts w:asciiTheme="majorHAnsi" w:hAnsiTheme="majorHAnsi" w:cstheme="majorHAnsi"/>
          <w:color w:val="000000" w:themeColor="text1"/>
          <w:sz w:val="24"/>
          <w:szCs w:val="24"/>
          <w:lang w:val="ro-RO"/>
        </w:rPr>
        <w:t>de 1,4 milioane DST.</w:t>
      </w:r>
      <w:r w:rsidRPr="00BD050E">
        <w:rPr>
          <w:rFonts w:asciiTheme="majorHAnsi" w:eastAsia="Times New Roman" w:hAnsiTheme="majorHAnsi" w:cstheme="majorHAnsi"/>
          <w:color w:val="000000" w:themeColor="text1"/>
          <w:sz w:val="24"/>
          <w:szCs w:val="24"/>
          <w:lang w:val="ro-RO"/>
        </w:rPr>
        <w:t xml:space="preserve"> </w:t>
      </w:r>
    </w:p>
    <w:p w14:paraId="6BEE2F69" w14:textId="1D622BDE" w:rsidR="006D38A6" w:rsidRDefault="006D38A6" w:rsidP="00AA2208">
      <w:pPr>
        <w:spacing w:after="0" w:line="276" w:lineRule="auto"/>
        <w:jc w:val="both"/>
        <w:rPr>
          <w:rFonts w:asciiTheme="majorHAnsi" w:eastAsia="Times New Roman" w:hAnsiTheme="majorHAnsi" w:cstheme="majorHAnsi"/>
          <w:color w:val="000000" w:themeColor="text1"/>
          <w:sz w:val="24"/>
          <w:szCs w:val="24"/>
          <w:lang w:val="ro-RO"/>
        </w:rPr>
      </w:pPr>
    </w:p>
    <w:p w14:paraId="5A39A390" w14:textId="272A52E5" w:rsidR="006D38A6" w:rsidRDefault="006D38A6" w:rsidP="00AA2208">
      <w:pPr>
        <w:spacing w:after="0" w:line="276" w:lineRule="auto"/>
        <w:jc w:val="both"/>
        <w:rPr>
          <w:rFonts w:asciiTheme="majorHAnsi" w:eastAsia="Times New Roman" w:hAnsiTheme="majorHAnsi" w:cstheme="majorHAnsi"/>
          <w:color w:val="000000" w:themeColor="text1"/>
          <w:sz w:val="24"/>
          <w:szCs w:val="24"/>
          <w:lang w:val="ro-RO"/>
        </w:rPr>
      </w:pPr>
    </w:p>
    <w:p w14:paraId="1DBAE0CD" w14:textId="0FC67EB1" w:rsidR="006D38A6" w:rsidRDefault="006D38A6" w:rsidP="00AA2208">
      <w:pPr>
        <w:spacing w:after="0" w:line="276" w:lineRule="auto"/>
        <w:jc w:val="both"/>
        <w:rPr>
          <w:rFonts w:asciiTheme="majorHAnsi" w:eastAsia="Times New Roman" w:hAnsiTheme="majorHAnsi" w:cstheme="majorHAnsi"/>
          <w:color w:val="000000" w:themeColor="text1"/>
          <w:sz w:val="24"/>
          <w:szCs w:val="24"/>
          <w:lang w:val="ro-RO"/>
        </w:rPr>
      </w:pPr>
    </w:p>
    <w:p w14:paraId="4CF7058C" w14:textId="2835D327" w:rsidR="006D38A6" w:rsidRDefault="006D38A6" w:rsidP="00AA2208">
      <w:pPr>
        <w:spacing w:after="0" w:line="276" w:lineRule="auto"/>
        <w:jc w:val="both"/>
        <w:rPr>
          <w:rFonts w:asciiTheme="majorHAnsi" w:eastAsia="Times New Roman" w:hAnsiTheme="majorHAnsi" w:cstheme="majorHAnsi"/>
          <w:color w:val="000000" w:themeColor="text1"/>
          <w:sz w:val="24"/>
          <w:szCs w:val="24"/>
          <w:lang w:val="ro-RO"/>
        </w:rPr>
      </w:pPr>
    </w:p>
    <w:p w14:paraId="33F2563C" w14:textId="77777777" w:rsidR="006D38A6" w:rsidRPr="00BD050E" w:rsidRDefault="006D38A6" w:rsidP="00AA2208">
      <w:pPr>
        <w:spacing w:after="0" w:line="276" w:lineRule="auto"/>
        <w:jc w:val="both"/>
        <w:rPr>
          <w:rFonts w:asciiTheme="majorHAnsi" w:hAnsiTheme="majorHAnsi" w:cstheme="majorHAnsi"/>
          <w:color w:val="000000" w:themeColor="text1"/>
          <w:sz w:val="24"/>
          <w:szCs w:val="24"/>
          <w:lang w:val="ro-RO"/>
        </w:rPr>
      </w:pPr>
    </w:p>
    <w:p w14:paraId="28BCA577" w14:textId="62FAF346" w:rsidR="00AA2208" w:rsidRPr="00BD050E" w:rsidRDefault="00AA2208" w:rsidP="00AA2208">
      <w:pPr>
        <w:spacing w:after="0" w:line="276" w:lineRule="auto"/>
        <w:jc w:val="right"/>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lastRenderedPageBreak/>
        <w:t>Tabel</w:t>
      </w:r>
      <w:r w:rsidR="002742C0" w:rsidRPr="00BD050E">
        <w:rPr>
          <w:rFonts w:asciiTheme="majorHAnsi" w:eastAsia="Times New Roman" w:hAnsiTheme="majorHAnsi" w:cstheme="majorHAnsi"/>
          <w:color w:val="000000" w:themeColor="text1"/>
          <w:sz w:val="24"/>
          <w:szCs w:val="24"/>
          <w:lang w:val="ro-RO"/>
        </w:rPr>
        <w:t>ul</w:t>
      </w:r>
      <w:r w:rsidRPr="00BD050E">
        <w:rPr>
          <w:rFonts w:asciiTheme="majorHAnsi" w:eastAsia="Times New Roman" w:hAnsiTheme="majorHAnsi" w:cstheme="majorHAnsi"/>
          <w:color w:val="000000" w:themeColor="text1"/>
          <w:sz w:val="24"/>
          <w:szCs w:val="24"/>
          <w:lang w:val="ro-RO"/>
        </w:rPr>
        <w:t xml:space="preserve"> nr. </w:t>
      </w:r>
      <w:r w:rsidR="007B1179" w:rsidRPr="00BD050E">
        <w:rPr>
          <w:rFonts w:asciiTheme="majorHAnsi" w:eastAsia="Times New Roman" w:hAnsiTheme="majorHAnsi" w:cstheme="majorHAnsi"/>
          <w:color w:val="000000" w:themeColor="text1"/>
          <w:sz w:val="24"/>
          <w:szCs w:val="24"/>
          <w:lang w:val="ro-RO"/>
        </w:rPr>
        <w:t>3</w:t>
      </w:r>
    </w:p>
    <w:p w14:paraId="682489E3" w14:textId="77777777" w:rsidR="00AA2208" w:rsidRPr="00BD050E" w:rsidRDefault="00AA2208" w:rsidP="00AA2208">
      <w:pPr>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Mijloacele financiare debursate din contul împrumutului acordat de BM</w:t>
      </w:r>
    </w:p>
    <w:tbl>
      <w:tblPr>
        <w:tblStyle w:val="TableGrid"/>
        <w:tblW w:w="9522" w:type="dxa"/>
        <w:tblLayout w:type="fixed"/>
        <w:tblLook w:val="04A0" w:firstRow="1" w:lastRow="0" w:firstColumn="1" w:lastColumn="0" w:noHBand="0" w:noVBand="1"/>
      </w:tblPr>
      <w:tblGrid>
        <w:gridCol w:w="3823"/>
        <w:gridCol w:w="1028"/>
        <w:gridCol w:w="380"/>
        <w:gridCol w:w="302"/>
        <w:gridCol w:w="360"/>
        <w:gridCol w:w="360"/>
        <w:gridCol w:w="360"/>
        <w:gridCol w:w="364"/>
        <w:gridCol w:w="389"/>
        <w:gridCol w:w="2156"/>
      </w:tblGrid>
      <w:tr w:rsidR="00814F8E" w:rsidRPr="00BD050E" w14:paraId="54D00170" w14:textId="77777777" w:rsidTr="00525A4E">
        <w:tc>
          <w:tcPr>
            <w:tcW w:w="3823" w:type="dxa"/>
            <w:vMerge w:val="restart"/>
            <w:shd w:val="clear" w:color="auto" w:fill="5B9BD5" w:themeFill="accent1"/>
            <w:vAlign w:val="center"/>
          </w:tcPr>
          <w:p w14:paraId="5CCACA7D" w14:textId="77777777" w:rsidR="00AA2208" w:rsidRPr="00BD050E" w:rsidRDefault="00AA2208" w:rsidP="00E37A9D">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8"/>
                <w:szCs w:val="20"/>
                <w:lang w:val="ro-RO"/>
              </w:rPr>
              <w:t>Nr. indicatorilor</w:t>
            </w:r>
          </w:p>
        </w:tc>
        <w:tc>
          <w:tcPr>
            <w:tcW w:w="1028" w:type="dxa"/>
            <w:vMerge w:val="restart"/>
            <w:shd w:val="clear" w:color="auto" w:fill="5B9BD5" w:themeFill="accent1"/>
            <w:vAlign w:val="center"/>
          </w:tcPr>
          <w:p w14:paraId="6AC7155E" w14:textId="77777777" w:rsidR="00AA2208" w:rsidRPr="00BD050E" w:rsidRDefault="00AA2208" w:rsidP="00E37A9D">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Suma debursată</w:t>
            </w:r>
          </w:p>
        </w:tc>
        <w:tc>
          <w:tcPr>
            <w:tcW w:w="2515" w:type="dxa"/>
            <w:gridSpan w:val="7"/>
            <w:shd w:val="clear" w:color="auto" w:fill="5B9BD5" w:themeFill="accent1"/>
            <w:vAlign w:val="center"/>
          </w:tcPr>
          <w:p w14:paraId="728BAFEE" w14:textId="77777777" w:rsidR="00AA2208" w:rsidRPr="00BD050E" w:rsidRDefault="00AA2208" w:rsidP="00E37A9D">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Anul atingerii/îndeplinirii indicatorului</w:t>
            </w:r>
          </w:p>
        </w:tc>
        <w:tc>
          <w:tcPr>
            <w:tcW w:w="2156" w:type="dxa"/>
            <w:vMerge w:val="restart"/>
            <w:shd w:val="clear" w:color="auto" w:fill="5B9BD5" w:themeFill="accent1"/>
            <w:vAlign w:val="center"/>
          </w:tcPr>
          <w:p w14:paraId="73E9362B" w14:textId="77777777" w:rsidR="00AA2208" w:rsidRPr="00BD050E" w:rsidRDefault="00AA2208" w:rsidP="00E37A9D">
            <w:pPr>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Comentarii</w:t>
            </w:r>
          </w:p>
        </w:tc>
      </w:tr>
      <w:tr w:rsidR="00814F8E" w:rsidRPr="00BD050E" w14:paraId="4578F1F0" w14:textId="77777777" w:rsidTr="00525A4E">
        <w:trPr>
          <w:cantSplit/>
          <w:trHeight w:val="1134"/>
        </w:trPr>
        <w:tc>
          <w:tcPr>
            <w:tcW w:w="3823" w:type="dxa"/>
            <w:vMerge/>
          </w:tcPr>
          <w:p w14:paraId="4AD3FC3B"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p>
        </w:tc>
        <w:tc>
          <w:tcPr>
            <w:tcW w:w="1028" w:type="dxa"/>
            <w:vMerge/>
          </w:tcPr>
          <w:p w14:paraId="41803568"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p>
        </w:tc>
        <w:tc>
          <w:tcPr>
            <w:tcW w:w="380" w:type="dxa"/>
            <w:shd w:val="clear" w:color="auto" w:fill="DEEAF6" w:themeFill="accent1" w:themeFillTint="33"/>
            <w:textDirection w:val="btLr"/>
          </w:tcPr>
          <w:p w14:paraId="6E8DA5AE" w14:textId="77777777" w:rsidR="00AA2208" w:rsidRPr="00BD050E" w:rsidRDefault="00AA2208" w:rsidP="00E37A9D">
            <w:pPr>
              <w:ind w:left="113" w:right="113"/>
              <w:jc w:val="center"/>
              <w:rPr>
                <w:rFonts w:asciiTheme="majorHAnsi" w:eastAsia="Times New Roman" w:hAnsiTheme="majorHAnsi" w:cstheme="majorHAnsi"/>
                <w:b/>
                <w:color w:val="000000" w:themeColor="text1"/>
                <w:sz w:val="16"/>
                <w:szCs w:val="20"/>
                <w:lang w:val="ro-RO"/>
              </w:rPr>
            </w:pPr>
            <w:r w:rsidRPr="00BD050E">
              <w:rPr>
                <w:rFonts w:asciiTheme="majorHAnsi" w:eastAsia="Times New Roman" w:hAnsiTheme="majorHAnsi" w:cstheme="majorHAnsi"/>
                <w:b/>
                <w:color w:val="000000" w:themeColor="text1"/>
                <w:sz w:val="16"/>
                <w:szCs w:val="20"/>
                <w:lang w:val="ro-RO"/>
              </w:rPr>
              <w:t>2015</w:t>
            </w:r>
          </w:p>
        </w:tc>
        <w:tc>
          <w:tcPr>
            <w:tcW w:w="302" w:type="dxa"/>
            <w:shd w:val="clear" w:color="auto" w:fill="DEEAF6" w:themeFill="accent1" w:themeFillTint="33"/>
            <w:textDirection w:val="btLr"/>
          </w:tcPr>
          <w:p w14:paraId="4B19E851" w14:textId="77777777" w:rsidR="00AA2208" w:rsidRPr="00BD050E" w:rsidRDefault="00AA2208" w:rsidP="00E37A9D">
            <w:pPr>
              <w:ind w:left="113" w:right="113"/>
              <w:jc w:val="center"/>
              <w:rPr>
                <w:rFonts w:asciiTheme="majorHAnsi" w:eastAsia="Times New Roman" w:hAnsiTheme="majorHAnsi" w:cstheme="majorHAnsi"/>
                <w:b/>
                <w:color w:val="000000" w:themeColor="text1"/>
                <w:sz w:val="16"/>
                <w:szCs w:val="20"/>
                <w:lang w:val="ro-RO"/>
              </w:rPr>
            </w:pPr>
            <w:r w:rsidRPr="00BD050E">
              <w:rPr>
                <w:rFonts w:asciiTheme="majorHAnsi" w:eastAsia="Times New Roman" w:hAnsiTheme="majorHAnsi" w:cstheme="majorHAnsi"/>
                <w:b/>
                <w:color w:val="000000" w:themeColor="text1"/>
                <w:sz w:val="16"/>
                <w:szCs w:val="20"/>
                <w:lang w:val="ro-RO"/>
              </w:rPr>
              <w:t>2016</w:t>
            </w:r>
          </w:p>
        </w:tc>
        <w:tc>
          <w:tcPr>
            <w:tcW w:w="360" w:type="dxa"/>
            <w:shd w:val="clear" w:color="auto" w:fill="DEEAF6" w:themeFill="accent1" w:themeFillTint="33"/>
            <w:textDirection w:val="btLr"/>
          </w:tcPr>
          <w:p w14:paraId="3BF238AD" w14:textId="77777777" w:rsidR="00AA2208" w:rsidRPr="00BD050E" w:rsidRDefault="00AA2208" w:rsidP="00E37A9D">
            <w:pPr>
              <w:ind w:left="113" w:right="113"/>
              <w:jc w:val="center"/>
              <w:rPr>
                <w:rFonts w:asciiTheme="majorHAnsi" w:eastAsia="Times New Roman" w:hAnsiTheme="majorHAnsi" w:cstheme="majorHAnsi"/>
                <w:b/>
                <w:color w:val="000000" w:themeColor="text1"/>
                <w:sz w:val="16"/>
                <w:szCs w:val="20"/>
                <w:lang w:val="ro-RO"/>
              </w:rPr>
            </w:pPr>
            <w:r w:rsidRPr="00BD050E">
              <w:rPr>
                <w:rFonts w:asciiTheme="majorHAnsi" w:eastAsia="Times New Roman" w:hAnsiTheme="majorHAnsi" w:cstheme="majorHAnsi"/>
                <w:b/>
                <w:color w:val="000000" w:themeColor="text1"/>
                <w:sz w:val="16"/>
                <w:szCs w:val="20"/>
                <w:lang w:val="ro-RO"/>
              </w:rPr>
              <w:t>2017</w:t>
            </w:r>
          </w:p>
        </w:tc>
        <w:tc>
          <w:tcPr>
            <w:tcW w:w="360" w:type="dxa"/>
            <w:shd w:val="clear" w:color="auto" w:fill="DEEAF6" w:themeFill="accent1" w:themeFillTint="33"/>
            <w:textDirection w:val="btLr"/>
          </w:tcPr>
          <w:p w14:paraId="5675291A" w14:textId="77777777" w:rsidR="00AA2208" w:rsidRPr="00BD050E" w:rsidRDefault="00AA2208" w:rsidP="00E37A9D">
            <w:pPr>
              <w:ind w:left="113" w:right="113"/>
              <w:jc w:val="center"/>
              <w:rPr>
                <w:rFonts w:asciiTheme="majorHAnsi" w:eastAsia="Times New Roman" w:hAnsiTheme="majorHAnsi" w:cstheme="majorHAnsi"/>
                <w:b/>
                <w:color w:val="000000" w:themeColor="text1"/>
                <w:sz w:val="16"/>
                <w:szCs w:val="20"/>
                <w:lang w:val="ro-RO"/>
              </w:rPr>
            </w:pPr>
            <w:r w:rsidRPr="00BD050E">
              <w:rPr>
                <w:rFonts w:asciiTheme="majorHAnsi" w:eastAsia="Times New Roman" w:hAnsiTheme="majorHAnsi" w:cstheme="majorHAnsi"/>
                <w:b/>
                <w:color w:val="000000" w:themeColor="text1"/>
                <w:sz w:val="16"/>
                <w:szCs w:val="20"/>
                <w:lang w:val="ro-RO"/>
              </w:rPr>
              <w:t>2018</w:t>
            </w:r>
          </w:p>
        </w:tc>
        <w:tc>
          <w:tcPr>
            <w:tcW w:w="360" w:type="dxa"/>
            <w:shd w:val="clear" w:color="auto" w:fill="DEEAF6" w:themeFill="accent1" w:themeFillTint="33"/>
            <w:textDirection w:val="btLr"/>
          </w:tcPr>
          <w:p w14:paraId="67B6A5A2" w14:textId="77777777" w:rsidR="00AA2208" w:rsidRPr="00BD050E" w:rsidRDefault="00AA2208" w:rsidP="00E37A9D">
            <w:pPr>
              <w:ind w:left="113" w:right="113"/>
              <w:jc w:val="center"/>
              <w:rPr>
                <w:rFonts w:asciiTheme="majorHAnsi" w:eastAsia="Times New Roman" w:hAnsiTheme="majorHAnsi" w:cstheme="majorHAnsi"/>
                <w:b/>
                <w:color w:val="000000" w:themeColor="text1"/>
                <w:sz w:val="16"/>
                <w:szCs w:val="20"/>
                <w:lang w:val="ro-RO"/>
              </w:rPr>
            </w:pPr>
            <w:r w:rsidRPr="00BD050E">
              <w:rPr>
                <w:rFonts w:asciiTheme="majorHAnsi" w:eastAsia="Times New Roman" w:hAnsiTheme="majorHAnsi" w:cstheme="majorHAnsi"/>
                <w:b/>
                <w:color w:val="000000" w:themeColor="text1"/>
                <w:sz w:val="16"/>
                <w:szCs w:val="20"/>
                <w:lang w:val="ro-RO"/>
              </w:rPr>
              <w:t>2019</w:t>
            </w:r>
          </w:p>
        </w:tc>
        <w:tc>
          <w:tcPr>
            <w:tcW w:w="364" w:type="dxa"/>
            <w:shd w:val="clear" w:color="auto" w:fill="DEEAF6" w:themeFill="accent1" w:themeFillTint="33"/>
            <w:textDirection w:val="btLr"/>
          </w:tcPr>
          <w:p w14:paraId="64FD13DD" w14:textId="77777777" w:rsidR="00AA2208" w:rsidRPr="00BD050E" w:rsidRDefault="00AA2208" w:rsidP="00E37A9D">
            <w:pPr>
              <w:ind w:left="113" w:right="113"/>
              <w:jc w:val="center"/>
              <w:rPr>
                <w:rFonts w:asciiTheme="majorHAnsi" w:eastAsia="Times New Roman" w:hAnsiTheme="majorHAnsi" w:cstheme="majorHAnsi"/>
                <w:b/>
                <w:color w:val="000000" w:themeColor="text1"/>
                <w:sz w:val="16"/>
                <w:szCs w:val="20"/>
                <w:lang w:val="ro-RO"/>
              </w:rPr>
            </w:pPr>
            <w:r w:rsidRPr="00BD050E">
              <w:rPr>
                <w:rFonts w:asciiTheme="majorHAnsi" w:eastAsia="Times New Roman" w:hAnsiTheme="majorHAnsi" w:cstheme="majorHAnsi"/>
                <w:b/>
                <w:color w:val="000000" w:themeColor="text1"/>
                <w:sz w:val="16"/>
                <w:szCs w:val="20"/>
                <w:lang w:val="ro-RO"/>
              </w:rPr>
              <w:t>2020</w:t>
            </w:r>
          </w:p>
        </w:tc>
        <w:tc>
          <w:tcPr>
            <w:tcW w:w="389" w:type="dxa"/>
            <w:shd w:val="clear" w:color="auto" w:fill="DEEAF6" w:themeFill="accent1" w:themeFillTint="33"/>
            <w:textDirection w:val="btLr"/>
          </w:tcPr>
          <w:p w14:paraId="5BEFE139" w14:textId="77777777" w:rsidR="00AA2208" w:rsidRPr="00BD050E" w:rsidRDefault="00AA2208" w:rsidP="00E37A9D">
            <w:pPr>
              <w:ind w:left="113" w:right="113"/>
              <w:jc w:val="center"/>
              <w:rPr>
                <w:rFonts w:asciiTheme="majorHAnsi" w:eastAsia="Times New Roman" w:hAnsiTheme="majorHAnsi" w:cstheme="majorHAnsi"/>
                <w:b/>
                <w:color w:val="000000" w:themeColor="text1"/>
                <w:sz w:val="16"/>
                <w:szCs w:val="16"/>
                <w:lang w:val="ro-RO"/>
              </w:rPr>
            </w:pPr>
            <w:r w:rsidRPr="00BD050E">
              <w:rPr>
                <w:rFonts w:asciiTheme="majorHAnsi" w:eastAsia="Times New Roman" w:hAnsiTheme="majorHAnsi" w:cstheme="majorHAnsi"/>
                <w:b/>
                <w:color w:val="000000" w:themeColor="text1"/>
                <w:sz w:val="16"/>
                <w:szCs w:val="16"/>
                <w:lang w:val="ro-RO"/>
              </w:rPr>
              <w:t>2021</w:t>
            </w:r>
          </w:p>
        </w:tc>
        <w:tc>
          <w:tcPr>
            <w:tcW w:w="2156" w:type="dxa"/>
            <w:vMerge/>
          </w:tcPr>
          <w:p w14:paraId="1CA01CAE"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p>
        </w:tc>
      </w:tr>
      <w:tr w:rsidR="00814F8E" w:rsidRPr="00BD050E" w14:paraId="20CCB382"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BE65CE7" w14:textId="4F5E24BC" w:rsidR="00AA2208" w:rsidRPr="00BD050E" w:rsidRDefault="00D57F32" w:rsidP="00E37A9D">
            <w:pPr>
              <w:jc w:val="both"/>
              <w:rPr>
                <w:rFonts w:asciiTheme="majorHAnsi" w:eastAsia="Times New Roman" w:hAnsiTheme="majorHAnsi" w:cstheme="majorHAnsi"/>
                <w:b/>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1:  Toate țigările importate și produse local, comercializate pe piață, sunt în conformitate cu reglementarea privind etichetarea produselor de tutun  </w:t>
            </w:r>
          </w:p>
        </w:tc>
        <w:tc>
          <w:tcPr>
            <w:tcW w:w="1028" w:type="dxa"/>
          </w:tcPr>
          <w:p w14:paraId="5F86E627"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2 264 500</w:t>
            </w:r>
          </w:p>
        </w:tc>
        <w:tc>
          <w:tcPr>
            <w:tcW w:w="380" w:type="dxa"/>
          </w:tcPr>
          <w:p w14:paraId="55385702"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02" w:type="dxa"/>
          </w:tcPr>
          <w:p w14:paraId="6D6ED6B1"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0" w:type="dxa"/>
          </w:tcPr>
          <w:p w14:paraId="502F44E1"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0" w:type="dxa"/>
          </w:tcPr>
          <w:p w14:paraId="407239E4"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0" w:type="dxa"/>
          </w:tcPr>
          <w:p w14:paraId="7923A49C"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4" w:type="dxa"/>
          </w:tcPr>
          <w:p w14:paraId="676EEB22"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253F57F0" w14:textId="77777777" w:rsidR="00AA2208" w:rsidRPr="00BD050E" w:rsidRDefault="00AA2208" w:rsidP="00E37A9D">
            <w:pPr>
              <w:jc w:val="both"/>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V</w:t>
            </w:r>
          </w:p>
        </w:tc>
        <w:tc>
          <w:tcPr>
            <w:tcW w:w="2156" w:type="dxa"/>
          </w:tcPr>
          <w:p w14:paraId="0A1D4AD6"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A fost debursat  </w:t>
            </w:r>
          </w:p>
        </w:tc>
      </w:tr>
      <w:tr w:rsidR="00814F8E" w:rsidRPr="00BD050E" w14:paraId="190FC7E8"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80F4BCE" w14:textId="4F8F5D59"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2: Creșterea numărului de persoane cu boli cardiovasculare (BCV) care beneficiază de medicamente compensate pentru tratamentul BCV  </w:t>
            </w:r>
          </w:p>
        </w:tc>
        <w:tc>
          <w:tcPr>
            <w:tcW w:w="1028" w:type="dxa"/>
          </w:tcPr>
          <w:p w14:paraId="2DDC05EA"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2 911 500</w:t>
            </w:r>
          </w:p>
        </w:tc>
        <w:tc>
          <w:tcPr>
            <w:tcW w:w="380" w:type="dxa"/>
          </w:tcPr>
          <w:p w14:paraId="6CDBA0F2"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02" w:type="dxa"/>
          </w:tcPr>
          <w:p w14:paraId="40BA53EF"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4732C094"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0112D5EC"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4AA55E47"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4" w:type="dxa"/>
          </w:tcPr>
          <w:p w14:paraId="451EB5B1"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462D1BD2"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4B911CEF" w14:textId="2BD15745"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A fost atins, și </w:t>
            </w:r>
            <w:r w:rsidR="00FE21DC" w:rsidRPr="00BD050E">
              <w:rPr>
                <w:rFonts w:asciiTheme="majorHAnsi" w:eastAsia="Times New Roman" w:hAnsiTheme="majorHAnsi" w:cstheme="majorHAnsi"/>
                <w:color w:val="000000" w:themeColor="text1"/>
                <w:sz w:val="20"/>
                <w:szCs w:val="20"/>
                <w:lang w:val="ro-RO"/>
              </w:rPr>
              <w:t xml:space="preserve">s-au </w:t>
            </w:r>
            <w:r w:rsidRPr="00BD050E">
              <w:rPr>
                <w:rFonts w:asciiTheme="majorHAnsi" w:eastAsia="Times New Roman" w:hAnsiTheme="majorHAnsi" w:cstheme="majorHAnsi"/>
                <w:color w:val="000000" w:themeColor="text1"/>
                <w:sz w:val="20"/>
                <w:szCs w:val="20"/>
                <w:lang w:val="ro-RO"/>
              </w:rPr>
              <w:t>debursat mijloace financiare în mai 2022</w:t>
            </w:r>
          </w:p>
        </w:tc>
      </w:tr>
      <w:tr w:rsidR="00814F8E" w:rsidRPr="00BD050E" w14:paraId="1E680712"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D74C2E9" w14:textId="27638608"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3: Numărul de internări anuale în spitalele de îngrijire acută la 100 persoane, pornind de la o valoare de referință de 17,6  </w:t>
            </w:r>
          </w:p>
        </w:tc>
        <w:tc>
          <w:tcPr>
            <w:tcW w:w="1028" w:type="dxa"/>
          </w:tcPr>
          <w:p w14:paraId="53661DE4"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1 941 000</w:t>
            </w:r>
          </w:p>
        </w:tc>
        <w:tc>
          <w:tcPr>
            <w:tcW w:w="380" w:type="dxa"/>
          </w:tcPr>
          <w:p w14:paraId="0F9584FB"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02" w:type="dxa"/>
          </w:tcPr>
          <w:p w14:paraId="761B39CB"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0" w:type="dxa"/>
          </w:tcPr>
          <w:p w14:paraId="0D850BD2"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4423407E"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176E0D60"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4" w:type="dxa"/>
          </w:tcPr>
          <w:p w14:paraId="7403C90E"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50450C3B"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03F30DE0"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A fost debursat</w:t>
            </w:r>
          </w:p>
        </w:tc>
      </w:tr>
      <w:tr w:rsidR="00814F8E" w:rsidRPr="00BD050E" w14:paraId="1884E3E3"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7E3F5F6" w14:textId="3DE7A045"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4: Numărul de paturi în spitale de îngrijire acută, pornind de la o valoare de referință de 17.586  </w:t>
            </w:r>
          </w:p>
        </w:tc>
        <w:tc>
          <w:tcPr>
            <w:tcW w:w="1028" w:type="dxa"/>
          </w:tcPr>
          <w:p w14:paraId="1F5FAF97"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3 041 000</w:t>
            </w:r>
          </w:p>
        </w:tc>
        <w:tc>
          <w:tcPr>
            <w:tcW w:w="380" w:type="dxa"/>
          </w:tcPr>
          <w:p w14:paraId="34E009CD"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02" w:type="dxa"/>
          </w:tcPr>
          <w:p w14:paraId="11E4BE10"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0" w:type="dxa"/>
          </w:tcPr>
          <w:p w14:paraId="0F5C3552"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5F764588"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57565BD4"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4" w:type="dxa"/>
          </w:tcPr>
          <w:p w14:paraId="270DC3A9"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5617F698"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705C1B01"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A fost debursat</w:t>
            </w:r>
          </w:p>
        </w:tc>
      </w:tr>
      <w:tr w:rsidR="00814F8E" w:rsidRPr="00BD050E" w14:paraId="29566671"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D272BF2" w14:textId="4914B879"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5: Aprobarea revizuirii pachetului de beneficii de ambulatoriu în ceea ce privește medicamentele anti-hipertensive   </w:t>
            </w:r>
          </w:p>
        </w:tc>
        <w:tc>
          <w:tcPr>
            <w:tcW w:w="1028" w:type="dxa"/>
          </w:tcPr>
          <w:p w14:paraId="22CDAA66"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1 294 000</w:t>
            </w:r>
          </w:p>
        </w:tc>
        <w:tc>
          <w:tcPr>
            <w:tcW w:w="380" w:type="dxa"/>
          </w:tcPr>
          <w:p w14:paraId="470EC978"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02" w:type="dxa"/>
          </w:tcPr>
          <w:p w14:paraId="1D53E633"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36B2F1B1"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09EEF1DD"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2EC1679B"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4" w:type="dxa"/>
          </w:tcPr>
          <w:p w14:paraId="4CB06140"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258FBA14"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15E26557"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A fost debursat</w:t>
            </w:r>
          </w:p>
        </w:tc>
      </w:tr>
      <w:tr w:rsidR="00814F8E" w:rsidRPr="00BD050E" w14:paraId="597ECE9A"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2A4BA7D" w14:textId="3AA11967"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6: Revizuirea și punerea în aplicare a </w:t>
            </w:r>
            <w:r w:rsidR="0078350E" w:rsidRPr="00BD050E">
              <w:rPr>
                <w:rFonts w:asciiTheme="majorHAnsi" w:hAnsiTheme="majorHAnsi" w:cstheme="majorHAnsi"/>
                <w:color w:val="000000" w:themeColor="text1"/>
                <w:sz w:val="20"/>
                <w:szCs w:val="20"/>
                <w:lang w:val="ro-RO"/>
              </w:rPr>
              <w:t>S</w:t>
            </w:r>
            <w:r w:rsidR="00AA2208" w:rsidRPr="00BD050E">
              <w:rPr>
                <w:rFonts w:asciiTheme="majorHAnsi" w:hAnsiTheme="majorHAnsi" w:cstheme="majorHAnsi"/>
                <w:color w:val="000000" w:themeColor="text1"/>
                <w:sz w:val="20"/>
                <w:szCs w:val="20"/>
                <w:lang w:val="ro-RO"/>
              </w:rPr>
              <w:t xml:space="preserve">chemei de stimulare bazate pe performanță în asistența medicală primară   </w:t>
            </w:r>
          </w:p>
        </w:tc>
        <w:tc>
          <w:tcPr>
            <w:tcW w:w="1028" w:type="dxa"/>
          </w:tcPr>
          <w:p w14:paraId="34934B84"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1 294 000</w:t>
            </w:r>
          </w:p>
        </w:tc>
        <w:tc>
          <w:tcPr>
            <w:tcW w:w="380" w:type="dxa"/>
          </w:tcPr>
          <w:p w14:paraId="11C4D568"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02" w:type="dxa"/>
          </w:tcPr>
          <w:p w14:paraId="473BB113"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0" w:type="dxa"/>
          </w:tcPr>
          <w:p w14:paraId="58050BE1"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54A598BE"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0" w:type="dxa"/>
          </w:tcPr>
          <w:p w14:paraId="6FE1A157"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4" w:type="dxa"/>
          </w:tcPr>
          <w:p w14:paraId="3DF76B29"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57D6D4BE"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67AC567C"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A fost debursat</w:t>
            </w:r>
          </w:p>
        </w:tc>
      </w:tr>
      <w:tr w:rsidR="00814F8E" w:rsidRPr="00BD050E" w14:paraId="5EA65009"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0C8D7F0" w14:textId="79BC4C66"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7: Conceperea și pilotarea stimulentelor bazate pe performanță pentru toate spitalele </w:t>
            </w:r>
          </w:p>
        </w:tc>
        <w:tc>
          <w:tcPr>
            <w:tcW w:w="1028" w:type="dxa"/>
          </w:tcPr>
          <w:p w14:paraId="641104E7"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323 500</w:t>
            </w:r>
          </w:p>
        </w:tc>
        <w:tc>
          <w:tcPr>
            <w:tcW w:w="380" w:type="dxa"/>
          </w:tcPr>
          <w:p w14:paraId="7BF5EF5A"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02" w:type="dxa"/>
          </w:tcPr>
          <w:p w14:paraId="24EC3CF1"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0" w:type="dxa"/>
          </w:tcPr>
          <w:p w14:paraId="15EABD19"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69652FDC"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p>
        </w:tc>
        <w:tc>
          <w:tcPr>
            <w:tcW w:w="360" w:type="dxa"/>
          </w:tcPr>
          <w:p w14:paraId="69EA0B92"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4" w:type="dxa"/>
          </w:tcPr>
          <w:p w14:paraId="52CADB85"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4B546458"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7F9A5470" w14:textId="4EC06DBE"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A fost atins parțial, și </w:t>
            </w:r>
            <w:r w:rsidR="00FE21DC" w:rsidRPr="00BD050E">
              <w:rPr>
                <w:rFonts w:asciiTheme="majorHAnsi" w:eastAsia="Times New Roman" w:hAnsiTheme="majorHAnsi" w:cstheme="majorHAnsi"/>
                <w:color w:val="000000" w:themeColor="text1"/>
                <w:sz w:val="20"/>
                <w:szCs w:val="20"/>
                <w:lang w:val="ro-RO"/>
              </w:rPr>
              <w:t xml:space="preserve">      s-au </w:t>
            </w:r>
            <w:r w:rsidRPr="00BD050E">
              <w:rPr>
                <w:rFonts w:asciiTheme="majorHAnsi" w:eastAsia="Times New Roman" w:hAnsiTheme="majorHAnsi" w:cstheme="majorHAnsi"/>
                <w:color w:val="000000" w:themeColor="text1"/>
                <w:sz w:val="20"/>
                <w:szCs w:val="20"/>
                <w:lang w:val="ro-RO"/>
              </w:rPr>
              <w:t>debursat mijloace financiare în mai 2022</w:t>
            </w:r>
          </w:p>
        </w:tc>
      </w:tr>
      <w:tr w:rsidR="00814F8E" w:rsidRPr="00BD050E" w14:paraId="0BDA544C"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6D77F2B" w14:textId="40B3AC3D" w:rsidR="00AA2208" w:rsidRPr="00BD050E" w:rsidRDefault="00D57F32" w:rsidP="005719BF">
            <w:pPr>
              <w:tabs>
                <w:tab w:val="left" w:pos="1080"/>
              </w:tabs>
              <w:contextualSpacing/>
              <w:jc w:val="both"/>
              <w:rPr>
                <w:rFonts w:asciiTheme="majorHAnsi" w:eastAsia="Times New Roman" w:hAnsiTheme="majorHAnsi" w:cstheme="majorHAnsi"/>
                <w:b/>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8: Punerea în aplicare și actualizarea prețurilor GOB pentru plățile către spitale publice de îngrijiri acute  </w:t>
            </w:r>
          </w:p>
        </w:tc>
        <w:tc>
          <w:tcPr>
            <w:tcW w:w="1028" w:type="dxa"/>
          </w:tcPr>
          <w:p w14:paraId="24366E76"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1 294 00</w:t>
            </w:r>
          </w:p>
        </w:tc>
        <w:tc>
          <w:tcPr>
            <w:tcW w:w="380" w:type="dxa"/>
          </w:tcPr>
          <w:p w14:paraId="5738768A"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02" w:type="dxa"/>
          </w:tcPr>
          <w:p w14:paraId="2C286586"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24CB93E8"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0" w:type="dxa"/>
          </w:tcPr>
          <w:p w14:paraId="30F5F709"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p>
        </w:tc>
        <w:tc>
          <w:tcPr>
            <w:tcW w:w="360" w:type="dxa"/>
          </w:tcPr>
          <w:p w14:paraId="6712E03F"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4" w:type="dxa"/>
          </w:tcPr>
          <w:p w14:paraId="5A31B1C5"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3F7DA716"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527FCCA2"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A fost debursat</w:t>
            </w:r>
          </w:p>
        </w:tc>
      </w:tr>
      <w:tr w:rsidR="00814F8E" w:rsidRPr="00BD050E" w14:paraId="3898FB2F"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1E09B3C" w14:textId="73914BE5"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5E1A29" w:rsidRPr="00BD050E">
              <w:rPr>
                <w:rFonts w:asciiTheme="majorHAnsi" w:hAnsiTheme="majorHAnsi" w:cstheme="majorHAnsi"/>
                <w:color w:val="000000" w:themeColor="text1"/>
                <w:sz w:val="20"/>
                <w:szCs w:val="20"/>
                <w:lang w:val="ro-RO"/>
              </w:rPr>
              <w:t xml:space="preserve"> </w:t>
            </w:r>
            <w:r w:rsidR="00AA2208" w:rsidRPr="00BD050E">
              <w:rPr>
                <w:rFonts w:asciiTheme="majorHAnsi" w:hAnsiTheme="majorHAnsi" w:cstheme="majorHAnsi"/>
                <w:color w:val="000000" w:themeColor="text1"/>
                <w:sz w:val="20"/>
                <w:szCs w:val="20"/>
                <w:lang w:val="ro-RO"/>
              </w:rPr>
              <w:t xml:space="preserve">9: Consolidarea spitalelor departamentale aflate </w:t>
            </w:r>
            <w:r w:rsidR="00666D25" w:rsidRPr="00BD050E">
              <w:rPr>
                <w:rFonts w:asciiTheme="majorHAnsi" w:hAnsiTheme="majorHAnsi" w:cstheme="majorHAnsi"/>
                <w:color w:val="000000" w:themeColor="text1"/>
                <w:sz w:val="20"/>
                <w:szCs w:val="20"/>
                <w:lang w:val="ro-RO"/>
              </w:rPr>
              <w:t>în</w:t>
            </w:r>
            <w:r w:rsidR="00AA2208" w:rsidRPr="00BD050E">
              <w:rPr>
                <w:rFonts w:asciiTheme="majorHAnsi" w:hAnsiTheme="majorHAnsi" w:cstheme="majorHAnsi"/>
                <w:color w:val="000000" w:themeColor="text1"/>
                <w:sz w:val="20"/>
                <w:szCs w:val="20"/>
                <w:lang w:val="ro-RO"/>
              </w:rPr>
              <w:t xml:space="preserve"> administrarea MSMPS </w:t>
            </w:r>
          </w:p>
        </w:tc>
        <w:tc>
          <w:tcPr>
            <w:tcW w:w="1028" w:type="dxa"/>
          </w:tcPr>
          <w:p w14:paraId="30B02C68"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404 050</w:t>
            </w:r>
          </w:p>
        </w:tc>
        <w:tc>
          <w:tcPr>
            <w:tcW w:w="380" w:type="dxa"/>
          </w:tcPr>
          <w:p w14:paraId="71A462ED"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02" w:type="dxa"/>
          </w:tcPr>
          <w:p w14:paraId="4A74136F"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60" w:type="dxa"/>
          </w:tcPr>
          <w:p w14:paraId="621A748B"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2BF5F5ED"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15E8617D"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4" w:type="dxa"/>
          </w:tcPr>
          <w:p w14:paraId="0EF0AA77"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41C85798"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3DD53D2F" w14:textId="608DD4CA" w:rsidR="00AA2208" w:rsidRPr="00BD050E" w:rsidRDefault="00AA2208" w:rsidP="00944D43">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A fost debursat </w:t>
            </w:r>
            <w:r w:rsidR="00944D43" w:rsidRPr="00BD050E">
              <w:rPr>
                <w:rFonts w:asciiTheme="majorHAnsi" w:eastAsia="Times New Roman" w:hAnsiTheme="majorHAnsi" w:cstheme="majorHAnsi"/>
                <w:color w:val="000000" w:themeColor="text1"/>
                <w:sz w:val="20"/>
                <w:szCs w:val="20"/>
                <w:lang w:val="ro-RO"/>
              </w:rPr>
              <w:t xml:space="preserve">parțial </w:t>
            </w:r>
            <w:r w:rsidRPr="00BD050E">
              <w:rPr>
                <w:rFonts w:asciiTheme="majorHAnsi" w:eastAsia="Times New Roman" w:hAnsiTheme="majorHAnsi" w:cstheme="majorHAnsi"/>
                <w:color w:val="000000" w:themeColor="text1"/>
                <w:sz w:val="20"/>
                <w:szCs w:val="20"/>
                <w:lang w:val="ro-RO"/>
              </w:rPr>
              <w:t xml:space="preserve">în avans, urmează a fi </w:t>
            </w:r>
            <w:r w:rsidR="00944D43" w:rsidRPr="00BD050E">
              <w:rPr>
                <w:rFonts w:asciiTheme="majorHAnsi" w:eastAsia="Times New Roman" w:hAnsiTheme="majorHAnsi" w:cstheme="majorHAnsi"/>
                <w:color w:val="000000" w:themeColor="text1"/>
                <w:sz w:val="20"/>
                <w:szCs w:val="20"/>
                <w:lang w:val="ro-RO"/>
              </w:rPr>
              <w:t>debursat în august 2022</w:t>
            </w:r>
          </w:p>
        </w:tc>
      </w:tr>
      <w:tr w:rsidR="00814F8E" w:rsidRPr="00BD050E" w14:paraId="74025DF6"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FE8FC02" w14:textId="53F09124"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10: Aprobarea Strategiei naționale de dezvoltare a sistemului de sănătate revizuite, care include măsuri de raționalizare </w:t>
            </w:r>
          </w:p>
          <w:p w14:paraId="0818D2F0" w14:textId="77777777" w:rsidR="00AA2208" w:rsidRPr="00BD050E" w:rsidRDefault="00AA2208" w:rsidP="00E37A9D">
            <w:pPr>
              <w:jc w:val="both"/>
              <w:rPr>
                <w:rFonts w:asciiTheme="majorHAnsi" w:eastAsia="Times New Roman" w:hAnsiTheme="majorHAnsi" w:cstheme="majorHAnsi"/>
                <w:b/>
                <w:color w:val="000000" w:themeColor="text1"/>
                <w:sz w:val="20"/>
                <w:szCs w:val="20"/>
                <w:lang w:val="ro-RO"/>
              </w:rPr>
            </w:pPr>
            <w:r w:rsidRPr="00BD050E">
              <w:rPr>
                <w:rFonts w:asciiTheme="majorHAnsi" w:hAnsiTheme="majorHAnsi" w:cstheme="majorHAnsi"/>
                <w:color w:val="000000" w:themeColor="text1"/>
                <w:sz w:val="20"/>
                <w:szCs w:val="20"/>
                <w:lang w:val="ro-RO"/>
              </w:rPr>
              <w:t xml:space="preserve">spitalicească  </w:t>
            </w:r>
          </w:p>
        </w:tc>
        <w:tc>
          <w:tcPr>
            <w:tcW w:w="1028" w:type="dxa"/>
          </w:tcPr>
          <w:p w14:paraId="3B60FE7B" w14:textId="77777777" w:rsidR="00AA2208" w:rsidRPr="00BD050E" w:rsidRDefault="00AA2208" w:rsidP="00E37A9D">
            <w:pPr>
              <w:tabs>
                <w:tab w:val="left" w:pos="1080"/>
              </w:tabs>
              <w:contextualSpacing/>
              <w:jc w:val="center"/>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678 000</w:t>
            </w:r>
          </w:p>
        </w:tc>
        <w:tc>
          <w:tcPr>
            <w:tcW w:w="380" w:type="dxa"/>
          </w:tcPr>
          <w:p w14:paraId="130F7E7E" w14:textId="77777777" w:rsidR="00AA2208" w:rsidRPr="00BD050E" w:rsidRDefault="00AA2208" w:rsidP="00E37A9D">
            <w:pPr>
              <w:jc w:val="center"/>
              <w:rPr>
                <w:rFonts w:asciiTheme="majorHAnsi" w:eastAsia="Times New Roman" w:hAnsiTheme="majorHAnsi" w:cstheme="majorHAnsi"/>
                <w:b/>
                <w:color w:val="000000" w:themeColor="text1"/>
                <w:sz w:val="18"/>
                <w:szCs w:val="20"/>
                <w:lang w:val="ro-RO"/>
              </w:rPr>
            </w:pPr>
            <w:r w:rsidRPr="00BD050E">
              <w:rPr>
                <w:rFonts w:asciiTheme="majorHAnsi" w:eastAsia="Times New Roman" w:hAnsiTheme="majorHAnsi" w:cstheme="majorHAnsi"/>
                <w:b/>
                <w:color w:val="000000" w:themeColor="text1"/>
                <w:sz w:val="18"/>
                <w:szCs w:val="20"/>
                <w:lang w:val="ro-RO"/>
              </w:rPr>
              <w:t>V</w:t>
            </w:r>
          </w:p>
        </w:tc>
        <w:tc>
          <w:tcPr>
            <w:tcW w:w="302" w:type="dxa"/>
          </w:tcPr>
          <w:p w14:paraId="54745807"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0E61DD7C"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5B7AA8D3"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0" w:type="dxa"/>
          </w:tcPr>
          <w:p w14:paraId="0BAB8B22" w14:textId="77777777" w:rsidR="00AA2208" w:rsidRPr="00BD050E" w:rsidRDefault="00AA2208" w:rsidP="00E37A9D">
            <w:pPr>
              <w:jc w:val="both"/>
              <w:rPr>
                <w:rFonts w:asciiTheme="majorHAnsi" w:eastAsia="Times New Roman" w:hAnsiTheme="majorHAnsi" w:cstheme="majorHAnsi"/>
                <w:b/>
                <w:color w:val="000000" w:themeColor="text1"/>
                <w:sz w:val="18"/>
                <w:szCs w:val="20"/>
                <w:lang w:val="ro-RO"/>
              </w:rPr>
            </w:pPr>
          </w:p>
        </w:tc>
        <w:tc>
          <w:tcPr>
            <w:tcW w:w="364" w:type="dxa"/>
          </w:tcPr>
          <w:p w14:paraId="4F056115"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1C6A3248"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3117AADB"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A fost debursat</w:t>
            </w:r>
          </w:p>
        </w:tc>
      </w:tr>
      <w:tr w:rsidR="00814F8E" w:rsidRPr="00BD050E" w14:paraId="45BDE5BC" w14:textId="77777777" w:rsidTr="00525A4E">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9DB8E5F" w14:textId="038B206C" w:rsidR="00AA2208" w:rsidRPr="00BD050E" w:rsidRDefault="00D57F32" w:rsidP="00E37A9D">
            <w:pPr>
              <w:tabs>
                <w:tab w:val="left" w:pos="1080"/>
              </w:tabs>
              <w:contextualSpacing/>
              <w:jc w:val="both"/>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ILD</w:t>
            </w:r>
            <w:r w:rsidR="00AA2208" w:rsidRPr="00BD050E">
              <w:rPr>
                <w:rFonts w:asciiTheme="majorHAnsi" w:hAnsiTheme="majorHAnsi" w:cstheme="majorHAnsi"/>
                <w:color w:val="000000" w:themeColor="text1"/>
                <w:sz w:val="20"/>
                <w:szCs w:val="20"/>
                <w:lang w:val="ro-RO"/>
              </w:rPr>
              <w:t xml:space="preserve"> 11: Integrarea lecțiilor învățate în campaniile de comunicare privind schimbarea comportamentului populației și evaluarea gradului de pregătire pentru vaccin </w:t>
            </w:r>
          </w:p>
        </w:tc>
        <w:tc>
          <w:tcPr>
            <w:tcW w:w="1028" w:type="dxa"/>
          </w:tcPr>
          <w:p w14:paraId="16F18A7C" w14:textId="77777777" w:rsidR="00AA2208" w:rsidRPr="00BD050E" w:rsidRDefault="00AA2208" w:rsidP="00E37A9D">
            <w:pPr>
              <w:tabs>
                <w:tab w:val="left" w:pos="1080"/>
              </w:tabs>
              <w:contextualSpacing/>
              <w:jc w:val="center"/>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3297000</w:t>
            </w:r>
          </w:p>
        </w:tc>
        <w:tc>
          <w:tcPr>
            <w:tcW w:w="380" w:type="dxa"/>
          </w:tcPr>
          <w:p w14:paraId="4B5A84D2" w14:textId="77777777" w:rsidR="00AA2208" w:rsidRPr="00BD050E" w:rsidRDefault="00AA2208" w:rsidP="00E37A9D">
            <w:pPr>
              <w:jc w:val="center"/>
              <w:rPr>
                <w:rFonts w:asciiTheme="majorHAnsi" w:eastAsia="Times New Roman" w:hAnsiTheme="majorHAnsi" w:cstheme="majorHAnsi"/>
                <w:color w:val="000000" w:themeColor="text1"/>
                <w:sz w:val="20"/>
                <w:szCs w:val="20"/>
                <w:lang w:val="ro-RO"/>
              </w:rPr>
            </w:pPr>
          </w:p>
        </w:tc>
        <w:tc>
          <w:tcPr>
            <w:tcW w:w="302" w:type="dxa"/>
          </w:tcPr>
          <w:p w14:paraId="6AA65AF5"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0" w:type="dxa"/>
          </w:tcPr>
          <w:p w14:paraId="0AFC4DB6"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0" w:type="dxa"/>
          </w:tcPr>
          <w:p w14:paraId="0C3DF764"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0" w:type="dxa"/>
          </w:tcPr>
          <w:p w14:paraId="40487A9D"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64" w:type="dxa"/>
          </w:tcPr>
          <w:p w14:paraId="3794B739"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389" w:type="dxa"/>
          </w:tcPr>
          <w:p w14:paraId="5F45C58B" w14:textId="77777777" w:rsidR="00AA2208" w:rsidRPr="00BD050E" w:rsidRDefault="00AA2208" w:rsidP="00E37A9D">
            <w:pPr>
              <w:jc w:val="both"/>
              <w:rPr>
                <w:rFonts w:asciiTheme="majorHAnsi" w:eastAsia="Times New Roman" w:hAnsiTheme="majorHAnsi" w:cstheme="majorHAnsi"/>
                <w:color w:val="000000" w:themeColor="text1"/>
                <w:sz w:val="20"/>
                <w:szCs w:val="20"/>
                <w:lang w:val="ro-RO"/>
              </w:rPr>
            </w:pPr>
          </w:p>
        </w:tc>
        <w:tc>
          <w:tcPr>
            <w:tcW w:w="2156" w:type="dxa"/>
          </w:tcPr>
          <w:p w14:paraId="12B85C69" w14:textId="0E4E76C8" w:rsidR="00AA2208" w:rsidRPr="00BD050E" w:rsidRDefault="00AA2208" w:rsidP="00E37A9D">
            <w:pPr>
              <w:jc w:val="both"/>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Introdus în anul 2020, urmare a situației pandemice.</w:t>
            </w:r>
            <w:r w:rsidRPr="00BD050E">
              <w:rPr>
                <w:color w:val="000000" w:themeColor="text1"/>
                <w:lang w:val="ro-RO"/>
              </w:rPr>
              <w:t xml:space="preserve"> </w:t>
            </w:r>
            <w:r w:rsidRPr="00BD050E">
              <w:rPr>
                <w:rFonts w:asciiTheme="majorHAnsi" w:eastAsia="Times New Roman" w:hAnsiTheme="majorHAnsi" w:cstheme="majorHAnsi"/>
                <w:color w:val="000000" w:themeColor="text1"/>
                <w:sz w:val="20"/>
                <w:szCs w:val="20"/>
                <w:lang w:val="ro-RO"/>
              </w:rPr>
              <w:t xml:space="preserve">A fost atins, și </w:t>
            </w:r>
            <w:r w:rsidR="00FE21DC" w:rsidRPr="00BD050E">
              <w:rPr>
                <w:rFonts w:asciiTheme="majorHAnsi" w:eastAsia="Times New Roman" w:hAnsiTheme="majorHAnsi" w:cstheme="majorHAnsi"/>
                <w:color w:val="000000" w:themeColor="text1"/>
                <w:sz w:val="20"/>
                <w:szCs w:val="20"/>
                <w:lang w:val="ro-RO"/>
              </w:rPr>
              <w:t xml:space="preserve">s-au </w:t>
            </w:r>
            <w:r w:rsidRPr="00BD050E">
              <w:rPr>
                <w:rFonts w:asciiTheme="majorHAnsi" w:eastAsia="Times New Roman" w:hAnsiTheme="majorHAnsi" w:cstheme="majorHAnsi"/>
                <w:color w:val="000000" w:themeColor="text1"/>
                <w:sz w:val="20"/>
                <w:szCs w:val="20"/>
                <w:lang w:val="ro-RO"/>
              </w:rPr>
              <w:t>debursat mijloace financiare în mai 2022</w:t>
            </w:r>
          </w:p>
        </w:tc>
      </w:tr>
    </w:tbl>
    <w:p w14:paraId="212342FA" w14:textId="43D8028B" w:rsidR="00AA2208" w:rsidRPr="00BD050E" w:rsidRDefault="00AA2208" w:rsidP="00AA2208">
      <w:pPr>
        <w:spacing w:after="0"/>
        <w:jc w:val="both"/>
        <w:rPr>
          <w:rFonts w:asciiTheme="majorHAnsi" w:hAnsiTheme="majorHAnsi" w:cstheme="majorHAnsi"/>
          <w:b/>
          <w:i/>
          <w:color w:val="000000" w:themeColor="text1"/>
          <w:sz w:val="16"/>
          <w:szCs w:val="16"/>
          <w:lang w:val="ro-RO"/>
        </w:rPr>
      </w:pPr>
      <w:r w:rsidRPr="00BD050E">
        <w:rPr>
          <w:rFonts w:asciiTheme="majorHAnsi" w:hAnsiTheme="majorHAnsi" w:cstheme="majorHAnsi"/>
          <w:b/>
          <w:i/>
          <w:color w:val="000000" w:themeColor="text1"/>
          <w:sz w:val="16"/>
          <w:szCs w:val="16"/>
          <w:lang w:val="ro-RO"/>
        </w:rPr>
        <w:t>Sursa:</w:t>
      </w:r>
      <w:r w:rsidRPr="00BD050E">
        <w:rPr>
          <w:color w:val="000000" w:themeColor="text1"/>
          <w:sz w:val="16"/>
          <w:szCs w:val="16"/>
          <w:lang w:val="ro-RO"/>
        </w:rPr>
        <w:t xml:space="preserve"> </w:t>
      </w:r>
      <w:r w:rsidRPr="00BD050E">
        <w:rPr>
          <w:rFonts w:asciiTheme="majorHAnsi" w:hAnsiTheme="majorHAnsi" w:cstheme="majorHAnsi"/>
          <w:i/>
          <w:color w:val="000000" w:themeColor="text1"/>
          <w:sz w:val="16"/>
          <w:szCs w:val="16"/>
          <w:lang w:val="ro-RO"/>
        </w:rPr>
        <w:t>Informați</w:t>
      </w:r>
      <w:r w:rsidR="005E1A29" w:rsidRPr="00BD050E">
        <w:rPr>
          <w:rFonts w:asciiTheme="majorHAnsi" w:hAnsiTheme="majorHAnsi" w:cstheme="majorHAnsi"/>
          <w:i/>
          <w:color w:val="000000" w:themeColor="text1"/>
          <w:sz w:val="16"/>
          <w:szCs w:val="16"/>
          <w:lang w:val="ro-RO"/>
        </w:rPr>
        <w:t>a</w:t>
      </w:r>
      <w:r w:rsidRPr="00BD050E">
        <w:rPr>
          <w:rFonts w:asciiTheme="majorHAnsi" w:hAnsiTheme="majorHAnsi" w:cstheme="majorHAnsi"/>
          <w:i/>
          <w:color w:val="000000" w:themeColor="text1"/>
          <w:sz w:val="16"/>
          <w:szCs w:val="16"/>
          <w:lang w:val="ro-RO"/>
        </w:rPr>
        <w:t xml:space="preserve"> privind implementarea</w:t>
      </w:r>
      <w:r w:rsidRPr="00BD050E">
        <w:rPr>
          <w:i/>
          <w:color w:val="000000" w:themeColor="text1"/>
          <w:sz w:val="16"/>
          <w:szCs w:val="16"/>
          <w:lang w:val="ro-RO"/>
        </w:rPr>
        <w:t xml:space="preserve"> </w:t>
      </w:r>
      <w:r w:rsidRPr="00BD050E">
        <w:rPr>
          <w:rFonts w:asciiTheme="majorHAnsi" w:hAnsiTheme="majorHAnsi" w:cstheme="majorHAnsi"/>
          <w:i/>
          <w:color w:val="000000" w:themeColor="text1"/>
          <w:sz w:val="16"/>
          <w:szCs w:val="16"/>
          <w:lang w:val="ro-RO"/>
        </w:rPr>
        <w:t>Acordului de finanțare „Modernizarea sectorului sănătății în Republica Moldova”. Indicatorii specifici legați de debursare și cotele alocate de finanțare.</w:t>
      </w:r>
    </w:p>
    <w:p w14:paraId="60CD36F4" w14:textId="77777777" w:rsidR="00AA2208" w:rsidRPr="00BD050E" w:rsidRDefault="00AA2208" w:rsidP="00AA2208">
      <w:pPr>
        <w:spacing w:after="0" w:line="276" w:lineRule="auto"/>
        <w:jc w:val="both"/>
        <w:rPr>
          <w:rFonts w:asciiTheme="majorHAnsi" w:eastAsia="Times New Roman" w:hAnsiTheme="majorHAnsi" w:cstheme="majorHAnsi"/>
          <w:color w:val="000000" w:themeColor="text1"/>
          <w:sz w:val="24"/>
          <w:szCs w:val="24"/>
          <w:lang w:val="ro-RO"/>
        </w:rPr>
      </w:pPr>
    </w:p>
    <w:p w14:paraId="3BC20914" w14:textId="73B2C9FD" w:rsidR="00F16438" w:rsidRPr="00BD050E" w:rsidRDefault="00F16438" w:rsidP="00AA2208">
      <w:pPr>
        <w:spacing w:after="0" w:line="276" w:lineRule="auto"/>
        <w:jc w:val="both"/>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color w:val="000000" w:themeColor="text1"/>
          <w:sz w:val="24"/>
          <w:szCs w:val="24"/>
          <w:lang w:val="ro-RO"/>
        </w:rPr>
        <w:t xml:space="preserve">Astfel, nedebursarea integrală a mijloacelor financiare a generat necesitatea de </w:t>
      </w:r>
      <w:r w:rsidR="002A40E6" w:rsidRPr="00BD050E">
        <w:rPr>
          <w:rFonts w:asciiTheme="majorHAnsi" w:eastAsia="Times New Roman" w:hAnsiTheme="majorHAnsi" w:cstheme="majorHAnsi"/>
          <w:color w:val="000000" w:themeColor="text1"/>
          <w:sz w:val="24"/>
          <w:szCs w:val="24"/>
          <w:lang w:val="ro-RO"/>
        </w:rPr>
        <w:t>extindere pentru anul 2022 cu 8</w:t>
      </w:r>
      <w:r w:rsidRPr="00BD050E">
        <w:rPr>
          <w:rFonts w:asciiTheme="majorHAnsi" w:eastAsia="Times New Roman" w:hAnsiTheme="majorHAnsi" w:cstheme="majorHAnsi"/>
          <w:color w:val="000000" w:themeColor="text1"/>
          <w:sz w:val="24"/>
          <w:szCs w:val="24"/>
          <w:lang w:val="ro-RO"/>
        </w:rPr>
        <w:t xml:space="preserve"> luni. Prin urmare</w:t>
      </w:r>
      <w:r w:rsidR="00FE21DC" w:rsidRPr="00BD050E">
        <w:rPr>
          <w:rFonts w:asciiTheme="majorHAnsi" w:eastAsia="Times New Roman" w:hAnsiTheme="majorHAnsi" w:cstheme="majorHAnsi"/>
          <w:color w:val="000000" w:themeColor="text1"/>
          <w:sz w:val="24"/>
          <w:szCs w:val="24"/>
          <w:lang w:val="ro-RO"/>
        </w:rPr>
        <w:t>,</w:t>
      </w:r>
      <w:r w:rsidRPr="00BD050E">
        <w:rPr>
          <w:rFonts w:asciiTheme="majorHAnsi" w:eastAsia="Times New Roman" w:hAnsiTheme="majorHAnsi" w:cstheme="majorHAnsi"/>
          <w:color w:val="000000" w:themeColor="text1"/>
          <w:sz w:val="24"/>
          <w:szCs w:val="24"/>
          <w:lang w:val="ro-RO"/>
        </w:rPr>
        <w:t xml:space="preserve"> </w:t>
      </w:r>
      <w:r w:rsidR="00047BCB" w:rsidRPr="00BD050E">
        <w:rPr>
          <w:rFonts w:asciiTheme="majorHAnsi" w:eastAsia="Times New Roman" w:hAnsiTheme="majorHAnsi" w:cstheme="majorHAnsi"/>
          <w:color w:val="000000" w:themeColor="text1"/>
          <w:sz w:val="24"/>
          <w:szCs w:val="24"/>
          <w:lang w:val="ro-RO"/>
        </w:rPr>
        <w:t>până</w:t>
      </w:r>
      <w:r w:rsidRPr="00BD050E">
        <w:rPr>
          <w:rFonts w:asciiTheme="majorHAnsi" w:eastAsia="Times New Roman" w:hAnsiTheme="majorHAnsi" w:cstheme="majorHAnsi"/>
          <w:color w:val="000000" w:themeColor="text1"/>
          <w:sz w:val="24"/>
          <w:szCs w:val="24"/>
          <w:lang w:val="ro-RO"/>
        </w:rPr>
        <w:t xml:space="preserve"> la finele lunii iunie 2022 au fost debursate </w:t>
      </w:r>
      <w:r w:rsidR="002A40E6" w:rsidRPr="00BD050E">
        <w:rPr>
          <w:rFonts w:asciiTheme="majorHAnsi" w:eastAsia="Times New Roman" w:hAnsiTheme="majorHAnsi" w:cstheme="majorHAnsi"/>
          <w:color w:val="000000" w:themeColor="text1"/>
          <w:sz w:val="24"/>
          <w:szCs w:val="24"/>
          <w:lang w:val="ro-RO"/>
        </w:rPr>
        <w:t xml:space="preserve">6 693 750 DST, pentru </w:t>
      </w:r>
      <w:r w:rsidR="00D57F32" w:rsidRPr="00BD050E">
        <w:rPr>
          <w:rFonts w:asciiTheme="majorHAnsi" w:eastAsia="Times New Roman" w:hAnsiTheme="majorHAnsi" w:cstheme="majorHAnsi"/>
          <w:color w:val="000000" w:themeColor="text1"/>
          <w:sz w:val="24"/>
          <w:szCs w:val="24"/>
          <w:lang w:val="ro-RO"/>
        </w:rPr>
        <w:t>ILD</w:t>
      </w:r>
      <w:r w:rsidR="002A40E6" w:rsidRPr="00BD050E">
        <w:rPr>
          <w:rFonts w:asciiTheme="majorHAnsi" w:eastAsia="Times New Roman" w:hAnsiTheme="majorHAnsi" w:cstheme="majorHAnsi"/>
          <w:color w:val="000000" w:themeColor="text1"/>
          <w:sz w:val="24"/>
          <w:szCs w:val="24"/>
          <w:lang w:val="ro-RO"/>
        </w:rPr>
        <w:t xml:space="preserve"> 2: Creșterea numărului de persoane cu boli cardiovasculare (BCV) care beneficiază de medicamente compensate pentru tratamentul BCV; </w:t>
      </w:r>
      <w:r w:rsidR="00725D24" w:rsidRPr="00BD050E">
        <w:rPr>
          <w:rFonts w:asciiTheme="majorHAnsi" w:eastAsia="Times New Roman" w:hAnsiTheme="majorHAnsi" w:cstheme="majorHAnsi"/>
          <w:color w:val="000000" w:themeColor="text1"/>
          <w:sz w:val="24"/>
          <w:szCs w:val="24"/>
          <w:lang w:val="ro-RO"/>
        </w:rPr>
        <w:t xml:space="preserve">ILD 7.2: </w:t>
      </w:r>
      <w:r w:rsidR="00944D43" w:rsidRPr="00BD050E">
        <w:rPr>
          <w:rFonts w:asciiTheme="majorHAnsi" w:eastAsia="Times New Roman" w:hAnsiTheme="majorHAnsi" w:cstheme="majorHAnsi"/>
          <w:color w:val="000000" w:themeColor="text1"/>
          <w:sz w:val="24"/>
          <w:szCs w:val="24"/>
          <w:lang w:val="ro-RO"/>
        </w:rPr>
        <w:t xml:space="preserve">Revizuirea schemei </w:t>
      </w:r>
      <w:r w:rsidR="00FE21DC" w:rsidRPr="00BD050E">
        <w:rPr>
          <w:rFonts w:asciiTheme="majorHAnsi" w:eastAsia="Times New Roman" w:hAnsiTheme="majorHAnsi" w:cstheme="majorHAnsi"/>
          <w:color w:val="000000" w:themeColor="text1"/>
          <w:sz w:val="24"/>
          <w:szCs w:val="24"/>
          <w:lang w:val="ro-RO"/>
        </w:rPr>
        <w:t xml:space="preserve">de </w:t>
      </w:r>
      <w:r w:rsidR="00944D43" w:rsidRPr="00BD050E">
        <w:rPr>
          <w:rFonts w:asciiTheme="majorHAnsi" w:eastAsia="Times New Roman" w:hAnsiTheme="majorHAnsi" w:cstheme="majorHAnsi"/>
          <w:color w:val="000000" w:themeColor="text1"/>
          <w:sz w:val="24"/>
          <w:szCs w:val="24"/>
          <w:lang w:val="ro-RO"/>
        </w:rPr>
        <w:t xml:space="preserve">plată pentru </w:t>
      </w:r>
      <w:r w:rsidR="00944D43" w:rsidRPr="00BD050E">
        <w:rPr>
          <w:rFonts w:asciiTheme="majorHAnsi" w:eastAsia="Times New Roman" w:hAnsiTheme="majorHAnsi" w:cstheme="majorHAnsi"/>
          <w:color w:val="000000" w:themeColor="text1"/>
          <w:sz w:val="24"/>
          <w:szCs w:val="24"/>
          <w:lang w:val="ro-RO"/>
        </w:rPr>
        <w:lastRenderedPageBreak/>
        <w:t>performanță</w:t>
      </w:r>
      <w:r w:rsidR="00725D24" w:rsidRPr="00BD050E">
        <w:rPr>
          <w:rFonts w:asciiTheme="majorHAnsi" w:eastAsia="Times New Roman" w:hAnsiTheme="majorHAnsi" w:cstheme="majorHAnsi"/>
          <w:color w:val="000000" w:themeColor="text1"/>
          <w:sz w:val="24"/>
          <w:szCs w:val="24"/>
          <w:lang w:val="ro-RO"/>
        </w:rPr>
        <w:t xml:space="preserve">; </w:t>
      </w:r>
      <w:r w:rsidR="00D57F32" w:rsidRPr="00BD050E">
        <w:rPr>
          <w:rFonts w:asciiTheme="majorHAnsi" w:hAnsiTheme="majorHAnsi" w:cstheme="majorHAnsi"/>
          <w:color w:val="000000" w:themeColor="text1"/>
          <w:sz w:val="24"/>
          <w:szCs w:val="24"/>
          <w:lang w:val="ro-RO"/>
        </w:rPr>
        <w:t>ILD</w:t>
      </w:r>
      <w:r w:rsidR="002A40E6" w:rsidRPr="00BD050E">
        <w:rPr>
          <w:rFonts w:asciiTheme="majorHAnsi" w:hAnsiTheme="majorHAnsi" w:cstheme="majorHAnsi"/>
          <w:color w:val="000000" w:themeColor="text1"/>
          <w:sz w:val="24"/>
          <w:szCs w:val="24"/>
          <w:lang w:val="ro-RO"/>
        </w:rPr>
        <w:t xml:space="preserve"> 11: Integrarea lecțiilor învățate în campaniile de comunicare privind schimbarea comportamentului populației și evaluarea gradului de pregătire pentru vaccin</w:t>
      </w:r>
      <w:r w:rsidR="002A40E6" w:rsidRPr="00BD050E">
        <w:rPr>
          <w:rFonts w:asciiTheme="majorHAnsi" w:eastAsia="Times New Roman" w:hAnsiTheme="majorHAnsi" w:cstheme="majorHAnsi"/>
          <w:color w:val="000000" w:themeColor="text1"/>
          <w:sz w:val="24"/>
          <w:szCs w:val="24"/>
          <w:lang w:val="ro-RO"/>
        </w:rPr>
        <w:t>.</w:t>
      </w:r>
    </w:p>
    <w:p w14:paraId="1DE32753" w14:textId="77777777" w:rsidR="00963506" w:rsidRPr="00BD050E" w:rsidRDefault="00963506" w:rsidP="00963506">
      <w:pPr>
        <w:pStyle w:val="Heading1"/>
        <w:jc w:val="left"/>
        <w:rPr>
          <w:rFonts w:asciiTheme="majorHAnsi" w:hAnsiTheme="majorHAnsi" w:cstheme="majorHAnsi"/>
          <w:b w:val="0"/>
          <w:color w:val="000000" w:themeColor="text1"/>
          <w:sz w:val="28"/>
          <w:szCs w:val="28"/>
          <w:lang w:val="ro-RO"/>
        </w:rPr>
      </w:pPr>
      <w:r w:rsidRPr="00BD050E">
        <w:rPr>
          <w:rFonts w:asciiTheme="majorHAnsi" w:hAnsiTheme="majorHAnsi" w:cstheme="majorHAnsi"/>
          <w:color w:val="000000" w:themeColor="text1"/>
          <w:sz w:val="28"/>
          <w:szCs w:val="28"/>
          <w:lang w:val="ro-RO"/>
        </w:rPr>
        <w:t>RECOMANDĂRI</w:t>
      </w:r>
    </w:p>
    <w:p w14:paraId="2E685393" w14:textId="31D041D4" w:rsidR="00963506" w:rsidRPr="00BD050E" w:rsidRDefault="00963506" w:rsidP="00963506">
      <w:pPr>
        <w:jc w:val="both"/>
        <w:rPr>
          <w:rFonts w:asciiTheme="majorHAnsi" w:hAnsiTheme="majorHAnsi" w:cstheme="majorHAnsi"/>
          <w:b/>
          <w:color w:val="000000" w:themeColor="text1"/>
          <w:sz w:val="24"/>
          <w:szCs w:val="24"/>
          <w:u w:val="single"/>
          <w:lang w:val="ro-RO"/>
        </w:rPr>
      </w:pPr>
      <w:r w:rsidRPr="00BD050E">
        <w:rPr>
          <w:rFonts w:asciiTheme="majorHAnsi" w:hAnsiTheme="majorHAnsi" w:cstheme="majorHAnsi"/>
          <w:b/>
          <w:color w:val="000000" w:themeColor="text1"/>
          <w:sz w:val="24"/>
          <w:szCs w:val="24"/>
          <w:u w:val="single"/>
          <w:lang w:val="ro-RO"/>
        </w:rPr>
        <w:t>Ministerul Sănătății</w:t>
      </w:r>
      <w:r w:rsidR="00FE21DC" w:rsidRPr="00BD050E">
        <w:rPr>
          <w:rFonts w:asciiTheme="majorHAnsi" w:hAnsiTheme="majorHAnsi" w:cstheme="majorHAnsi"/>
          <w:b/>
          <w:color w:val="000000" w:themeColor="text1"/>
          <w:sz w:val="24"/>
          <w:szCs w:val="24"/>
          <w:u w:val="single"/>
          <w:lang w:val="ro-RO"/>
        </w:rPr>
        <w:t>,</w:t>
      </w:r>
      <w:r w:rsidRPr="00BD050E">
        <w:rPr>
          <w:rFonts w:asciiTheme="majorHAnsi" w:hAnsiTheme="majorHAnsi" w:cstheme="majorHAnsi"/>
          <w:b/>
          <w:color w:val="000000" w:themeColor="text1"/>
          <w:sz w:val="24"/>
          <w:szCs w:val="24"/>
          <w:u w:val="single"/>
          <w:lang w:val="ro-RO"/>
        </w:rPr>
        <w:t xml:space="preserve"> </w:t>
      </w:r>
      <w:r w:rsidR="00FE21DC" w:rsidRPr="00BD050E">
        <w:rPr>
          <w:rFonts w:asciiTheme="majorHAnsi" w:hAnsiTheme="majorHAnsi" w:cstheme="majorHAnsi"/>
          <w:b/>
          <w:color w:val="000000" w:themeColor="text1"/>
          <w:sz w:val="24"/>
          <w:szCs w:val="24"/>
          <w:u w:val="single"/>
          <w:lang w:val="ro-RO"/>
        </w:rPr>
        <w:t>în</w:t>
      </w:r>
      <w:r w:rsidRPr="00BD050E">
        <w:rPr>
          <w:rFonts w:asciiTheme="majorHAnsi" w:hAnsiTheme="majorHAnsi" w:cstheme="majorHAnsi"/>
          <w:b/>
          <w:color w:val="000000" w:themeColor="text1"/>
          <w:sz w:val="24"/>
          <w:szCs w:val="24"/>
          <w:u w:val="single"/>
          <w:lang w:val="ro-RO"/>
        </w:rPr>
        <w:t xml:space="preserve"> comun cu Compania Națională de Asigurări în Medicină:</w:t>
      </w:r>
    </w:p>
    <w:p w14:paraId="735AFF9F" w14:textId="2A4A1EE3" w:rsidR="00963506" w:rsidRPr="00BD050E" w:rsidRDefault="00963506" w:rsidP="004C1828">
      <w:pPr>
        <w:tabs>
          <w:tab w:val="left" w:pos="1080"/>
        </w:tabs>
        <w:spacing w:after="0" w:line="276" w:lineRule="auto"/>
        <w:contextualSpacing/>
        <w:jc w:val="both"/>
        <w:rPr>
          <w:rFonts w:asciiTheme="majorHAnsi" w:hAnsiTheme="majorHAnsi" w:cstheme="majorHAnsi"/>
          <w:i/>
          <w:color w:val="000000" w:themeColor="text1"/>
          <w:sz w:val="24"/>
          <w:szCs w:val="24"/>
          <w:lang w:val="ro-RO"/>
        </w:rPr>
      </w:pPr>
      <w:r w:rsidRPr="00BD050E">
        <w:rPr>
          <w:rFonts w:asciiTheme="majorHAnsi" w:hAnsiTheme="majorHAnsi" w:cstheme="majorHAnsi"/>
          <w:i/>
          <w:color w:val="000000" w:themeColor="text1"/>
          <w:sz w:val="24"/>
          <w:szCs w:val="24"/>
          <w:lang w:val="ro-RO"/>
        </w:rPr>
        <w:t>Să asigurare analiza</w:t>
      </w:r>
      <w:r w:rsidR="004C1828" w:rsidRPr="00BD050E">
        <w:rPr>
          <w:rFonts w:asciiTheme="majorHAnsi" w:hAnsiTheme="majorHAnsi" w:cstheme="majorHAnsi"/>
          <w:i/>
          <w:color w:val="000000" w:themeColor="text1"/>
          <w:sz w:val="24"/>
          <w:szCs w:val="24"/>
          <w:lang w:val="ro-RO"/>
        </w:rPr>
        <w:t>,</w:t>
      </w:r>
      <w:r w:rsidRPr="00BD050E">
        <w:rPr>
          <w:rFonts w:asciiTheme="majorHAnsi" w:hAnsiTheme="majorHAnsi" w:cstheme="majorHAnsi"/>
          <w:i/>
          <w:color w:val="000000" w:themeColor="text1"/>
          <w:sz w:val="24"/>
          <w:szCs w:val="24"/>
          <w:lang w:val="ro-RO"/>
        </w:rPr>
        <w:t xml:space="preserve"> mo</w:t>
      </w:r>
      <w:r w:rsidR="0036424B" w:rsidRPr="00BD050E">
        <w:rPr>
          <w:rFonts w:asciiTheme="majorHAnsi" w:hAnsiTheme="majorHAnsi" w:cstheme="majorHAnsi"/>
          <w:i/>
          <w:color w:val="000000" w:themeColor="text1"/>
          <w:sz w:val="24"/>
          <w:szCs w:val="24"/>
          <w:lang w:val="ro-RO"/>
        </w:rPr>
        <w:t xml:space="preserve">nitorizarea </w:t>
      </w:r>
      <w:r w:rsidR="004C1828" w:rsidRPr="00BD050E">
        <w:rPr>
          <w:rFonts w:asciiTheme="majorHAnsi" w:hAnsiTheme="majorHAnsi" w:cstheme="majorHAnsi"/>
          <w:i/>
          <w:color w:val="000000" w:themeColor="text1"/>
          <w:sz w:val="24"/>
          <w:szCs w:val="24"/>
          <w:lang w:val="ro-RO"/>
        </w:rPr>
        <w:t xml:space="preserve">și realizarea activităților orientate spre </w:t>
      </w:r>
      <w:r w:rsidR="0036424B" w:rsidRPr="00BD050E">
        <w:rPr>
          <w:rFonts w:asciiTheme="majorHAnsi" w:hAnsiTheme="majorHAnsi" w:cstheme="majorHAnsi"/>
          <w:i/>
          <w:color w:val="000000" w:themeColor="text1"/>
          <w:sz w:val="24"/>
          <w:szCs w:val="24"/>
          <w:lang w:val="ro-RO"/>
        </w:rPr>
        <w:t>atinger</w:t>
      </w:r>
      <w:r w:rsidR="004C1828" w:rsidRPr="00BD050E">
        <w:rPr>
          <w:rFonts w:asciiTheme="majorHAnsi" w:hAnsiTheme="majorHAnsi" w:cstheme="majorHAnsi"/>
          <w:i/>
          <w:color w:val="000000" w:themeColor="text1"/>
          <w:sz w:val="24"/>
          <w:szCs w:val="24"/>
          <w:lang w:val="ro-RO"/>
        </w:rPr>
        <w:t>ea</w:t>
      </w:r>
      <w:r w:rsidR="0036424B" w:rsidRPr="00BD050E">
        <w:rPr>
          <w:rFonts w:asciiTheme="majorHAnsi" w:hAnsiTheme="majorHAnsi" w:cstheme="majorHAnsi"/>
          <w:i/>
          <w:color w:val="000000" w:themeColor="text1"/>
          <w:sz w:val="24"/>
          <w:szCs w:val="24"/>
          <w:lang w:val="ro-RO"/>
        </w:rPr>
        <w:t xml:space="preserve"> ILD 7.3</w:t>
      </w:r>
      <w:r w:rsidR="004C1828" w:rsidRPr="00BD050E">
        <w:rPr>
          <w:rFonts w:asciiTheme="majorHAnsi" w:hAnsiTheme="majorHAnsi" w:cstheme="majorHAnsi"/>
          <w:bCs/>
          <w:i/>
          <w:sz w:val="24"/>
          <w:szCs w:val="24"/>
          <w:lang w:val="ro-RO"/>
        </w:rPr>
        <w:t xml:space="preserve"> „</w:t>
      </w:r>
      <w:r w:rsidR="004C1828" w:rsidRPr="00BD050E">
        <w:rPr>
          <w:rFonts w:asciiTheme="majorHAnsi" w:eastAsia="Calibri" w:hAnsiTheme="majorHAnsi" w:cstheme="majorHAnsi"/>
          <w:i/>
          <w:color w:val="000000" w:themeColor="text1"/>
          <w:sz w:val="24"/>
          <w:szCs w:val="24"/>
          <w:lang w:val="ro-RO"/>
        </w:rPr>
        <w:t>Pilotarea metodologiei revizuite în cel puțin 7 spitale”</w:t>
      </w:r>
      <w:r w:rsidR="004C1828" w:rsidRPr="00BD050E">
        <w:rPr>
          <w:rFonts w:asciiTheme="majorHAnsi" w:hAnsiTheme="majorHAnsi" w:cstheme="majorHAnsi"/>
          <w:bCs/>
          <w:i/>
          <w:sz w:val="24"/>
          <w:szCs w:val="24"/>
          <w:lang w:val="ro-RO"/>
        </w:rPr>
        <w:t xml:space="preserve"> </w:t>
      </w:r>
      <w:r w:rsidR="0036424B" w:rsidRPr="00BD050E">
        <w:rPr>
          <w:rFonts w:asciiTheme="majorHAnsi" w:hAnsiTheme="majorHAnsi" w:cstheme="majorHAnsi"/>
          <w:i/>
          <w:color w:val="000000" w:themeColor="text1"/>
          <w:sz w:val="24"/>
          <w:szCs w:val="24"/>
          <w:lang w:val="ro-RO"/>
        </w:rPr>
        <w:t xml:space="preserve"> </w:t>
      </w:r>
      <w:r w:rsidR="00944D43" w:rsidRPr="00BD050E">
        <w:rPr>
          <w:rFonts w:asciiTheme="majorHAnsi" w:hAnsiTheme="majorHAnsi" w:cstheme="majorHAnsi"/>
          <w:i/>
          <w:color w:val="000000" w:themeColor="text1"/>
          <w:sz w:val="24"/>
          <w:szCs w:val="24"/>
          <w:lang w:val="ro-RO"/>
        </w:rPr>
        <w:t>și ILD 9</w:t>
      </w:r>
      <w:r w:rsidR="00095163" w:rsidRPr="00BD050E">
        <w:rPr>
          <w:rFonts w:asciiTheme="majorHAnsi" w:hAnsiTheme="majorHAnsi" w:cstheme="majorHAnsi"/>
          <w:i/>
          <w:color w:val="000000" w:themeColor="text1"/>
          <w:sz w:val="24"/>
          <w:szCs w:val="24"/>
          <w:lang w:val="ro-RO"/>
        </w:rPr>
        <w:t>.1</w:t>
      </w:r>
      <w:r w:rsidR="00944D43" w:rsidRPr="00BD050E">
        <w:rPr>
          <w:rFonts w:asciiTheme="majorHAnsi" w:hAnsiTheme="majorHAnsi" w:cstheme="majorHAnsi"/>
          <w:i/>
          <w:color w:val="000000" w:themeColor="text1"/>
          <w:sz w:val="24"/>
          <w:szCs w:val="24"/>
          <w:lang w:val="ro-RO"/>
        </w:rPr>
        <w:t xml:space="preserve"> </w:t>
      </w:r>
      <w:r w:rsidR="004C1828" w:rsidRPr="00BD050E">
        <w:rPr>
          <w:rFonts w:asciiTheme="majorHAnsi" w:hAnsiTheme="majorHAnsi" w:cstheme="majorHAnsi"/>
          <w:i/>
          <w:color w:val="000000" w:themeColor="text1"/>
          <w:sz w:val="24"/>
          <w:szCs w:val="24"/>
          <w:lang w:val="ro-RO"/>
        </w:rPr>
        <w:t>„</w:t>
      </w:r>
      <w:r w:rsidR="00944D43" w:rsidRPr="00BD050E">
        <w:rPr>
          <w:rFonts w:asciiTheme="majorHAnsi" w:hAnsiTheme="majorHAnsi" w:cstheme="majorHAnsi"/>
          <w:i/>
          <w:color w:val="000000" w:themeColor="text1"/>
          <w:sz w:val="24"/>
          <w:szCs w:val="24"/>
          <w:lang w:val="ro-RO"/>
        </w:rPr>
        <w:t>Consolidarea spitalelor departamental</w:t>
      </w:r>
      <w:r w:rsidR="004C1828" w:rsidRPr="00BD050E">
        <w:rPr>
          <w:rFonts w:asciiTheme="majorHAnsi" w:hAnsiTheme="majorHAnsi" w:cstheme="majorHAnsi"/>
          <w:i/>
          <w:color w:val="000000" w:themeColor="text1"/>
          <w:sz w:val="24"/>
          <w:szCs w:val="24"/>
          <w:lang w:val="ro-RO"/>
        </w:rPr>
        <w:t xml:space="preserve">e aflate </w:t>
      </w:r>
      <w:r w:rsidR="00FE21DC" w:rsidRPr="00BD050E">
        <w:rPr>
          <w:rFonts w:asciiTheme="majorHAnsi" w:hAnsiTheme="majorHAnsi" w:cstheme="majorHAnsi"/>
          <w:i/>
          <w:color w:val="000000" w:themeColor="text1"/>
          <w:sz w:val="24"/>
          <w:szCs w:val="24"/>
          <w:lang w:val="ro-RO"/>
        </w:rPr>
        <w:t>în</w:t>
      </w:r>
      <w:r w:rsidR="004C1828" w:rsidRPr="00BD050E">
        <w:rPr>
          <w:rFonts w:asciiTheme="majorHAnsi" w:hAnsiTheme="majorHAnsi" w:cstheme="majorHAnsi"/>
          <w:i/>
          <w:color w:val="000000" w:themeColor="text1"/>
          <w:sz w:val="24"/>
          <w:szCs w:val="24"/>
          <w:lang w:val="ro-RO"/>
        </w:rPr>
        <w:t xml:space="preserve"> administrarea MS”</w:t>
      </w:r>
      <w:r w:rsidR="00FE21DC" w:rsidRPr="00BD050E">
        <w:rPr>
          <w:rFonts w:asciiTheme="majorHAnsi" w:hAnsiTheme="majorHAnsi" w:cstheme="majorHAnsi"/>
          <w:i/>
          <w:color w:val="000000" w:themeColor="text1"/>
          <w:sz w:val="24"/>
          <w:szCs w:val="24"/>
          <w:lang w:val="ro-RO"/>
        </w:rPr>
        <w:t>, ceea</w:t>
      </w:r>
      <w:r w:rsidR="004C1828" w:rsidRPr="00BD050E">
        <w:rPr>
          <w:rFonts w:asciiTheme="majorHAnsi" w:hAnsiTheme="majorHAnsi" w:cstheme="majorHAnsi"/>
          <w:i/>
          <w:color w:val="000000" w:themeColor="text1"/>
          <w:sz w:val="24"/>
          <w:szCs w:val="24"/>
          <w:lang w:val="ro-RO"/>
        </w:rPr>
        <w:t xml:space="preserve"> ce va servi </w:t>
      </w:r>
      <w:r w:rsidR="00FE21DC" w:rsidRPr="00BD050E">
        <w:rPr>
          <w:rFonts w:asciiTheme="majorHAnsi" w:hAnsiTheme="majorHAnsi" w:cstheme="majorHAnsi"/>
          <w:i/>
          <w:color w:val="000000" w:themeColor="text1"/>
          <w:sz w:val="24"/>
          <w:szCs w:val="24"/>
          <w:lang w:val="ro-RO"/>
        </w:rPr>
        <w:t xml:space="preserve">ca </w:t>
      </w:r>
      <w:r w:rsidR="004C1828" w:rsidRPr="00BD050E">
        <w:rPr>
          <w:rFonts w:asciiTheme="majorHAnsi" w:hAnsiTheme="majorHAnsi" w:cstheme="majorHAnsi"/>
          <w:i/>
          <w:color w:val="000000" w:themeColor="text1"/>
          <w:sz w:val="24"/>
          <w:szCs w:val="24"/>
          <w:lang w:val="ro-RO"/>
        </w:rPr>
        <w:t>temei pentru debursarea mijloacelor financiare</w:t>
      </w:r>
      <w:r w:rsidR="00FE21DC" w:rsidRPr="00BD050E">
        <w:rPr>
          <w:rFonts w:asciiTheme="majorHAnsi" w:hAnsiTheme="majorHAnsi" w:cstheme="majorHAnsi"/>
          <w:i/>
          <w:color w:val="000000" w:themeColor="text1"/>
          <w:sz w:val="24"/>
          <w:szCs w:val="24"/>
          <w:lang w:val="ro-RO"/>
        </w:rPr>
        <w:t>.</w:t>
      </w:r>
    </w:p>
    <w:p w14:paraId="050D7312" w14:textId="77777777" w:rsidR="00963506" w:rsidRPr="00BD050E" w:rsidRDefault="00963506" w:rsidP="00963506">
      <w:pPr>
        <w:pStyle w:val="Heading1"/>
        <w:ind w:left="0" w:firstLine="0"/>
        <w:jc w:val="both"/>
        <w:rPr>
          <w:rFonts w:asciiTheme="majorHAnsi" w:hAnsiTheme="majorHAnsi" w:cstheme="majorHAnsi"/>
          <w:color w:val="000000" w:themeColor="text1"/>
          <w:sz w:val="28"/>
          <w:szCs w:val="28"/>
          <w:lang w:val="ro-RO"/>
        </w:rPr>
      </w:pPr>
      <w:r w:rsidRPr="00BD050E">
        <w:rPr>
          <w:rFonts w:asciiTheme="majorHAnsi" w:hAnsiTheme="majorHAnsi" w:cstheme="majorHAnsi"/>
          <w:color w:val="000000" w:themeColor="text1"/>
          <w:sz w:val="28"/>
          <w:szCs w:val="28"/>
          <w:lang w:val="ro-RO"/>
        </w:rPr>
        <w:t xml:space="preserve">RESPONSABILITĂȚILE </w:t>
      </w:r>
      <w:bookmarkEnd w:id="9"/>
      <w:r w:rsidRPr="00BD050E">
        <w:rPr>
          <w:rFonts w:asciiTheme="majorHAnsi" w:hAnsiTheme="majorHAnsi" w:cstheme="majorHAnsi"/>
          <w:color w:val="000000" w:themeColor="text1"/>
          <w:sz w:val="28"/>
          <w:szCs w:val="28"/>
          <w:lang w:val="ro-RO"/>
        </w:rPr>
        <w:t>CELOR ÎNSĂRCINAȚI CU GUVERNANȚA PENTRU SITUAȚIILE FINANCIARE</w:t>
      </w:r>
    </w:p>
    <w:p w14:paraId="70043A33" w14:textId="47AB0370" w:rsidR="00963506" w:rsidRPr="00BD050E" w:rsidRDefault="007970A2" w:rsidP="00963506">
      <w:pPr>
        <w:tabs>
          <w:tab w:val="left" w:pos="709"/>
        </w:tabs>
        <w:spacing w:line="276" w:lineRule="auto"/>
        <w:jc w:val="both"/>
        <w:rPr>
          <w:rFonts w:asciiTheme="majorHAnsi" w:hAnsiTheme="majorHAnsi" w:cstheme="majorHAnsi"/>
          <w:color w:val="000000" w:themeColor="text1"/>
          <w:sz w:val="24"/>
          <w:szCs w:val="24"/>
          <w:lang w:val="ro-RO"/>
        </w:rPr>
      </w:pPr>
      <w:r w:rsidRPr="00BD050E">
        <w:rPr>
          <w:rFonts w:asciiTheme="majorHAnsi" w:hAnsiTheme="majorHAnsi" w:cstheme="majorHAnsi"/>
          <w:i/>
          <w:color w:val="000000" w:themeColor="text1"/>
          <w:sz w:val="24"/>
          <w:szCs w:val="24"/>
          <w:lang w:val="ro-RO"/>
        </w:rPr>
        <w:t xml:space="preserve">Ministra Sănătății </w:t>
      </w:r>
      <w:r w:rsidR="00963506" w:rsidRPr="00BD050E">
        <w:rPr>
          <w:rFonts w:asciiTheme="majorHAnsi" w:hAnsiTheme="majorHAnsi" w:cstheme="majorHAnsi"/>
          <w:color w:val="000000" w:themeColor="text1"/>
          <w:sz w:val="24"/>
          <w:szCs w:val="24"/>
          <w:lang w:val="ro-RO"/>
        </w:rPr>
        <w:t>este responsabil</w:t>
      </w:r>
      <w:r w:rsidRPr="00BD050E">
        <w:rPr>
          <w:rFonts w:asciiTheme="majorHAnsi" w:hAnsiTheme="majorHAnsi" w:cstheme="majorHAnsi"/>
          <w:color w:val="000000" w:themeColor="text1"/>
          <w:sz w:val="24"/>
          <w:szCs w:val="24"/>
          <w:lang w:val="ro-RO"/>
        </w:rPr>
        <w:t>ă</w:t>
      </w:r>
      <w:r w:rsidR="00963506" w:rsidRPr="00BD050E">
        <w:rPr>
          <w:rFonts w:asciiTheme="majorHAnsi" w:hAnsiTheme="majorHAnsi" w:cstheme="majorHAnsi"/>
          <w:color w:val="000000" w:themeColor="text1"/>
          <w:sz w:val="24"/>
          <w:szCs w:val="24"/>
          <w:lang w:val="ro-RO"/>
        </w:rPr>
        <w:t xml:space="preserve"> de monitorizarea și evaluarea progresului Proiectului, inclusiv de elaborarea situațiilor financiare ale acestuia. Totodată, este responsabil</w:t>
      </w:r>
      <w:r w:rsidRPr="00BD050E">
        <w:rPr>
          <w:rFonts w:asciiTheme="majorHAnsi" w:hAnsiTheme="majorHAnsi" w:cstheme="majorHAnsi"/>
          <w:color w:val="000000" w:themeColor="text1"/>
          <w:sz w:val="24"/>
          <w:szCs w:val="24"/>
          <w:lang w:val="ro-RO"/>
        </w:rPr>
        <w:t>ă</w:t>
      </w:r>
      <w:r w:rsidR="00963506" w:rsidRPr="00BD050E">
        <w:rPr>
          <w:rFonts w:asciiTheme="majorHAnsi" w:hAnsiTheme="majorHAnsi" w:cstheme="majorHAnsi"/>
          <w:color w:val="000000" w:themeColor="text1"/>
          <w:sz w:val="24"/>
          <w:szCs w:val="24"/>
          <w:lang w:val="ro-RO"/>
        </w:rPr>
        <w:t xml:space="preserve"> de perfectarea și prezentarea fidelă a situațiilor financiare conform cerințelor de raportare ale Băncii Mondiale, precum și ale Ministerului Finanțelor. De rând cu acestea, managementul autorității publice centrale este responsabil de implementarea sistemului de  control intern managerial, care trebuie să asigure întocmirea situațiilor financiare ce nu conțin denaturări semnificative</w:t>
      </w:r>
      <w:r w:rsidR="00FE21DC" w:rsidRPr="00BD050E">
        <w:rPr>
          <w:rFonts w:asciiTheme="majorHAnsi" w:hAnsiTheme="majorHAnsi" w:cstheme="majorHAnsi"/>
          <w:color w:val="000000" w:themeColor="text1"/>
          <w:sz w:val="24"/>
          <w:szCs w:val="24"/>
          <w:lang w:val="ro-RO"/>
        </w:rPr>
        <w:t>,</w:t>
      </w:r>
      <w:r w:rsidR="00963506" w:rsidRPr="00BD050E">
        <w:rPr>
          <w:rFonts w:asciiTheme="majorHAnsi" w:hAnsiTheme="majorHAnsi" w:cstheme="majorHAnsi"/>
          <w:color w:val="000000" w:themeColor="text1"/>
          <w:sz w:val="24"/>
          <w:szCs w:val="24"/>
          <w:lang w:val="ro-RO"/>
        </w:rPr>
        <w:t xml:space="preserve"> cauzate de fraudă sau de eroare.</w:t>
      </w:r>
      <w:r w:rsidR="00963506" w:rsidRPr="00BD050E">
        <w:rPr>
          <w:rFonts w:asciiTheme="majorHAnsi" w:hAnsiTheme="majorHAnsi" w:cstheme="majorHAnsi"/>
          <w:color w:val="000000" w:themeColor="text1"/>
          <w:sz w:val="24"/>
          <w:szCs w:val="24"/>
          <w:lang w:val="ro-RO"/>
        </w:rPr>
        <w:tab/>
      </w:r>
    </w:p>
    <w:p w14:paraId="6D39AD5C" w14:textId="2634CC4B" w:rsidR="00963506" w:rsidRPr="00BD050E" w:rsidRDefault="00963506" w:rsidP="00963506">
      <w:pPr>
        <w:tabs>
          <w:tab w:val="left" w:pos="709"/>
        </w:tabs>
        <w:spacing w:after="0" w:line="276" w:lineRule="auto"/>
        <w:jc w:val="both"/>
        <w:rPr>
          <w:rFonts w:asciiTheme="majorHAnsi" w:eastAsia="Times New Roman" w:hAnsiTheme="majorHAnsi" w:cstheme="majorHAnsi"/>
          <w:color w:val="000000" w:themeColor="text1"/>
          <w:sz w:val="24"/>
          <w:szCs w:val="24"/>
          <w:lang w:val="ro-RO"/>
        </w:rPr>
      </w:pPr>
      <w:r w:rsidRPr="00BD050E">
        <w:rPr>
          <w:rFonts w:asciiTheme="majorHAnsi" w:eastAsia="Times New Roman" w:hAnsiTheme="majorHAnsi" w:cstheme="majorHAnsi"/>
          <w:i/>
          <w:color w:val="000000" w:themeColor="text1"/>
          <w:sz w:val="24"/>
          <w:szCs w:val="24"/>
          <w:lang w:val="ro-RO"/>
        </w:rPr>
        <w:t>Rolul managementu</w:t>
      </w:r>
      <w:r w:rsidR="007970A2" w:rsidRPr="00BD050E">
        <w:rPr>
          <w:rFonts w:asciiTheme="majorHAnsi" w:eastAsia="Times New Roman" w:hAnsiTheme="majorHAnsi" w:cstheme="majorHAnsi"/>
          <w:i/>
          <w:color w:val="000000" w:themeColor="text1"/>
          <w:sz w:val="24"/>
          <w:szCs w:val="24"/>
          <w:lang w:val="ro-RO"/>
        </w:rPr>
        <w:t>lui Ministerului Sănătății</w:t>
      </w:r>
      <w:r w:rsidRPr="00BD050E">
        <w:rPr>
          <w:rFonts w:asciiTheme="majorHAnsi" w:eastAsia="Times New Roman" w:hAnsiTheme="majorHAnsi" w:cstheme="majorHAnsi"/>
          <w:i/>
          <w:color w:val="000000" w:themeColor="text1"/>
          <w:sz w:val="24"/>
          <w:szCs w:val="24"/>
          <w:lang w:val="ro-RO"/>
        </w:rPr>
        <w:t>, în calitate de administrator de buget în domeniul finanțelor publice</w:t>
      </w:r>
      <w:r w:rsidRPr="00BD050E">
        <w:rPr>
          <w:rStyle w:val="FootnoteReference"/>
          <w:rFonts w:asciiTheme="majorHAnsi" w:eastAsia="Times New Roman" w:hAnsiTheme="majorHAnsi" w:cstheme="majorHAnsi"/>
          <w:i/>
          <w:color w:val="000000" w:themeColor="text1"/>
          <w:sz w:val="24"/>
          <w:szCs w:val="24"/>
          <w:lang w:val="ro-RO"/>
        </w:rPr>
        <w:footnoteReference w:id="24"/>
      </w:r>
      <w:r w:rsidR="00FE21DC" w:rsidRPr="00BD050E">
        <w:rPr>
          <w:rFonts w:asciiTheme="majorHAnsi" w:eastAsia="Times New Roman" w:hAnsiTheme="majorHAnsi" w:cstheme="majorHAnsi"/>
          <w:i/>
          <w:color w:val="000000" w:themeColor="text1"/>
          <w:sz w:val="24"/>
          <w:szCs w:val="24"/>
          <w:lang w:val="ro-RO"/>
        </w:rPr>
        <w:t>,</w:t>
      </w:r>
      <w:r w:rsidRPr="00BD050E">
        <w:rPr>
          <w:rFonts w:asciiTheme="majorHAnsi" w:eastAsia="Times New Roman" w:hAnsiTheme="majorHAnsi" w:cstheme="majorHAnsi"/>
          <w:color w:val="000000" w:themeColor="text1"/>
          <w:sz w:val="24"/>
          <w:szCs w:val="24"/>
          <w:lang w:val="ro-RO"/>
        </w:rPr>
        <w:t xml:space="preserve"> constă în elaborarea și prezentarea propunerilor de buget; repartizarea limitelor de alocații bugetare conform clasificației bugetare; asumarea angajamentelor bugetare și efectuarea cheltuielilor în scopurile și în limitele alocațiilor bugetare; implementarea și raportarea programelor în conformitate cu obiectivele și indicatorii de performanță asumați; asigurarea gestionării alocațiilor bugetare și administrarea patrimoniului public în conformitate cu principiile bunei guvernări; publicarea bugetelor și rapoartelor privind executarea acestora, inclusiv privind performanța în cadrul programelor; exercitarea altor competențe și responsabilități prevăzute de legislație.</w:t>
      </w:r>
    </w:p>
    <w:p w14:paraId="58BCA5EB" w14:textId="77777777" w:rsidR="00963506" w:rsidRPr="00BD050E" w:rsidRDefault="00963506" w:rsidP="00963506">
      <w:pPr>
        <w:tabs>
          <w:tab w:val="left" w:pos="709"/>
        </w:tabs>
        <w:spacing w:after="0" w:line="276" w:lineRule="auto"/>
        <w:jc w:val="both"/>
        <w:rPr>
          <w:rFonts w:asciiTheme="majorHAnsi" w:eastAsia="Times New Roman" w:hAnsiTheme="majorHAnsi" w:cstheme="majorHAnsi"/>
          <w:color w:val="000000" w:themeColor="text1"/>
          <w:sz w:val="24"/>
          <w:szCs w:val="24"/>
          <w:lang w:val="ro-RO"/>
        </w:rPr>
      </w:pPr>
    </w:p>
    <w:p w14:paraId="5836202E" w14:textId="77777777" w:rsidR="00963506" w:rsidRPr="00BD050E" w:rsidRDefault="00963506" w:rsidP="00963506">
      <w:pPr>
        <w:pStyle w:val="Heading1"/>
        <w:ind w:left="0" w:firstLine="0"/>
        <w:jc w:val="left"/>
        <w:rPr>
          <w:rFonts w:asciiTheme="majorHAnsi" w:hAnsiTheme="majorHAnsi" w:cstheme="majorHAnsi"/>
          <w:color w:val="000000" w:themeColor="text1"/>
          <w:sz w:val="28"/>
          <w:szCs w:val="28"/>
          <w:lang w:val="ro-RO"/>
        </w:rPr>
      </w:pPr>
      <w:bookmarkStart w:id="15" w:name="_Toc35000690"/>
      <w:r w:rsidRPr="00BD050E">
        <w:rPr>
          <w:rFonts w:asciiTheme="majorHAnsi" w:hAnsiTheme="majorHAnsi" w:cstheme="majorHAnsi"/>
          <w:color w:val="000000" w:themeColor="text1"/>
          <w:sz w:val="28"/>
          <w:szCs w:val="28"/>
          <w:lang w:val="ro-RO"/>
        </w:rPr>
        <w:t>RESPONSABILITĂȚILE AUDITORULUI ÎNTR-UN AUDIT AL RAPOARTELOR</w:t>
      </w:r>
      <w:bookmarkEnd w:id="15"/>
      <w:r w:rsidRPr="00BD050E">
        <w:rPr>
          <w:rFonts w:asciiTheme="majorHAnsi" w:hAnsiTheme="majorHAnsi" w:cstheme="majorHAnsi"/>
          <w:color w:val="000000" w:themeColor="text1"/>
          <w:sz w:val="28"/>
          <w:szCs w:val="28"/>
          <w:lang w:val="ro-RO"/>
        </w:rPr>
        <w:t xml:space="preserve"> FINACIARE</w:t>
      </w:r>
    </w:p>
    <w:p w14:paraId="2F7D6F8F" w14:textId="77777777" w:rsidR="00963506" w:rsidRPr="00BD050E" w:rsidRDefault="00963506" w:rsidP="00963506">
      <w:pPr>
        <w:autoSpaceDE w:val="0"/>
        <w:autoSpaceDN w:val="0"/>
        <w:adjustRightInd w:val="0"/>
        <w:spacing w:line="276" w:lineRule="auto"/>
        <w:ind w:right="-23"/>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7A2D9B89" w14:textId="77777777" w:rsidR="00963506" w:rsidRPr="00BD050E" w:rsidRDefault="00963506" w:rsidP="00963506">
      <w:pPr>
        <w:autoSpaceDE w:val="0"/>
        <w:autoSpaceDN w:val="0"/>
        <w:adjustRightInd w:val="0"/>
        <w:spacing w:line="276" w:lineRule="auto"/>
        <w:ind w:right="-23"/>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ca urmare a fraudelor sau erorilor. Totodată, denaturările </w:t>
      </w:r>
      <w:r w:rsidRPr="00BD050E">
        <w:rPr>
          <w:rFonts w:asciiTheme="majorHAnsi" w:hAnsiTheme="majorHAnsi" w:cstheme="majorHAnsi"/>
          <w:color w:val="000000" w:themeColor="text1"/>
          <w:sz w:val="24"/>
          <w:szCs w:val="24"/>
          <w:lang w:val="ro-RO"/>
        </w:rPr>
        <w:lastRenderedPageBreak/>
        <w:t xml:space="preserve">pot fi considerate semnificative dacă, în mod individual sau în ansamblu, pot influența deciziile economice ale utilizatorilor acestor rapoarte financiare consolidate. </w:t>
      </w:r>
    </w:p>
    <w:p w14:paraId="42B4C7C3" w14:textId="77777777" w:rsidR="00963506" w:rsidRPr="00BD050E" w:rsidRDefault="00963506" w:rsidP="00963506">
      <w:pPr>
        <w:autoSpaceDE w:val="0"/>
        <w:autoSpaceDN w:val="0"/>
        <w:adjustRightInd w:val="0"/>
        <w:spacing w:after="0" w:line="276" w:lineRule="auto"/>
        <w:ind w:right="-23"/>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O descriere suplimentară a responsabilităților auditorului într-un audit al rapoartelor financiare este plasată pe site-ul Curții de Conturi, la adresa:</w:t>
      </w:r>
      <w:r w:rsidRPr="00BD050E">
        <w:rPr>
          <w:rFonts w:asciiTheme="majorHAnsi" w:hAnsiTheme="majorHAnsi" w:cstheme="majorHAnsi"/>
          <w:i/>
          <w:color w:val="000000" w:themeColor="text1"/>
          <w:sz w:val="24"/>
          <w:szCs w:val="24"/>
          <w:lang w:val="ro-RO"/>
        </w:rPr>
        <w:t xml:space="preserve"> </w:t>
      </w:r>
      <w:hyperlink r:id="rId11" w:history="1">
        <w:r w:rsidR="007970A2" w:rsidRPr="00BD050E">
          <w:rPr>
            <w:rStyle w:val="Hyperlink"/>
            <w:rFonts w:asciiTheme="majorHAnsi" w:hAnsiTheme="majorHAnsi" w:cstheme="majorHAnsi"/>
            <w:i/>
            <w:color w:val="000000" w:themeColor="text1"/>
            <w:sz w:val="24"/>
            <w:szCs w:val="24"/>
            <w:lang w:val="ro-RO"/>
          </w:rPr>
          <w:t>http://www.ccrm.md/</w:t>
        </w:r>
      </w:hyperlink>
      <w:r w:rsidR="007970A2" w:rsidRPr="00BD050E">
        <w:rPr>
          <w:rFonts w:asciiTheme="majorHAnsi" w:hAnsiTheme="majorHAnsi" w:cstheme="majorHAnsi"/>
          <w:i/>
          <w:color w:val="000000" w:themeColor="text1"/>
          <w:sz w:val="24"/>
          <w:szCs w:val="24"/>
          <w:lang w:val="ro-RO"/>
        </w:rPr>
        <w:t xml:space="preserve"> </w:t>
      </w:r>
      <w:r w:rsidRPr="00BD050E">
        <w:rPr>
          <w:rFonts w:asciiTheme="majorHAnsi" w:hAnsiTheme="majorHAnsi" w:cstheme="majorHAnsi"/>
          <w: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Această descriere face parte din Raportul nostru de audit.</w:t>
      </w:r>
    </w:p>
    <w:p w14:paraId="2C605A62" w14:textId="77777777" w:rsidR="00963506" w:rsidRPr="00BD050E" w:rsidRDefault="00963506" w:rsidP="00963506">
      <w:pPr>
        <w:spacing w:after="0" w:line="276" w:lineRule="auto"/>
        <w:rPr>
          <w:rFonts w:asciiTheme="majorHAnsi" w:hAnsiTheme="majorHAnsi" w:cstheme="majorHAnsi"/>
          <w:b/>
          <w:color w:val="000000" w:themeColor="text1"/>
          <w:sz w:val="24"/>
          <w:szCs w:val="24"/>
          <w:lang w:val="ro-RO"/>
        </w:rPr>
      </w:pPr>
    </w:p>
    <w:p w14:paraId="07783394" w14:textId="77777777" w:rsidR="00963506" w:rsidRPr="00BD050E" w:rsidRDefault="00963506" w:rsidP="00963506">
      <w:pPr>
        <w:spacing w:after="0" w:line="276" w:lineRule="auto"/>
        <w:rPr>
          <w:rFonts w:asciiTheme="majorHAnsi" w:hAnsiTheme="majorHAnsi" w:cstheme="majorHAnsi"/>
          <w:b/>
          <w:color w:val="000000" w:themeColor="text1"/>
          <w:sz w:val="24"/>
          <w:szCs w:val="24"/>
          <w:lang w:val="ro-RO"/>
        </w:rPr>
      </w:pPr>
      <w:r w:rsidRPr="00BD050E">
        <w:rPr>
          <w:rFonts w:asciiTheme="majorHAnsi" w:hAnsiTheme="majorHAnsi" w:cstheme="majorHAnsi"/>
          <w:b/>
          <w:color w:val="000000" w:themeColor="text1"/>
          <w:sz w:val="24"/>
          <w:szCs w:val="24"/>
          <w:lang w:val="ro-RO"/>
        </w:rPr>
        <w:t>Semnătura auditorului:</w:t>
      </w:r>
    </w:p>
    <w:p w14:paraId="295F5D4E" w14:textId="77777777" w:rsidR="00963506" w:rsidRPr="00BD050E" w:rsidRDefault="00963506" w:rsidP="00963506">
      <w:pPr>
        <w:spacing w:after="0" w:line="276" w:lineRule="auto"/>
        <w:jc w:val="both"/>
        <w:rPr>
          <w:rFonts w:asciiTheme="majorHAnsi" w:hAnsiTheme="majorHAnsi" w:cstheme="majorHAnsi"/>
          <w:b/>
          <w:bCs/>
          <w:iCs/>
          <w:color w:val="000000" w:themeColor="text1"/>
          <w:sz w:val="24"/>
          <w:szCs w:val="24"/>
          <w:lang w:val="ro-RO"/>
        </w:rPr>
      </w:pPr>
      <w:r w:rsidRPr="00BD050E">
        <w:rPr>
          <w:rFonts w:asciiTheme="majorHAnsi" w:hAnsiTheme="majorHAnsi" w:cstheme="majorHAnsi"/>
          <w:b/>
          <w:bCs/>
          <w:iCs/>
          <w:color w:val="000000" w:themeColor="text1"/>
          <w:sz w:val="24"/>
          <w:szCs w:val="24"/>
          <w:lang w:val="ro-RO"/>
        </w:rPr>
        <w:t>Echipa de audit:</w:t>
      </w:r>
    </w:p>
    <w:p w14:paraId="4A8B3714" w14:textId="5DA74B52" w:rsidR="00963506" w:rsidRPr="00BD050E" w:rsidRDefault="00963506" w:rsidP="00963506">
      <w:pPr>
        <w:tabs>
          <w:tab w:val="left" w:pos="1080"/>
        </w:tabs>
        <w:spacing w:after="0" w:line="276" w:lineRule="auto"/>
        <w:contextualSpacing/>
        <w:jc w:val="both"/>
        <w:rPr>
          <w:rFonts w:asciiTheme="majorHAnsi" w:hAnsiTheme="majorHAnsi" w:cstheme="majorHAnsi"/>
          <w:bCs/>
          <w:iCs/>
          <w:color w:val="000000" w:themeColor="text1"/>
          <w:sz w:val="24"/>
          <w:szCs w:val="24"/>
          <w:lang w:val="ro-RO"/>
        </w:rPr>
      </w:pPr>
      <w:r w:rsidRPr="00BD050E">
        <w:rPr>
          <w:rFonts w:asciiTheme="majorHAnsi" w:hAnsiTheme="majorHAnsi" w:cstheme="majorHAnsi"/>
          <w:bCs/>
          <w:iCs/>
          <w:color w:val="000000" w:themeColor="text1"/>
          <w:sz w:val="24"/>
          <w:szCs w:val="24"/>
          <w:lang w:val="ro-RO"/>
        </w:rPr>
        <w:t>Șef</w:t>
      </w:r>
      <w:r w:rsidR="00CE4188" w:rsidRPr="00BD050E">
        <w:rPr>
          <w:rFonts w:asciiTheme="majorHAnsi" w:hAnsiTheme="majorHAnsi" w:cstheme="majorHAnsi"/>
          <w:bCs/>
          <w:iCs/>
          <w:color w:val="000000" w:themeColor="text1"/>
          <w:sz w:val="24"/>
          <w:szCs w:val="24"/>
          <w:lang w:val="ro-RO"/>
        </w:rPr>
        <w:t>a</w:t>
      </w:r>
      <w:r w:rsidRPr="00BD050E">
        <w:rPr>
          <w:rFonts w:asciiTheme="majorHAnsi" w:hAnsiTheme="majorHAnsi" w:cstheme="majorHAnsi"/>
          <w:bCs/>
          <w:iCs/>
          <w:color w:val="000000" w:themeColor="text1"/>
          <w:sz w:val="24"/>
          <w:szCs w:val="24"/>
          <w:lang w:val="ro-RO"/>
        </w:rPr>
        <w:t xml:space="preserve"> echipei de audit, </w:t>
      </w:r>
    </w:p>
    <w:p w14:paraId="59CCC784" w14:textId="7426789D" w:rsidR="00963506" w:rsidRDefault="00CE4188"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a</w:t>
      </w:r>
      <w:r w:rsidR="007970A2" w:rsidRPr="00BD050E">
        <w:rPr>
          <w:rFonts w:asciiTheme="majorHAnsi" w:hAnsiTheme="majorHAnsi" w:cstheme="majorHAnsi"/>
          <w:color w:val="000000" w:themeColor="text1"/>
          <w:sz w:val="24"/>
          <w:szCs w:val="24"/>
          <w:lang w:val="ro-RO"/>
        </w:rPr>
        <w:t>uditoare</w:t>
      </w:r>
      <w:r w:rsidR="00963506" w:rsidRPr="00BD050E">
        <w:rPr>
          <w:rFonts w:asciiTheme="majorHAnsi" w:hAnsiTheme="majorHAnsi" w:cstheme="majorHAnsi"/>
          <w:color w:val="000000" w:themeColor="text1"/>
          <w:sz w:val="24"/>
          <w:szCs w:val="24"/>
          <w:lang w:val="ro-RO"/>
        </w:rPr>
        <w:t xml:space="preserve"> public</w:t>
      </w:r>
      <w:r w:rsidR="007970A2" w:rsidRPr="00BD050E">
        <w:rPr>
          <w:rFonts w:asciiTheme="majorHAnsi" w:hAnsiTheme="majorHAnsi" w:cstheme="majorHAnsi"/>
          <w:color w:val="000000" w:themeColor="text1"/>
          <w:sz w:val="24"/>
          <w:szCs w:val="24"/>
          <w:lang w:val="ro-RO"/>
        </w:rPr>
        <w:t>ă</w:t>
      </w:r>
      <w:r w:rsidR="00963506" w:rsidRPr="00BD050E">
        <w:rPr>
          <w:rFonts w:asciiTheme="majorHAnsi" w:hAnsiTheme="majorHAnsi" w:cstheme="majorHAnsi"/>
          <w:color w:val="000000" w:themeColor="text1"/>
          <w:sz w:val="24"/>
          <w:szCs w:val="24"/>
          <w:lang w:val="ro-RO"/>
        </w:rPr>
        <w:t xml:space="preserve"> principal</w:t>
      </w:r>
      <w:r w:rsidR="007970A2" w:rsidRPr="00BD050E">
        <w:rPr>
          <w:rFonts w:asciiTheme="majorHAnsi" w:hAnsiTheme="majorHAnsi" w:cstheme="majorHAnsi"/>
          <w:color w:val="000000" w:themeColor="text1"/>
          <w:sz w:val="24"/>
          <w:szCs w:val="24"/>
          <w:lang w:val="ro-RO"/>
        </w:rPr>
        <w:t>ă</w:t>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t xml:space="preserve">                         Anastasia Danilcova</w:t>
      </w:r>
    </w:p>
    <w:p w14:paraId="02EE06E4" w14:textId="615259E0" w:rsidR="006D38A6" w:rsidRDefault="006D38A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2F4ED712" w14:textId="77777777" w:rsidR="006D38A6" w:rsidRPr="00BD050E" w:rsidRDefault="006D38A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200EF736" w14:textId="77777777" w:rsidR="00963506" w:rsidRPr="00BD050E" w:rsidRDefault="0096350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792E8770" w14:textId="3C565493" w:rsidR="00963506" w:rsidRDefault="0096350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Audito</w:t>
      </w:r>
      <w:r w:rsidR="007970A2" w:rsidRPr="00BD050E">
        <w:rPr>
          <w:rFonts w:asciiTheme="majorHAnsi" w:hAnsiTheme="majorHAnsi" w:cstheme="majorHAnsi"/>
          <w:color w:val="000000" w:themeColor="text1"/>
          <w:sz w:val="24"/>
          <w:szCs w:val="24"/>
          <w:lang w:val="ro-RO"/>
        </w:rPr>
        <w:t>a</w:t>
      </w:r>
      <w:r w:rsidRPr="00BD050E">
        <w:rPr>
          <w:rFonts w:asciiTheme="majorHAnsi" w:hAnsiTheme="majorHAnsi" w:cstheme="majorHAnsi"/>
          <w:color w:val="000000" w:themeColor="text1"/>
          <w:sz w:val="24"/>
          <w:szCs w:val="24"/>
          <w:lang w:val="ro-RO"/>
        </w:rPr>
        <w:t>r</w:t>
      </w:r>
      <w:r w:rsidR="007970A2" w:rsidRPr="00BD050E">
        <w:rPr>
          <w:rFonts w:asciiTheme="majorHAnsi" w:hAnsiTheme="majorHAnsi" w:cstheme="majorHAnsi"/>
          <w:color w:val="000000" w:themeColor="text1"/>
          <w:sz w:val="24"/>
          <w:szCs w:val="24"/>
          <w:lang w:val="ro-RO"/>
        </w:rPr>
        <w:t>e</w:t>
      </w:r>
      <w:r w:rsidRPr="00BD050E">
        <w:rPr>
          <w:rFonts w:asciiTheme="majorHAnsi" w:hAnsiTheme="majorHAnsi" w:cstheme="majorHAnsi"/>
          <w:color w:val="000000" w:themeColor="text1"/>
          <w:sz w:val="24"/>
          <w:szCs w:val="24"/>
          <w:lang w:val="ro-RO"/>
        </w:rPr>
        <w:t xml:space="preserve"> public</w:t>
      </w:r>
      <w:r w:rsidR="007970A2" w:rsidRPr="00BD050E">
        <w:rPr>
          <w:rFonts w:asciiTheme="majorHAnsi" w:hAnsiTheme="majorHAnsi" w:cstheme="majorHAnsi"/>
          <w:color w:val="000000" w:themeColor="text1"/>
          <w:sz w:val="24"/>
          <w:szCs w:val="24"/>
          <w:lang w:val="ro-RO"/>
        </w:rPr>
        <w:t xml:space="preserve">ă </w:t>
      </w:r>
      <w:r w:rsidRPr="00BD050E">
        <w:rPr>
          <w:rFonts w:asciiTheme="majorHAnsi" w:hAnsiTheme="majorHAnsi" w:cstheme="majorHAnsi"/>
          <w:color w:val="000000" w:themeColor="text1"/>
          <w:sz w:val="24"/>
          <w:szCs w:val="24"/>
          <w:lang w:val="ro-RO"/>
        </w:rPr>
        <w:t>superio</w:t>
      </w:r>
      <w:r w:rsidR="007970A2" w:rsidRPr="00BD050E">
        <w:rPr>
          <w:rFonts w:asciiTheme="majorHAnsi" w:hAnsiTheme="majorHAnsi" w:cstheme="majorHAnsi"/>
          <w:color w:val="000000" w:themeColor="text1"/>
          <w:sz w:val="24"/>
          <w:szCs w:val="24"/>
          <w:lang w:val="ro-RO"/>
        </w:rPr>
        <w:t>a</w:t>
      </w:r>
      <w:r w:rsidRPr="00BD050E">
        <w:rPr>
          <w:rFonts w:asciiTheme="majorHAnsi" w:hAnsiTheme="majorHAnsi" w:cstheme="majorHAnsi"/>
          <w:color w:val="000000" w:themeColor="text1"/>
          <w:sz w:val="24"/>
          <w:szCs w:val="24"/>
          <w:lang w:val="ro-RO"/>
        </w:rPr>
        <w:t>r</w:t>
      </w:r>
      <w:r w:rsidR="007970A2" w:rsidRPr="00BD050E">
        <w:rPr>
          <w:rFonts w:asciiTheme="majorHAnsi" w:hAnsiTheme="majorHAnsi" w:cstheme="majorHAnsi"/>
          <w:color w:val="000000" w:themeColor="text1"/>
          <w:sz w:val="24"/>
          <w:szCs w:val="24"/>
          <w:lang w:val="ro-RO"/>
        </w:rPr>
        <w:t>ă</w:t>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t>Elena Mirciu</w:t>
      </w:r>
    </w:p>
    <w:p w14:paraId="56F76D2F" w14:textId="718099BF" w:rsidR="006D38A6" w:rsidRDefault="006D38A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6D972753" w14:textId="5B9B6441" w:rsidR="006D38A6" w:rsidRDefault="006D38A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73620599" w14:textId="77777777" w:rsidR="006D38A6" w:rsidRPr="00BD050E" w:rsidRDefault="006D38A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090ED611" w14:textId="77777777" w:rsidR="00963506" w:rsidRPr="00BD050E" w:rsidRDefault="007970A2"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Auditoare publică superioară</w:t>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r>
      <w:r w:rsidR="00963506" w:rsidRPr="00BD050E">
        <w:rPr>
          <w:rFonts w:asciiTheme="majorHAnsi" w:hAnsiTheme="majorHAnsi" w:cstheme="majorHAnsi"/>
          <w:color w:val="000000" w:themeColor="text1"/>
          <w:sz w:val="24"/>
          <w:szCs w:val="24"/>
          <w:lang w:val="ro-RO"/>
        </w:rPr>
        <w:tab/>
        <w:t>Ana Miron</w:t>
      </w:r>
    </w:p>
    <w:p w14:paraId="1936FFC1" w14:textId="5ECC9D9B" w:rsidR="00963506" w:rsidRDefault="00963506" w:rsidP="00963506">
      <w:pPr>
        <w:spacing w:after="0" w:line="276" w:lineRule="auto"/>
        <w:rPr>
          <w:rFonts w:asciiTheme="majorHAnsi" w:hAnsiTheme="majorHAnsi" w:cstheme="majorHAnsi"/>
          <w:b/>
          <w:bCs/>
          <w:iCs/>
          <w:color w:val="000000" w:themeColor="text1"/>
          <w:sz w:val="24"/>
          <w:szCs w:val="24"/>
          <w:lang w:val="ro-RO"/>
        </w:rPr>
      </w:pPr>
    </w:p>
    <w:p w14:paraId="6AC73B87" w14:textId="77777777" w:rsidR="006D38A6" w:rsidRDefault="006D38A6" w:rsidP="00963506">
      <w:pPr>
        <w:spacing w:after="0" w:line="276" w:lineRule="auto"/>
        <w:rPr>
          <w:rFonts w:asciiTheme="majorHAnsi" w:hAnsiTheme="majorHAnsi" w:cstheme="majorHAnsi"/>
          <w:b/>
          <w:bCs/>
          <w:iCs/>
          <w:color w:val="000000" w:themeColor="text1"/>
          <w:sz w:val="24"/>
          <w:szCs w:val="24"/>
          <w:lang w:val="ro-RO"/>
        </w:rPr>
      </w:pPr>
    </w:p>
    <w:p w14:paraId="5AB935D2" w14:textId="77777777" w:rsidR="006D38A6" w:rsidRPr="00BD050E" w:rsidRDefault="006D38A6" w:rsidP="00963506">
      <w:pPr>
        <w:spacing w:after="0" w:line="276" w:lineRule="auto"/>
        <w:rPr>
          <w:rFonts w:asciiTheme="majorHAnsi" w:hAnsiTheme="majorHAnsi" w:cstheme="majorHAnsi"/>
          <w:b/>
          <w:bCs/>
          <w:iCs/>
          <w:color w:val="000000" w:themeColor="text1"/>
          <w:sz w:val="24"/>
          <w:szCs w:val="24"/>
          <w:lang w:val="ro-RO"/>
        </w:rPr>
      </w:pPr>
    </w:p>
    <w:p w14:paraId="6DFE3DB7" w14:textId="77777777" w:rsidR="00963506" w:rsidRPr="00BD050E" w:rsidRDefault="00963506" w:rsidP="00963506">
      <w:pPr>
        <w:spacing w:after="0" w:line="276" w:lineRule="auto"/>
        <w:rPr>
          <w:rFonts w:asciiTheme="majorHAnsi" w:hAnsiTheme="majorHAnsi" w:cstheme="majorHAnsi"/>
          <w:b/>
          <w:bCs/>
          <w:iCs/>
          <w:color w:val="000000" w:themeColor="text1"/>
          <w:sz w:val="24"/>
          <w:szCs w:val="24"/>
          <w:lang w:val="ro-RO"/>
        </w:rPr>
      </w:pPr>
      <w:r w:rsidRPr="00BD050E">
        <w:rPr>
          <w:rFonts w:asciiTheme="majorHAnsi" w:hAnsiTheme="majorHAnsi" w:cstheme="majorHAnsi"/>
          <w:b/>
          <w:bCs/>
          <w:iCs/>
          <w:color w:val="000000" w:themeColor="text1"/>
          <w:sz w:val="24"/>
          <w:szCs w:val="24"/>
          <w:lang w:val="ro-RO"/>
        </w:rPr>
        <w:t xml:space="preserve">Responsabil de monitorizarea și asigurarea calității auditului: </w:t>
      </w:r>
    </w:p>
    <w:p w14:paraId="4D9294EF" w14:textId="5FBF8D63" w:rsidR="00963506" w:rsidRPr="00BD050E" w:rsidRDefault="0096350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Șef</w:t>
      </w:r>
      <w:r w:rsidR="007970A2" w:rsidRPr="00BD050E">
        <w:rPr>
          <w:rFonts w:asciiTheme="majorHAnsi" w:hAnsiTheme="majorHAnsi" w:cstheme="majorHAnsi"/>
          <w:color w:val="000000" w:themeColor="text1"/>
          <w:sz w:val="24"/>
          <w:szCs w:val="24"/>
          <w:lang w:val="ro-RO"/>
        </w:rPr>
        <w:t>a</w:t>
      </w:r>
      <w:r w:rsidRPr="00BD050E">
        <w:rPr>
          <w:rFonts w:asciiTheme="majorHAnsi" w:hAnsiTheme="majorHAnsi" w:cstheme="majorHAnsi"/>
          <w:color w:val="000000" w:themeColor="text1"/>
          <w:sz w:val="24"/>
          <w:szCs w:val="24"/>
          <w:lang w:val="ro-RO"/>
        </w:rPr>
        <w:t xml:space="preserve"> Direcției generale de audit II</w:t>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t xml:space="preserve">Sofia Ciuvalschi </w:t>
      </w:r>
    </w:p>
    <w:p w14:paraId="0B686D9E" w14:textId="0B8DA2C9" w:rsidR="00963506" w:rsidRDefault="00963506" w:rsidP="00963506">
      <w:pPr>
        <w:spacing w:after="0" w:line="240" w:lineRule="auto"/>
        <w:rPr>
          <w:rFonts w:ascii="Calibri Light" w:eastAsia="Times New Roman" w:hAnsi="Calibri Light" w:cs="Calibri Light"/>
          <w:b/>
          <w:bCs/>
          <w:color w:val="000000" w:themeColor="text1"/>
          <w:sz w:val="24"/>
          <w:szCs w:val="20"/>
          <w:lang w:val="ro-RO"/>
        </w:rPr>
      </w:pPr>
    </w:p>
    <w:p w14:paraId="53AAB736" w14:textId="77777777" w:rsidR="006D38A6" w:rsidRPr="006D38A6" w:rsidRDefault="006D38A6" w:rsidP="00963506">
      <w:pPr>
        <w:spacing w:after="0" w:line="240" w:lineRule="auto"/>
        <w:rPr>
          <w:rFonts w:ascii="Calibri Light" w:eastAsia="Times New Roman" w:hAnsi="Calibri Light" w:cs="Calibri Light"/>
          <w:b/>
          <w:bCs/>
          <w:color w:val="000000" w:themeColor="text1"/>
          <w:sz w:val="24"/>
          <w:szCs w:val="20"/>
          <w:lang w:val="ro-RO"/>
        </w:rPr>
      </w:pPr>
    </w:p>
    <w:p w14:paraId="4042033E" w14:textId="77777777" w:rsidR="00963506" w:rsidRPr="006D38A6" w:rsidRDefault="00963506" w:rsidP="00963506">
      <w:pPr>
        <w:spacing w:after="0" w:line="240" w:lineRule="auto"/>
        <w:rPr>
          <w:rFonts w:ascii="Calibri Light" w:eastAsia="Times New Roman" w:hAnsi="Calibri Light" w:cs="Calibri Light"/>
          <w:b/>
          <w:bCs/>
          <w:color w:val="000000" w:themeColor="text1"/>
          <w:sz w:val="24"/>
          <w:szCs w:val="20"/>
          <w:lang w:val="ro-RO"/>
        </w:rPr>
      </w:pPr>
    </w:p>
    <w:p w14:paraId="3F8327E2" w14:textId="66F579AE" w:rsidR="00963506" w:rsidRPr="00BD050E" w:rsidRDefault="00963506" w:rsidP="00963506">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Ș</w:t>
      </w:r>
      <w:r w:rsidR="007970A2" w:rsidRPr="00BD050E">
        <w:rPr>
          <w:rFonts w:asciiTheme="majorHAnsi" w:hAnsiTheme="majorHAnsi" w:cstheme="majorHAnsi"/>
          <w:color w:val="000000" w:themeColor="text1"/>
          <w:sz w:val="24"/>
          <w:szCs w:val="24"/>
          <w:lang w:val="ro-RO"/>
        </w:rPr>
        <w:t>efa</w:t>
      </w:r>
      <w:r w:rsidRPr="00BD050E">
        <w:rPr>
          <w:rFonts w:asciiTheme="majorHAnsi" w:hAnsiTheme="majorHAnsi" w:cstheme="majorHAnsi"/>
          <w:color w:val="000000" w:themeColor="text1"/>
          <w:sz w:val="24"/>
          <w:szCs w:val="24"/>
          <w:lang w:val="ro-RO"/>
        </w:rPr>
        <w:t xml:space="preserve"> Direcției de audit I </w:t>
      </w:r>
    </w:p>
    <w:p w14:paraId="259DD215" w14:textId="792B5705" w:rsidR="00963506" w:rsidRPr="00BD050E" w:rsidRDefault="00963506" w:rsidP="00963506">
      <w:pPr>
        <w:spacing w:after="0" w:line="240" w:lineRule="auto"/>
        <w:rPr>
          <w:rFonts w:ascii="Calibri Light" w:eastAsia="Times New Roman" w:hAnsi="Calibri Light" w:cs="Calibri Light"/>
          <w:b/>
          <w:bCs/>
          <w:color w:val="000000" w:themeColor="text1"/>
          <w:sz w:val="20"/>
          <w:szCs w:val="20"/>
          <w:lang w:val="ro-RO"/>
        </w:rPr>
      </w:pPr>
      <w:r w:rsidRPr="00BD050E">
        <w:rPr>
          <w:rFonts w:asciiTheme="majorHAnsi" w:hAnsiTheme="majorHAnsi" w:cstheme="majorHAnsi"/>
          <w:color w:val="000000" w:themeColor="text1"/>
          <w:sz w:val="24"/>
          <w:szCs w:val="24"/>
          <w:lang w:val="ro-RO"/>
        </w:rPr>
        <w:t xml:space="preserve">în cadrul Direcției generale de </w:t>
      </w:r>
      <w:r w:rsidR="00E92AB3" w:rsidRPr="00BD050E">
        <w:rPr>
          <w:rFonts w:asciiTheme="majorHAnsi" w:hAnsiTheme="majorHAnsi" w:cstheme="majorHAnsi"/>
          <w:color w:val="000000" w:themeColor="text1"/>
          <w:sz w:val="24"/>
          <w:szCs w:val="24"/>
          <w:lang w:val="ro-RO"/>
        </w:rPr>
        <w:t>audit II</w:t>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r>
      <w:r w:rsidRPr="00BD050E">
        <w:rPr>
          <w:rFonts w:asciiTheme="majorHAnsi" w:hAnsiTheme="majorHAnsi" w:cstheme="majorHAnsi"/>
          <w:color w:val="000000" w:themeColor="text1"/>
          <w:sz w:val="24"/>
          <w:szCs w:val="24"/>
          <w:lang w:val="ro-RO"/>
        </w:rPr>
        <w:tab/>
        <w:t>Irina Rogaciov</w:t>
      </w:r>
      <w:r w:rsidRPr="00BD050E">
        <w:rPr>
          <w:rFonts w:ascii="Calibri Light" w:eastAsia="Times New Roman" w:hAnsi="Calibri Light" w:cs="Calibri Light"/>
          <w:b/>
          <w:bCs/>
          <w:color w:val="000000" w:themeColor="text1"/>
          <w:sz w:val="20"/>
          <w:szCs w:val="20"/>
          <w:lang w:val="ro-RO"/>
        </w:rPr>
        <w:t xml:space="preserve"> </w:t>
      </w:r>
      <w:r w:rsidRPr="00BD050E">
        <w:rPr>
          <w:rFonts w:ascii="Calibri Light" w:eastAsia="Times New Roman" w:hAnsi="Calibri Light" w:cs="Calibri Light"/>
          <w:b/>
          <w:bCs/>
          <w:color w:val="000000" w:themeColor="text1"/>
          <w:sz w:val="20"/>
          <w:szCs w:val="20"/>
          <w:lang w:val="ro-RO"/>
        </w:rPr>
        <w:br w:type="page"/>
      </w:r>
    </w:p>
    <w:p w14:paraId="32914652" w14:textId="77777777" w:rsidR="00963506" w:rsidRPr="00BD050E" w:rsidRDefault="00963506" w:rsidP="00963506">
      <w:pPr>
        <w:pStyle w:val="NormalWeb"/>
        <w:tabs>
          <w:tab w:val="left" w:pos="162"/>
        </w:tabs>
        <w:spacing w:line="276" w:lineRule="auto"/>
        <w:ind w:left="567" w:firstLine="0"/>
        <w:jc w:val="right"/>
        <w:outlineLvl w:val="1"/>
        <w:rPr>
          <w:rFonts w:asciiTheme="majorHAnsi" w:hAnsiTheme="majorHAnsi" w:cstheme="majorHAnsi"/>
          <w:b/>
          <w:color w:val="000000" w:themeColor="text1"/>
          <w:lang w:val="ro-RO"/>
        </w:rPr>
        <w:sectPr w:rsidR="00963506" w:rsidRPr="00BD050E" w:rsidSect="00A26C34">
          <w:headerReference w:type="default" r:id="rId12"/>
          <w:footerReference w:type="default" r:id="rId13"/>
          <w:pgSz w:w="11909" w:h="16834" w:code="9"/>
          <w:pgMar w:top="709" w:right="851" w:bottom="851" w:left="1701" w:header="709" w:footer="709" w:gutter="0"/>
          <w:cols w:space="708"/>
          <w:titlePg/>
          <w:docGrid w:linePitch="360"/>
        </w:sectPr>
      </w:pPr>
    </w:p>
    <w:p w14:paraId="0A4397B3" w14:textId="77777777" w:rsidR="0036424B" w:rsidRPr="00BD050E" w:rsidRDefault="0036424B" w:rsidP="0036424B">
      <w:pPr>
        <w:keepNext/>
        <w:keepLines/>
        <w:spacing w:before="240" w:after="0"/>
        <w:jc w:val="right"/>
        <w:outlineLvl w:val="0"/>
        <w:rPr>
          <w:rFonts w:asciiTheme="majorHAnsi" w:eastAsiaTheme="majorEastAsia" w:hAnsiTheme="majorHAnsi" w:cstheme="majorHAnsi"/>
          <w:b/>
          <w:color w:val="000000" w:themeColor="text1"/>
          <w:sz w:val="24"/>
          <w:szCs w:val="24"/>
          <w:lang w:val="ro-RO"/>
        </w:rPr>
      </w:pPr>
      <w:r w:rsidRPr="00BD050E">
        <w:rPr>
          <w:rFonts w:asciiTheme="majorHAnsi" w:eastAsiaTheme="majorEastAsia" w:hAnsiTheme="majorHAnsi" w:cstheme="majorHAnsi"/>
          <w:b/>
          <w:color w:val="000000" w:themeColor="text1"/>
          <w:sz w:val="24"/>
          <w:szCs w:val="24"/>
          <w:lang w:val="ro-RO"/>
        </w:rPr>
        <w:lastRenderedPageBreak/>
        <w:t>Anexa nr.1</w:t>
      </w:r>
    </w:p>
    <w:p w14:paraId="5E1F74AF" w14:textId="77777777" w:rsidR="0036424B" w:rsidRPr="00BD050E" w:rsidRDefault="0036424B" w:rsidP="0036424B">
      <w:pPr>
        <w:tabs>
          <w:tab w:val="left" w:pos="993"/>
        </w:tabs>
        <w:spacing w:after="0" w:line="276" w:lineRule="auto"/>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 xml:space="preserve">Acțiunile stabilite în Acordul de finanțare „Modernizarea sectorului sănătății în Republica Moldova”. </w:t>
      </w:r>
    </w:p>
    <w:p w14:paraId="77CC426D" w14:textId="77777777" w:rsidR="0036424B" w:rsidRPr="00BD050E" w:rsidRDefault="0036424B" w:rsidP="0036424B">
      <w:pPr>
        <w:tabs>
          <w:tab w:val="left" w:pos="993"/>
        </w:tabs>
        <w:spacing w:after="0" w:line="276" w:lineRule="auto"/>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Indicatorii specifici legați de debursare și cotele alocate de finanțare</w:t>
      </w:r>
    </w:p>
    <w:p w14:paraId="721D3C2B" w14:textId="77777777" w:rsidR="0036424B" w:rsidRPr="00BD050E" w:rsidRDefault="0036424B" w:rsidP="0036424B">
      <w:pPr>
        <w:spacing w:after="0"/>
        <w:jc w:val="both"/>
        <w:rPr>
          <w:rFonts w:asciiTheme="majorHAnsi" w:hAnsiTheme="majorHAnsi" w:cstheme="majorHAnsi"/>
          <w:b/>
          <w:i/>
          <w:color w:val="000000" w:themeColor="text1"/>
          <w:sz w:val="24"/>
          <w:szCs w:val="24"/>
          <w:lang w:val="ro-RO"/>
        </w:rPr>
      </w:pPr>
    </w:p>
    <w:tbl>
      <w:tblPr>
        <w:tblStyle w:val="TableGrid1"/>
        <w:tblW w:w="15058" w:type="dxa"/>
        <w:tblInd w:w="-856" w:type="dxa"/>
        <w:tblLayout w:type="fixed"/>
        <w:tblLook w:val="04A0" w:firstRow="1" w:lastRow="0" w:firstColumn="1" w:lastColumn="0" w:noHBand="0" w:noVBand="1"/>
      </w:tblPr>
      <w:tblGrid>
        <w:gridCol w:w="1985"/>
        <w:gridCol w:w="3164"/>
        <w:gridCol w:w="2977"/>
        <w:gridCol w:w="1054"/>
        <w:gridCol w:w="363"/>
        <w:gridCol w:w="425"/>
        <w:gridCol w:w="426"/>
        <w:gridCol w:w="425"/>
        <w:gridCol w:w="425"/>
        <w:gridCol w:w="425"/>
        <w:gridCol w:w="426"/>
        <w:gridCol w:w="427"/>
        <w:gridCol w:w="432"/>
        <w:gridCol w:w="416"/>
        <w:gridCol w:w="413"/>
        <w:gridCol w:w="425"/>
        <w:gridCol w:w="425"/>
        <w:gridCol w:w="425"/>
      </w:tblGrid>
      <w:tr w:rsidR="00814F8E" w:rsidRPr="00BD050E" w14:paraId="3CC6A473" w14:textId="77777777" w:rsidTr="000B4C5A">
        <w:tc>
          <w:tcPr>
            <w:tcW w:w="1985" w:type="dxa"/>
            <w:vMerge w:val="restart"/>
            <w:tcBorders>
              <w:top w:val="single" w:sz="4" w:space="0" w:color="auto"/>
              <w:left w:val="single" w:sz="4" w:space="0" w:color="auto"/>
              <w:bottom w:val="single" w:sz="4" w:space="0" w:color="auto"/>
              <w:right w:val="single" w:sz="4" w:space="0" w:color="auto"/>
            </w:tcBorders>
            <w:hideMark/>
          </w:tcPr>
          <w:p w14:paraId="669A1F1A" w14:textId="77777777" w:rsidR="0036424B" w:rsidRPr="00BD050E" w:rsidRDefault="0036424B" w:rsidP="000B4C5A">
            <w:pPr>
              <w:tabs>
                <w:tab w:val="left" w:pos="-720"/>
              </w:tabs>
              <w:suppressAutoHyphens/>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Categoria pentru Program</w:t>
            </w:r>
          </w:p>
          <w:p w14:paraId="41A80E6C" w14:textId="77777777" w:rsidR="0036424B" w:rsidRPr="00BD050E" w:rsidRDefault="0036424B" w:rsidP="000B4C5A">
            <w:pPr>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(inclusiv Indicatorul aferent debursării, după caz)</w:t>
            </w:r>
          </w:p>
        </w:tc>
        <w:tc>
          <w:tcPr>
            <w:tcW w:w="3164" w:type="dxa"/>
            <w:vMerge w:val="restart"/>
            <w:tcBorders>
              <w:top w:val="single" w:sz="4" w:space="0" w:color="auto"/>
              <w:left w:val="single" w:sz="4" w:space="0" w:color="auto"/>
              <w:bottom w:val="single" w:sz="4" w:space="0" w:color="auto"/>
              <w:right w:val="single" w:sz="4" w:space="0" w:color="auto"/>
            </w:tcBorders>
          </w:tcPr>
          <w:p w14:paraId="673E273D" w14:textId="77777777" w:rsidR="0036424B" w:rsidRPr="00BD050E" w:rsidRDefault="0036424B" w:rsidP="000B4C5A">
            <w:pPr>
              <w:jc w:val="center"/>
              <w:rPr>
                <w:rFonts w:asciiTheme="majorHAnsi" w:hAnsiTheme="majorHAnsi" w:cstheme="majorHAnsi"/>
                <w:b/>
                <w:color w:val="000000" w:themeColor="text1"/>
                <w:sz w:val="18"/>
                <w:szCs w:val="18"/>
                <w:lang w:val="ro-RO"/>
              </w:rPr>
            </w:pPr>
          </w:p>
          <w:p w14:paraId="56743F7A" w14:textId="77777777" w:rsidR="0036424B" w:rsidRPr="00BD050E" w:rsidRDefault="0036424B" w:rsidP="000B4C5A">
            <w:pPr>
              <w:jc w:val="center"/>
              <w:rPr>
                <w:rFonts w:asciiTheme="majorHAnsi" w:hAnsiTheme="majorHAnsi" w:cstheme="majorHAnsi"/>
                <w:b/>
                <w:color w:val="000000" w:themeColor="text1"/>
                <w:sz w:val="18"/>
                <w:szCs w:val="18"/>
                <w:lang w:val="ro-RO"/>
              </w:rPr>
            </w:pPr>
          </w:p>
          <w:p w14:paraId="44B40FE0" w14:textId="77777777" w:rsidR="0036424B" w:rsidRPr="00BD050E" w:rsidRDefault="0036424B" w:rsidP="000B4C5A">
            <w:pPr>
              <w:jc w:val="center"/>
              <w:rPr>
                <w:rFonts w:asciiTheme="majorHAnsi" w:hAnsiTheme="majorHAnsi" w:cstheme="majorHAnsi"/>
                <w:b/>
                <w:color w:val="000000" w:themeColor="text1"/>
                <w:sz w:val="18"/>
                <w:szCs w:val="18"/>
                <w:lang w:val="ro-RO"/>
              </w:rPr>
            </w:pPr>
          </w:p>
          <w:p w14:paraId="4AD1D513"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Rezultatul legat de debursare (după caz)</w:t>
            </w:r>
          </w:p>
        </w:tc>
        <w:tc>
          <w:tcPr>
            <w:tcW w:w="2977" w:type="dxa"/>
            <w:vMerge w:val="restart"/>
            <w:tcBorders>
              <w:top w:val="single" w:sz="4" w:space="0" w:color="auto"/>
              <w:left w:val="single" w:sz="4" w:space="0" w:color="auto"/>
              <w:bottom w:val="single" w:sz="4" w:space="0" w:color="auto"/>
              <w:right w:val="single" w:sz="4" w:space="0" w:color="auto"/>
            </w:tcBorders>
          </w:tcPr>
          <w:p w14:paraId="6EE8056D" w14:textId="77777777" w:rsidR="0036424B" w:rsidRPr="00BD050E" w:rsidRDefault="0036424B" w:rsidP="000B4C5A">
            <w:pPr>
              <w:tabs>
                <w:tab w:val="left" w:pos="-720"/>
              </w:tabs>
              <w:suppressAutoHyphens/>
              <w:jc w:val="center"/>
              <w:rPr>
                <w:rFonts w:asciiTheme="majorHAnsi" w:eastAsia="Times New Roman" w:hAnsiTheme="majorHAnsi" w:cstheme="majorHAnsi"/>
                <w:b/>
                <w:color w:val="000000" w:themeColor="text1"/>
                <w:sz w:val="18"/>
                <w:szCs w:val="18"/>
                <w:lang w:val="ro-RO"/>
              </w:rPr>
            </w:pPr>
          </w:p>
          <w:p w14:paraId="56252A65" w14:textId="77777777" w:rsidR="0036424B" w:rsidRPr="00BD050E" w:rsidRDefault="0036424B" w:rsidP="000B4C5A">
            <w:pPr>
              <w:tabs>
                <w:tab w:val="left" w:pos="-720"/>
              </w:tabs>
              <w:suppressAutoHyphens/>
              <w:jc w:val="center"/>
              <w:rPr>
                <w:rFonts w:asciiTheme="majorHAnsi" w:eastAsia="Times New Roman" w:hAnsiTheme="majorHAnsi" w:cstheme="majorHAnsi"/>
                <w:b/>
                <w:color w:val="000000" w:themeColor="text1"/>
                <w:sz w:val="18"/>
                <w:szCs w:val="18"/>
                <w:lang w:val="ro-RO"/>
              </w:rPr>
            </w:pPr>
          </w:p>
          <w:p w14:paraId="6AD85202" w14:textId="77777777" w:rsidR="0036424B" w:rsidRPr="00BD050E" w:rsidRDefault="0036424B" w:rsidP="000B4C5A">
            <w:pPr>
              <w:tabs>
                <w:tab w:val="left" w:pos="-720"/>
              </w:tabs>
              <w:suppressAutoHyphens/>
              <w:jc w:val="center"/>
              <w:rPr>
                <w:rFonts w:asciiTheme="majorHAnsi" w:eastAsia="Times New Roman" w:hAnsiTheme="majorHAnsi" w:cstheme="majorHAnsi"/>
                <w:b/>
                <w:color w:val="000000" w:themeColor="text1"/>
                <w:sz w:val="18"/>
                <w:szCs w:val="18"/>
                <w:lang w:val="ro-RO"/>
              </w:rPr>
            </w:pPr>
          </w:p>
          <w:p w14:paraId="07CF1775"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 xml:space="preserve">Suma finanțării Programului </w:t>
            </w:r>
            <w:r w:rsidRPr="00BD050E">
              <w:rPr>
                <w:rFonts w:asciiTheme="majorHAnsi" w:hAnsiTheme="majorHAnsi" w:cstheme="majorHAnsi"/>
                <w:b/>
                <w:color w:val="000000" w:themeColor="text1"/>
                <w:sz w:val="18"/>
                <w:szCs w:val="18"/>
                <w:lang w:val="ro-RO"/>
              </w:rPr>
              <w:t>(exprimată în DST)</w:t>
            </w:r>
          </w:p>
        </w:tc>
        <w:tc>
          <w:tcPr>
            <w:tcW w:w="1054" w:type="dxa"/>
            <w:vMerge w:val="restart"/>
            <w:tcBorders>
              <w:top w:val="single" w:sz="4" w:space="0" w:color="auto"/>
              <w:left w:val="single" w:sz="4" w:space="0" w:color="auto"/>
              <w:bottom w:val="single" w:sz="4" w:space="0" w:color="auto"/>
              <w:right w:val="single" w:sz="4" w:space="0" w:color="auto"/>
            </w:tcBorders>
          </w:tcPr>
          <w:p w14:paraId="2EC39961" w14:textId="77777777" w:rsidR="0036424B" w:rsidRPr="00BD050E" w:rsidRDefault="0036424B" w:rsidP="000B4C5A">
            <w:pPr>
              <w:jc w:val="center"/>
              <w:rPr>
                <w:rFonts w:asciiTheme="majorHAnsi" w:hAnsiTheme="majorHAnsi" w:cstheme="majorHAnsi"/>
                <w:color w:val="000000" w:themeColor="text1"/>
                <w:sz w:val="18"/>
                <w:szCs w:val="18"/>
                <w:lang w:val="ro-RO"/>
              </w:rPr>
            </w:pPr>
          </w:p>
          <w:p w14:paraId="20DFE8B8"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Suma maximă alocată, total DST</w:t>
            </w:r>
          </w:p>
        </w:tc>
        <w:tc>
          <w:tcPr>
            <w:tcW w:w="788" w:type="dxa"/>
            <w:gridSpan w:val="2"/>
            <w:tcBorders>
              <w:top w:val="single" w:sz="4" w:space="0" w:color="auto"/>
              <w:left w:val="single" w:sz="4" w:space="0" w:color="auto"/>
              <w:bottom w:val="single" w:sz="4" w:space="0" w:color="auto"/>
              <w:right w:val="single" w:sz="4" w:space="0" w:color="auto"/>
            </w:tcBorders>
            <w:hideMark/>
          </w:tcPr>
          <w:p w14:paraId="48EFA373"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2015</w:t>
            </w:r>
          </w:p>
        </w:tc>
        <w:tc>
          <w:tcPr>
            <w:tcW w:w="851" w:type="dxa"/>
            <w:gridSpan w:val="2"/>
            <w:tcBorders>
              <w:top w:val="single" w:sz="4" w:space="0" w:color="auto"/>
              <w:left w:val="single" w:sz="4" w:space="0" w:color="auto"/>
              <w:bottom w:val="single" w:sz="4" w:space="0" w:color="auto"/>
              <w:right w:val="single" w:sz="4" w:space="0" w:color="auto"/>
            </w:tcBorders>
            <w:hideMark/>
          </w:tcPr>
          <w:p w14:paraId="2C5E4CFE"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2016</w:t>
            </w:r>
          </w:p>
        </w:tc>
        <w:tc>
          <w:tcPr>
            <w:tcW w:w="850" w:type="dxa"/>
            <w:gridSpan w:val="2"/>
            <w:tcBorders>
              <w:top w:val="single" w:sz="4" w:space="0" w:color="auto"/>
              <w:left w:val="single" w:sz="4" w:space="0" w:color="auto"/>
              <w:bottom w:val="single" w:sz="4" w:space="0" w:color="auto"/>
              <w:right w:val="single" w:sz="4" w:space="0" w:color="auto"/>
            </w:tcBorders>
            <w:hideMark/>
          </w:tcPr>
          <w:p w14:paraId="38BC7A6D"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2017</w:t>
            </w:r>
          </w:p>
        </w:tc>
        <w:tc>
          <w:tcPr>
            <w:tcW w:w="853" w:type="dxa"/>
            <w:gridSpan w:val="2"/>
            <w:tcBorders>
              <w:top w:val="single" w:sz="4" w:space="0" w:color="auto"/>
              <w:left w:val="single" w:sz="4" w:space="0" w:color="auto"/>
              <w:bottom w:val="single" w:sz="4" w:space="0" w:color="auto"/>
              <w:right w:val="single" w:sz="4" w:space="0" w:color="auto"/>
            </w:tcBorders>
            <w:hideMark/>
          </w:tcPr>
          <w:p w14:paraId="31B16C62"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2018</w:t>
            </w:r>
          </w:p>
        </w:tc>
        <w:tc>
          <w:tcPr>
            <w:tcW w:w="848" w:type="dxa"/>
            <w:gridSpan w:val="2"/>
            <w:tcBorders>
              <w:top w:val="single" w:sz="4" w:space="0" w:color="auto"/>
              <w:left w:val="single" w:sz="4" w:space="0" w:color="auto"/>
              <w:bottom w:val="single" w:sz="4" w:space="0" w:color="auto"/>
              <w:right w:val="single" w:sz="4" w:space="0" w:color="auto"/>
            </w:tcBorders>
            <w:hideMark/>
          </w:tcPr>
          <w:p w14:paraId="7E97BBB2"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2019</w:t>
            </w:r>
          </w:p>
        </w:tc>
        <w:tc>
          <w:tcPr>
            <w:tcW w:w="838" w:type="dxa"/>
            <w:gridSpan w:val="2"/>
            <w:tcBorders>
              <w:top w:val="single" w:sz="4" w:space="0" w:color="auto"/>
              <w:left w:val="single" w:sz="4" w:space="0" w:color="auto"/>
              <w:bottom w:val="single" w:sz="4" w:space="0" w:color="auto"/>
              <w:right w:val="single" w:sz="4" w:space="0" w:color="auto"/>
            </w:tcBorders>
            <w:hideMark/>
          </w:tcPr>
          <w:p w14:paraId="1E08A28A"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2020</w:t>
            </w:r>
          </w:p>
        </w:tc>
        <w:tc>
          <w:tcPr>
            <w:tcW w:w="850" w:type="dxa"/>
            <w:gridSpan w:val="2"/>
            <w:tcBorders>
              <w:top w:val="single" w:sz="4" w:space="0" w:color="auto"/>
              <w:left w:val="single" w:sz="4" w:space="0" w:color="auto"/>
              <w:bottom w:val="single" w:sz="4" w:space="0" w:color="auto"/>
              <w:right w:val="single" w:sz="4" w:space="0" w:color="auto"/>
            </w:tcBorders>
          </w:tcPr>
          <w:p w14:paraId="4C5039CF"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2021</w:t>
            </w:r>
          </w:p>
        </w:tc>
      </w:tr>
      <w:tr w:rsidR="00814F8E" w:rsidRPr="00BD050E" w14:paraId="3F57454B" w14:textId="77777777" w:rsidTr="000B4C5A">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B9F98FC" w14:textId="77777777" w:rsidR="0036424B" w:rsidRPr="00BD050E" w:rsidRDefault="0036424B" w:rsidP="000B4C5A">
            <w:pPr>
              <w:rPr>
                <w:rFonts w:asciiTheme="majorHAnsi" w:eastAsia="Times New Roman" w:hAnsiTheme="majorHAnsi" w:cstheme="majorHAnsi"/>
                <w:b/>
                <w:color w:val="000000" w:themeColor="text1"/>
                <w:sz w:val="18"/>
                <w:szCs w:val="18"/>
                <w:lang w:val="ro-RO"/>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24BCC0C8" w14:textId="77777777" w:rsidR="0036424B" w:rsidRPr="00BD050E" w:rsidRDefault="0036424B" w:rsidP="000B4C5A">
            <w:pPr>
              <w:rPr>
                <w:rFonts w:asciiTheme="majorHAnsi" w:hAnsiTheme="majorHAnsi" w:cstheme="majorHAnsi"/>
                <w:b/>
                <w:color w:val="000000" w:themeColor="text1"/>
                <w:sz w:val="18"/>
                <w:szCs w:val="18"/>
                <w:lang w:val="ro-RO"/>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83C8C33" w14:textId="77777777" w:rsidR="0036424B" w:rsidRPr="00BD050E" w:rsidRDefault="0036424B" w:rsidP="000B4C5A">
            <w:pPr>
              <w:rPr>
                <w:rFonts w:asciiTheme="majorHAnsi" w:hAnsiTheme="majorHAnsi" w:cstheme="majorHAnsi"/>
                <w:b/>
                <w:color w:val="000000" w:themeColor="text1"/>
                <w:sz w:val="18"/>
                <w:szCs w:val="18"/>
                <w:lang w:val="ro-RO"/>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45DB6EAC" w14:textId="77777777" w:rsidR="0036424B" w:rsidRPr="00BD050E" w:rsidRDefault="0036424B" w:rsidP="000B4C5A">
            <w:pPr>
              <w:rPr>
                <w:rFonts w:asciiTheme="majorHAnsi" w:hAnsiTheme="majorHAnsi" w:cstheme="majorHAnsi"/>
                <w:color w:val="000000" w:themeColor="text1"/>
                <w:sz w:val="18"/>
                <w:szCs w:val="18"/>
                <w:lang w:val="ro-RO"/>
              </w:rPr>
            </w:pPr>
          </w:p>
        </w:tc>
        <w:tc>
          <w:tcPr>
            <w:tcW w:w="363" w:type="dxa"/>
            <w:tcBorders>
              <w:top w:val="single" w:sz="4" w:space="0" w:color="auto"/>
              <w:left w:val="single" w:sz="4" w:space="0" w:color="auto"/>
              <w:bottom w:val="single" w:sz="4" w:space="0" w:color="auto"/>
              <w:right w:val="single" w:sz="4" w:space="0" w:color="auto"/>
            </w:tcBorders>
            <w:textDirection w:val="btLr"/>
            <w:hideMark/>
          </w:tcPr>
          <w:p w14:paraId="0E3196ED"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Planificat</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F77BECB"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Executat</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4FDF2A2B"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Planificat</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F6184D8"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Executat</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B32286A"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Planificat</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E452B18"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Executat</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E932796"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Planificat</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1E6286AD"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Executat</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44D564F4"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Planificat</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498EB0C4"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Executat</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02203E07"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Planificat</w:t>
            </w:r>
          </w:p>
        </w:tc>
        <w:tc>
          <w:tcPr>
            <w:tcW w:w="425" w:type="dxa"/>
            <w:tcBorders>
              <w:top w:val="single" w:sz="4" w:space="0" w:color="auto"/>
              <w:left w:val="single" w:sz="4" w:space="0" w:color="auto"/>
              <w:bottom w:val="single" w:sz="4" w:space="0" w:color="auto"/>
              <w:right w:val="single" w:sz="4" w:space="0" w:color="auto"/>
            </w:tcBorders>
            <w:textDirection w:val="btLr"/>
          </w:tcPr>
          <w:p w14:paraId="29F83875"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Executat</w:t>
            </w:r>
          </w:p>
        </w:tc>
        <w:tc>
          <w:tcPr>
            <w:tcW w:w="425" w:type="dxa"/>
            <w:tcBorders>
              <w:top w:val="single" w:sz="4" w:space="0" w:color="auto"/>
              <w:left w:val="single" w:sz="4" w:space="0" w:color="auto"/>
              <w:bottom w:val="single" w:sz="4" w:space="0" w:color="auto"/>
              <w:right w:val="single" w:sz="4" w:space="0" w:color="auto"/>
            </w:tcBorders>
            <w:textDirection w:val="btLr"/>
          </w:tcPr>
          <w:p w14:paraId="329AB6E6"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Planificat</w:t>
            </w:r>
          </w:p>
        </w:tc>
        <w:tc>
          <w:tcPr>
            <w:tcW w:w="425" w:type="dxa"/>
            <w:tcBorders>
              <w:top w:val="single" w:sz="4" w:space="0" w:color="auto"/>
              <w:left w:val="single" w:sz="4" w:space="0" w:color="auto"/>
              <w:bottom w:val="single" w:sz="4" w:space="0" w:color="auto"/>
              <w:right w:val="single" w:sz="4" w:space="0" w:color="auto"/>
            </w:tcBorders>
            <w:textDirection w:val="btLr"/>
          </w:tcPr>
          <w:p w14:paraId="74677097" w14:textId="77777777" w:rsidR="0036424B" w:rsidRPr="00BD050E" w:rsidRDefault="0036424B" w:rsidP="000B4C5A">
            <w:pPr>
              <w:ind w:left="113" w:right="113"/>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Executat</w:t>
            </w:r>
          </w:p>
        </w:tc>
      </w:tr>
      <w:tr w:rsidR="00814F8E" w:rsidRPr="00BD050E" w14:paraId="78A0E994"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120A329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(1) ILD #1:</w:t>
            </w:r>
          </w:p>
          <w:p w14:paraId="2C43138F"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Prevalența fumatului la adulți (categoria de vârstă 18-69 ani; a) bărbați;  b) femei </w:t>
            </w:r>
          </w:p>
        </w:tc>
        <w:tc>
          <w:tcPr>
            <w:tcW w:w="3164" w:type="dxa"/>
            <w:tcBorders>
              <w:top w:val="single" w:sz="4" w:space="0" w:color="auto"/>
              <w:left w:val="single" w:sz="4" w:space="0" w:color="auto"/>
              <w:bottom w:val="single" w:sz="4" w:space="0" w:color="auto"/>
              <w:right w:val="single" w:sz="4" w:space="0" w:color="auto"/>
            </w:tcBorders>
            <w:hideMark/>
          </w:tcPr>
          <w:p w14:paraId="24522CD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 #1.1: Începând cu anul 2018, toate țigările importate și produse la nivel local, prezente pe piață, sunt în conformitate cu Regulamentul privind etichetarea tutunului</w:t>
            </w:r>
          </w:p>
          <w:p w14:paraId="7F8F106A" w14:textId="67F64D4A"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 #1.2: </w:t>
            </w:r>
            <w:r w:rsidR="00CE4188" w:rsidRPr="00BD050E">
              <w:rPr>
                <w:rFonts w:asciiTheme="majorHAnsi" w:eastAsia="Times New Roman" w:hAnsiTheme="majorHAnsi" w:cstheme="majorHAnsi"/>
                <w:color w:val="000000" w:themeColor="text1"/>
                <w:sz w:val="18"/>
                <w:szCs w:val="18"/>
                <w:lang w:val="ro-RO"/>
              </w:rPr>
              <w:t>S</w:t>
            </w:r>
            <w:r w:rsidRPr="00BD050E">
              <w:rPr>
                <w:rFonts w:asciiTheme="majorHAnsi" w:eastAsia="Times New Roman" w:hAnsiTheme="majorHAnsi" w:cstheme="majorHAnsi"/>
                <w:color w:val="000000" w:themeColor="text1"/>
                <w:sz w:val="18"/>
                <w:szCs w:val="18"/>
                <w:lang w:val="ro-RO"/>
              </w:rPr>
              <w:t>ituația inițială/de referință privind fumatul minus 2 puncte procentuale în Anul 4</w:t>
            </w:r>
          </w:p>
        </w:tc>
        <w:tc>
          <w:tcPr>
            <w:tcW w:w="2977" w:type="dxa"/>
            <w:tcBorders>
              <w:top w:val="single" w:sz="4" w:space="0" w:color="auto"/>
              <w:left w:val="single" w:sz="4" w:space="0" w:color="auto"/>
              <w:bottom w:val="single" w:sz="4" w:space="0" w:color="auto"/>
              <w:right w:val="single" w:sz="4" w:space="0" w:color="auto"/>
            </w:tcBorders>
            <w:hideMark/>
          </w:tcPr>
          <w:p w14:paraId="2E75AA5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 #1.1.: 323,500</w:t>
            </w:r>
          </w:p>
          <w:p w14:paraId="7313D05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 #1.2: 1, 941, 000</w:t>
            </w:r>
          </w:p>
          <w:p w14:paraId="5A2CC7E3" w14:textId="4D603E1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 1.2</w:t>
            </w:r>
            <w:r w:rsidR="00CE4188" w:rsidRPr="00BD050E">
              <w:rPr>
                <w:rFonts w:asciiTheme="majorHAnsi" w:eastAsia="Times New Roman" w:hAnsiTheme="majorHAnsi" w:cstheme="majorHAnsi"/>
                <w:color w:val="000000" w:themeColor="text1"/>
                <w:sz w:val="18"/>
                <w:szCs w:val="18"/>
                <w:lang w:val="ro-RO"/>
              </w:rPr>
              <w:t>:</w:t>
            </w:r>
            <w:r w:rsidRPr="00BD050E">
              <w:rPr>
                <w:rFonts w:asciiTheme="majorHAnsi" w:eastAsia="Times New Roman" w:hAnsiTheme="majorHAnsi" w:cstheme="majorHAnsi"/>
                <w:color w:val="000000" w:themeColor="text1"/>
                <w:sz w:val="18"/>
                <w:szCs w:val="18"/>
                <w:lang w:val="ro-RO"/>
              </w:rPr>
              <w:t xml:space="preserve"> Alocarea </w:t>
            </w:r>
            <w:r w:rsidR="00CE4188" w:rsidRPr="00BD050E">
              <w:rPr>
                <w:rFonts w:asciiTheme="majorHAnsi" w:eastAsia="Times New Roman" w:hAnsiTheme="majorHAnsi" w:cstheme="majorHAnsi"/>
                <w:color w:val="000000" w:themeColor="text1"/>
                <w:sz w:val="18"/>
                <w:szCs w:val="18"/>
                <w:lang w:val="ro-RO"/>
              </w:rPr>
              <w:t xml:space="preserve">ILD </w:t>
            </w:r>
            <w:r w:rsidRPr="00BD050E">
              <w:rPr>
                <w:rFonts w:asciiTheme="majorHAnsi" w:eastAsia="Times New Roman" w:hAnsiTheme="majorHAnsi" w:cstheme="majorHAnsi"/>
                <w:color w:val="000000" w:themeColor="text1"/>
                <w:sz w:val="18"/>
                <w:szCs w:val="18"/>
                <w:lang w:val="ro-RO"/>
              </w:rPr>
              <w:t>este de 194.100 pentru fiecare reducere de 0.2 puncte procentuale a prevalenței fumatului</w:t>
            </w:r>
            <w:r w:rsidR="00CE4188" w:rsidRPr="00BD050E">
              <w:rPr>
                <w:rFonts w:asciiTheme="majorHAnsi" w:eastAsia="Times New Roman" w:hAnsiTheme="majorHAnsi" w:cstheme="majorHAnsi"/>
                <w:color w:val="000000" w:themeColor="text1"/>
                <w:sz w:val="18"/>
                <w:szCs w:val="18"/>
                <w:lang w:val="ro-RO"/>
              </w:rPr>
              <w:t>,</w:t>
            </w:r>
            <w:r w:rsidRPr="00BD050E">
              <w:rPr>
                <w:rFonts w:asciiTheme="majorHAnsi" w:eastAsia="Times New Roman" w:hAnsiTheme="majorHAnsi" w:cstheme="majorHAnsi"/>
                <w:color w:val="000000" w:themeColor="text1"/>
                <w:sz w:val="18"/>
                <w:szCs w:val="18"/>
                <w:lang w:val="ro-RO"/>
              </w:rPr>
              <w:t xml:space="preserve"> comparativ cu fazele inițiale, până la nivelul maxim de 1.941.000  DTS</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02FD3C7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2 264 500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480645E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3B4752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2CFE450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1AB402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1C85EB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EE5C6A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002D56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67C1970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08CAB8E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6423A6C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46C29AC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2 264 500</w:t>
            </w:r>
          </w:p>
        </w:tc>
        <w:tc>
          <w:tcPr>
            <w:tcW w:w="425" w:type="dxa"/>
            <w:tcBorders>
              <w:top w:val="single" w:sz="4" w:space="0" w:color="auto"/>
              <w:left w:val="single" w:sz="4" w:space="0" w:color="auto"/>
              <w:bottom w:val="single" w:sz="4" w:space="0" w:color="auto"/>
              <w:right w:val="single" w:sz="4" w:space="0" w:color="auto"/>
            </w:tcBorders>
            <w:textDirection w:val="btLr"/>
          </w:tcPr>
          <w:p w14:paraId="32B8A6C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70E1E126" w14:textId="24BD5DCF" w:rsidR="0036424B" w:rsidRPr="00BD050E" w:rsidRDefault="00D62E73"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25" w:type="dxa"/>
            <w:tcBorders>
              <w:top w:val="single" w:sz="4" w:space="0" w:color="auto"/>
              <w:left w:val="single" w:sz="4" w:space="0" w:color="auto"/>
              <w:bottom w:val="single" w:sz="4" w:space="0" w:color="auto"/>
              <w:right w:val="single" w:sz="4" w:space="0" w:color="auto"/>
            </w:tcBorders>
            <w:textDirection w:val="btLr"/>
          </w:tcPr>
          <w:p w14:paraId="248760FF" w14:textId="59EE307C" w:rsidR="0036424B" w:rsidRPr="00BD050E" w:rsidRDefault="00D62E73"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r>
      <w:tr w:rsidR="00814F8E" w:rsidRPr="00BD050E" w14:paraId="3F7CF802"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502DD5E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 ILD#2:</w:t>
            </w:r>
          </w:p>
          <w:p w14:paraId="097360E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Creșterea procentuală a bolnavilor cu afecțiuni cardiovasculare beneficiari de medicamente compensate pentru tratamentul afecțiunilor cardiovasculare  </w:t>
            </w:r>
          </w:p>
        </w:tc>
        <w:tc>
          <w:tcPr>
            <w:tcW w:w="3164" w:type="dxa"/>
            <w:tcBorders>
              <w:top w:val="single" w:sz="4" w:space="0" w:color="auto"/>
              <w:left w:val="single" w:sz="4" w:space="0" w:color="auto"/>
              <w:bottom w:val="single" w:sz="4" w:space="0" w:color="auto"/>
              <w:right w:val="single" w:sz="4" w:space="0" w:color="auto"/>
            </w:tcBorders>
            <w:hideMark/>
          </w:tcPr>
          <w:p w14:paraId="2A582B1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ILD#2.1: Creșterea cu 5 puncte  procentuale, comparativ cu nivelul de referință, a bolnavilor cu afecțiuni cardiovasculare beneficiari de medicamente compensate pentru tratamentul afecțiunilor cardiovasculare</w:t>
            </w:r>
          </w:p>
          <w:p w14:paraId="1379262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ILD#2.2:  Creșterea cu 10 puncte procentuale, comparativ cu nivelul de referință, a bolnavilor cu afecțiuni cardiovasculare, beneficiari de medicamente compensate pentru tratamentul afecțiunilor cardiovasculare</w:t>
            </w:r>
          </w:p>
        </w:tc>
        <w:tc>
          <w:tcPr>
            <w:tcW w:w="2977" w:type="dxa"/>
            <w:tcBorders>
              <w:top w:val="single" w:sz="4" w:space="0" w:color="auto"/>
              <w:left w:val="single" w:sz="4" w:space="0" w:color="auto"/>
              <w:bottom w:val="single" w:sz="4" w:space="0" w:color="auto"/>
              <w:right w:val="single" w:sz="4" w:space="0" w:color="auto"/>
            </w:tcBorders>
          </w:tcPr>
          <w:p w14:paraId="29B8C2F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ILD#2.1: 1,294,000  </w:t>
            </w:r>
          </w:p>
          <w:p w14:paraId="301C44B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ILD#2.2: 1, 617, 500</w:t>
            </w:r>
          </w:p>
          <w:p w14:paraId="4783EE4D" w14:textId="546C22BC"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Alocația ILD este de 291.150 pentru fiecare majorare de 0,1 puncte procentuale a Hipertensiunii Sub Control</w:t>
            </w:r>
            <w:r w:rsidR="00CE4188" w:rsidRPr="00BD050E">
              <w:rPr>
                <w:rFonts w:asciiTheme="majorHAnsi" w:eastAsia="Times New Roman" w:hAnsiTheme="majorHAnsi" w:cstheme="majorHAnsi"/>
                <w:color w:val="000000" w:themeColor="text1"/>
                <w:sz w:val="18"/>
                <w:szCs w:val="18"/>
                <w:lang w:val="ro-RO"/>
              </w:rPr>
              <w:t>,</w:t>
            </w:r>
            <w:r w:rsidRPr="00BD050E">
              <w:rPr>
                <w:rFonts w:asciiTheme="majorHAnsi" w:eastAsia="Times New Roman" w:hAnsiTheme="majorHAnsi" w:cstheme="majorHAnsi"/>
                <w:color w:val="000000" w:themeColor="text1"/>
                <w:sz w:val="18"/>
                <w:szCs w:val="18"/>
                <w:lang w:val="ro-RO"/>
              </w:rPr>
              <w:t xml:space="preserve"> față de nivelul de referință, până la nivelul maxim de 2.911.500 DTS</w:t>
            </w:r>
          </w:p>
          <w:p w14:paraId="2B59DC1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315C0E5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2 911 500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339F89E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A7A62C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142B0E9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2DB31C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E10D23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65C7F2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45872E2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6E03258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09C27F5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059BC60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4408044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2 911 500</w:t>
            </w:r>
          </w:p>
        </w:tc>
        <w:tc>
          <w:tcPr>
            <w:tcW w:w="425" w:type="dxa"/>
            <w:tcBorders>
              <w:top w:val="single" w:sz="4" w:space="0" w:color="auto"/>
              <w:left w:val="single" w:sz="4" w:space="0" w:color="auto"/>
              <w:bottom w:val="single" w:sz="4" w:space="0" w:color="auto"/>
              <w:right w:val="single" w:sz="4" w:space="0" w:color="auto"/>
            </w:tcBorders>
            <w:textDirection w:val="btLr"/>
          </w:tcPr>
          <w:p w14:paraId="029A0C6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6ADAFD7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6E39EE6F"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26E9C1A4"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38433CE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 ILD #3</w:t>
            </w:r>
          </w:p>
          <w:p w14:paraId="0684D53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Numărul anual de externări din secțiile de tratament intensiv la 100 persoane, de la nivelul de bază/de referință de 17,6 </w:t>
            </w:r>
          </w:p>
        </w:tc>
        <w:tc>
          <w:tcPr>
            <w:tcW w:w="3164" w:type="dxa"/>
            <w:tcBorders>
              <w:top w:val="single" w:sz="4" w:space="0" w:color="auto"/>
              <w:left w:val="single" w:sz="4" w:space="0" w:color="auto"/>
              <w:bottom w:val="single" w:sz="4" w:space="0" w:color="auto"/>
              <w:right w:val="single" w:sz="4" w:space="0" w:color="auto"/>
            </w:tcBorders>
          </w:tcPr>
          <w:p w14:paraId="30F3A02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ILD#3.1: 17 în Anul 1</w:t>
            </w:r>
          </w:p>
          <w:p w14:paraId="0D52D7FA"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3E3437F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ILD#3.2: 16.5 în Anul 2</w:t>
            </w:r>
          </w:p>
          <w:p w14:paraId="74539D4C"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46C6710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ILD#3.3: 16 în Anul 3</w:t>
            </w:r>
          </w:p>
          <w:p w14:paraId="45EA321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448F95EF"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ILD#3.4: 15.6 în Anul 4</w:t>
            </w:r>
          </w:p>
          <w:p w14:paraId="5377D0E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tc>
        <w:tc>
          <w:tcPr>
            <w:tcW w:w="2977" w:type="dxa"/>
            <w:tcBorders>
              <w:top w:val="single" w:sz="4" w:space="0" w:color="auto"/>
              <w:left w:val="single" w:sz="4" w:space="0" w:color="auto"/>
              <w:bottom w:val="single" w:sz="4" w:space="0" w:color="auto"/>
              <w:right w:val="single" w:sz="4" w:space="0" w:color="auto"/>
            </w:tcBorders>
            <w:hideMark/>
          </w:tcPr>
          <w:p w14:paraId="3696416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ILD#3.1: 582.000 </w:t>
            </w:r>
          </w:p>
          <w:p w14:paraId="3D56EBB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ILD#3.2: 485.500</w:t>
            </w:r>
          </w:p>
          <w:p w14:paraId="4A9CF41D"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ILD#3.3: 485.500 </w:t>
            </w:r>
          </w:p>
          <w:p w14:paraId="024DDE5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ILD#3.4: 388.000 </w:t>
            </w:r>
          </w:p>
          <w:p w14:paraId="0056A4D8" w14:textId="6F0005E4"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Alocarea ILD este de 97.000 pentru fiecare reducere de 0,1 a internărilor anuale pentru tratament intensiv la 100 de persoane, comparativ cu anul precedent, până la nivel</w:t>
            </w:r>
            <w:r w:rsidR="00CE4188" w:rsidRPr="00BD050E">
              <w:rPr>
                <w:rFonts w:asciiTheme="majorHAnsi" w:eastAsia="Times New Roman" w:hAnsiTheme="majorHAnsi" w:cstheme="majorHAnsi"/>
                <w:color w:val="000000" w:themeColor="text1"/>
                <w:sz w:val="18"/>
                <w:szCs w:val="18"/>
                <w:lang w:val="ro-RO"/>
              </w:rPr>
              <w:t>ul</w:t>
            </w:r>
            <w:r w:rsidRPr="00BD050E">
              <w:rPr>
                <w:rFonts w:asciiTheme="majorHAnsi" w:eastAsia="Times New Roman" w:hAnsiTheme="majorHAnsi" w:cstheme="majorHAnsi"/>
                <w:color w:val="000000" w:themeColor="text1"/>
                <w:sz w:val="18"/>
                <w:szCs w:val="18"/>
                <w:lang w:val="ro-RO"/>
              </w:rPr>
              <w:t xml:space="preserve"> maxim de 1.941.000 DTS</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16FE96A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1 941 000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3FE6B7F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12C61D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EB31AA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1 941 000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8132BF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1 941 000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289DFA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E568D8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197FFE7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5E51B1D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7F21193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33D13A1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7CAE0F1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3C84FE6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55209FB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5F9D0C3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318D045C"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70B6847F"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lastRenderedPageBreak/>
              <w:t>(4) ILD #4</w:t>
            </w:r>
          </w:p>
          <w:p w14:paraId="2505E6C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Numărul de paturi în spital pentru tratament intensiv, de la nivelul de bază/referință de 17.586 </w:t>
            </w:r>
          </w:p>
        </w:tc>
        <w:tc>
          <w:tcPr>
            <w:tcW w:w="3164" w:type="dxa"/>
            <w:tcBorders>
              <w:top w:val="single" w:sz="4" w:space="0" w:color="auto"/>
              <w:left w:val="single" w:sz="4" w:space="0" w:color="auto"/>
              <w:bottom w:val="single" w:sz="4" w:space="0" w:color="auto"/>
              <w:right w:val="single" w:sz="4" w:space="0" w:color="auto"/>
            </w:tcBorders>
          </w:tcPr>
          <w:p w14:paraId="6E728C9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ILD#4.1: 17,000 în Anul 1</w:t>
            </w:r>
          </w:p>
          <w:p w14:paraId="3B88A78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049050F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ILD#4.2: 16,500 în Anul 2</w:t>
            </w:r>
          </w:p>
          <w:p w14:paraId="2F7E186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137ADBA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ILD#4.3: 16,000 în Anul 3</w:t>
            </w:r>
          </w:p>
          <w:p w14:paraId="6B49139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6D809E9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ILD#4.4: 15,000 în Anul 4</w:t>
            </w:r>
          </w:p>
          <w:p w14:paraId="7A508C2C"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tc>
        <w:tc>
          <w:tcPr>
            <w:tcW w:w="2977" w:type="dxa"/>
            <w:tcBorders>
              <w:top w:val="single" w:sz="4" w:space="0" w:color="auto"/>
              <w:left w:val="single" w:sz="4" w:space="0" w:color="auto"/>
              <w:bottom w:val="single" w:sz="4" w:space="0" w:color="auto"/>
              <w:right w:val="single" w:sz="4" w:space="0" w:color="auto"/>
            </w:tcBorders>
          </w:tcPr>
          <w:p w14:paraId="7F1E7049"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ILD#4.1: 689.000</w:t>
            </w:r>
          </w:p>
          <w:p w14:paraId="4DC6ADE9"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A0A943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ILD#4.2: 588.000</w:t>
            </w:r>
          </w:p>
          <w:p w14:paraId="62E3FFC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FD774CA"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ILD#4.3: 588.000</w:t>
            </w:r>
          </w:p>
          <w:p w14:paraId="67A855E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3FF3732D"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ILD#4.4: 1.176.000</w:t>
            </w:r>
          </w:p>
          <w:p w14:paraId="7996686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1A30163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Alocarea ILD este de 1.200 pentru fiecare reducere a unui pat de spital pentru tratament intensiv, comparativ cu anul precedent, până la nivelul maxim </w:t>
            </w:r>
          </w:p>
          <w:p w14:paraId="41D09A3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de 3.041.000 DTS</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7AB8005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3 041 000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7FF2392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A87CA3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16655E4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3 041 000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9DD6E8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3 041 000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EE704F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FB7621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093AA95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2A7FC6D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02FC54E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255265EF"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651D3BE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2D8FA84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7B371E0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0C86FC6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40B9D2AF"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09ECFF3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 ILD #5</w:t>
            </w:r>
          </w:p>
          <w:p w14:paraId="6407808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Adoptarea unui pachet revizuit de medicamente compensate pentru tratamentul ambulatoriu cu medicamente anti-hipertensive</w:t>
            </w:r>
          </w:p>
        </w:tc>
        <w:tc>
          <w:tcPr>
            <w:tcW w:w="3164" w:type="dxa"/>
            <w:tcBorders>
              <w:top w:val="single" w:sz="4" w:space="0" w:color="auto"/>
              <w:left w:val="single" w:sz="4" w:space="0" w:color="auto"/>
              <w:bottom w:val="single" w:sz="4" w:space="0" w:color="auto"/>
              <w:right w:val="single" w:sz="4" w:space="0" w:color="auto"/>
            </w:tcBorders>
            <w:hideMark/>
          </w:tcPr>
          <w:p w14:paraId="0EDA809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ILD#5.1: Emiterea unui Ordin comun al MS şi CNAM privind adoptarea unui pachet revizuit de medicamente compensate, în care rata medie de rambursare pentru medicamentele generice, de prima linie în trei cele mai principale categorii anti-hipertensive este de cel puțin 70%</w:t>
            </w:r>
          </w:p>
        </w:tc>
        <w:tc>
          <w:tcPr>
            <w:tcW w:w="2977" w:type="dxa"/>
            <w:tcBorders>
              <w:top w:val="single" w:sz="4" w:space="0" w:color="auto"/>
              <w:left w:val="single" w:sz="4" w:space="0" w:color="auto"/>
              <w:bottom w:val="single" w:sz="4" w:space="0" w:color="auto"/>
              <w:right w:val="single" w:sz="4" w:space="0" w:color="auto"/>
            </w:tcBorders>
            <w:hideMark/>
          </w:tcPr>
          <w:p w14:paraId="6F8376D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ILD#5.1: 1.294.000 </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217233F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1 294 000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353FCD3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1 294 000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BB08BF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1 294 000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EF5C25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52E68F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07CA27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871A2E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0A83FC9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047E2A4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77290EE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7D2DB2B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5D2D3D6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2B99005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27AFE43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21D342E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701D3F0B"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33D463B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lastRenderedPageBreak/>
              <w:t>(6) ILD #6</w:t>
            </w:r>
          </w:p>
          <w:p w14:paraId="7601F25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Revizuirea şi implementarea Schemei de stimulare bazate pe performanță în asistența medicală primară  </w:t>
            </w:r>
          </w:p>
        </w:tc>
        <w:tc>
          <w:tcPr>
            <w:tcW w:w="3164" w:type="dxa"/>
            <w:tcBorders>
              <w:top w:val="single" w:sz="4" w:space="0" w:color="auto"/>
              <w:left w:val="single" w:sz="4" w:space="0" w:color="auto"/>
              <w:bottom w:val="single" w:sz="4" w:space="0" w:color="auto"/>
              <w:right w:val="single" w:sz="4" w:space="0" w:color="auto"/>
            </w:tcBorders>
            <w:hideMark/>
          </w:tcPr>
          <w:p w14:paraId="43B9E5E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ILD#6.1: Revizuirea şi adoptarea Schemei revizuite  de stimulare bazate pe performanță în asistența medicală primară într-un mod acceptabil pentru Asociație</w:t>
            </w:r>
          </w:p>
          <w:p w14:paraId="4DB62FC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ILD#6.2: Toate centrele de asistență medicală primară contractate de către CNAM pe teritoriul Beneficiarului au semnat un acord cu CNAM privind implementarea Schemei revizuite de stimulare bazate pe performanță în Anul 2</w:t>
            </w:r>
          </w:p>
          <w:p w14:paraId="6153C31A"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ILD#6.3: Revizuirea Schemei de stimulare și a indicatorilor de performanță pentru medicina de familie </w:t>
            </w:r>
          </w:p>
          <w:p w14:paraId="6570A62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ILD#6.4: Toate centrele de asistență medicală primară contractate de către CNAM pe teritoriul Beneficiarului au semnat un acord cu CNAM privind implementarea Schemei revizuite de stimulare bazate pe performanță în Anul 4</w:t>
            </w:r>
          </w:p>
        </w:tc>
        <w:tc>
          <w:tcPr>
            <w:tcW w:w="2977" w:type="dxa"/>
            <w:tcBorders>
              <w:top w:val="single" w:sz="4" w:space="0" w:color="auto"/>
              <w:left w:val="single" w:sz="4" w:space="0" w:color="auto"/>
              <w:bottom w:val="single" w:sz="4" w:space="0" w:color="auto"/>
              <w:right w:val="single" w:sz="4" w:space="0" w:color="auto"/>
            </w:tcBorders>
          </w:tcPr>
          <w:p w14:paraId="2DA3A4C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ILD#6.1: 323.500</w:t>
            </w:r>
          </w:p>
          <w:p w14:paraId="79F5220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4C269E0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0088B98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18421AC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3B09261F"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ILD#6.2: 323.500 </w:t>
            </w:r>
          </w:p>
          <w:p w14:paraId="6908479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DAF699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4D72716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3A74D15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2E8F991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5F036A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B6DB32E"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ILD#6.3: 323.500</w:t>
            </w:r>
          </w:p>
          <w:p w14:paraId="3A7FD7FC"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58DA42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35DF628E"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5D4BB2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ILD#6.4: 323.500</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5D1B96C9" w14:textId="0B9F974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1 294 00</w:t>
            </w:r>
            <w:r w:rsidR="009A5559" w:rsidRPr="00BD050E">
              <w:rPr>
                <w:rFonts w:asciiTheme="majorHAnsi" w:hAnsiTheme="majorHAnsi" w:cstheme="majorHAnsi"/>
                <w:color w:val="000000" w:themeColor="text1"/>
                <w:sz w:val="18"/>
                <w:szCs w:val="18"/>
                <w:lang w:val="ro-RO"/>
              </w:rPr>
              <w:t>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067486E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F67CBE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0C06D03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7C6E794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52FE54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97B7CB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16CE4A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970 500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298CC8E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19038DB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647 000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3860C33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647 000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732D894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34F8CF3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48319FF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32D352D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47D8F775"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2D08736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lastRenderedPageBreak/>
              <w:t>(7) ILD #7</w:t>
            </w:r>
          </w:p>
          <w:p w14:paraId="383FC0D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Elaborarea, pilotarea, adoptarea şi implementarea Schemei de stimulare bazate pe performanță în spitale  </w:t>
            </w:r>
          </w:p>
        </w:tc>
        <w:tc>
          <w:tcPr>
            <w:tcW w:w="3164" w:type="dxa"/>
            <w:tcBorders>
              <w:top w:val="single" w:sz="4" w:space="0" w:color="auto"/>
              <w:left w:val="single" w:sz="4" w:space="0" w:color="auto"/>
              <w:bottom w:val="single" w:sz="4" w:space="0" w:color="auto"/>
              <w:right w:val="single" w:sz="4" w:space="0" w:color="auto"/>
            </w:tcBorders>
            <w:hideMark/>
          </w:tcPr>
          <w:p w14:paraId="00D58EBD"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ILD#7.1: Elaborarea Schemei de stimulare bazate pe performanță în spitale </w:t>
            </w:r>
          </w:p>
          <w:p w14:paraId="1BD1969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ILD#7.2: Cel puțin 3 spitale de pe teritoriul Beneficiarului au semnat un acord cu CNAM privind pilotarea Schemei de stimulare bazate pe performanță din Anul 2</w:t>
            </w:r>
          </w:p>
          <w:p w14:paraId="528B05F5" w14:textId="706EAB92"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ILD#7.3: Raportul acceptabil pentru Asociație</w:t>
            </w:r>
            <w:r w:rsidR="001C236A" w:rsidRPr="00BD050E">
              <w:rPr>
                <w:rFonts w:asciiTheme="majorHAnsi" w:eastAsia="Times New Roman" w:hAnsiTheme="majorHAnsi" w:cstheme="majorHAnsi"/>
                <w:color w:val="000000" w:themeColor="text1"/>
                <w:sz w:val="18"/>
                <w:szCs w:val="18"/>
                <w:lang w:val="ro-RO"/>
              </w:rPr>
              <w:t>,</w:t>
            </w:r>
            <w:r w:rsidRPr="00BD050E">
              <w:rPr>
                <w:rFonts w:asciiTheme="majorHAnsi" w:eastAsia="Times New Roman" w:hAnsiTheme="majorHAnsi" w:cstheme="majorHAnsi"/>
                <w:color w:val="000000" w:themeColor="text1"/>
                <w:sz w:val="18"/>
                <w:szCs w:val="18"/>
                <w:lang w:val="ro-RO"/>
              </w:rPr>
              <w:t xml:space="preserve"> care va include următoarele: (a) o evaluare a pilotării Schemei de stimulare bazate pe performanță în spitalele contractate de CNAM în Anul 2; şi (b) o actualizare a design-lui Schemei de stimulare bazate pe performanță ca urmare a evaluării realizate în Anul 2</w:t>
            </w:r>
          </w:p>
          <w:p w14:paraId="3A706AF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ILD#7.4: Aprobarea Schemei revizuite de stimulare bazate pe performanță şi implementarea în toate spitalele multiprofil contractate de către CNAM pe teritoriul Beneficiarului prin intermediul realizării Acordului dintre fiecare spital multiprofil şi CNAM în Anul 4</w:t>
            </w:r>
          </w:p>
        </w:tc>
        <w:tc>
          <w:tcPr>
            <w:tcW w:w="2977" w:type="dxa"/>
            <w:tcBorders>
              <w:top w:val="single" w:sz="4" w:space="0" w:color="auto"/>
              <w:left w:val="single" w:sz="4" w:space="0" w:color="auto"/>
              <w:bottom w:val="single" w:sz="4" w:space="0" w:color="auto"/>
              <w:right w:val="single" w:sz="4" w:space="0" w:color="auto"/>
            </w:tcBorders>
          </w:tcPr>
          <w:p w14:paraId="05C3AD7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ILD#7.1: 323.500 </w:t>
            </w:r>
          </w:p>
          <w:p w14:paraId="3EE2891E"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13B32A6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B6E7779"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ILD#7.2: 323.500 </w:t>
            </w:r>
          </w:p>
          <w:p w14:paraId="37EA56C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34106A8F"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4D4CE5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22FD742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05E59E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ILD#7.3: 323.500 </w:t>
            </w:r>
          </w:p>
          <w:p w14:paraId="6EAAF8C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30170E2A"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F871E5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DA33169"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8AB92A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69255D0A"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96F432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1C6F953F"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FBD4B3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ILD#7.4: 323.500 </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1BFB085F" w14:textId="1A8B5F78"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1 294 00</w:t>
            </w:r>
            <w:r w:rsidR="00492071" w:rsidRPr="00BD050E">
              <w:rPr>
                <w:rFonts w:asciiTheme="majorHAnsi" w:hAnsiTheme="majorHAnsi" w:cstheme="majorHAnsi"/>
                <w:color w:val="000000" w:themeColor="text1"/>
                <w:sz w:val="18"/>
                <w:szCs w:val="18"/>
                <w:lang w:val="ro-RO"/>
              </w:rPr>
              <w:t>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087CEF5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BF7AE3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27E3F96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FE3DAC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34DEA6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F25411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433FC00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970 500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7FB6220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094573A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48730EE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010FC56F"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970 500</w:t>
            </w:r>
          </w:p>
        </w:tc>
        <w:tc>
          <w:tcPr>
            <w:tcW w:w="425" w:type="dxa"/>
            <w:tcBorders>
              <w:top w:val="single" w:sz="4" w:space="0" w:color="auto"/>
              <w:left w:val="single" w:sz="4" w:space="0" w:color="auto"/>
              <w:bottom w:val="single" w:sz="4" w:space="0" w:color="auto"/>
              <w:right w:val="single" w:sz="4" w:space="0" w:color="auto"/>
            </w:tcBorders>
            <w:textDirection w:val="btLr"/>
          </w:tcPr>
          <w:p w14:paraId="5515DD0F"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42CE68F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970 500</w:t>
            </w:r>
          </w:p>
        </w:tc>
        <w:tc>
          <w:tcPr>
            <w:tcW w:w="425" w:type="dxa"/>
            <w:tcBorders>
              <w:top w:val="single" w:sz="4" w:space="0" w:color="auto"/>
              <w:left w:val="single" w:sz="4" w:space="0" w:color="auto"/>
              <w:bottom w:val="single" w:sz="4" w:space="0" w:color="auto"/>
              <w:right w:val="single" w:sz="4" w:space="0" w:color="auto"/>
            </w:tcBorders>
            <w:textDirection w:val="btLr"/>
          </w:tcPr>
          <w:p w14:paraId="039D628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5F6BA82A"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699A225C"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 ILD #8</w:t>
            </w:r>
          </w:p>
          <w:p w14:paraId="592521F9"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Implementarea şi actualizarea prețurilor DRG pentru achitarea spitalelor publice  pentru asistență acută</w:t>
            </w:r>
          </w:p>
        </w:tc>
        <w:tc>
          <w:tcPr>
            <w:tcW w:w="3164" w:type="dxa"/>
            <w:tcBorders>
              <w:top w:val="single" w:sz="4" w:space="0" w:color="auto"/>
              <w:left w:val="single" w:sz="4" w:space="0" w:color="auto"/>
              <w:bottom w:val="single" w:sz="4" w:space="0" w:color="auto"/>
              <w:right w:val="single" w:sz="4" w:space="0" w:color="auto"/>
            </w:tcBorders>
            <w:hideMark/>
          </w:tcPr>
          <w:p w14:paraId="009545A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ILD#8.1: Prețurile DRG constituie cel puțin 40% din plata totală efectuată de către CNAM spitalelor publice pentru asistență acută în Anul 1</w:t>
            </w:r>
          </w:p>
          <w:p w14:paraId="799D8BE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ILD#8.2: Prețurile DRG constituie cel puțin 50% din plata totală efectuată de către CNAM spitalelor publice pentru asistență acută în Anul 2</w:t>
            </w:r>
          </w:p>
          <w:p w14:paraId="2C0D094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ILD#8.3: Prețurile DRG constituie cel puțin 60% din plata totală efectuată de către CNAM spitalelor publice pentru asistență acută în Anul 3</w:t>
            </w:r>
          </w:p>
          <w:p w14:paraId="0B294DBF"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ILD#8.4: Pregătirea raportului actualizat privind determinarea prețurilor DRG (în baza grupurilor omogene de bolnavi), utilizând datele pe țară pentru plățile spitalicești în Anul 4</w:t>
            </w:r>
          </w:p>
        </w:tc>
        <w:tc>
          <w:tcPr>
            <w:tcW w:w="2977" w:type="dxa"/>
            <w:tcBorders>
              <w:top w:val="single" w:sz="4" w:space="0" w:color="auto"/>
              <w:left w:val="single" w:sz="4" w:space="0" w:color="auto"/>
              <w:bottom w:val="single" w:sz="4" w:space="0" w:color="auto"/>
              <w:right w:val="single" w:sz="4" w:space="0" w:color="auto"/>
            </w:tcBorders>
          </w:tcPr>
          <w:p w14:paraId="4A985C4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ILD#8.1: 323.500 </w:t>
            </w:r>
          </w:p>
          <w:p w14:paraId="5218B2A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1889DC74"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BDAFB5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1AE866F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ILD#8.2: 323.500 </w:t>
            </w:r>
          </w:p>
          <w:p w14:paraId="60C1B94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02ED226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E4D5B79"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8BB288B"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 8.3: 323.500 </w:t>
            </w:r>
          </w:p>
          <w:p w14:paraId="1F0F497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288151F0"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04312E8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6DD25EFC"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ILD#8.4: 323.500 </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3A92CC0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1 294 00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2CA90FE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CD45DC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2A1E3FA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57C076F"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36288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970 500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2BCCE6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970 500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3046403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121999A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7B286D3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58F1BC4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323 500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4CCFE02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5DD7308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236C93C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176D83F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36D4597B"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tcPr>
          <w:p w14:paraId="401F3783"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lastRenderedPageBreak/>
              <w:t>(9) ILD #9</w:t>
            </w:r>
          </w:p>
          <w:p w14:paraId="08A177C8"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Consolidarea spitalelor departamentale din subordinea MSMPS </w:t>
            </w:r>
          </w:p>
          <w:p w14:paraId="357CE94E"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tc>
        <w:tc>
          <w:tcPr>
            <w:tcW w:w="3164" w:type="dxa"/>
            <w:tcBorders>
              <w:top w:val="single" w:sz="4" w:space="0" w:color="auto"/>
              <w:left w:val="single" w:sz="4" w:space="0" w:color="auto"/>
              <w:bottom w:val="single" w:sz="4" w:space="0" w:color="auto"/>
              <w:right w:val="single" w:sz="4" w:space="0" w:color="auto"/>
            </w:tcBorders>
            <w:hideMark/>
          </w:tcPr>
          <w:p w14:paraId="140F314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ILD#9.l: Reorganizarea a trei spitale publice din Chișinău sub management comun</w:t>
            </w:r>
          </w:p>
          <w:p w14:paraId="25E21F6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ILD#9.2: Studiul de fezabilitate privind optimizarea spitalelor </w:t>
            </w:r>
          </w:p>
          <w:p w14:paraId="6EDB6524" w14:textId="61C32B2A"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ILD#9.3: Strategia Națională și Planul </w:t>
            </w:r>
            <w:r w:rsidR="001C236A" w:rsidRPr="00BD050E">
              <w:rPr>
                <w:rFonts w:asciiTheme="majorHAnsi" w:eastAsia="Times New Roman" w:hAnsiTheme="majorHAnsi" w:cstheme="majorHAnsi"/>
                <w:color w:val="000000" w:themeColor="text1"/>
                <w:sz w:val="18"/>
                <w:szCs w:val="18"/>
                <w:lang w:val="ro-RO"/>
              </w:rPr>
              <w:t>g</w:t>
            </w:r>
            <w:r w:rsidRPr="00BD050E">
              <w:rPr>
                <w:rFonts w:asciiTheme="majorHAnsi" w:eastAsia="Times New Roman" w:hAnsiTheme="majorHAnsi" w:cstheme="majorHAnsi"/>
                <w:color w:val="000000" w:themeColor="text1"/>
                <w:sz w:val="18"/>
                <w:szCs w:val="18"/>
                <w:lang w:val="ro-RO"/>
              </w:rPr>
              <w:t>eneral privind consolidarea și raționalizarea spitalelor, adoptat</w:t>
            </w:r>
            <w:r w:rsidR="001C236A" w:rsidRPr="00BD050E">
              <w:rPr>
                <w:rFonts w:asciiTheme="majorHAnsi" w:eastAsia="Times New Roman" w:hAnsiTheme="majorHAnsi" w:cstheme="majorHAnsi"/>
                <w:color w:val="000000" w:themeColor="text1"/>
                <w:sz w:val="18"/>
                <w:szCs w:val="18"/>
                <w:lang w:val="ro-RO"/>
              </w:rPr>
              <w:t>e</w:t>
            </w:r>
            <w:r w:rsidRPr="00BD050E">
              <w:rPr>
                <w:rFonts w:asciiTheme="majorHAnsi" w:eastAsia="Times New Roman" w:hAnsiTheme="majorHAnsi" w:cstheme="majorHAnsi"/>
                <w:color w:val="000000" w:themeColor="text1"/>
                <w:sz w:val="18"/>
                <w:szCs w:val="18"/>
                <w:lang w:val="ro-RO"/>
              </w:rPr>
              <w:t xml:space="preserve">  </w:t>
            </w:r>
          </w:p>
        </w:tc>
        <w:tc>
          <w:tcPr>
            <w:tcW w:w="2977" w:type="dxa"/>
            <w:tcBorders>
              <w:top w:val="single" w:sz="4" w:space="0" w:color="auto"/>
              <w:left w:val="single" w:sz="4" w:space="0" w:color="auto"/>
              <w:bottom w:val="single" w:sz="4" w:space="0" w:color="auto"/>
              <w:right w:val="single" w:sz="4" w:space="0" w:color="auto"/>
            </w:tcBorders>
          </w:tcPr>
          <w:p w14:paraId="71C4152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ILD#9.1: 517,500</w:t>
            </w:r>
          </w:p>
          <w:p w14:paraId="0A6C7BC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7ED4FF1E"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4C4C17D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ILD#9.2: 678,000</w:t>
            </w:r>
          </w:p>
          <w:p w14:paraId="1E3B42FD"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62859A02"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ILD#9.3: 678,000</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3A721E1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1 873 500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46F9FAC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7F167FA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1D2B2D7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404 050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C7AF58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404 050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42A461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4CE9D9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15818D0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260BAB6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28BB0C7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2ADA3C1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113F6EA3"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1 469 450</w:t>
            </w:r>
          </w:p>
        </w:tc>
        <w:tc>
          <w:tcPr>
            <w:tcW w:w="425" w:type="dxa"/>
            <w:tcBorders>
              <w:top w:val="single" w:sz="4" w:space="0" w:color="auto"/>
              <w:left w:val="single" w:sz="4" w:space="0" w:color="auto"/>
              <w:bottom w:val="single" w:sz="4" w:space="0" w:color="auto"/>
              <w:right w:val="single" w:sz="4" w:space="0" w:color="auto"/>
            </w:tcBorders>
            <w:textDirection w:val="btLr"/>
          </w:tcPr>
          <w:p w14:paraId="49840C8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69E0678F"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1 469 450</w:t>
            </w:r>
          </w:p>
        </w:tc>
        <w:tc>
          <w:tcPr>
            <w:tcW w:w="425" w:type="dxa"/>
            <w:tcBorders>
              <w:top w:val="single" w:sz="4" w:space="0" w:color="auto"/>
              <w:left w:val="single" w:sz="4" w:space="0" w:color="auto"/>
              <w:bottom w:val="single" w:sz="4" w:space="0" w:color="auto"/>
              <w:right w:val="single" w:sz="4" w:space="0" w:color="auto"/>
            </w:tcBorders>
            <w:textDirection w:val="btLr"/>
          </w:tcPr>
          <w:p w14:paraId="60F1C9B7"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383CBD3E" w14:textId="77777777" w:rsidTr="000B4C5A">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14:paraId="0B79A206"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 ILD #10</w:t>
            </w:r>
          </w:p>
          <w:p w14:paraId="5449679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Adoptarea Strategiei Naționale revizuite de Dezvoltare a Sistemului de Sănătate, inclusiv a măsurilor de raționalizare a spitalelor </w:t>
            </w:r>
          </w:p>
        </w:tc>
        <w:tc>
          <w:tcPr>
            <w:tcW w:w="3164" w:type="dxa"/>
            <w:tcBorders>
              <w:top w:val="single" w:sz="4" w:space="0" w:color="auto"/>
              <w:left w:val="single" w:sz="4" w:space="0" w:color="auto"/>
              <w:bottom w:val="single" w:sz="4" w:space="0" w:color="auto"/>
              <w:right w:val="single" w:sz="4" w:space="0" w:color="auto"/>
            </w:tcBorders>
            <w:hideMark/>
          </w:tcPr>
          <w:p w14:paraId="1F17FA87"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ILD#10: Adoptarea Strategiei Naționale revizuite de Dezvoltare a Sistemului de Sănătate, care va include măsurile de raționalizare a spitalelor </w:t>
            </w:r>
          </w:p>
        </w:tc>
        <w:tc>
          <w:tcPr>
            <w:tcW w:w="2977" w:type="dxa"/>
            <w:tcBorders>
              <w:top w:val="single" w:sz="4" w:space="0" w:color="auto"/>
              <w:left w:val="single" w:sz="4" w:space="0" w:color="auto"/>
              <w:bottom w:val="single" w:sz="4" w:space="0" w:color="auto"/>
              <w:right w:val="single" w:sz="4" w:space="0" w:color="auto"/>
            </w:tcBorders>
          </w:tcPr>
          <w:p w14:paraId="75F2CB61"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ILD#10: 678.000 </w:t>
            </w:r>
          </w:p>
          <w:p w14:paraId="7E714D3C"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p w14:paraId="5BACE085" w14:textId="77777777" w:rsidR="0036424B" w:rsidRPr="00BD050E" w:rsidRDefault="0036424B" w:rsidP="000B4C5A">
            <w:pPr>
              <w:tabs>
                <w:tab w:val="left" w:pos="-720"/>
              </w:tabs>
              <w:suppressAutoHyphens/>
              <w:jc w:val="both"/>
              <w:rPr>
                <w:rFonts w:asciiTheme="majorHAnsi" w:eastAsia="Times New Roman" w:hAnsiTheme="majorHAnsi" w:cstheme="majorHAnsi"/>
                <w:color w:val="000000" w:themeColor="text1"/>
                <w:sz w:val="18"/>
                <w:szCs w:val="18"/>
                <w:lang w:val="ro-RO"/>
              </w:rPr>
            </w:pP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122E338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678 500</w:t>
            </w:r>
          </w:p>
        </w:tc>
        <w:tc>
          <w:tcPr>
            <w:tcW w:w="363" w:type="dxa"/>
            <w:tcBorders>
              <w:top w:val="single" w:sz="4" w:space="0" w:color="auto"/>
              <w:left w:val="single" w:sz="4" w:space="0" w:color="auto"/>
              <w:bottom w:val="single" w:sz="4" w:space="0" w:color="auto"/>
              <w:right w:val="single" w:sz="4" w:space="0" w:color="auto"/>
            </w:tcBorders>
            <w:textDirection w:val="btLr"/>
            <w:hideMark/>
          </w:tcPr>
          <w:p w14:paraId="117C448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678 000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75E7BA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678 000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2EBAE33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2AB0F7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77C3BD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40F8BA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236C7D0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14:paraId="140436DA"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00B91879"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14:paraId="57EC942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29FD615C"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788CD1A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4D53B53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1F5C6FE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r w:rsidR="00814F8E" w:rsidRPr="00BD050E" w14:paraId="1D00BDC4" w14:textId="77777777" w:rsidTr="000B4C5A">
        <w:trPr>
          <w:cantSplit/>
          <w:trHeight w:val="1134"/>
        </w:trPr>
        <w:tc>
          <w:tcPr>
            <w:tcW w:w="1985" w:type="dxa"/>
            <w:tcBorders>
              <w:top w:val="single" w:sz="6" w:space="0" w:color="000000"/>
              <w:left w:val="single" w:sz="6" w:space="0" w:color="000000"/>
              <w:bottom w:val="single" w:sz="6" w:space="0" w:color="000000"/>
              <w:right w:val="single" w:sz="6" w:space="0" w:color="000000"/>
            </w:tcBorders>
          </w:tcPr>
          <w:p w14:paraId="0D34B756" w14:textId="5F614A01"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(11) </w:t>
            </w:r>
            <w:r w:rsidR="00D57F32" w:rsidRPr="00BD050E">
              <w:rPr>
                <w:rFonts w:asciiTheme="majorHAnsi" w:hAnsiTheme="majorHAnsi" w:cstheme="majorHAnsi"/>
                <w:color w:val="000000" w:themeColor="text1"/>
                <w:sz w:val="18"/>
                <w:szCs w:val="18"/>
                <w:lang w:val="ro-RO"/>
              </w:rPr>
              <w:t>ILD</w:t>
            </w:r>
            <w:r w:rsidRPr="00BD050E">
              <w:rPr>
                <w:rFonts w:asciiTheme="majorHAnsi" w:hAnsiTheme="majorHAnsi" w:cstheme="majorHAnsi"/>
                <w:color w:val="000000" w:themeColor="text1"/>
                <w:sz w:val="18"/>
                <w:szCs w:val="18"/>
                <w:lang w:val="ro-RO"/>
              </w:rPr>
              <w:t xml:space="preserve"> #11</w:t>
            </w:r>
          </w:p>
          <w:p w14:paraId="3A6A207B"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Integrarea lecțiilor învățate în campaniile de comunicare privind schimbarea comportamentului populației și evaluarea gradului de pregătire pentru vaccin </w:t>
            </w:r>
          </w:p>
        </w:tc>
        <w:tc>
          <w:tcPr>
            <w:tcW w:w="3164" w:type="dxa"/>
            <w:tcBorders>
              <w:top w:val="single" w:sz="6" w:space="0" w:color="000000"/>
              <w:left w:val="single" w:sz="6" w:space="0" w:color="000000"/>
              <w:bottom w:val="single" w:sz="6" w:space="0" w:color="000000"/>
              <w:right w:val="single" w:sz="6" w:space="0" w:color="000000"/>
            </w:tcBorders>
          </w:tcPr>
          <w:p w14:paraId="146CD80B"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DLR 11.1: Debitorul a desfășurat un studiu de evaluare a cunoștințelor, comportamentelor și atitudinilor persoanelor în legătură cu încetinirea transmiterii COVID-19 </w:t>
            </w:r>
          </w:p>
          <w:p w14:paraId="2EA8CACE" w14:textId="175BE046"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DLR 11.2: Debitorul a realizat </w:t>
            </w:r>
            <w:r w:rsidR="001C236A" w:rsidRPr="00BD050E">
              <w:rPr>
                <w:rFonts w:asciiTheme="majorHAnsi" w:hAnsiTheme="majorHAnsi" w:cstheme="majorHAnsi"/>
                <w:color w:val="000000" w:themeColor="text1"/>
                <w:sz w:val="18"/>
                <w:szCs w:val="18"/>
                <w:lang w:val="ro-RO"/>
              </w:rPr>
              <w:t>e</w:t>
            </w:r>
            <w:r w:rsidRPr="00BD050E">
              <w:rPr>
                <w:rFonts w:asciiTheme="majorHAnsi" w:hAnsiTheme="majorHAnsi" w:cstheme="majorHAnsi"/>
                <w:color w:val="000000" w:themeColor="text1"/>
                <w:sz w:val="18"/>
                <w:szCs w:val="18"/>
                <w:lang w:val="ro-RO"/>
              </w:rPr>
              <w:t xml:space="preserve">valuarea gradului de pregătire pentru vaccinul </w:t>
            </w:r>
          </w:p>
          <w:p w14:paraId="1C790C24"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COVID-19 </w:t>
            </w:r>
          </w:p>
          <w:p w14:paraId="6AD3899B"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DLR 11.3: Debitorul a revizuit Strategia națională de comunicare pentru COVID-19, în baza rezultatelor studiului și evaluării gradului de pregătire pentru vaccin, și a realizat șase activități din Strategia revizuită privind situația și intervențiile în legătură cu COVID-19 și promovarea respectării igienei personale </w:t>
            </w:r>
          </w:p>
        </w:tc>
        <w:tc>
          <w:tcPr>
            <w:tcW w:w="2977" w:type="dxa"/>
            <w:tcBorders>
              <w:top w:val="single" w:sz="6" w:space="0" w:color="000000"/>
              <w:left w:val="single" w:sz="6" w:space="0" w:color="000000"/>
              <w:bottom w:val="single" w:sz="6" w:space="0" w:color="000000"/>
              <w:right w:val="single" w:sz="6" w:space="0" w:color="000000"/>
            </w:tcBorders>
          </w:tcPr>
          <w:p w14:paraId="5052F8EB"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DLR 11.1: 1.099.000 </w:t>
            </w:r>
          </w:p>
          <w:p w14:paraId="1A2421B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 </w:t>
            </w:r>
          </w:p>
          <w:p w14:paraId="772E5B3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 </w:t>
            </w:r>
          </w:p>
          <w:p w14:paraId="486E6935"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p>
          <w:p w14:paraId="4EC6E574"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p>
          <w:p w14:paraId="3F5D6CC1"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DLR 11.2: 1.099.000 </w:t>
            </w:r>
          </w:p>
          <w:p w14:paraId="7E220B3D"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 </w:t>
            </w:r>
          </w:p>
          <w:p w14:paraId="7B162F46"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 </w:t>
            </w:r>
          </w:p>
          <w:p w14:paraId="1D20840C"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 xml:space="preserve">DLR 11.3: 1.099.000 </w:t>
            </w:r>
          </w:p>
        </w:tc>
        <w:tc>
          <w:tcPr>
            <w:tcW w:w="1054" w:type="dxa"/>
            <w:tcBorders>
              <w:top w:val="single" w:sz="4" w:space="0" w:color="auto"/>
              <w:left w:val="single" w:sz="4" w:space="0" w:color="auto"/>
              <w:bottom w:val="single" w:sz="4" w:space="0" w:color="auto"/>
              <w:right w:val="single" w:sz="4" w:space="0" w:color="auto"/>
            </w:tcBorders>
            <w:textDirection w:val="btLr"/>
          </w:tcPr>
          <w:p w14:paraId="03767E54"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3 297 000</w:t>
            </w:r>
          </w:p>
        </w:tc>
        <w:tc>
          <w:tcPr>
            <w:tcW w:w="363" w:type="dxa"/>
            <w:tcBorders>
              <w:top w:val="single" w:sz="4" w:space="0" w:color="auto"/>
              <w:left w:val="single" w:sz="4" w:space="0" w:color="auto"/>
              <w:bottom w:val="single" w:sz="4" w:space="0" w:color="auto"/>
              <w:right w:val="single" w:sz="4" w:space="0" w:color="auto"/>
            </w:tcBorders>
            <w:textDirection w:val="btLr"/>
          </w:tcPr>
          <w:p w14:paraId="73D9184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5" w:type="dxa"/>
            <w:tcBorders>
              <w:top w:val="single" w:sz="4" w:space="0" w:color="auto"/>
              <w:left w:val="single" w:sz="4" w:space="0" w:color="auto"/>
              <w:bottom w:val="single" w:sz="4" w:space="0" w:color="auto"/>
              <w:right w:val="single" w:sz="4" w:space="0" w:color="auto"/>
            </w:tcBorders>
            <w:textDirection w:val="btLr"/>
          </w:tcPr>
          <w:p w14:paraId="6A866696"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6" w:type="dxa"/>
            <w:tcBorders>
              <w:top w:val="single" w:sz="4" w:space="0" w:color="auto"/>
              <w:left w:val="single" w:sz="4" w:space="0" w:color="auto"/>
              <w:bottom w:val="single" w:sz="4" w:space="0" w:color="auto"/>
              <w:right w:val="single" w:sz="4" w:space="0" w:color="auto"/>
            </w:tcBorders>
            <w:textDirection w:val="btLr"/>
          </w:tcPr>
          <w:p w14:paraId="411A8B3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5" w:type="dxa"/>
            <w:tcBorders>
              <w:top w:val="single" w:sz="4" w:space="0" w:color="auto"/>
              <w:left w:val="single" w:sz="4" w:space="0" w:color="auto"/>
              <w:bottom w:val="single" w:sz="4" w:space="0" w:color="auto"/>
              <w:right w:val="single" w:sz="4" w:space="0" w:color="auto"/>
            </w:tcBorders>
            <w:textDirection w:val="btLr"/>
          </w:tcPr>
          <w:p w14:paraId="325CA1F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5" w:type="dxa"/>
            <w:tcBorders>
              <w:top w:val="single" w:sz="4" w:space="0" w:color="auto"/>
              <w:left w:val="single" w:sz="4" w:space="0" w:color="auto"/>
              <w:bottom w:val="single" w:sz="4" w:space="0" w:color="auto"/>
              <w:right w:val="single" w:sz="4" w:space="0" w:color="auto"/>
            </w:tcBorders>
            <w:textDirection w:val="btLr"/>
          </w:tcPr>
          <w:p w14:paraId="26BD5AEB"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5" w:type="dxa"/>
            <w:tcBorders>
              <w:top w:val="single" w:sz="4" w:space="0" w:color="auto"/>
              <w:left w:val="single" w:sz="4" w:space="0" w:color="auto"/>
              <w:bottom w:val="single" w:sz="4" w:space="0" w:color="auto"/>
              <w:right w:val="single" w:sz="4" w:space="0" w:color="auto"/>
            </w:tcBorders>
            <w:textDirection w:val="btLr"/>
          </w:tcPr>
          <w:p w14:paraId="49559DF8"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6" w:type="dxa"/>
            <w:tcBorders>
              <w:top w:val="single" w:sz="4" w:space="0" w:color="auto"/>
              <w:left w:val="single" w:sz="4" w:space="0" w:color="auto"/>
              <w:bottom w:val="single" w:sz="4" w:space="0" w:color="auto"/>
              <w:right w:val="single" w:sz="4" w:space="0" w:color="auto"/>
            </w:tcBorders>
            <w:textDirection w:val="btLr"/>
          </w:tcPr>
          <w:p w14:paraId="749A209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7" w:type="dxa"/>
            <w:tcBorders>
              <w:top w:val="single" w:sz="4" w:space="0" w:color="auto"/>
              <w:left w:val="single" w:sz="4" w:space="0" w:color="auto"/>
              <w:bottom w:val="single" w:sz="4" w:space="0" w:color="auto"/>
              <w:right w:val="single" w:sz="4" w:space="0" w:color="auto"/>
            </w:tcBorders>
            <w:textDirection w:val="btLr"/>
          </w:tcPr>
          <w:p w14:paraId="57E01C9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32" w:type="dxa"/>
            <w:tcBorders>
              <w:top w:val="single" w:sz="4" w:space="0" w:color="auto"/>
              <w:left w:val="single" w:sz="4" w:space="0" w:color="auto"/>
              <w:bottom w:val="single" w:sz="4" w:space="0" w:color="auto"/>
              <w:right w:val="single" w:sz="4" w:space="0" w:color="auto"/>
            </w:tcBorders>
            <w:textDirection w:val="btLr"/>
          </w:tcPr>
          <w:p w14:paraId="4BB686E1"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16" w:type="dxa"/>
            <w:tcBorders>
              <w:top w:val="single" w:sz="4" w:space="0" w:color="auto"/>
              <w:left w:val="single" w:sz="4" w:space="0" w:color="auto"/>
              <w:bottom w:val="single" w:sz="4" w:space="0" w:color="auto"/>
              <w:right w:val="single" w:sz="4" w:space="0" w:color="auto"/>
            </w:tcBorders>
            <w:textDirection w:val="btLr"/>
          </w:tcPr>
          <w:p w14:paraId="34614965"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13" w:type="dxa"/>
            <w:tcBorders>
              <w:top w:val="single" w:sz="4" w:space="0" w:color="auto"/>
              <w:left w:val="single" w:sz="4" w:space="0" w:color="auto"/>
              <w:bottom w:val="single" w:sz="4" w:space="0" w:color="auto"/>
              <w:right w:val="single" w:sz="4" w:space="0" w:color="auto"/>
            </w:tcBorders>
            <w:textDirection w:val="btLr"/>
          </w:tcPr>
          <w:p w14:paraId="13497180"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5" w:type="dxa"/>
            <w:tcBorders>
              <w:top w:val="single" w:sz="4" w:space="0" w:color="auto"/>
              <w:left w:val="single" w:sz="4" w:space="0" w:color="auto"/>
              <w:bottom w:val="single" w:sz="4" w:space="0" w:color="auto"/>
              <w:right w:val="single" w:sz="4" w:space="0" w:color="auto"/>
            </w:tcBorders>
            <w:textDirection w:val="btLr"/>
          </w:tcPr>
          <w:p w14:paraId="0393EBC2"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p>
        </w:tc>
        <w:tc>
          <w:tcPr>
            <w:tcW w:w="425" w:type="dxa"/>
            <w:tcBorders>
              <w:top w:val="single" w:sz="4" w:space="0" w:color="auto"/>
              <w:left w:val="single" w:sz="4" w:space="0" w:color="auto"/>
              <w:bottom w:val="single" w:sz="4" w:space="0" w:color="auto"/>
              <w:right w:val="single" w:sz="4" w:space="0" w:color="auto"/>
            </w:tcBorders>
            <w:textDirection w:val="btLr"/>
          </w:tcPr>
          <w:p w14:paraId="5CC8240D"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051BF7DE" w14:textId="77777777" w:rsidR="0036424B" w:rsidRPr="00BD050E" w:rsidRDefault="0036424B" w:rsidP="000B4C5A">
            <w:pPr>
              <w:ind w:left="113" w:right="113"/>
              <w:jc w:val="right"/>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r>
    </w:tbl>
    <w:p w14:paraId="407CD1EF" w14:textId="3AB79421" w:rsidR="0036424B" w:rsidRPr="00BD050E" w:rsidRDefault="0036424B" w:rsidP="0036424B">
      <w:pPr>
        <w:spacing w:after="0"/>
        <w:jc w:val="both"/>
        <w:rPr>
          <w:rFonts w:asciiTheme="majorHAnsi" w:hAnsiTheme="majorHAnsi" w:cstheme="majorHAnsi"/>
          <w:i/>
          <w:color w:val="000000" w:themeColor="text1"/>
          <w:sz w:val="16"/>
          <w:szCs w:val="16"/>
          <w:lang w:val="ro-RO"/>
        </w:rPr>
      </w:pPr>
      <w:r w:rsidRPr="00BD050E">
        <w:rPr>
          <w:rFonts w:asciiTheme="majorHAnsi" w:hAnsiTheme="majorHAnsi" w:cstheme="majorHAnsi"/>
          <w:b/>
          <w:i/>
          <w:color w:val="000000" w:themeColor="text1"/>
          <w:sz w:val="16"/>
          <w:szCs w:val="16"/>
          <w:lang w:val="ro-RO"/>
        </w:rPr>
        <w:t>Sursa:</w:t>
      </w:r>
      <w:r w:rsidRPr="00BD050E">
        <w:rPr>
          <w:color w:val="000000" w:themeColor="text1"/>
          <w:sz w:val="16"/>
          <w:szCs w:val="16"/>
          <w:lang w:val="ro-RO"/>
        </w:rPr>
        <w:t xml:space="preserve"> </w:t>
      </w:r>
      <w:r w:rsidRPr="00BD050E">
        <w:rPr>
          <w:rFonts w:asciiTheme="majorHAnsi" w:hAnsiTheme="majorHAnsi" w:cstheme="majorHAnsi"/>
          <w:i/>
          <w:color w:val="000000" w:themeColor="text1"/>
          <w:sz w:val="16"/>
          <w:szCs w:val="16"/>
          <w:lang w:val="ro-RO"/>
        </w:rPr>
        <w:t>Informați</w:t>
      </w:r>
      <w:r w:rsidR="001C236A" w:rsidRPr="00BD050E">
        <w:rPr>
          <w:rFonts w:asciiTheme="majorHAnsi" w:hAnsiTheme="majorHAnsi" w:cstheme="majorHAnsi"/>
          <w:i/>
          <w:color w:val="000000" w:themeColor="text1"/>
          <w:sz w:val="16"/>
          <w:szCs w:val="16"/>
          <w:lang w:val="ro-RO"/>
        </w:rPr>
        <w:t>a</w:t>
      </w:r>
      <w:r w:rsidRPr="00BD050E">
        <w:rPr>
          <w:rFonts w:asciiTheme="majorHAnsi" w:hAnsiTheme="majorHAnsi" w:cstheme="majorHAnsi"/>
          <w:i/>
          <w:color w:val="000000" w:themeColor="text1"/>
          <w:sz w:val="16"/>
          <w:szCs w:val="16"/>
          <w:lang w:val="ro-RO"/>
        </w:rPr>
        <w:t xml:space="preserve"> privind implementarea Acordului de finanțare „Modernizarea sectorului sănătății în Republica Moldova”. Indicatorii specifici legați de debursare și cotele alocate de finanțare.</w:t>
      </w:r>
    </w:p>
    <w:p w14:paraId="0F8E8D7A" w14:textId="77777777" w:rsidR="0036424B" w:rsidRPr="00BD050E" w:rsidRDefault="0036424B" w:rsidP="0036424B">
      <w:pPr>
        <w:spacing w:after="0" w:line="276" w:lineRule="auto"/>
        <w:jc w:val="center"/>
        <w:rPr>
          <w:rFonts w:asciiTheme="majorHAnsi" w:hAnsiTheme="majorHAnsi" w:cstheme="majorHAnsi"/>
          <w:b/>
          <w:color w:val="000000" w:themeColor="text1"/>
          <w:sz w:val="24"/>
          <w:szCs w:val="24"/>
          <w:lang w:val="ro-RO"/>
        </w:rPr>
      </w:pPr>
    </w:p>
    <w:p w14:paraId="6AD63804" w14:textId="77777777" w:rsidR="0036424B" w:rsidRPr="00BD050E" w:rsidRDefault="0036424B" w:rsidP="0036424B">
      <w:pPr>
        <w:keepNext/>
        <w:keepLines/>
        <w:spacing w:before="240" w:after="0"/>
        <w:jc w:val="right"/>
        <w:outlineLvl w:val="0"/>
        <w:rPr>
          <w:rFonts w:asciiTheme="majorHAnsi" w:eastAsiaTheme="majorEastAsia" w:hAnsiTheme="majorHAnsi" w:cstheme="majorHAnsi"/>
          <w:b/>
          <w:color w:val="000000" w:themeColor="text1"/>
          <w:sz w:val="24"/>
          <w:szCs w:val="24"/>
          <w:lang w:val="ro-RO"/>
        </w:rPr>
      </w:pPr>
      <w:bookmarkStart w:id="16" w:name="_Toc513122875"/>
      <w:bookmarkStart w:id="17" w:name="_Toc10125924"/>
      <w:r w:rsidRPr="00BD050E">
        <w:rPr>
          <w:rFonts w:asciiTheme="majorHAnsi" w:eastAsiaTheme="majorEastAsia" w:hAnsiTheme="majorHAnsi" w:cstheme="majorHAnsi"/>
          <w:b/>
          <w:color w:val="000000" w:themeColor="text1"/>
          <w:sz w:val="24"/>
          <w:szCs w:val="24"/>
          <w:lang w:val="ro-RO"/>
        </w:rPr>
        <w:t>Anexa nr.</w:t>
      </w:r>
      <w:bookmarkEnd w:id="16"/>
      <w:bookmarkEnd w:id="17"/>
      <w:r w:rsidRPr="00BD050E">
        <w:rPr>
          <w:rFonts w:asciiTheme="majorHAnsi" w:eastAsiaTheme="majorEastAsia" w:hAnsiTheme="majorHAnsi" w:cstheme="majorHAnsi"/>
          <w:b/>
          <w:color w:val="000000" w:themeColor="text1"/>
          <w:sz w:val="24"/>
          <w:szCs w:val="24"/>
          <w:lang w:val="ro-RO"/>
        </w:rPr>
        <w:t>2</w:t>
      </w:r>
    </w:p>
    <w:p w14:paraId="372FE239" w14:textId="2FBA8065" w:rsidR="0036424B" w:rsidRPr="00BD050E" w:rsidRDefault="0036424B" w:rsidP="0036424B">
      <w:pPr>
        <w:tabs>
          <w:tab w:val="left" w:pos="993"/>
        </w:tabs>
        <w:spacing w:after="0" w:line="276" w:lineRule="auto"/>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 xml:space="preserve">Sursele și utilizarea fondurilor din mijloacele Componentei </w:t>
      </w:r>
      <w:r w:rsidR="001C236A" w:rsidRPr="00BD050E">
        <w:rPr>
          <w:rFonts w:asciiTheme="majorHAnsi" w:hAnsiTheme="majorHAnsi" w:cstheme="majorHAnsi"/>
          <w:b/>
          <w:i/>
          <w:color w:val="000000" w:themeColor="text1"/>
          <w:sz w:val="24"/>
          <w:szCs w:val="24"/>
          <w:lang w:val="ro-RO"/>
        </w:rPr>
        <w:t>„</w:t>
      </w:r>
      <w:r w:rsidRPr="00BD050E">
        <w:rPr>
          <w:rFonts w:asciiTheme="majorHAnsi" w:hAnsiTheme="majorHAnsi" w:cstheme="majorHAnsi"/>
          <w:b/>
          <w:i/>
          <w:color w:val="000000" w:themeColor="text1"/>
          <w:sz w:val="24"/>
          <w:szCs w:val="24"/>
          <w:lang w:val="ro-RO"/>
        </w:rPr>
        <w:t>Asistență Tehnică</w:t>
      </w:r>
      <w:r w:rsidR="001C236A" w:rsidRPr="00BD050E">
        <w:rPr>
          <w:rFonts w:asciiTheme="majorHAnsi" w:hAnsiTheme="majorHAnsi" w:cstheme="majorHAnsi"/>
          <w:b/>
          <w:i/>
          <w:color w:val="000000" w:themeColor="text1"/>
          <w:sz w:val="24"/>
          <w:szCs w:val="24"/>
          <w:lang w:val="ro-RO"/>
        </w:rPr>
        <w:t>”</w:t>
      </w:r>
      <w:r w:rsidRPr="00BD050E">
        <w:rPr>
          <w:rFonts w:asciiTheme="majorHAnsi" w:hAnsiTheme="majorHAnsi" w:cstheme="majorHAnsi"/>
          <w:b/>
          <w:i/>
          <w:color w:val="000000" w:themeColor="text1"/>
          <w:sz w:val="24"/>
          <w:szCs w:val="24"/>
          <w:lang w:val="ro-RO"/>
        </w:rPr>
        <w:t xml:space="preserve"> din cadrul </w:t>
      </w:r>
      <w:r w:rsidR="00047BCB" w:rsidRPr="00BD050E">
        <w:rPr>
          <w:rFonts w:asciiTheme="majorHAnsi" w:hAnsiTheme="majorHAnsi" w:cstheme="majorHAnsi"/>
          <w:b/>
          <w:i/>
          <w:color w:val="000000" w:themeColor="text1"/>
          <w:sz w:val="24"/>
          <w:szCs w:val="24"/>
          <w:lang w:val="ro-RO"/>
        </w:rPr>
        <w:t>Operațiunii</w:t>
      </w:r>
      <w:r w:rsidRPr="00BD050E">
        <w:rPr>
          <w:rFonts w:asciiTheme="majorHAnsi" w:hAnsiTheme="majorHAnsi" w:cstheme="majorHAnsi"/>
          <w:b/>
          <w:i/>
          <w:color w:val="000000" w:themeColor="text1"/>
          <w:sz w:val="24"/>
          <w:szCs w:val="24"/>
          <w:lang w:val="ro-RO"/>
        </w:rPr>
        <w:t xml:space="preserve"> „Modernizarea sectorului sănătății în Republica Moldova”, la finele semestrului încheiat la 31 decembrie 2021, dolari SUA</w:t>
      </w:r>
    </w:p>
    <w:tbl>
      <w:tblPr>
        <w:tblW w:w="5610"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280"/>
        <w:gridCol w:w="1277"/>
        <w:gridCol w:w="1271"/>
        <w:gridCol w:w="1256"/>
        <w:gridCol w:w="1180"/>
        <w:gridCol w:w="1329"/>
        <w:gridCol w:w="1253"/>
        <w:gridCol w:w="1116"/>
        <w:gridCol w:w="1231"/>
        <w:gridCol w:w="9"/>
        <w:gridCol w:w="1271"/>
      </w:tblGrid>
      <w:tr w:rsidR="00814F8E" w:rsidRPr="00BD050E" w14:paraId="2DD5C4D1" w14:textId="77777777" w:rsidTr="000B4C5A">
        <w:trPr>
          <w:trHeight w:val="264"/>
        </w:trPr>
        <w:tc>
          <w:tcPr>
            <w:tcW w:w="898" w:type="pct"/>
            <w:vMerge w:val="restart"/>
            <w:shd w:val="clear" w:color="auto" w:fill="auto"/>
            <w:noWrap/>
            <w:vAlign w:val="center"/>
            <w:hideMark/>
          </w:tcPr>
          <w:p w14:paraId="4306666B"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Descriere </w:t>
            </w:r>
          </w:p>
        </w:tc>
        <w:tc>
          <w:tcPr>
            <w:tcW w:w="1259" w:type="pct"/>
            <w:gridSpan w:val="3"/>
            <w:shd w:val="clear" w:color="auto" w:fill="auto"/>
            <w:noWrap/>
            <w:vAlign w:val="center"/>
            <w:hideMark/>
          </w:tcPr>
          <w:p w14:paraId="6793FC2C"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Actual</w:t>
            </w:r>
          </w:p>
        </w:tc>
        <w:tc>
          <w:tcPr>
            <w:tcW w:w="1238" w:type="pct"/>
            <w:gridSpan w:val="3"/>
            <w:shd w:val="clear" w:color="auto" w:fill="auto"/>
            <w:noWrap/>
            <w:vAlign w:val="center"/>
            <w:hideMark/>
          </w:tcPr>
          <w:p w14:paraId="333E1401"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Planificat</w:t>
            </w:r>
          </w:p>
        </w:tc>
        <w:tc>
          <w:tcPr>
            <w:tcW w:w="1184" w:type="pct"/>
            <w:gridSpan w:val="3"/>
            <w:shd w:val="clear" w:color="auto" w:fill="auto"/>
            <w:noWrap/>
            <w:vAlign w:val="center"/>
            <w:hideMark/>
          </w:tcPr>
          <w:p w14:paraId="6F92330B"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Variație </w:t>
            </w:r>
          </w:p>
        </w:tc>
        <w:tc>
          <w:tcPr>
            <w:tcW w:w="421" w:type="pct"/>
            <w:gridSpan w:val="2"/>
            <w:shd w:val="clear" w:color="auto" w:fill="auto"/>
            <w:noWrap/>
            <w:vAlign w:val="center"/>
            <w:hideMark/>
          </w:tcPr>
          <w:p w14:paraId="56BD0E2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PAD</w:t>
            </w:r>
          </w:p>
        </w:tc>
      </w:tr>
      <w:tr w:rsidR="00814F8E" w:rsidRPr="00BD050E" w14:paraId="30CB4BFC" w14:textId="77777777" w:rsidTr="000B4C5A">
        <w:trPr>
          <w:trHeight w:val="516"/>
        </w:trPr>
        <w:tc>
          <w:tcPr>
            <w:tcW w:w="898" w:type="pct"/>
            <w:vMerge/>
            <w:shd w:val="clear" w:color="auto" w:fill="auto"/>
            <w:noWrap/>
            <w:vAlign w:val="center"/>
            <w:hideMark/>
          </w:tcPr>
          <w:p w14:paraId="7CEC520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21" w:type="pct"/>
            <w:shd w:val="clear" w:color="auto" w:fill="auto"/>
            <w:vAlign w:val="center"/>
            <w:hideMark/>
          </w:tcPr>
          <w:p w14:paraId="1114AB8B"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semestrul curent</w:t>
            </w:r>
          </w:p>
        </w:tc>
        <w:tc>
          <w:tcPr>
            <w:tcW w:w="420" w:type="pct"/>
            <w:shd w:val="clear" w:color="auto" w:fill="auto"/>
            <w:vAlign w:val="center"/>
            <w:hideMark/>
          </w:tcPr>
          <w:p w14:paraId="6105BFD9"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de la începutul anului până în prezent</w:t>
            </w:r>
          </w:p>
        </w:tc>
        <w:tc>
          <w:tcPr>
            <w:tcW w:w="418" w:type="pct"/>
            <w:shd w:val="clear" w:color="auto" w:fill="auto"/>
            <w:vAlign w:val="center"/>
            <w:hideMark/>
          </w:tcPr>
          <w:p w14:paraId="349DC532" w14:textId="77777777" w:rsidR="0036424B" w:rsidRPr="00BD050E" w:rsidRDefault="0036424B" w:rsidP="000B4C5A">
            <w:pPr>
              <w:spacing w:after="0" w:line="240" w:lineRule="auto"/>
              <w:ind w:right="-110"/>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cumulativ (total) până în prezent</w:t>
            </w:r>
          </w:p>
        </w:tc>
        <w:tc>
          <w:tcPr>
            <w:tcW w:w="413" w:type="pct"/>
            <w:shd w:val="clear" w:color="auto" w:fill="auto"/>
            <w:vAlign w:val="center"/>
            <w:hideMark/>
          </w:tcPr>
          <w:p w14:paraId="23A2CF14"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semestrul curent</w:t>
            </w:r>
          </w:p>
        </w:tc>
        <w:tc>
          <w:tcPr>
            <w:tcW w:w="388" w:type="pct"/>
            <w:shd w:val="clear" w:color="auto" w:fill="auto"/>
            <w:vAlign w:val="center"/>
            <w:hideMark/>
          </w:tcPr>
          <w:p w14:paraId="37EF09C8"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de la începutul anului până în prezent</w:t>
            </w:r>
          </w:p>
        </w:tc>
        <w:tc>
          <w:tcPr>
            <w:tcW w:w="437" w:type="pct"/>
            <w:shd w:val="clear" w:color="auto" w:fill="auto"/>
            <w:vAlign w:val="center"/>
            <w:hideMark/>
          </w:tcPr>
          <w:p w14:paraId="68571D7D" w14:textId="77777777" w:rsidR="0036424B" w:rsidRPr="00BD050E" w:rsidRDefault="0036424B" w:rsidP="000B4C5A">
            <w:pPr>
              <w:spacing w:after="0" w:line="240" w:lineRule="auto"/>
              <w:ind w:right="-112"/>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cumulativ (total) până în prezent</w:t>
            </w:r>
          </w:p>
        </w:tc>
        <w:tc>
          <w:tcPr>
            <w:tcW w:w="412" w:type="pct"/>
            <w:shd w:val="clear" w:color="auto" w:fill="auto"/>
            <w:vAlign w:val="center"/>
            <w:hideMark/>
          </w:tcPr>
          <w:p w14:paraId="71132A76"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semestrul curent</w:t>
            </w:r>
          </w:p>
        </w:tc>
        <w:tc>
          <w:tcPr>
            <w:tcW w:w="367" w:type="pct"/>
            <w:shd w:val="clear" w:color="auto" w:fill="auto"/>
            <w:vAlign w:val="center"/>
            <w:hideMark/>
          </w:tcPr>
          <w:p w14:paraId="0750D9D8"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de la începutul anului până în prezent</w:t>
            </w:r>
          </w:p>
        </w:tc>
        <w:tc>
          <w:tcPr>
            <w:tcW w:w="408" w:type="pct"/>
            <w:gridSpan w:val="2"/>
            <w:shd w:val="clear" w:color="auto" w:fill="auto"/>
            <w:vAlign w:val="center"/>
            <w:hideMark/>
          </w:tcPr>
          <w:p w14:paraId="43C1F960"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cumulativ (total) până în prezent</w:t>
            </w:r>
          </w:p>
        </w:tc>
        <w:tc>
          <w:tcPr>
            <w:tcW w:w="418" w:type="pct"/>
            <w:shd w:val="clear" w:color="auto" w:fill="auto"/>
            <w:vAlign w:val="center"/>
            <w:hideMark/>
          </w:tcPr>
          <w:p w14:paraId="0388C3C7"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durata de viață a Proiectului</w:t>
            </w:r>
          </w:p>
        </w:tc>
      </w:tr>
      <w:tr w:rsidR="00814F8E" w:rsidRPr="00BD050E" w14:paraId="39DEC69D" w14:textId="77777777" w:rsidTr="000B4C5A">
        <w:trPr>
          <w:trHeight w:val="264"/>
        </w:trPr>
        <w:tc>
          <w:tcPr>
            <w:tcW w:w="898" w:type="pct"/>
            <w:shd w:val="clear" w:color="auto" w:fill="auto"/>
            <w:noWrap/>
            <w:vAlign w:val="center"/>
            <w:hideMark/>
          </w:tcPr>
          <w:p w14:paraId="022EE036"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Deschiderea soldurilor de numerar</w:t>
            </w:r>
          </w:p>
        </w:tc>
        <w:tc>
          <w:tcPr>
            <w:tcW w:w="421" w:type="pct"/>
            <w:shd w:val="clear" w:color="auto" w:fill="auto"/>
            <w:noWrap/>
            <w:vAlign w:val="center"/>
            <w:hideMark/>
          </w:tcPr>
          <w:p w14:paraId="5B5C2D0A"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w:t>
            </w:r>
          </w:p>
          <w:p w14:paraId="7A38C607"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hideMark/>
          </w:tcPr>
          <w:p w14:paraId="6F11F2E0"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hideMark/>
          </w:tcPr>
          <w:p w14:paraId="1E9F70CA"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w:t>
            </w:r>
          </w:p>
        </w:tc>
        <w:tc>
          <w:tcPr>
            <w:tcW w:w="413" w:type="pct"/>
            <w:shd w:val="clear" w:color="auto" w:fill="auto"/>
            <w:noWrap/>
            <w:vAlign w:val="center"/>
            <w:hideMark/>
          </w:tcPr>
          <w:p w14:paraId="65B6C122"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hideMark/>
          </w:tcPr>
          <w:p w14:paraId="2F1C27B2"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hideMark/>
          </w:tcPr>
          <w:p w14:paraId="662B922E"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hideMark/>
          </w:tcPr>
          <w:p w14:paraId="3093E998"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w:t>
            </w:r>
          </w:p>
        </w:tc>
        <w:tc>
          <w:tcPr>
            <w:tcW w:w="367" w:type="pct"/>
            <w:shd w:val="clear" w:color="auto" w:fill="auto"/>
            <w:noWrap/>
            <w:vAlign w:val="center"/>
            <w:hideMark/>
          </w:tcPr>
          <w:p w14:paraId="357541DD"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hideMark/>
          </w:tcPr>
          <w:p w14:paraId="6E6C865C"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w:t>
            </w:r>
          </w:p>
        </w:tc>
        <w:tc>
          <w:tcPr>
            <w:tcW w:w="418" w:type="pct"/>
            <w:shd w:val="clear" w:color="auto" w:fill="auto"/>
            <w:noWrap/>
            <w:vAlign w:val="center"/>
            <w:hideMark/>
          </w:tcPr>
          <w:p w14:paraId="546B77C6" w14:textId="77777777" w:rsidR="0036424B" w:rsidRPr="00BD050E" w:rsidRDefault="0036424B" w:rsidP="000B4C5A">
            <w:pPr>
              <w:spacing w:after="0" w:line="240" w:lineRule="auto"/>
              <w:jc w:val="right"/>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w:t>
            </w:r>
          </w:p>
        </w:tc>
      </w:tr>
      <w:tr w:rsidR="00814F8E" w:rsidRPr="00BD050E" w14:paraId="143EF735" w14:textId="77777777" w:rsidTr="000B4C5A">
        <w:trPr>
          <w:trHeight w:val="264"/>
        </w:trPr>
        <w:tc>
          <w:tcPr>
            <w:tcW w:w="898" w:type="pct"/>
            <w:shd w:val="clear" w:color="auto" w:fill="auto"/>
            <w:noWrap/>
            <w:vAlign w:val="center"/>
            <w:hideMark/>
          </w:tcPr>
          <w:p w14:paraId="32764D27"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IDA cont desemnat DA-A (în dolari SUA)</w:t>
            </w:r>
          </w:p>
        </w:tc>
        <w:tc>
          <w:tcPr>
            <w:tcW w:w="421" w:type="pct"/>
            <w:shd w:val="clear" w:color="auto" w:fill="auto"/>
            <w:noWrap/>
            <w:vAlign w:val="center"/>
          </w:tcPr>
          <w:p w14:paraId="7F7A9C0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48.111,74</w:t>
            </w:r>
          </w:p>
        </w:tc>
        <w:tc>
          <w:tcPr>
            <w:tcW w:w="420" w:type="pct"/>
            <w:shd w:val="clear" w:color="auto" w:fill="auto"/>
            <w:noWrap/>
            <w:vAlign w:val="center"/>
          </w:tcPr>
          <w:p w14:paraId="1DC0574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48.111,74</w:t>
            </w:r>
          </w:p>
        </w:tc>
        <w:tc>
          <w:tcPr>
            <w:tcW w:w="418" w:type="pct"/>
            <w:shd w:val="clear" w:color="auto" w:fill="auto"/>
            <w:noWrap/>
            <w:vAlign w:val="center"/>
          </w:tcPr>
          <w:p w14:paraId="76E0917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203939D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4E6C4B7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2B97D8B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7B61BF1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6FEBE02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4703A82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7257254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423D48C5" w14:textId="77777777" w:rsidTr="000B4C5A">
        <w:trPr>
          <w:trHeight w:val="264"/>
        </w:trPr>
        <w:tc>
          <w:tcPr>
            <w:tcW w:w="898" w:type="pct"/>
            <w:shd w:val="clear" w:color="auto" w:fill="auto"/>
            <w:noWrap/>
            <w:vAlign w:val="center"/>
            <w:hideMark/>
          </w:tcPr>
          <w:p w14:paraId="4E9E6606"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IDA cont desemnat DA-A (în MDL) </w:t>
            </w:r>
          </w:p>
        </w:tc>
        <w:tc>
          <w:tcPr>
            <w:tcW w:w="421" w:type="pct"/>
            <w:shd w:val="clear" w:color="auto" w:fill="auto"/>
            <w:noWrap/>
            <w:vAlign w:val="center"/>
          </w:tcPr>
          <w:p w14:paraId="2DBCCFB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0,80</w:t>
            </w:r>
          </w:p>
        </w:tc>
        <w:tc>
          <w:tcPr>
            <w:tcW w:w="420" w:type="pct"/>
            <w:shd w:val="clear" w:color="auto" w:fill="auto"/>
            <w:noWrap/>
            <w:vAlign w:val="center"/>
          </w:tcPr>
          <w:p w14:paraId="3F7A848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0,80</w:t>
            </w:r>
          </w:p>
        </w:tc>
        <w:tc>
          <w:tcPr>
            <w:tcW w:w="418" w:type="pct"/>
            <w:shd w:val="clear" w:color="auto" w:fill="auto"/>
            <w:noWrap/>
            <w:vAlign w:val="center"/>
          </w:tcPr>
          <w:p w14:paraId="5A3A834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11CB5E5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41EFDD4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2A085E7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1E1D7A4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6BE9280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6AB232E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5158443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69EBFF3F" w14:textId="77777777" w:rsidTr="000B4C5A">
        <w:trPr>
          <w:trHeight w:val="54"/>
        </w:trPr>
        <w:tc>
          <w:tcPr>
            <w:tcW w:w="898" w:type="pct"/>
            <w:shd w:val="clear" w:color="auto" w:fill="auto"/>
            <w:noWrap/>
            <w:vAlign w:val="center"/>
            <w:hideMark/>
          </w:tcPr>
          <w:p w14:paraId="441D8B27"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 Total</w:t>
            </w:r>
          </w:p>
        </w:tc>
        <w:tc>
          <w:tcPr>
            <w:tcW w:w="421" w:type="pct"/>
            <w:shd w:val="clear" w:color="auto" w:fill="auto"/>
            <w:noWrap/>
            <w:vAlign w:val="center"/>
          </w:tcPr>
          <w:p w14:paraId="3C702BF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48.112,54</w:t>
            </w:r>
          </w:p>
        </w:tc>
        <w:tc>
          <w:tcPr>
            <w:tcW w:w="420" w:type="pct"/>
            <w:shd w:val="clear" w:color="auto" w:fill="auto"/>
            <w:noWrap/>
            <w:vAlign w:val="center"/>
          </w:tcPr>
          <w:p w14:paraId="36545410"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48.112,54</w:t>
            </w:r>
          </w:p>
        </w:tc>
        <w:tc>
          <w:tcPr>
            <w:tcW w:w="418" w:type="pct"/>
            <w:shd w:val="clear" w:color="auto" w:fill="auto"/>
            <w:noWrap/>
            <w:vAlign w:val="center"/>
          </w:tcPr>
          <w:p w14:paraId="5C29CAC5"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3" w:type="pct"/>
            <w:shd w:val="clear" w:color="auto" w:fill="auto"/>
            <w:noWrap/>
            <w:vAlign w:val="center"/>
          </w:tcPr>
          <w:p w14:paraId="4A54C30E"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88" w:type="pct"/>
            <w:shd w:val="clear" w:color="auto" w:fill="auto"/>
            <w:noWrap/>
            <w:vAlign w:val="center"/>
          </w:tcPr>
          <w:p w14:paraId="30CBC19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13CF492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12352718"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67" w:type="pct"/>
            <w:shd w:val="clear" w:color="auto" w:fill="auto"/>
            <w:noWrap/>
            <w:vAlign w:val="center"/>
          </w:tcPr>
          <w:p w14:paraId="1C298EB9"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08" w:type="pct"/>
            <w:gridSpan w:val="2"/>
            <w:shd w:val="clear" w:color="auto" w:fill="auto"/>
            <w:noWrap/>
            <w:vAlign w:val="center"/>
          </w:tcPr>
          <w:p w14:paraId="0155223B"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8" w:type="pct"/>
            <w:shd w:val="clear" w:color="auto" w:fill="auto"/>
            <w:noWrap/>
            <w:vAlign w:val="center"/>
          </w:tcPr>
          <w:p w14:paraId="3A0EEEC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r>
      <w:tr w:rsidR="00814F8E" w:rsidRPr="00BD050E" w14:paraId="7A5F0029" w14:textId="77777777" w:rsidTr="000B4C5A">
        <w:trPr>
          <w:trHeight w:val="264"/>
        </w:trPr>
        <w:tc>
          <w:tcPr>
            <w:tcW w:w="898" w:type="pct"/>
            <w:shd w:val="clear" w:color="auto" w:fill="auto"/>
            <w:noWrap/>
            <w:vAlign w:val="center"/>
            <w:hideMark/>
          </w:tcPr>
          <w:p w14:paraId="1DABF1D9"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Sursele de finanțare</w:t>
            </w:r>
          </w:p>
        </w:tc>
        <w:tc>
          <w:tcPr>
            <w:tcW w:w="421" w:type="pct"/>
            <w:shd w:val="clear" w:color="auto" w:fill="auto"/>
            <w:noWrap/>
            <w:vAlign w:val="center"/>
          </w:tcPr>
          <w:p w14:paraId="6869E32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tcPr>
          <w:p w14:paraId="413B45E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19F56B6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77257ED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7480020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6DDBA7F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1EC81A62"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7DA8DF1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5284609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3B7B0AE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1D359156" w14:textId="77777777" w:rsidTr="000B4C5A">
        <w:trPr>
          <w:trHeight w:val="264"/>
        </w:trPr>
        <w:tc>
          <w:tcPr>
            <w:tcW w:w="898" w:type="pct"/>
            <w:shd w:val="clear" w:color="auto" w:fill="auto"/>
            <w:noWrap/>
            <w:vAlign w:val="center"/>
            <w:hideMark/>
          </w:tcPr>
          <w:p w14:paraId="29960B79" w14:textId="77777777" w:rsidR="0036424B" w:rsidRPr="00BD050E" w:rsidRDefault="0036424B" w:rsidP="000B4C5A">
            <w:pPr>
              <w:spacing w:after="0" w:line="240" w:lineRule="auto"/>
              <w:ind w:right="-108"/>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Aprovizionarea contului desemnat DA-A</w:t>
            </w:r>
          </w:p>
        </w:tc>
        <w:tc>
          <w:tcPr>
            <w:tcW w:w="421" w:type="pct"/>
            <w:shd w:val="clear" w:color="auto" w:fill="auto"/>
            <w:noWrap/>
            <w:vAlign w:val="center"/>
          </w:tcPr>
          <w:p w14:paraId="7C42EE0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100.000,00</w:t>
            </w:r>
          </w:p>
        </w:tc>
        <w:tc>
          <w:tcPr>
            <w:tcW w:w="420" w:type="pct"/>
            <w:shd w:val="clear" w:color="auto" w:fill="auto"/>
            <w:noWrap/>
            <w:vAlign w:val="center"/>
          </w:tcPr>
          <w:p w14:paraId="2EB38BC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100.000,00</w:t>
            </w:r>
          </w:p>
        </w:tc>
        <w:tc>
          <w:tcPr>
            <w:tcW w:w="418" w:type="pct"/>
            <w:shd w:val="clear" w:color="auto" w:fill="auto"/>
            <w:noWrap/>
            <w:vAlign w:val="center"/>
          </w:tcPr>
          <w:p w14:paraId="3905C1A2"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1.430.000,00</w:t>
            </w:r>
          </w:p>
        </w:tc>
        <w:tc>
          <w:tcPr>
            <w:tcW w:w="413" w:type="pct"/>
            <w:shd w:val="clear" w:color="auto" w:fill="auto"/>
            <w:noWrap/>
            <w:vAlign w:val="center"/>
          </w:tcPr>
          <w:p w14:paraId="2CE23F1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7E9C1E8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464B85C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5A57ABE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706ADF3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4F02051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1B8A218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7FDC2CBF" w14:textId="77777777" w:rsidTr="000B4C5A">
        <w:trPr>
          <w:trHeight w:val="264"/>
        </w:trPr>
        <w:tc>
          <w:tcPr>
            <w:tcW w:w="898" w:type="pct"/>
            <w:shd w:val="clear" w:color="auto" w:fill="auto"/>
            <w:noWrap/>
            <w:vAlign w:val="center"/>
          </w:tcPr>
          <w:p w14:paraId="2B1560CB" w14:textId="77777777" w:rsidR="0036424B" w:rsidRPr="00BD050E" w:rsidRDefault="0036424B" w:rsidP="000B4C5A">
            <w:pPr>
              <w:spacing w:after="0" w:line="240" w:lineRule="auto"/>
              <w:ind w:right="-108"/>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Plăți directe</w:t>
            </w:r>
          </w:p>
        </w:tc>
        <w:tc>
          <w:tcPr>
            <w:tcW w:w="421" w:type="pct"/>
            <w:shd w:val="clear" w:color="auto" w:fill="auto"/>
            <w:noWrap/>
            <w:vAlign w:val="center"/>
          </w:tcPr>
          <w:p w14:paraId="6E2F095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tcPr>
          <w:p w14:paraId="1D860DE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3AD0DCF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384.681,70</w:t>
            </w:r>
          </w:p>
        </w:tc>
        <w:tc>
          <w:tcPr>
            <w:tcW w:w="413" w:type="pct"/>
            <w:shd w:val="clear" w:color="auto" w:fill="auto"/>
            <w:noWrap/>
            <w:vAlign w:val="center"/>
          </w:tcPr>
          <w:p w14:paraId="79B8EAF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461A97F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0543B16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10FA50E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6DFE917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5A209E5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306723F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2EDCC69D" w14:textId="77777777" w:rsidTr="000B4C5A">
        <w:trPr>
          <w:trHeight w:val="264"/>
        </w:trPr>
        <w:tc>
          <w:tcPr>
            <w:tcW w:w="898" w:type="pct"/>
            <w:shd w:val="clear" w:color="auto" w:fill="auto"/>
            <w:noWrap/>
            <w:vAlign w:val="center"/>
            <w:hideMark/>
          </w:tcPr>
          <w:p w14:paraId="3CAD900D"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Alte surse, în caz că există</w:t>
            </w:r>
          </w:p>
        </w:tc>
        <w:tc>
          <w:tcPr>
            <w:tcW w:w="421" w:type="pct"/>
            <w:shd w:val="clear" w:color="auto" w:fill="auto"/>
            <w:noWrap/>
            <w:vAlign w:val="center"/>
          </w:tcPr>
          <w:p w14:paraId="697C158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tcPr>
          <w:p w14:paraId="58525E2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6AF2683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7094D75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19167BB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0E9554E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11E7F772"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0B0C80B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79B3D8E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03960F7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28CA6F67" w14:textId="77777777" w:rsidTr="000B4C5A">
        <w:trPr>
          <w:trHeight w:val="264"/>
        </w:trPr>
        <w:tc>
          <w:tcPr>
            <w:tcW w:w="898" w:type="pct"/>
            <w:shd w:val="clear" w:color="auto" w:fill="auto"/>
            <w:noWrap/>
            <w:vAlign w:val="center"/>
            <w:hideMark/>
          </w:tcPr>
          <w:p w14:paraId="66BC4236"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  Surse totale </w:t>
            </w:r>
          </w:p>
        </w:tc>
        <w:tc>
          <w:tcPr>
            <w:tcW w:w="421" w:type="pct"/>
            <w:shd w:val="clear" w:color="auto" w:fill="auto"/>
            <w:noWrap/>
            <w:vAlign w:val="center"/>
          </w:tcPr>
          <w:p w14:paraId="5F44EEE7"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100.000,00</w:t>
            </w:r>
          </w:p>
        </w:tc>
        <w:tc>
          <w:tcPr>
            <w:tcW w:w="420" w:type="pct"/>
            <w:shd w:val="clear" w:color="auto" w:fill="auto"/>
            <w:noWrap/>
            <w:vAlign w:val="center"/>
          </w:tcPr>
          <w:p w14:paraId="728DF339"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100.000,00</w:t>
            </w:r>
          </w:p>
        </w:tc>
        <w:tc>
          <w:tcPr>
            <w:tcW w:w="418" w:type="pct"/>
            <w:shd w:val="clear" w:color="auto" w:fill="auto"/>
            <w:noWrap/>
            <w:vAlign w:val="center"/>
          </w:tcPr>
          <w:p w14:paraId="4AB8D3B5"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1.814.681,70</w:t>
            </w:r>
          </w:p>
        </w:tc>
        <w:tc>
          <w:tcPr>
            <w:tcW w:w="413" w:type="pct"/>
            <w:shd w:val="clear" w:color="auto" w:fill="auto"/>
            <w:noWrap/>
            <w:vAlign w:val="center"/>
          </w:tcPr>
          <w:p w14:paraId="2F9EA64A"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88" w:type="pct"/>
            <w:shd w:val="clear" w:color="auto" w:fill="auto"/>
            <w:noWrap/>
            <w:vAlign w:val="center"/>
          </w:tcPr>
          <w:p w14:paraId="745E2F0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5C404BE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29ACEE0E"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67" w:type="pct"/>
            <w:shd w:val="clear" w:color="auto" w:fill="auto"/>
            <w:noWrap/>
            <w:vAlign w:val="center"/>
          </w:tcPr>
          <w:p w14:paraId="6A3562B4"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08" w:type="pct"/>
            <w:gridSpan w:val="2"/>
            <w:shd w:val="clear" w:color="auto" w:fill="auto"/>
            <w:noWrap/>
            <w:vAlign w:val="center"/>
          </w:tcPr>
          <w:p w14:paraId="1D188882"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8" w:type="pct"/>
            <w:shd w:val="clear" w:color="auto" w:fill="auto"/>
            <w:noWrap/>
            <w:vAlign w:val="center"/>
          </w:tcPr>
          <w:p w14:paraId="51399308"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r>
      <w:tr w:rsidR="00814F8E" w:rsidRPr="00BD050E" w14:paraId="6A0CBBA1" w14:textId="77777777" w:rsidTr="000B4C5A">
        <w:trPr>
          <w:trHeight w:val="264"/>
        </w:trPr>
        <w:tc>
          <w:tcPr>
            <w:tcW w:w="898" w:type="pct"/>
            <w:shd w:val="clear" w:color="auto" w:fill="auto"/>
            <w:noWrap/>
            <w:vAlign w:val="center"/>
            <w:hideMark/>
          </w:tcPr>
          <w:p w14:paraId="79207F8E"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Utilizarea fondurilor prin categorii</w:t>
            </w:r>
          </w:p>
        </w:tc>
        <w:tc>
          <w:tcPr>
            <w:tcW w:w="421" w:type="pct"/>
            <w:shd w:val="clear" w:color="auto" w:fill="auto"/>
            <w:noWrap/>
            <w:vAlign w:val="center"/>
          </w:tcPr>
          <w:p w14:paraId="6ECA732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tcPr>
          <w:p w14:paraId="67B18AA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2120BB2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7FB9820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0ABDB70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2B23972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0F6BA16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2F1C5A5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6DC1A41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38C148A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17FE6344" w14:textId="77777777" w:rsidTr="000B4C5A">
        <w:trPr>
          <w:trHeight w:val="570"/>
        </w:trPr>
        <w:tc>
          <w:tcPr>
            <w:tcW w:w="898" w:type="pct"/>
            <w:shd w:val="clear" w:color="auto" w:fill="auto"/>
            <w:vAlign w:val="center"/>
            <w:hideMark/>
          </w:tcPr>
          <w:p w14:paraId="0586F997"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Bunuri, servicii non-consultanță, servicii de consultanță (inclusiv audituri), costurile de instruire și de operare</w:t>
            </w:r>
          </w:p>
        </w:tc>
        <w:tc>
          <w:tcPr>
            <w:tcW w:w="421" w:type="pct"/>
            <w:shd w:val="clear" w:color="auto" w:fill="auto"/>
            <w:noWrap/>
          </w:tcPr>
          <w:p w14:paraId="2621D12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104.104,33</w:t>
            </w:r>
          </w:p>
        </w:tc>
        <w:tc>
          <w:tcPr>
            <w:tcW w:w="420" w:type="pct"/>
            <w:shd w:val="clear" w:color="auto" w:fill="auto"/>
            <w:noWrap/>
          </w:tcPr>
          <w:p w14:paraId="7A60861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104.104,33</w:t>
            </w:r>
          </w:p>
        </w:tc>
        <w:tc>
          <w:tcPr>
            <w:tcW w:w="418" w:type="pct"/>
            <w:shd w:val="clear" w:color="auto" w:fill="auto"/>
            <w:noWrap/>
          </w:tcPr>
          <w:p w14:paraId="6405663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1.770.673,49</w:t>
            </w:r>
          </w:p>
        </w:tc>
        <w:tc>
          <w:tcPr>
            <w:tcW w:w="413" w:type="pct"/>
            <w:shd w:val="clear" w:color="auto" w:fill="auto"/>
            <w:noWrap/>
          </w:tcPr>
          <w:p w14:paraId="3E30276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108.108,10</w:t>
            </w:r>
          </w:p>
        </w:tc>
        <w:tc>
          <w:tcPr>
            <w:tcW w:w="388" w:type="pct"/>
            <w:shd w:val="clear" w:color="auto" w:fill="auto"/>
            <w:noWrap/>
          </w:tcPr>
          <w:p w14:paraId="58653E56"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108.108,10</w:t>
            </w:r>
          </w:p>
        </w:tc>
        <w:tc>
          <w:tcPr>
            <w:tcW w:w="437" w:type="pct"/>
            <w:shd w:val="clear" w:color="auto" w:fill="auto"/>
            <w:noWrap/>
          </w:tcPr>
          <w:p w14:paraId="3F155CD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1.774.677,26</w:t>
            </w:r>
          </w:p>
        </w:tc>
        <w:tc>
          <w:tcPr>
            <w:tcW w:w="412" w:type="pct"/>
            <w:shd w:val="clear" w:color="auto" w:fill="auto"/>
            <w:noWrap/>
          </w:tcPr>
          <w:p w14:paraId="319821D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-4.003,77</w:t>
            </w:r>
          </w:p>
        </w:tc>
        <w:tc>
          <w:tcPr>
            <w:tcW w:w="367" w:type="pct"/>
            <w:shd w:val="clear" w:color="auto" w:fill="auto"/>
            <w:noWrap/>
          </w:tcPr>
          <w:p w14:paraId="345603C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-4.003,77</w:t>
            </w:r>
          </w:p>
        </w:tc>
        <w:tc>
          <w:tcPr>
            <w:tcW w:w="408" w:type="pct"/>
            <w:gridSpan w:val="2"/>
            <w:shd w:val="clear" w:color="auto" w:fill="auto"/>
            <w:noWrap/>
          </w:tcPr>
          <w:p w14:paraId="62DAB8C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-4.003,77</w:t>
            </w:r>
          </w:p>
        </w:tc>
        <w:tc>
          <w:tcPr>
            <w:tcW w:w="418" w:type="pct"/>
            <w:shd w:val="clear" w:color="auto" w:fill="auto"/>
            <w:noWrap/>
          </w:tcPr>
          <w:p w14:paraId="7BEEECC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1.981.000,00</w:t>
            </w:r>
          </w:p>
        </w:tc>
      </w:tr>
      <w:tr w:rsidR="00814F8E" w:rsidRPr="00BD050E" w14:paraId="5DBE32C9" w14:textId="77777777" w:rsidTr="000B4C5A">
        <w:trPr>
          <w:trHeight w:val="201"/>
        </w:trPr>
        <w:tc>
          <w:tcPr>
            <w:tcW w:w="898" w:type="pct"/>
            <w:shd w:val="clear" w:color="auto" w:fill="auto"/>
            <w:vAlign w:val="center"/>
          </w:tcPr>
          <w:p w14:paraId="1532DA95"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Finanțare adițională</w:t>
            </w:r>
          </w:p>
        </w:tc>
        <w:tc>
          <w:tcPr>
            <w:tcW w:w="421" w:type="pct"/>
            <w:shd w:val="clear" w:color="auto" w:fill="auto"/>
            <w:noWrap/>
          </w:tcPr>
          <w:p w14:paraId="5AF8466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tcPr>
          <w:p w14:paraId="01B24AD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tcPr>
          <w:p w14:paraId="2FEEF1E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tcPr>
          <w:p w14:paraId="7CC2064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tcPr>
          <w:p w14:paraId="3A78A65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tcPr>
          <w:p w14:paraId="419246E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tcPr>
          <w:p w14:paraId="23B5CF1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tcPr>
          <w:p w14:paraId="10D6D61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tcPr>
          <w:p w14:paraId="1CE0DCD2"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tcPr>
          <w:p w14:paraId="7984264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968.540,00</w:t>
            </w:r>
          </w:p>
        </w:tc>
      </w:tr>
      <w:tr w:rsidR="00814F8E" w:rsidRPr="00BD050E" w14:paraId="10F29543" w14:textId="77777777" w:rsidTr="000B4C5A">
        <w:trPr>
          <w:trHeight w:val="264"/>
        </w:trPr>
        <w:tc>
          <w:tcPr>
            <w:tcW w:w="898" w:type="pct"/>
            <w:shd w:val="clear" w:color="auto" w:fill="auto"/>
            <w:noWrap/>
            <w:vAlign w:val="center"/>
            <w:hideMark/>
          </w:tcPr>
          <w:p w14:paraId="64AF288D"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Alte finanțări, dacă există</w:t>
            </w:r>
          </w:p>
        </w:tc>
        <w:tc>
          <w:tcPr>
            <w:tcW w:w="421" w:type="pct"/>
            <w:shd w:val="clear" w:color="auto" w:fill="auto"/>
            <w:noWrap/>
            <w:vAlign w:val="center"/>
          </w:tcPr>
          <w:p w14:paraId="2EB399C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tcPr>
          <w:p w14:paraId="3B1EC74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26D0994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2B96385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3CFCA79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43B53B7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1AB7439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03A9896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1A09AE3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006DD78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40C6BD82" w14:textId="77777777" w:rsidTr="000B4C5A">
        <w:trPr>
          <w:trHeight w:val="264"/>
        </w:trPr>
        <w:tc>
          <w:tcPr>
            <w:tcW w:w="898" w:type="pct"/>
            <w:shd w:val="clear" w:color="auto" w:fill="auto"/>
            <w:noWrap/>
            <w:vAlign w:val="center"/>
            <w:hideMark/>
          </w:tcPr>
          <w:p w14:paraId="4554F3CC"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Cheltuieli totale pentru Proiect</w:t>
            </w:r>
          </w:p>
        </w:tc>
        <w:tc>
          <w:tcPr>
            <w:tcW w:w="421" w:type="pct"/>
            <w:shd w:val="clear" w:color="auto" w:fill="auto"/>
            <w:noWrap/>
          </w:tcPr>
          <w:p w14:paraId="6719B0E3"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104.104,33</w:t>
            </w:r>
          </w:p>
        </w:tc>
        <w:tc>
          <w:tcPr>
            <w:tcW w:w="420" w:type="pct"/>
            <w:shd w:val="clear" w:color="auto" w:fill="auto"/>
            <w:noWrap/>
          </w:tcPr>
          <w:p w14:paraId="5FA3D977"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104.104,33</w:t>
            </w:r>
          </w:p>
        </w:tc>
        <w:tc>
          <w:tcPr>
            <w:tcW w:w="418" w:type="pct"/>
            <w:shd w:val="clear" w:color="auto" w:fill="auto"/>
            <w:noWrap/>
          </w:tcPr>
          <w:p w14:paraId="2BDAA4B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1.770.673,49</w:t>
            </w:r>
          </w:p>
        </w:tc>
        <w:tc>
          <w:tcPr>
            <w:tcW w:w="413" w:type="pct"/>
            <w:shd w:val="clear" w:color="auto" w:fill="auto"/>
            <w:noWrap/>
          </w:tcPr>
          <w:p w14:paraId="7DEEBFD2"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108.108,10</w:t>
            </w:r>
          </w:p>
        </w:tc>
        <w:tc>
          <w:tcPr>
            <w:tcW w:w="388" w:type="pct"/>
            <w:shd w:val="clear" w:color="auto" w:fill="auto"/>
            <w:noWrap/>
          </w:tcPr>
          <w:p w14:paraId="4B41E156"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108.108,10</w:t>
            </w:r>
          </w:p>
        </w:tc>
        <w:tc>
          <w:tcPr>
            <w:tcW w:w="437" w:type="pct"/>
            <w:shd w:val="clear" w:color="auto" w:fill="auto"/>
            <w:noWrap/>
          </w:tcPr>
          <w:p w14:paraId="396E786F"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1.774.677,26</w:t>
            </w:r>
          </w:p>
        </w:tc>
        <w:tc>
          <w:tcPr>
            <w:tcW w:w="412" w:type="pct"/>
            <w:shd w:val="clear" w:color="auto" w:fill="auto"/>
            <w:noWrap/>
          </w:tcPr>
          <w:p w14:paraId="5E0F0C25"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-4.003,77</w:t>
            </w:r>
          </w:p>
        </w:tc>
        <w:tc>
          <w:tcPr>
            <w:tcW w:w="367" w:type="pct"/>
            <w:shd w:val="clear" w:color="auto" w:fill="auto"/>
            <w:noWrap/>
          </w:tcPr>
          <w:p w14:paraId="0251CEC6"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6"/>
                <w:szCs w:val="16"/>
                <w:lang w:val="ro-RO"/>
              </w:rPr>
            </w:pPr>
            <w:r w:rsidRPr="00BD050E">
              <w:rPr>
                <w:rFonts w:asciiTheme="majorHAnsi" w:eastAsia="Times New Roman" w:hAnsiTheme="majorHAnsi" w:cstheme="majorHAnsi"/>
                <w:b/>
                <w:bCs/>
                <w:color w:val="000000" w:themeColor="text1"/>
                <w:sz w:val="16"/>
                <w:szCs w:val="16"/>
                <w:lang w:val="ro-RO"/>
              </w:rPr>
              <w:t>-4.003,77</w:t>
            </w:r>
          </w:p>
        </w:tc>
        <w:tc>
          <w:tcPr>
            <w:tcW w:w="408" w:type="pct"/>
            <w:gridSpan w:val="2"/>
            <w:shd w:val="clear" w:color="auto" w:fill="auto"/>
            <w:noWrap/>
          </w:tcPr>
          <w:p w14:paraId="1776218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-4.003,77</w:t>
            </w:r>
          </w:p>
        </w:tc>
        <w:tc>
          <w:tcPr>
            <w:tcW w:w="418" w:type="pct"/>
            <w:shd w:val="clear" w:color="auto" w:fill="auto"/>
            <w:noWrap/>
          </w:tcPr>
          <w:p w14:paraId="29F1EABA"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2.949.540,00</w:t>
            </w:r>
          </w:p>
        </w:tc>
      </w:tr>
      <w:tr w:rsidR="00814F8E" w:rsidRPr="00BD050E" w14:paraId="1909D930" w14:textId="77777777" w:rsidTr="000B4C5A">
        <w:trPr>
          <w:trHeight w:val="264"/>
        </w:trPr>
        <w:tc>
          <w:tcPr>
            <w:tcW w:w="898" w:type="pct"/>
            <w:shd w:val="clear" w:color="auto" w:fill="auto"/>
            <w:noWrap/>
            <w:vAlign w:val="center"/>
            <w:hideMark/>
          </w:tcPr>
          <w:p w14:paraId="2360F933"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Diferențe de curs valutar</w:t>
            </w:r>
          </w:p>
        </w:tc>
        <w:tc>
          <w:tcPr>
            <w:tcW w:w="421" w:type="pct"/>
            <w:shd w:val="clear" w:color="auto" w:fill="auto"/>
            <w:noWrap/>
            <w:vAlign w:val="center"/>
          </w:tcPr>
          <w:p w14:paraId="5A44CC41"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20" w:type="pct"/>
            <w:shd w:val="clear" w:color="auto" w:fill="auto"/>
            <w:noWrap/>
            <w:vAlign w:val="center"/>
          </w:tcPr>
          <w:p w14:paraId="1C5CB255"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8" w:type="pct"/>
            <w:shd w:val="clear" w:color="auto" w:fill="auto"/>
            <w:noWrap/>
            <w:vAlign w:val="center"/>
          </w:tcPr>
          <w:p w14:paraId="2B321CC1"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3" w:type="pct"/>
            <w:shd w:val="clear" w:color="auto" w:fill="auto"/>
            <w:noWrap/>
            <w:vAlign w:val="center"/>
          </w:tcPr>
          <w:p w14:paraId="3C85E298"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88" w:type="pct"/>
            <w:shd w:val="clear" w:color="auto" w:fill="auto"/>
            <w:noWrap/>
            <w:vAlign w:val="center"/>
          </w:tcPr>
          <w:p w14:paraId="7752A9D2"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3949DDDE"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2" w:type="pct"/>
            <w:shd w:val="clear" w:color="auto" w:fill="auto"/>
            <w:noWrap/>
            <w:vAlign w:val="center"/>
          </w:tcPr>
          <w:p w14:paraId="61D15BCC"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67" w:type="pct"/>
            <w:shd w:val="clear" w:color="auto" w:fill="auto"/>
            <w:noWrap/>
            <w:vAlign w:val="center"/>
          </w:tcPr>
          <w:p w14:paraId="37BB8C42"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08" w:type="pct"/>
            <w:gridSpan w:val="2"/>
            <w:shd w:val="clear" w:color="auto" w:fill="auto"/>
            <w:noWrap/>
            <w:vAlign w:val="center"/>
          </w:tcPr>
          <w:p w14:paraId="31009013"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8" w:type="pct"/>
            <w:shd w:val="clear" w:color="auto" w:fill="auto"/>
            <w:noWrap/>
            <w:vAlign w:val="center"/>
          </w:tcPr>
          <w:p w14:paraId="7DA4096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7B722956" w14:textId="77777777" w:rsidTr="000B4C5A">
        <w:trPr>
          <w:trHeight w:val="264"/>
        </w:trPr>
        <w:tc>
          <w:tcPr>
            <w:tcW w:w="898" w:type="pct"/>
            <w:shd w:val="clear" w:color="auto" w:fill="auto"/>
            <w:noWrap/>
            <w:vAlign w:val="center"/>
            <w:hideMark/>
          </w:tcPr>
          <w:p w14:paraId="29DDCA66"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Diferențe de curs valutar</w:t>
            </w:r>
          </w:p>
        </w:tc>
        <w:tc>
          <w:tcPr>
            <w:tcW w:w="421" w:type="pct"/>
            <w:shd w:val="clear" w:color="auto" w:fill="auto"/>
            <w:noWrap/>
            <w:vAlign w:val="center"/>
          </w:tcPr>
          <w:p w14:paraId="3CAA7B3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tcPr>
          <w:p w14:paraId="7346478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6A3399C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589F51E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73166A0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3DEF721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25F83EC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3F8C7BF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0B7D2E6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5C6A775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70F111CD" w14:textId="77777777" w:rsidTr="000B4C5A">
        <w:trPr>
          <w:trHeight w:val="264"/>
        </w:trPr>
        <w:tc>
          <w:tcPr>
            <w:tcW w:w="898" w:type="pct"/>
            <w:shd w:val="clear" w:color="auto" w:fill="auto"/>
            <w:noWrap/>
            <w:vAlign w:val="center"/>
            <w:hideMark/>
          </w:tcPr>
          <w:p w14:paraId="65A8C06D"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Închiderea soldurilor de numerar </w:t>
            </w:r>
          </w:p>
        </w:tc>
        <w:tc>
          <w:tcPr>
            <w:tcW w:w="421" w:type="pct"/>
            <w:shd w:val="clear" w:color="auto" w:fill="auto"/>
            <w:noWrap/>
            <w:vAlign w:val="center"/>
          </w:tcPr>
          <w:p w14:paraId="15EAFCE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20" w:type="pct"/>
            <w:shd w:val="clear" w:color="auto" w:fill="auto"/>
            <w:noWrap/>
            <w:vAlign w:val="center"/>
          </w:tcPr>
          <w:p w14:paraId="72F5D61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5C22B02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3" w:type="pct"/>
            <w:shd w:val="clear" w:color="auto" w:fill="auto"/>
            <w:noWrap/>
            <w:vAlign w:val="center"/>
          </w:tcPr>
          <w:p w14:paraId="39CBCD5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5A92276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33FF54B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6562D63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1BBFCF2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2879B06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5F70441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4F6BC58B" w14:textId="77777777" w:rsidTr="000B4C5A">
        <w:trPr>
          <w:trHeight w:val="264"/>
        </w:trPr>
        <w:tc>
          <w:tcPr>
            <w:tcW w:w="898" w:type="pct"/>
            <w:shd w:val="clear" w:color="auto" w:fill="auto"/>
            <w:noWrap/>
            <w:vAlign w:val="center"/>
            <w:hideMark/>
          </w:tcPr>
          <w:p w14:paraId="6B44D171"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Cont desemnat DA-B (în dolari SUA)</w:t>
            </w:r>
          </w:p>
        </w:tc>
        <w:tc>
          <w:tcPr>
            <w:tcW w:w="421" w:type="pct"/>
            <w:shd w:val="clear" w:color="auto" w:fill="auto"/>
            <w:noWrap/>
          </w:tcPr>
          <w:p w14:paraId="4A23D28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44.007,74</w:t>
            </w:r>
          </w:p>
        </w:tc>
        <w:tc>
          <w:tcPr>
            <w:tcW w:w="420" w:type="pct"/>
            <w:shd w:val="clear" w:color="auto" w:fill="auto"/>
            <w:noWrap/>
          </w:tcPr>
          <w:p w14:paraId="5B4FCC2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44.007,74</w:t>
            </w:r>
          </w:p>
        </w:tc>
        <w:tc>
          <w:tcPr>
            <w:tcW w:w="418" w:type="pct"/>
            <w:shd w:val="clear" w:color="auto" w:fill="auto"/>
            <w:noWrap/>
          </w:tcPr>
          <w:p w14:paraId="1F5892F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44.007,74</w:t>
            </w:r>
          </w:p>
        </w:tc>
        <w:tc>
          <w:tcPr>
            <w:tcW w:w="413" w:type="pct"/>
            <w:shd w:val="clear" w:color="auto" w:fill="auto"/>
            <w:noWrap/>
            <w:vAlign w:val="center"/>
          </w:tcPr>
          <w:p w14:paraId="240C006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7B7838F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4E2F76B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0DEA098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667B1DC2"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1C31866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32FDD89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3586A5F5" w14:textId="77777777" w:rsidTr="000B4C5A">
        <w:trPr>
          <w:trHeight w:val="264"/>
        </w:trPr>
        <w:tc>
          <w:tcPr>
            <w:tcW w:w="898" w:type="pct"/>
            <w:shd w:val="clear" w:color="auto" w:fill="auto"/>
            <w:noWrap/>
            <w:vAlign w:val="center"/>
            <w:hideMark/>
          </w:tcPr>
          <w:p w14:paraId="74863C69" w14:textId="77777777" w:rsidR="0036424B" w:rsidRPr="00BD050E" w:rsidRDefault="0036424B" w:rsidP="000B4C5A">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Cont desemnat DA-B (în MDL)</w:t>
            </w:r>
          </w:p>
        </w:tc>
        <w:tc>
          <w:tcPr>
            <w:tcW w:w="421" w:type="pct"/>
            <w:shd w:val="clear" w:color="auto" w:fill="auto"/>
            <w:noWrap/>
          </w:tcPr>
          <w:p w14:paraId="5CC87CF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0,47</w:t>
            </w:r>
          </w:p>
        </w:tc>
        <w:tc>
          <w:tcPr>
            <w:tcW w:w="420" w:type="pct"/>
            <w:shd w:val="clear" w:color="auto" w:fill="auto"/>
            <w:noWrap/>
          </w:tcPr>
          <w:p w14:paraId="126EA3B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0,47</w:t>
            </w:r>
          </w:p>
        </w:tc>
        <w:tc>
          <w:tcPr>
            <w:tcW w:w="418" w:type="pct"/>
            <w:shd w:val="clear" w:color="auto" w:fill="auto"/>
            <w:noWrap/>
          </w:tcPr>
          <w:p w14:paraId="398C503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0,47</w:t>
            </w:r>
          </w:p>
        </w:tc>
        <w:tc>
          <w:tcPr>
            <w:tcW w:w="413" w:type="pct"/>
            <w:shd w:val="clear" w:color="auto" w:fill="auto"/>
            <w:noWrap/>
            <w:vAlign w:val="center"/>
          </w:tcPr>
          <w:p w14:paraId="56EF386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88" w:type="pct"/>
            <w:shd w:val="clear" w:color="auto" w:fill="auto"/>
            <w:noWrap/>
            <w:vAlign w:val="center"/>
          </w:tcPr>
          <w:p w14:paraId="3253DE7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37" w:type="pct"/>
            <w:shd w:val="clear" w:color="auto" w:fill="auto"/>
            <w:noWrap/>
            <w:vAlign w:val="center"/>
          </w:tcPr>
          <w:p w14:paraId="568AA8F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2" w:type="pct"/>
            <w:shd w:val="clear" w:color="auto" w:fill="auto"/>
            <w:noWrap/>
            <w:vAlign w:val="center"/>
          </w:tcPr>
          <w:p w14:paraId="2081D45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367" w:type="pct"/>
            <w:shd w:val="clear" w:color="auto" w:fill="auto"/>
            <w:noWrap/>
            <w:vAlign w:val="center"/>
          </w:tcPr>
          <w:p w14:paraId="2FBCE78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08" w:type="pct"/>
            <w:gridSpan w:val="2"/>
            <w:shd w:val="clear" w:color="auto" w:fill="auto"/>
            <w:noWrap/>
            <w:vAlign w:val="center"/>
          </w:tcPr>
          <w:p w14:paraId="7D0BD80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c>
          <w:tcPr>
            <w:tcW w:w="418" w:type="pct"/>
            <w:shd w:val="clear" w:color="auto" w:fill="auto"/>
            <w:noWrap/>
            <w:vAlign w:val="center"/>
          </w:tcPr>
          <w:p w14:paraId="4A6C3DA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18E2E037" w14:textId="77777777" w:rsidTr="000B4C5A">
        <w:trPr>
          <w:trHeight w:val="276"/>
        </w:trPr>
        <w:tc>
          <w:tcPr>
            <w:tcW w:w="898" w:type="pct"/>
            <w:shd w:val="clear" w:color="auto" w:fill="auto"/>
            <w:noWrap/>
            <w:vAlign w:val="center"/>
            <w:hideMark/>
          </w:tcPr>
          <w:p w14:paraId="099983DF"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 Total</w:t>
            </w:r>
          </w:p>
        </w:tc>
        <w:tc>
          <w:tcPr>
            <w:tcW w:w="421" w:type="pct"/>
            <w:shd w:val="clear" w:color="auto" w:fill="auto"/>
            <w:noWrap/>
          </w:tcPr>
          <w:p w14:paraId="6164A9A6"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44.008,21</w:t>
            </w:r>
          </w:p>
        </w:tc>
        <w:tc>
          <w:tcPr>
            <w:tcW w:w="420" w:type="pct"/>
            <w:shd w:val="clear" w:color="auto" w:fill="auto"/>
            <w:noWrap/>
          </w:tcPr>
          <w:p w14:paraId="6DCD2283"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44.008,21</w:t>
            </w:r>
          </w:p>
        </w:tc>
        <w:tc>
          <w:tcPr>
            <w:tcW w:w="418" w:type="pct"/>
            <w:shd w:val="clear" w:color="auto" w:fill="auto"/>
            <w:noWrap/>
          </w:tcPr>
          <w:p w14:paraId="71B1FA4A"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44.008,21</w:t>
            </w:r>
          </w:p>
        </w:tc>
        <w:tc>
          <w:tcPr>
            <w:tcW w:w="413" w:type="pct"/>
            <w:shd w:val="clear" w:color="auto" w:fill="auto"/>
            <w:noWrap/>
          </w:tcPr>
          <w:p w14:paraId="53DBEF14"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88" w:type="pct"/>
            <w:shd w:val="clear" w:color="auto" w:fill="auto"/>
            <w:noWrap/>
          </w:tcPr>
          <w:p w14:paraId="376FB865"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37" w:type="pct"/>
            <w:shd w:val="clear" w:color="auto" w:fill="auto"/>
            <w:noWrap/>
          </w:tcPr>
          <w:p w14:paraId="5401C445"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2" w:type="pct"/>
            <w:shd w:val="clear" w:color="auto" w:fill="auto"/>
            <w:noWrap/>
          </w:tcPr>
          <w:p w14:paraId="62D37324"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367" w:type="pct"/>
            <w:shd w:val="clear" w:color="auto" w:fill="auto"/>
            <w:noWrap/>
          </w:tcPr>
          <w:p w14:paraId="64F51161"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6"/>
                <w:szCs w:val="16"/>
                <w:lang w:val="ro-RO"/>
              </w:rPr>
            </w:pPr>
          </w:p>
        </w:tc>
        <w:tc>
          <w:tcPr>
            <w:tcW w:w="408" w:type="pct"/>
            <w:gridSpan w:val="2"/>
            <w:shd w:val="clear" w:color="auto" w:fill="auto"/>
            <w:noWrap/>
          </w:tcPr>
          <w:p w14:paraId="28A8A642"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18"/>
                <w:szCs w:val="18"/>
                <w:lang w:val="ro-RO"/>
              </w:rPr>
            </w:pPr>
          </w:p>
        </w:tc>
        <w:tc>
          <w:tcPr>
            <w:tcW w:w="418" w:type="pct"/>
            <w:shd w:val="clear" w:color="auto" w:fill="auto"/>
            <w:noWrap/>
          </w:tcPr>
          <w:p w14:paraId="68FEFAA8" w14:textId="77777777" w:rsidR="0036424B" w:rsidRPr="00BD050E" w:rsidRDefault="0036424B" w:rsidP="000B4C5A">
            <w:pPr>
              <w:spacing w:after="0" w:line="240" w:lineRule="auto"/>
              <w:ind w:right="-86"/>
              <w:jc w:val="center"/>
              <w:rPr>
                <w:rFonts w:asciiTheme="majorHAnsi" w:eastAsia="Times New Roman" w:hAnsiTheme="majorHAnsi" w:cstheme="majorHAnsi"/>
                <w:b/>
                <w:bCs/>
                <w:color w:val="000000" w:themeColor="text1"/>
                <w:sz w:val="18"/>
                <w:szCs w:val="18"/>
                <w:lang w:val="ro-RO"/>
              </w:rPr>
            </w:pPr>
          </w:p>
        </w:tc>
      </w:tr>
    </w:tbl>
    <w:p w14:paraId="52C06802" w14:textId="20DC6455" w:rsidR="0036424B" w:rsidRPr="00BD050E" w:rsidRDefault="0036424B" w:rsidP="0036424B">
      <w:pPr>
        <w:tabs>
          <w:tab w:val="left" w:pos="6196"/>
        </w:tabs>
        <w:spacing w:after="0"/>
        <w:rPr>
          <w:rFonts w:asciiTheme="majorHAnsi" w:hAnsiTheme="majorHAnsi" w:cstheme="majorHAnsi"/>
          <w:i/>
          <w:color w:val="000000" w:themeColor="text1"/>
          <w:sz w:val="20"/>
          <w:szCs w:val="20"/>
          <w:lang w:val="ro-RO"/>
        </w:rPr>
      </w:pPr>
      <w:r w:rsidRPr="00BD050E">
        <w:rPr>
          <w:rFonts w:asciiTheme="majorHAnsi" w:hAnsiTheme="majorHAnsi" w:cstheme="majorHAnsi"/>
          <w:b/>
          <w:i/>
          <w:color w:val="000000" w:themeColor="text1"/>
          <w:sz w:val="20"/>
          <w:szCs w:val="20"/>
          <w:lang w:val="ro-RO"/>
        </w:rPr>
        <w:t>Sursa</w:t>
      </w:r>
      <w:r w:rsidRPr="00BD050E">
        <w:rPr>
          <w:rFonts w:asciiTheme="majorHAnsi" w:hAnsiTheme="majorHAnsi" w:cstheme="majorHAnsi"/>
          <w:i/>
          <w:color w:val="000000" w:themeColor="text1"/>
          <w:sz w:val="20"/>
          <w:szCs w:val="20"/>
          <w:lang w:val="ro-RO"/>
        </w:rPr>
        <w:t>: Rapoarte</w:t>
      </w:r>
      <w:r w:rsidR="001C236A" w:rsidRPr="00BD050E">
        <w:rPr>
          <w:rFonts w:asciiTheme="majorHAnsi" w:hAnsiTheme="majorHAnsi" w:cstheme="majorHAnsi"/>
          <w:i/>
          <w:color w:val="000000" w:themeColor="text1"/>
          <w:sz w:val="20"/>
          <w:szCs w:val="20"/>
          <w:lang w:val="ro-RO"/>
        </w:rPr>
        <w:t>le</w:t>
      </w:r>
      <w:r w:rsidRPr="00BD050E">
        <w:rPr>
          <w:rFonts w:asciiTheme="majorHAnsi" w:hAnsiTheme="majorHAnsi" w:cstheme="majorHAnsi"/>
          <w:i/>
          <w:color w:val="000000" w:themeColor="text1"/>
          <w:sz w:val="20"/>
          <w:szCs w:val="20"/>
          <w:lang w:val="ro-RO"/>
        </w:rPr>
        <w:t xml:space="preserve"> privind Component</w:t>
      </w:r>
      <w:r w:rsidR="001C236A" w:rsidRPr="00BD050E">
        <w:rPr>
          <w:rFonts w:asciiTheme="majorHAnsi" w:hAnsiTheme="majorHAnsi" w:cstheme="majorHAnsi"/>
          <w:i/>
          <w:color w:val="000000" w:themeColor="text1"/>
          <w:sz w:val="20"/>
          <w:szCs w:val="20"/>
          <w:lang w:val="ro-RO"/>
        </w:rPr>
        <w:t>a „</w:t>
      </w:r>
      <w:r w:rsidRPr="00BD050E">
        <w:rPr>
          <w:rFonts w:asciiTheme="majorHAnsi" w:hAnsiTheme="majorHAnsi" w:cstheme="majorHAnsi"/>
          <w:i/>
          <w:color w:val="000000" w:themeColor="text1"/>
          <w:sz w:val="20"/>
          <w:szCs w:val="20"/>
          <w:lang w:val="ro-RO"/>
        </w:rPr>
        <w:t xml:space="preserve"> Asistență Tehnică</w:t>
      </w:r>
      <w:r w:rsidR="001C236A" w:rsidRPr="00BD050E">
        <w:rPr>
          <w:rFonts w:asciiTheme="majorHAnsi" w:hAnsiTheme="majorHAnsi" w:cstheme="majorHAnsi"/>
          <w:i/>
          <w:color w:val="000000" w:themeColor="text1"/>
          <w:sz w:val="20"/>
          <w:szCs w:val="20"/>
          <w:lang w:val="ro-RO"/>
        </w:rPr>
        <w:t>”</w:t>
      </w:r>
      <w:r w:rsidRPr="00BD050E">
        <w:rPr>
          <w:rFonts w:asciiTheme="majorHAnsi" w:hAnsiTheme="majorHAnsi" w:cstheme="majorHAnsi"/>
          <w:i/>
          <w:color w:val="000000" w:themeColor="text1"/>
          <w:sz w:val="20"/>
          <w:szCs w:val="20"/>
          <w:lang w:val="ro-RO"/>
        </w:rPr>
        <w:t xml:space="preserve"> din cadrul Operațiunii „Modernizarea sectorului sănătății în Republica Moldova”</w:t>
      </w:r>
      <w:bookmarkStart w:id="18" w:name="_Toc513122876"/>
      <w:bookmarkStart w:id="19" w:name="_Toc10125925"/>
      <w:r w:rsidR="001C236A" w:rsidRPr="00BD050E">
        <w:rPr>
          <w:rFonts w:asciiTheme="majorHAnsi" w:hAnsiTheme="majorHAnsi" w:cstheme="majorHAnsi"/>
          <w:i/>
          <w:color w:val="000000" w:themeColor="text1"/>
          <w:sz w:val="20"/>
          <w:szCs w:val="20"/>
          <w:lang w:val="ro-RO"/>
        </w:rPr>
        <w:t>.</w:t>
      </w:r>
    </w:p>
    <w:p w14:paraId="3A630040" w14:textId="77777777" w:rsidR="0036424B" w:rsidRPr="00BD050E" w:rsidRDefault="0036424B" w:rsidP="0036424B">
      <w:pPr>
        <w:keepNext/>
        <w:keepLines/>
        <w:spacing w:before="240" w:after="0"/>
        <w:jc w:val="right"/>
        <w:outlineLvl w:val="0"/>
        <w:rPr>
          <w:rFonts w:asciiTheme="majorHAnsi" w:eastAsiaTheme="majorEastAsia" w:hAnsiTheme="majorHAnsi" w:cstheme="majorHAnsi"/>
          <w:b/>
          <w:color w:val="000000" w:themeColor="text1"/>
          <w:sz w:val="24"/>
          <w:szCs w:val="24"/>
          <w:lang w:val="ro-RO"/>
        </w:rPr>
      </w:pPr>
      <w:r w:rsidRPr="00BD050E">
        <w:rPr>
          <w:rFonts w:asciiTheme="majorHAnsi" w:eastAsiaTheme="majorEastAsia" w:hAnsiTheme="majorHAnsi" w:cstheme="majorHAnsi"/>
          <w:b/>
          <w:color w:val="000000" w:themeColor="text1"/>
          <w:sz w:val="24"/>
          <w:szCs w:val="24"/>
          <w:lang w:val="ro-RO"/>
        </w:rPr>
        <w:t>Anexa nr.</w:t>
      </w:r>
      <w:bookmarkEnd w:id="18"/>
      <w:bookmarkEnd w:id="19"/>
      <w:r w:rsidRPr="00BD050E">
        <w:rPr>
          <w:rFonts w:asciiTheme="majorHAnsi" w:eastAsiaTheme="majorEastAsia" w:hAnsiTheme="majorHAnsi" w:cstheme="majorHAnsi"/>
          <w:b/>
          <w:color w:val="000000" w:themeColor="text1"/>
          <w:sz w:val="24"/>
          <w:szCs w:val="24"/>
          <w:lang w:val="ro-RO"/>
        </w:rPr>
        <w:t>3</w:t>
      </w:r>
    </w:p>
    <w:p w14:paraId="030D63D5" w14:textId="0ABA395F" w:rsidR="0036424B" w:rsidRPr="00BD050E" w:rsidRDefault="0036424B" w:rsidP="0036424B">
      <w:pPr>
        <w:spacing w:after="0"/>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 xml:space="preserve">Raportul privind executarea cheltuielilor din mijloacele Proiectului de Asistență Tehnică din cadrul Operațiunii „Modernizarea sectorului sănătății în Republica Moldova”, la situația </w:t>
      </w:r>
      <w:r w:rsidR="001C236A" w:rsidRPr="00BD050E">
        <w:rPr>
          <w:rFonts w:asciiTheme="majorHAnsi" w:hAnsiTheme="majorHAnsi" w:cstheme="majorHAnsi"/>
          <w:b/>
          <w:i/>
          <w:color w:val="000000" w:themeColor="text1"/>
          <w:sz w:val="24"/>
          <w:szCs w:val="24"/>
          <w:lang w:val="ro-RO"/>
        </w:rPr>
        <w:t xml:space="preserve">din </w:t>
      </w:r>
      <w:r w:rsidRPr="00BD050E">
        <w:rPr>
          <w:rFonts w:asciiTheme="majorHAnsi" w:hAnsiTheme="majorHAnsi" w:cstheme="majorHAnsi"/>
          <w:b/>
          <w:i/>
          <w:color w:val="000000" w:themeColor="text1"/>
          <w:sz w:val="24"/>
          <w:szCs w:val="24"/>
          <w:lang w:val="ro-RO"/>
        </w:rPr>
        <w:t>31 decembrie 2021, dolari SUA</w:t>
      </w:r>
    </w:p>
    <w:tbl>
      <w:tblPr>
        <w:tblW w:w="14754" w:type="dxa"/>
        <w:tblInd w:w="-725" w:type="dxa"/>
        <w:tblLook w:val="04A0" w:firstRow="1" w:lastRow="0" w:firstColumn="1" w:lastColumn="0" w:noHBand="0" w:noVBand="1"/>
      </w:tblPr>
      <w:tblGrid>
        <w:gridCol w:w="3414"/>
        <w:gridCol w:w="1559"/>
        <w:gridCol w:w="1701"/>
        <w:gridCol w:w="1559"/>
        <w:gridCol w:w="1701"/>
        <w:gridCol w:w="1559"/>
        <w:gridCol w:w="1701"/>
        <w:gridCol w:w="1560"/>
      </w:tblGrid>
      <w:tr w:rsidR="00814F8E" w:rsidRPr="00BD050E" w14:paraId="3B7981A0" w14:textId="77777777" w:rsidTr="005F2495">
        <w:trPr>
          <w:trHeight w:val="264"/>
        </w:trPr>
        <w:tc>
          <w:tcPr>
            <w:tcW w:w="34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06E4D" w14:textId="77777777" w:rsidR="005F2495" w:rsidRPr="00BD050E" w:rsidRDefault="005F2495" w:rsidP="00AA486E">
            <w:pPr>
              <w:spacing w:after="0" w:line="240" w:lineRule="auto"/>
              <w:ind w:hanging="18"/>
              <w:jc w:val="center"/>
              <w:rPr>
                <w:rFonts w:asciiTheme="majorHAnsi" w:eastAsia="Times New Roman" w:hAnsiTheme="majorHAnsi" w:cstheme="majorHAnsi"/>
                <w:b/>
                <w:bCs/>
                <w:color w:val="000000" w:themeColor="text1"/>
                <w:sz w:val="18"/>
                <w:szCs w:val="18"/>
                <w:lang w:val="ro-RO"/>
              </w:rPr>
            </w:pPr>
            <w:bookmarkStart w:id="20" w:name="_Toc513122877"/>
            <w:bookmarkStart w:id="21" w:name="_Toc10125926"/>
            <w:bookmarkStart w:id="22" w:name="_Toc481146976"/>
            <w:r w:rsidRPr="00BD050E">
              <w:rPr>
                <w:rFonts w:asciiTheme="majorHAnsi" w:eastAsia="Times New Roman" w:hAnsiTheme="majorHAnsi" w:cstheme="majorHAnsi"/>
                <w:b/>
                <w:bCs/>
                <w:color w:val="000000" w:themeColor="text1"/>
                <w:sz w:val="18"/>
                <w:szCs w:val="18"/>
                <w:lang w:val="ro-RO"/>
              </w:rPr>
              <w:t>Componenta, subcomponenta și activitatea Proiectului</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244D73"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Actual executat</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BC0792"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Planificat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7B613A"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Variație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84DCB34"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PAD</w:t>
            </w:r>
          </w:p>
        </w:tc>
      </w:tr>
      <w:tr w:rsidR="00814F8E" w:rsidRPr="00BD050E" w14:paraId="74B96F69" w14:textId="77777777" w:rsidTr="005F2495">
        <w:trPr>
          <w:trHeight w:val="452"/>
        </w:trPr>
        <w:tc>
          <w:tcPr>
            <w:tcW w:w="3414" w:type="dxa"/>
            <w:vMerge/>
            <w:tcBorders>
              <w:top w:val="single" w:sz="4" w:space="0" w:color="auto"/>
              <w:left w:val="single" w:sz="4" w:space="0" w:color="auto"/>
              <w:bottom w:val="single" w:sz="4" w:space="0" w:color="auto"/>
              <w:right w:val="single" w:sz="4" w:space="0" w:color="auto"/>
            </w:tcBorders>
            <w:vAlign w:val="center"/>
            <w:hideMark/>
          </w:tcPr>
          <w:p w14:paraId="3F6EBB01"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p>
        </w:tc>
        <w:tc>
          <w:tcPr>
            <w:tcW w:w="1559" w:type="dxa"/>
            <w:tcBorders>
              <w:top w:val="nil"/>
              <w:left w:val="nil"/>
              <w:bottom w:val="single" w:sz="4" w:space="0" w:color="auto"/>
              <w:right w:val="single" w:sz="4" w:space="0" w:color="auto"/>
            </w:tcBorders>
            <w:shd w:val="clear" w:color="auto" w:fill="auto"/>
            <w:vAlign w:val="center"/>
          </w:tcPr>
          <w:p w14:paraId="1608F413"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de la 01.01.2021- 31.12.2021</w:t>
            </w:r>
          </w:p>
        </w:tc>
        <w:tc>
          <w:tcPr>
            <w:tcW w:w="1701" w:type="dxa"/>
            <w:tcBorders>
              <w:top w:val="nil"/>
              <w:left w:val="nil"/>
              <w:bottom w:val="single" w:sz="4" w:space="0" w:color="auto"/>
              <w:right w:val="single" w:sz="4" w:space="0" w:color="auto"/>
            </w:tcBorders>
            <w:shd w:val="clear" w:color="auto" w:fill="auto"/>
            <w:vAlign w:val="center"/>
            <w:hideMark/>
          </w:tcPr>
          <w:p w14:paraId="70884727"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cumulativ (total)  până la 31.12.2021</w:t>
            </w:r>
          </w:p>
        </w:tc>
        <w:tc>
          <w:tcPr>
            <w:tcW w:w="1559" w:type="dxa"/>
            <w:tcBorders>
              <w:top w:val="nil"/>
              <w:left w:val="nil"/>
              <w:bottom w:val="single" w:sz="4" w:space="0" w:color="auto"/>
              <w:right w:val="single" w:sz="4" w:space="0" w:color="auto"/>
            </w:tcBorders>
            <w:shd w:val="clear" w:color="auto" w:fill="auto"/>
            <w:vAlign w:val="center"/>
          </w:tcPr>
          <w:p w14:paraId="371EA399"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de la 01.01.2021- 31.12.2021</w:t>
            </w:r>
          </w:p>
        </w:tc>
        <w:tc>
          <w:tcPr>
            <w:tcW w:w="1701" w:type="dxa"/>
            <w:tcBorders>
              <w:top w:val="nil"/>
              <w:left w:val="nil"/>
              <w:bottom w:val="single" w:sz="4" w:space="0" w:color="auto"/>
              <w:right w:val="single" w:sz="4" w:space="0" w:color="auto"/>
            </w:tcBorders>
            <w:shd w:val="clear" w:color="auto" w:fill="auto"/>
            <w:vAlign w:val="center"/>
            <w:hideMark/>
          </w:tcPr>
          <w:p w14:paraId="2D76E4F2"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cumulativ (total)  până la 31.12.2021</w:t>
            </w:r>
          </w:p>
        </w:tc>
        <w:tc>
          <w:tcPr>
            <w:tcW w:w="1559" w:type="dxa"/>
            <w:tcBorders>
              <w:top w:val="nil"/>
              <w:left w:val="nil"/>
              <w:bottom w:val="single" w:sz="4" w:space="0" w:color="auto"/>
              <w:right w:val="single" w:sz="4" w:space="0" w:color="auto"/>
            </w:tcBorders>
            <w:shd w:val="clear" w:color="auto" w:fill="auto"/>
            <w:vAlign w:val="center"/>
          </w:tcPr>
          <w:p w14:paraId="4539F2E1"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de la 01.01.2021- 31.12.2021</w:t>
            </w:r>
          </w:p>
        </w:tc>
        <w:tc>
          <w:tcPr>
            <w:tcW w:w="1701" w:type="dxa"/>
            <w:tcBorders>
              <w:top w:val="nil"/>
              <w:left w:val="nil"/>
              <w:bottom w:val="single" w:sz="4" w:space="0" w:color="auto"/>
              <w:right w:val="single" w:sz="4" w:space="0" w:color="auto"/>
            </w:tcBorders>
            <w:shd w:val="clear" w:color="auto" w:fill="auto"/>
            <w:vAlign w:val="center"/>
            <w:hideMark/>
          </w:tcPr>
          <w:p w14:paraId="5B2768D8" w14:textId="77777777"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cumulativ (total)  până la 31.12.2021</w:t>
            </w:r>
          </w:p>
        </w:tc>
        <w:tc>
          <w:tcPr>
            <w:tcW w:w="1560" w:type="dxa"/>
            <w:tcBorders>
              <w:top w:val="nil"/>
              <w:left w:val="nil"/>
              <w:bottom w:val="single" w:sz="4" w:space="0" w:color="auto"/>
              <w:right w:val="single" w:sz="4" w:space="0" w:color="auto"/>
            </w:tcBorders>
            <w:shd w:val="clear" w:color="auto" w:fill="auto"/>
            <w:vAlign w:val="center"/>
            <w:hideMark/>
          </w:tcPr>
          <w:p w14:paraId="11EE0EC6" w14:textId="060B0123" w:rsidR="005F2495" w:rsidRPr="00BD050E" w:rsidRDefault="005F2495" w:rsidP="00AA486E">
            <w:pPr>
              <w:spacing w:after="0" w:line="240" w:lineRule="auto"/>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durata de viață a </w:t>
            </w:r>
            <w:r w:rsidR="000B5D5F" w:rsidRPr="00BD050E">
              <w:rPr>
                <w:rFonts w:asciiTheme="majorHAnsi" w:eastAsia="Times New Roman" w:hAnsiTheme="majorHAnsi" w:cstheme="majorHAnsi"/>
                <w:b/>
                <w:bCs/>
                <w:color w:val="000000" w:themeColor="text1"/>
                <w:sz w:val="18"/>
                <w:szCs w:val="18"/>
                <w:lang w:val="ro-RO"/>
              </w:rPr>
              <w:t>P</w:t>
            </w:r>
            <w:r w:rsidRPr="00BD050E">
              <w:rPr>
                <w:rFonts w:asciiTheme="majorHAnsi" w:eastAsia="Times New Roman" w:hAnsiTheme="majorHAnsi" w:cstheme="majorHAnsi"/>
                <w:b/>
                <w:bCs/>
                <w:color w:val="000000" w:themeColor="text1"/>
                <w:sz w:val="18"/>
                <w:szCs w:val="18"/>
                <w:lang w:val="ro-RO"/>
              </w:rPr>
              <w:t>roiectului</w:t>
            </w:r>
          </w:p>
        </w:tc>
      </w:tr>
      <w:tr w:rsidR="00814F8E" w:rsidRPr="00BD050E" w14:paraId="6D49DC45" w14:textId="77777777" w:rsidTr="005F2495">
        <w:trPr>
          <w:trHeight w:val="19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08F3F2CE" w14:textId="77777777"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lastRenderedPageBreak/>
              <w:t>1. Componenta privind asistența tehnică</w:t>
            </w:r>
          </w:p>
        </w:tc>
        <w:tc>
          <w:tcPr>
            <w:tcW w:w="1559" w:type="dxa"/>
            <w:tcBorders>
              <w:top w:val="nil"/>
              <w:left w:val="nil"/>
              <w:bottom w:val="single" w:sz="4" w:space="0" w:color="auto"/>
              <w:right w:val="single" w:sz="4" w:space="0" w:color="auto"/>
            </w:tcBorders>
            <w:shd w:val="clear" w:color="auto" w:fill="auto"/>
            <w:noWrap/>
            <w:vAlign w:val="center"/>
          </w:tcPr>
          <w:p w14:paraId="11B66C6E"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hideMark/>
          </w:tcPr>
          <w:p w14:paraId="1E6A7627"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559" w:type="dxa"/>
            <w:tcBorders>
              <w:top w:val="nil"/>
              <w:left w:val="nil"/>
              <w:bottom w:val="single" w:sz="4" w:space="0" w:color="auto"/>
              <w:right w:val="single" w:sz="4" w:space="0" w:color="auto"/>
            </w:tcBorders>
            <w:shd w:val="clear" w:color="auto" w:fill="auto"/>
            <w:noWrap/>
            <w:vAlign w:val="center"/>
          </w:tcPr>
          <w:p w14:paraId="754386DD"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hideMark/>
          </w:tcPr>
          <w:p w14:paraId="3A99BE2D"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559" w:type="dxa"/>
            <w:tcBorders>
              <w:top w:val="nil"/>
              <w:left w:val="nil"/>
              <w:bottom w:val="single" w:sz="4" w:space="0" w:color="auto"/>
              <w:right w:val="single" w:sz="4" w:space="0" w:color="auto"/>
            </w:tcBorders>
            <w:shd w:val="clear" w:color="auto" w:fill="auto"/>
            <w:noWrap/>
            <w:vAlign w:val="center"/>
          </w:tcPr>
          <w:p w14:paraId="3721A1C9"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hideMark/>
          </w:tcPr>
          <w:p w14:paraId="204862E7"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560" w:type="dxa"/>
            <w:tcBorders>
              <w:top w:val="nil"/>
              <w:left w:val="nil"/>
              <w:bottom w:val="single" w:sz="4" w:space="0" w:color="auto"/>
              <w:right w:val="single" w:sz="4" w:space="0" w:color="auto"/>
            </w:tcBorders>
            <w:shd w:val="clear" w:color="auto" w:fill="auto"/>
            <w:noWrap/>
            <w:vAlign w:val="center"/>
            <w:hideMark/>
          </w:tcPr>
          <w:p w14:paraId="14070B51"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r>
      <w:tr w:rsidR="00814F8E" w:rsidRPr="00BD050E" w14:paraId="226A3F8C" w14:textId="77777777" w:rsidTr="005F2495">
        <w:trPr>
          <w:trHeight w:val="236"/>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45942599" w14:textId="77777777"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w:t>
            </w:r>
            <w:r w:rsidRPr="00BD050E">
              <w:rPr>
                <w:rFonts w:asciiTheme="majorHAnsi" w:hAnsiTheme="majorHAnsi" w:cstheme="majorHAnsi"/>
                <w:color w:val="000000" w:themeColor="text1"/>
                <w:sz w:val="18"/>
                <w:szCs w:val="18"/>
                <w:lang w:val="ro-RO"/>
              </w:rPr>
              <w:t xml:space="preserve"> </w:t>
            </w:r>
            <w:r w:rsidRPr="00BD050E">
              <w:rPr>
                <w:rFonts w:asciiTheme="majorHAnsi" w:eastAsia="Times New Roman" w:hAnsiTheme="majorHAnsi" w:cstheme="majorHAnsi"/>
                <w:b/>
                <w:bCs/>
                <w:color w:val="000000" w:themeColor="text1"/>
                <w:sz w:val="18"/>
                <w:szCs w:val="18"/>
                <w:lang w:val="ro-RO"/>
              </w:rPr>
              <w:t>Activitățile privind asistența tehnică</w:t>
            </w:r>
          </w:p>
        </w:tc>
        <w:tc>
          <w:tcPr>
            <w:tcW w:w="1559" w:type="dxa"/>
            <w:tcBorders>
              <w:top w:val="nil"/>
              <w:left w:val="nil"/>
              <w:bottom w:val="single" w:sz="4" w:space="0" w:color="auto"/>
              <w:right w:val="single" w:sz="4" w:space="0" w:color="auto"/>
            </w:tcBorders>
            <w:shd w:val="clear" w:color="auto" w:fill="auto"/>
            <w:noWrap/>
            <w:vAlign w:val="center"/>
          </w:tcPr>
          <w:p w14:paraId="5F733306"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tcPr>
          <w:p w14:paraId="61796237"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559" w:type="dxa"/>
            <w:tcBorders>
              <w:top w:val="nil"/>
              <w:left w:val="nil"/>
              <w:bottom w:val="single" w:sz="4" w:space="0" w:color="auto"/>
              <w:right w:val="single" w:sz="4" w:space="0" w:color="auto"/>
            </w:tcBorders>
            <w:shd w:val="clear" w:color="auto" w:fill="auto"/>
            <w:noWrap/>
            <w:vAlign w:val="center"/>
          </w:tcPr>
          <w:p w14:paraId="08B9CD8C"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tcPr>
          <w:p w14:paraId="5B0F271C"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559" w:type="dxa"/>
            <w:tcBorders>
              <w:top w:val="nil"/>
              <w:left w:val="nil"/>
              <w:bottom w:val="single" w:sz="4" w:space="0" w:color="auto"/>
              <w:right w:val="single" w:sz="4" w:space="0" w:color="auto"/>
            </w:tcBorders>
            <w:shd w:val="clear" w:color="auto" w:fill="auto"/>
            <w:noWrap/>
            <w:vAlign w:val="center"/>
          </w:tcPr>
          <w:p w14:paraId="6F5C404D"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tcPr>
          <w:p w14:paraId="411BAFBA"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c>
          <w:tcPr>
            <w:tcW w:w="1560" w:type="dxa"/>
            <w:tcBorders>
              <w:top w:val="nil"/>
              <w:left w:val="nil"/>
              <w:bottom w:val="single" w:sz="4" w:space="0" w:color="auto"/>
              <w:right w:val="single" w:sz="4" w:space="0" w:color="auto"/>
            </w:tcBorders>
            <w:shd w:val="clear" w:color="auto" w:fill="auto"/>
            <w:noWrap/>
            <w:vAlign w:val="center"/>
          </w:tcPr>
          <w:p w14:paraId="5E313FD2" w14:textId="77777777" w:rsidR="005F2495" w:rsidRPr="00BD050E" w:rsidRDefault="005F2495" w:rsidP="00AA486E">
            <w:pPr>
              <w:spacing w:after="0" w:line="240" w:lineRule="auto"/>
              <w:jc w:val="right"/>
              <w:rPr>
                <w:rFonts w:asciiTheme="majorHAnsi" w:eastAsia="Times New Roman" w:hAnsiTheme="majorHAnsi" w:cstheme="majorHAnsi"/>
                <w:color w:val="000000" w:themeColor="text1"/>
                <w:sz w:val="18"/>
                <w:szCs w:val="18"/>
                <w:lang w:val="ro-RO"/>
              </w:rPr>
            </w:pPr>
          </w:p>
        </w:tc>
      </w:tr>
      <w:tr w:rsidR="00814F8E" w:rsidRPr="00BD050E" w14:paraId="466F26C7" w14:textId="77777777" w:rsidTr="005F2495">
        <w:trPr>
          <w:trHeight w:val="475"/>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611492AF"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1.1.1. Asistență tehnică  pentru realizarea unui mecanism de plăți DRG printr-un exercițiu de costuri DRG bazat pe date naționale </w:t>
            </w:r>
          </w:p>
        </w:tc>
        <w:tc>
          <w:tcPr>
            <w:tcW w:w="1559" w:type="dxa"/>
            <w:tcBorders>
              <w:top w:val="nil"/>
              <w:left w:val="nil"/>
              <w:bottom w:val="single" w:sz="4" w:space="0" w:color="auto"/>
              <w:right w:val="single" w:sz="4" w:space="0" w:color="auto"/>
            </w:tcBorders>
            <w:shd w:val="clear" w:color="auto" w:fill="auto"/>
            <w:noWrap/>
            <w:vAlign w:val="center"/>
          </w:tcPr>
          <w:p w14:paraId="6D4C1F9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1C64996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376.049,00</w:t>
            </w:r>
          </w:p>
        </w:tc>
        <w:tc>
          <w:tcPr>
            <w:tcW w:w="1559" w:type="dxa"/>
            <w:tcBorders>
              <w:top w:val="nil"/>
              <w:left w:val="nil"/>
              <w:bottom w:val="single" w:sz="4" w:space="0" w:color="auto"/>
              <w:right w:val="single" w:sz="4" w:space="0" w:color="auto"/>
            </w:tcBorders>
            <w:shd w:val="clear" w:color="auto" w:fill="auto"/>
            <w:noWrap/>
            <w:vAlign w:val="center"/>
          </w:tcPr>
          <w:p w14:paraId="5A5EE60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5AA946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376.049,00</w:t>
            </w:r>
          </w:p>
        </w:tc>
        <w:tc>
          <w:tcPr>
            <w:tcW w:w="1559" w:type="dxa"/>
            <w:tcBorders>
              <w:top w:val="nil"/>
              <w:left w:val="nil"/>
              <w:bottom w:val="single" w:sz="4" w:space="0" w:color="auto"/>
              <w:right w:val="single" w:sz="4" w:space="0" w:color="auto"/>
            </w:tcBorders>
            <w:shd w:val="clear" w:color="auto" w:fill="auto"/>
            <w:noWrap/>
            <w:vAlign w:val="center"/>
          </w:tcPr>
          <w:p w14:paraId="7C0CC7D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115AECA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6834A37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376.049,00</w:t>
            </w:r>
          </w:p>
        </w:tc>
      </w:tr>
      <w:tr w:rsidR="00814F8E" w:rsidRPr="00BD050E" w14:paraId="5AA831BE" w14:textId="77777777" w:rsidTr="005F2495">
        <w:trPr>
          <w:trHeight w:val="655"/>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312F7C62" w14:textId="6F375602"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1.1.2.a) Asistență tehnică  pentru proiectarea unei </w:t>
            </w:r>
            <w:r w:rsidR="0078350E" w:rsidRPr="00BD050E">
              <w:rPr>
                <w:rFonts w:asciiTheme="majorHAnsi" w:eastAsia="Times New Roman" w:hAnsiTheme="majorHAnsi" w:cstheme="majorHAnsi"/>
                <w:color w:val="000000" w:themeColor="text1"/>
                <w:sz w:val="18"/>
                <w:szCs w:val="18"/>
                <w:lang w:val="ro-RO"/>
              </w:rPr>
              <w:t>S</w:t>
            </w:r>
            <w:r w:rsidRPr="00BD050E">
              <w:rPr>
                <w:rFonts w:asciiTheme="majorHAnsi" w:eastAsia="Times New Roman" w:hAnsiTheme="majorHAnsi" w:cstheme="majorHAnsi"/>
                <w:color w:val="000000" w:themeColor="text1"/>
                <w:sz w:val="18"/>
                <w:szCs w:val="18"/>
                <w:lang w:val="ro-RO"/>
              </w:rPr>
              <w:t>cheme de stimulare bazate pe performanță pentru îmbunătățirea calității și eficienței în spitalele contractate de CNAM</w:t>
            </w:r>
          </w:p>
        </w:tc>
        <w:tc>
          <w:tcPr>
            <w:tcW w:w="1559" w:type="dxa"/>
            <w:tcBorders>
              <w:top w:val="nil"/>
              <w:left w:val="nil"/>
              <w:bottom w:val="single" w:sz="4" w:space="0" w:color="auto"/>
              <w:right w:val="single" w:sz="4" w:space="0" w:color="auto"/>
            </w:tcBorders>
            <w:shd w:val="clear" w:color="auto" w:fill="auto"/>
            <w:noWrap/>
            <w:vAlign w:val="center"/>
          </w:tcPr>
          <w:p w14:paraId="05C3782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36E4F44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196.100,00</w:t>
            </w:r>
          </w:p>
        </w:tc>
        <w:tc>
          <w:tcPr>
            <w:tcW w:w="1559" w:type="dxa"/>
            <w:tcBorders>
              <w:top w:val="nil"/>
              <w:left w:val="nil"/>
              <w:bottom w:val="single" w:sz="4" w:space="0" w:color="auto"/>
              <w:right w:val="single" w:sz="4" w:space="0" w:color="auto"/>
            </w:tcBorders>
            <w:shd w:val="clear" w:color="auto" w:fill="auto"/>
            <w:noWrap/>
            <w:vAlign w:val="center"/>
          </w:tcPr>
          <w:p w14:paraId="087C945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2E53EF8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196.100,00</w:t>
            </w:r>
          </w:p>
        </w:tc>
        <w:tc>
          <w:tcPr>
            <w:tcW w:w="1559" w:type="dxa"/>
            <w:tcBorders>
              <w:top w:val="nil"/>
              <w:left w:val="nil"/>
              <w:bottom w:val="single" w:sz="4" w:space="0" w:color="auto"/>
              <w:right w:val="single" w:sz="4" w:space="0" w:color="auto"/>
            </w:tcBorders>
            <w:shd w:val="clear" w:color="auto" w:fill="auto"/>
            <w:noWrap/>
            <w:vAlign w:val="center"/>
          </w:tcPr>
          <w:p w14:paraId="6518D5A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4CA1A3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585BF3E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196.100,00</w:t>
            </w:r>
          </w:p>
        </w:tc>
      </w:tr>
      <w:tr w:rsidR="00814F8E" w:rsidRPr="00BD050E" w14:paraId="78BEF1A5" w14:textId="77777777" w:rsidTr="005F2495">
        <w:trPr>
          <w:trHeight w:val="786"/>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01891D8B"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1.1.2.b) Asistență tehnică locală pentru pilotarea și revizuirea</w:t>
            </w:r>
            <w:r w:rsidRPr="00BD050E">
              <w:rPr>
                <w:rFonts w:asciiTheme="majorHAnsi" w:hAnsiTheme="majorHAnsi" w:cstheme="majorHAnsi"/>
                <w:color w:val="000000" w:themeColor="text1"/>
                <w:sz w:val="18"/>
                <w:szCs w:val="18"/>
                <w:lang w:val="ro-RO"/>
              </w:rPr>
              <w:t xml:space="preserve"> </w:t>
            </w:r>
            <w:r w:rsidRPr="00BD050E">
              <w:rPr>
                <w:rFonts w:asciiTheme="majorHAnsi" w:eastAsia="Times New Roman" w:hAnsiTheme="majorHAnsi" w:cstheme="majorHAnsi"/>
                <w:color w:val="000000" w:themeColor="text1"/>
                <w:sz w:val="18"/>
                <w:szCs w:val="18"/>
                <w:lang w:val="ro-RO"/>
              </w:rPr>
              <w:t>noului sistem de stimulare bazat pe performanță al spitalelor</w:t>
            </w:r>
          </w:p>
        </w:tc>
        <w:tc>
          <w:tcPr>
            <w:tcW w:w="1559" w:type="dxa"/>
            <w:tcBorders>
              <w:top w:val="nil"/>
              <w:left w:val="nil"/>
              <w:bottom w:val="single" w:sz="4" w:space="0" w:color="auto"/>
              <w:right w:val="single" w:sz="4" w:space="0" w:color="auto"/>
            </w:tcBorders>
            <w:shd w:val="clear" w:color="auto" w:fill="auto"/>
            <w:noWrap/>
            <w:vAlign w:val="center"/>
          </w:tcPr>
          <w:p w14:paraId="043F16F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360E7C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16.999,72</w:t>
            </w:r>
          </w:p>
        </w:tc>
        <w:tc>
          <w:tcPr>
            <w:tcW w:w="1559" w:type="dxa"/>
            <w:tcBorders>
              <w:top w:val="nil"/>
              <w:left w:val="nil"/>
              <w:bottom w:val="single" w:sz="4" w:space="0" w:color="auto"/>
              <w:right w:val="single" w:sz="4" w:space="0" w:color="auto"/>
            </w:tcBorders>
            <w:shd w:val="clear" w:color="auto" w:fill="auto"/>
            <w:noWrap/>
            <w:vAlign w:val="center"/>
          </w:tcPr>
          <w:p w14:paraId="37A8D82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637836D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16.999,72</w:t>
            </w:r>
          </w:p>
        </w:tc>
        <w:tc>
          <w:tcPr>
            <w:tcW w:w="1559" w:type="dxa"/>
            <w:tcBorders>
              <w:top w:val="nil"/>
              <w:left w:val="nil"/>
              <w:bottom w:val="single" w:sz="4" w:space="0" w:color="auto"/>
              <w:right w:val="single" w:sz="4" w:space="0" w:color="auto"/>
            </w:tcBorders>
            <w:shd w:val="clear" w:color="auto" w:fill="auto"/>
            <w:noWrap/>
            <w:vAlign w:val="center"/>
          </w:tcPr>
          <w:p w14:paraId="15DCBE1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5075F02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578A893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17.000,00</w:t>
            </w:r>
          </w:p>
        </w:tc>
      </w:tr>
      <w:tr w:rsidR="00814F8E" w:rsidRPr="00BD050E" w14:paraId="43A2E361" w14:textId="77777777" w:rsidTr="005F2495">
        <w:trPr>
          <w:trHeight w:val="549"/>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50495202" w14:textId="77777777" w:rsidR="005F2495" w:rsidRPr="00BD050E" w:rsidRDefault="005F2495" w:rsidP="00AA486E">
            <w:pPr>
              <w:spacing w:after="0" w:line="276"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1.1.3. Asistență tehnică pentru restructurarea proceselor de afaceri și a fluxurilor de lucru pentru Spitalul universitar </w:t>
            </w:r>
          </w:p>
        </w:tc>
        <w:tc>
          <w:tcPr>
            <w:tcW w:w="1559" w:type="dxa"/>
            <w:tcBorders>
              <w:top w:val="nil"/>
              <w:left w:val="nil"/>
              <w:bottom w:val="single" w:sz="4" w:space="0" w:color="auto"/>
              <w:right w:val="single" w:sz="4" w:space="0" w:color="auto"/>
            </w:tcBorders>
            <w:shd w:val="clear" w:color="auto" w:fill="auto"/>
            <w:noWrap/>
            <w:vAlign w:val="center"/>
          </w:tcPr>
          <w:p w14:paraId="27DBF55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3C60B41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56.259,50</w:t>
            </w:r>
          </w:p>
        </w:tc>
        <w:tc>
          <w:tcPr>
            <w:tcW w:w="1559" w:type="dxa"/>
            <w:tcBorders>
              <w:top w:val="nil"/>
              <w:left w:val="nil"/>
              <w:bottom w:val="single" w:sz="4" w:space="0" w:color="auto"/>
              <w:right w:val="single" w:sz="4" w:space="0" w:color="auto"/>
            </w:tcBorders>
            <w:shd w:val="clear" w:color="auto" w:fill="auto"/>
            <w:noWrap/>
            <w:vAlign w:val="center"/>
          </w:tcPr>
          <w:p w14:paraId="64E8F4B9"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5801436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56.259,50</w:t>
            </w:r>
          </w:p>
        </w:tc>
        <w:tc>
          <w:tcPr>
            <w:tcW w:w="1559" w:type="dxa"/>
            <w:tcBorders>
              <w:top w:val="nil"/>
              <w:left w:val="nil"/>
              <w:bottom w:val="single" w:sz="4" w:space="0" w:color="auto"/>
              <w:right w:val="single" w:sz="4" w:space="0" w:color="auto"/>
            </w:tcBorders>
            <w:shd w:val="clear" w:color="auto" w:fill="auto"/>
            <w:noWrap/>
            <w:vAlign w:val="center"/>
          </w:tcPr>
          <w:p w14:paraId="4383E3B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35C2E14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1048604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56.259,50</w:t>
            </w:r>
          </w:p>
        </w:tc>
      </w:tr>
      <w:tr w:rsidR="00814F8E" w:rsidRPr="00BD050E" w14:paraId="7508F962" w14:textId="77777777" w:rsidTr="005F2495">
        <w:trPr>
          <w:trHeight w:val="386"/>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5AF9DAAD"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1.1.4. Asistență tehnică pentru efectuarea verificării tehnice a conformității ILD / ILD 1 și ILD / ILD 2, ancheta STEPS </w:t>
            </w:r>
          </w:p>
        </w:tc>
        <w:tc>
          <w:tcPr>
            <w:tcW w:w="1559" w:type="dxa"/>
            <w:tcBorders>
              <w:top w:val="nil"/>
              <w:left w:val="nil"/>
              <w:bottom w:val="single" w:sz="4" w:space="0" w:color="auto"/>
              <w:right w:val="single" w:sz="4" w:space="0" w:color="auto"/>
            </w:tcBorders>
            <w:shd w:val="clear" w:color="auto" w:fill="auto"/>
            <w:noWrap/>
            <w:vAlign w:val="center"/>
          </w:tcPr>
          <w:p w14:paraId="3E4701E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4520D9B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271.867,00</w:t>
            </w:r>
          </w:p>
        </w:tc>
        <w:tc>
          <w:tcPr>
            <w:tcW w:w="1559" w:type="dxa"/>
            <w:tcBorders>
              <w:top w:val="nil"/>
              <w:left w:val="nil"/>
              <w:bottom w:val="single" w:sz="4" w:space="0" w:color="auto"/>
              <w:right w:val="single" w:sz="4" w:space="0" w:color="auto"/>
            </w:tcBorders>
            <w:shd w:val="clear" w:color="auto" w:fill="auto"/>
            <w:noWrap/>
            <w:vAlign w:val="center"/>
          </w:tcPr>
          <w:p w14:paraId="184C9F9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4E941FF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271.867,00</w:t>
            </w:r>
          </w:p>
        </w:tc>
        <w:tc>
          <w:tcPr>
            <w:tcW w:w="1559" w:type="dxa"/>
            <w:tcBorders>
              <w:top w:val="nil"/>
              <w:left w:val="nil"/>
              <w:bottom w:val="single" w:sz="4" w:space="0" w:color="auto"/>
              <w:right w:val="single" w:sz="4" w:space="0" w:color="auto"/>
            </w:tcBorders>
            <w:shd w:val="clear" w:color="auto" w:fill="auto"/>
            <w:noWrap/>
            <w:vAlign w:val="center"/>
          </w:tcPr>
          <w:p w14:paraId="239BA0C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2473957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0138A46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271.867,00</w:t>
            </w:r>
          </w:p>
        </w:tc>
      </w:tr>
      <w:tr w:rsidR="00814F8E" w:rsidRPr="00BD050E" w14:paraId="6DF21EF8" w14:textId="77777777" w:rsidTr="005F2495">
        <w:trPr>
          <w:trHeight w:val="477"/>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7454143E"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1.1.5. Asistență tehnică pentru elaborarea unui manual privind calitatea îngrijirii și revizuirea sistemului de salarizare pentru performanța în asistența medicală primară</w:t>
            </w:r>
            <w:r w:rsidRPr="00BD050E" w:rsidDel="00E61DAA">
              <w:rPr>
                <w:rFonts w:asciiTheme="majorHAnsi" w:eastAsia="Times New Roman" w:hAnsiTheme="majorHAnsi" w:cstheme="majorHAnsi"/>
                <w:color w:val="000000" w:themeColor="text1"/>
                <w:sz w:val="18"/>
                <w:szCs w:val="18"/>
                <w:lang w:val="ro-RO"/>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58998CA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15B4CAF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87.550,00</w:t>
            </w:r>
          </w:p>
        </w:tc>
        <w:tc>
          <w:tcPr>
            <w:tcW w:w="1559" w:type="dxa"/>
            <w:tcBorders>
              <w:top w:val="nil"/>
              <w:left w:val="nil"/>
              <w:bottom w:val="single" w:sz="4" w:space="0" w:color="auto"/>
              <w:right w:val="single" w:sz="4" w:space="0" w:color="auto"/>
            </w:tcBorders>
            <w:shd w:val="clear" w:color="auto" w:fill="auto"/>
            <w:noWrap/>
            <w:vAlign w:val="center"/>
          </w:tcPr>
          <w:p w14:paraId="53DA39D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75E9F97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87.550,00</w:t>
            </w:r>
          </w:p>
        </w:tc>
        <w:tc>
          <w:tcPr>
            <w:tcW w:w="1559" w:type="dxa"/>
            <w:tcBorders>
              <w:top w:val="nil"/>
              <w:left w:val="nil"/>
              <w:bottom w:val="single" w:sz="4" w:space="0" w:color="auto"/>
              <w:right w:val="single" w:sz="4" w:space="0" w:color="auto"/>
            </w:tcBorders>
            <w:shd w:val="clear" w:color="auto" w:fill="auto"/>
            <w:noWrap/>
            <w:vAlign w:val="center"/>
          </w:tcPr>
          <w:p w14:paraId="2C136C6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033353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478C56F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87.550,00</w:t>
            </w:r>
          </w:p>
        </w:tc>
      </w:tr>
      <w:tr w:rsidR="00814F8E" w:rsidRPr="00BD050E" w14:paraId="19EC92AD" w14:textId="77777777" w:rsidTr="005F2495">
        <w:trPr>
          <w:trHeight w:val="435"/>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7C9B105E"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1.1.6. Vizite de studiu și instruiri</w:t>
            </w:r>
            <w:r w:rsidRPr="00BD050E" w:rsidDel="00E61DAA">
              <w:rPr>
                <w:rFonts w:asciiTheme="majorHAnsi" w:eastAsia="Times New Roman" w:hAnsiTheme="majorHAnsi" w:cstheme="majorHAnsi"/>
                <w:color w:val="000000" w:themeColor="text1"/>
                <w:sz w:val="18"/>
                <w:szCs w:val="18"/>
                <w:lang w:val="ro-RO"/>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63CFE52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3996DE8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43.158,35</w:t>
            </w:r>
          </w:p>
        </w:tc>
        <w:tc>
          <w:tcPr>
            <w:tcW w:w="1559" w:type="dxa"/>
            <w:tcBorders>
              <w:top w:val="nil"/>
              <w:left w:val="nil"/>
              <w:bottom w:val="single" w:sz="4" w:space="0" w:color="auto"/>
              <w:right w:val="single" w:sz="4" w:space="0" w:color="auto"/>
            </w:tcBorders>
            <w:shd w:val="clear" w:color="auto" w:fill="auto"/>
            <w:noWrap/>
            <w:vAlign w:val="center"/>
          </w:tcPr>
          <w:p w14:paraId="6BE31D2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2E2720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43.158,35</w:t>
            </w:r>
          </w:p>
        </w:tc>
        <w:tc>
          <w:tcPr>
            <w:tcW w:w="1559" w:type="dxa"/>
            <w:tcBorders>
              <w:top w:val="nil"/>
              <w:left w:val="nil"/>
              <w:bottom w:val="single" w:sz="4" w:space="0" w:color="auto"/>
              <w:right w:val="single" w:sz="4" w:space="0" w:color="auto"/>
            </w:tcBorders>
            <w:shd w:val="clear" w:color="auto" w:fill="auto"/>
            <w:noWrap/>
            <w:vAlign w:val="center"/>
          </w:tcPr>
          <w:p w14:paraId="443C6E8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5D69D71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406C685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44.951,92</w:t>
            </w:r>
          </w:p>
        </w:tc>
      </w:tr>
      <w:tr w:rsidR="00814F8E" w:rsidRPr="00BD050E" w14:paraId="5CFD9E75" w14:textId="77777777" w:rsidTr="005F2495">
        <w:trPr>
          <w:trHeight w:val="312"/>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23C3B6FD"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1.1.7. Campanii de comunicare</w:t>
            </w:r>
            <w:r w:rsidRPr="00BD050E" w:rsidDel="000D0DBB">
              <w:rPr>
                <w:rFonts w:asciiTheme="majorHAnsi" w:eastAsia="Times New Roman" w:hAnsiTheme="majorHAnsi" w:cstheme="majorHAnsi"/>
                <w:color w:val="000000" w:themeColor="text1"/>
                <w:sz w:val="18"/>
                <w:szCs w:val="18"/>
                <w:lang w:val="ro-RO"/>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264FCDF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5E9D769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103.800,00</w:t>
            </w:r>
          </w:p>
        </w:tc>
        <w:tc>
          <w:tcPr>
            <w:tcW w:w="1559" w:type="dxa"/>
            <w:tcBorders>
              <w:top w:val="nil"/>
              <w:left w:val="nil"/>
              <w:bottom w:val="single" w:sz="4" w:space="0" w:color="auto"/>
              <w:right w:val="single" w:sz="4" w:space="0" w:color="auto"/>
            </w:tcBorders>
            <w:shd w:val="clear" w:color="auto" w:fill="auto"/>
            <w:noWrap/>
            <w:vAlign w:val="center"/>
          </w:tcPr>
          <w:p w14:paraId="59DA597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28A7EED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103.800,00</w:t>
            </w:r>
          </w:p>
        </w:tc>
        <w:tc>
          <w:tcPr>
            <w:tcW w:w="1559" w:type="dxa"/>
            <w:tcBorders>
              <w:top w:val="nil"/>
              <w:left w:val="nil"/>
              <w:bottom w:val="single" w:sz="4" w:space="0" w:color="auto"/>
              <w:right w:val="single" w:sz="4" w:space="0" w:color="auto"/>
            </w:tcBorders>
            <w:shd w:val="clear" w:color="auto" w:fill="auto"/>
            <w:noWrap/>
            <w:vAlign w:val="center"/>
          </w:tcPr>
          <w:p w14:paraId="4D81C30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623F47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2C65EB3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103.800,00</w:t>
            </w:r>
          </w:p>
        </w:tc>
      </w:tr>
      <w:tr w:rsidR="00814F8E" w:rsidRPr="00BD050E" w14:paraId="282590B5" w14:textId="77777777" w:rsidTr="005F2495">
        <w:trPr>
          <w:trHeight w:val="312"/>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08B4C38D"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1.1.8. Statistica bugetului gospodăriilor casnice –  Modulul de sănătate</w:t>
            </w:r>
            <w:r w:rsidRPr="00BD050E" w:rsidDel="000D0DBB">
              <w:rPr>
                <w:rFonts w:asciiTheme="majorHAnsi" w:eastAsia="Times New Roman" w:hAnsiTheme="majorHAnsi" w:cstheme="majorHAnsi"/>
                <w:color w:val="000000" w:themeColor="text1"/>
                <w:sz w:val="18"/>
                <w:szCs w:val="18"/>
                <w:lang w:val="ro-RO"/>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9BEB1E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36.062,47</w:t>
            </w:r>
          </w:p>
        </w:tc>
        <w:tc>
          <w:tcPr>
            <w:tcW w:w="1701" w:type="dxa"/>
            <w:tcBorders>
              <w:top w:val="nil"/>
              <w:left w:val="nil"/>
              <w:bottom w:val="single" w:sz="4" w:space="0" w:color="auto"/>
              <w:right w:val="single" w:sz="4" w:space="0" w:color="auto"/>
            </w:tcBorders>
            <w:shd w:val="clear" w:color="auto" w:fill="auto"/>
            <w:noWrap/>
            <w:vAlign w:val="center"/>
          </w:tcPr>
          <w:p w14:paraId="43BC58F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58.718,06</w:t>
            </w:r>
          </w:p>
        </w:tc>
        <w:tc>
          <w:tcPr>
            <w:tcW w:w="1559" w:type="dxa"/>
            <w:tcBorders>
              <w:top w:val="nil"/>
              <w:left w:val="nil"/>
              <w:bottom w:val="single" w:sz="4" w:space="0" w:color="auto"/>
              <w:right w:val="single" w:sz="4" w:space="0" w:color="auto"/>
            </w:tcBorders>
            <w:shd w:val="clear" w:color="auto" w:fill="auto"/>
            <w:noWrap/>
            <w:vAlign w:val="center"/>
          </w:tcPr>
          <w:p w14:paraId="2BADD85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36.062,47</w:t>
            </w:r>
          </w:p>
        </w:tc>
        <w:tc>
          <w:tcPr>
            <w:tcW w:w="1701" w:type="dxa"/>
            <w:tcBorders>
              <w:top w:val="nil"/>
              <w:left w:val="nil"/>
              <w:bottom w:val="single" w:sz="4" w:space="0" w:color="auto"/>
              <w:right w:val="single" w:sz="4" w:space="0" w:color="auto"/>
            </w:tcBorders>
            <w:shd w:val="clear" w:color="auto" w:fill="auto"/>
            <w:noWrap/>
            <w:vAlign w:val="center"/>
          </w:tcPr>
          <w:p w14:paraId="47516EE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58.718,06</w:t>
            </w:r>
          </w:p>
        </w:tc>
        <w:tc>
          <w:tcPr>
            <w:tcW w:w="1559" w:type="dxa"/>
            <w:tcBorders>
              <w:top w:val="nil"/>
              <w:left w:val="nil"/>
              <w:bottom w:val="single" w:sz="4" w:space="0" w:color="auto"/>
              <w:right w:val="single" w:sz="4" w:space="0" w:color="auto"/>
            </w:tcBorders>
            <w:shd w:val="clear" w:color="auto" w:fill="auto"/>
            <w:noWrap/>
            <w:vAlign w:val="center"/>
          </w:tcPr>
          <w:p w14:paraId="1A19547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58CA0EF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5AAC898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59.035,00</w:t>
            </w:r>
          </w:p>
        </w:tc>
      </w:tr>
      <w:tr w:rsidR="00814F8E" w:rsidRPr="00BD050E" w14:paraId="08A5D008" w14:textId="77777777" w:rsidTr="005F2495">
        <w:trPr>
          <w:trHeight w:val="312"/>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442D4938" w14:textId="38EB70B4"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w:t>
            </w:r>
            <w:r w:rsidRPr="00BD050E">
              <w:rPr>
                <w:rFonts w:asciiTheme="majorHAnsi" w:eastAsia="Times New Roman" w:hAnsiTheme="majorHAnsi" w:cstheme="majorHAnsi"/>
                <w:color w:val="000000" w:themeColor="text1"/>
                <w:sz w:val="18"/>
                <w:szCs w:val="18"/>
                <w:lang w:val="ro-MD"/>
              </w:rPr>
              <w:t>1.1.8.a Asisten</w:t>
            </w:r>
            <w:r w:rsidR="000B5D5F" w:rsidRPr="00BD050E">
              <w:rPr>
                <w:rFonts w:asciiTheme="majorHAnsi" w:eastAsia="Times New Roman" w:hAnsiTheme="majorHAnsi" w:cstheme="majorHAnsi"/>
                <w:color w:val="000000" w:themeColor="text1"/>
                <w:sz w:val="18"/>
                <w:szCs w:val="18"/>
                <w:lang w:val="ro-MD"/>
              </w:rPr>
              <w:t>ț</w:t>
            </w:r>
            <w:r w:rsidRPr="00BD050E">
              <w:rPr>
                <w:rFonts w:asciiTheme="majorHAnsi" w:eastAsia="Times New Roman" w:hAnsiTheme="majorHAnsi" w:cstheme="majorHAnsi"/>
                <w:color w:val="000000" w:themeColor="text1"/>
                <w:sz w:val="18"/>
                <w:szCs w:val="18"/>
                <w:lang w:val="ro-MD"/>
              </w:rPr>
              <w:t>ă tehnică locală privind elaborarea Studiului bugetului gospodăriilor casnice – Modulul de sănătate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5EBE8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C07BC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58DA8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C556F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A5683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9AF75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80EBE4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1.965,00</w:t>
            </w:r>
          </w:p>
        </w:tc>
      </w:tr>
      <w:tr w:rsidR="00814F8E" w:rsidRPr="00BD050E" w14:paraId="78013B37" w14:textId="77777777" w:rsidTr="005F2495">
        <w:trPr>
          <w:trHeight w:val="613"/>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5C2A8584" w14:textId="7C20AB9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1.1.9. Asistență tehnică pentru evaluarea Sistemului Informațional Automatizat „Asistența Medicală Primară</w:t>
            </w:r>
            <w:r w:rsidR="0078350E" w:rsidRPr="00BD050E">
              <w:rPr>
                <w:rFonts w:asciiTheme="majorHAnsi" w:eastAsia="Times New Roman" w:hAnsiTheme="majorHAnsi" w:cstheme="majorHAnsi"/>
                <w:color w:val="000000" w:themeColor="text1"/>
                <w:sz w:val="18"/>
                <w:szCs w:val="18"/>
                <w:lang w:val="ro-RO"/>
              </w:rPr>
              <w:t>”</w:t>
            </w:r>
            <w:r w:rsidRPr="00BD050E">
              <w:rPr>
                <w:rFonts w:asciiTheme="majorHAnsi" w:eastAsia="Times New Roman" w:hAnsiTheme="majorHAnsi" w:cstheme="majorHAnsi"/>
                <w:color w:val="000000" w:themeColor="text1"/>
                <w:sz w:val="18"/>
                <w:szCs w:val="18"/>
                <w:lang w:val="ro-RO"/>
              </w:rPr>
              <w:t xml:space="preserve"> (AIS PHC)</w:t>
            </w:r>
          </w:p>
        </w:tc>
        <w:tc>
          <w:tcPr>
            <w:tcW w:w="1559" w:type="dxa"/>
            <w:tcBorders>
              <w:top w:val="nil"/>
              <w:left w:val="nil"/>
              <w:bottom w:val="single" w:sz="4" w:space="0" w:color="auto"/>
              <w:right w:val="single" w:sz="4" w:space="0" w:color="auto"/>
            </w:tcBorders>
            <w:shd w:val="clear" w:color="auto" w:fill="auto"/>
            <w:noWrap/>
            <w:vAlign w:val="center"/>
          </w:tcPr>
          <w:p w14:paraId="6651052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4D3F67B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27.203,13</w:t>
            </w:r>
          </w:p>
        </w:tc>
        <w:tc>
          <w:tcPr>
            <w:tcW w:w="1559" w:type="dxa"/>
            <w:tcBorders>
              <w:top w:val="nil"/>
              <w:left w:val="nil"/>
              <w:bottom w:val="single" w:sz="4" w:space="0" w:color="auto"/>
              <w:right w:val="single" w:sz="4" w:space="0" w:color="auto"/>
            </w:tcBorders>
            <w:shd w:val="clear" w:color="auto" w:fill="auto"/>
            <w:noWrap/>
            <w:vAlign w:val="center"/>
          </w:tcPr>
          <w:p w14:paraId="147B647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5CCA533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27.203,13</w:t>
            </w:r>
          </w:p>
        </w:tc>
        <w:tc>
          <w:tcPr>
            <w:tcW w:w="1559" w:type="dxa"/>
            <w:tcBorders>
              <w:top w:val="nil"/>
              <w:left w:val="nil"/>
              <w:bottom w:val="single" w:sz="4" w:space="0" w:color="auto"/>
              <w:right w:val="single" w:sz="4" w:space="0" w:color="auto"/>
            </w:tcBorders>
            <w:shd w:val="clear" w:color="auto" w:fill="auto"/>
            <w:noWrap/>
            <w:vAlign w:val="center"/>
          </w:tcPr>
          <w:p w14:paraId="58E850D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6371D70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215293E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27.210,00</w:t>
            </w:r>
          </w:p>
        </w:tc>
      </w:tr>
      <w:tr w:rsidR="00814F8E" w:rsidRPr="00BD050E" w14:paraId="00C4C36F" w14:textId="77777777" w:rsidTr="005F2495">
        <w:trPr>
          <w:trHeight w:val="55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6249AA8F"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1.1.9.a) Coordonator de Proiect AIS PHC</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F211A4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F9BF9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7.658,14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385E6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8B293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7.658,14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B987A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96465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5148F29"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7.658,14</w:t>
            </w:r>
          </w:p>
        </w:tc>
      </w:tr>
      <w:tr w:rsidR="00814F8E" w:rsidRPr="00BD050E" w14:paraId="498A0310" w14:textId="77777777" w:rsidTr="005F2495">
        <w:trPr>
          <w:trHeight w:val="540"/>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178A1AE5" w14:textId="77777777" w:rsidR="005F2495" w:rsidRPr="00BD050E" w:rsidRDefault="005F2495" w:rsidP="00AA486E">
            <w:pPr>
              <w:spacing w:after="0" w:line="276"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lastRenderedPageBreak/>
              <w:t>1.1.9.b) Coordonator de Proiect AIS PHC</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36850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25.010,96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9B427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128.332,73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519F4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25.010,96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58CA2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128.332,73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4F0B3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6DEB7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EEDF2D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128.332,76</w:t>
            </w:r>
          </w:p>
        </w:tc>
      </w:tr>
      <w:tr w:rsidR="00814F8E" w:rsidRPr="00BD050E" w14:paraId="7D8CEB00" w14:textId="77777777" w:rsidTr="005F2495">
        <w:trPr>
          <w:trHeight w:val="104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4EA4584D"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1.1.10 Asistență tehnică internațională pentru revizuirea și actualizarea costurilor necesare investiției în infrastructura spitalelor din Republica Moldova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DC537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7BFA9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82.198,08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49495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8EC02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82.198,08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6E918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D2B1F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A01AE6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82.198,08</w:t>
            </w:r>
          </w:p>
        </w:tc>
      </w:tr>
      <w:tr w:rsidR="00814F8E" w:rsidRPr="00BD050E" w14:paraId="27AD19BE" w14:textId="77777777" w:rsidTr="005F2495">
        <w:trPr>
          <w:trHeight w:val="49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2205EAE" w14:textId="691E5B93"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1.1.11 Asisten</w:t>
            </w:r>
            <w:r w:rsidR="000B5D5F" w:rsidRPr="00BD050E">
              <w:rPr>
                <w:rFonts w:asciiTheme="majorHAnsi" w:eastAsia="Times New Roman" w:hAnsiTheme="majorHAnsi" w:cstheme="majorHAnsi"/>
                <w:color w:val="000000" w:themeColor="text1"/>
                <w:sz w:val="18"/>
                <w:szCs w:val="18"/>
                <w:lang w:val="ro-RO"/>
              </w:rPr>
              <w:t>ță</w:t>
            </w:r>
            <w:r w:rsidRPr="00BD050E">
              <w:rPr>
                <w:rFonts w:asciiTheme="majorHAnsi" w:eastAsia="Times New Roman" w:hAnsiTheme="majorHAnsi" w:cstheme="majorHAnsi"/>
                <w:color w:val="000000" w:themeColor="text1"/>
                <w:sz w:val="18"/>
                <w:szCs w:val="18"/>
                <w:lang w:val="ro-RO"/>
              </w:rPr>
              <w:t xml:space="preserve"> tehnic</w:t>
            </w:r>
            <w:r w:rsidR="000B5D5F" w:rsidRPr="00BD050E">
              <w:rPr>
                <w:rFonts w:asciiTheme="majorHAnsi" w:eastAsia="Times New Roman" w:hAnsiTheme="majorHAnsi" w:cstheme="majorHAnsi"/>
                <w:color w:val="000000" w:themeColor="text1"/>
                <w:sz w:val="18"/>
                <w:szCs w:val="18"/>
                <w:lang w:val="ro-RO"/>
              </w:rPr>
              <w:t>ă</w:t>
            </w:r>
            <w:r w:rsidRPr="00BD050E">
              <w:rPr>
                <w:rFonts w:asciiTheme="majorHAnsi" w:eastAsia="Times New Roman" w:hAnsiTheme="majorHAnsi" w:cstheme="majorHAnsi"/>
                <w:color w:val="000000" w:themeColor="text1"/>
                <w:sz w:val="18"/>
                <w:szCs w:val="18"/>
                <w:lang w:val="ro-RO"/>
              </w:rPr>
              <w:t xml:space="preserve"> pentru verificarea </w:t>
            </w:r>
            <w:r w:rsidR="00D57F32" w:rsidRPr="00BD050E">
              <w:rPr>
                <w:rFonts w:asciiTheme="majorHAnsi" w:eastAsia="Times New Roman" w:hAnsiTheme="majorHAnsi" w:cstheme="majorHAnsi"/>
                <w:color w:val="000000" w:themeColor="text1"/>
                <w:sz w:val="18"/>
                <w:szCs w:val="18"/>
                <w:lang w:val="ro-RO"/>
              </w:rPr>
              <w:t>ILD</w:t>
            </w:r>
            <w:r w:rsidRPr="00BD050E">
              <w:rPr>
                <w:rFonts w:asciiTheme="majorHAnsi" w:eastAsia="Times New Roman" w:hAnsiTheme="majorHAnsi" w:cstheme="majorHAnsi"/>
                <w:color w:val="000000" w:themeColor="text1"/>
                <w:sz w:val="18"/>
                <w:szCs w:val="18"/>
                <w:lang w:val="ro-RO"/>
              </w:rPr>
              <w:t xml:space="preserve"> 1.1</w:t>
            </w:r>
          </w:p>
          <w:p w14:paraId="4EDD0078"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67CB7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F5863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2A109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CA73C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C9533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8B4E3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F443B8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38.450,00</w:t>
            </w:r>
          </w:p>
        </w:tc>
      </w:tr>
      <w:tr w:rsidR="00814F8E" w:rsidRPr="00BD050E" w14:paraId="7BF61A6D" w14:textId="77777777" w:rsidTr="005F2495">
        <w:trPr>
          <w:trHeight w:val="501"/>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36C14433" w14:textId="75AC5A21"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MD"/>
              </w:rPr>
              <w:t xml:space="preserve">1.1.12 Asistență Tehnică privind elaborarea </w:t>
            </w:r>
            <w:r w:rsidR="000B5D5F" w:rsidRPr="00BD050E">
              <w:rPr>
                <w:rFonts w:asciiTheme="majorHAnsi" w:eastAsia="Times New Roman" w:hAnsiTheme="majorHAnsi" w:cstheme="majorHAnsi"/>
                <w:color w:val="000000" w:themeColor="text1"/>
                <w:sz w:val="18"/>
                <w:szCs w:val="18"/>
                <w:lang w:val="ro-MD"/>
              </w:rPr>
              <w:t>S</w:t>
            </w:r>
            <w:r w:rsidRPr="00BD050E">
              <w:rPr>
                <w:rFonts w:asciiTheme="majorHAnsi" w:eastAsia="Times New Roman" w:hAnsiTheme="majorHAnsi" w:cstheme="majorHAnsi"/>
                <w:color w:val="000000" w:themeColor="text1"/>
                <w:sz w:val="18"/>
                <w:szCs w:val="18"/>
                <w:lang w:val="ro-MD"/>
              </w:rPr>
              <w:t>trategiei de comunicare pentru 2021-2023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2188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535E7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5ACA6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13917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C1012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55737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93B1DE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38.400,00</w:t>
            </w:r>
          </w:p>
        </w:tc>
      </w:tr>
      <w:tr w:rsidR="00814F8E" w:rsidRPr="00BD050E" w14:paraId="02FBFFE3" w14:textId="77777777" w:rsidTr="005F2495">
        <w:trPr>
          <w:trHeight w:val="147"/>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2B60B1B3" w14:textId="77777777"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 xml:space="preserve">Activități subtotale de asistență tehnică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8DDB4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99.473,43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22C01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6"/>
                <w:szCs w:val="16"/>
                <w:lang w:val="ro-RO"/>
              </w:rPr>
              <w:t>1.532.743,71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2FDEC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99.473,43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82BA3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1.532.743,71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52E606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34ADC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2FB6FC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1.536.826,40</w:t>
            </w:r>
          </w:p>
        </w:tc>
      </w:tr>
      <w:tr w:rsidR="00814F8E" w:rsidRPr="00BD050E" w14:paraId="38568FC9" w14:textId="77777777" w:rsidTr="005F2495">
        <w:trPr>
          <w:trHeight w:val="194"/>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18944BBC" w14:textId="77777777"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1.2 Sprijin instituțional</w:t>
            </w:r>
          </w:p>
        </w:tc>
        <w:tc>
          <w:tcPr>
            <w:tcW w:w="1559" w:type="dxa"/>
            <w:tcBorders>
              <w:top w:val="nil"/>
              <w:left w:val="nil"/>
              <w:bottom w:val="single" w:sz="4" w:space="0" w:color="auto"/>
              <w:right w:val="single" w:sz="4" w:space="0" w:color="auto"/>
            </w:tcBorders>
            <w:shd w:val="clear" w:color="auto" w:fill="auto"/>
            <w:noWrap/>
            <w:vAlign w:val="center"/>
          </w:tcPr>
          <w:p w14:paraId="0C2A327A"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tcPr>
          <w:p w14:paraId="49DF339A"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6"/>
                <w:szCs w:val="16"/>
                <w:lang w:val="ro-RO"/>
              </w:rPr>
            </w:pPr>
          </w:p>
        </w:tc>
        <w:tc>
          <w:tcPr>
            <w:tcW w:w="1559" w:type="dxa"/>
            <w:tcBorders>
              <w:top w:val="nil"/>
              <w:left w:val="nil"/>
              <w:bottom w:val="single" w:sz="4" w:space="0" w:color="auto"/>
              <w:right w:val="single" w:sz="4" w:space="0" w:color="auto"/>
            </w:tcBorders>
            <w:shd w:val="clear" w:color="auto" w:fill="auto"/>
            <w:noWrap/>
            <w:vAlign w:val="center"/>
          </w:tcPr>
          <w:p w14:paraId="12CB74F5"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p>
        </w:tc>
        <w:tc>
          <w:tcPr>
            <w:tcW w:w="1701" w:type="dxa"/>
            <w:tcBorders>
              <w:top w:val="nil"/>
              <w:left w:val="nil"/>
              <w:bottom w:val="single" w:sz="4" w:space="0" w:color="auto"/>
              <w:right w:val="single" w:sz="4" w:space="0" w:color="auto"/>
            </w:tcBorders>
            <w:shd w:val="clear" w:color="auto" w:fill="auto"/>
            <w:noWrap/>
            <w:vAlign w:val="center"/>
          </w:tcPr>
          <w:p w14:paraId="22528C62"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p>
        </w:tc>
        <w:tc>
          <w:tcPr>
            <w:tcW w:w="1559" w:type="dxa"/>
            <w:tcBorders>
              <w:top w:val="nil"/>
              <w:left w:val="nil"/>
              <w:bottom w:val="single" w:sz="4" w:space="0" w:color="auto"/>
              <w:right w:val="single" w:sz="4" w:space="0" w:color="auto"/>
            </w:tcBorders>
            <w:shd w:val="clear" w:color="auto" w:fill="auto"/>
            <w:noWrap/>
            <w:vAlign w:val="center"/>
          </w:tcPr>
          <w:p w14:paraId="53E059FA"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60E8A582"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58225653"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p>
        </w:tc>
      </w:tr>
      <w:tr w:rsidR="00814F8E" w:rsidRPr="00BD050E" w14:paraId="0533AD81" w14:textId="77777777" w:rsidTr="005F2495">
        <w:trPr>
          <w:trHeight w:val="312"/>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BD6DF7E" w14:textId="77777777" w:rsidR="005F2495" w:rsidRPr="00BD050E" w:rsidRDefault="005F2495" w:rsidP="00AA486E">
            <w:pPr>
              <w:spacing w:after="0" w:line="276" w:lineRule="auto"/>
              <w:jc w:val="both"/>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1.2.1 Echipa de implementare a MSMPS (Coordonator și Consultant FM)</w:t>
            </w:r>
          </w:p>
        </w:tc>
        <w:tc>
          <w:tcPr>
            <w:tcW w:w="1559" w:type="dxa"/>
            <w:tcBorders>
              <w:top w:val="nil"/>
              <w:left w:val="nil"/>
              <w:bottom w:val="single" w:sz="4" w:space="0" w:color="auto"/>
              <w:right w:val="single" w:sz="4" w:space="0" w:color="auto"/>
            </w:tcBorders>
            <w:shd w:val="clear" w:color="auto" w:fill="auto"/>
            <w:noWrap/>
            <w:vAlign w:val="center"/>
          </w:tcPr>
          <w:p w14:paraId="2D48DDE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4.091,61</w:t>
            </w:r>
          </w:p>
        </w:tc>
        <w:tc>
          <w:tcPr>
            <w:tcW w:w="1701" w:type="dxa"/>
            <w:tcBorders>
              <w:top w:val="nil"/>
              <w:left w:val="nil"/>
              <w:bottom w:val="single" w:sz="4" w:space="0" w:color="auto"/>
              <w:right w:val="single" w:sz="4" w:space="0" w:color="auto"/>
            </w:tcBorders>
            <w:shd w:val="clear" w:color="auto" w:fill="auto"/>
            <w:noWrap/>
            <w:vAlign w:val="center"/>
          </w:tcPr>
          <w:p w14:paraId="5F76E8B9"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164.530,51</w:t>
            </w:r>
          </w:p>
        </w:tc>
        <w:tc>
          <w:tcPr>
            <w:tcW w:w="1559" w:type="dxa"/>
            <w:tcBorders>
              <w:top w:val="nil"/>
              <w:left w:val="nil"/>
              <w:bottom w:val="single" w:sz="4" w:space="0" w:color="auto"/>
              <w:right w:val="single" w:sz="4" w:space="0" w:color="auto"/>
            </w:tcBorders>
            <w:shd w:val="clear" w:color="auto" w:fill="auto"/>
            <w:noWrap/>
            <w:vAlign w:val="center"/>
          </w:tcPr>
          <w:p w14:paraId="6FCAE54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8.095,38</w:t>
            </w:r>
          </w:p>
        </w:tc>
        <w:tc>
          <w:tcPr>
            <w:tcW w:w="1701" w:type="dxa"/>
            <w:tcBorders>
              <w:top w:val="nil"/>
              <w:left w:val="nil"/>
              <w:bottom w:val="single" w:sz="4" w:space="0" w:color="auto"/>
              <w:right w:val="single" w:sz="4" w:space="0" w:color="auto"/>
            </w:tcBorders>
            <w:shd w:val="clear" w:color="auto" w:fill="auto"/>
            <w:noWrap/>
            <w:vAlign w:val="center"/>
          </w:tcPr>
          <w:p w14:paraId="55CBFB5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168.534,28</w:t>
            </w:r>
          </w:p>
        </w:tc>
        <w:tc>
          <w:tcPr>
            <w:tcW w:w="1559" w:type="dxa"/>
            <w:tcBorders>
              <w:top w:val="nil"/>
              <w:left w:val="nil"/>
              <w:bottom w:val="single" w:sz="4" w:space="0" w:color="auto"/>
              <w:right w:val="single" w:sz="4" w:space="0" w:color="auto"/>
            </w:tcBorders>
            <w:shd w:val="clear" w:color="auto" w:fill="auto"/>
            <w:noWrap/>
            <w:vAlign w:val="center"/>
          </w:tcPr>
          <w:p w14:paraId="0D75106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-4.003,77</w:t>
            </w:r>
          </w:p>
        </w:tc>
        <w:tc>
          <w:tcPr>
            <w:tcW w:w="1701" w:type="dxa"/>
            <w:tcBorders>
              <w:top w:val="nil"/>
              <w:left w:val="nil"/>
              <w:bottom w:val="single" w:sz="4" w:space="0" w:color="auto"/>
              <w:right w:val="single" w:sz="4" w:space="0" w:color="auto"/>
            </w:tcBorders>
            <w:shd w:val="clear" w:color="auto" w:fill="auto"/>
            <w:noWrap/>
            <w:vAlign w:val="center"/>
          </w:tcPr>
          <w:p w14:paraId="5F02AE7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-4.003,77</w:t>
            </w:r>
          </w:p>
        </w:tc>
        <w:tc>
          <w:tcPr>
            <w:tcW w:w="1560" w:type="dxa"/>
            <w:tcBorders>
              <w:top w:val="nil"/>
              <w:left w:val="nil"/>
              <w:bottom w:val="single" w:sz="4" w:space="0" w:color="auto"/>
              <w:right w:val="single" w:sz="4" w:space="0" w:color="auto"/>
            </w:tcBorders>
            <w:shd w:val="clear" w:color="auto" w:fill="auto"/>
            <w:noWrap/>
            <w:vAlign w:val="center"/>
          </w:tcPr>
          <w:p w14:paraId="04ECA2F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167.530,51</w:t>
            </w:r>
          </w:p>
        </w:tc>
      </w:tr>
      <w:tr w:rsidR="00814F8E" w:rsidRPr="00BD050E" w14:paraId="0F570E70" w14:textId="77777777" w:rsidTr="005F2495">
        <w:trPr>
          <w:trHeight w:val="189"/>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2A93D8F3" w14:textId="77777777" w:rsidR="005F2495" w:rsidRPr="00BD050E" w:rsidRDefault="005F2495" w:rsidP="00AA486E">
            <w:pPr>
              <w:spacing w:after="0" w:line="276"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1.2.2 Consultant de achiziții</w:t>
            </w:r>
          </w:p>
        </w:tc>
        <w:tc>
          <w:tcPr>
            <w:tcW w:w="1559" w:type="dxa"/>
            <w:tcBorders>
              <w:top w:val="nil"/>
              <w:left w:val="nil"/>
              <w:bottom w:val="single" w:sz="4" w:space="0" w:color="auto"/>
              <w:right w:val="single" w:sz="4" w:space="0" w:color="auto"/>
            </w:tcBorders>
            <w:shd w:val="clear" w:color="auto" w:fill="auto"/>
            <w:noWrap/>
            <w:vAlign w:val="center"/>
          </w:tcPr>
          <w:p w14:paraId="04F6A6C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568616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60.029,72</w:t>
            </w:r>
          </w:p>
        </w:tc>
        <w:tc>
          <w:tcPr>
            <w:tcW w:w="1559" w:type="dxa"/>
            <w:tcBorders>
              <w:top w:val="nil"/>
              <w:left w:val="nil"/>
              <w:bottom w:val="single" w:sz="4" w:space="0" w:color="auto"/>
              <w:right w:val="single" w:sz="4" w:space="0" w:color="auto"/>
            </w:tcBorders>
            <w:shd w:val="clear" w:color="auto" w:fill="auto"/>
            <w:noWrap/>
            <w:vAlign w:val="center"/>
          </w:tcPr>
          <w:p w14:paraId="106E839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7ABB0E6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60.029,72</w:t>
            </w:r>
          </w:p>
        </w:tc>
        <w:tc>
          <w:tcPr>
            <w:tcW w:w="1559" w:type="dxa"/>
            <w:tcBorders>
              <w:top w:val="nil"/>
              <w:left w:val="nil"/>
              <w:bottom w:val="single" w:sz="4" w:space="0" w:color="auto"/>
              <w:right w:val="single" w:sz="4" w:space="0" w:color="auto"/>
            </w:tcBorders>
            <w:shd w:val="clear" w:color="auto" w:fill="auto"/>
            <w:noWrap/>
            <w:vAlign w:val="center"/>
          </w:tcPr>
          <w:p w14:paraId="7524310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0879A899"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3E459AF9"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60.029,00</w:t>
            </w:r>
          </w:p>
        </w:tc>
      </w:tr>
      <w:tr w:rsidR="00814F8E" w:rsidRPr="00BD050E" w14:paraId="56E181D5" w14:textId="77777777" w:rsidTr="005F2495">
        <w:trPr>
          <w:trHeight w:val="236"/>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19D19936" w14:textId="77777777" w:rsidR="005F2495" w:rsidRPr="00BD050E" w:rsidRDefault="005F2495" w:rsidP="00AA486E">
            <w:pPr>
              <w:spacing w:after="0" w:line="276"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1.2.3 Costuri de operare (inclusiv comunicare)</w:t>
            </w:r>
          </w:p>
        </w:tc>
        <w:tc>
          <w:tcPr>
            <w:tcW w:w="1559" w:type="dxa"/>
            <w:tcBorders>
              <w:top w:val="nil"/>
              <w:left w:val="nil"/>
              <w:bottom w:val="single" w:sz="4" w:space="0" w:color="auto"/>
              <w:right w:val="single" w:sz="4" w:space="0" w:color="auto"/>
            </w:tcBorders>
            <w:shd w:val="clear" w:color="auto" w:fill="auto"/>
            <w:noWrap/>
            <w:vAlign w:val="center"/>
          </w:tcPr>
          <w:p w14:paraId="18EF5AC7"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539,29</w:t>
            </w:r>
          </w:p>
        </w:tc>
        <w:tc>
          <w:tcPr>
            <w:tcW w:w="1701" w:type="dxa"/>
            <w:tcBorders>
              <w:top w:val="nil"/>
              <w:left w:val="nil"/>
              <w:bottom w:val="single" w:sz="4" w:space="0" w:color="auto"/>
              <w:right w:val="single" w:sz="4" w:space="0" w:color="auto"/>
            </w:tcBorders>
            <w:shd w:val="clear" w:color="auto" w:fill="auto"/>
            <w:noWrap/>
            <w:vAlign w:val="center"/>
          </w:tcPr>
          <w:p w14:paraId="317A339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13.369,55</w:t>
            </w:r>
          </w:p>
        </w:tc>
        <w:tc>
          <w:tcPr>
            <w:tcW w:w="1559" w:type="dxa"/>
            <w:tcBorders>
              <w:top w:val="nil"/>
              <w:left w:val="nil"/>
              <w:bottom w:val="single" w:sz="4" w:space="0" w:color="auto"/>
              <w:right w:val="single" w:sz="4" w:space="0" w:color="auto"/>
            </w:tcBorders>
            <w:shd w:val="clear" w:color="auto" w:fill="auto"/>
            <w:noWrap/>
            <w:vAlign w:val="center"/>
          </w:tcPr>
          <w:p w14:paraId="3819597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 xml:space="preserve">         539,29</w:t>
            </w:r>
          </w:p>
        </w:tc>
        <w:tc>
          <w:tcPr>
            <w:tcW w:w="1701" w:type="dxa"/>
            <w:tcBorders>
              <w:top w:val="nil"/>
              <w:left w:val="nil"/>
              <w:bottom w:val="single" w:sz="4" w:space="0" w:color="auto"/>
              <w:right w:val="single" w:sz="4" w:space="0" w:color="auto"/>
            </w:tcBorders>
            <w:shd w:val="clear" w:color="auto" w:fill="auto"/>
            <w:noWrap/>
            <w:vAlign w:val="center"/>
          </w:tcPr>
          <w:p w14:paraId="3F8A9DAC"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13.369,55</w:t>
            </w:r>
          </w:p>
        </w:tc>
        <w:tc>
          <w:tcPr>
            <w:tcW w:w="1559" w:type="dxa"/>
            <w:tcBorders>
              <w:top w:val="nil"/>
              <w:left w:val="nil"/>
              <w:bottom w:val="single" w:sz="4" w:space="0" w:color="auto"/>
              <w:right w:val="single" w:sz="4" w:space="0" w:color="auto"/>
            </w:tcBorders>
            <w:shd w:val="clear" w:color="auto" w:fill="auto"/>
            <w:noWrap/>
            <w:vAlign w:val="center"/>
          </w:tcPr>
          <w:p w14:paraId="43CFAF1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117CFCD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02FD9FA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132.614,09</w:t>
            </w:r>
          </w:p>
        </w:tc>
      </w:tr>
      <w:tr w:rsidR="00814F8E" w:rsidRPr="00BD050E" w14:paraId="20FEA864" w14:textId="77777777" w:rsidTr="005F2495">
        <w:trPr>
          <w:trHeight w:val="268"/>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243EB7E0" w14:textId="77777777" w:rsidR="005F2495" w:rsidRPr="00BD050E" w:rsidRDefault="005F2495" w:rsidP="00AA486E">
            <w:pPr>
              <w:spacing w:after="0" w:line="276"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1.2.4 Auditul financiar anual</w:t>
            </w:r>
          </w:p>
        </w:tc>
        <w:tc>
          <w:tcPr>
            <w:tcW w:w="1559" w:type="dxa"/>
            <w:tcBorders>
              <w:top w:val="nil"/>
              <w:left w:val="nil"/>
              <w:bottom w:val="single" w:sz="4" w:space="0" w:color="auto"/>
              <w:right w:val="single" w:sz="4" w:space="0" w:color="auto"/>
            </w:tcBorders>
            <w:shd w:val="clear" w:color="auto" w:fill="auto"/>
            <w:noWrap/>
            <w:vAlign w:val="center"/>
          </w:tcPr>
          <w:p w14:paraId="1520E1A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297D458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nil"/>
              <w:left w:val="nil"/>
              <w:bottom w:val="single" w:sz="4" w:space="0" w:color="auto"/>
              <w:right w:val="single" w:sz="4" w:space="0" w:color="auto"/>
            </w:tcBorders>
            <w:shd w:val="clear" w:color="auto" w:fill="auto"/>
            <w:noWrap/>
            <w:vAlign w:val="center"/>
          </w:tcPr>
          <w:p w14:paraId="45E1ADBA" w14:textId="77777777" w:rsidR="005F2495" w:rsidRPr="00BD050E" w:rsidRDefault="005F2495" w:rsidP="00AA486E">
            <w:pPr>
              <w:spacing w:after="0" w:line="240" w:lineRule="auto"/>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7DD2964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nil"/>
              <w:left w:val="nil"/>
              <w:bottom w:val="single" w:sz="4" w:space="0" w:color="auto"/>
              <w:right w:val="single" w:sz="4" w:space="0" w:color="auto"/>
            </w:tcBorders>
            <w:shd w:val="clear" w:color="auto" w:fill="auto"/>
            <w:noWrap/>
            <w:vAlign w:val="center"/>
          </w:tcPr>
          <w:p w14:paraId="12DD111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45E588C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11BD29F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18.760,00</w:t>
            </w:r>
          </w:p>
        </w:tc>
      </w:tr>
      <w:tr w:rsidR="00814F8E" w:rsidRPr="00BD050E" w14:paraId="757EB6CE" w14:textId="77777777" w:rsidTr="005F2495">
        <w:trPr>
          <w:trHeight w:val="529"/>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648ED3C0" w14:textId="77777777"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Subtotalul suportului instituțional</w:t>
            </w:r>
          </w:p>
        </w:tc>
        <w:tc>
          <w:tcPr>
            <w:tcW w:w="1559" w:type="dxa"/>
            <w:tcBorders>
              <w:top w:val="nil"/>
              <w:left w:val="nil"/>
              <w:bottom w:val="single" w:sz="4" w:space="0" w:color="auto"/>
              <w:right w:val="single" w:sz="4" w:space="0" w:color="auto"/>
            </w:tcBorders>
            <w:shd w:val="clear" w:color="auto" w:fill="auto"/>
            <w:noWrap/>
            <w:vAlign w:val="center"/>
          </w:tcPr>
          <w:p w14:paraId="565E5B4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4.630,90</w:t>
            </w:r>
          </w:p>
        </w:tc>
        <w:tc>
          <w:tcPr>
            <w:tcW w:w="1701" w:type="dxa"/>
            <w:tcBorders>
              <w:top w:val="nil"/>
              <w:left w:val="nil"/>
              <w:bottom w:val="single" w:sz="4" w:space="0" w:color="auto"/>
              <w:right w:val="single" w:sz="4" w:space="0" w:color="auto"/>
            </w:tcBorders>
            <w:shd w:val="clear" w:color="auto" w:fill="auto"/>
            <w:noWrap/>
            <w:vAlign w:val="center"/>
          </w:tcPr>
          <w:p w14:paraId="7CE03CD4"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237.929,78</w:t>
            </w:r>
          </w:p>
        </w:tc>
        <w:tc>
          <w:tcPr>
            <w:tcW w:w="1559" w:type="dxa"/>
            <w:tcBorders>
              <w:top w:val="nil"/>
              <w:left w:val="nil"/>
              <w:bottom w:val="single" w:sz="4" w:space="0" w:color="auto"/>
              <w:right w:val="single" w:sz="4" w:space="0" w:color="auto"/>
            </w:tcBorders>
            <w:shd w:val="clear" w:color="auto" w:fill="auto"/>
            <w:noWrap/>
            <w:vAlign w:val="center"/>
          </w:tcPr>
          <w:p w14:paraId="418A9E4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8.634,67</w:t>
            </w:r>
          </w:p>
        </w:tc>
        <w:tc>
          <w:tcPr>
            <w:tcW w:w="1701" w:type="dxa"/>
            <w:tcBorders>
              <w:top w:val="nil"/>
              <w:left w:val="nil"/>
              <w:bottom w:val="single" w:sz="4" w:space="0" w:color="auto"/>
              <w:right w:val="single" w:sz="4" w:space="0" w:color="auto"/>
            </w:tcBorders>
            <w:shd w:val="clear" w:color="auto" w:fill="auto"/>
            <w:noWrap/>
            <w:vAlign w:val="center"/>
          </w:tcPr>
          <w:p w14:paraId="7DE60C9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241.933,55</w:t>
            </w:r>
          </w:p>
        </w:tc>
        <w:tc>
          <w:tcPr>
            <w:tcW w:w="1559" w:type="dxa"/>
            <w:tcBorders>
              <w:top w:val="nil"/>
              <w:left w:val="nil"/>
              <w:bottom w:val="single" w:sz="4" w:space="0" w:color="auto"/>
              <w:right w:val="single" w:sz="4" w:space="0" w:color="auto"/>
            </w:tcBorders>
            <w:shd w:val="clear" w:color="auto" w:fill="auto"/>
            <w:noWrap/>
            <w:vAlign w:val="center"/>
          </w:tcPr>
          <w:p w14:paraId="7D7DC2A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-4.003,77</w:t>
            </w:r>
          </w:p>
        </w:tc>
        <w:tc>
          <w:tcPr>
            <w:tcW w:w="1701" w:type="dxa"/>
            <w:tcBorders>
              <w:top w:val="nil"/>
              <w:left w:val="nil"/>
              <w:bottom w:val="single" w:sz="4" w:space="0" w:color="auto"/>
              <w:right w:val="single" w:sz="4" w:space="0" w:color="auto"/>
            </w:tcBorders>
            <w:shd w:val="clear" w:color="auto" w:fill="auto"/>
            <w:noWrap/>
            <w:vAlign w:val="center"/>
          </w:tcPr>
          <w:p w14:paraId="5CA2BEDD"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-4.003,77</w:t>
            </w:r>
          </w:p>
        </w:tc>
        <w:tc>
          <w:tcPr>
            <w:tcW w:w="1560" w:type="dxa"/>
            <w:tcBorders>
              <w:top w:val="nil"/>
              <w:left w:val="nil"/>
              <w:bottom w:val="single" w:sz="4" w:space="0" w:color="auto"/>
              <w:right w:val="single" w:sz="4" w:space="0" w:color="auto"/>
            </w:tcBorders>
            <w:shd w:val="clear" w:color="auto" w:fill="auto"/>
            <w:noWrap/>
            <w:vAlign w:val="center"/>
          </w:tcPr>
          <w:p w14:paraId="6A8117E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b/>
                <w:color w:val="000000" w:themeColor="text1"/>
                <w:sz w:val="18"/>
                <w:szCs w:val="18"/>
                <w:lang w:val="ro-RO"/>
              </w:rPr>
              <w:t>393.933,60</w:t>
            </w:r>
          </w:p>
        </w:tc>
      </w:tr>
      <w:tr w:rsidR="00814F8E" w:rsidRPr="00BD050E" w14:paraId="37D32D13" w14:textId="77777777" w:rsidTr="005F2495">
        <w:trPr>
          <w:trHeight w:val="47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1937FE64" w14:textId="7561FECE"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2. Finanțare adițional</w:t>
            </w:r>
            <w:r w:rsidR="000B5D5F" w:rsidRPr="00BD050E">
              <w:rPr>
                <w:rFonts w:asciiTheme="majorHAnsi" w:eastAsia="Times New Roman" w:hAnsiTheme="majorHAnsi" w:cstheme="majorHAnsi"/>
                <w:b/>
                <w:bCs/>
                <w:color w:val="000000" w:themeColor="text1"/>
                <w:sz w:val="18"/>
                <w:szCs w:val="18"/>
                <w:lang w:val="ro-RO"/>
              </w:rPr>
              <w:t>ă</w:t>
            </w:r>
            <w:r w:rsidRPr="00BD050E">
              <w:rPr>
                <w:rFonts w:asciiTheme="majorHAnsi" w:eastAsia="Times New Roman" w:hAnsiTheme="majorHAnsi" w:cstheme="majorHAnsi"/>
                <w:b/>
                <w:bCs/>
                <w:color w:val="000000" w:themeColor="text1"/>
                <w:sz w:val="18"/>
                <w:szCs w:val="18"/>
                <w:lang w:val="ro-RO"/>
              </w:rPr>
              <w:t xml:space="preserve"> pentru Componenta </w:t>
            </w:r>
            <w:r w:rsidR="000B5D5F" w:rsidRPr="00BD050E">
              <w:rPr>
                <w:rFonts w:asciiTheme="majorHAnsi" w:eastAsia="Times New Roman" w:hAnsiTheme="majorHAnsi" w:cstheme="majorHAnsi"/>
                <w:b/>
                <w:bCs/>
                <w:color w:val="000000" w:themeColor="text1"/>
                <w:sz w:val="18"/>
                <w:szCs w:val="18"/>
                <w:lang w:val="ro-RO"/>
              </w:rPr>
              <w:t>„</w:t>
            </w:r>
            <w:r w:rsidRPr="00BD050E">
              <w:rPr>
                <w:rFonts w:asciiTheme="majorHAnsi" w:eastAsia="Times New Roman" w:hAnsiTheme="majorHAnsi" w:cstheme="majorHAnsi"/>
                <w:b/>
                <w:bCs/>
                <w:color w:val="000000" w:themeColor="text1"/>
                <w:sz w:val="18"/>
                <w:szCs w:val="18"/>
                <w:lang w:val="ro-RO"/>
              </w:rPr>
              <w:t>Asisten</w:t>
            </w:r>
            <w:r w:rsidR="000B5D5F" w:rsidRPr="00BD050E">
              <w:rPr>
                <w:rFonts w:asciiTheme="majorHAnsi" w:eastAsia="Times New Roman" w:hAnsiTheme="majorHAnsi" w:cstheme="majorHAnsi"/>
                <w:b/>
                <w:bCs/>
                <w:color w:val="000000" w:themeColor="text1"/>
                <w:sz w:val="18"/>
                <w:szCs w:val="18"/>
                <w:lang w:val="ro-RO"/>
              </w:rPr>
              <w:t>ță</w:t>
            </w:r>
            <w:r w:rsidRPr="00BD050E">
              <w:rPr>
                <w:rFonts w:asciiTheme="majorHAnsi" w:eastAsia="Times New Roman" w:hAnsiTheme="majorHAnsi" w:cstheme="majorHAnsi"/>
                <w:b/>
                <w:bCs/>
                <w:color w:val="000000" w:themeColor="text1"/>
                <w:sz w:val="18"/>
                <w:szCs w:val="18"/>
                <w:lang w:val="ro-RO"/>
              </w:rPr>
              <w:t xml:space="preserve"> Tehnic</w:t>
            </w:r>
            <w:r w:rsidR="000B5D5F" w:rsidRPr="00BD050E">
              <w:rPr>
                <w:rFonts w:asciiTheme="majorHAnsi" w:eastAsia="Times New Roman" w:hAnsiTheme="majorHAnsi" w:cstheme="majorHAnsi"/>
                <w:b/>
                <w:bCs/>
                <w:color w:val="000000" w:themeColor="text1"/>
                <w:sz w:val="18"/>
                <w:szCs w:val="18"/>
                <w:lang w:val="ro-RO"/>
              </w:rPr>
              <w:t>ă</w:t>
            </w:r>
            <w:r w:rsidRPr="00BD050E">
              <w:rPr>
                <w:rFonts w:asciiTheme="majorHAnsi" w:eastAsia="Times New Roman" w:hAnsiTheme="majorHAnsi" w:cstheme="majorHAnsi"/>
                <w:b/>
                <w:bCs/>
                <w:color w:val="000000" w:themeColor="text1"/>
                <w:sz w:val="18"/>
                <w:szCs w:val="18"/>
                <w:lang w:val="ro-RO"/>
              </w:rPr>
              <w:t xml:space="preserve"> </w:t>
            </w:r>
            <w:r w:rsidR="000B5D5F" w:rsidRPr="00BD050E">
              <w:rPr>
                <w:rFonts w:asciiTheme="majorHAnsi" w:eastAsia="Times New Roman" w:hAnsiTheme="majorHAnsi" w:cstheme="majorHAnsi"/>
                <w:b/>
                <w:bCs/>
                <w:color w:val="000000" w:themeColor="text1"/>
                <w:sz w:val="18"/>
                <w:szCs w:val="18"/>
                <w:lang w:val="ro-RO"/>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26F80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06EDA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D70A5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B45EB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A21AF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F0A3E8"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3CCEE0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968.540,00</w:t>
            </w:r>
          </w:p>
        </w:tc>
      </w:tr>
      <w:tr w:rsidR="00814F8E" w:rsidRPr="00BD050E" w14:paraId="1E6F3370" w14:textId="77777777" w:rsidTr="005F2495">
        <w:trPr>
          <w:trHeight w:val="24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3B74F8C9" w14:textId="4B791F7E" w:rsidR="005F2495" w:rsidRPr="00BD050E" w:rsidRDefault="005F2495" w:rsidP="00AA486E">
            <w:pPr>
              <w:spacing w:after="0" w:line="276" w:lineRule="auto"/>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 xml:space="preserve">2.1 -Servicii de consultanță IT pentru </w:t>
            </w:r>
            <w:r w:rsidR="000B5D5F" w:rsidRPr="00BD050E">
              <w:rPr>
                <w:rFonts w:asciiTheme="majorHAnsi" w:eastAsia="Times New Roman" w:hAnsiTheme="majorHAnsi" w:cstheme="majorHAnsi"/>
                <w:bCs/>
                <w:color w:val="000000" w:themeColor="text1"/>
                <w:sz w:val="18"/>
                <w:szCs w:val="18"/>
                <w:lang w:val="ro-RO"/>
              </w:rPr>
              <w:t>d</w:t>
            </w:r>
            <w:r w:rsidRPr="00BD050E">
              <w:rPr>
                <w:rFonts w:asciiTheme="majorHAnsi" w:eastAsia="Times New Roman" w:hAnsiTheme="majorHAnsi" w:cstheme="majorHAnsi"/>
                <w:bCs/>
                <w:color w:val="000000" w:themeColor="text1"/>
                <w:sz w:val="18"/>
                <w:szCs w:val="18"/>
                <w:lang w:val="ro-RO"/>
              </w:rPr>
              <w:t>ezvoltarea funcționalităților suplimentare a</w:t>
            </w:r>
            <w:r w:rsidR="000B5D5F" w:rsidRPr="00BD050E">
              <w:rPr>
                <w:rFonts w:asciiTheme="majorHAnsi" w:eastAsia="Times New Roman" w:hAnsiTheme="majorHAnsi" w:cstheme="majorHAnsi"/>
                <w:bCs/>
                <w:color w:val="000000" w:themeColor="text1"/>
                <w:sz w:val="18"/>
                <w:szCs w:val="18"/>
                <w:lang w:val="ro-RO"/>
              </w:rPr>
              <w:t>le</w:t>
            </w:r>
            <w:r w:rsidRPr="00BD050E">
              <w:rPr>
                <w:rFonts w:asciiTheme="majorHAnsi" w:eastAsia="Times New Roman" w:hAnsiTheme="majorHAnsi" w:cstheme="majorHAnsi"/>
                <w:bCs/>
                <w:color w:val="000000" w:themeColor="text1"/>
                <w:sz w:val="18"/>
                <w:szCs w:val="18"/>
                <w:lang w:val="ro-RO"/>
              </w:rPr>
              <w:t xml:space="preserve"> Sistemului Informațional Automatizat </w:t>
            </w:r>
            <w:r w:rsidR="00E72A17" w:rsidRPr="00BD050E">
              <w:rPr>
                <w:rFonts w:asciiTheme="majorHAnsi" w:eastAsia="Times New Roman" w:hAnsiTheme="majorHAnsi" w:cstheme="majorHAnsi"/>
                <w:bCs/>
                <w:color w:val="000000" w:themeColor="text1"/>
                <w:sz w:val="18"/>
                <w:szCs w:val="18"/>
                <w:lang w:val="ro-RO"/>
              </w:rPr>
              <w:t>„</w:t>
            </w:r>
            <w:r w:rsidRPr="00BD050E">
              <w:rPr>
                <w:rFonts w:asciiTheme="majorHAnsi" w:eastAsia="Times New Roman" w:hAnsiTheme="majorHAnsi" w:cstheme="majorHAnsi"/>
                <w:bCs/>
                <w:color w:val="000000" w:themeColor="text1"/>
                <w:sz w:val="18"/>
                <w:szCs w:val="18"/>
                <w:lang w:val="ro-RO"/>
              </w:rPr>
              <w:t>Asistența Medicală Primară</w:t>
            </w:r>
            <w:r w:rsidR="00E72A17" w:rsidRPr="00BD050E">
              <w:rPr>
                <w:rFonts w:asciiTheme="majorHAnsi" w:eastAsia="Times New Roman" w:hAnsiTheme="majorHAnsi" w:cstheme="majorHAnsi"/>
                <w:bCs/>
                <w:color w:val="000000" w:themeColor="text1"/>
                <w:sz w:val="18"/>
                <w:szCs w:val="18"/>
                <w:lang w:val="ro-RO"/>
              </w:rPr>
              <w:t>”</w:t>
            </w:r>
            <w:r w:rsidRPr="00BD050E">
              <w:rPr>
                <w:rFonts w:asciiTheme="majorHAnsi" w:eastAsia="Times New Roman" w:hAnsiTheme="majorHAnsi" w:cstheme="majorHAnsi"/>
                <w:bCs/>
                <w:color w:val="000000" w:themeColor="text1"/>
                <w:sz w:val="18"/>
                <w:szCs w:val="18"/>
                <w:lang w:val="ro-RO"/>
              </w:rPr>
              <w:t xml:space="preserve"> (SIA AMP) și Sistemul Informațional Automatizat </w:t>
            </w:r>
            <w:r w:rsidR="00E72A17" w:rsidRPr="00BD050E">
              <w:rPr>
                <w:rFonts w:asciiTheme="majorHAnsi" w:eastAsia="Times New Roman" w:hAnsiTheme="majorHAnsi" w:cstheme="majorHAnsi"/>
                <w:bCs/>
                <w:color w:val="000000" w:themeColor="text1"/>
                <w:sz w:val="18"/>
                <w:szCs w:val="18"/>
                <w:lang w:val="ro-RO"/>
              </w:rPr>
              <w:t>„</w:t>
            </w:r>
            <w:r w:rsidRPr="00BD050E">
              <w:rPr>
                <w:rFonts w:asciiTheme="majorHAnsi" w:eastAsia="Times New Roman" w:hAnsiTheme="majorHAnsi" w:cstheme="majorHAnsi"/>
                <w:bCs/>
                <w:color w:val="000000" w:themeColor="text1"/>
                <w:sz w:val="18"/>
                <w:szCs w:val="18"/>
                <w:lang w:val="ro-RO"/>
              </w:rPr>
              <w:t>Asistența Medicală Spitalicească</w:t>
            </w:r>
            <w:r w:rsidR="00E72A17" w:rsidRPr="00BD050E">
              <w:rPr>
                <w:rFonts w:asciiTheme="majorHAnsi" w:eastAsia="Times New Roman" w:hAnsiTheme="majorHAnsi" w:cstheme="majorHAnsi"/>
                <w:bCs/>
                <w:color w:val="000000" w:themeColor="text1"/>
                <w:sz w:val="18"/>
                <w:szCs w:val="18"/>
                <w:lang w:val="ro-RO"/>
              </w:rPr>
              <w:t>”</w:t>
            </w:r>
            <w:r w:rsidRPr="00BD050E">
              <w:rPr>
                <w:rFonts w:asciiTheme="majorHAnsi" w:eastAsia="Times New Roman" w:hAnsiTheme="majorHAnsi" w:cstheme="majorHAnsi"/>
                <w:bCs/>
                <w:color w:val="000000" w:themeColor="text1"/>
                <w:sz w:val="18"/>
                <w:szCs w:val="18"/>
                <w:lang w:val="ro-RO"/>
              </w:rPr>
              <w:t xml:space="preserve"> (SIA AMS) și interoperabilitatea acestuia cu alte sisteme informaționale</w:t>
            </w:r>
          </w:p>
        </w:tc>
        <w:tc>
          <w:tcPr>
            <w:tcW w:w="1559" w:type="dxa"/>
            <w:tcBorders>
              <w:top w:val="nil"/>
              <w:left w:val="nil"/>
              <w:bottom w:val="single" w:sz="4" w:space="0" w:color="auto"/>
              <w:right w:val="single" w:sz="4" w:space="0" w:color="auto"/>
            </w:tcBorders>
            <w:shd w:val="clear" w:color="auto" w:fill="auto"/>
            <w:noWrap/>
            <w:vAlign w:val="center"/>
          </w:tcPr>
          <w:p w14:paraId="11790A6B"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6B9164B7"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nil"/>
              <w:left w:val="nil"/>
              <w:bottom w:val="single" w:sz="4" w:space="0" w:color="auto"/>
              <w:right w:val="single" w:sz="4" w:space="0" w:color="auto"/>
            </w:tcBorders>
            <w:shd w:val="clear" w:color="auto" w:fill="auto"/>
            <w:noWrap/>
            <w:vAlign w:val="center"/>
          </w:tcPr>
          <w:p w14:paraId="43D1A303"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5C677E88"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nil"/>
              <w:left w:val="nil"/>
              <w:bottom w:val="single" w:sz="4" w:space="0" w:color="auto"/>
              <w:right w:val="single" w:sz="4" w:space="0" w:color="auto"/>
            </w:tcBorders>
            <w:shd w:val="clear" w:color="auto" w:fill="auto"/>
            <w:noWrap/>
            <w:vAlign w:val="center"/>
          </w:tcPr>
          <w:p w14:paraId="096E1C73"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nil"/>
              <w:left w:val="nil"/>
              <w:bottom w:val="single" w:sz="4" w:space="0" w:color="auto"/>
              <w:right w:val="single" w:sz="4" w:space="0" w:color="auto"/>
            </w:tcBorders>
            <w:shd w:val="clear" w:color="auto" w:fill="auto"/>
            <w:noWrap/>
            <w:vAlign w:val="center"/>
          </w:tcPr>
          <w:p w14:paraId="6046109D"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nil"/>
              <w:left w:val="nil"/>
              <w:bottom w:val="single" w:sz="4" w:space="0" w:color="auto"/>
              <w:right w:val="single" w:sz="4" w:space="0" w:color="auto"/>
            </w:tcBorders>
            <w:shd w:val="clear" w:color="auto" w:fill="auto"/>
            <w:noWrap/>
            <w:vAlign w:val="center"/>
          </w:tcPr>
          <w:p w14:paraId="7AF830A5"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946.140,00</w:t>
            </w:r>
          </w:p>
        </w:tc>
      </w:tr>
      <w:tr w:rsidR="00814F8E" w:rsidRPr="00BD050E" w14:paraId="2A96D17E" w14:textId="77777777" w:rsidTr="005F2495">
        <w:trPr>
          <w:trHeight w:val="32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150F27" w14:textId="6DEFFFAE" w:rsidR="005F2495" w:rsidRPr="00BD050E" w:rsidRDefault="005F2495" w:rsidP="00AA486E">
            <w:pPr>
              <w:spacing w:after="0" w:line="276" w:lineRule="auto"/>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 xml:space="preserve">2.2 Elaborarea </w:t>
            </w:r>
            <w:r w:rsidR="000B5D5F" w:rsidRPr="00BD050E">
              <w:rPr>
                <w:rFonts w:asciiTheme="majorHAnsi" w:eastAsia="Times New Roman" w:hAnsiTheme="majorHAnsi" w:cstheme="majorHAnsi"/>
                <w:bCs/>
                <w:color w:val="000000" w:themeColor="text1"/>
                <w:sz w:val="18"/>
                <w:szCs w:val="18"/>
                <w:lang w:val="ro-RO"/>
              </w:rPr>
              <w:t>S</w:t>
            </w:r>
            <w:r w:rsidRPr="00BD050E">
              <w:rPr>
                <w:rFonts w:asciiTheme="majorHAnsi" w:eastAsia="Times New Roman" w:hAnsiTheme="majorHAnsi" w:cstheme="majorHAnsi"/>
                <w:bCs/>
                <w:color w:val="000000" w:themeColor="text1"/>
                <w:sz w:val="18"/>
                <w:szCs w:val="18"/>
                <w:lang w:val="ro-RO"/>
              </w:rPr>
              <w:t>trategiei de comunicare pentru an</w:t>
            </w:r>
            <w:r w:rsidR="00E72A17" w:rsidRPr="00BD050E">
              <w:rPr>
                <w:rFonts w:asciiTheme="majorHAnsi" w:eastAsia="Times New Roman" w:hAnsiTheme="majorHAnsi" w:cstheme="majorHAnsi"/>
                <w:bCs/>
                <w:color w:val="000000" w:themeColor="text1"/>
                <w:sz w:val="18"/>
                <w:szCs w:val="18"/>
                <w:lang w:val="ro-RO"/>
              </w:rPr>
              <w:t>ii</w:t>
            </w:r>
            <w:r w:rsidRPr="00BD050E">
              <w:rPr>
                <w:rFonts w:asciiTheme="majorHAnsi" w:eastAsia="Times New Roman" w:hAnsiTheme="majorHAnsi" w:cstheme="majorHAnsi"/>
                <w:bCs/>
                <w:color w:val="000000" w:themeColor="text1"/>
                <w:sz w:val="18"/>
                <w:szCs w:val="18"/>
                <w:lang w:val="ro-RO"/>
              </w:rPr>
              <w:t xml:space="preserve"> 2021 </w:t>
            </w:r>
            <w:r w:rsidR="00E72A17" w:rsidRPr="00BD050E">
              <w:rPr>
                <w:rFonts w:asciiTheme="majorHAnsi" w:eastAsia="Times New Roman" w:hAnsiTheme="majorHAnsi" w:cstheme="majorHAnsi"/>
                <w:bCs/>
                <w:color w:val="000000" w:themeColor="text1"/>
                <w:sz w:val="18"/>
                <w:szCs w:val="18"/>
                <w:lang w:val="ro-RO"/>
              </w:rPr>
              <w:t>–</w:t>
            </w:r>
            <w:r w:rsidRPr="00BD050E">
              <w:rPr>
                <w:rFonts w:asciiTheme="majorHAnsi" w:eastAsia="Times New Roman" w:hAnsiTheme="majorHAnsi" w:cstheme="majorHAnsi"/>
                <w:bCs/>
                <w:color w:val="000000" w:themeColor="text1"/>
                <w:sz w:val="18"/>
                <w:szCs w:val="18"/>
                <w:lang w:val="ro-RO"/>
              </w:rPr>
              <w:t xml:space="preserve"> 2023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F31F3C"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02395B"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5F3BDD"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886507"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988BEB"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3C900F"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76F798D" w14:textId="77777777" w:rsidR="005F2495" w:rsidRPr="00BD050E" w:rsidRDefault="005F2495" w:rsidP="00AA486E">
            <w:pPr>
              <w:spacing w:after="0" w:line="240" w:lineRule="auto"/>
              <w:jc w:val="center"/>
              <w:rPr>
                <w:rFonts w:asciiTheme="majorHAnsi" w:eastAsia="Times New Roman" w:hAnsiTheme="majorHAnsi" w:cstheme="majorHAnsi"/>
                <w:b/>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22.400,00</w:t>
            </w:r>
          </w:p>
        </w:tc>
      </w:tr>
      <w:tr w:rsidR="00814F8E" w:rsidRPr="00BD050E" w14:paraId="59D1EAAD" w14:textId="77777777" w:rsidTr="005F2495">
        <w:trPr>
          <w:trHeight w:val="421"/>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76EF9C3F" w14:textId="0551A397"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Subtotal finanțare adi</w:t>
            </w:r>
            <w:r w:rsidR="000B5D5F" w:rsidRPr="00BD050E">
              <w:rPr>
                <w:rFonts w:asciiTheme="majorHAnsi" w:eastAsia="Times New Roman" w:hAnsiTheme="majorHAnsi" w:cstheme="majorHAnsi"/>
                <w:b/>
                <w:bCs/>
                <w:color w:val="000000" w:themeColor="text1"/>
                <w:sz w:val="18"/>
                <w:szCs w:val="18"/>
                <w:lang w:val="ro-RO"/>
              </w:rPr>
              <w:t>ț</w:t>
            </w:r>
            <w:r w:rsidRPr="00BD050E">
              <w:rPr>
                <w:rFonts w:asciiTheme="majorHAnsi" w:eastAsia="Times New Roman" w:hAnsiTheme="majorHAnsi" w:cstheme="majorHAnsi"/>
                <w:b/>
                <w:bCs/>
                <w:color w:val="000000" w:themeColor="text1"/>
                <w:sz w:val="18"/>
                <w:szCs w:val="18"/>
                <w:lang w:val="ro-RO"/>
              </w:rPr>
              <w:t>ional</w:t>
            </w:r>
            <w:r w:rsidR="000B5D5F" w:rsidRPr="00BD050E">
              <w:rPr>
                <w:rFonts w:asciiTheme="majorHAnsi" w:eastAsia="Times New Roman" w:hAnsiTheme="majorHAnsi" w:cstheme="majorHAnsi"/>
                <w:b/>
                <w:bCs/>
                <w:color w:val="000000" w:themeColor="text1"/>
                <w:sz w:val="18"/>
                <w:szCs w:val="18"/>
                <w:lang w:val="ro-RO"/>
              </w:rPr>
              <w:t>ă</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4A160B"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3C9942"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D05D1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8FBBE1"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278AFE"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0C0D7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6D43E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p>
        </w:tc>
      </w:tr>
      <w:tr w:rsidR="00814F8E" w:rsidRPr="00BD050E" w14:paraId="0A140E15" w14:textId="77777777" w:rsidTr="005F2495">
        <w:trPr>
          <w:trHeight w:val="12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24C3E4" w14:textId="77777777" w:rsidR="005F2495" w:rsidRPr="00BD050E" w:rsidRDefault="005F2495" w:rsidP="00AA486E">
            <w:pPr>
              <w:spacing w:after="0" w:line="276" w:lineRule="auto"/>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Total</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7BE1E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104.104,33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959610"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1.770.673,49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AA9A0F"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108.108,0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E51EC5"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1.774.677,26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DA5166"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-4.003,77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7163C3"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2.899.300,00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C0D020A" w14:textId="77777777" w:rsidR="005F2495" w:rsidRPr="00BD050E" w:rsidRDefault="005F2495" w:rsidP="00AA486E">
            <w:pPr>
              <w:spacing w:after="0" w:line="240" w:lineRule="auto"/>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1.128.626,51</w:t>
            </w:r>
          </w:p>
        </w:tc>
      </w:tr>
    </w:tbl>
    <w:p w14:paraId="46D2777C" w14:textId="77777777" w:rsidR="0036424B" w:rsidRPr="00BD050E" w:rsidRDefault="0036424B" w:rsidP="0036424B">
      <w:pPr>
        <w:rPr>
          <w:rFonts w:asciiTheme="majorHAnsi" w:eastAsiaTheme="majorEastAsia" w:hAnsiTheme="majorHAnsi" w:cstheme="majorHAnsi"/>
          <w:b/>
          <w:i/>
          <w:color w:val="000000" w:themeColor="text1"/>
          <w:sz w:val="24"/>
          <w:szCs w:val="24"/>
          <w:lang w:val="ro-RO"/>
        </w:rPr>
      </w:pPr>
    </w:p>
    <w:p w14:paraId="133EAC23" w14:textId="77777777" w:rsidR="0036424B" w:rsidRPr="00BD050E" w:rsidRDefault="0036424B" w:rsidP="0036424B">
      <w:pPr>
        <w:keepNext/>
        <w:keepLines/>
        <w:spacing w:before="240" w:after="0"/>
        <w:jc w:val="right"/>
        <w:outlineLvl w:val="0"/>
        <w:rPr>
          <w:rFonts w:asciiTheme="majorHAnsi" w:eastAsiaTheme="majorEastAsia" w:hAnsiTheme="majorHAnsi" w:cstheme="majorHAnsi"/>
          <w:b/>
          <w:color w:val="000000" w:themeColor="text1"/>
          <w:sz w:val="24"/>
          <w:szCs w:val="24"/>
          <w:lang w:val="ro-RO"/>
        </w:rPr>
      </w:pPr>
      <w:r w:rsidRPr="00BD050E">
        <w:rPr>
          <w:rFonts w:asciiTheme="majorHAnsi" w:eastAsiaTheme="majorEastAsia" w:hAnsiTheme="majorHAnsi" w:cstheme="majorHAnsi"/>
          <w:b/>
          <w:color w:val="000000" w:themeColor="text1"/>
          <w:sz w:val="24"/>
          <w:szCs w:val="24"/>
          <w:lang w:val="ro-RO"/>
        </w:rPr>
        <w:lastRenderedPageBreak/>
        <w:t>Anexa nr.</w:t>
      </w:r>
      <w:bookmarkEnd w:id="20"/>
      <w:bookmarkEnd w:id="21"/>
      <w:r w:rsidRPr="00BD050E">
        <w:rPr>
          <w:rFonts w:asciiTheme="majorHAnsi" w:eastAsiaTheme="majorEastAsia" w:hAnsiTheme="majorHAnsi" w:cstheme="majorHAnsi"/>
          <w:b/>
          <w:color w:val="000000" w:themeColor="text1"/>
          <w:sz w:val="24"/>
          <w:szCs w:val="24"/>
          <w:lang w:val="ro-RO"/>
        </w:rPr>
        <w:t>4</w:t>
      </w:r>
    </w:p>
    <w:p w14:paraId="665E7741" w14:textId="27FD7AA0" w:rsidR="0036424B" w:rsidRPr="00BD050E" w:rsidRDefault="0036424B" w:rsidP="0036424B">
      <w:pPr>
        <w:spacing w:after="0"/>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 xml:space="preserve">Declarația de contabilitate DA-A aferentă Componentei </w:t>
      </w:r>
      <w:r w:rsidR="000B5D5F" w:rsidRPr="00BD050E">
        <w:rPr>
          <w:rFonts w:asciiTheme="majorHAnsi" w:hAnsiTheme="majorHAnsi" w:cstheme="majorHAnsi"/>
          <w:b/>
          <w:i/>
          <w:color w:val="000000" w:themeColor="text1"/>
          <w:sz w:val="24"/>
          <w:szCs w:val="24"/>
          <w:lang w:val="ro-RO"/>
        </w:rPr>
        <w:t>„</w:t>
      </w:r>
      <w:r w:rsidRPr="00BD050E">
        <w:rPr>
          <w:rFonts w:asciiTheme="majorHAnsi" w:hAnsiTheme="majorHAnsi" w:cstheme="majorHAnsi"/>
          <w:b/>
          <w:i/>
          <w:color w:val="000000" w:themeColor="text1"/>
          <w:sz w:val="24"/>
          <w:szCs w:val="24"/>
          <w:lang w:val="ro-RO"/>
        </w:rPr>
        <w:t xml:space="preserve"> Asistență Tehnică</w:t>
      </w:r>
      <w:r w:rsidR="000B5D5F" w:rsidRPr="00BD050E">
        <w:rPr>
          <w:rFonts w:asciiTheme="majorHAnsi" w:hAnsiTheme="majorHAnsi" w:cstheme="majorHAnsi"/>
          <w:b/>
          <w:i/>
          <w:color w:val="000000" w:themeColor="text1"/>
          <w:sz w:val="24"/>
          <w:szCs w:val="24"/>
          <w:lang w:val="ro-RO"/>
        </w:rPr>
        <w:t>”</w:t>
      </w:r>
      <w:r w:rsidRPr="00BD050E">
        <w:rPr>
          <w:rFonts w:asciiTheme="majorHAnsi" w:hAnsiTheme="majorHAnsi" w:cstheme="majorHAnsi"/>
          <w:b/>
          <w:i/>
          <w:color w:val="000000" w:themeColor="text1"/>
          <w:sz w:val="24"/>
          <w:szCs w:val="24"/>
          <w:lang w:val="ro-RO"/>
        </w:rPr>
        <w:t xml:space="preserve"> din cadrul Operațiunii „Modernizarea sectorului sănătății în Republica Moldova”,</w:t>
      </w:r>
      <w:bookmarkEnd w:id="22"/>
      <w:r w:rsidRPr="00BD050E">
        <w:rPr>
          <w:rFonts w:asciiTheme="majorHAnsi" w:hAnsiTheme="majorHAnsi" w:cstheme="majorHAnsi"/>
          <w:b/>
          <w:i/>
          <w:color w:val="000000" w:themeColor="text1"/>
          <w:sz w:val="24"/>
          <w:szCs w:val="24"/>
          <w:lang w:val="ro-RO"/>
        </w:rPr>
        <w:t xml:space="preserve"> în anii 2017-2021, dolari SUA</w:t>
      </w:r>
    </w:p>
    <w:p w14:paraId="5111EFD3" w14:textId="77777777" w:rsidR="0036424B" w:rsidRPr="00BD050E" w:rsidRDefault="0036424B" w:rsidP="0036424B">
      <w:pPr>
        <w:spacing w:after="0"/>
        <w:jc w:val="center"/>
        <w:rPr>
          <w:rFonts w:asciiTheme="majorHAnsi" w:hAnsiTheme="majorHAnsi" w:cstheme="majorHAnsi"/>
          <w:b/>
          <w:i/>
          <w:color w:val="000000" w:themeColor="text1"/>
          <w:sz w:val="24"/>
          <w:szCs w:val="24"/>
          <w:lang w:val="ro-RO"/>
        </w:rPr>
      </w:pPr>
    </w:p>
    <w:tbl>
      <w:tblPr>
        <w:tblW w:w="1219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560"/>
        <w:gridCol w:w="1701"/>
        <w:gridCol w:w="1418"/>
        <w:gridCol w:w="1275"/>
        <w:gridCol w:w="1275"/>
      </w:tblGrid>
      <w:tr w:rsidR="00814F8E" w:rsidRPr="00BD050E" w14:paraId="3E5906C7" w14:textId="77777777" w:rsidTr="000B4C5A">
        <w:trPr>
          <w:trHeight w:val="264"/>
        </w:trPr>
        <w:tc>
          <w:tcPr>
            <w:tcW w:w="4961" w:type="dxa"/>
            <w:shd w:val="clear" w:color="auto" w:fill="auto"/>
            <w:noWrap/>
            <w:vAlign w:val="center"/>
          </w:tcPr>
          <w:p w14:paraId="382A4B1E" w14:textId="77777777" w:rsidR="0036424B" w:rsidRPr="00BD050E" w:rsidRDefault="0036424B" w:rsidP="000B4C5A">
            <w:pPr>
              <w:spacing w:after="0" w:line="240" w:lineRule="auto"/>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Anii</w:t>
            </w:r>
          </w:p>
        </w:tc>
        <w:tc>
          <w:tcPr>
            <w:tcW w:w="1560" w:type="dxa"/>
            <w:shd w:val="clear" w:color="auto" w:fill="auto"/>
            <w:noWrap/>
            <w:vAlign w:val="center"/>
          </w:tcPr>
          <w:p w14:paraId="49909317" w14:textId="77777777" w:rsidR="0036424B" w:rsidRPr="00BD050E" w:rsidRDefault="0036424B" w:rsidP="000B4C5A">
            <w:pPr>
              <w:spacing w:after="0" w:line="240" w:lineRule="auto"/>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2017</w:t>
            </w:r>
          </w:p>
        </w:tc>
        <w:tc>
          <w:tcPr>
            <w:tcW w:w="1701" w:type="dxa"/>
          </w:tcPr>
          <w:p w14:paraId="4A67C75A" w14:textId="77777777" w:rsidR="0036424B" w:rsidRPr="00BD050E" w:rsidRDefault="0036424B" w:rsidP="000B4C5A">
            <w:pPr>
              <w:spacing w:after="0" w:line="240" w:lineRule="auto"/>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2018</w:t>
            </w:r>
          </w:p>
        </w:tc>
        <w:tc>
          <w:tcPr>
            <w:tcW w:w="1418" w:type="dxa"/>
          </w:tcPr>
          <w:p w14:paraId="0A57940D" w14:textId="77777777" w:rsidR="0036424B" w:rsidRPr="00BD050E" w:rsidRDefault="0036424B" w:rsidP="000B4C5A">
            <w:pPr>
              <w:spacing w:after="0" w:line="240" w:lineRule="auto"/>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2019</w:t>
            </w:r>
          </w:p>
        </w:tc>
        <w:tc>
          <w:tcPr>
            <w:tcW w:w="1275" w:type="dxa"/>
          </w:tcPr>
          <w:p w14:paraId="5CD76DB8" w14:textId="77777777" w:rsidR="0036424B" w:rsidRPr="00BD050E" w:rsidRDefault="0036424B" w:rsidP="000B4C5A">
            <w:pPr>
              <w:spacing w:after="0" w:line="240" w:lineRule="auto"/>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2020</w:t>
            </w:r>
          </w:p>
        </w:tc>
        <w:tc>
          <w:tcPr>
            <w:tcW w:w="1275" w:type="dxa"/>
          </w:tcPr>
          <w:p w14:paraId="4F99121F" w14:textId="77777777" w:rsidR="0036424B" w:rsidRPr="00BD050E" w:rsidRDefault="0036424B" w:rsidP="000B4C5A">
            <w:pPr>
              <w:spacing w:after="0" w:line="240" w:lineRule="auto"/>
              <w:jc w:val="center"/>
              <w:rPr>
                <w:rFonts w:asciiTheme="majorHAnsi" w:eastAsia="Times New Roman" w:hAnsiTheme="majorHAnsi" w:cstheme="majorHAnsi"/>
                <w:b/>
                <w:color w:val="000000" w:themeColor="text1"/>
                <w:sz w:val="20"/>
                <w:szCs w:val="20"/>
                <w:lang w:val="ro-RO"/>
              </w:rPr>
            </w:pPr>
            <w:r w:rsidRPr="00BD050E">
              <w:rPr>
                <w:rFonts w:asciiTheme="majorHAnsi" w:eastAsia="Times New Roman" w:hAnsiTheme="majorHAnsi" w:cstheme="majorHAnsi"/>
                <w:b/>
                <w:color w:val="000000" w:themeColor="text1"/>
                <w:sz w:val="20"/>
                <w:szCs w:val="20"/>
                <w:lang w:val="ro-RO"/>
              </w:rPr>
              <w:t>2021</w:t>
            </w:r>
          </w:p>
        </w:tc>
      </w:tr>
      <w:tr w:rsidR="00814F8E" w:rsidRPr="00BD050E" w14:paraId="0FFB6AC2" w14:textId="77777777" w:rsidTr="000B4C5A">
        <w:trPr>
          <w:trHeight w:val="264"/>
        </w:trPr>
        <w:tc>
          <w:tcPr>
            <w:tcW w:w="4961" w:type="dxa"/>
            <w:shd w:val="clear" w:color="auto" w:fill="auto"/>
            <w:noWrap/>
            <w:vAlign w:val="center"/>
            <w:hideMark/>
          </w:tcPr>
          <w:p w14:paraId="7865E020"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Soldul raportat din perioada anterioară</w:t>
            </w:r>
          </w:p>
        </w:tc>
        <w:tc>
          <w:tcPr>
            <w:tcW w:w="1560" w:type="dxa"/>
            <w:shd w:val="clear" w:color="auto" w:fill="auto"/>
            <w:noWrap/>
            <w:vAlign w:val="center"/>
            <w:hideMark/>
          </w:tcPr>
          <w:p w14:paraId="775411A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147 819,77</w:t>
            </w:r>
          </w:p>
        </w:tc>
        <w:tc>
          <w:tcPr>
            <w:tcW w:w="1701" w:type="dxa"/>
            <w:shd w:val="clear" w:color="auto" w:fill="auto"/>
            <w:vAlign w:val="center"/>
          </w:tcPr>
          <w:p w14:paraId="6F3702F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49 697,28</w:t>
            </w:r>
          </w:p>
        </w:tc>
        <w:tc>
          <w:tcPr>
            <w:tcW w:w="1418" w:type="dxa"/>
            <w:shd w:val="clear" w:color="auto" w:fill="auto"/>
            <w:vAlign w:val="center"/>
          </w:tcPr>
          <w:p w14:paraId="2C79DE4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97 221,25</w:t>
            </w:r>
          </w:p>
        </w:tc>
        <w:tc>
          <w:tcPr>
            <w:tcW w:w="1275" w:type="dxa"/>
          </w:tcPr>
          <w:p w14:paraId="5A5213B3"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127 456,63</w:t>
            </w:r>
          </w:p>
        </w:tc>
        <w:tc>
          <w:tcPr>
            <w:tcW w:w="1275" w:type="dxa"/>
          </w:tcPr>
          <w:p w14:paraId="19CAB12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48.112,54</w:t>
            </w:r>
          </w:p>
        </w:tc>
      </w:tr>
      <w:tr w:rsidR="00814F8E" w:rsidRPr="00BD050E" w14:paraId="19E46E38" w14:textId="77777777" w:rsidTr="000B4C5A">
        <w:trPr>
          <w:trHeight w:val="264"/>
        </w:trPr>
        <w:tc>
          <w:tcPr>
            <w:tcW w:w="4961" w:type="dxa"/>
            <w:shd w:val="clear" w:color="auto" w:fill="auto"/>
            <w:noWrap/>
            <w:vAlign w:val="center"/>
            <w:hideMark/>
          </w:tcPr>
          <w:p w14:paraId="3B3B476E"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  (cu excepția elementelor de ajustare)</w:t>
            </w:r>
          </w:p>
        </w:tc>
        <w:tc>
          <w:tcPr>
            <w:tcW w:w="1560" w:type="dxa"/>
            <w:shd w:val="clear" w:color="auto" w:fill="auto"/>
            <w:noWrap/>
            <w:vAlign w:val="center"/>
            <w:hideMark/>
          </w:tcPr>
          <w:p w14:paraId="6C300E3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0A9E4A3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7592121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7FCD150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79ADC17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r w:rsidR="00814F8E" w:rsidRPr="00BD050E" w14:paraId="3971A55F" w14:textId="77777777" w:rsidTr="000B4C5A">
        <w:trPr>
          <w:trHeight w:val="253"/>
        </w:trPr>
        <w:tc>
          <w:tcPr>
            <w:tcW w:w="4961" w:type="dxa"/>
            <w:shd w:val="clear" w:color="auto" w:fill="auto"/>
            <w:vAlign w:val="center"/>
            <w:hideMark/>
          </w:tcPr>
          <w:p w14:paraId="6B65086C"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Refinanțarea Băncii Mondiale primită în perioada curentă</w:t>
            </w:r>
          </w:p>
        </w:tc>
        <w:tc>
          <w:tcPr>
            <w:tcW w:w="1560" w:type="dxa"/>
            <w:shd w:val="clear" w:color="auto" w:fill="auto"/>
            <w:noWrap/>
            <w:vAlign w:val="center"/>
            <w:hideMark/>
          </w:tcPr>
          <w:p w14:paraId="1E010C4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340 000,00</w:t>
            </w:r>
          </w:p>
        </w:tc>
        <w:tc>
          <w:tcPr>
            <w:tcW w:w="1701" w:type="dxa"/>
            <w:shd w:val="clear" w:color="auto" w:fill="auto"/>
            <w:vAlign w:val="center"/>
          </w:tcPr>
          <w:p w14:paraId="2940A8C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390 000,00</w:t>
            </w:r>
          </w:p>
        </w:tc>
        <w:tc>
          <w:tcPr>
            <w:tcW w:w="1418" w:type="dxa"/>
            <w:shd w:val="clear" w:color="auto" w:fill="auto"/>
            <w:vAlign w:val="center"/>
          </w:tcPr>
          <w:p w14:paraId="3097C1D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604 681,70</w:t>
            </w:r>
          </w:p>
        </w:tc>
        <w:tc>
          <w:tcPr>
            <w:tcW w:w="1275" w:type="dxa"/>
          </w:tcPr>
          <w:p w14:paraId="48F4565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50 000,00</w:t>
            </w:r>
          </w:p>
        </w:tc>
        <w:tc>
          <w:tcPr>
            <w:tcW w:w="1275" w:type="dxa"/>
          </w:tcPr>
          <w:p w14:paraId="60A1C78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100.000,00</w:t>
            </w:r>
          </w:p>
        </w:tc>
      </w:tr>
      <w:tr w:rsidR="00814F8E" w:rsidRPr="00BD050E" w14:paraId="12BD12E9" w14:textId="77777777" w:rsidTr="000B4C5A">
        <w:trPr>
          <w:trHeight w:val="264"/>
        </w:trPr>
        <w:tc>
          <w:tcPr>
            <w:tcW w:w="4961" w:type="dxa"/>
            <w:shd w:val="clear" w:color="auto" w:fill="auto"/>
            <w:noWrap/>
            <w:vAlign w:val="center"/>
            <w:hideMark/>
          </w:tcPr>
          <w:p w14:paraId="57E200FB"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Dobânda primită pe parcursul perioadei</w:t>
            </w:r>
          </w:p>
        </w:tc>
        <w:tc>
          <w:tcPr>
            <w:tcW w:w="1560" w:type="dxa"/>
            <w:shd w:val="clear" w:color="auto" w:fill="auto"/>
            <w:noWrap/>
            <w:vAlign w:val="center"/>
            <w:hideMark/>
          </w:tcPr>
          <w:p w14:paraId="144C845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567E9BD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522D0F1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25AA02D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063AA44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r w:rsidR="00814F8E" w:rsidRPr="00BD050E" w14:paraId="082FC821" w14:textId="77777777" w:rsidTr="000B4C5A">
        <w:trPr>
          <w:trHeight w:val="276"/>
        </w:trPr>
        <w:tc>
          <w:tcPr>
            <w:tcW w:w="4961" w:type="dxa"/>
            <w:shd w:val="clear" w:color="auto" w:fill="auto"/>
            <w:noWrap/>
            <w:vAlign w:val="center"/>
            <w:hideMark/>
          </w:tcPr>
          <w:p w14:paraId="7A8B2352"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 xml:space="preserve">  Subtotal</w:t>
            </w:r>
          </w:p>
        </w:tc>
        <w:tc>
          <w:tcPr>
            <w:tcW w:w="1560" w:type="dxa"/>
            <w:shd w:val="clear" w:color="auto" w:fill="auto"/>
            <w:noWrap/>
            <w:vAlign w:val="center"/>
            <w:hideMark/>
          </w:tcPr>
          <w:p w14:paraId="46D70736"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487 819,77</w:t>
            </w:r>
          </w:p>
        </w:tc>
        <w:tc>
          <w:tcPr>
            <w:tcW w:w="1701" w:type="dxa"/>
            <w:shd w:val="clear" w:color="auto" w:fill="auto"/>
            <w:vAlign w:val="center"/>
          </w:tcPr>
          <w:p w14:paraId="423C775C"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439 697,28</w:t>
            </w:r>
          </w:p>
        </w:tc>
        <w:tc>
          <w:tcPr>
            <w:tcW w:w="1418" w:type="dxa"/>
            <w:shd w:val="clear" w:color="auto" w:fill="auto"/>
            <w:vAlign w:val="center"/>
          </w:tcPr>
          <w:p w14:paraId="24BBEEF9"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701 902,95</w:t>
            </w:r>
          </w:p>
        </w:tc>
        <w:tc>
          <w:tcPr>
            <w:tcW w:w="1275" w:type="dxa"/>
          </w:tcPr>
          <w:p w14:paraId="58CB852C"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177 456,63</w:t>
            </w:r>
          </w:p>
        </w:tc>
        <w:tc>
          <w:tcPr>
            <w:tcW w:w="1275" w:type="dxa"/>
          </w:tcPr>
          <w:p w14:paraId="12C0C41A"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148.112,54</w:t>
            </w:r>
          </w:p>
        </w:tc>
      </w:tr>
      <w:tr w:rsidR="00814F8E" w:rsidRPr="00BD050E" w14:paraId="3273FF94" w14:textId="77777777" w:rsidTr="000B4C5A">
        <w:trPr>
          <w:trHeight w:val="264"/>
        </w:trPr>
        <w:tc>
          <w:tcPr>
            <w:tcW w:w="4961" w:type="dxa"/>
            <w:shd w:val="clear" w:color="auto" w:fill="auto"/>
            <w:noWrap/>
            <w:vAlign w:val="center"/>
            <w:hideMark/>
          </w:tcPr>
          <w:p w14:paraId="2C1D53AF"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Rambursări pe parcursul perioadei</w:t>
            </w:r>
          </w:p>
        </w:tc>
        <w:tc>
          <w:tcPr>
            <w:tcW w:w="1560" w:type="dxa"/>
            <w:shd w:val="clear" w:color="auto" w:fill="auto"/>
            <w:noWrap/>
            <w:vAlign w:val="center"/>
            <w:hideMark/>
          </w:tcPr>
          <w:p w14:paraId="7C20352A"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7AA48F3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1617B7C2"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26F1418E"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106CA14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r w:rsidR="00814F8E" w:rsidRPr="00BD050E" w14:paraId="531CB982" w14:textId="77777777" w:rsidTr="000B4C5A">
        <w:trPr>
          <w:trHeight w:val="264"/>
        </w:trPr>
        <w:tc>
          <w:tcPr>
            <w:tcW w:w="4961" w:type="dxa"/>
            <w:shd w:val="clear" w:color="auto" w:fill="auto"/>
            <w:noWrap/>
            <w:vAlign w:val="center"/>
            <w:hideMark/>
          </w:tcPr>
          <w:p w14:paraId="2720A1FD"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  Deducție:</w:t>
            </w:r>
          </w:p>
        </w:tc>
        <w:tc>
          <w:tcPr>
            <w:tcW w:w="1560" w:type="dxa"/>
            <w:shd w:val="clear" w:color="auto" w:fill="auto"/>
            <w:noWrap/>
            <w:vAlign w:val="center"/>
            <w:hideMark/>
          </w:tcPr>
          <w:p w14:paraId="29F33CD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73725E2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0592A15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654334E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5E508C2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r w:rsidR="00814F8E" w:rsidRPr="00BD050E" w14:paraId="1387C7BA" w14:textId="77777777" w:rsidTr="000B4C5A">
        <w:trPr>
          <w:trHeight w:val="504"/>
        </w:trPr>
        <w:tc>
          <w:tcPr>
            <w:tcW w:w="4961" w:type="dxa"/>
            <w:shd w:val="clear" w:color="auto" w:fill="auto"/>
            <w:vAlign w:val="center"/>
            <w:hideMark/>
          </w:tcPr>
          <w:p w14:paraId="1005A32B"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Suma plătită pentru cheltuieli eligibile suportate pe parcursul perioadei curente</w:t>
            </w:r>
          </w:p>
        </w:tc>
        <w:tc>
          <w:tcPr>
            <w:tcW w:w="1560" w:type="dxa"/>
            <w:shd w:val="clear" w:color="auto" w:fill="auto"/>
            <w:noWrap/>
            <w:vAlign w:val="center"/>
            <w:hideMark/>
          </w:tcPr>
          <w:p w14:paraId="4351748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438 122,49</w:t>
            </w:r>
          </w:p>
        </w:tc>
        <w:tc>
          <w:tcPr>
            <w:tcW w:w="1701" w:type="dxa"/>
            <w:shd w:val="clear" w:color="auto" w:fill="auto"/>
            <w:vAlign w:val="center"/>
          </w:tcPr>
          <w:p w14:paraId="26F0129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342 476,03</w:t>
            </w:r>
          </w:p>
        </w:tc>
        <w:tc>
          <w:tcPr>
            <w:tcW w:w="1418" w:type="dxa"/>
            <w:shd w:val="clear" w:color="auto" w:fill="auto"/>
            <w:vAlign w:val="center"/>
          </w:tcPr>
          <w:p w14:paraId="630629D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574 446,32</w:t>
            </w:r>
          </w:p>
        </w:tc>
        <w:tc>
          <w:tcPr>
            <w:tcW w:w="1275" w:type="dxa"/>
          </w:tcPr>
          <w:p w14:paraId="7E80B23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129 344,09</w:t>
            </w:r>
          </w:p>
        </w:tc>
        <w:tc>
          <w:tcPr>
            <w:tcW w:w="1275" w:type="dxa"/>
          </w:tcPr>
          <w:p w14:paraId="2A40D06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104.104,33</w:t>
            </w:r>
          </w:p>
        </w:tc>
      </w:tr>
      <w:tr w:rsidR="00814F8E" w:rsidRPr="00BD050E" w14:paraId="6512B7B4" w14:textId="77777777" w:rsidTr="000B4C5A">
        <w:trPr>
          <w:trHeight w:val="276"/>
        </w:trPr>
        <w:tc>
          <w:tcPr>
            <w:tcW w:w="4961" w:type="dxa"/>
            <w:shd w:val="clear" w:color="auto" w:fill="auto"/>
            <w:noWrap/>
            <w:vAlign w:val="center"/>
            <w:hideMark/>
          </w:tcPr>
          <w:p w14:paraId="5B05E8E9"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 xml:space="preserve"> Total înainte de recuperare și ajustare</w:t>
            </w:r>
          </w:p>
        </w:tc>
        <w:tc>
          <w:tcPr>
            <w:tcW w:w="1560" w:type="dxa"/>
            <w:shd w:val="clear" w:color="auto" w:fill="auto"/>
            <w:noWrap/>
            <w:vAlign w:val="center"/>
            <w:hideMark/>
          </w:tcPr>
          <w:p w14:paraId="0CC51148"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438 122,49</w:t>
            </w:r>
          </w:p>
        </w:tc>
        <w:tc>
          <w:tcPr>
            <w:tcW w:w="1701" w:type="dxa"/>
            <w:shd w:val="clear" w:color="auto" w:fill="auto"/>
            <w:vAlign w:val="center"/>
          </w:tcPr>
          <w:p w14:paraId="7F34BA70"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342 476,03</w:t>
            </w:r>
          </w:p>
        </w:tc>
        <w:tc>
          <w:tcPr>
            <w:tcW w:w="1418" w:type="dxa"/>
            <w:shd w:val="clear" w:color="auto" w:fill="auto"/>
            <w:vAlign w:val="center"/>
          </w:tcPr>
          <w:p w14:paraId="24E15F3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574 446,32</w:t>
            </w:r>
          </w:p>
        </w:tc>
        <w:tc>
          <w:tcPr>
            <w:tcW w:w="1275" w:type="dxa"/>
          </w:tcPr>
          <w:p w14:paraId="750F6712"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129 344,09</w:t>
            </w:r>
          </w:p>
        </w:tc>
        <w:tc>
          <w:tcPr>
            <w:tcW w:w="1275" w:type="dxa"/>
          </w:tcPr>
          <w:p w14:paraId="6AF21B6B"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104.104,33</w:t>
            </w:r>
          </w:p>
        </w:tc>
      </w:tr>
      <w:tr w:rsidR="00814F8E" w:rsidRPr="00BD050E" w14:paraId="5A4AB556" w14:textId="77777777" w:rsidTr="000B4C5A">
        <w:trPr>
          <w:trHeight w:val="264"/>
        </w:trPr>
        <w:tc>
          <w:tcPr>
            <w:tcW w:w="4961" w:type="dxa"/>
            <w:shd w:val="clear" w:color="auto" w:fill="auto"/>
            <w:noWrap/>
            <w:vAlign w:val="center"/>
            <w:hideMark/>
          </w:tcPr>
          <w:p w14:paraId="1A1E5A85"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  Deducție:</w:t>
            </w:r>
          </w:p>
        </w:tc>
        <w:tc>
          <w:tcPr>
            <w:tcW w:w="1560" w:type="dxa"/>
            <w:shd w:val="clear" w:color="auto" w:fill="auto"/>
            <w:noWrap/>
            <w:vAlign w:val="center"/>
            <w:hideMark/>
          </w:tcPr>
          <w:p w14:paraId="198369E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61825E4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61673C0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5075E26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557A924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r w:rsidR="00814F8E" w:rsidRPr="00BD050E" w14:paraId="66E32E28" w14:textId="77777777" w:rsidTr="000B4C5A">
        <w:trPr>
          <w:trHeight w:val="264"/>
        </w:trPr>
        <w:tc>
          <w:tcPr>
            <w:tcW w:w="4961" w:type="dxa"/>
            <w:shd w:val="clear" w:color="auto" w:fill="auto"/>
            <w:noWrap/>
            <w:vAlign w:val="center"/>
            <w:hideMark/>
          </w:tcPr>
          <w:p w14:paraId="7F1B94A2"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Suma recuperată de Banca Mondială</w:t>
            </w:r>
          </w:p>
        </w:tc>
        <w:tc>
          <w:tcPr>
            <w:tcW w:w="1560" w:type="dxa"/>
            <w:shd w:val="clear" w:color="auto" w:fill="auto"/>
            <w:noWrap/>
            <w:vAlign w:val="center"/>
            <w:hideMark/>
          </w:tcPr>
          <w:p w14:paraId="6021F65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11F58D88"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144346E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740454C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6536157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r w:rsidR="00814F8E" w:rsidRPr="00BD050E" w14:paraId="1DB46CF7" w14:textId="77777777" w:rsidTr="000B4C5A">
        <w:trPr>
          <w:trHeight w:val="264"/>
        </w:trPr>
        <w:tc>
          <w:tcPr>
            <w:tcW w:w="4961" w:type="dxa"/>
            <w:shd w:val="clear" w:color="auto" w:fill="auto"/>
            <w:noWrap/>
            <w:vAlign w:val="center"/>
            <w:hideMark/>
          </w:tcPr>
          <w:p w14:paraId="346E94E4"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Ajustări</w:t>
            </w:r>
          </w:p>
        </w:tc>
        <w:tc>
          <w:tcPr>
            <w:tcW w:w="1560" w:type="dxa"/>
            <w:shd w:val="clear" w:color="auto" w:fill="auto"/>
            <w:noWrap/>
            <w:vAlign w:val="center"/>
            <w:hideMark/>
          </w:tcPr>
          <w:p w14:paraId="1152B8EF"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2D8D74F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26CC7D19"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0DE7F45D"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169643D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r w:rsidR="00814F8E" w:rsidRPr="00BD050E" w14:paraId="74942310" w14:textId="77777777" w:rsidTr="000B4C5A">
        <w:trPr>
          <w:trHeight w:val="276"/>
        </w:trPr>
        <w:tc>
          <w:tcPr>
            <w:tcW w:w="4961" w:type="dxa"/>
            <w:shd w:val="clear" w:color="auto" w:fill="auto"/>
            <w:noWrap/>
            <w:vAlign w:val="center"/>
            <w:hideMark/>
          </w:tcPr>
          <w:p w14:paraId="2DC4F083" w14:textId="77777777" w:rsidR="0036424B" w:rsidRPr="00BD050E" w:rsidRDefault="0036424B" w:rsidP="000B4C5A">
            <w:pPr>
              <w:spacing w:after="0" w:line="240" w:lineRule="auto"/>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Soldul de încheiere</w:t>
            </w:r>
          </w:p>
        </w:tc>
        <w:tc>
          <w:tcPr>
            <w:tcW w:w="1560" w:type="dxa"/>
            <w:shd w:val="clear" w:color="auto" w:fill="auto"/>
            <w:noWrap/>
            <w:vAlign w:val="center"/>
            <w:hideMark/>
          </w:tcPr>
          <w:p w14:paraId="774B8E94"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49 697,28</w:t>
            </w:r>
          </w:p>
        </w:tc>
        <w:tc>
          <w:tcPr>
            <w:tcW w:w="1701" w:type="dxa"/>
            <w:shd w:val="clear" w:color="auto" w:fill="auto"/>
            <w:vAlign w:val="center"/>
          </w:tcPr>
          <w:p w14:paraId="28A9BE6D"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97 221,25</w:t>
            </w:r>
          </w:p>
        </w:tc>
        <w:tc>
          <w:tcPr>
            <w:tcW w:w="1418" w:type="dxa"/>
            <w:shd w:val="clear" w:color="auto" w:fill="auto"/>
            <w:vAlign w:val="center"/>
          </w:tcPr>
          <w:p w14:paraId="12FB1C6A"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127 456,63</w:t>
            </w:r>
          </w:p>
        </w:tc>
        <w:tc>
          <w:tcPr>
            <w:tcW w:w="1275" w:type="dxa"/>
          </w:tcPr>
          <w:p w14:paraId="467DC68E"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48 112,54</w:t>
            </w:r>
          </w:p>
        </w:tc>
        <w:tc>
          <w:tcPr>
            <w:tcW w:w="1275" w:type="dxa"/>
          </w:tcPr>
          <w:p w14:paraId="62370A54" w14:textId="77777777" w:rsidR="0036424B" w:rsidRPr="00BD050E" w:rsidRDefault="0036424B" w:rsidP="000B4C5A">
            <w:pPr>
              <w:spacing w:after="0" w:line="240" w:lineRule="auto"/>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44.008,21</w:t>
            </w:r>
          </w:p>
        </w:tc>
      </w:tr>
      <w:tr w:rsidR="00814F8E" w:rsidRPr="00BD050E" w14:paraId="0DEE8000" w14:textId="77777777" w:rsidTr="000B4C5A">
        <w:trPr>
          <w:trHeight w:val="264"/>
        </w:trPr>
        <w:tc>
          <w:tcPr>
            <w:tcW w:w="4961" w:type="dxa"/>
            <w:shd w:val="clear" w:color="auto" w:fill="auto"/>
            <w:noWrap/>
            <w:vAlign w:val="center"/>
            <w:hideMark/>
          </w:tcPr>
          <w:p w14:paraId="721201E3"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Suma privind declarația bancară (în dolari SUA)</w:t>
            </w:r>
          </w:p>
        </w:tc>
        <w:tc>
          <w:tcPr>
            <w:tcW w:w="1560" w:type="dxa"/>
            <w:shd w:val="clear" w:color="auto" w:fill="auto"/>
            <w:noWrap/>
            <w:vAlign w:val="center"/>
            <w:hideMark/>
          </w:tcPr>
          <w:p w14:paraId="37DF630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49 696,08</w:t>
            </w:r>
          </w:p>
        </w:tc>
        <w:tc>
          <w:tcPr>
            <w:tcW w:w="1701" w:type="dxa"/>
            <w:shd w:val="clear" w:color="auto" w:fill="auto"/>
            <w:vAlign w:val="center"/>
          </w:tcPr>
          <w:p w14:paraId="0FE66C8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97 220,48</w:t>
            </w:r>
          </w:p>
        </w:tc>
        <w:tc>
          <w:tcPr>
            <w:tcW w:w="1418" w:type="dxa"/>
            <w:shd w:val="clear" w:color="auto" w:fill="auto"/>
          </w:tcPr>
          <w:p w14:paraId="15DECD0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127 455,74</w:t>
            </w:r>
          </w:p>
        </w:tc>
        <w:tc>
          <w:tcPr>
            <w:tcW w:w="1275" w:type="dxa"/>
          </w:tcPr>
          <w:p w14:paraId="1F6CC97C" w14:textId="77777777" w:rsidR="0036424B" w:rsidRPr="00BD050E" w:rsidRDefault="0036424B" w:rsidP="000B4C5A">
            <w:pPr>
              <w:spacing w:after="0" w:line="240" w:lineRule="auto"/>
              <w:jc w:val="center"/>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48 111,74</w:t>
            </w:r>
          </w:p>
        </w:tc>
        <w:tc>
          <w:tcPr>
            <w:tcW w:w="1275" w:type="dxa"/>
          </w:tcPr>
          <w:p w14:paraId="2B7A4D26" w14:textId="77777777" w:rsidR="0036424B" w:rsidRPr="00BD050E" w:rsidRDefault="0036424B" w:rsidP="000B4C5A">
            <w:pPr>
              <w:spacing w:after="0" w:line="240" w:lineRule="auto"/>
              <w:jc w:val="center"/>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44.007,74</w:t>
            </w:r>
          </w:p>
        </w:tc>
      </w:tr>
      <w:tr w:rsidR="00814F8E" w:rsidRPr="00BD050E" w14:paraId="2B2418C9" w14:textId="77777777" w:rsidTr="000B4C5A">
        <w:trPr>
          <w:trHeight w:val="264"/>
        </w:trPr>
        <w:tc>
          <w:tcPr>
            <w:tcW w:w="4961" w:type="dxa"/>
            <w:shd w:val="clear" w:color="auto" w:fill="auto"/>
            <w:noWrap/>
            <w:vAlign w:val="center"/>
            <w:hideMark/>
          </w:tcPr>
          <w:p w14:paraId="11B147A2"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Suma privind declarația bancară (în MDL)</w:t>
            </w:r>
          </w:p>
        </w:tc>
        <w:tc>
          <w:tcPr>
            <w:tcW w:w="1560" w:type="dxa"/>
            <w:shd w:val="clear" w:color="auto" w:fill="auto"/>
            <w:noWrap/>
            <w:vAlign w:val="center"/>
            <w:hideMark/>
          </w:tcPr>
          <w:p w14:paraId="5915DE3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1.20</w:t>
            </w:r>
          </w:p>
        </w:tc>
        <w:tc>
          <w:tcPr>
            <w:tcW w:w="1701" w:type="dxa"/>
            <w:shd w:val="clear" w:color="auto" w:fill="auto"/>
            <w:vAlign w:val="center"/>
          </w:tcPr>
          <w:p w14:paraId="36FA4E41"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0,77</w:t>
            </w:r>
          </w:p>
        </w:tc>
        <w:tc>
          <w:tcPr>
            <w:tcW w:w="1418" w:type="dxa"/>
            <w:shd w:val="clear" w:color="auto" w:fill="auto"/>
          </w:tcPr>
          <w:p w14:paraId="3B98D38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0,89</w:t>
            </w:r>
          </w:p>
        </w:tc>
        <w:tc>
          <w:tcPr>
            <w:tcW w:w="1275" w:type="dxa"/>
          </w:tcPr>
          <w:p w14:paraId="70F7B98E" w14:textId="77777777" w:rsidR="0036424B" w:rsidRPr="00BD050E" w:rsidRDefault="0036424B" w:rsidP="000B4C5A">
            <w:pPr>
              <w:spacing w:after="0" w:line="240" w:lineRule="auto"/>
              <w:jc w:val="center"/>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0.80</w:t>
            </w:r>
          </w:p>
        </w:tc>
        <w:tc>
          <w:tcPr>
            <w:tcW w:w="1275" w:type="dxa"/>
          </w:tcPr>
          <w:p w14:paraId="6A9682C8" w14:textId="77777777" w:rsidR="0036424B" w:rsidRPr="00BD050E" w:rsidRDefault="0036424B" w:rsidP="000B4C5A">
            <w:pPr>
              <w:spacing w:after="0" w:line="240" w:lineRule="auto"/>
              <w:jc w:val="center"/>
              <w:rPr>
                <w:rFonts w:asciiTheme="majorHAnsi" w:hAnsiTheme="majorHAnsi" w:cstheme="majorHAnsi"/>
                <w:color w:val="000000" w:themeColor="text1"/>
                <w:sz w:val="20"/>
                <w:szCs w:val="20"/>
                <w:lang w:val="ro-RO"/>
              </w:rPr>
            </w:pPr>
            <w:r w:rsidRPr="00BD050E">
              <w:rPr>
                <w:rFonts w:asciiTheme="majorHAnsi" w:hAnsiTheme="majorHAnsi" w:cstheme="majorHAnsi"/>
                <w:color w:val="000000" w:themeColor="text1"/>
                <w:sz w:val="20"/>
                <w:szCs w:val="20"/>
                <w:lang w:val="ro-RO"/>
              </w:rPr>
              <w:t>8,29</w:t>
            </w:r>
          </w:p>
        </w:tc>
      </w:tr>
      <w:tr w:rsidR="00814F8E" w:rsidRPr="00BD050E" w14:paraId="701536BC" w14:textId="77777777" w:rsidTr="000B4C5A">
        <w:trPr>
          <w:trHeight w:val="550"/>
        </w:trPr>
        <w:tc>
          <w:tcPr>
            <w:tcW w:w="4961" w:type="dxa"/>
            <w:shd w:val="clear" w:color="auto" w:fill="auto"/>
            <w:noWrap/>
            <w:vAlign w:val="center"/>
            <w:hideMark/>
          </w:tcPr>
          <w:p w14:paraId="22D7A09A"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Diferența care trebuie explicată</w:t>
            </w:r>
          </w:p>
          <w:p w14:paraId="4538F5A8" w14:textId="77777777" w:rsidR="0036424B" w:rsidRPr="00BD050E" w:rsidRDefault="0036424B" w:rsidP="000B4C5A">
            <w:pPr>
              <w:spacing w:after="0" w:line="240" w:lineRule="auto"/>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(inclusiv diferențele de curs valutar)</w:t>
            </w:r>
          </w:p>
        </w:tc>
        <w:tc>
          <w:tcPr>
            <w:tcW w:w="1560" w:type="dxa"/>
            <w:shd w:val="clear" w:color="auto" w:fill="auto"/>
            <w:noWrap/>
            <w:vAlign w:val="center"/>
            <w:hideMark/>
          </w:tcPr>
          <w:p w14:paraId="35351356"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p w14:paraId="503393E5"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701" w:type="dxa"/>
            <w:shd w:val="clear" w:color="auto" w:fill="auto"/>
            <w:vAlign w:val="center"/>
          </w:tcPr>
          <w:p w14:paraId="65BDA73C"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p w14:paraId="37C589FB"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418" w:type="dxa"/>
            <w:shd w:val="clear" w:color="auto" w:fill="auto"/>
            <w:vAlign w:val="center"/>
          </w:tcPr>
          <w:p w14:paraId="304B2C3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p w14:paraId="4EEBFF24"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4EA7D4A7"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c>
          <w:tcPr>
            <w:tcW w:w="1275" w:type="dxa"/>
          </w:tcPr>
          <w:p w14:paraId="1795FCF0" w14:textId="77777777" w:rsidR="0036424B" w:rsidRPr="00BD050E" w:rsidRDefault="0036424B" w:rsidP="000B4C5A">
            <w:pPr>
              <w:spacing w:after="0" w:line="240" w:lineRule="auto"/>
              <w:jc w:val="center"/>
              <w:rPr>
                <w:rFonts w:asciiTheme="majorHAnsi" w:eastAsia="Times New Roman" w:hAnsiTheme="majorHAnsi" w:cstheme="majorHAnsi"/>
                <w:color w:val="000000" w:themeColor="text1"/>
                <w:sz w:val="20"/>
                <w:szCs w:val="20"/>
                <w:lang w:val="ro-RO"/>
              </w:rPr>
            </w:pPr>
          </w:p>
        </w:tc>
      </w:tr>
    </w:tbl>
    <w:p w14:paraId="78E1C94C" w14:textId="77777777" w:rsidR="0036424B" w:rsidRPr="00BD050E" w:rsidRDefault="0036424B" w:rsidP="0036424B">
      <w:pPr>
        <w:rPr>
          <w:rFonts w:asciiTheme="majorHAnsi" w:eastAsiaTheme="majorEastAsia" w:hAnsiTheme="majorHAnsi" w:cstheme="majorHAnsi"/>
          <w:i/>
          <w:color w:val="000000" w:themeColor="text1"/>
          <w:sz w:val="20"/>
          <w:szCs w:val="20"/>
          <w:lang w:val="ro-RO"/>
        </w:rPr>
      </w:pPr>
      <w:bookmarkStart w:id="23" w:name="_Toc513122878"/>
      <w:bookmarkStart w:id="24" w:name="_Toc10125927"/>
      <w:r w:rsidRPr="00BD050E">
        <w:rPr>
          <w:rFonts w:asciiTheme="majorHAnsi" w:eastAsiaTheme="majorEastAsia" w:hAnsiTheme="majorHAnsi" w:cstheme="majorHAnsi"/>
          <w:b/>
          <w:i/>
          <w:color w:val="000000" w:themeColor="text1"/>
          <w:sz w:val="20"/>
          <w:szCs w:val="20"/>
          <w:lang w:val="ro-RO"/>
        </w:rPr>
        <w:t xml:space="preserve">     </w:t>
      </w:r>
    </w:p>
    <w:p w14:paraId="08F46452" w14:textId="77777777" w:rsidR="0036424B" w:rsidRPr="00BD050E" w:rsidRDefault="0036424B" w:rsidP="0036424B">
      <w:pPr>
        <w:keepNext/>
        <w:keepLines/>
        <w:spacing w:before="240" w:after="0"/>
        <w:jc w:val="right"/>
        <w:outlineLvl w:val="0"/>
        <w:rPr>
          <w:rFonts w:asciiTheme="majorHAnsi" w:eastAsiaTheme="majorEastAsia" w:hAnsiTheme="majorHAnsi" w:cstheme="majorHAnsi"/>
          <w:b/>
          <w:color w:val="000000" w:themeColor="text1"/>
          <w:sz w:val="24"/>
          <w:szCs w:val="24"/>
          <w:lang w:val="ro-RO"/>
        </w:rPr>
      </w:pPr>
      <w:r w:rsidRPr="00BD050E">
        <w:rPr>
          <w:rFonts w:asciiTheme="majorHAnsi" w:eastAsiaTheme="majorEastAsia" w:hAnsiTheme="majorHAnsi" w:cstheme="majorHAnsi"/>
          <w:b/>
          <w:color w:val="000000" w:themeColor="text1"/>
          <w:sz w:val="24"/>
          <w:szCs w:val="24"/>
          <w:lang w:val="ro-RO"/>
        </w:rPr>
        <w:t>Anexa nr.</w:t>
      </w:r>
      <w:bookmarkEnd w:id="23"/>
      <w:bookmarkEnd w:id="24"/>
      <w:r w:rsidRPr="00BD050E">
        <w:rPr>
          <w:rFonts w:asciiTheme="majorHAnsi" w:eastAsiaTheme="majorEastAsia" w:hAnsiTheme="majorHAnsi" w:cstheme="majorHAnsi"/>
          <w:b/>
          <w:color w:val="000000" w:themeColor="text1"/>
          <w:sz w:val="24"/>
          <w:szCs w:val="24"/>
          <w:lang w:val="ro-RO"/>
        </w:rPr>
        <w:t>5</w:t>
      </w:r>
    </w:p>
    <w:p w14:paraId="22B94D12" w14:textId="7A6F6995" w:rsidR="0036424B" w:rsidRPr="00BD050E" w:rsidRDefault="0036424B" w:rsidP="0036424B">
      <w:pPr>
        <w:tabs>
          <w:tab w:val="left" w:pos="993"/>
        </w:tabs>
        <w:spacing w:after="0" w:line="276" w:lineRule="auto"/>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 xml:space="preserve">Revizuirea progresului fizic al Componentei </w:t>
      </w:r>
      <w:r w:rsidR="000B5D5F" w:rsidRPr="00BD050E">
        <w:rPr>
          <w:rFonts w:asciiTheme="majorHAnsi" w:hAnsiTheme="majorHAnsi" w:cstheme="majorHAnsi"/>
          <w:b/>
          <w:i/>
          <w:color w:val="000000" w:themeColor="text1"/>
          <w:sz w:val="24"/>
          <w:szCs w:val="24"/>
          <w:lang w:val="ro-RO"/>
        </w:rPr>
        <w:t>„</w:t>
      </w:r>
      <w:r w:rsidRPr="00BD050E">
        <w:rPr>
          <w:rFonts w:asciiTheme="majorHAnsi" w:hAnsiTheme="majorHAnsi" w:cstheme="majorHAnsi"/>
          <w:b/>
          <w:i/>
          <w:color w:val="000000" w:themeColor="text1"/>
          <w:sz w:val="24"/>
          <w:szCs w:val="24"/>
          <w:lang w:val="ro-RO"/>
        </w:rPr>
        <w:t>Asistență Tehnică</w:t>
      </w:r>
      <w:r w:rsidR="000B5D5F" w:rsidRPr="00BD050E">
        <w:rPr>
          <w:rFonts w:asciiTheme="majorHAnsi" w:hAnsiTheme="majorHAnsi" w:cstheme="majorHAnsi"/>
          <w:b/>
          <w:i/>
          <w:color w:val="000000" w:themeColor="text1"/>
          <w:sz w:val="24"/>
          <w:szCs w:val="24"/>
          <w:lang w:val="ro-RO"/>
        </w:rPr>
        <w:t>”</w:t>
      </w:r>
      <w:r w:rsidRPr="00BD050E">
        <w:rPr>
          <w:rFonts w:asciiTheme="majorHAnsi" w:hAnsiTheme="majorHAnsi" w:cstheme="majorHAnsi"/>
          <w:b/>
          <w:i/>
          <w:color w:val="000000" w:themeColor="text1"/>
          <w:sz w:val="24"/>
          <w:szCs w:val="24"/>
          <w:lang w:val="ro-RO"/>
        </w:rPr>
        <w:t xml:space="preserve"> din cadrul Operațiunii „Modernizarea sectorului sănătății în Republica Moldova”, pentru anii 2017-2021, dolari SUA</w:t>
      </w:r>
    </w:p>
    <w:p w14:paraId="39CE769E" w14:textId="77777777" w:rsidR="0036424B" w:rsidRPr="00BD050E" w:rsidRDefault="0036424B" w:rsidP="0036424B">
      <w:pPr>
        <w:tabs>
          <w:tab w:val="left" w:pos="993"/>
        </w:tabs>
        <w:spacing w:after="0" w:line="276" w:lineRule="auto"/>
        <w:rPr>
          <w:rFonts w:asciiTheme="majorHAnsi" w:hAnsiTheme="majorHAnsi" w:cstheme="majorHAnsi"/>
          <w:b/>
          <w:i/>
          <w:color w:val="000000" w:themeColor="text1"/>
          <w:sz w:val="24"/>
          <w:szCs w:val="24"/>
          <w:lang w:val="ro-RO"/>
        </w:rPr>
      </w:pPr>
    </w:p>
    <w:tbl>
      <w:tblPr>
        <w:tblStyle w:val="TableGrid1"/>
        <w:tblW w:w="13628" w:type="dxa"/>
        <w:tblInd w:w="-431" w:type="dxa"/>
        <w:tblLook w:val="04A0" w:firstRow="1" w:lastRow="0" w:firstColumn="1" w:lastColumn="0" w:noHBand="0" w:noVBand="1"/>
      </w:tblPr>
      <w:tblGrid>
        <w:gridCol w:w="3828"/>
        <w:gridCol w:w="1133"/>
        <w:gridCol w:w="1077"/>
        <w:gridCol w:w="1191"/>
        <w:gridCol w:w="1276"/>
        <w:gridCol w:w="1171"/>
        <w:gridCol w:w="992"/>
        <w:gridCol w:w="851"/>
        <w:gridCol w:w="719"/>
        <w:gridCol w:w="760"/>
        <w:gridCol w:w="622"/>
        <w:gridCol w:w="8"/>
      </w:tblGrid>
      <w:tr w:rsidR="00814F8E" w:rsidRPr="00BD050E" w14:paraId="7DCA0049" w14:textId="77777777" w:rsidTr="000B4C5A">
        <w:trPr>
          <w:trHeight w:val="179"/>
        </w:trPr>
        <w:tc>
          <w:tcPr>
            <w:tcW w:w="3828" w:type="dxa"/>
            <w:vMerge w:val="restart"/>
            <w:noWrap/>
            <w:hideMark/>
          </w:tcPr>
          <w:p w14:paraId="40A96563"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Componenta</w:t>
            </w:r>
          </w:p>
        </w:tc>
        <w:tc>
          <w:tcPr>
            <w:tcW w:w="3401" w:type="dxa"/>
            <w:gridSpan w:val="3"/>
          </w:tcPr>
          <w:p w14:paraId="3DA36693"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Cheltuieli cumulative</w:t>
            </w:r>
          </w:p>
        </w:tc>
        <w:tc>
          <w:tcPr>
            <w:tcW w:w="1276" w:type="dxa"/>
          </w:tcPr>
          <w:p w14:paraId="40A2E68D"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p>
        </w:tc>
        <w:tc>
          <w:tcPr>
            <w:tcW w:w="1171" w:type="dxa"/>
          </w:tcPr>
          <w:p w14:paraId="44737E32"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p>
        </w:tc>
        <w:tc>
          <w:tcPr>
            <w:tcW w:w="3952" w:type="dxa"/>
            <w:gridSpan w:val="6"/>
            <w:noWrap/>
            <w:hideMark/>
          </w:tcPr>
          <w:p w14:paraId="1DBD2F3D"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 din costul total planificat</w:t>
            </w:r>
          </w:p>
        </w:tc>
      </w:tr>
      <w:tr w:rsidR="00814F8E" w:rsidRPr="00BD050E" w14:paraId="09B02FFD" w14:textId="77777777" w:rsidTr="000B4C5A">
        <w:trPr>
          <w:gridAfter w:val="1"/>
          <w:wAfter w:w="8" w:type="dxa"/>
          <w:trHeight w:val="179"/>
        </w:trPr>
        <w:tc>
          <w:tcPr>
            <w:tcW w:w="3828" w:type="dxa"/>
            <w:vMerge/>
            <w:noWrap/>
          </w:tcPr>
          <w:p w14:paraId="4979FB83"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p>
        </w:tc>
        <w:tc>
          <w:tcPr>
            <w:tcW w:w="1133" w:type="dxa"/>
          </w:tcPr>
          <w:p w14:paraId="67B2A854"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2017</w:t>
            </w:r>
          </w:p>
        </w:tc>
        <w:tc>
          <w:tcPr>
            <w:tcW w:w="1077" w:type="dxa"/>
          </w:tcPr>
          <w:p w14:paraId="4BF09341"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2018</w:t>
            </w:r>
          </w:p>
        </w:tc>
        <w:tc>
          <w:tcPr>
            <w:tcW w:w="1191" w:type="dxa"/>
          </w:tcPr>
          <w:p w14:paraId="674DFE4D"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2019</w:t>
            </w:r>
          </w:p>
        </w:tc>
        <w:tc>
          <w:tcPr>
            <w:tcW w:w="1276" w:type="dxa"/>
          </w:tcPr>
          <w:p w14:paraId="3621BA12"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2020</w:t>
            </w:r>
          </w:p>
        </w:tc>
        <w:tc>
          <w:tcPr>
            <w:tcW w:w="1171" w:type="dxa"/>
          </w:tcPr>
          <w:p w14:paraId="46EC262C"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2021</w:t>
            </w:r>
          </w:p>
        </w:tc>
        <w:tc>
          <w:tcPr>
            <w:tcW w:w="992" w:type="dxa"/>
            <w:noWrap/>
          </w:tcPr>
          <w:p w14:paraId="6C813375"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2017</w:t>
            </w:r>
          </w:p>
        </w:tc>
        <w:tc>
          <w:tcPr>
            <w:tcW w:w="851" w:type="dxa"/>
          </w:tcPr>
          <w:p w14:paraId="33A008AA"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2018</w:t>
            </w:r>
          </w:p>
        </w:tc>
        <w:tc>
          <w:tcPr>
            <w:tcW w:w="719" w:type="dxa"/>
          </w:tcPr>
          <w:p w14:paraId="1D7930A9"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2019</w:t>
            </w:r>
          </w:p>
        </w:tc>
        <w:tc>
          <w:tcPr>
            <w:tcW w:w="760" w:type="dxa"/>
          </w:tcPr>
          <w:p w14:paraId="4D4C8123"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2020</w:t>
            </w:r>
          </w:p>
        </w:tc>
        <w:tc>
          <w:tcPr>
            <w:tcW w:w="622" w:type="dxa"/>
          </w:tcPr>
          <w:p w14:paraId="0B02E8F8" w14:textId="77777777" w:rsidR="0036424B" w:rsidRPr="00BD050E" w:rsidRDefault="0036424B" w:rsidP="000B4C5A">
            <w:pPr>
              <w:jc w:val="cente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2021</w:t>
            </w:r>
          </w:p>
        </w:tc>
      </w:tr>
      <w:tr w:rsidR="00814F8E" w:rsidRPr="00BD050E" w14:paraId="7A7DDA03" w14:textId="77777777" w:rsidTr="000B4C5A">
        <w:trPr>
          <w:gridAfter w:val="1"/>
          <w:wAfter w:w="8" w:type="dxa"/>
          <w:trHeight w:val="54"/>
        </w:trPr>
        <w:tc>
          <w:tcPr>
            <w:tcW w:w="3828" w:type="dxa"/>
            <w:noWrap/>
            <w:hideMark/>
          </w:tcPr>
          <w:p w14:paraId="472DB1BC" w14:textId="77777777"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 Componenta de asistență tehnică</w:t>
            </w:r>
          </w:p>
        </w:tc>
        <w:tc>
          <w:tcPr>
            <w:tcW w:w="1133" w:type="dxa"/>
            <w:noWrap/>
            <w:hideMark/>
          </w:tcPr>
          <w:p w14:paraId="3F08554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077" w:type="dxa"/>
          </w:tcPr>
          <w:p w14:paraId="3DBD93A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91" w:type="dxa"/>
          </w:tcPr>
          <w:p w14:paraId="2CD5A92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276" w:type="dxa"/>
          </w:tcPr>
          <w:p w14:paraId="1BC8492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71" w:type="dxa"/>
          </w:tcPr>
          <w:p w14:paraId="6DABA8F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992" w:type="dxa"/>
            <w:noWrap/>
            <w:hideMark/>
          </w:tcPr>
          <w:p w14:paraId="6D7E34B1"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851" w:type="dxa"/>
          </w:tcPr>
          <w:p w14:paraId="1DB85B3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719" w:type="dxa"/>
          </w:tcPr>
          <w:p w14:paraId="449042F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760" w:type="dxa"/>
          </w:tcPr>
          <w:p w14:paraId="6D66E755"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622" w:type="dxa"/>
          </w:tcPr>
          <w:p w14:paraId="1FC598A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r>
      <w:tr w:rsidR="00814F8E" w:rsidRPr="00BD050E" w14:paraId="541E006A" w14:textId="77777777" w:rsidTr="000B4C5A">
        <w:trPr>
          <w:gridAfter w:val="1"/>
          <w:wAfter w:w="8" w:type="dxa"/>
          <w:trHeight w:val="71"/>
        </w:trPr>
        <w:tc>
          <w:tcPr>
            <w:tcW w:w="3828" w:type="dxa"/>
            <w:noWrap/>
            <w:hideMark/>
          </w:tcPr>
          <w:p w14:paraId="4921B0C2" w14:textId="77777777"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1.1 Activitățile privind componenta tehnică</w:t>
            </w:r>
          </w:p>
        </w:tc>
        <w:tc>
          <w:tcPr>
            <w:tcW w:w="1133" w:type="dxa"/>
            <w:noWrap/>
            <w:hideMark/>
          </w:tcPr>
          <w:p w14:paraId="2C86CC2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077" w:type="dxa"/>
          </w:tcPr>
          <w:p w14:paraId="4A51FD0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91" w:type="dxa"/>
          </w:tcPr>
          <w:p w14:paraId="4664FD1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276" w:type="dxa"/>
          </w:tcPr>
          <w:p w14:paraId="2B4E256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71" w:type="dxa"/>
          </w:tcPr>
          <w:p w14:paraId="6FFD0C1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992" w:type="dxa"/>
            <w:noWrap/>
            <w:hideMark/>
          </w:tcPr>
          <w:p w14:paraId="59C6F43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851" w:type="dxa"/>
          </w:tcPr>
          <w:p w14:paraId="40933AF1"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719" w:type="dxa"/>
          </w:tcPr>
          <w:p w14:paraId="6B49176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760" w:type="dxa"/>
          </w:tcPr>
          <w:p w14:paraId="6E139AD0"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622" w:type="dxa"/>
          </w:tcPr>
          <w:p w14:paraId="01271A0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r>
      <w:tr w:rsidR="00814F8E" w:rsidRPr="00BD050E" w14:paraId="636085A7" w14:textId="77777777" w:rsidTr="000B4C5A">
        <w:trPr>
          <w:gridAfter w:val="1"/>
          <w:wAfter w:w="8" w:type="dxa"/>
          <w:trHeight w:val="251"/>
        </w:trPr>
        <w:tc>
          <w:tcPr>
            <w:tcW w:w="3828" w:type="dxa"/>
            <w:hideMark/>
          </w:tcPr>
          <w:p w14:paraId="1E02D11B"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1.1.1. Asistență tehnică pentru realizarea unui mecanism de plăți DRG printr-un </w:t>
            </w:r>
            <w:r w:rsidRPr="00BD050E">
              <w:rPr>
                <w:rFonts w:asciiTheme="majorHAnsi" w:eastAsia="Times New Roman" w:hAnsiTheme="majorHAnsi" w:cstheme="majorHAnsi"/>
                <w:color w:val="000000" w:themeColor="text1"/>
                <w:sz w:val="20"/>
                <w:szCs w:val="20"/>
                <w:lang w:val="ro-RO"/>
              </w:rPr>
              <w:lastRenderedPageBreak/>
              <w:t>exercițiu de costuri DRG bazat pe date naționale</w:t>
            </w:r>
          </w:p>
        </w:tc>
        <w:tc>
          <w:tcPr>
            <w:tcW w:w="1133" w:type="dxa"/>
            <w:noWrap/>
            <w:hideMark/>
          </w:tcPr>
          <w:p w14:paraId="6D1CBBA4"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lastRenderedPageBreak/>
              <w:t>52 646,86</w:t>
            </w:r>
          </w:p>
        </w:tc>
        <w:tc>
          <w:tcPr>
            <w:tcW w:w="1077" w:type="dxa"/>
          </w:tcPr>
          <w:p w14:paraId="025783A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165 461,56</w:t>
            </w:r>
          </w:p>
        </w:tc>
        <w:tc>
          <w:tcPr>
            <w:tcW w:w="1191" w:type="dxa"/>
          </w:tcPr>
          <w:p w14:paraId="726382D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376 049,00</w:t>
            </w:r>
          </w:p>
        </w:tc>
        <w:tc>
          <w:tcPr>
            <w:tcW w:w="1276" w:type="dxa"/>
          </w:tcPr>
          <w:p w14:paraId="6E9FBA7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376,049.00</w:t>
            </w:r>
          </w:p>
        </w:tc>
        <w:tc>
          <w:tcPr>
            <w:tcW w:w="1171" w:type="dxa"/>
          </w:tcPr>
          <w:p w14:paraId="00C14CE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376 049,00</w:t>
            </w:r>
          </w:p>
        </w:tc>
        <w:tc>
          <w:tcPr>
            <w:tcW w:w="992" w:type="dxa"/>
            <w:noWrap/>
            <w:hideMark/>
          </w:tcPr>
          <w:p w14:paraId="12B04CD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w:t>
            </w:r>
          </w:p>
        </w:tc>
        <w:tc>
          <w:tcPr>
            <w:tcW w:w="851" w:type="dxa"/>
          </w:tcPr>
          <w:p w14:paraId="1081289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44%</w:t>
            </w:r>
          </w:p>
        </w:tc>
        <w:tc>
          <w:tcPr>
            <w:tcW w:w="719" w:type="dxa"/>
          </w:tcPr>
          <w:p w14:paraId="45FF8662"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760" w:type="dxa"/>
          </w:tcPr>
          <w:p w14:paraId="76D3250B"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1D410B70"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6EE03047" w14:textId="77777777" w:rsidTr="000B4C5A">
        <w:trPr>
          <w:gridAfter w:val="1"/>
          <w:wAfter w:w="8" w:type="dxa"/>
          <w:trHeight w:val="421"/>
        </w:trPr>
        <w:tc>
          <w:tcPr>
            <w:tcW w:w="3828" w:type="dxa"/>
            <w:hideMark/>
          </w:tcPr>
          <w:p w14:paraId="08F439D4" w14:textId="1F327F8E"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1.1.2.a) Asistență tehnică pentru proiectarea unei </w:t>
            </w:r>
            <w:r w:rsidR="0078350E" w:rsidRPr="00BD050E">
              <w:rPr>
                <w:rFonts w:asciiTheme="majorHAnsi" w:eastAsia="Times New Roman" w:hAnsiTheme="majorHAnsi" w:cstheme="majorHAnsi"/>
                <w:color w:val="000000" w:themeColor="text1"/>
                <w:sz w:val="20"/>
                <w:szCs w:val="20"/>
                <w:lang w:val="ro-RO"/>
              </w:rPr>
              <w:t>S</w:t>
            </w:r>
            <w:r w:rsidRPr="00BD050E">
              <w:rPr>
                <w:rFonts w:asciiTheme="majorHAnsi" w:eastAsia="Times New Roman" w:hAnsiTheme="majorHAnsi" w:cstheme="majorHAnsi"/>
                <w:color w:val="000000" w:themeColor="text1"/>
                <w:sz w:val="20"/>
                <w:szCs w:val="20"/>
                <w:lang w:val="ro-RO"/>
              </w:rPr>
              <w:t>cheme de stimulare bazate pe performanță pentru îmbunătățirea calității și eficienței în spitalele contractate de CNAM</w:t>
            </w:r>
          </w:p>
        </w:tc>
        <w:tc>
          <w:tcPr>
            <w:tcW w:w="1133" w:type="dxa"/>
            <w:noWrap/>
            <w:hideMark/>
          </w:tcPr>
          <w:p w14:paraId="1C5B2B8C"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117 660,00</w:t>
            </w:r>
          </w:p>
        </w:tc>
        <w:tc>
          <w:tcPr>
            <w:tcW w:w="1077" w:type="dxa"/>
          </w:tcPr>
          <w:p w14:paraId="70A24FC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196 100,00</w:t>
            </w:r>
          </w:p>
        </w:tc>
        <w:tc>
          <w:tcPr>
            <w:tcW w:w="1191" w:type="dxa"/>
          </w:tcPr>
          <w:p w14:paraId="1DDC89A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196 100,00</w:t>
            </w:r>
          </w:p>
        </w:tc>
        <w:tc>
          <w:tcPr>
            <w:tcW w:w="1276" w:type="dxa"/>
          </w:tcPr>
          <w:p w14:paraId="309969D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196,100.00</w:t>
            </w:r>
          </w:p>
        </w:tc>
        <w:tc>
          <w:tcPr>
            <w:tcW w:w="1171" w:type="dxa"/>
          </w:tcPr>
          <w:p w14:paraId="087F24D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196 000,00</w:t>
            </w:r>
          </w:p>
        </w:tc>
        <w:tc>
          <w:tcPr>
            <w:tcW w:w="992" w:type="dxa"/>
            <w:noWrap/>
            <w:hideMark/>
          </w:tcPr>
          <w:p w14:paraId="10B538F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60%</w:t>
            </w:r>
          </w:p>
        </w:tc>
        <w:tc>
          <w:tcPr>
            <w:tcW w:w="851" w:type="dxa"/>
          </w:tcPr>
          <w:p w14:paraId="1357A5B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719" w:type="dxa"/>
          </w:tcPr>
          <w:p w14:paraId="247E121D"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760" w:type="dxa"/>
          </w:tcPr>
          <w:p w14:paraId="13899CD5"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215256FF"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040BE155" w14:textId="77777777" w:rsidTr="000B4C5A">
        <w:trPr>
          <w:gridAfter w:val="1"/>
          <w:wAfter w:w="8" w:type="dxa"/>
          <w:trHeight w:val="116"/>
        </w:trPr>
        <w:tc>
          <w:tcPr>
            <w:tcW w:w="3828" w:type="dxa"/>
            <w:hideMark/>
          </w:tcPr>
          <w:p w14:paraId="29A9041D"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1.1.2.b) Asistență tehnică locală pentru pilotarea și revizuirea noii scheme de stimulente bazate pe performanță</w:t>
            </w:r>
          </w:p>
        </w:tc>
        <w:tc>
          <w:tcPr>
            <w:tcW w:w="1133" w:type="dxa"/>
            <w:noWrap/>
            <w:hideMark/>
          </w:tcPr>
          <w:p w14:paraId="540F8AC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16 999,72</w:t>
            </w:r>
          </w:p>
        </w:tc>
        <w:tc>
          <w:tcPr>
            <w:tcW w:w="1077" w:type="dxa"/>
          </w:tcPr>
          <w:p w14:paraId="734CB22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16 999,72</w:t>
            </w:r>
          </w:p>
        </w:tc>
        <w:tc>
          <w:tcPr>
            <w:tcW w:w="1191" w:type="dxa"/>
          </w:tcPr>
          <w:p w14:paraId="605AD67C"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16 999,72</w:t>
            </w:r>
          </w:p>
        </w:tc>
        <w:tc>
          <w:tcPr>
            <w:tcW w:w="1276" w:type="dxa"/>
          </w:tcPr>
          <w:p w14:paraId="17E330E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16,999.72</w:t>
            </w:r>
          </w:p>
        </w:tc>
        <w:tc>
          <w:tcPr>
            <w:tcW w:w="1171" w:type="dxa"/>
          </w:tcPr>
          <w:p w14:paraId="01D90B2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16 999,72</w:t>
            </w:r>
          </w:p>
        </w:tc>
        <w:tc>
          <w:tcPr>
            <w:tcW w:w="992" w:type="dxa"/>
            <w:noWrap/>
            <w:hideMark/>
          </w:tcPr>
          <w:p w14:paraId="7E8DB83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47%</w:t>
            </w:r>
          </w:p>
        </w:tc>
        <w:tc>
          <w:tcPr>
            <w:tcW w:w="851" w:type="dxa"/>
          </w:tcPr>
          <w:p w14:paraId="1DE05EF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719" w:type="dxa"/>
          </w:tcPr>
          <w:p w14:paraId="43A8CE07"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760" w:type="dxa"/>
          </w:tcPr>
          <w:p w14:paraId="3DF4AC46"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6E81C913"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46CFA5C8" w14:textId="77777777" w:rsidTr="000B4C5A">
        <w:trPr>
          <w:gridAfter w:val="1"/>
          <w:wAfter w:w="8" w:type="dxa"/>
          <w:trHeight w:val="261"/>
        </w:trPr>
        <w:tc>
          <w:tcPr>
            <w:tcW w:w="3828" w:type="dxa"/>
            <w:hideMark/>
          </w:tcPr>
          <w:p w14:paraId="56D01E11"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1.1.3. Asistență tehnică pentru restructurarea proceselor de afaceri și a fluxurilor de lucru pentru Spitalul universitar</w:t>
            </w:r>
          </w:p>
        </w:tc>
        <w:tc>
          <w:tcPr>
            <w:tcW w:w="1133" w:type="dxa"/>
            <w:noWrap/>
            <w:hideMark/>
          </w:tcPr>
          <w:p w14:paraId="091E681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56 259,50</w:t>
            </w:r>
          </w:p>
        </w:tc>
        <w:tc>
          <w:tcPr>
            <w:tcW w:w="1077" w:type="dxa"/>
          </w:tcPr>
          <w:p w14:paraId="6E8CF6A0"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56 259,50</w:t>
            </w:r>
          </w:p>
        </w:tc>
        <w:tc>
          <w:tcPr>
            <w:tcW w:w="1191" w:type="dxa"/>
          </w:tcPr>
          <w:p w14:paraId="30DE4D04"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56 259,50</w:t>
            </w:r>
          </w:p>
        </w:tc>
        <w:tc>
          <w:tcPr>
            <w:tcW w:w="1276" w:type="dxa"/>
          </w:tcPr>
          <w:p w14:paraId="5B3D53B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56,259.50</w:t>
            </w:r>
          </w:p>
        </w:tc>
        <w:tc>
          <w:tcPr>
            <w:tcW w:w="1171" w:type="dxa"/>
          </w:tcPr>
          <w:p w14:paraId="5AC1755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56 259,50</w:t>
            </w:r>
          </w:p>
        </w:tc>
        <w:tc>
          <w:tcPr>
            <w:tcW w:w="992" w:type="dxa"/>
            <w:noWrap/>
            <w:hideMark/>
          </w:tcPr>
          <w:p w14:paraId="4ABF469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50%</w:t>
            </w:r>
          </w:p>
        </w:tc>
        <w:tc>
          <w:tcPr>
            <w:tcW w:w="851" w:type="dxa"/>
          </w:tcPr>
          <w:p w14:paraId="27052E8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50%</w:t>
            </w:r>
          </w:p>
        </w:tc>
        <w:tc>
          <w:tcPr>
            <w:tcW w:w="719" w:type="dxa"/>
          </w:tcPr>
          <w:p w14:paraId="0CD7F3E7"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50%</w:t>
            </w:r>
          </w:p>
        </w:tc>
        <w:tc>
          <w:tcPr>
            <w:tcW w:w="760" w:type="dxa"/>
          </w:tcPr>
          <w:p w14:paraId="53B49120"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50%</w:t>
            </w:r>
          </w:p>
        </w:tc>
        <w:tc>
          <w:tcPr>
            <w:tcW w:w="622" w:type="dxa"/>
          </w:tcPr>
          <w:p w14:paraId="513058E8"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0D5AC078" w14:textId="77777777" w:rsidTr="000B4C5A">
        <w:trPr>
          <w:gridAfter w:val="1"/>
          <w:wAfter w:w="8" w:type="dxa"/>
          <w:trHeight w:val="161"/>
        </w:trPr>
        <w:tc>
          <w:tcPr>
            <w:tcW w:w="3828" w:type="dxa"/>
            <w:hideMark/>
          </w:tcPr>
          <w:p w14:paraId="2717B9E8"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1.1.4.b) Asistență tehnică pentru efectuarea verificării tehnice a conformității ILD / ILD 1 și ILD / ILD 2, ancheta STEPS</w:t>
            </w:r>
          </w:p>
        </w:tc>
        <w:tc>
          <w:tcPr>
            <w:tcW w:w="1133" w:type="dxa"/>
            <w:noWrap/>
            <w:hideMark/>
          </w:tcPr>
          <w:p w14:paraId="5443C15D"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0,00</w:t>
            </w:r>
          </w:p>
        </w:tc>
        <w:tc>
          <w:tcPr>
            <w:tcW w:w="1077" w:type="dxa"/>
          </w:tcPr>
          <w:p w14:paraId="465DDC95"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0,0</w:t>
            </w:r>
          </w:p>
        </w:tc>
        <w:tc>
          <w:tcPr>
            <w:tcW w:w="1191" w:type="dxa"/>
          </w:tcPr>
          <w:p w14:paraId="19E42B21"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271 867,00</w:t>
            </w:r>
          </w:p>
        </w:tc>
        <w:tc>
          <w:tcPr>
            <w:tcW w:w="1276" w:type="dxa"/>
          </w:tcPr>
          <w:p w14:paraId="6157532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271 867,00</w:t>
            </w:r>
          </w:p>
        </w:tc>
        <w:tc>
          <w:tcPr>
            <w:tcW w:w="1171" w:type="dxa"/>
          </w:tcPr>
          <w:p w14:paraId="6E1DC18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271 867,00</w:t>
            </w:r>
          </w:p>
        </w:tc>
        <w:tc>
          <w:tcPr>
            <w:tcW w:w="992" w:type="dxa"/>
            <w:noWrap/>
            <w:hideMark/>
          </w:tcPr>
          <w:p w14:paraId="06973BE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w:t>
            </w:r>
          </w:p>
        </w:tc>
        <w:tc>
          <w:tcPr>
            <w:tcW w:w="851" w:type="dxa"/>
          </w:tcPr>
          <w:p w14:paraId="72E0F1B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w:t>
            </w:r>
          </w:p>
        </w:tc>
        <w:tc>
          <w:tcPr>
            <w:tcW w:w="719" w:type="dxa"/>
          </w:tcPr>
          <w:p w14:paraId="3AA6D90B"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76%</w:t>
            </w:r>
          </w:p>
        </w:tc>
        <w:tc>
          <w:tcPr>
            <w:tcW w:w="760" w:type="dxa"/>
          </w:tcPr>
          <w:p w14:paraId="2DE15EBA"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39FBD658"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19D6EA36" w14:textId="77777777" w:rsidTr="000B4C5A">
        <w:trPr>
          <w:gridAfter w:val="1"/>
          <w:wAfter w:w="8" w:type="dxa"/>
          <w:trHeight w:val="242"/>
        </w:trPr>
        <w:tc>
          <w:tcPr>
            <w:tcW w:w="3828" w:type="dxa"/>
            <w:hideMark/>
          </w:tcPr>
          <w:p w14:paraId="6D966E8B"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1.1.5. Asistență tehnică pentru elaborarea unui manual privind calitatea îngrijirii și revizuirea sistemului de salarizare pentru performanță în asistența medicală primară</w:t>
            </w:r>
          </w:p>
        </w:tc>
        <w:tc>
          <w:tcPr>
            <w:tcW w:w="1133" w:type="dxa"/>
            <w:noWrap/>
            <w:hideMark/>
          </w:tcPr>
          <w:p w14:paraId="3F1BB81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87 550,00</w:t>
            </w:r>
          </w:p>
        </w:tc>
        <w:tc>
          <w:tcPr>
            <w:tcW w:w="1077" w:type="dxa"/>
          </w:tcPr>
          <w:p w14:paraId="257326D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87 550,00</w:t>
            </w:r>
          </w:p>
        </w:tc>
        <w:tc>
          <w:tcPr>
            <w:tcW w:w="1191" w:type="dxa"/>
          </w:tcPr>
          <w:p w14:paraId="4DA6256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87 550,00</w:t>
            </w:r>
          </w:p>
        </w:tc>
        <w:tc>
          <w:tcPr>
            <w:tcW w:w="1276" w:type="dxa"/>
          </w:tcPr>
          <w:p w14:paraId="79F5C0B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87,550.00</w:t>
            </w:r>
          </w:p>
        </w:tc>
        <w:tc>
          <w:tcPr>
            <w:tcW w:w="1171" w:type="dxa"/>
          </w:tcPr>
          <w:p w14:paraId="63EE7C8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87 550,00</w:t>
            </w:r>
          </w:p>
        </w:tc>
        <w:tc>
          <w:tcPr>
            <w:tcW w:w="992" w:type="dxa"/>
            <w:noWrap/>
            <w:hideMark/>
          </w:tcPr>
          <w:p w14:paraId="4F2C174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97%</w:t>
            </w:r>
          </w:p>
        </w:tc>
        <w:tc>
          <w:tcPr>
            <w:tcW w:w="851" w:type="dxa"/>
          </w:tcPr>
          <w:p w14:paraId="6986605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719" w:type="dxa"/>
          </w:tcPr>
          <w:p w14:paraId="632A4650"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760" w:type="dxa"/>
          </w:tcPr>
          <w:p w14:paraId="67D8560F"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716A65F9"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364F267D" w14:textId="77777777" w:rsidTr="000B4C5A">
        <w:trPr>
          <w:gridAfter w:val="1"/>
          <w:wAfter w:w="8" w:type="dxa"/>
          <w:trHeight w:val="54"/>
        </w:trPr>
        <w:tc>
          <w:tcPr>
            <w:tcW w:w="3828" w:type="dxa"/>
            <w:hideMark/>
          </w:tcPr>
          <w:p w14:paraId="64E3CAB1"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1.1.6. Vizite de studiu și instruiri</w:t>
            </w:r>
          </w:p>
        </w:tc>
        <w:tc>
          <w:tcPr>
            <w:tcW w:w="1133" w:type="dxa"/>
            <w:noWrap/>
            <w:hideMark/>
          </w:tcPr>
          <w:p w14:paraId="11E3E78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20 162,69</w:t>
            </w:r>
          </w:p>
        </w:tc>
        <w:tc>
          <w:tcPr>
            <w:tcW w:w="1077" w:type="dxa"/>
          </w:tcPr>
          <w:p w14:paraId="6F36103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38 154,13</w:t>
            </w:r>
          </w:p>
        </w:tc>
        <w:tc>
          <w:tcPr>
            <w:tcW w:w="1191" w:type="dxa"/>
          </w:tcPr>
          <w:p w14:paraId="0818F69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43 109,09</w:t>
            </w:r>
          </w:p>
        </w:tc>
        <w:tc>
          <w:tcPr>
            <w:tcW w:w="1276" w:type="dxa"/>
          </w:tcPr>
          <w:p w14:paraId="40B87B7C"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43,158.35</w:t>
            </w:r>
          </w:p>
        </w:tc>
        <w:tc>
          <w:tcPr>
            <w:tcW w:w="1171" w:type="dxa"/>
          </w:tcPr>
          <w:p w14:paraId="0066173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43 158,35</w:t>
            </w:r>
          </w:p>
        </w:tc>
        <w:tc>
          <w:tcPr>
            <w:tcW w:w="992" w:type="dxa"/>
            <w:noWrap/>
            <w:hideMark/>
          </w:tcPr>
          <w:p w14:paraId="67958AA5"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851" w:type="dxa"/>
          </w:tcPr>
          <w:p w14:paraId="6EF4CAD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55%</w:t>
            </w:r>
          </w:p>
        </w:tc>
        <w:tc>
          <w:tcPr>
            <w:tcW w:w="719" w:type="dxa"/>
          </w:tcPr>
          <w:p w14:paraId="40165560"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43%</w:t>
            </w:r>
          </w:p>
        </w:tc>
        <w:tc>
          <w:tcPr>
            <w:tcW w:w="760" w:type="dxa"/>
          </w:tcPr>
          <w:p w14:paraId="33D6116D"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43%</w:t>
            </w:r>
          </w:p>
        </w:tc>
        <w:tc>
          <w:tcPr>
            <w:tcW w:w="622" w:type="dxa"/>
          </w:tcPr>
          <w:p w14:paraId="36675C5D"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74FC0C59" w14:textId="77777777" w:rsidTr="000B4C5A">
        <w:trPr>
          <w:gridAfter w:val="1"/>
          <w:wAfter w:w="8" w:type="dxa"/>
          <w:trHeight w:val="54"/>
        </w:trPr>
        <w:tc>
          <w:tcPr>
            <w:tcW w:w="3828" w:type="dxa"/>
            <w:hideMark/>
          </w:tcPr>
          <w:p w14:paraId="158466EC"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1.1.7. Campanii de comunicare</w:t>
            </w:r>
          </w:p>
        </w:tc>
        <w:tc>
          <w:tcPr>
            <w:tcW w:w="1133" w:type="dxa"/>
            <w:noWrap/>
            <w:hideMark/>
          </w:tcPr>
          <w:p w14:paraId="136D399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103 800,00</w:t>
            </w:r>
          </w:p>
        </w:tc>
        <w:tc>
          <w:tcPr>
            <w:tcW w:w="1077" w:type="dxa"/>
          </w:tcPr>
          <w:p w14:paraId="6046FEC4"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103 800,00</w:t>
            </w:r>
          </w:p>
        </w:tc>
        <w:tc>
          <w:tcPr>
            <w:tcW w:w="1191" w:type="dxa"/>
          </w:tcPr>
          <w:p w14:paraId="1EA885C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103 800,00</w:t>
            </w:r>
          </w:p>
        </w:tc>
        <w:tc>
          <w:tcPr>
            <w:tcW w:w="1276" w:type="dxa"/>
          </w:tcPr>
          <w:p w14:paraId="42214F0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103,800.00</w:t>
            </w:r>
          </w:p>
        </w:tc>
        <w:tc>
          <w:tcPr>
            <w:tcW w:w="1171" w:type="dxa"/>
          </w:tcPr>
          <w:p w14:paraId="12E1A5AC"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103 800,00</w:t>
            </w:r>
          </w:p>
        </w:tc>
        <w:tc>
          <w:tcPr>
            <w:tcW w:w="992" w:type="dxa"/>
            <w:noWrap/>
            <w:hideMark/>
          </w:tcPr>
          <w:p w14:paraId="759D8110"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851" w:type="dxa"/>
          </w:tcPr>
          <w:p w14:paraId="366D2AE4"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719" w:type="dxa"/>
          </w:tcPr>
          <w:p w14:paraId="15132BD9"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760" w:type="dxa"/>
          </w:tcPr>
          <w:p w14:paraId="1B85CE18"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77403346"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4DC6343D" w14:textId="77777777" w:rsidTr="000B4C5A">
        <w:trPr>
          <w:gridAfter w:val="1"/>
          <w:wAfter w:w="8" w:type="dxa"/>
          <w:trHeight w:val="264"/>
        </w:trPr>
        <w:tc>
          <w:tcPr>
            <w:tcW w:w="3828" w:type="dxa"/>
            <w:hideMark/>
          </w:tcPr>
          <w:p w14:paraId="04729F5B"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1.1.8. Statistica bugetului gospodăriilor casnice - Modulul de sănătate </w:t>
            </w:r>
          </w:p>
        </w:tc>
        <w:tc>
          <w:tcPr>
            <w:tcW w:w="1133" w:type="dxa"/>
            <w:noWrap/>
            <w:hideMark/>
          </w:tcPr>
          <w:p w14:paraId="3C5824A0"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bCs/>
                <w:color w:val="000000" w:themeColor="text1"/>
                <w:sz w:val="18"/>
                <w:szCs w:val="18"/>
                <w:lang w:val="ro-RO"/>
              </w:rPr>
              <w:t>22 655,59</w:t>
            </w:r>
          </w:p>
        </w:tc>
        <w:tc>
          <w:tcPr>
            <w:tcW w:w="1077" w:type="dxa"/>
          </w:tcPr>
          <w:p w14:paraId="1C81DB4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22 655,59</w:t>
            </w:r>
          </w:p>
        </w:tc>
        <w:tc>
          <w:tcPr>
            <w:tcW w:w="1191" w:type="dxa"/>
          </w:tcPr>
          <w:p w14:paraId="3CC6F64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22 655,59</w:t>
            </w:r>
          </w:p>
        </w:tc>
        <w:tc>
          <w:tcPr>
            <w:tcW w:w="1276" w:type="dxa"/>
          </w:tcPr>
          <w:p w14:paraId="37E2214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22,655.59</w:t>
            </w:r>
          </w:p>
        </w:tc>
        <w:tc>
          <w:tcPr>
            <w:tcW w:w="1171" w:type="dxa"/>
          </w:tcPr>
          <w:p w14:paraId="7923C92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58 718,06</w:t>
            </w:r>
          </w:p>
          <w:p w14:paraId="6CE8E2F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p w14:paraId="3D58EDA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992" w:type="dxa"/>
            <w:noWrap/>
            <w:hideMark/>
          </w:tcPr>
          <w:p w14:paraId="17A14515"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73%</w:t>
            </w:r>
          </w:p>
        </w:tc>
        <w:tc>
          <w:tcPr>
            <w:tcW w:w="851" w:type="dxa"/>
          </w:tcPr>
          <w:p w14:paraId="20E3F951"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73%</w:t>
            </w:r>
          </w:p>
        </w:tc>
        <w:tc>
          <w:tcPr>
            <w:tcW w:w="719" w:type="dxa"/>
          </w:tcPr>
          <w:p w14:paraId="64E0653A"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37%</w:t>
            </w:r>
          </w:p>
        </w:tc>
        <w:tc>
          <w:tcPr>
            <w:tcW w:w="760" w:type="dxa"/>
          </w:tcPr>
          <w:p w14:paraId="0F9842E2"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37%</w:t>
            </w:r>
          </w:p>
        </w:tc>
        <w:tc>
          <w:tcPr>
            <w:tcW w:w="622" w:type="dxa"/>
          </w:tcPr>
          <w:p w14:paraId="5F4A7F4A"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p w14:paraId="480213A6" w14:textId="77777777" w:rsidR="0036424B" w:rsidRPr="00BD050E" w:rsidRDefault="0036424B" w:rsidP="000B4C5A">
            <w:pPr>
              <w:jc w:val="center"/>
              <w:rPr>
                <w:rFonts w:asciiTheme="majorHAnsi" w:hAnsiTheme="majorHAnsi" w:cstheme="majorHAnsi"/>
                <w:color w:val="000000" w:themeColor="text1"/>
                <w:sz w:val="16"/>
                <w:szCs w:val="16"/>
                <w:lang w:val="ro-RO"/>
              </w:rPr>
            </w:pPr>
          </w:p>
          <w:p w14:paraId="12B89203" w14:textId="77777777" w:rsidR="0036424B" w:rsidRPr="00BD050E" w:rsidRDefault="0036424B" w:rsidP="000B4C5A">
            <w:pPr>
              <w:jc w:val="center"/>
              <w:rPr>
                <w:rFonts w:asciiTheme="majorHAnsi" w:hAnsiTheme="majorHAnsi" w:cstheme="majorHAnsi"/>
                <w:color w:val="000000" w:themeColor="text1"/>
                <w:sz w:val="16"/>
                <w:szCs w:val="16"/>
                <w:lang w:val="ro-RO"/>
              </w:rPr>
            </w:pPr>
          </w:p>
        </w:tc>
      </w:tr>
      <w:tr w:rsidR="00814F8E" w:rsidRPr="00BD050E" w14:paraId="66926A54" w14:textId="77777777" w:rsidTr="000B4C5A">
        <w:trPr>
          <w:gridAfter w:val="1"/>
          <w:wAfter w:w="8" w:type="dxa"/>
          <w:trHeight w:val="264"/>
        </w:trPr>
        <w:tc>
          <w:tcPr>
            <w:tcW w:w="3828" w:type="dxa"/>
          </w:tcPr>
          <w:p w14:paraId="47CED603" w14:textId="6F542FE4"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1.1.8.a</w:t>
            </w:r>
            <w:r w:rsidR="00E72A17" w:rsidRPr="00BD050E">
              <w:rPr>
                <w:rFonts w:asciiTheme="majorHAnsi" w:eastAsia="Times New Roman" w:hAnsiTheme="majorHAnsi" w:cstheme="majorHAnsi"/>
                <w:color w:val="000000" w:themeColor="text1"/>
                <w:sz w:val="20"/>
                <w:szCs w:val="20"/>
                <w:lang w:val="ro-RO"/>
              </w:rPr>
              <w:t>)</w:t>
            </w:r>
            <w:r w:rsidRPr="00BD050E">
              <w:rPr>
                <w:rFonts w:asciiTheme="majorHAnsi" w:eastAsia="Times New Roman" w:hAnsiTheme="majorHAnsi" w:cstheme="majorHAnsi"/>
                <w:color w:val="000000" w:themeColor="text1"/>
                <w:sz w:val="20"/>
                <w:szCs w:val="20"/>
                <w:lang w:val="ro-RO"/>
              </w:rPr>
              <w:t xml:space="preserve"> Asistență </w:t>
            </w:r>
            <w:r w:rsidR="00E72A17" w:rsidRPr="00BD050E">
              <w:rPr>
                <w:rFonts w:asciiTheme="majorHAnsi" w:eastAsia="Times New Roman" w:hAnsiTheme="majorHAnsi" w:cstheme="majorHAnsi"/>
                <w:color w:val="000000" w:themeColor="text1"/>
                <w:sz w:val="20"/>
                <w:szCs w:val="20"/>
                <w:lang w:val="ro-RO"/>
              </w:rPr>
              <w:t>t</w:t>
            </w:r>
            <w:r w:rsidRPr="00BD050E">
              <w:rPr>
                <w:rFonts w:asciiTheme="majorHAnsi" w:eastAsia="Times New Roman" w:hAnsiTheme="majorHAnsi" w:cstheme="majorHAnsi"/>
                <w:color w:val="000000" w:themeColor="text1"/>
                <w:sz w:val="20"/>
                <w:szCs w:val="20"/>
                <w:lang w:val="ro-RO"/>
              </w:rPr>
              <w:t>ehnică locală privind elaborarea studiului bugetelor gospodăriilor casnice – Modulul de sănătate</w:t>
            </w:r>
          </w:p>
        </w:tc>
        <w:tc>
          <w:tcPr>
            <w:tcW w:w="1133" w:type="dxa"/>
            <w:noWrap/>
          </w:tcPr>
          <w:p w14:paraId="64F5005D" w14:textId="77777777" w:rsidR="0036424B" w:rsidRPr="00BD050E" w:rsidRDefault="0036424B" w:rsidP="000B4C5A">
            <w:pPr>
              <w:jc w:val="center"/>
              <w:rPr>
                <w:rFonts w:asciiTheme="majorHAnsi" w:hAnsiTheme="majorHAnsi" w:cstheme="majorHAnsi"/>
                <w:bCs/>
                <w:color w:val="000000" w:themeColor="text1"/>
                <w:sz w:val="18"/>
                <w:szCs w:val="18"/>
                <w:lang w:val="ro-RO"/>
              </w:rPr>
            </w:pPr>
          </w:p>
        </w:tc>
        <w:tc>
          <w:tcPr>
            <w:tcW w:w="1077" w:type="dxa"/>
          </w:tcPr>
          <w:p w14:paraId="261BD05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91" w:type="dxa"/>
          </w:tcPr>
          <w:p w14:paraId="14158529"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1276" w:type="dxa"/>
          </w:tcPr>
          <w:p w14:paraId="18A235A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71" w:type="dxa"/>
          </w:tcPr>
          <w:p w14:paraId="21F15DF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992" w:type="dxa"/>
            <w:noWrap/>
          </w:tcPr>
          <w:p w14:paraId="43AF018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851" w:type="dxa"/>
          </w:tcPr>
          <w:p w14:paraId="2BDAA3B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719" w:type="dxa"/>
          </w:tcPr>
          <w:p w14:paraId="7DC746C5"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760" w:type="dxa"/>
          </w:tcPr>
          <w:p w14:paraId="60F2E29C"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622" w:type="dxa"/>
          </w:tcPr>
          <w:p w14:paraId="60EC5C01"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0%</w:t>
            </w:r>
          </w:p>
        </w:tc>
      </w:tr>
      <w:tr w:rsidR="00814F8E" w:rsidRPr="00BD050E" w14:paraId="66DE5746" w14:textId="77777777" w:rsidTr="000B4C5A">
        <w:trPr>
          <w:gridAfter w:val="1"/>
          <w:wAfter w:w="8" w:type="dxa"/>
          <w:trHeight w:val="268"/>
        </w:trPr>
        <w:tc>
          <w:tcPr>
            <w:tcW w:w="3828" w:type="dxa"/>
            <w:hideMark/>
          </w:tcPr>
          <w:p w14:paraId="1A05FBCC"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1.1.9. Asistență tehnică pentru evaluarea Sistemului Informațional Automatizat „Asistența Medicală Primară” (AIS PHC) </w:t>
            </w:r>
          </w:p>
        </w:tc>
        <w:tc>
          <w:tcPr>
            <w:tcW w:w="1133" w:type="dxa"/>
            <w:noWrap/>
            <w:hideMark/>
          </w:tcPr>
          <w:p w14:paraId="72998E6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27 203,13</w:t>
            </w:r>
          </w:p>
        </w:tc>
        <w:tc>
          <w:tcPr>
            <w:tcW w:w="1077" w:type="dxa"/>
          </w:tcPr>
          <w:p w14:paraId="07FA238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27 203,13</w:t>
            </w:r>
          </w:p>
        </w:tc>
        <w:tc>
          <w:tcPr>
            <w:tcW w:w="1191" w:type="dxa"/>
          </w:tcPr>
          <w:p w14:paraId="22328901"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27 203,13</w:t>
            </w:r>
          </w:p>
        </w:tc>
        <w:tc>
          <w:tcPr>
            <w:tcW w:w="1276" w:type="dxa"/>
          </w:tcPr>
          <w:p w14:paraId="07BEA85C"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27,203.13</w:t>
            </w:r>
          </w:p>
        </w:tc>
        <w:tc>
          <w:tcPr>
            <w:tcW w:w="1171" w:type="dxa"/>
          </w:tcPr>
          <w:p w14:paraId="384D7F5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27 203,13</w:t>
            </w:r>
          </w:p>
        </w:tc>
        <w:tc>
          <w:tcPr>
            <w:tcW w:w="992" w:type="dxa"/>
            <w:noWrap/>
            <w:hideMark/>
          </w:tcPr>
          <w:p w14:paraId="101B86C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851" w:type="dxa"/>
          </w:tcPr>
          <w:p w14:paraId="0B0F178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719" w:type="dxa"/>
          </w:tcPr>
          <w:p w14:paraId="5D075516"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760" w:type="dxa"/>
          </w:tcPr>
          <w:p w14:paraId="7D58172A"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377D8EDC"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3B1E8CD1" w14:textId="77777777" w:rsidTr="000B4C5A">
        <w:trPr>
          <w:gridAfter w:val="1"/>
          <w:wAfter w:w="8" w:type="dxa"/>
          <w:trHeight w:val="363"/>
        </w:trPr>
        <w:tc>
          <w:tcPr>
            <w:tcW w:w="3828" w:type="dxa"/>
          </w:tcPr>
          <w:p w14:paraId="7AC711F6"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1.1.9.a) Coordonator de Proiect AIS PHC </w:t>
            </w:r>
          </w:p>
          <w:p w14:paraId="4208FC09" w14:textId="77777777" w:rsidR="0036424B" w:rsidRPr="00BD050E" w:rsidRDefault="0036424B" w:rsidP="000B4C5A">
            <w:pPr>
              <w:rPr>
                <w:rFonts w:asciiTheme="majorHAnsi" w:eastAsia="Times New Roman" w:hAnsiTheme="majorHAnsi" w:cstheme="majorHAnsi"/>
                <w:color w:val="000000" w:themeColor="text1"/>
                <w:sz w:val="20"/>
                <w:szCs w:val="20"/>
                <w:lang w:val="ro-RO"/>
              </w:rPr>
            </w:pPr>
          </w:p>
        </w:tc>
        <w:tc>
          <w:tcPr>
            <w:tcW w:w="1133" w:type="dxa"/>
            <w:noWrap/>
          </w:tcPr>
          <w:p w14:paraId="6DB9ADD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7 658,14</w:t>
            </w:r>
          </w:p>
        </w:tc>
        <w:tc>
          <w:tcPr>
            <w:tcW w:w="1077" w:type="dxa"/>
          </w:tcPr>
          <w:p w14:paraId="0750449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7 658,14</w:t>
            </w:r>
          </w:p>
        </w:tc>
        <w:tc>
          <w:tcPr>
            <w:tcW w:w="1191" w:type="dxa"/>
          </w:tcPr>
          <w:p w14:paraId="2D64230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7 658,14</w:t>
            </w:r>
          </w:p>
        </w:tc>
        <w:tc>
          <w:tcPr>
            <w:tcW w:w="1276" w:type="dxa"/>
          </w:tcPr>
          <w:p w14:paraId="759FC88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7 658,14</w:t>
            </w:r>
          </w:p>
        </w:tc>
        <w:tc>
          <w:tcPr>
            <w:tcW w:w="1171" w:type="dxa"/>
          </w:tcPr>
          <w:p w14:paraId="0DDC19B1"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7.658,14</w:t>
            </w:r>
          </w:p>
        </w:tc>
        <w:tc>
          <w:tcPr>
            <w:tcW w:w="992" w:type="dxa"/>
            <w:noWrap/>
          </w:tcPr>
          <w:p w14:paraId="4FD25585"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63%</w:t>
            </w:r>
          </w:p>
        </w:tc>
        <w:tc>
          <w:tcPr>
            <w:tcW w:w="851" w:type="dxa"/>
          </w:tcPr>
          <w:p w14:paraId="5327AE5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719" w:type="dxa"/>
          </w:tcPr>
          <w:p w14:paraId="34578C48"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760" w:type="dxa"/>
          </w:tcPr>
          <w:p w14:paraId="1DAD6FBD"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21A46760"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3A2967D1" w14:textId="77777777" w:rsidTr="000B4C5A">
        <w:trPr>
          <w:gridAfter w:val="1"/>
          <w:wAfter w:w="8" w:type="dxa"/>
          <w:trHeight w:val="363"/>
        </w:trPr>
        <w:tc>
          <w:tcPr>
            <w:tcW w:w="3828" w:type="dxa"/>
          </w:tcPr>
          <w:p w14:paraId="1E0CF795"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1.1.9.b) Coordonator de Proiect AIS PHC</w:t>
            </w:r>
          </w:p>
        </w:tc>
        <w:tc>
          <w:tcPr>
            <w:tcW w:w="1133" w:type="dxa"/>
            <w:noWrap/>
          </w:tcPr>
          <w:p w14:paraId="7282D7C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077" w:type="dxa"/>
          </w:tcPr>
          <w:p w14:paraId="209E016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12 554,28</w:t>
            </w:r>
          </w:p>
        </w:tc>
        <w:tc>
          <w:tcPr>
            <w:tcW w:w="1191" w:type="dxa"/>
          </w:tcPr>
          <w:p w14:paraId="68A7D6B4" w14:textId="77777777" w:rsidR="0036424B" w:rsidRPr="00BD050E" w:rsidDel="000444D4"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55 794,35</w:t>
            </w:r>
          </w:p>
        </w:tc>
        <w:tc>
          <w:tcPr>
            <w:tcW w:w="1276" w:type="dxa"/>
          </w:tcPr>
          <w:p w14:paraId="09E4A9E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103 321,77</w:t>
            </w:r>
          </w:p>
        </w:tc>
        <w:tc>
          <w:tcPr>
            <w:tcW w:w="1171" w:type="dxa"/>
          </w:tcPr>
          <w:p w14:paraId="24560B8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128 332,73</w:t>
            </w:r>
          </w:p>
        </w:tc>
        <w:tc>
          <w:tcPr>
            <w:tcW w:w="992" w:type="dxa"/>
            <w:noWrap/>
          </w:tcPr>
          <w:p w14:paraId="1406393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851" w:type="dxa"/>
          </w:tcPr>
          <w:p w14:paraId="4DCE3C7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50%</w:t>
            </w:r>
          </w:p>
        </w:tc>
        <w:tc>
          <w:tcPr>
            <w:tcW w:w="719" w:type="dxa"/>
          </w:tcPr>
          <w:p w14:paraId="7BF26543"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49%</w:t>
            </w:r>
          </w:p>
        </w:tc>
        <w:tc>
          <w:tcPr>
            <w:tcW w:w="760" w:type="dxa"/>
          </w:tcPr>
          <w:p w14:paraId="1D23B8D9"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90%</w:t>
            </w:r>
          </w:p>
        </w:tc>
        <w:tc>
          <w:tcPr>
            <w:tcW w:w="622" w:type="dxa"/>
          </w:tcPr>
          <w:p w14:paraId="7E7719E5"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006F4D06" w14:textId="77777777" w:rsidTr="000B4C5A">
        <w:trPr>
          <w:gridAfter w:val="1"/>
          <w:wAfter w:w="8" w:type="dxa"/>
          <w:trHeight w:val="238"/>
        </w:trPr>
        <w:tc>
          <w:tcPr>
            <w:tcW w:w="3828" w:type="dxa"/>
          </w:tcPr>
          <w:p w14:paraId="6180A00E"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1.1.10. Asistență tehnică internațională pentru revizuirea și actualizarea costurilor necesare investiției în infrastructura spitalelor din Republica Moldova </w:t>
            </w:r>
          </w:p>
        </w:tc>
        <w:tc>
          <w:tcPr>
            <w:tcW w:w="1133" w:type="dxa"/>
            <w:noWrap/>
          </w:tcPr>
          <w:p w14:paraId="1E891ED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8 033,18</w:t>
            </w:r>
          </w:p>
        </w:tc>
        <w:tc>
          <w:tcPr>
            <w:tcW w:w="1077" w:type="dxa"/>
          </w:tcPr>
          <w:p w14:paraId="0D70EB3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82 198,08</w:t>
            </w:r>
          </w:p>
        </w:tc>
        <w:tc>
          <w:tcPr>
            <w:tcW w:w="1191" w:type="dxa"/>
          </w:tcPr>
          <w:p w14:paraId="3FFC269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82 198,08</w:t>
            </w:r>
          </w:p>
        </w:tc>
        <w:tc>
          <w:tcPr>
            <w:tcW w:w="1276" w:type="dxa"/>
          </w:tcPr>
          <w:p w14:paraId="4760927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82 198,08</w:t>
            </w:r>
          </w:p>
        </w:tc>
        <w:tc>
          <w:tcPr>
            <w:tcW w:w="1171" w:type="dxa"/>
          </w:tcPr>
          <w:p w14:paraId="5EDFE0D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82 198,08</w:t>
            </w:r>
          </w:p>
        </w:tc>
        <w:tc>
          <w:tcPr>
            <w:tcW w:w="992" w:type="dxa"/>
            <w:noWrap/>
          </w:tcPr>
          <w:p w14:paraId="4DC2148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23%</w:t>
            </w:r>
          </w:p>
        </w:tc>
        <w:tc>
          <w:tcPr>
            <w:tcW w:w="851" w:type="dxa"/>
          </w:tcPr>
          <w:p w14:paraId="299AC9F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100</w:t>
            </w:r>
          </w:p>
        </w:tc>
        <w:tc>
          <w:tcPr>
            <w:tcW w:w="719" w:type="dxa"/>
          </w:tcPr>
          <w:p w14:paraId="3242449F"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98%</w:t>
            </w:r>
          </w:p>
        </w:tc>
        <w:tc>
          <w:tcPr>
            <w:tcW w:w="760" w:type="dxa"/>
          </w:tcPr>
          <w:p w14:paraId="334F5D55"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98%</w:t>
            </w:r>
          </w:p>
        </w:tc>
        <w:tc>
          <w:tcPr>
            <w:tcW w:w="622" w:type="dxa"/>
          </w:tcPr>
          <w:p w14:paraId="06BC49FE"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0A1764BC" w14:textId="77777777" w:rsidTr="000B4C5A">
        <w:trPr>
          <w:gridAfter w:val="1"/>
          <w:wAfter w:w="8" w:type="dxa"/>
          <w:trHeight w:val="351"/>
        </w:trPr>
        <w:tc>
          <w:tcPr>
            <w:tcW w:w="3828" w:type="dxa"/>
          </w:tcPr>
          <w:p w14:paraId="48EA980D"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1.1.11. Asistență tehnică internațională pentru revizuirea și actualizarea </w:t>
            </w:r>
            <w:r w:rsidRPr="00BD050E">
              <w:rPr>
                <w:rFonts w:asciiTheme="majorHAnsi" w:eastAsia="Times New Roman" w:hAnsiTheme="majorHAnsi" w:cstheme="majorHAnsi"/>
                <w:color w:val="000000" w:themeColor="text1"/>
                <w:sz w:val="20"/>
                <w:szCs w:val="20"/>
                <w:lang w:val="ro-RO"/>
              </w:rPr>
              <w:lastRenderedPageBreak/>
              <w:t>echipamentelor și dispozitivelor medicale de cost necesare pentru a investi în sectorul spitalicesc al Republicii Moldova</w:t>
            </w:r>
          </w:p>
        </w:tc>
        <w:tc>
          <w:tcPr>
            <w:tcW w:w="1133" w:type="dxa"/>
            <w:noWrap/>
          </w:tcPr>
          <w:p w14:paraId="6AD7FF64"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lastRenderedPageBreak/>
              <w:t>0,00</w:t>
            </w:r>
          </w:p>
        </w:tc>
        <w:tc>
          <w:tcPr>
            <w:tcW w:w="1077" w:type="dxa"/>
          </w:tcPr>
          <w:p w14:paraId="7B6D8E5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191" w:type="dxa"/>
          </w:tcPr>
          <w:p w14:paraId="34FBB3D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0,00</w:t>
            </w:r>
          </w:p>
        </w:tc>
        <w:tc>
          <w:tcPr>
            <w:tcW w:w="1276" w:type="dxa"/>
          </w:tcPr>
          <w:p w14:paraId="372F3D8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38 450,00</w:t>
            </w:r>
          </w:p>
        </w:tc>
        <w:tc>
          <w:tcPr>
            <w:tcW w:w="1171" w:type="dxa"/>
          </w:tcPr>
          <w:p w14:paraId="2A578E7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38 450,00</w:t>
            </w:r>
          </w:p>
          <w:p w14:paraId="7C01A78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992" w:type="dxa"/>
            <w:noWrap/>
          </w:tcPr>
          <w:p w14:paraId="6684AB4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w:t>
            </w:r>
          </w:p>
        </w:tc>
        <w:tc>
          <w:tcPr>
            <w:tcW w:w="851" w:type="dxa"/>
          </w:tcPr>
          <w:p w14:paraId="0AAB9657"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w:t>
            </w:r>
          </w:p>
        </w:tc>
        <w:tc>
          <w:tcPr>
            <w:tcW w:w="719" w:type="dxa"/>
          </w:tcPr>
          <w:p w14:paraId="73B34F62"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760" w:type="dxa"/>
          </w:tcPr>
          <w:p w14:paraId="40F96341"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100%</w:t>
            </w:r>
          </w:p>
        </w:tc>
        <w:tc>
          <w:tcPr>
            <w:tcW w:w="622" w:type="dxa"/>
          </w:tcPr>
          <w:p w14:paraId="3A6189CF"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p w14:paraId="4AF091D5" w14:textId="77777777" w:rsidR="0036424B" w:rsidRPr="00BD050E" w:rsidRDefault="0036424B" w:rsidP="000B4C5A">
            <w:pPr>
              <w:jc w:val="center"/>
              <w:rPr>
                <w:rFonts w:asciiTheme="majorHAnsi" w:hAnsiTheme="majorHAnsi" w:cstheme="majorHAnsi"/>
                <w:color w:val="000000" w:themeColor="text1"/>
                <w:sz w:val="16"/>
                <w:szCs w:val="16"/>
                <w:lang w:val="ro-RO"/>
              </w:rPr>
            </w:pPr>
          </w:p>
        </w:tc>
      </w:tr>
      <w:tr w:rsidR="00814F8E" w:rsidRPr="00BD050E" w14:paraId="49328D9A" w14:textId="77777777" w:rsidTr="000B4C5A">
        <w:trPr>
          <w:gridAfter w:val="1"/>
          <w:wAfter w:w="8" w:type="dxa"/>
          <w:trHeight w:val="351"/>
        </w:trPr>
        <w:tc>
          <w:tcPr>
            <w:tcW w:w="3828" w:type="dxa"/>
          </w:tcPr>
          <w:p w14:paraId="3E80374B" w14:textId="1C78696B"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1.1.12 Asistență tehnică privind elaborarea </w:t>
            </w:r>
            <w:r w:rsidR="00E72A17" w:rsidRPr="00BD050E">
              <w:rPr>
                <w:rFonts w:asciiTheme="majorHAnsi" w:eastAsia="Times New Roman" w:hAnsiTheme="majorHAnsi" w:cstheme="majorHAnsi"/>
                <w:color w:val="000000" w:themeColor="text1"/>
                <w:sz w:val="20"/>
                <w:szCs w:val="20"/>
                <w:lang w:val="ro-RO"/>
              </w:rPr>
              <w:t>S</w:t>
            </w:r>
            <w:r w:rsidRPr="00BD050E">
              <w:rPr>
                <w:rFonts w:asciiTheme="majorHAnsi" w:eastAsia="Times New Roman" w:hAnsiTheme="majorHAnsi" w:cstheme="majorHAnsi"/>
                <w:color w:val="000000" w:themeColor="text1"/>
                <w:sz w:val="20"/>
                <w:szCs w:val="20"/>
                <w:lang w:val="ro-RO"/>
              </w:rPr>
              <w:t xml:space="preserve">trategiei de comunicare pentru </w:t>
            </w:r>
            <w:r w:rsidR="00E72A17" w:rsidRPr="00BD050E">
              <w:rPr>
                <w:rFonts w:asciiTheme="majorHAnsi" w:eastAsia="Times New Roman" w:hAnsiTheme="majorHAnsi" w:cstheme="majorHAnsi"/>
                <w:color w:val="000000" w:themeColor="text1"/>
                <w:sz w:val="20"/>
                <w:szCs w:val="20"/>
                <w:lang w:val="ro-RO"/>
              </w:rPr>
              <w:t xml:space="preserve">anii </w:t>
            </w:r>
            <w:r w:rsidRPr="00BD050E">
              <w:rPr>
                <w:rFonts w:asciiTheme="majorHAnsi" w:eastAsia="Times New Roman" w:hAnsiTheme="majorHAnsi" w:cstheme="majorHAnsi"/>
                <w:color w:val="000000" w:themeColor="text1"/>
                <w:sz w:val="20"/>
                <w:szCs w:val="20"/>
                <w:lang w:val="ro-RO"/>
              </w:rPr>
              <w:t xml:space="preserve">2021 </w:t>
            </w:r>
            <w:r w:rsidR="00E72A17" w:rsidRPr="00BD050E">
              <w:rPr>
                <w:rFonts w:asciiTheme="majorHAnsi" w:eastAsia="Times New Roman" w:hAnsiTheme="majorHAnsi" w:cstheme="majorHAnsi"/>
                <w:color w:val="000000" w:themeColor="text1"/>
                <w:sz w:val="20"/>
                <w:szCs w:val="20"/>
                <w:lang w:val="ro-RO"/>
              </w:rPr>
              <w:t>–</w:t>
            </w:r>
            <w:r w:rsidRPr="00BD050E">
              <w:rPr>
                <w:rFonts w:asciiTheme="majorHAnsi" w:eastAsia="Times New Roman" w:hAnsiTheme="majorHAnsi" w:cstheme="majorHAnsi"/>
                <w:color w:val="000000" w:themeColor="text1"/>
                <w:sz w:val="20"/>
                <w:szCs w:val="20"/>
                <w:lang w:val="ro-RO"/>
              </w:rPr>
              <w:t xml:space="preserve"> 2023</w:t>
            </w:r>
          </w:p>
        </w:tc>
        <w:tc>
          <w:tcPr>
            <w:tcW w:w="1133" w:type="dxa"/>
            <w:noWrap/>
          </w:tcPr>
          <w:p w14:paraId="57D61E8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077" w:type="dxa"/>
          </w:tcPr>
          <w:p w14:paraId="4C5DD23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91" w:type="dxa"/>
          </w:tcPr>
          <w:p w14:paraId="4655A7FF"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1276" w:type="dxa"/>
          </w:tcPr>
          <w:p w14:paraId="5F1AC7B0"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71" w:type="dxa"/>
          </w:tcPr>
          <w:p w14:paraId="216B93E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38 400,00</w:t>
            </w:r>
          </w:p>
          <w:p w14:paraId="37163DD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992" w:type="dxa"/>
            <w:noWrap/>
          </w:tcPr>
          <w:p w14:paraId="6B4F460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851" w:type="dxa"/>
          </w:tcPr>
          <w:p w14:paraId="5B3E9472"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719" w:type="dxa"/>
          </w:tcPr>
          <w:p w14:paraId="0AD1B6DA"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760" w:type="dxa"/>
          </w:tcPr>
          <w:p w14:paraId="2A609014"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622" w:type="dxa"/>
          </w:tcPr>
          <w:p w14:paraId="558422A9"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5D3A91E8" w14:textId="77777777" w:rsidTr="000B4C5A">
        <w:trPr>
          <w:gridAfter w:val="1"/>
          <w:wAfter w:w="8" w:type="dxa"/>
          <w:trHeight w:val="264"/>
        </w:trPr>
        <w:tc>
          <w:tcPr>
            <w:tcW w:w="3828" w:type="dxa"/>
            <w:noWrap/>
            <w:hideMark/>
          </w:tcPr>
          <w:p w14:paraId="336F2F7A" w14:textId="77777777"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 xml:space="preserve">Activități subtotale de asistență tehnică </w:t>
            </w:r>
          </w:p>
        </w:tc>
        <w:tc>
          <w:tcPr>
            <w:tcW w:w="1133" w:type="dxa"/>
            <w:noWrap/>
            <w:hideMark/>
          </w:tcPr>
          <w:p w14:paraId="4B7D2FB0"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520 628,81</w:t>
            </w:r>
          </w:p>
        </w:tc>
        <w:tc>
          <w:tcPr>
            <w:tcW w:w="1077" w:type="dxa"/>
          </w:tcPr>
          <w:p w14:paraId="1C9B6102"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816 594,14</w:t>
            </w:r>
          </w:p>
        </w:tc>
        <w:tc>
          <w:tcPr>
            <w:tcW w:w="1191" w:type="dxa"/>
          </w:tcPr>
          <w:p w14:paraId="0FE55D0D"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hAnsiTheme="majorHAnsi" w:cstheme="majorHAnsi"/>
                <w:b/>
                <w:color w:val="000000" w:themeColor="text1"/>
                <w:sz w:val="18"/>
                <w:szCs w:val="18"/>
                <w:lang w:val="ro-RO"/>
              </w:rPr>
              <w:t>1 347 243,00</w:t>
            </w:r>
          </w:p>
        </w:tc>
        <w:tc>
          <w:tcPr>
            <w:tcW w:w="1276" w:type="dxa"/>
          </w:tcPr>
          <w:p w14:paraId="6D2F6E99"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1 433 270,28</w:t>
            </w:r>
          </w:p>
        </w:tc>
        <w:tc>
          <w:tcPr>
            <w:tcW w:w="1171" w:type="dxa"/>
          </w:tcPr>
          <w:p w14:paraId="4FB2CA3C"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1.532,743,71</w:t>
            </w:r>
          </w:p>
        </w:tc>
        <w:tc>
          <w:tcPr>
            <w:tcW w:w="992" w:type="dxa"/>
            <w:noWrap/>
            <w:hideMark/>
          </w:tcPr>
          <w:p w14:paraId="190533F2"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30%</w:t>
            </w:r>
          </w:p>
        </w:tc>
        <w:tc>
          <w:tcPr>
            <w:tcW w:w="851" w:type="dxa"/>
          </w:tcPr>
          <w:p w14:paraId="77A67DB6"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52,0%</w:t>
            </w:r>
          </w:p>
        </w:tc>
        <w:tc>
          <w:tcPr>
            <w:tcW w:w="719" w:type="dxa"/>
          </w:tcPr>
          <w:p w14:paraId="4931B52A"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82%</w:t>
            </w:r>
          </w:p>
        </w:tc>
        <w:tc>
          <w:tcPr>
            <w:tcW w:w="760" w:type="dxa"/>
          </w:tcPr>
          <w:p w14:paraId="12FFE474"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84%</w:t>
            </w:r>
          </w:p>
        </w:tc>
        <w:tc>
          <w:tcPr>
            <w:tcW w:w="622" w:type="dxa"/>
          </w:tcPr>
          <w:p w14:paraId="7DEBE198" w14:textId="77777777" w:rsidR="0036424B" w:rsidRPr="00BD050E" w:rsidRDefault="0036424B" w:rsidP="000B4C5A">
            <w:pPr>
              <w:jc w:val="center"/>
              <w:rPr>
                <w:rFonts w:asciiTheme="majorHAnsi" w:hAnsiTheme="majorHAnsi" w:cstheme="majorHAnsi"/>
                <w:b/>
                <w:color w:val="000000" w:themeColor="text1"/>
                <w:sz w:val="16"/>
                <w:szCs w:val="16"/>
                <w:lang w:val="ro-RO"/>
              </w:rPr>
            </w:pPr>
            <w:r w:rsidRPr="00BD050E">
              <w:rPr>
                <w:rFonts w:asciiTheme="majorHAnsi" w:hAnsiTheme="majorHAnsi" w:cstheme="majorHAnsi"/>
                <w:b/>
                <w:color w:val="000000" w:themeColor="text1"/>
                <w:sz w:val="16"/>
                <w:szCs w:val="16"/>
                <w:lang w:val="ro-RO"/>
              </w:rPr>
              <w:t>99%</w:t>
            </w:r>
          </w:p>
        </w:tc>
      </w:tr>
      <w:tr w:rsidR="00814F8E" w:rsidRPr="00BD050E" w14:paraId="368A372A" w14:textId="77777777" w:rsidTr="000B4C5A">
        <w:trPr>
          <w:gridAfter w:val="1"/>
          <w:wAfter w:w="8" w:type="dxa"/>
          <w:trHeight w:val="264"/>
        </w:trPr>
        <w:tc>
          <w:tcPr>
            <w:tcW w:w="3828" w:type="dxa"/>
            <w:noWrap/>
            <w:hideMark/>
          </w:tcPr>
          <w:p w14:paraId="2AFC5DB4" w14:textId="3C0500BF"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1.2</w:t>
            </w:r>
            <w:r w:rsidR="00E72A17" w:rsidRPr="00BD050E">
              <w:rPr>
                <w:rFonts w:asciiTheme="majorHAnsi" w:eastAsia="Times New Roman" w:hAnsiTheme="majorHAnsi" w:cstheme="majorHAnsi"/>
                <w:b/>
                <w:bCs/>
                <w:color w:val="000000" w:themeColor="text1"/>
                <w:sz w:val="20"/>
                <w:szCs w:val="20"/>
                <w:lang w:val="ro-RO"/>
              </w:rPr>
              <w:t>.</w:t>
            </w:r>
            <w:r w:rsidRPr="00BD050E">
              <w:rPr>
                <w:rFonts w:asciiTheme="majorHAnsi" w:eastAsia="Times New Roman" w:hAnsiTheme="majorHAnsi" w:cstheme="majorHAnsi"/>
                <w:b/>
                <w:bCs/>
                <w:color w:val="000000" w:themeColor="text1"/>
                <w:sz w:val="20"/>
                <w:szCs w:val="20"/>
                <w:lang w:val="ro-RO"/>
              </w:rPr>
              <w:t xml:space="preserve"> Sprijin instituțional </w:t>
            </w:r>
          </w:p>
        </w:tc>
        <w:tc>
          <w:tcPr>
            <w:tcW w:w="1133" w:type="dxa"/>
            <w:noWrap/>
            <w:hideMark/>
          </w:tcPr>
          <w:p w14:paraId="2EA395DD"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p>
        </w:tc>
        <w:tc>
          <w:tcPr>
            <w:tcW w:w="1077" w:type="dxa"/>
          </w:tcPr>
          <w:p w14:paraId="54B90019"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p>
        </w:tc>
        <w:tc>
          <w:tcPr>
            <w:tcW w:w="1191" w:type="dxa"/>
          </w:tcPr>
          <w:p w14:paraId="58459D7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276" w:type="dxa"/>
          </w:tcPr>
          <w:p w14:paraId="01B7BF85"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1171" w:type="dxa"/>
          </w:tcPr>
          <w:p w14:paraId="013B1581"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992" w:type="dxa"/>
            <w:noWrap/>
            <w:hideMark/>
          </w:tcPr>
          <w:p w14:paraId="52B4B494"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851" w:type="dxa"/>
          </w:tcPr>
          <w:p w14:paraId="798083D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p>
        </w:tc>
        <w:tc>
          <w:tcPr>
            <w:tcW w:w="719" w:type="dxa"/>
          </w:tcPr>
          <w:p w14:paraId="5250079C"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760" w:type="dxa"/>
          </w:tcPr>
          <w:p w14:paraId="6340C06A" w14:textId="77777777" w:rsidR="0036424B" w:rsidRPr="00BD050E" w:rsidRDefault="0036424B" w:rsidP="000B4C5A">
            <w:pPr>
              <w:jc w:val="center"/>
              <w:rPr>
                <w:rFonts w:asciiTheme="majorHAnsi" w:hAnsiTheme="majorHAnsi" w:cstheme="majorHAnsi"/>
                <w:color w:val="000000" w:themeColor="text1"/>
                <w:sz w:val="18"/>
                <w:szCs w:val="18"/>
                <w:lang w:val="ro-RO"/>
              </w:rPr>
            </w:pPr>
          </w:p>
        </w:tc>
        <w:tc>
          <w:tcPr>
            <w:tcW w:w="622" w:type="dxa"/>
          </w:tcPr>
          <w:p w14:paraId="46228D0E" w14:textId="77777777" w:rsidR="0036424B" w:rsidRPr="00BD050E" w:rsidRDefault="0036424B" w:rsidP="000B4C5A">
            <w:pPr>
              <w:jc w:val="center"/>
              <w:rPr>
                <w:rFonts w:asciiTheme="majorHAnsi" w:hAnsiTheme="majorHAnsi" w:cstheme="majorHAnsi"/>
                <w:color w:val="000000" w:themeColor="text1"/>
                <w:sz w:val="20"/>
                <w:szCs w:val="20"/>
                <w:lang w:val="ro-RO"/>
              </w:rPr>
            </w:pPr>
          </w:p>
        </w:tc>
      </w:tr>
      <w:tr w:rsidR="00814F8E" w:rsidRPr="00BD050E" w14:paraId="0A7334D6" w14:textId="77777777" w:rsidTr="000B4C5A">
        <w:trPr>
          <w:gridAfter w:val="1"/>
          <w:wAfter w:w="8" w:type="dxa"/>
          <w:trHeight w:val="264"/>
        </w:trPr>
        <w:tc>
          <w:tcPr>
            <w:tcW w:w="3828" w:type="dxa"/>
            <w:noWrap/>
            <w:hideMark/>
          </w:tcPr>
          <w:p w14:paraId="6F73215E"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1.2.1. Echipa de implementare a MSMPS (Coordonator și Consultant FM)</w:t>
            </w:r>
          </w:p>
        </w:tc>
        <w:tc>
          <w:tcPr>
            <w:tcW w:w="1133" w:type="dxa"/>
            <w:noWrap/>
            <w:hideMark/>
          </w:tcPr>
          <w:p w14:paraId="2ED40E8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67 120,24</w:t>
            </w:r>
          </w:p>
        </w:tc>
        <w:tc>
          <w:tcPr>
            <w:tcW w:w="1077" w:type="dxa"/>
          </w:tcPr>
          <w:p w14:paraId="183F3DB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97 468,24</w:t>
            </w:r>
          </w:p>
        </w:tc>
        <w:tc>
          <w:tcPr>
            <w:tcW w:w="1191" w:type="dxa"/>
          </w:tcPr>
          <w:p w14:paraId="4D2F976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128 761,46</w:t>
            </w:r>
          </w:p>
        </w:tc>
        <w:tc>
          <w:tcPr>
            <w:tcW w:w="1276" w:type="dxa"/>
          </w:tcPr>
          <w:p w14:paraId="35D0494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160 438,90</w:t>
            </w:r>
          </w:p>
        </w:tc>
        <w:tc>
          <w:tcPr>
            <w:tcW w:w="1171" w:type="dxa"/>
          </w:tcPr>
          <w:p w14:paraId="1297C9C4"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164 530,51</w:t>
            </w:r>
          </w:p>
        </w:tc>
        <w:tc>
          <w:tcPr>
            <w:tcW w:w="992" w:type="dxa"/>
            <w:noWrap/>
            <w:hideMark/>
          </w:tcPr>
          <w:p w14:paraId="642414A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73%</w:t>
            </w:r>
          </w:p>
        </w:tc>
        <w:tc>
          <w:tcPr>
            <w:tcW w:w="851" w:type="dxa"/>
          </w:tcPr>
          <w:p w14:paraId="573A450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70%</w:t>
            </w:r>
          </w:p>
        </w:tc>
        <w:tc>
          <w:tcPr>
            <w:tcW w:w="719" w:type="dxa"/>
          </w:tcPr>
          <w:p w14:paraId="71780EDD"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74%</w:t>
            </w:r>
          </w:p>
        </w:tc>
        <w:tc>
          <w:tcPr>
            <w:tcW w:w="760" w:type="dxa"/>
          </w:tcPr>
          <w:p w14:paraId="25DF19E4"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93%</w:t>
            </w:r>
          </w:p>
        </w:tc>
        <w:tc>
          <w:tcPr>
            <w:tcW w:w="622" w:type="dxa"/>
          </w:tcPr>
          <w:p w14:paraId="7AF0FEFD"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0426827C" w14:textId="77777777" w:rsidTr="000B4C5A">
        <w:trPr>
          <w:gridAfter w:val="1"/>
          <w:wAfter w:w="8" w:type="dxa"/>
          <w:trHeight w:val="264"/>
        </w:trPr>
        <w:tc>
          <w:tcPr>
            <w:tcW w:w="3828" w:type="dxa"/>
            <w:noWrap/>
            <w:hideMark/>
          </w:tcPr>
          <w:p w14:paraId="00BEB237"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1.2.2. Consultant de achiziții </w:t>
            </w:r>
          </w:p>
        </w:tc>
        <w:tc>
          <w:tcPr>
            <w:tcW w:w="1133" w:type="dxa"/>
            <w:noWrap/>
            <w:hideMark/>
          </w:tcPr>
          <w:p w14:paraId="2EC78B7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26 622,01</w:t>
            </w:r>
          </w:p>
        </w:tc>
        <w:tc>
          <w:tcPr>
            <w:tcW w:w="1077" w:type="dxa"/>
          </w:tcPr>
          <w:p w14:paraId="383F64B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38 622,01</w:t>
            </w:r>
          </w:p>
        </w:tc>
        <w:tc>
          <w:tcPr>
            <w:tcW w:w="1191" w:type="dxa"/>
          </w:tcPr>
          <w:p w14:paraId="7307ED8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50 537,11</w:t>
            </w:r>
          </w:p>
        </w:tc>
        <w:tc>
          <w:tcPr>
            <w:tcW w:w="1276" w:type="dxa"/>
          </w:tcPr>
          <w:p w14:paraId="12302DC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60 029,72</w:t>
            </w:r>
          </w:p>
        </w:tc>
        <w:tc>
          <w:tcPr>
            <w:tcW w:w="1171" w:type="dxa"/>
          </w:tcPr>
          <w:p w14:paraId="5D5A290D"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60 029,72</w:t>
            </w:r>
          </w:p>
        </w:tc>
        <w:tc>
          <w:tcPr>
            <w:tcW w:w="992" w:type="dxa"/>
            <w:noWrap/>
            <w:hideMark/>
          </w:tcPr>
          <w:p w14:paraId="66E5C32B"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74%</w:t>
            </w:r>
          </w:p>
        </w:tc>
        <w:tc>
          <w:tcPr>
            <w:tcW w:w="851" w:type="dxa"/>
          </w:tcPr>
          <w:p w14:paraId="177D3498"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72%</w:t>
            </w:r>
          </w:p>
        </w:tc>
        <w:tc>
          <w:tcPr>
            <w:tcW w:w="719" w:type="dxa"/>
          </w:tcPr>
          <w:p w14:paraId="39577B3E"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72%</w:t>
            </w:r>
          </w:p>
        </w:tc>
        <w:tc>
          <w:tcPr>
            <w:tcW w:w="760" w:type="dxa"/>
          </w:tcPr>
          <w:p w14:paraId="6C1FD30F"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86%</w:t>
            </w:r>
          </w:p>
        </w:tc>
        <w:tc>
          <w:tcPr>
            <w:tcW w:w="622" w:type="dxa"/>
          </w:tcPr>
          <w:p w14:paraId="1BF0E8FA"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100%</w:t>
            </w:r>
          </w:p>
        </w:tc>
      </w:tr>
      <w:tr w:rsidR="00814F8E" w:rsidRPr="00BD050E" w14:paraId="0CFBD71A" w14:textId="77777777" w:rsidTr="000B4C5A">
        <w:trPr>
          <w:gridAfter w:val="1"/>
          <w:wAfter w:w="8" w:type="dxa"/>
          <w:trHeight w:val="264"/>
        </w:trPr>
        <w:tc>
          <w:tcPr>
            <w:tcW w:w="3828" w:type="dxa"/>
            <w:noWrap/>
            <w:hideMark/>
          </w:tcPr>
          <w:p w14:paraId="54688359"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1.2.3. Costuri de operare (inclusiv comunicare) </w:t>
            </w:r>
          </w:p>
        </w:tc>
        <w:tc>
          <w:tcPr>
            <w:tcW w:w="1133" w:type="dxa"/>
            <w:noWrap/>
            <w:hideMark/>
          </w:tcPr>
          <w:p w14:paraId="4883BEEE"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5 931,66</w:t>
            </w:r>
          </w:p>
        </w:tc>
        <w:tc>
          <w:tcPr>
            <w:tcW w:w="1077" w:type="dxa"/>
          </w:tcPr>
          <w:p w14:paraId="014082E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10 049,37</w:t>
            </w:r>
          </w:p>
        </w:tc>
        <w:tc>
          <w:tcPr>
            <w:tcW w:w="1191" w:type="dxa"/>
          </w:tcPr>
          <w:p w14:paraId="22E9EA7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10 682,90</w:t>
            </w:r>
          </w:p>
        </w:tc>
        <w:tc>
          <w:tcPr>
            <w:tcW w:w="1276" w:type="dxa"/>
          </w:tcPr>
          <w:p w14:paraId="02D4092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12 830,26</w:t>
            </w:r>
          </w:p>
        </w:tc>
        <w:tc>
          <w:tcPr>
            <w:tcW w:w="1171" w:type="dxa"/>
          </w:tcPr>
          <w:p w14:paraId="1B701E89"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13 369,55</w:t>
            </w:r>
          </w:p>
        </w:tc>
        <w:tc>
          <w:tcPr>
            <w:tcW w:w="992" w:type="dxa"/>
            <w:noWrap/>
            <w:hideMark/>
          </w:tcPr>
          <w:p w14:paraId="3750252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29%</w:t>
            </w:r>
          </w:p>
        </w:tc>
        <w:tc>
          <w:tcPr>
            <w:tcW w:w="851" w:type="dxa"/>
          </w:tcPr>
          <w:p w14:paraId="18AF3FC6"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33%</w:t>
            </w:r>
          </w:p>
        </w:tc>
        <w:tc>
          <w:tcPr>
            <w:tcW w:w="719" w:type="dxa"/>
          </w:tcPr>
          <w:p w14:paraId="162E59DC"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14%</w:t>
            </w:r>
          </w:p>
        </w:tc>
        <w:tc>
          <w:tcPr>
            <w:tcW w:w="760" w:type="dxa"/>
          </w:tcPr>
          <w:p w14:paraId="0B3A18FA"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16%</w:t>
            </w:r>
          </w:p>
        </w:tc>
        <w:tc>
          <w:tcPr>
            <w:tcW w:w="622" w:type="dxa"/>
          </w:tcPr>
          <w:p w14:paraId="4EDCF04F"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10%</w:t>
            </w:r>
          </w:p>
        </w:tc>
      </w:tr>
      <w:tr w:rsidR="00814F8E" w:rsidRPr="00BD050E" w14:paraId="2B1E44A8" w14:textId="77777777" w:rsidTr="000B4C5A">
        <w:trPr>
          <w:gridAfter w:val="1"/>
          <w:wAfter w:w="8" w:type="dxa"/>
          <w:trHeight w:val="264"/>
        </w:trPr>
        <w:tc>
          <w:tcPr>
            <w:tcW w:w="3828" w:type="dxa"/>
            <w:noWrap/>
            <w:hideMark/>
          </w:tcPr>
          <w:p w14:paraId="3477B01A" w14:textId="77777777" w:rsidR="0036424B" w:rsidRPr="00BD050E" w:rsidRDefault="0036424B" w:rsidP="000B4C5A">
            <w:pPr>
              <w:rPr>
                <w:rFonts w:asciiTheme="majorHAnsi" w:eastAsia="Times New Roman" w:hAnsiTheme="majorHAnsi" w:cstheme="majorHAnsi"/>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 xml:space="preserve">1.2.4. Audit financiar anual </w:t>
            </w:r>
          </w:p>
        </w:tc>
        <w:tc>
          <w:tcPr>
            <w:tcW w:w="1133" w:type="dxa"/>
            <w:noWrap/>
            <w:hideMark/>
          </w:tcPr>
          <w:p w14:paraId="6EAB9D00"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bCs/>
                <w:color w:val="000000" w:themeColor="text1"/>
                <w:sz w:val="18"/>
                <w:szCs w:val="18"/>
                <w:lang w:val="ro-RO"/>
              </w:rPr>
              <w:t>0,00</w:t>
            </w:r>
          </w:p>
        </w:tc>
        <w:tc>
          <w:tcPr>
            <w:tcW w:w="1077" w:type="dxa"/>
          </w:tcPr>
          <w:p w14:paraId="48B2F4BF"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191" w:type="dxa"/>
          </w:tcPr>
          <w:p w14:paraId="14642505"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0,00</w:t>
            </w:r>
          </w:p>
        </w:tc>
        <w:tc>
          <w:tcPr>
            <w:tcW w:w="1276" w:type="dxa"/>
          </w:tcPr>
          <w:p w14:paraId="60ECFE4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1171" w:type="dxa"/>
          </w:tcPr>
          <w:p w14:paraId="7EE4560A"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0,00</w:t>
            </w:r>
          </w:p>
        </w:tc>
        <w:tc>
          <w:tcPr>
            <w:tcW w:w="992" w:type="dxa"/>
            <w:noWrap/>
            <w:hideMark/>
          </w:tcPr>
          <w:p w14:paraId="18C5B2D3"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w:t>
            </w:r>
          </w:p>
        </w:tc>
        <w:tc>
          <w:tcPr>
            <w:tcW w:w="851" w:type="dxa"/>
          </w:tcPr>
          <w:p w14:paraId="7369FF6C" w14:textId="77777777" w:rsidR="0036424B" w:rsidRPr="00BD050E" w:rsidRDefault="0036424B" w:rsidP="000B4C5A">
            <w:pPr>
              <w:jc w:val="center"/>
              <w:rPr>
                <w:rFonts w:asciiTheme="majorHAnsi" w:eastAsia="Times New Roman" w:hAnsiTheme="majorHAnsi" w:cstheme="majorHAnsi"/>
                <w:color w:val="000000" w:themeColor="text1"/>
                <w:sz w:val="18"/>
                <w:szCs w:val="18"/>
                <w:lang w:val="ro-RO"/>
              </w:rPr>
            </w:pPr>
            <w:r w:rsidRPr="00BD050E">
              <w:rPr>
                <w:rFonts w:asciiTheme="majorHAnsi" w:eastAsia="Times New Roman" w:hAnsiTheme="majorHAnsi" w:cstheme="majorHAnsi"/>
                <w:color w:val="000000" w:themeColor="text1"/>
                <w:sz w:val="18"/>
                <w:szCs w:val="18"/>
                <w:lang w:val="ro-RO"/>
              </w:rPr>
              <w:t>0%</w:t>
            </w:r>
          </w:p>
        </w:tc>
        <w:tc>
          <w:tcPr>
            <w:tcW w:w="719" w:type="dxa"/>
          </w:tcPr>
          <w:p w14:paraId="4478C9F8"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760" w:type="dxa"/>
          </w:tcPr>
          <w:p w14:paraId="68E9131F"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622" w:type="dxa"/>
          </w:tcPr>
          <w:p w14:paraId="508F78E8"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0%</w:t>
            </w:r>
          </w:p>
        </w:tc>
      </w:tr>
      <w:tr w:rsidR="00814F8E" w:rsidRPr="00BD050E" w14:paraId="3627169D" w14:textId="77777777" w:rsidTr="000B4C5A">
        <w:trPr>
          <w:gridAfter w:val="1"/>
          <w:wAfter w:w="8" w:type="dxa"/>
          <w:trHeight w:val="264"/>
        </w:trPr>
        <w:tc>
          <w:tcPr>
            <w:tcW w:w="3828" w:type="dxa"/>
            <w:hideMark/>
          </w:tcPr>
          <w:p w14:paraId="433CBBD8" w14:textId="77777777"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 xml:space="preserve">Subtotalul suportului instituțional </w:t>
            </w:r>
          </w:p>
        </w:tc>
        <w:tc>
          <w:tcPr>
            <w:tcW w:w="1133" w:type="dxa"/>
            <w:noWrap/>
            <w:hideMark/>
          </w:tcPr>
          <w:p w14:paraId="0BFF2D01"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99 673,91</w:t>
            </w:r>
          </w:p>
        </w:tc>
        <w:tc>
          <w:tcPr>
            <w:tcW w:w="1077" w:type="dxa"/>
          </w:tcPr>
          <w:p w14:paraId="576E498B"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146 184,62</w:t>
            </w:r>
          </w:p>
        </w:tc>
        <w:tc>
          <w:tcPr>
            <w:tcW w:w="1191" w:type="dxa"/>
          </w:tcPr>
          <w:p w14:paraId="3D082C98"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hAnsiTheme="majorHAnsi" w:cstheme="majorHAnsi"/>
                <w:b/>
                <w:color w:val="000000" w:themeColor="text1"/>
                <w:sz w:val="18"/>
                <w:szCs w:val="18"/>
                <w:lang w:val="ro-RO"/>
              </w:rPr>
              <w:t>189 981,47</w:t>
            </w:r>
          </w:p>
        </w:tc>
        <w:tc>
          <w:tcPr>
            <w:tcW w:w="1276" w:type="dxa"/>
          </w:tcPr>
          <w:p w14:paraId="7DA3878D"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233 298,88</w:t>
            </w:r>
          </w:p>
        </w:tc>
        <w:tc>
          <w:tcPr>
            <w:tcW w:w="1171" w:type="dxa"/>
          </w:tcPr>
          <w:p w14:paraId="05941F3E"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237 929,78</w:t>
            </w:r>
          </w:p>
        </w:tc>
        <w:tc>
          <w:tcPr>
            <w:tcW w:w="992" w:type="dxa"/>
            <w:noWrap/>
            <w:hideMark/>
          </w:tcPr>
          <w:p w14:paraId="1E7F3A1C"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59%</w:t>
            </w:r>
          </w:p>
        </w:tc>
        <w:tc>
          <w:tcPr>
            <w:tcW w:w="851" w:type="dxa"/>
          </w:tcPr>
          <w:p w14:paraId="11E4FA93"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60%</w:t>
            </w:r>
          </w:p>
        </w:tc>
        <w:tc>
          <w:tcPr>
            <w:tcW w:w="719" w:type="dxa"/>
          </w:tcPr>
          <w:p w14:paraId="186D87F0"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56%</w:t>
            </w:r>
          </w:p>
        </w:tc>
        <w:tc>
          <w:tcPr>
            <w:tcW w:w="760" w:type="dxa"/>
          </w:tcPr>
          <w:p w14:paraId="3D04ADF2"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69%</w:t>
            </w:r>
          </w:p>
        </w:tc>
        <w:tc>
          <w:tcPr>
            <w:tcW w:w="622" w:type="dxa"/>
          </w:tcPr>
          <w:p w14:paraId="7791F9BF" w14:textId="77777777" w:rsidR="0036424B" w:rsidRPr="00BD050E" w:rsidRDefault="0036424B" w:rsidP="000B4C5A">
            <w:pPr>
              <w:jc w:val="center"/>
              <w:rPr>
                <w:rFonts w:asciiTheme="majorHAnsi" w:hAnsiTheme="majorHAnsi" w:cstheme="majorHAnsi"/>
                <w:b/>
                <w:color w:val="000000" w:themeColor="text1"/>
                <w:sz w:val="16"/>
                <w:szCs w:val="16"/>
                <w:lang w:val="ro-RO"/>
              </w:rPr>
            </w:pPr>
            <w:r w:rsidRPr="00BD050E">
              <w:rPr>
                <w:rFonts w:asciiTheme="majorHAnsi" w:hAnsiTheme="majorHAnsi" w:cstheme="majorHAnsi"/>
                <w:b/>
                <w:color w:val="000000" w:themeColor="text1"/>
                <w:sz w:val="16"/>
                <w:szCs w:val="16"/>
                <w:lang w:val="ro-RO"/>
              </w:rPr>
              <w:t>60%</w:t>
            </w:r>
          </w:p>
        </w:tc>
      </w:tr>
      <w:tr w:rsidR="00814F8E" w:rsidRPr="00BD050E" w14:paraId="6CC79C3B" w14:textId="77777777" w:rsidTr="000B4C5A">
        <w:trPr>
          <w:gridAfter w:val="1"/>
          <w:wAfter w:w="8" w:type="dxa"/>
          <w:trHeight w:val="320"/>
        </w:trPr>
        <w:tc>
          <w:tcPr>
            <w:tcW w:w="3828" w:type="dxa"/>
          </w:tcPr>
          <w:p w14:paraId="149B5330" w14:textId="4FA18395"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 xml:space="preserve">2. Finanțare adițională pentru </w:t>
            </w:r>
            <w:r w:rsidR="00E72A17" w:rsidRPr="00BD050E">
              <w:rPr>
                <w:rFonts w:asciiTheme="majorHAnsi" w:eastAsia="Times New Roman" w:hAnsiTheme="majorHAnsi" w:cstheme="majorHAnsi"/>
                <w:b/>
                <w:bCs/>
                <w:color w:val="000000" w:themeColor="text1"/>
                <w:sz w:val="20"/>
                <w:szCs w:val="20"/>
                <w:lang w:val="ro-RO"/>
              </w:rPr>
              <w:t>C</w:t>
            </w:r>
            <w:r w:rsidRPr="00BD050E">
              <w:rPr>
                <w:rFonts w:asciiTheme="majorHAnsi" w:eastAsia="Times New Roman" w:hAnsiTheme="majorHAnsi" w:cstheme="majorHAnsi"/>
                <w:b/>
                <w:bCs/>
                <w:color w:val="000000" w:themeColor="text1"/>
                <w:sz w:val="20"/>
                <w:szCs w:val="20"/>
                <w:lang w:val="ro-RO"/>
              </w:rPr>
              <w:t xml:space="preserve">omponenta </w:t>
            </w:r>
            <w:r w:rsidR="00E72A17" w:rsidRPr="00BD050E">
              <w:rPr>
                <w:rFonts w:asciiTheme="majorHAnsi" w:eastAsia="Times New Roman" w:hAnsiTheme="majorHAnsi" w:cstheme="majorHAnsi"/>
                <w:b/>
                <w:bCs/>
                <w:color w:val="000000" w:themeColor="text1"/>
                <w:sz w:val="20"/>
                <w:szCs w:val="20"/>
                <w:lang w:val="ro-RO"/>
              </w:rPr>
              <w:t>„A</w:t>
            </w:r>
            <w:r w:rsidRPr="00BD050E">
              <w:rPr>
                <w:rFonts w:asciiTheme="majorHAnsi" w:eastAsia="Times New Roman" w:hAnsiTheme="majorHAnsi" w:cstheme="majorHAnsi"/>
                <w:b/>
                <w:bCs/>
                <w:color w:val="000000" w:themeColor="text1"/>
                <w:sz w:val="20"/>
                <w:szCs w:val="20"/>
                <w:lang w:val="ro-RO"/>
              </w:rPr>
              <w:t>sistență tehnică</w:t>
            </w:r>
            <w:r w:rsidR="00E72A17" w:rsidRPr="00BD050E">
              <w:rPr>
                <w:rFonts w:asciiTheme="majorHAnsi" w:eastAsia="Times New Roman" w:hAnsiTheme="majorHAnsi" w:cstheme="majorHAnsi"/>
                <w:b/>
                <w:bCs/>
                <w:color w:val="000000" w:themeColor="text1"/>
                <w:sz w:val="20"/>
                <w:szCs w:val="20"/>
                <w:lang w:val="ro-RO"/>
              </w:rPr>
              <w:t>”</w:t>
            </w:r>
          </w:p>
        </w:tc>
        <w:tc>
          <w:tcPr>
            <w:tcW w:w="1133" w:type="dxa"/>
            <w:noWrap/>
          </w:tcPr>
          <w:p w14:paraId="25D31D39"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0,00</w:t>
            </w:r>
          </w:p>
        </w:tc>
        <w:tc>
          <w:tcPr>
            <w:tcW w:w="1077" w:type="dxa"/>
          </w:tcPr>
          <w:p w14:paraId="2F14E3CF"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0.00</w:t>
            </w:r>
          </w:p>
        </w:tc>
        <w:tc>
          <w:tcPr>
            <w:tcW w:w="1191" w:type="dxa"/>
          </w:tcPr>
          <w:p w14:paraId="4F743658"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0,00</w:t>
            </w:r>
          </w:p>
        </w:tc>
        <w:tc>
          <w:tcPr>
            <w:tcW w:w="1276" w:type="dxa"/>
          </w:tcPr>
          <w:p w14:paraId="3855A603"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0,00</w:t>
            </w:r>
          </w:p>
        </w:tc>
        <w:tc>
          <w:tcPr>
            <w:tcW w:w="1171" w:type="dxa"/>
          </w:tcPr>
          <w:p w14:paraId="48CE84FA"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0,00</w:t>
            </w:r>
          </w:p>
        </w:tc>
        <w:tc>
          <w:tcPr>
            <w:tcW w:w="992" w:type="dxa"/>
            <w:noWrap/>
          </w:tcPr>
          <w:p w14:paraId="35D03407"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0%</w:t>
            </w:r>
          </w:p>
        </w:tc>
        <w:tc>
          <w:tcPr>
            <w:tcW w:w="851" w:type="dxa"/>
          </w:tcPr>
          <w:p w14:paraId="0F68B5C8"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0%</w:t>
            </w:r>
          </w:p>
        </w:tc>
        <w:tc>
          <w:tcPr>
            <w:tcW w:w="719" w:type="dxa"/>
          </w:tcPr>
          <w:p w14:paraId="3F1266D7"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0%</w:t>
            </w:r>
          </w:p>
        </w:tc>
        <w:tc>
          <w:tcPr>
            <w:tcW w:w="760" w:type="dxa"/>
          </w:tcPr>
          <w:p w14:paraId="40000DE3"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0%</w:t>
            </w:r>
          </w:p>
        </w:tc>
        <w:tc>
          <w:tcPr>
            <w:tcW w:w="622" w:type="dxa"/>
          </w:tcPr>
          <w:p w14:paraId="5D2197C1" w14:textId="77777777" w:rsidR="0036424B" w:rsidRPr="00BD050E" w:rsidRDefault="0036424B" w:rsidP="000B4C5A">
            <w:pPr>
              <w:jc w:val="center"/>
              <w:rPr>
                <w:rFonts w:asciiTheme="majorHAnsi" w:hAnsiTheme="majorHAnsi" w:cstheme="majorHAnsi"/>
                <w:b/>
                <w:color w:val="000000" w:themeColor="text1"/>
                <w:sz w:val="16"/>
                <w:szCs w:val="16"/>
                <w:lang w:val="ro-RO"/>
              </w:rPr>
            </w:pPr>
            <w:r w:rsidRPr="00BD050E">
              <w:rPr>
                <w:rFonts w:asciiTheme="majorHAnsi" w:hAnsiTheme="majorHAnsi" w:cstheme="majorHAnsi"/>
                <w:b/>
                <w:color w:val="000000" w:themeColor="text1"/>
                <w:sz w:val="16"/>
                <w:szCs w:val="16"/>
                <w:lang w:val="ro-RO"/>
              </w:rPr>
              <w:t>0%</w:t>
            </w:r>
          </w:p>
        </w:tc>
      </w:tr>
      <w:tr w:rsidR="00814F8E" w:rsidRPr="00BD050E" w14:paraId="5DB86150" w14:textId="77777777" w:rsidTr="000B4C5A">
        <w:trPr>
          <w:gridAfter w:val="1"/>
          <w:wAfter w:w="8" w:type="dxa"/>
          <w:trHeight w:val="264"/>
        </w:trPr>
        <w:tc>
          <w:tcPr>
            <w:tcW w:w="3828" w:type="dxa"/>
          </w:tcPr>
          <w:p w14:paraId="40C16A76" w14:textId="7D714453"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2.1</w:t>
            </w:r>
            <w:r w:rsidR="00E72A17" w:rsidRPr="00BD050E">
              <w:rPr>
                <w:rFonts w:asciiTheme="majorHAnsi" w:eastAsia="Times New Roman" w:hAnsiTheme="majorHAnsi" w:cstheme="majorHAnsi"/>
                <w:color w:val="000000" w:themeColor="text1"/>
                <w:sz w:val="20"/>
                <w:szCs w:val="20"/>
                <w:lang w:val="ro-RO"/>
              </w:rPr>
              <w:t>.</w:t>
            </w:r>
            <w:r w:rsidRPr="00BD050E">
              <w:rPr>
                <w:rFonts w:asciiTheme="majorHAnsi" w:eastAsia="Times New Roman" w:hAnsiTheme="majorHAnsi" w:cstheme="majorHAnsi"/>
                <w:color w:val="000000" w:themeColor="text1"/>
                <w:sz w:val="20"/>
                <w:szCs w:val="20"/>
                <w:lang w:val="ro-RO"/>
              </w:rPr>
              <w:t xml:space="preserve"> Dezvoltarea funcționalităților suplimentare ale Sistemului Informațional Automatizat „Asistență Medicală Primară” (SIA AMP) şi interoperabilității acestora cu alte Sisteme informaționale (+ 314 000 dolari SUA achitate de CNAM)</w:t>
            </w:r>
          </w:p>
        </w:tc>
        <w:tc>
          <w:tcPr>
            <w:tcW w:w="1133" w:type="dxa"/>
            <w:noWrap/>
          </w:tcPr>
          <w:p w14:paraId="571E016A"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077" w:type="dxa"/>
          </w:tcPr>
          <w:p w14:paraId="35292377"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191" w:type="dxa"/>
          </w:tcPr>
          <w:p w14:paraId="06424B8C"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276" w:type="dxa"/>
          </w:tcPr>
          <w:p w14:paraId="3858FFFE"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171" w:type="dxa"/>
          </w:tcPr>
          <w:p w14:paraId="49618DB6"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992" w:type="dxa"/>
            <w:noWrap/>
          </w:tcPr>
          <w:p w14:paraId="3E86622C"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w:t>
            </w:r>
          </w:p>
        </w:tc>
        <w:tc>
          <w:tcPr>
            <w:tcW w:w="851" w:type="dxa"/>
          </w:tcPr>
          <w:p w14:paraId="447110C5"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w:t>
            </w:r>
          </w:p>
        </w:tc>
        <w:tc>
          <w:tcPr>
            <w:tcW w:w="719" w:type="dxa"/>
          </w:tcPr>
          <w:p w14:paraId="409D26CA"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760" w:type="dxa"/>
          </w:tcPr>
          <w:p w14:paraId="67E5E953"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622" w:type="dxa"/>
          </w:tcPr>
          <w:p w14:paraId="7A34FC1A"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0%</w:t>
            </w:r>
          </w:p>
        </w:tc>
      </w:tr>
      <w:tr w:rsidR="00814F8E" w:rsidRPr="00BD050E" w14:paraId="2FB83167" w14:textId="77777777" w:rsidTr="000B4C5A">
        <w:trPr>
          <w:gridAfter w:val="1"/>
          <w:wAfter w:w="8" w:type="dxa"/>
          <w:trHeight w:val="264"/>
        </w:trPr>
        <w:tc>
          <w:tcPr>
            <w:tcW w:w="3828" w:type="dxa"/>
          </w:tcPr>
          <w:p w14:paraId="057A1B40" w14:textId="62D1C2B7"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color w:val="000000" w:themeColor="text1"/>
                <w:sz w:val="20"/>
                <w:szCs w:val="20"/>
                <w:lang w:val="ro-RO"/>
              </w:rPr>
              <w:t>2.2</w:t>
            </w:r>
            <w:r w:rsidR="00E72A17" w:rsidRPr="00BD050E">
              <w:rPr>
                <w:rFonts w:asciiTheme="majorHAnsi" w:eastAsia="Times New Roman" w:hAnsiTheme="majorHAnsi" w:cstheme="majorHAnsi"/>
                <w:color w:val="000000" w:themeColor="text1"/>
                <w:sz w:val="20"/>
                <w:szCs w:val="20"/>
                <w:lang w:val="ro-RO"/>
              </w:rPr>
              <w:t>.</w:t>
            </w:r>
            <w:r w:rsidRPr="00BD050E">
              <w:rPr>
                <w:rFonts w:asciiTheme="majorHAnsi" w:eastAsia="Times New Roman" w:hAnsiTheme="majorHAnsi" w:cstheme="majorHAnsi"/>
                <w:color w:val="000000" w:themeColor="text1"/>
                <w:sz w:val="20"/>
                <w:szCs w:val="20"/>
                <w:lang w:val="ro-RO"/>
              </w:rPr>
              <w:t xml:space="preserve"> Elaborarea Strategiei de comunicare </w:t>
            </w:r>
            <w:r w:rsidR="00E72A17" w:rsidRPr="00BD050E">
              <w:rPr>
                <w:rFonts w:asciiTheme="majorHAnsi" w:eastAsia="Times New Roman" w:hAnsiTheme="majorHAnsi" w:cstheme="majorHAnsi"/>
                <w:color w:val="000000" w:themeColor="text1"/>
                <w:sz w:val="20"/>
                <w:szCs w:val="20"/>
                <w:lang w:val="ro-RO"/>
              </w:rPr>
              <w:t xml:space="preserve">pentru anii </w:t>
            </w:r>
            <w:r w:rsidRPr="00BD050E">
              <w:rPr>
                <w:rFonts w:asciiTheme="majorHAnsi" w:eastAsia="Times New Roman" w:hAnsiTheme="majorHAnsi" w:cstheme="majorHAnsi"/>
                <w:color w:val="000000" w:themeColor="text1"/>
                <w:sz w:val="20"/>
                <w:szCs w:val="20"/>
                <w:lang w:val="ro-RO"/>
              </w:rPr>
              <w:t>2021-2023</w:t>
            </w:r>
          </w:p>
        </w:tc>
        <w:tc>
          <w:tcPr>
            <w:tcW w:w="1133" w:type="dxa"/>
            <w:noWrap/>
          </w:tcPr>
          <w:p w14:paraId="387409EB"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077" w:type="dxa"/>
          </w:tcPr>
          <w:p w14:paraId="56AD4187"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191" w:type="dxa"/>
          </w:tcPr>
          <w:p w14:paraId="4FB7CAFB"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276" w:type="dxa"/>
          </w:tcPr>
          <w:p w14:paraId="58F2F173"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1171" w:type="dxa"/>
          </w:tcPr>
          <w:p w14:paraId="7B25A2B0"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0,00</w:t>
            </w:r>
          </w:p>
        </w:tc>
        <w:tc>
          <w:tcPr>
            <w:tcW w:w="992" w:type="dxa"/>
            <w:noWrap/>
          </w:tcPr>
          <w:p w14:paraId="6DDF38F0"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w:t>
            </w:r>
          </w:p>
        </w:tc>
        <w:tc>
          <w:tcPr>
            <w:tcW w:w="851" w:type="dxa"/>
          </w:tcPr>
          <w:p w14:paraId="27984AE5" w14:textId="77777777" w:rsidR="0036424B" w:rsidRPr="00BD050E" w:rsidRDefault="0036424B" w:rsidP="000B4C5A">
            <w:pPr>
              <w:jc w:val="center"/>
              <w:rPr>
                <w:rFonts w:asciiTheme="majorHAnsi" w:eastAsia="Times New Roman" w:hAnsiTheme="majorHAnsi" w:cstheme="majorHAnsi"/>
                <w:bCs/>
                <w:color w:val="000000" w:themeColor="text1"/>
                <w:sz w:val="18"/>
                <w:szCs w:val="18"/>
                <w:lang w:val="ro-RO"/>
              </w:rPr>
            </w:pPr>
            <w:r w:rsidRPr="00BD050E">
              <w:rPr>
                <w:rFonts w:asciiTheme="majorHAnsi" w:eastAsia="Times New Roman" w:hAnsiTheme="majorHAnsi" w:cstheme="majorHAnsi"/>
                <w:bCs/>
                <w:color w:val="000000" w:themeColor="text1"/>
                <w:sz w:val="18"/>
                <w:szCs w:val="18"/>
                <w:lang w:val="ro-RO"/>
              </w:rPr>
              <w:t>0%</w:t>
            </w:r>
          </w:p>
        </w:tc>
        <w:tc>
          <w:tcPr>
            <w:tcW w:w="719" w:type="dxa"/>
          </w:tcPr>
          <w:p w14:paraId="187E08D6"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760" w:type="dxa"/>
          </w:tcPr>
          <w:p w14:paraId="3625C4D2"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color w:val="000000" w:themeColor="text1"/>
                <w:sz w:val="18"/>
                <w:szCs w:val="18"/>
                <w:lang w:val="ro-RO"/>
              </w:rPr>
              <w:t>0%</w:t>
            </w:r>
          </w:p>
        </w:tc>
        <w:tc>
          <w:tcPr>
            <w:tcW w:w="622" w:type="dxa"/>
          </w:tcPr>
          <w:p w14:paraId="61FC8647" w14:textId="77777777" w:rsidR="0036424B" w:rsidRPr="00BD050E" w:rsidRDefault="0036424B" w:rsidP="000B4C5A">
            <w:pPr>
              <w:jc w:val="center"/>
              <w:rPr>
                <w:rFonts w:asciiTheme="majorHAnsi" w:hAnsiTheme="majorHAnsi" w:cstheme="majorHAnsi"/>
                <w:color w:val="000000" w:themeColor="text1"/>
                <w:sz w:val="16"/>
                <w:szCs w:val="16"/>
                <w:lang w:val="ro-RO"/>
              </w:rPr>
            </w:pPr>
            <w:r w:rsidRPr="00BD050E">
              <w:rPr>
                <w:rFonts w:asciiTheme="majorHAnsi" w:hAnsiTheme="majorHAnsi" w:cstheme="majorHAnsi"/>
                <w:color w:val="000000" w:themeColor="text1"/>
                <w:sz w:val="16"/>
                <w:szCs w:val="16"/>
                <w:lang w:val="ro-RO"/>
              </w:rPr>
              <w:t>0%</w:t>
            </w:r>
          </w:p>
        </w:tc>
      </w:tr>
      <w:tr w:rsidR="00814F8E" w:rsidRPr="00BD050E" w14:paraId="768161F9" w14:textId="77777777" w:rsidTr="000B4C5A">
        <w:trPr>
          <w:gridAfter w:val="1"/>
          <w:wAfter w:w="8" w:type="dxa"/>
          <w:trHeight w:val="276"/>
        </w:trPr>
        <w:tc>
          <w:tcPr>
            <w:tcW w:w="3828" w:type="dxa"/>
            <w:noWrap/>
            <w:hideMark/>
          </w:tcPr>
          <w:p w14:paraId="484C0D91" w14:textId="77777777" w:rsidR="0036424B" w:rsidRPr="00BD050E" w:rsidRDefault="0036424B" w:rsidP="000B4C5A">
            <w:pPr>
              <w:rPr>
                <w:rFonts w:asciiTheme="majorHAnsi" w:eastAsia="Times New Roman" w:hAnsiTheme="majorHAnsi" w:cstheme="majorHAnsi"/>
                <w:b/>
                <w:bCs/>
                <w:color w:val="000000" w:themeColor="text1"/>
                <w:sz w:val="20"/>
                <w:szCs w:val="20"/>
                <w:lang w:val="ro-RO"/>
              </w:rPr>
            </w:pPr>
            <w:r w:rsidRPr="00BD050E">
              <w:rPr>
                <w:rFonts w:asciiTheme="majorHAnsi" w:eastAsia="Times New Roman" w:hAnsiTheme="majorHAnsi" w:cstheme="majorHAnsi"/>
                <w:b/>
                <w:bCs/>
                <w:color w:val="000000" w:themeColor="text1"/>
                <w:sz w:val="20"/>
                <w:szCs w:val="20"/>
                <w:lang w:val="ro-RO"/>
              </w:rPr>
              <w:t xml:space="preserve"> Total</w:t>
            </w:r>
          </w:p>
        </w:tc>
        <w:tc>
          <w:tcPr>
            <w:tcW w:w="1133" w:type="dxa"/>
            <w:noWrap/>
            <w:hideMark/>
          </w:tcPr>
          <w:p w14:paraId="28B142A7" w14:textId="77777777" w:rsidR="0036424B" w:rsidRPr="00BD050E" w:rsidRDefault="0036424B" w:rsidP="000B4C5A">
            <w:pPr>
              <w:jc w:val="center"/>
              <w:rPr>
                <w:rFonts w:asciiTheme="majorHAnsi" w:hAnsiTheme="majorHAnsi" w:cstheme="majorHAnsi"/>
                <w:color w:val="000000" w:themeColor="text1"/>
                <w:sz w:val="18"/>
                <w:szCs w:val="18"/>
                <w:lang w:val="ro-RO"/>
              </w:rPr>
            </w:pPr>
            <w:r w:rsidRPr="00BD050E">
              <w:rPr>
                <w:rFonts w:asciiTheme="majorHAnsi" w:hAnsiTheme="majorHAnsi" w:cstheme="majorHAnsi"/>
                <w:b/>
                <w:bCs/>
                <w:color w:val="000000" w:themeColor="text1"/>
                <w:sz w:val="18"/>
                <w:szCs w:val="18"/>
                <w:lang w:val="ro-RO"/>
              </w:rPr>
              <w:t>620 302,72</w:t>
            </w:r>
          </w:p>
        </w:tc>
        <w:tc>
          <w:tcPr>
            <w:tcW w:w="1077" w:type="dxa"/>
          </w:tcPr>
          <w:p w14:paraId="3356C561"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962 778,75</w:t>
            </w:r>
          </w:p>
        </w:tc>
        <w:tc>
          <w:tcPr>
            <w:tcW w:w="1191" w:type="dxa"/>
          </w:tcPr>
          <w:p w14:paraId="22DEE35F"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1 537 225,07</w:t>
            </w:r>
          </w:p>
        </w:tc>
        <w:tc>
          <w:tcPr>
            <w:tcW w:w="1276" w:type="dxa"/>
          </w:tcPr>
          <w:p w14:paraId="5BC571C7"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1 666 569,16</w:t>
            </w:r>
          </w:p>
        </w:tc>
        <w:tc>
          <w:tcPr>
            <w:tcW w:w="1171" w:type="dxa"/>
          </w:tcPr>
          <w:p w14:paraId="40AAB6F6"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1 770 673,49</w:t>
            </w:r>
          </w:p>
        </w:tc>
        <w:tc>
          <w:tcPr>
            <w:tcW w:w="992" w:type="dxa"/>
            <w:noWrap/>
            <w:hideMark/>
          </w:tcPr>
          <w:p w14:paraId="7039C2C5"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32%</w:t>
            </w:r>
          </w:p>
        </w:tc>
        <w:tc>
          <w:tcPr>
            <w:tcW w:w="851" w:type="dxa"/>
          </w:tcPr>
          <w:p w14:paraId="72F203BD" w14:textId="77777777" w:rsidR="0036424B" w:rsidRPr="00BD050E" w:rsidRDefault="0036424B" w:rsidP="000B4C5A">
            <w:pPr>
              <w:jc w:val="center"/>
              <w:rPr>
                <w:rFonts w:asciiTheme="majorHAnsi" w:eastAsia="Times New Roman" w:hAnsiTheme="majorHAnsi" w:cstheme="majorHAnsi"/>
                <w:b/>
                <w:bCs/>
                <w:color w:val="000000" w:themeColor="text1"/>
                <w:sz w:val="18"/>
                <w:szCs w:val="18"/>
                <w:lang w:val="ro-RO"/>
              </w:rPr>
            </w:pPr>
            <w:r w:rsidRPr="00BD050E">
              <w:rPr>
                <w:rFonts w:asciiTheme="majorHAnsi" w:eastAsia="Times New Roman" w:hAnsiTheme="majorHAnsi" w:cstheme="majorHAnsi"/>
                <w:b/>
                <w:bCs/>
                <w:color w:val="000000" w:themeColor="text1"/>
                <w:sz w:val="18"/>
                <w:szCs w:val="18"/>
                <w:lang w:val="ro-RO"/>
              </w:rPr>
              <w:t>53%</w:t>
            </w:r>
          </w:p>
        </w:tc>
        <w:tc>
          <w:tcPr>
            <w:tcW w:w="719" w:type="dxa"/>
          </w:tcPr>
          <w:p w14:paraId="49865362"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52 %</w:t>
            </w:r>
          </w:p>
        </w:tc>
        <w:tc>
          <w:tcPr>
            <w:tcW w:w="760" w:type="dxa"/>
          </w:tcPr>
          <w:p w14:paraId="4139BBD4" w14:textId="77777777" w:rsidR="0036424B" w:rsidRPr="00BD050E" w:rsidRDefault="0036424B" w:rsidP="000B4C5A">
            <w:pPr>
              <w:jc w:val="center"/>
              <w:rPr>
                <w:rFonts w:asciiTheme="majorHAnsi" w:hAnsiTheme="majorHAnsi" w:cstheme="majorHAnsi"/>
                <w:b/>
                <w:color w:val="000000" w:themeColor="text1"/>
                <w:sz w:val="18"/>
                <w:szCs w:val="18"/>
                <w:lang w:val="ro-RO"/>
              </w:rPr>
            </w:pPr>
            <w:r w:rsidRPr="00BD050E">
              <w:rPr>
                <w:rFonts w:asciiTheme="majorHAnsi" w:hAnsiTheme="majorHAnsi" w:cstheme="majorHAnsi"/>
                <w:b/>
                <w:color w:val="000000" w:themeColor="text1"/>
                <w:sz w:val="18"/>
                <w:szCs w:val="18"/>
                <w:lang w:val="ro-RO"/>
              </w:rPr>
              <w:t>56%</w:t>
            </w:r>
          </w:p>
        </w:tc>
        <w:tc>
          <w:tcPr>
            <w:tcW w:w="622" w:type="dxa"/>
          </w:tcPr>
          <w:p w14:paraId="5EE79D10" w14:textId="77777777" w:rsidR="0036424B" w:rsidRPr="00BD050E" w:rsidRDefault="0036424B" w:rsidP="000B4C5A">
            <w:pPr>
              <w:jc w:val="center"/>
              <w:rPr>
                <w:rFonts w:asciiTheme="majorHAnsi" w:hAnsiTheme="majorHAnsi" w:cstheme="majorHAnsi"/>
                <w:b/>
                <w:color w:val="000000" w:themeColor="text1"/>
                <w:sz w:val="16"/>
                <w:szCs w:val="16"/>
                <w:lang w:val="ro-RO"/>
              </w:rPr>
            </w:pPr>
            <w:r w:rsidRPr="00BD050E">
              <w:rPr>
                <w:rFonts w:asciiTheme="majorHAnsi" w:hAnsiTheme="majorHAnsi" w:cstheme="majorHAnsi"/>
                <w:b/>
                <w:color w:val="000000" w:themeColor="text1"/>
                <w:sz w:val="16"/>
                <w:szCs w:val="16"/>
                <w:lang w:val="ro-RO"/>
              </w:rPr>
              <w:t>61%</w:t>
            </w:r>
          </w:p>
        </w:tc>
      </w:tr>
    </w:tbl>
    <w:p w14:paraId="5C9894A0" w14:textId="77777777" w:rsidR="0036424B" w:rsidRPr="00BD050E" w:rsidRDefault="0036424B" w:rsidP="0036424B">
      <w:pPr>
        <w:tabs>
          <w:tab w:val="left" w:pos="9380"/>
        </w:tabs>
        <w:rPr>
          <w:rFonts w:asciiTheme="majorHAnsi" w:hAnsiTheme="majorHAnsi" w:cstheme="majorHAnsi"/>
          <w:color w:val="000000" w:themeColor="text1"/>
          <w:sz w:val="24"/>
          <w:szCs w:val="24"/>
          <w:lang w:val="ro-RO"/>
        </w:rPr>
        <w:sectPr w:rsidR="0036424B" w:rsidRPr="00BD050E" w:rsidSect="00A26C34">
          <w:pgSz w:w="15840" w:h="12240" w:orient="landscape"/>
          <w:pgMar w:top="284" w:right="1140" w:bottom="49" w:left="1140" w:header="720" w:footer="720" w:gutter="0"/>
          <w:cols w:space="720"/>
          <w:docGrid w:linePitch="360"/>
        </w:sectPr>
      </w:pPr>
    </w:p>
    <w:p w14:paraId="648AB20A" w14:textId="77777777" w:rsidR="0036424B" w:rsidRPr="00BD050E" w:rsidRDefault="0036424B" w:rsidP="0036424B">
      <w:pPr>
        <w:pStyle w:val="Heading1"/>
        <w:numPr>
          <w:ilvl w:val="0"/>
          <w:numId w:val="0"/>
        </w:numPr>
        <w:ind w:left="360" w:hanging="360"/>
        <w:jc w:val="right"/>
        <w:rPr>
          <w:rFonts w:asciiTheme="majorHAnsi" w:hAnsiTheme="majorHAnsi" w:cstheme="majorHAnsi"/>
          <w:b w:val="0"/>
          <w:color w:val="000000" w:themeColor="text1"/>
          <w:sz w:val="24"/>
          <w:szCs w:val="24"/>
          <w:lang w:val="ro-RO"/>
        </w:rPr>
      </w:pPr>
      <w:bookmarkStart w:id="25" w:name="_Toc10125928"/>
      <w:r w:rsidRPr="00BD050E">
        <w:rPr>
          <w:rFonts w:asciiTheme="majorHAnsi" w:hAnsiTheme="majorHAnsi" w:cstheme="majorHAnsi"/>
          <w:color w:val="000000" w:themeColor="text1"/>
          <w:sz w:val="24"/>
          <w:szCs w:val="24"/>
          <w:lang w:val="ro-RO"/>
        </w:rPr>
        <w:lastRenderedPageBreak/>
        <w:t xml:space="preserve">                                                                                                                             Anexa nr.</w:t>
      </w:r>
      <w:bookmarkEnd w:id="25"/>
      <w:r w:rsidRPr="00BD050E">
        <w:rPr>
          <w:rFonts w:asciiTheme="majorHAnsi" w:hAnsiTheme="majorHAnsi" w:cstheme="majorHAnsi"/>
          <w:color w:val="000000" w:themeColor="text1"/>
          <w:sz w:val="24"/>
          <w:szCs w:val="24"/>
          <w:lang w:val="ro-RO"/>
        </w:rPr>
        <w:t>6</w:t>
      </w:r>
    </w:p>
    <w:p w14:paraId="37DD0366" w14:textId="0241BD8E" w:rsidR="0036424B" w:rsidRPr="00BD050E" w:rsidRDefault="0036424B" w:rsidP="0036424B">
      <w:pPr>
        <w:tabs>
          <w:tab w:val="left" w:pos="993"/>
        </w:tabs>
        <w:spacing w:after="0" w:line="276" w:lineRule="auto"/>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Acțiunile stabilite în Acordul de finanțare „Modernizarea sectorului sănătății în Republica Moldova”</w:t>
      </w:r>
      <w:r w:rsidR="00E72A17" w:rsidRPr="00BD050E">
        <w:rPr>
          <w:rFonts w:asciiTheme="majorHAnsi" w:hAnsiTheme="majorHAnsi" w:cstheme="majorHAnsi"/>
          <w:b/>
          <w:i/>
          <w:color w:val="000000" w:themeColor="text1"/>
          <w:sz w:val="24"/>
          <w:szCs w:val="24"/>
          <w:lang w:val="ro-RO"/>
        </w:rPr>
        <w:t>.</w:t>
      </w:r>
      <w:r w:rsidRPr="00BD050E">
        <w:rPr>
          <w:rFonts w:asciiTheme="majorHAnsi" w:hAnsiTheme="majorHAnsi" w:cstheme="majorHAnsi"/>
          <w:b/>
          <w:i/>
          <w:color w:val="000000" w:themeColor="text1"/>
          <w:sz w:val="24"/>
          <w:szCs w:val="24"/>
          <w:lang w:val="ro-RO"/>
        </w:rPr>
        <w:t xml:space="preserve"> Indicatori specifici legați de debursare, cotele alocate de finanțare</w:t>
      </w:r>
    </w:p>
    <w:p w14:paraId="34D82AC2" w14:textId="77777777" w:rsidR="0036424B" w:rsidRPr="00BD050E" w:rsidRDefault="0036424B" w:rsidP="0036424B">
      <w:pPr>
        <w:tabs>
          <w:tab w:val="left" w:pos="1080"/>
        </w:tabs>
        <w:spacing w:after="0" w:line="276" w:lineRule="auto"/>
        <w:contextualSpacing/>
        <w:jc w:val="both"/>
        <w:rPr>
          <w:rFonts w:asciiTheme="majorHAnsi" w:hAnsiTheme="majorHAnsi" w:cstheme="majorHAnsi"/>
          <w:color w:val="000000" w:themeColor="text1"/>
          <w:sz w:val="24"/>
          <w:szCs w:val="24"/>
          <w:lang w:val="ro-RO"/>
        </w:rPr>
      </w:pPr>
    </w:p>
    <w:tbl>
      <w:tblPr>
        <w:tblW w:w="9432" w:type="dxa"/>
        <w:tblInd w:w="-37" w:type="dxa"/>
        <w:tblCellMar>
          <w:top w:w="40" w:type="dxa"/>
          <w:left w:w="118" w:type="dxa"/>
          <w:right w:w="36" w:type="dxa"/>
        </w:tblCellMar>
        <w:tblLook w:val="04A0" w:firstRow="1" w:lastRow="0" w:firstColumn="1" w:lastColumn="0" w:noHBand="0" w:noVBand="1"/>
      </w:tblPr>
      <w:tblGrid>
        <w:gridCol w:w="2430"/>
        <w:gridCol w:w="4120"/>
        <w:gridCol w:w="2882"/>
      </w:tblGrid>
      <w:tr w:rsidR="00814F8E" w:rsidRPr="00BD050E" w14:paraId="4EAC25CC" w14:textId="77777777" w:rsidTr="000B4C5A">
        <w:trPr>
          <w:trHeight w:val="844"/>
        </w:trPr>
        <w:tc>
          <w:tcPr>
            <w:tcW w:w="2430" w:type="dxa"/>
            <w:tcBorders>
              <w:top w:val="single" w:sz="6" w:space="0" w:color="000000"/>
              <w:left w:val="single" w:sz="6" w:space="0" w:color="000000"/>
              <w:bottom w:val="single" w:sz="6" w:space="0" w:color="000000"/>
              <w:right w:val="single" w:sz="6" w:space="0" w:color="000000"/>
            </w:tcBorders>
            <w:shd w:val="clear" w:color="auto" w:fill="D9D9D9"/>
          </w:tcPr>
          <w:p w14:paraId="63ED31FC" w14:textId="77777777" w:rsidR="0036424B" w:rsidRPr="00BD050E" w:rsidRDefault="0036424B" w:rsidP="000B4C5A">
            <w:pPr>
              <w:tabs>
                <w:tab w:val="left" w:pos="1080"/>
              </w:tabs>
              <w:spacing w:after="0" w:line="276" w:lineRule="auto"/>
              <w:contextualSpacing/>
              <w:jc w:val="center"/>
              <w:rPr>
                <w:rFonts w:asciiTheme="majorHAnsi" w:hAnsiTheme="majorHAnsi" w:cstheme="majorHAnsi"/>
                <w:color w:val="000000" w:themeColor="text1"/>
                <w:sz w:val="24"/>
                <w:szCs w:val="24"/>
                <w:lang w:val="ro-RO"/>
              </w:rPr>
            </w:pPr>
            <w:r w:rsidRPr="00BD050E">
              <w:rPr>
                <w:rFonts w:asciiTheme="majorHAnsi" w:hAnsiTheme="majorHAnsi" w:cstheme="majorHAnsi"/>
                <w:b/>
                <w:color w:val="000000" w:themeColor="text1"/>
                <w:sz w:val="24"/>
                <w:szCs w:val="24"/>
                <w:lang w:val="ro-RO"/>
              </w:rPr>
              <w:t>Categoria pentru</w:t>
            </w:r>
          </w:p>
          <w:p w14:paraId="1DA384C3" w14:textId="161A8983" w:rsidR="0036424B" w:rsidRPr="00BD050E" w:rsidRDefault="0036424B" w:rsidP="000B4C5A">
            <w:pPr>
              <w:tabs>
                <w:tab w:val="left" w:pos="1080"/>
              </w:tabs>
              <w:spacing w:after="0" w:line="276" w:lineRule="auto"/>
              <w:contextualSpacing/>
              <w:jc w:val="center"/>
              <w:rPr>
                <w:rFonts w:asciiTheme="majorHAnsi" w:hAnsiTheme="majorHAnsi" w:cstheme="majorHAnsi"/>
                <w:color w:val="000000" w:themeColor="text1"/>
                <w:sz w:val="24"/>
                <w:szCs w:val="24"/>
                <w:lang w:val="ro-RO"/>
              </w:rPr>
            </w:pPr>
            <w:r w:rsidRPr="00BD050E">
              <w:rPr>
                <w:rFonts w:asciiTheme="majorHAnsi" w:hAnsiTheme="majorHAnsi" w:cstheme="majorHAnsi"/>
                <w:b/>
                <w:color w:val="000000" w:themeColor="text1"/>
                <w:sz w:val="24"/>
                <w:szCs w:val="24"/>
                <w:lang w:val="ro-RO"/>
              </w:rPr>
              <w:t xml:space="preserve">Program (inclusiv </w:t>
            </w:r>
            <w:r w:rsidR="00D57F32" w:rsidRPr="00BD050E">
              <w:rPr>
                <w:rFonts w:asciiTheme="majorHAnsi" w:hAnsiTheme="majorHAnsi" w:cstheme="majorHAnsi"/>
                <w:b/>
                <w:color w:val="000000" w:themeColor="text1"/>
                <w:sz w:val="24"/>
                <w:szCs w:val="24"/>
                <w:lang w:val="ro-RO"/>
              </w:rPr>
              <w:t>ILD</w:t>
            </w:r>
            <w:r w:rsidRPr="00BD050E">
              <w:rPr>
                <w:rFonts w:asciiTheme="majorHAnsi" w:hAnsiTheme="majorHAnsi" w:cstheme="majorHAnsi"/>
                <w:b/>
                <w:color w:val="000000" w:themeColor="text1"/>
                <w:sz w:val="24"/>
                <w:szCs w:val="24"/>
                <w:lang w:val="ro-RO"/>
              </w:rPr>
              <w:t>, după caz)</w:t>
            </w:r>
          </w:p>
        </w:tc>
        <w:tc>
          <w:tcPr>
            <w:tcW w:w="4120" w:type="dxa"/>
            <w:tcBorders>
              <w:top w:val="single" w:sz="6" w:space="0" w:color="000000"/>
              <w:left w:val="single" w:sz="6" w:space="0" w:color="000000"/>
              <w:bottom w:val="single" w:sz="6" w:space="0" w:color="000000"/>
              <w:right w:val="single" w:sz="6" w:space="0" w:color="000000"/>
            </w:tcBorders>
            <w:shd w:val="clear" w:color="auto" w:fill="D9D9D9"/>
          </w:tcPr>
          <w:p w14:paraId="2528FC1E" w14:textId="77777777" w:rsidR="0036424B" w:rsidRPr="00BD050E" w:rsidRDefault="0036424B" w:rsidP="000B4C5A">
            <w:pPr>
              <w:tabs>
                <w:tab w:val="left" w:pos="1080"/>
              </w:tabs>
              <w:spacing w:after="0" w:line="276" w:lineRule="auto"/>
              <w:contextualSpacing/>
              <w:jc w:val="center"/>
              <w:rPr>
                <w:rFonts w:asciiTheme="majorHAnsi" w:hAnsiTheme="majorHAnsi" w:cstheme="majorHAnsi"/>
                <w:b/>
                <w:color w:val="000000" w:themeColor="text1"/>
                <w:sz w:val="24"/>
                <w:szCs w:val="24"/>
                <w:lang w:val="ro-RO"/>
              </w:rPr>
            </w:pPr>
            <w:r w:rsidRPr="00BD050E">
              <w:rPr>
                <w:rFonts w:asciiTheme="majorHAnsi" w:hAnsiTheme="majorHAnsi" w:cstheme="majorHAnsi"/>
                <w:b/>
                <w:color w:val="000000" w:themeColor="text1"/>
                <w:sz w:val="24"/>
                <w:szCs w:val="24"/>
                <w:lang w:val="ro-RO"/>
              </w:rPr>
              <w:t>Rezultat aferent debursărilor</w:t>
            </w:r>
          </w:p>
          <w:p w14:paraId="305CC51E" w14:textId="77777777" w:rsidR="0036424B" w:rsidRPr="00BD050E" w:rsidRDefault="0036424B" w:rsidP="000B4C5A">
            <w:pPr>
              <w:tabs>
                <w:tab w:val="left" w:pos="1080"/>
              </w:tabs>
              <w:spacing w:after="0" w:line="276" w:lineRule="auto"/>
              <w:contextualSpacing/>
              <w:jc w:val="center"/>
              <w:rPr>
                <w:rFonts w:asciiTheme="majorHAnsi" w:hAnsiTheme="majorHAnsi" w:cstheme="majorHAnsi"/>
                <w:color w:val="000000" w:themeColor="text1"/>
                <w:sz w:val="24"/>
                <w:szCs w:val="24"/>
                <w:lang w:val="ro-RO"/>
              </w:rPr>
            </w:pPr>
            <w:r w:rsidRPr="00BD050E">
              <w:rPr>
                <w:rFonts w:asciiTheme="majorHAnsi" w:hAnsiTheme="majorHAnsi" w:cstheme="majorHAnsi"/>
                <w:b/>
                <w:color w:val="000000" w:themeColor="text1"/>
                <w:sz w:val="24"/>
                <w:szCs w:val="24"/>
                <w:lang w:val="ro-RO"/>
              </w:rPr>
              <w:t>(după caz)</w:t>
            </w:r>
          </w:p>
        </w:tc>
        <w:tc>
          <w:tcPr>
            <w:tcW w:w="2882" w:type="dxa"/>
            <w:tcBorders>
              <w:top w:val="single" w:sz="6" w:space="0" w:color="000000"/>
              <w:left w:val="single" w:sz="6" w:space="0" w:color="000000"/>
              <w:bottom w:val="single" w:sz="6" w:space="0" w:color="000000"/>
              <w:right w:val="single" w:sz="6" w:space="0" w:color="000000"/>
            </w:tcBorders>
            <w:shd w:val="clear" w:color="auto" w:fill="D9D9D9"/>
          </w:tcPr>
          <w:p w14:paraId="7202EEE8" w14:textId="2F119C92" w:rsidR="0036424B" w:rsidRPr="00BD050E" w:rsidRDefault="0036424B" w:rsidP="000B4C5A">
            <w:pPr>
              <w:tabs>
                <w:tab w:val="left" w:pos="1080"/>
              </w:tabs>
              <w:spacing w:after="0" w:line="276" w:lineRule="auto"/>
              <w:contextualSpacing/>
              <w:jc w:val="center"/>
              <w:rPr>
                <w:rFonts w:asciiTheme="majorHAnsi" w:hAnsiTheme="majorHAnsi" w:cstheme="majorHAnsi"/>
                <w:color w:val="000000" w:themeColor="text1"/>
                <w:sz w:val="24"/>
                <w:szCs w:val="24"/>
                <w:lang w:val="ro-RO"/>
              </w:rPr>
            </w:pPr>
            <w:r w:rsidRPr="00BD050E">
              <w:rPr>
                <w:rFonts w:asciiTheme="majorHAnsi" w:hAnsiTheme="majorHAnsi" w:cstheme="majorHAnsi"/>
                <w:b/>
                <w:color w:val="000000" w:themeColor="text1"/>
                <w:sz w:val="24"/>
                <w:szCs w:val="24"/>
                <w:lang w:val="ro-RO"/>
              </w:rPr>
              <w:t xml:space="preserve">Suma din finanțarea </w:t>
            </w:r>
            <w:r w:rsidR="00E72A17" w:rsidRPr="00BD050E">
              <w:rPr>
                <w:rFonts w:asciiTheme="majorHAnsi" w:hAnsiTheme="majorHAnsi" w:cstheme="majorHAnsi"/>
                <w:b/>
                <w:color w:val="000000" w:themeColor="text1"/>
                <w:sz w:val="24"/>
                <w:szCs w:val="24"/>
                <w:lang w:val="ro-RO"/>
              </w:rPr>
              <w:t>P</w:t>
            </w:r>
            <w:r w:rsidRPr="00BD050E">
              <w:rPr>
                <w:rFonts w:asciiTheme="majorHAnsi" w:hAnsiTheme="majorHAnsi" w:cstheme="majorHAnsi"/>
                <w:b/>
                <w:color w:val="000000" w:themeColor="text1"/>
                <w:sz w:val="24"/>
                <w:szCs w:val="24"/>
                <w:lang w:val="ro-RO"/>
              </w:rPr>
              <w:t>rogramului alocată</w:t>
            </w:r>
          </w:p>
          <w:p w14:paraId="75942068" w14:textId="77777777" w:rsidR="0036424B" w:rsidRPr="00BD050E" w:rsidRDefault="0036424B" w:rsidP="000B4C5A">
            <w:pPr>
              <w:tabs>
                <w:tab w:val="left" w:pos="1080"/>
              </w:tabs>
              <w:spacing w:after="0" w:line="276" w:lineRule="auto"/>
              <w:contextualSpacing/>
              <w:jc w:val="center"/>
              <w:rPr>
                <w:rFonts w:asciiTheme="majorHAnsi" w:hAnsiTheme="majorHAnsi" w:cstheme="majorHAnsi"/>
                <w:color w:val="000000" w:themeColor="text1"/>
                <w:sz w:val="24"/>
                <w:szCs w:val="24"/>
                <w:lang w:val="ro-RO"/>
              </w:rPr>
            </w:pPr>
            <w:r w:rsidRPr="00BD050E">
              <w:rPr>
                <w:rFonts w:asciiTheme="majorHAnsi" w:hAnsiTheme="majorHAnsi" w:cstheme="majorHAnsi"/>
                <w:b/>
                <w:color w:val="000000" w:themeColor="text1"/>
                <w:sz w:val="24"/>
                <w:szCs w:val="24"/>
                <w:lang w:val="ro-RO"/>
              </w:rPr>
              <w:t>(exprimată în DST)</w:t>
            </w:r>
          </w:p>
        </w:tc>
      </w:tr>
      <w:tr w:rsidR="00814F8E" w:rsidRPr="00BD050E" w14:paraId="11512F7A" w14:textId="77777777" w:rsidTr="000B4C5A">
        <w:trPr>
          <w:trHeight w:val="1714"/>
        </w:trPr>
        <w:tc>
          <w:tcPr>
            <w:tcW w:w="2430" w:type="dxa"/>
            <w:tcBorders>
              <w:top w:val="single" w:sz="6" w:space="0" w:color="000000"/>
              <w:left w:val="single" w:sz="6" w:space="0" w:color="000000"/>
              <w:bottom w:val="single" w:sz="6" w:space="0" w:color="000000"/>
              <w:right w:val="single" w:sz="6" w:space="0" w:color="000000"/>
            </w:tcBorders>
          </w:tcPr>
          <w:p w14:paraId="3D32F23B" w14:textId="62023CAF"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(1)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1:  Toate țigările importate și produse local, comercializate pe piață, sunt în conformitate cu reglementarea privind etichetarea produselor de tutun  </w:t>
            </w:r>
          </w:p>
        </w:tc>
        <w:tc>
          <w:tcPr>
            <w:tcW w:w="4120" w:type="dxa"/>
            <w:tcBorders>
              <w:top w:val="single" w:sz="6" w:space="0" w:color="000000"/>
              <w:left w:val="single" w:sz="6" w:space="0" w:color="000000"/>
              <w:bottom w:val="single" w:sz="6" w:space="0" w:color="000000"/>
              <w:right w:val="single" w:sz="6" w:space="0" w:color="000000"/>
            </w:tcBorders>
          </w:tcPr>
          <w:p w14:paraId="6683833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1.1: Începând cu 2018, toate țigările importate și produse local, comercializate pe piață, sunt în conformitate cu reglementarea privind etichetarea </w:t>
            </w:r>
          </w:p>
          <w:p w14:paraId="5E4DE79D"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produselor de tutun  </w:t>
            </w:r>
          </w:p>
          <w:p w14:paraId="6DBB5DE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480F62E1"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DLR 1.1: 323.500</w:t>
            </w:r>
          </w:p>
        </w:tc>
      </w:tr>
      <w:tr w:rsidR="00814F8E" w:rsidRPr="00BD050E" w14:paraId="5BC19FFE" w14:textId="77777777" w:rsidTr="000B4C5A">
        <w:trPr>
          <w:trHeight w:val="3600"/>
        </w:trPr>
        <w:tc>
          <w:tcPr>
            <w:tcW w:w="2430" w:type="dxa"/>
            <w:tcBorders>
              <w:top w:val="single" w:sz="6" w:space="0" w:color="000000"/>
              <w:left w:val="single" w:sz="6" w:space="0" w:color="000000"/>
              <w:bottom w:val="single" w:sz="6" w:space="0" w:color="000000"/>
              <w:right w:val="single" w:sz="6" w:space="0" w:color="000000"/>
            </w:tcBorders>
          </w:tcPr>
          <w:p w14:paraId="729717B6" w14:textId="24A1CA14"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(2)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2:  </w:t>
            </w:r>
          </w:p>
          <w:p w14:paraId="29758A6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Creșterea numărului de persoane cu boli cardiovasculare (BCV) care beneficiază de medicamente compensate pentru tratamentul BCV  </w:t>
            </w:r>
          </w:p>
        </w:tc>
        <w:tc>
          <w:tcPr>
            <w:tcW w:w="4120" w:type="dxa"/>
            <w:tcBorders>
              <w:top w:val="single" w:sz="6" w:space="0" w:color="000000"/>
              <w:left w:val="single" w:sz="6" w:space="0" w:color="000000"/>
              <w:bottom w:val="single" w:sz="6" w:space="0" w:color="000000"/>
              <w:right w:val="single" w:sz="6" w:space="0" w:color="000000"/>
            </w:tcBorders>
          </w:tcPr>
          <w:p w14:paraId="1D4B001D"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2.1: Creșterea numărului de persoane cu boli cardiovasculare (BCV) care beneficiază de medicamente compensate pentru tratamentul BCV cu 5 procente față de valorile de referință  </w:t>
            </w:r>
          </w:p>
          <w:p w14:paraId="61500D9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5725FE0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2.2:  Creșterea numărului de persoane cu BCV care beneficiază de medicamente compensate pentru tratamentul BCV cu 10 procente față de valorile de referință </w:t>
            </w:r>
          </w:p>
          <w:p w14:paraId="678FE1E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15DB63E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2.1: 1.294.000  </w:t>
            </w:r>
          </w:p>
          <w:p w14:paraId="1C94FCE6"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1AB6C4D2"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70A967C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DLR#2.2: 1.617.500  </w:t>
            </w:r>
          </w:p>
          <w:p w14:paraId="2DFF460A"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352EB424" w14:textId="188A5CFD"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În cadrul acestui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vor fi alocate 29.115 pentru fiecare creștere de 0,1 procente de la valoarea de referință, până la o valoare maximă de 2.911.500. </w:t>
            </w:r>
          </w:p>
        </w:tc>
      </w:tr>
      <w:tr w:rsidR="00814F8E" w:rsidRPr="00BD050E" w14:paraId="2A18C161" w14:textId="77777777" w:rsidTr="000B4C5A">
        <w:trPr>
          <w:trHeight w:val="3616"/>
        </w:trPr>
        <w:tc>
          <w:tcPr>
            <w:tcW w:w="2430" w:type="dxa"/>
            <w:tcBorders>
              <w:top w:val="single" w:sz="6" w:space="0" w:color="000000"/>
              <w:left w:val="single" w:sz="6" w:space="0" w:color="000000"/>
              <w:bottom w:val="single" w:sz="6" w:space="0" w:color="000000"/>
              <w:right w:val="single" w:sz="6" w:space="0" w:color="000000"/>
            </w:tcBorders>
          </w:tcPr>
          <w:p w14:paraId="2E23C817" w14:textId="6A09ACE5"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(3)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3 </w:t>
            </w:r>
          </w:p>
          <w:p w14:paraId="2DBFD4A7"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Numărul de internări anuale în spitalele de îngrijire acută la 100 persoane, pornind de la o valoare de referință de </w:t>
            </w:r>
          </w:p>
          <w:p w14:paraId="334DCA4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17,6  </w:t>
            </w:r>
          </w:p>
        </w:tc>
        <w:tc>
          <w:tcPr>
            <w:tcW w:w="4120" w:type="dxa"/>
            <w:tcBorders>
              <w:top w:val="single" w:sz="6" w:space="0" w:color="000000"/>
              <w:left w:val="single" w:sz="6" w:space="0" w:color="000000"/>
              <w:bottom w:val="single" w:sz="6" w:space="0" w:color="000000"/>
              <w:right w:val="single" w:sz="6" w:space="0" w:color="000000"/>
            </w:tcBorders>
          </w:tcPr>
          <w:p w14:paraId="4A560E2A"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3.1: 17 în Anul 1 </w:t>
            </w:r>
          </w:p>
          <w:p w14:paraId="626A2B36"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3.2: 16,5 în Anul 2 </w:t>
            </w:r>
          </w:p>
          <w:p w14:paraId="1E089B2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3.3: 16 în Anul 3  </w:t>
            </w:r>
          </w:p>
          <w:p w14:paraId="4B35B7AF"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3.4: 15,6 în Anul 4 </w:t>
            </w:r>
          </w:p>
          <w:p w14:paraId="66D4801A"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014342E3"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3.1:  582.000  </w:t>
            </w:r>
          </w:p>
          <w:p w14:paraId="0C699EFD"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3.2: 485.500  </w:t>
            </w:r>
          </w:p>
          <w:p w14:paraId="4B04FCF1"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3.3: 485.500 </w:t>
            </w:r>
          </w:p>
          <w:p w14:paraId="19689543"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3.4: 388.000  </w:t>
            </w:r>
          </w:p>
          <w:p w14:paraId="5C32F61E" w14:textId="2397098B"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În cadrul acestui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vor fi alocate 97.050 pentru fiecare reducere de 0,1 a numărului internărilor anuale în spitalele de îngrijire acută la 100 persoane, comparativ cu anul precedent, până la o valoare maximă de 1.941.000. </w:t>
            </w:r>
          </w:p>
        </w:tc>
      </w:tr>
      <w:tr w:rsidR="00814F8E" w:rsidRPr="00BD050E" w14:paraId="3F820EB8" w14:textId="77777777" w:rsidTr="000B4C5A">
        <w:trPr>
          <w:trHeight w:val="3136"/>
        </w:trPr>
        <w:tc>
          <w:tcPr>
            <w:tcW w:w="2430" w:type="dxa"/>
            <w:tcBorders>
              <w:top w:val="single" w:sz="6" w:space="0" w:color="000000"/>
              <w:left w:val="single" w:sz="6" w:space="0" w:color="000000"/>
              <w:bottom w:val="single" w:sz="6" w:space="0" w:color="000000"/>
              <w:right w:val="single" w:sz="6" w:space="0" w:color="000000"/>
            </w:tcBorders>
          </w:tcPr>
          <w:p w14:paraId="12BF6FF9" w14:textId="1B496DFA"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lastRenderedPageBreak/>
              <w:t xml:space="preserve">(4)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4 </w:t>
            </w:r>
          </w:p>
          <w:p w14:paraId="55374CB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Numărul de paturi în spitale de îngrijire acută, pornind de la o valoare de referință de 17.586  </w:t>
            </w:r>
          </w:p>
        </w:tc>
        <w:tc>
          <w:tcPr>
            <w:tcW w:w="4120" w:type="dxa"/>
            <w:tcBorders>
              <w:top w:val="single" w:sz="6" w:space="0" w:color="000000"/>
              <w:left w:val="single" w:sz="6" w:space="0" w:color="000000"/>
              <w:bottom w:val="single" w:sz="6" w:space="0" w:color="000000"/>
              <w:right w:val="single" w:sz="6" w:space="0" w:color="000000"/>
            </w:tcBorders>
          </w:tcPr>
          <w:p w14:paraId="4587F216" w14:textId="77777777" w:rsidR="0036424B" w:rsidRPr="00BD050E" w:rsidRDefault="0036424B" w:rsidP="000B4C5A">
            <w:pPr>
              <w:pStyle w:val="tt"/>
              <w:jc w:val="left"/>
              <w:rPr>
                <w:rFonts w:asciiTheme="majorHAnsi" w:hAnsiTheme="majorHAnsi" w:cstheme="majorHAnsi"/>
                <w:b w:val="0"/>
                <w:color w:val="000000" w:themeColor="text1"/>
                <w:lang w:val="ro-RO"/>
              </w:rPr>
            </w:pPr>
            <w:r w:rsidRPr="00BD050E">
              <w:rPr>
                <w:rFonts w:asciiTheme="majorHAnsi" w:hAnsiTheme="majorHAnsi" w:cstheme="majorHAnsi"/>
                <w:b w:val="0"/>
                <w:color w:val="000000" w:themeColor="text1"/>
                <w:lang w:val="ro-RO"/>
              </w:rPr>
              <w:t xml:space="preserve">DLR 4.1: 17.000 în Anul 1                                          DLR 4.2: 16.500 în Anul 2 </w:t>
            </w:r>
          </w:p>
          <w:p w14:paraId="0B5F0066" w14:textId="77777777" w:rsidR="0036424B" w:rsidRPr="00BD050E" w:rsidRDefault="0036424B" w:rsidP="000B4C5A">
            <w:pPr>
              <w:pStyle w:val="tt"/>
              <w:jc w:val="left"/>
              <w:rPr>
                <w:rFonts w:asciiTheme="majorHAnsi" w:hAnsiTheme="majorHAnsi" w:cstheme="majorHAnsi"/>
                <w:b w:val="0"/>
                <w:color w:val="000000" w:themeColor="text1"/>
                <w:lang w:val="ro-RO"/>
              </w:rPr>
            </w:pPr>
            <w:r w:rsidRPr="00BD050E">
              <w:rPr>
                <w:rFonts w:asciiTheme="majorHAnsi" w:hAnsiTheme="majorHAnsi" w:cstheme="majorHAnsi"/>
                <w:b w:val="0"/>
                <w:color w:val="000000" w:themeColor="text1"/>
                <w:lang w:val="ro-RO"/>
              </w:rPr>
              <w:t xml:space="preserve">DLR 4.3: 16.000 în Anul 3                                DLR 4.4: 15.000 în Anul 4 </w:t>
            </w:r>
          </w:p>
          <w:p w14:paraId="569F0AB1"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2E6A06A3"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4.1: 689.000 </w:t>
            </w:r>
          </w:p>
          <w:p w14:paraId="348D68F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4.2: 588.000  </w:t>
            </w:r>
          </w:p>
          <w:p w14:paraId="3001A09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4.3: 588.000 </w:t>
            </w:r>
          </w:p>
          <w:p w14:paraId="497A327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4.4: 1.176.000 </w:t>
            </w:r>
          </w:p>
          <w:p w14:paraId="6FEF043A" w14:textId="50303A10"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În cadrul acestui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vor fi alocate 1.200 pentru fiecare reducere de un pat de spital de îngrijire acută, comparativ cu anul precedent, până la o valoare maximă de 3.041.000. </w:t>
            </w:r>
          </w:p>
        </w:tc>
      </w:tr>
      <w:tr w:rsidR="00814F8E" w:rsidRPr="00BD050E" w14:paraId="232EC3E3" w14:textId="77777777" w:rsidTr="000B4C5A">
        <w:trPr>
          <w:trHeight w:val="976"/>
        </w:trPr>
        <w:tc>
          <w:tcPr>
            <w:tcW w:w="2430" w:type="dxa"/>
            <w:tcBorders>
              <w:top w:val="single" w:sz="6" w:space="0" w:color="000000"/>
              <w:left w:val="single" w:sz="6" w:space="0" w:color="000000"/>
              <w:bottom w:val="single" w:sz="6" w:space="0" w:color="000000"/>
              <w:right w:val="single" w:sz="6" w:space="0" w:color="000000"/>
            </w:tcBorders>
          </w:tcPr>
          <w:p w14:paraId="7B7B872D" w14:textId="71F2FB6E"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(5)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5 </w:t>
            </w:r>
          </w:p>
          <w:p w14:paraId="4CFDBD7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Aprobarea revizuirii pachetului de beneficii de ambulatoriu în ceea ce privește medicamentele anti-hipertensive   </w:t>
            </w:r>
          </w:p>
        </w:tc>
        <w:tc>
          <w:tcPr>
            <w:tcW w:w="4120" w:type="dxa"/>
            <w:tcBorders>
              <w:top w:val="single" w:sz="6" w:space="0" w:color="000000"/>
              <w:left w:val="single" w:sz="6" w:space="0" w:color="000000"/>
              <w:bottom w:val="single" w:sz="6" w:space="0" w:color="000000"/>
              <w:right w:val="single" w:sz="6" w:space="0" w:color="000000"/>
            </w:tcBorders>
          </w:tcPr>
          <w:p w14:paraId="3D5B2CD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5.1: Emiterea unui ordin comun al MSMPS și CNAM privind adoptarea </w:t>
            </w:r>
          </w:p>
          <w:p w14:paraId="6DD50CE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revizuirii pachetului de beneficii, în care rata medie de rambursare a medicamentelor generice, de primă linie din cele trei categorii principale de medicamente anti-hipertensive este de cel puțin 70%  </w:t>
            </w:r>
          </w:p>
        </w:tc>
        <w:tc>
          <w:tcPr>
            <w:tcW w:w="2882" w:type="dxa"/>
            <w:tcBorders>
              <w:top w:val="single" w:sz="6" w:space="0" w:color="000000"/>
              <w:left w:val="single" w:sz="6" w:space="0" w:color="000000"/>
              <w:bottom w:val="single" w:sz="6" w:space="0" w:color="000000"/>
              <w:right w:val="single" w:sz="6" w:space="0" w:color="000000"/>
            </w:tcBorders>
          </w:tcPr>
          <w:p w14:paraId="215DB67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5.1: 1.294.000 </w:t>
            </w:r>
          </w:p>
        </w:tc>
      </w:tr>
      <w:tr w:rsidR="00814F8E" w:rsidRPr="00BD050E" w14:paraId="40290EF6" w14:textId="77777777" w:rsidTr="000B4C5A">
        <w:trPr>
          <w:trHeight w:val="4864"/>
        </w:trPr>
        <w:tc>
          <w:tcPr>
            <w:tcW w:w="2430" w:type="dxa"/>
            <w:tcBorders>
              <w:top w:val="single" w:sz="6" w:space="0" w:color="000000"/>
              <w:left w:val="single" w:sz="6" w:space="0" w:color="000000"/>
              <w:bottom w:val="single" w:sz="6" w:space="0" w:color="000000"/>
              <w:right w:val="single" w:sz="6" w:space="0" w:color="000000"/>
            </w:tcBorders>
          </w:tcPr>
          <w:p w14:paraId="541D9336" w14:textId="6868A942"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(6)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6 </w:t>
            </w:r>
          </w:p>
          <w:p w14:paraId="0DA55DDB" w14:textId="51B0586B"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Revizuirea și punerea în aplicare a </w:t>
            </w:r>
            <w:r w:rsidR="0078350E" w:rsidRPr="00BD050E">
              <w:rPr>
                <w:rFonts w:asciiTheme="majorHAnsi" w:hAnsiTheme="majorHAnsi" w:cstheme="majorHAnsi"/>
                <w:color w:val="000000" w:themeColor="text1"/>
                <w:sz w:val="24"/>
                <w:szCs w:val="24"/>
                <w:lang w:val="ro-RO"/>
              </w:rPr>
              <w:t>S</w:t>
            </w:r>
            <w:r w:rsidRPr="00BD050E">
              <w:rPr>
                <w:rFonts w:asciiTheme="majorHAnsi" w:hAnsiTheme="majorHAnsi" w:cstheme="majorHAnsi"/>
                <w:color w:val="000000" w:themeColor="text1"/>
                <w:sz w:val="24"/>
                <w:szCs w:val="24"/>
                <w:lang w:val="ro-RO"/>
              </w:rPr>
              <w:t xml:space="preserve">chemei de stimulare bazate pe performanță în asistența medicală primară   </w:t>
            </w:r>
          </w:p>
        </w:tc>
        <w:tc>
          <w:tcPr>
            <w:tcW w:w="4120" w:type="dxa"/>
            <w:tcBorders>
              <w:top w:val="single" w:sz="6" w:space="0" w:color="000000"/>
              <w:left w:val="single" w:sz="6" w:space="0" w:color="000000"/>
              <w:bottom w:val="single" w:sz="6" w:space="0" w:color="000000"/>
              <w:right w:val="single" w:sz="6" w:space="0" w:color="000000"/>
            </w:tcBorders>
          </w:tcPr>
          <w:p w14:paraId="1C0E48DE" w14:textId="753CE75F"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6.1: Revizuirea și punerea în aplicare a </w:t>
            </w:r>
            <w:r w:rsidR="0078350E" w:rsidRPr="00BD050E">
              <w:rPr>
                <w:rFonts w:asciiTheme="majorHAnsi" w:hAnsiTheme="majorHAnsi" w:cstheme="majorHAnsi"/>
                <w:color w:val="000000" w:themeColor="text1"/>
                <w:sz w:val="24"/>
                <w:szCs w:val="24"/>
                <w:lang w:val="ro-RO"/>
              </w:rPr>
              <w:t>S</w:t>
            </w:r>
            <w:r w:rsidRPr="00BD050E">
              <w:rPr>
                <w:rFonts w:asciiTheme="majorHAnsi" w:hAnsiTheme="majorHAnsi" w:cstheme="majorHAnsi"/>
                <w:color w:val="000000" w:themeColor="text1"/>
                <w:sz w:val="24"/>
                <w:szCs w:val="24"/>
                <w:lang w:val="ro-RO"/>
              </w:rPr>
              <w:t xml:space="preserve">chemei de stimulare bazate pe performanță în asistența medicală primară într-o manieră acceptabilă pentru Asociație  </w:t>
            </w:r>
          </w:p>
          <w:p w14:paraId="6B0E29DD"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6.2: Toate centrele de asistență medicală primară contractate de CNAM pe teritoriul Beneficiarului au semnat un acord cu CNAM de implementare a </w:t>
            </w:r>
          </w:p>
          <w:p w14:paraId="1968EC7D"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Schemei de stimulare bazate pe performanță în Anul 2  </w:t>
            </w:r>
          </w:p>
          <w:p w14:paraId="69452BC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6.3: Revizuirea schemei de stimulente și a indicatorilor de performanță pentru medicina de familie  </w:t>
            </w:r>
          </w:p>
          <w:p w14:paraId="1DAD9696"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6.4: Implementarea contractelor revizuite cu furnizorii de asistență medicală primară  </w:t>
            </w:r>
          </w:p>
        </w:tc>
        <w:tc>
          <w:tcPr>
            <w:tcW w:w="2882" w:type="dxa"/>
            <w:tcBorders>
              <w:top w:val="single" w:sz="6" w:space="0" w:color="000000"/>
              <w:left w:val="single" w:sz="6" w:space="0" w:color="000000"/>
              <w:bottom w:val="single" w:sz="6" w:space="0" w:color="000000"/>
              <w:right w:val="single" w:sz="6" w:space="0" w:color="000000"/>
            </w:tcBorders>
          </w:tcPr>
          <w:p w14:paraId="2776C6C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6.1: 323.500 </w:t>
            </w:r>
          </w:p>
          <w:p w14:paraId="12B52C7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4B77BF73"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4BF88009"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1754AA4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2614DA1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6.2: 323.500 </w:t>
            </w:r>
          </w:p>
          <w:p w14:paraId="09000AC3"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61A9A33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43E78704"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24337EF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669AB3C1"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57EECDC6"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6.3: 323.500 </w:t>
            </w:r>
          </w:p>
          <w:p w14:paraId="7F591CE3"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18B62941"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1F594E99"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6.4: 323.500 </w:t>
            </w:r>
          </w:p>
        </w:tc>
      </w:tr>
      <w:tr w:rsidR="00814F8E" w:rsidRPr="00BD050E" w14:paraId="549C594F" w14:textId="77777777" w:rsidTr="000B4C5A">
        <w:trPr>
          <w:trHeight w:val="2112"/>
        </w:trPr>
        <w:tc>
          <w:tcPr>
            <w:tcW w:w="2430" w:type="dxa"/>
            <w:tcBorders>
              <w:top w:val="single" w:sz="6" w:space="0" w:color="000000"/>
              <w:left w:val="single" w:sz="6" w:space="0" w:color="000000"/>
              <w:bottom w:val="single" w:sz="6" w:space="0" w:color="000000"/>
              <w:right w:val="single" w:sz="6" w:space="0" w:color="000000"/>
            </w:tcBorders>
          </w:tcPr>
          <w:p w14:paraId="022FC2DF" w14:textId="4F7D79D0"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(7)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7 </w:t>
            </w:r>
          </w:p>
          <w:p w14:paraId="7D538DC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Conceperea și pilotarea stimulentelor bazate pe performanță pentru toate spitalele </w:t>
            </w:r>
          </w:p>
          <w:p w14:paraId="0972B79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c>
          <w:tcPr>
            <w:tcW w:w="4120" w:type="dxa"/>
            <w:tcBorders>
              <w:top w:val="single" w:sz="6" w:space="0" w:color="000000"/>
              <w:left w:val="single" w:sz="6" w:space="0" w:color="000000"/>
              <w:bottom w:val="single" w:sz="6" w:space="0" w:color="000000"/>
              <w:right w:val="single" w:sz="6" w:space="0" w:color="000000"/>
            </w:tcBorders>
          </w:tcPr>
          <w:p w14:paraId="10F980A9"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7.1: Conceperea schemei de stimulente pentru spitale </w:t>
            </w:r>
          </w:p>
          <w:p w14:paraId="4EC98958" w14:textId="59BEF5E2"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7.2:  Revizuirea schemei </w:t>
            </w:r>
            <w:r w:rsidR="00FF3C75" w:rsidRPr="00BD050E">
              <w:rPr>
                <w:rFonts w:asciiTheme="majorHAnsi" w:hAnsiTheme="majorHAnsi" w:cstheme="majorHAnsi"/>
                <w:color w:val="000000" w:themeColor="text1"/>
                <w:sz w:val="24"/>
                <w:szCs w:val="24"/>
                <w:lang w:val="ro-RO"/>
              </w:rPr>
              <w:t xml:space="preserve">de </w:t>
            </w:r>
            <w:r w:rsidRPr="00BD050E">
              <w:rPr>
                <w:rFonts w:asciiTheme="majorHAnsi" w:hAnsiTheme="majorHAnsi" w:cstheme="majorHAnsi"/>
                <w:color w:val="000000" w:themeColor="text1"/>
                <w:sz w:val="24"/>
                <w:szCs w:val="24"/>
                <w:lang w:val="ro-RO"/>
              </w:rPr>
              <w:t xml:space="preserve">plată pentru performanță </w:t>
            </w:r>
          </w:p>
          <w:p w14:paraId="24A6C66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7.3:  Pilotarea metodologiei revizuite în cel puțin 7 spitale </w:t>
            </w:r>
          </w:p>
        </w:tc>
        <w:tc>
          <w:tcPr>
            <w:tcW w:w="2882" w:type="dxa"/>
            <w:tcBorders>
              <w:top w:val="single" w:sz="6" w:space="0" w:color="000000"/>
              <w:left w:val="single" w:sz="6" w:space="0" w:color="000000"/>
              <w:bottom w:val="single" w:sz="6" w:space="0" w:color="000000"/>
              <w:right w:val="single" w:sz="6" w:space="0" w:color="000000"/>
            </w:tcBorders>
          </w:tcPr>
          <w:p w14:paraId="2D16BB5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7.1: 323.500 </w:t>
            </w:r>
          </w:p>
          <w:p w14:paraId="5C1E6CA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163AE6F0"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7.2: 485.250 </w:t>
            </w:r>
          </w:p>
          <w:p w14:paraId="6CBA355D"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3E9E291F"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7.3: 485.250 </w:t>
            </w:r>
          </w:p>
        </w:tc>
      </w:tr>
      <w:tr w:rsidR="00814F8E" w:rsidRPr="00BD050E" w14:paraId="0954D837" w14:textId="77777777" w:rsidTr="000B4C5A">
        <w:trPr>
          <w:trHeight w:val="4576"/>
        </w:trPr>
        <w:tc>
          <w:tcPr>
            <w:tcW w:w="2430" w:type="dxa"/>
            <w:tcBorders>
              <w:top w:val="single" w:sz="6" w:space="0" w:color="000000"/>
              <w:left w:val="single" w:sz="6" w:space="0" w:color="000000"/>
              <w:bottom w:val="single" w:sz="6" w:space="0" w:color="000000"/>
              <w:right w:val="single" w:sz="6" w:space="0" w:color="000000"/>
            </w:tcBorders>
          </w:tcPr>
          <w:p w14:paraId="0D1B1DBE" w14:textId="7B06898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lastRenderedPageBreak/>
              <w:t xml:space="preserve">(8)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8 </w:t>
            </w:r>
          </w:p>
          <w:p w14:paraId="6450C708" w14:textId="23E0AC8C"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Punerea în aplicare și actualizarea prețurilor GOB pentru plățile către spitale</w:t>
            </w:r>
            <w:r w:rsidR="00FF3C75" w:rsidRPr="00BD050E">
              <w:rPr>
                <w:rFonts w:asciiTheme="majorHAnsi" w:hAnsiTheme="majorHAnsi" w:cstheme="majorHAnsi"/>
                <w:color w:val="000000" w:themeColor="text1"/>
                <w:sz w:val="24"/>
                <w:szCs w:val="24"/>
                <w:lang w:val="ro-RO"/>
              </w:rPr>
              <w:t>le</w:t>
            </w:r>
            <w:r w:rsidRPr="00BD050E">
              <w:rPr>
                <w:rFonts w:asciiTheme="majorHAnsi" w:hAnsiTheme="majorHAnsi" w:cstheme="majorHAnsi"/>
                <w:color w:val="000000" w:themeColor="text1"/>
                <w:sz w:val="24"/>
                <w:szCs w:val="24"/>
                <w:lang w:val="ro-RO"/>
              </w:rPr>
              <w:t xml:space="preserve"> publice de îngrijiri </w:t>
            </w:r>
          </w:p>
          <w:p w14:paraId="09F062EA"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acute  </w:t>
            </w:r>
          </w:p>
        </w:tc>
        <w:tc>
          <w:tcPr>
            <w:tcW w:w="4120" w:type="dxa"/>
            <w:tcBorders>
              <w:top w:val="single" w:sz="6" w:space="0" w:color="000000"/>
              <w:left w:val="single" w:sz="6" w:space="0" w:color="000000"/>
              <w:bottom w:val="single" w:sz="6" w:space="0" w:color="000000"/>
              <w:right w:val="single" w:sz="6" w:space="0" w:color="000000"/>
            </w:tcBorders>
          </w:tcPr>
          <w:p w14:paraId="660F58C9"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8.1: Prețurile GOB reprezintă cel puțin 40% din plata totală efectuată de către CNAM spitalelor publice de îngrijire acută în Anul 1 </w:t>
            </w:r>
          </w:p>
          <w:p w14:paraId="75CE168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8.2: Prețurile GOB reprezintă cel puțin 50% din plata totală efectuată de către CNAM spitalelor publice de îngrijire acută în Anul 2 </w:t>
            </w:r>
          </w:p>
          <w:p w14:paraId="7E43D88A"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8.3: Prețurile GOB reprezintă cel puțin 60% din plata totală efectuată de către CNAM spitalelor publice de îngrijire acută în Anul 3 </w:t>
            </w:r>
          </w:p>
          <w:p w14:paraId="0BD724B1" w14:textId="5C7864AD"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DLR 8.4: Pregătirea unui raport actualizat de calculare a costurilor prețurilor GOB</w:t>
            </w:r>
            <w:r w:rsidR="00FF3C75" w:rsidRPr="00BD050E">
              <w:rPr>
                <w:rFonts w:asciiTheme="majorHAnsi" w:hAnsiTheme="majorHAnsi" w:cstheme="majorHAnsi"/>
                <w:color w:val="000000" w:themeColor="text1"/>
                <w:sz w:val="24"/>
                <w:szCs w:val="24"/>
                <w:lang w:val="ro-RO"/>
              </w:rPr>
              <w:t xml:space="preserve">, </w:t>
            </w:r>
            <w:r w:rsidRPr="00BD050E">
              <w:rPr>
                <w:rFonts w:asciiTheme="majorHAnsi" w:hAnsiTheme="majorHAnsi" w:cstheme="majorHAnsi"/>
                <w:color w:val="000000" w:themeColor="text1"/>
                <w:sz w:val="24"/>
                <w:szCs w:val="24"/>
                <w:lang w:val="ro-RO"/>
              </w:rPr>
              <w:t xml:space="preserve"> cu utilizarea datelor din țară pentru plățile efectuate către spitale în Anul 4 </w:t>
            </w:r>
          </w:p>
        </w:tc>
        <w:tc>
          <w:tcPr>
            <w:tcW w:w="2882" w:type="dxa"/>
            <w:tcBorders>
              <w:top w:val="single" w:sz="6" w:space="0" w:color="000000"/>
              <w:left w:val="single" w:sz="6" w:space="0" w:color="000000"/>
              <w:bottom w:val="single" w:sz="6" w:space="0" w:color="000000"/>
              <w:right w:val="single" w:sz="6" w:space="0" w:color="000000"/>
            </w:tcBorders>
          </w:tcPr>
          <w:p w14:paraId="57A745D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8.1: 323.500 </w:t>
            </w:r>
          </w:p>
          <w:p w14:paraId="472EEAA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6DEDB0B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52A102F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05FCB234"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8.2: 323.500 </w:t>
            </w:r>
          </w:p>
          <w:p w14:paraId="4A4D25E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0CB39417"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6044FE49"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51DC1EB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8.3: 323.500 </w:t>
            </w:r>
          </w:p>
          <w:p w14:paraId="04945244"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4924BC1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2151945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51B434A7"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8.4: 323.500 </w:t>
            </w:r>
          </w:p>
        </w:tc>
      </w:tr>
      <w:tr w:rsidR="00814F8E" w:rsidRPr="00BD050E" w14:paraId="76A310D8" w14:textId="77777777" w:rsidTr="000B4C5A">
        <w:trPr>
          <w:trHeight w:val="1170"/>
        </w:trPr>
        <w:tc>
          <w:tcPr>
            <w:tcW w:w="2430" w:type="dxa"/>
            <w:tcBorders>
              <w:top w:val="single" w:sz="6" w:space="0" w:color="000000"/>
              <w:left w:val="single" w:sz="6" w:space="0" w:color="000000"/>
              <w:bottom w:val="single" w:sz="6" w:space="0" w:color="000000"/>
              <w:right w:val="single" w:sz="6" w:space="0" w:color="000000"/>
            </w:tcBorders>
          </w:tcPr>
          <w:p w14:paraId="16F77EE3" w14:textId="68151479"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(9)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9 </w:t>
            </w:r>
          </w:p>
          <w:p w14:paraId="2FCB9A31" w14:textId="3C8513EF"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Consolidarea spitalelor departamentale aflate </w:t>
            </w:r>
            <w:r w:rsidR="00FF3C75"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administrarea MSMPS </w:t>
            </w:r>
          </w:p>
        </w:tc>
        <w:tc>
          <w:tcPr>
            <w:tcW w:w="4120" w:type="dxa"/>
            <w:tcBorders>
              <w:top w:val="single" w:sz="6" w:space="0" w:color="000000"/>
              <w:left w:val="single" w:sz="6" w:space="0" w:color="000000"/>
              <w:bottom w:val="single" w:sz="6" w:space="0" w:color="000000"/>
              <w:right w:val="single" w:sz="6" w:space="0" w:color="000000"/>
            </w:tcBorders>
          </w:tcPr>
          <w:p w14:paraId="30E7077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9.1: Trei spitale publice din </w:t>
            </w:r>
          </w:p>
          <w:p w14:paraId="2A164CE1" w14:textId="585A8B5E"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Chișinău se află </w:t>
            </w:r>
            <w:r w:rsidR="00FF3C75"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administrare comună </w:t>
            </w:r>
          </w:p>
          <w:p w14:paraId="349015C0"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169F4191"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9.1: 517.500 </w:t>
            </w:r>
          </w:p>
        </w:tc>
      </w:tr>
      <w:tr w:rsidR="00814F8E" w:rsidRPr="00BD050E" w14:paraId="674D48C4" w14:textId="77777777" w:rsidTr="000B4C5A">
        <w:trPr>
          <w:trHeight w:val="1872"/>
        </w:trPr>
        <w:tc>
          <w:tcPr>
            <w:tcW w:w="2430" w:type="dxa"/>
            <w:tcBorders>
              <w:top w:val="single" w:sz="6" w:space="0" w:color="000000"/>
              <w:left w:val="single" w:sz="6" w:space="0" w:color="000000"/>
              <w:bottom w:val="single" w:sz="6" w:space="0" w:color="000000"/>
              <w:right w:val="single" w:sz="6" w:space="0" w:color="000000"/>
            </w:tcBorders>
          </w:tcPr>
          <w:p w14:paraId="68CA1F02" w14:textId="28DF2190"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(10)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10 </w:t>
            </w:r>
          </w:p>
          <w:p w14:paraId="2D148956"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Aprobarea Strategiei naționale de dezvoltare a sistemului de sănătate revizuite, care include măsuri de raționalizare </w:t>
            </w:r>
          </w:p>
          <w:p w14:paraId="07E57A84"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spitalicească  </w:t>
            </w:r>
          </w:p>
        </w:tc>
        <w:tc>
          <w:tcPr>
            <w:tcW w:w="4120" w:type="dxa"/>
            <w:tcBorders>
              <w:top w:val="single" w:sz="6" w:space="0" w:color="000000"/>
              <w:left w:val="single" w:sz="6" w:space="0" w:color="000000"/>
              <w:bottom w:val="single" w:sz="6" w:space="0" w:color="000000"/>
              <w:right w:val="single" w:sz="6" w:space="0" w:color="000000"/>
            </w:tcBorders>
          </w:tcPr>
          <w:p w14:paraId="0999DE5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10: Aprobarea Strategiei naționale de dezvoltare a sistemului de sănătate revizuite, care include măsuri de raționalizare spitalicească  </w:t>
            </w:r>
          </w:p>
        </w:tc>
        <w:tc>
          <w:tcPr>
            <w:tcW w:w="2882" w:type="dxa"/>
            <w:tcBorders>
              <w:top w:val="single" w:sz="6" w:space="0" w:color="000000"/>
              <w:left w:val="single" w:sz="6" w:space="0" w:color="000000"/>
              <w:bottom w:val="single" w:sz="6" w:space="0" w:color="000000"/>
              <w:right w:val="single" w:sz="6" w:space="0" w:color="000000"/>
            </w:tcBorders>
          </w:tcPr>
          <w:p w14:paraId="6EF46967"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10: 678.000 </w:t>
            </w:r>
          </w:p>
          <w:p w14:paraId="317C898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11B4FCA7"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r>
      <w:tr w:rsidR="00814F8E" w:rsidRPr="00BD050E" w14:paraId="234B99B2" w14:textId="77777777" w:rsidTr="000B4C5A">
        <w:trPr>
          <w:trHeight w:val="1353"/>
        </w:trPr>
        <w:tc>
          <w:tcPr>
            <w:tcW w:w="2430" w:type="dxa"/>
            <w:tcBorders>
              <w:top w:val="single" w:sz="6" w:space="0" w:color="000000"/>
              <w:left w:val="single" w:sz="6" w:space="0" w:color="000000"/>
              <w:bottom w:val="single" w:sz="6" w:space="0" w:color="000000"/>
              <w:right w:val="single" w:sz="6" w:space="0" w:color="000000"/>
            </w:tcBorders>
          </w:tcPr>
          <w:p w14:paraId="1AED6697" w14:textId="602BBB0F"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(11)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11 </w:t>
            </w:r>
          </w:p>
          <w:p w14:paraId="20856B1A"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Integrarea lecțiilor învățate în campaniile de comunicare privind schimbarea comportamentului populației și evaluarea gradului de pregătire pentru vaccin </w:t>
            </w:r>
          </w:p>
        </w:tc>
        <w:tc>
          <w:tcPr>
            <w:tcW w:w="4120" w:type="dxa"/>
            <w:tcBorders>
              <w:top w:val="single" w:sz="6" w:space="0" w:color="000000"/>
              <w:left w:val="single" w:sz="6" w:space="0" w:color="000000"/>
              <w:bottom w:val="single" w:sz="6" w:space="0" w:color="000000"/>
              <w:right w:val="single" w:sz="6" w:space="0" w:color="000000"/>
            </w:tcBorders>
          </w:tcPr>
          <w:p w14:paraId="396A796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11.1: Debitorul a desfășurat un studiu de evaluare a cunoștințelor, comportamentelor și atitudinilor persoanelor în legătură cu încetinirea transmiterii COVID-19 </w:t>
            </w:r>
          </w:p>
          <w:p w14:paraId="44C0E7D2" w14:textId="24A1834C"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11.2: Debitorul a realizat </w:t>
            </w:r>
            <w:r w:rsidR="00FF3C75" w:rsidRPr="00BD050E">
              <w:rPr>
                <w:rFonts w:asciiTheme="majorHAnsi" w:hAnsiTheme="majorHAnsi" w:cstheme="majorHAnsi"/>
                <w:color w:val="000000" w:themeColor="text1"/>
                <w:sz w:val="24"/>
                <w:szCs w:val="24"/>
                <w:lang w:val="ro-RO"/>
              </w:rPr>
              <w:t>e</w:t>
            </w:r>
            <w:r w:rsidRPr="00BD050E">
              <w:rPr>
                <w:rFonts w:asciiTheme="majorHAnsi" w:hAnsiTheme="majorHAnsi" w:cstheme="majorHAnsi"/>
                <w:color w:val="000000" w:themeColor="text1"/>
                <w:sz w:val="24"/>
                <w:szCs w:val="24"/>
                <w:lang w:val="ro-RO"/>
              </w:rPr>
              <w:t xml:space="preserve">valuarea gradului de pregătire pentru vaccinul </w:t>
            </w:r>
          </w:p>
          <w:p w14:paraId="378A36F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COVID-19 </w:t>
            </w:r>
          </w:p>
          <w:p w14:paraId="4C6C3744" w14:textId="6336AE88"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11.3: Debitorul a revizuit Strategia națională de comunicare pentru COVID19, </w:t>
            </w:r>
            <w:r w:rsidR="00FF3C75"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baza rezultatelor studiului și evaluării gradului de pregătire pentru vaccin, și a realizat șase activități din </w:t>
            </w:r>
            <w:r w:rsidRPr="00BD050E">
              <w:rPr>
                <w:rFonts w:asciiTheme="majorHAnsi" w:hAnsiTheme="majorHAnsi" w:cstheme="majorHAnsi"/>
                <w:color w:val="000000" w:themeColor="text1"/>
                <w:sz w:val="24"/>
                <w:szCs w:val="24"/>
                <w:lang w:val="ro-RO"/>
              </w:rPr>
              <w:lastRenderedPageBreak/>
              <w:t xml:space="preserve">Strategia revizuită privind situația și intervențiile în legătură cu COVID-19 și promovarea respectării igienei personale. </w:t>
            </w:r>
          </w:p>
        </w:tc>
        <w:tc>
          <w:tcPr>
            <w:tcW w:w="2882" w:type="dxa"/>
            <w:tcBorders>
              <w:top w:val="single" w:sz="6" w:space="0" w:color="000000"/>
              <w:left w:val="single" w:sz="6" w:space="0" w:color="000000"/>
              <w:bottom w:val="single" w:sz="6" w:space="0" w:color="000000"/>
              <w:right w:val="single" w:sz="6" w:space="0" w:color="000000"/>
            </w:tcBorders>
          </w:tcPr>
          <w:p w14:paraId="6E90FDBF"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lastRenderedPageBreak/>
              <w:t xml:space="preserve">DLR 11.1: 1.099.000 </w:t>
            </w:r>
          </w:p>
          <w:p w14:paraId="4B63849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43E3818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09ED19F9"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680A1795"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66379CD2"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11.2: 1.099.000 </w:t>
            </w:r>
          </w:p>
          <w:p w14:paraId="7E88217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4779CC9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26ABAE54"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DLR 11.3: 1.099.000 </w:t>
            </w:r>
          </w:p>
        </w:tc>
      </w:tr>
      <w:tr w:rsidR="00814F8E" w:rsidRPr="00BD050E" w14:paraId="4DEE2712" w14:textId="77777777" w:rsidTr="000B4C5A">
        <w:trPr>
          <w:trHeight w:val="1216"/>
        </w:trPr>
        <w:tc>
          <w:tcPr>
            <w:tcW w:w="2430" w:type="dxa"/>
            <w:tcBorders>
              <w:top w:val="single" w:sz="6" w:space="0" w:color="000000"/>
              <w:left w:val="single" w:sz="6" w:space="0" w:color="000000"/>
              <w:bottom w:val="single" w:sz="6" w:space="0" w:color="000000"/>
              <w:right w:val="single" w:sz="6" w:space="0" w:color="000000"/>
            </w:tcBorders>
          </w:tcPr>
          <w:p w14:paraId="2653F897"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(12) Bunuri, lucrări și servicii de consultanță în cadrul Secțiunii I.6 din Suplimentului 1 la prezentul Acord  </w:t>
            </w:r>
          </w:p>
        </w:tc>
        <w:tc>
          <w:tcPr>
            <w:tcW w:w="4120" w:type="dxa"/>
            <w:tcBorders>
              <w:top w:val="single" w:sz="6" w:space="0" w:color="000000"/>
              <w:left w:val="single" w:sz="6" w:space="0" w:color="000000"/>
              <w:bottom w:val="single" w:sz="6" w:space="0" w:color="000000"/>
              <w:right w:val="single" w:sz="6" w:space="0" w:color="000000"/>
            </w:tcBorders>
          </w:tcPr>
          <w:p w14:paraId="7E7471C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543EA11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Nu se aplică </w:t>
            </w:r>
          </w:p>
        </w:tc>
        <w:tc>
          <w:tcPr>
            <w:tcW w:w="2882" w:type="dxa"/>
            <w:tcBorders>
              <w:top w:val="single" w:sz="6" w:space="0" w:color="000000"/>
              <w:left w:val="single" w:sz="6" w:space="0" w:color="000000"/>
              <w:bottom w:val="single" w:sz="6" w:space="0" w:color="000000"/>
              <w:right w:val="single" w:sz="6" w:space="0" w:color="000000"/>
            </w:tcBorders>
          </w:tcPr>
          <w:p w14:paraId="01B78EB6"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p w14:paraId="79EA7FEE"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714.500 </w:t>
            </w:r>
          </w:p>
          <w:p w14:paraId="343AC6EC"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(Finanțat la 100%) </w:t>
            </w:r>
          </w:p>
        </w:tc>
      </w:tr>
      <w:tr w:rsidR="00814F8E" w:rsidRPr="00BD050E" w14:paraId="594FF417" w14:textId="77777777" w:rsidTr="000B4C5A">
        <w:trPr>
          <w:trHeight w:val="480"/>
        </w:trPr>
        <w:tc>
          <w:tcPr>
            <w:tcW w:w="2430" w:type="dxa"/>
            <w:tcBorders>
              <w:top w:val="single" w:sz="6" w:space="0" w:color="000000"/>
              <w:left w:val="single" w:sz="6" w:space="0" w:color="000000"/>
              <w:bottom w:val="single" w:sz="6" w:space="0" w:color="000000"/>
              <w:right w:val="single" w:sz="6" w:space="0" w:color="000000"/>
            </w:tcBorders>
            <w:vAlign w:val="center"/>
          </w:tcPr>
          <w:p w14:paraId="445DC77D"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b/>
                <w:color w:val="000000" w:themeColor="text1"/>
                <w:sz w:val="24"/>
                <w:szCs w:val="24"/>
                <w:lang w:val="ro-RO"/>
              </w:rPr>
              <w:t xml:space="preserve">SUMA TOTALĂ </w:t>
            </w:r>
          </w:p>
        </w:tc>
        <w:tc>
          <w:tcPr>
            <w:tcW w:w="4120" w:type="dxa"/>
            <w:tcBorders>
              <w:top w:val="single" w:sz="6" w:space="0" w:color="000000"/>
              <w:left w:val="single" w:sz="6" w:space="0" w:color="000000"/>
              <w:bottom w:val="single" w:sz="6" w:space="0" w:color="000000"/>
              <w:right w:val="single" w:sz="6" w:space="0" w:color="000000"/>
            </w:tcBorders>
            <w:vAlign w:val="center"/>
          </w:tcPr>
          <w:p w14:paraId="5CBADA1B"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 </w:t>
            </w:r>
          </w:p>
        </w:tc>
        <w:tc>
          <w:tcPr>
            <w:tcW w:w="2882" w:type="dxa"/>
            <w:tcBorders>
              <w:top w:val="single" w:sz="6" w:space="0" w:color="000000"/>
              <w:left w:val="single" w:sz="6" w:space="0" w:color="000000"/>
              <w:bottom w:val="single" w:sz="6" w:space="0" w:color="000000"/>
              <w:right w:val="single" w:sz="6" w:space="0" w:color="000000"/>
            </w:tcBorders>
            <w:vAlign w:val="center"/>
          </w:tcPr>
          <w:p w14:paraId="074E1388" w14:textId="77777777" w:rsidR="0036424B" w:rsidRPr="00BD050E" w:rsidRDefault="0036424B" w:rsidP="000B4C5A">
            <w:pPr>
              <w:tabs>
                <w:tab w:val="left" w:pos="1080"/>
              </w:tabs>
              <w:spacing w:after="0"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u w:val="double"/>
                <w:lang w:val="ro-RO"/>
              </w:rPr>
              <w:t>18.600.000</w:t>
            </w:r>
            <w:r w:rsidRPr="00BD050E">
              <w:rPr>
                <w:rFonts w:asciiTheme="majorHAnsi" w:hAnsiTheme="majorHAnsi" w:cstheme="majorHAnsi"/>
                <w:color w:val="000000" w:themeColor="text1"/>
                <w:sz w:val="24"/>
                <w:szCs w:val="24"/>
                <w:lang w:val="ro-RO"/>
              </w:rPr>
              <w:t xml:space="preserve"> </w:t>
            </w:r>
          </w:p>
        </w:tc>
      </w:tr>
    </w:tbl>
    <w:p w14:paraId="6B53EC39" w14:textId="77777777" w:rsidR="0036424B" w:rsidRPr="00BD050E" w:rsidRDefault="0036424B" w:rsidP="0036424B">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0D9A26B2" w14:textId="77777777" w:rsidR="0036424B" w:rsidRPr="00BD050E" w:rsidRDefault="0036424B" w:rsidP="0036424B">
      <w:pPr>
        <w:keepNext/>
        <w:keepLines/>
        <w:spacing w:before="240" w:after="0"/>
        <w:jc w:val="right"/>
        <w:outlineLvl w:val="0"/>
        <w:rPr>
          <w:rFonts w:asciiTheme="majorHAnsi" w:eastAsiaTheme="majorEastAsia" w:hAnsiTheme="majorHAnsi" w:cstheme="majorHAnsi"/>
          <w:b/>
          <w:color w:val="000000" w:themeColor="text1"/>
          <w:sz w:val="24"/>
          <w:szCs w:val="24"/>
          <w:lang w:val="ro-RO"/>
        </w:rPr>
      </w:pPr>
      <w:r w:rsidRPr="00BD050E">
        <w:rPr>
          <w:rFonts w:asciiTheme="majorHAnsi" w:eastAsiaTheme="majorEastAsia" w:hAnsiTheme="majorHAnsi" w:cstheme="majorHAnsi"/>
          <w:b/>
          <w:color w:val="000000" w:themeColor="text1"/>
          <w:sz w:val="24"/>
          <w:szCs w:val="24"/>
          <w:lang w:val="ro-RO"/>
        </w:rPr>
        <w:t>Anexa nr.7</w:t>
      </w:r>
    </w:p>
    <w:p w14:paraId="6DCB2200" w14:textId="43D292E3" w:rsidR="0036424B" w:rsidRPr="00BD050E" w:rsidRDefault="0036424B" w:rsidP="0036424B">
      <w:pPr>
        <w:tabs>
          <w:tab w:val="left" w:pos="993"/>
        </w:tabs>
        <w:spacing w:after="0" w:line="276" w:lineRule="auto"/>
        <w:jc w:val="center"/>
        <w:rPr>
          <w:rFonts w:asciiTheme="majorHAnsi" w:hAnsiTheme="majorHAnsi" w:cstheme="majorHAnsi"/>
          <w:b/>
          <w:i/>
          <w:color w:val="000000" w:themeColor="text1"/>
          <w:sz w:val="24"/>
          <w:szCs w:val="24"/>
          <w:lang w:val="ro-RO"/>
        </w:rPr>
      </w:pPr>
      <w:r w:rsidRPr="00BD050E">
        <w:rPr>
          <w:rFonts w:asciiTheme="majorHAnsi" w:hAnsiTheme="majorHAnsi" w:cstheme="majorHAnsi"/>
          <w:b/>
          <w:i/>
          <w:color w:val="000000" w:themeColor="text1"/>
          <w:sz w:val="24"/>
          <w:szCs w:val="24"/>
          <w:lang w:val="ro-RO"/>
        </w:rPr>
        <w:t>Divizarea sarcinilor Acordului de finanțare „Modernizarea sectorului sănătății în Republica Moldova”</w:t>
      </w:r>
    </w:p>
    <w:p w14:paraId="24E441B4" w14:textId="77777777" w:rsidR="0036424B" w:rsidRPr="00BD050E" w:rsidRDefault="0036424B" w:rsidP="0036424B">
      <w:pPr>
        <w:tabs>
          <w:tab w:val="left" w:pos="1080"/>
        </w:tabs>
        <w:spacing w:after="0" w:line="276" w:lineRule="auto"/>
        <w:contextualSpacing/>
        <w:jc w:val="both"/>
        <w:rPr>
          <w:rFonts w:asciiTheme="majorHAnsi" w:hAnsiTheme="majorHAnsi" w:cstheme="majorHAnsi"/>
          <w:color w:val="000000" w:themeColor="text1"/>
          <w:sz w:val="24"/>
          <w:szCs w:val="24"/>
          <w:lang w:val="ro-RO"/>
        </w:rPr>
      </w:pPr>
    </w:p>
    <w:tbl>
      <w:tblPr>
        <w:tblStyle w:val="TableGrid"/>
        <w:tblW w:w="0" w:type="auto"/>
        <w:tblLook w:val="04A0" w:firstRow="1" w:lastRow="0" w:firstColumn="1" w:lastColumn="0" w:noHBand="0" w:noVBand="1"/>
      </w:tblPr>
      <w:tblGrid>
        <w:gridCol w:w="1844"/>
        <w:gridCol w:w="4536"/>
        <w:gridCol w:w="1451"/>
        <w:gridCol w:w="1516"/>
      </w:tblGrid>
      <w:tr w:rsidR="00814F8E" w:rsidRPr="00BD050E" w14:paraId="3FBA30BD" w14:textId="77777777" w:rsidTr="00D62E73">
        <w:trPr>
          <w:trHeight w:val="300"/>
        </w:trPr>
        <w:tc>
          <w:tcPr>
            <w:tcW w:w="1844" w:type="dxa"/>
            <w:hideMark/>
          </w:tcPr>
          <w:p w14:paraId="63B958DA" w14:textId="77777777" w:rsidR="0036424B" w:rsidRPr="00BD050E" w:rsidRDefault="0036424B" w:rsidP="000B4C5A">
            <w:pPr>
              <w:tabs>
                <w:tab w:val="left" w:pos="1080"/>
              </w:tabs>
              <w:spacing w:line="276" w:lineRule="auto"/>
              <w:contextualSpacing/>
              <w:jc w:val="both"/>
              <w:rPr>
                <w:rFonts w:asciiTheme="majorHAnsi" w:hAnsiTheme="majorHAnsi" w:cstheme="majorHAnsi"/>
                <w:b/>
                <w:color w:val="000000" w:themeColor="text1"/>
                <w:sz w:val="24"/>
                <w:szCs w:val="24"/>
                <w:lang w:val="ro-RO"/>
              </w:rPr>
            </w:pPr>
            <w:bookmarkStart w:id="26" w:name="RANGE!A1:D31"/>
            <w:r w:rsidRPr="00BD050E">
              <w:rPr>
                <w:rFonts w:asciiTheme="majorHAnsi" w:hAnsiTheme="majorHAnsi" w:cstheme="majorHAnsi"/>
                <w:color w:val="000000" w:themeColor="text1"/>
                <w:sz w:val="24"/>
                <w:szCs w:val="24"/>
                <w:lang w:val="ro-RO"/>
              </w:rPr>
              <w:t> </w:t>
            </w:r>
            <w:bookmarkEnd w:id="26"/>
            <w:r w:rsidRPr="00BD050E">
              <w:rPr>
                <w:rFonts w:asciiTheme="majorHAnsi" w:hAnsiTheme="majorHAnsi" w:cstheme="majorHAnsi"/>
                <w:b/>
                <w:color w:val="000000" w:themeColor="text1"/>
                <w:sz w:val="24"/>
                <w:szCs w:val="24"/>
                <w:lang w:val="ro-RO"/>
              </w:rPr>
              <w:t>Nr. ILD</w:t>
            </w:r>
          </w:p>
        </w:tc>
        <w:tc>
          <w:tcPr>
            <w:tcW w:w="4536" w:type="dxa"/>
            <w:hideMark/>
          </w:tcPr>
          <w:p w14:paraId="58928174" w14:textId="77777777" w:rsidR="0036424B" w:rsidRPr="00BD050E" w:rsidRDefault="0036424B" w:rsidP="000B4C5A">
            <w:pPr>
              <w:tabs>
                <w:tab w:val="left" w:pos="1080"/>
              </w:tabs>
              <w:spacing w:line="276" w:lineRule="auto"/>
              <w:contextualSpacing/>
              <w:jc w:val="both"/>
              <w:rPr>
                <w:rFonts w:asciiTheme="majorHAnsi" w:hAnsiTheme="majorHAnsi" w:cstheme="majorHAnsi"/>
                <w:b/>
                <w:bCs/>
                <w:i/>
                <w:iCs/>
                <w:color w:val="000000" w:themeColor="text1"/>
                <w:sz w:val="24"/>
                <w:szCs w:val="24"/>
                <w:lang w:val="ro-RO"/>
              </w:rPr>
            </w:pPr>
            <w:r w:rsidRPr="00BD050E">
              <w:rPr>
                <w:rFonts w:asciiTheme="majorHAnsi" w:hAnsiTheme="majorHAnsi" w:cstheme="majorHAnsi"/>
                <w:b/>
                <w:bCs/>
                <w:i/>
                <w:iCs/>
                <w:color w:val="000000" w:themeColor="text1"/>
                <w:sz w:val="24"/>
                <w:szCs w:val="24"/>
                <w:lang w:val="ro-RO"/>
              </w:rPr>
              <w:t> Denumirea indicatorului legat de debursare</w:t>
            </w:r>
          </w:p>
        </w:tc>
        <w:tc>
          <w:tcPr>
            <w:tcW w:w="1451" w:type="dxa"/>
            <w:hideMark/>
          </w:tcPr>
          <w:p w14:paraId="077D2C51"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MSMPS</w:t>
            </w:r>
          </w:p>
        </w:tc>
        <w:tc>
          <w:tcPr>
            <w:tcW w:w="1516" w:type="dxa"/>
            <w:hideMark/>
          </w:tcPr>
          <w:p w14:paraId="6819C57D"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CNAM</w:t>
            </w:r>
          </w:p>
        </w:tc>
      </w:tr>
      <w:tr w:rsidR="00814F8E" w:rsidRPr="00BD050E" w14:paraId="6834F527" w14:textId="77777777" w:rsidTr="00D62E73">
        <w:trPr>
          <w:trHeight w:val="337"/>
        </w:trPr>
        <w:tc>
          <w:tcPr>
            <w:tcW w:w="1844" w:type="dxa"/>
            <w:vMerge w:val="restart"/>
            <w:hideMark/>
          </w:tcPr>
          <w:p w14:paraId="64ECA4D0" w14:textId="36F1033F" w:rsidR="0036424B" w:rsidRPr="00BD050E" w:rsidRDefault="00D62E73"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1 (M</w:t>
            </w:r>
            <w:r w:rsidR="0036424B" w:rsidRPr="00BD050E">
              <w:rPr>
                <w:rFonts w:asciiTheme="majorHAnsi" w:hAnsiTheme="majorHAnsi" w:cstheme="majorHAnsi"/>
                <w:color w:val="000000" w:themeColor="text1"/>
                <w:sz w:val="24"/>
                <w:szCs w:val="24"/>
                <w:lang w:val="ro-RO"/>
              </w:rPr>
              <w:t>S)</w:t>
            </w:r>
          </w:p>
        </w:tc>
        <w:tc>
          <w:tcPr>
            <w:tcW w:w="4536" w:type="dxa"/>
            <w:vMerge w:val="restart"/>
            <w:hideMark/>
          </w:tcPr>
          <w:p w14:paraId="657BBDD1" w14:textId="0059F57F"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Reducerea prevalenței fumatului la adulți cu 2% (sau cu 0,5% anu</w:t>
            </w:r>
            <w:r w:rsidR="009E7FDF" w:rsidRPr="00BD050E">
              <w:rPr>
                <w:rFonts w:asciiTheme="majorHAnsi" w:hAnsiTheme="majorHAnsi" w:cstheme="majorHAnsi"/>
                <w:color w:val="000000" w:themeColor="text1"/>
                <w:sz w:val="24"/>
                <w:szCs w:val="24"/>
                <w:lang w:val="ro-RO"/>
              </w:rPr>
              <w:t>a</w:t>
            </w:r>
            <w:r w:rsidR="00D62E73" w:rsidRPr="00BD050E">
              <w:rPr>
                <w:rFonts w:asciiTheme="majorHAnsi" w:hAnsiTheme="majorHAnsi" w:cstheme="majorHAnsi"/>
                <w:color w:val="000000" w:themeColor="text1"/>
                <w:sz w:val="24"/>
                <w:szCs w:val="24"/>
                <w:lang w:val="ro-RO"/>
              </w:rPr>
              <w:t>l)</w:t>
            </w:r>
            <w:r w:rsidR="000F1D84" w:rsidRPr="00BD050E">
              <w:rPr>
                <w:rFonts w:asciiTheme="majorHAnsi" w:hAnsiTheme="majorHAnsi" w:cstheme="majorHAnsi"/>
                <w:color w:val="000000" w:themeColor="text1"/>
                <w:sz w:val="24"/>
                <w:szCs w:val="24"/>
                <w:lang w:val="ro-RO"/>
              </w:rPr>
              <w:t>,</w:t>
            </w:r>
            <w:r w:rsidR="00D62E73" w:rsidRPr="00BD050E">
              <w:rPr>
                <w:rFonts w:asciiTheme="majorHAnsi" w:hAnsiTheme="majorHAnsi" w:cstheme="majorHAnsi"/>
                <w:color w:val="000000" w:themeColor="text1"/>
                <w:sz w:val="24"/>
                <w:szCs w:val="24"/>
                <w:lang w:val="ro-RO"/>
              </w:rPr>
              <w:t xml:space="preserve"> comparativ cu 25,4% (</w:t>
            </w:r>
            <w:r w:rsidRPr="00BD050E">
              <w:rPr>
                <w:rFonts w:asciiTheme="majorHAnsi" w:hAnsiTheme="majorHAnsi" w:cstheme="majorHAnsi"/>
                <w:color w:val="000000" w:themeColor="text1"/>
                <w:sz w:val="24"/>
                <w:szCs w:val="24"/>
                <w:lang w:val="ro-RO"/>
              </w:rPr>
              <w:t>STEPS 2013)</w:t>
            </w:r>
            <w:r w:rsidR="000F1D84"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și Notificarea produselor din tutun în conformitate cu prevederile Regulamentului sanitar</w:t>
            </w:r>
            <w:r w:rsidR="000F1D84" w:rsidRPr="00BD050E">
              <w:rPr>
                <w:rFonts w:asciiTheme="majorHAnsi" w:hAnsiTheme="majorHAnsi" w:cstheme="majorHAnsi"/>
                <w:color w:val="000000" w:themeColor="text1"/>
                <w:sz w:val="24"/>
                <w:szCs w:val="24"/>
                <w:lang w:val="ro-RO"/>
              </w:rPr>
              <w:t>, aprobat prin</w:t>
            </w:r>
            <w:r w:rsidRPr="00BD050E">
              <w:rPr>
                <w:rFonts w:asciiTheme="majorHAnsi" w:hAnsiTheme="majorHAnsi" w:cstheme="majorHAnsi"/>
                <w:color w:val="000000" w:themeColor="text1"/>
                <w:sz w:val="24"/>
                <w:szCs w:val="24"/>
                <w:lang w:val="ro-RO"/>
              </w:rPr>
              <w:t xml:space="preserve"> H</w:t>
            </w:r>
            <w:r w:rsidR="000F1D84" w:rsidRPr="00BD050E">
              <w:rPr>
                <w:rFonts w:asciiTheme="majorHAnsi" w:hAnsiTheme="majorHAnsi" w:cstheme="majorHAnsi"/>
                <w:color w:val="000000" w:themeColor="text1"/>
                <w:sz w:val="24"/>
                <w:szCs w:val="24"/>
                <w:lang w:val="ro-RO"/>
              </w:rPr>
              <w:t xml:space="preserve">otărârea </w:t>
            </w:r>
            <w:r w:rsidRPr="00BD050E">
              <w:rPr>
                <w:rFonts w:asciiTheme="majorHAnsi" w:hAnsiTheme="majorHAnsi" w:cstheme="majorHAnsi"/>
                <w:color w:val="000000" w:themeColor="text1"/>
                <w:sz w:val="24"/>
                <w:szCs w:val="24"/>
                <w:lang w:val="ro-RO"/>
              </w:rPr>
              <w:t>G</w:t>
            </w:r>
            <w:r w:rsidR="000F1D84" w:rsidRPr="00BD050E">
              <w:rPr>
                <w:rFonts w:asciiTheme="majorHAnsi" w:hAnsiTheme="majorHAnsi" w:cstheme="majorHAnsi"/>
                <w:color w:val="000000" w:themeColor="text1"/>
                <w:sz w:val="24"/>
                <w:szCs w:val="24"/>
                <w:lang w:val="ro-RO"/>
              </w:rPr>
              <w:t>uvernului</w:t>
            </w:r>
            <w:r w:rsidRPr="00BD050E">
              <w:rPr>
                <w:rFonts w:asciiTheme="majorHAnsi" w:hAnsiTheme="majorHAnsi" w:cstheme="majorHAnsi"/>
                <w:color w:val="000000" w:themeColor="text1"/>
                <w:sz w:val="24"/>
                <w:szCs w:val="24"/>
                <w:lang w:val="ro-RO"/>
              </w:rPr>
              <w:t xml:space="preserve"> </w:t>
            </w:r>
            <w:r w:rsidR="000F1D84" w:rsidRPr="00BD050E">
              <w:rPr>
                <w:rFonts w:asciiTheme="majorHAnsi" w:hAnsiTheme="majorHAnsi" w:cstheme="majorHAnsi"/>
                <w:color w:val="000000" w:themeColor="text1"/>
                <w:sz w:val="24"/>
                <w:szCs w:val="24"/>
                <w:lang w:val="ro-RO"/>
              </w:rPr>
              <w:t>nr.</w:t>
            </w:r>
            <w:r w:rsidRPr="00BD050E">
              <w:rPr>
                <w:rFonts w:asciiTheme="majorHAnsi" w:hAnsiTheme="majorHAnsi" w:cstheme="majorHAnsi"/>
                <w:color w:val="000000" w:themeColor="text1"/>
                <w:sz w:val="24"/>
                <w:szCs w:val="24"/>
                <w:lang w:val="ro-RO"/>
              </w:rPr>
              <w:t>613 din 01.08.</w:t>
            </w:r>
            <w:r w:rsidR="000F1D84" w:rsidRPr="00BD050E">
              <w:rPr>
                <w:rFonts w:asciiTheme="majorHAnsi" w:hAnsiTheme="majorHAnsi" w:cstheme="majorHAnsi"/>
                <w:color w:val="000000" w:themeColor="text1"/>
                <w:sz w:val="24"/>
                <w:szCs w:val="24"/>
                <w:lang w:val="ro-RO"/>
              </w:rPr>
              <w:t>20</w:t>
            </w:r>
            <w:r w:rsidRPr="00BD050E">
              <w:rPr>
                <w:rFonts w:asciiTheme="majorHAnsi" w:hAnsiTheme="majorHAnsi" w:cstheme="majorHAnsi"/>
                <w:color w:val="000000" w:themeColor="text1"/>
                <w:sz w:val="24"/>
                <w:szCs w:val="24"/>
                <w:lang w:val="ro-RO"/>
              </w:rPr>
              <w:t>17</w:t>
            </w:r>
          </w:p>
        </w:tc>
        <w:tc>
          <w:tcPr>
            <w:tcW w:w="1451" w:type="dxa"/>
            <w:vMerge w:val="restart"/>
            <w:hideMark/>
          </w:tcPr>
          <w:p w14:paraId="572DD73D"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c>
          <w:tcPr>
            <w:tcW w:w="1516" w:type="dxa"/>
            <w:vMerge w:val="restart"/>
            <w:hideMark/>
          </w:tcPr>
          <w:p w14:paraId="14A7109C"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r>
      <w:tr w:rsidR="00814F8E" w:rsidRPr="00BD050E" w14:paraId="186347E5" w14:textId="77777777" w:rsidTr="00D62E73">
        <w:trPr>
          <w:trHeight w:val="476"/>
        </w:trPr>
        <w:tc>
          <w:tcPr>
            <w:tcW w:w="1844" w:type="dxa"/>
            <w:vMerge/>
            <w:hideMark/>
          </w:tcPr>
          <w:p w14:paraId="52ADDA1E"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7295A1E3"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71707E5E"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03ACD490"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7577DFE0" w14:textId="77777777" w:rsidTr="00D62E73">
        <w:trPr>
          <w:trHeight w:val="476"/>
        </w:trPr>
        <w:tc>
          <w:tcPr>
            <w:tcW w:w="1844" w:type="dxa"/>
            <w:vMerge/>
            <w:hideMark/>
          </w:tcPr>
          <w:p w14:paraId="33C9DCC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6227AE29"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27513C01"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7277B56C"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1E63C90E" w14:textId="77777777" w:rsidTr="00D62E73">
        <w:trPr>
          <w:trHeight w:val="337"/>
        </w:trPr>
        <w:tc>
          <w:tcPr>
            <w:tcW w:w="1844" w:type="dxa"/>
            <w:vMerge w:val="restart"/>
            <w:hideMark/>
          </w:tcPr>
          <w:p w14:paraId="12D4871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2 (CNAM)</w:t>
            </w:r>
          </w:p>
        </w:tc>
        <w:tc>
          <w:tcPr>
            <w:tcW w:w="4536" w:type="dxa"/>
            <w:vMerge w:val="restart"/>
            <w:hideMark/>
          </w:tcPr>
          <w:p w14:paraId="7E4F5ACA" w14:textId="2AD0A7BB"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Creșterea procentuală a bolnavilor cu boli cardiovasculare care beneficiază de medicamente compensate pentru tratamentul bolilor cardiovasculare  (</w:t>
            </w:r>
            <w:r w:rsidR="00D57F32" w:rsidRPr="00BD050E">
              <w:rPr>
                <w:rFonts w:asciiTheme="majorHAnsi" w:hAnsiTheme="majorHAnsi" w:cstheme="majorHAnsi"/>
                <w:color w:val="000000" w:themeColor="text1"/>
                <w:sz w:val="24"/>
                <w:szCs w:val="24"/>
                <w:lang w:val="ro-RO"/>
              </w:rPr>
              <w:t>ILD</w:t>
            </w:r>
            <w:r w:rsidRPr="00BD050E">
              <w:rPr>
                <w:rFonts w:asciiTheme="majorHAnsi" w:hAnsiTheme="majorHAnsi" w:cstheme="majorHAnsi"/>
                <w:color w:val="000000" w:themeColor="text1"/>
                <w:sz w:val="24"/>
                <w:szCs w:val="24"/>
                <w:lang w:val="ro-RO"/>
              </w:rPr>
              <w:t xml:space="preserve"> nr. 2.1) cu 5%</w:t>
            </w:r>
            <w:r w:rsidR="000F1D84" w:rsidRPr="00BD050E">
              <w:rPr>
                <w:rFonts w:asciiTheme="majorHAnsi" w:hAnsiTheme="majorHAnsi" w:cstheme="majorHAnsi"/>
                <w:color w:val="000000" w:themeColor="text1"/>
                <w:sz w:val="24"/>
                <w:szCs w:val="24"/>
                <w:lang w:val="ro-RO"/>
              </w:rPr>
              <w:t>,</w:t>
            </w:r>
            <w:r w:rsidRPr="00BD050E">
              <w:rPr>
                <w:rFonts w:asciiTheme="majorHAnsi" w:hAnsiTheme="majorHAnsi" w:cstheme="majorHAnsi"/>
                <w:color w:val="000000" w:themeColor="text1"/>
                <w:sz w:val="24"/>
                <w:szCs w:val="24"/>
                <w:lang w:val="ro-RO"/>
              </w:rPr>
              <w:t xml:space="preserve"> față de </w:t>
            </w:r>
            <w:r w:rsidR="000F1D84" w:rsidRPr="00BD050E">
              <w:rPr>
                <w:rFonts w:asciiTheme="majorHAnsi" w:hAnsiTheme="majorHAnsi" w:cstheme="majorHAnsi"/>
                <w:color w:val="000000" w:themeColor="text1"/>
                <w:sz w:val="24"/>
                <w:szCs w:val="24"/>
                <w:lang w:val="ro-RO"/>
              </w:rPr>
              <w:t xml:space="preserve">anul </w:t>
            </w:r>
            <w:r w:rsidRPr="00BD050E">
              <w:rPr>
                <w:rFonts w:asciiTheme="majorHAnsi" w:hAnsiTheme="majorHAnsi" w:cstheme="majorHAnsi"/>
                <w:color w:val="000000" w:themeColor="text1"/>
                <w:sz w:val="24"/>
                <w:szCs w:val="24"/>
                <w:lang w:val="ro-RO"/>
              </w:rPr>
              <w:t>2017 (48,5%)</w:t>
            </w:r>
          </w:p>
        </w:tc>
        <w:tc>
          <w:tcPr>
            <w:tcW w:w="1451" w:type="dxa"/>
            <w:vMerge w:val="restart"/>
            <w:hideMark/>
          </w:tcPr>
          <w:p w14:paraId="455AE4A1"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c>
          <w:tcPr>
            <w:tcW w:w="1516" w:type="dxa"/>
            <w:vMerge w:val="restart"/>
            <w:hideMark/>
          </w:tcPr>
          <w:p w14:paraId="4B01C808"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r>
      <w:tr w:rsidR="00814F8E" w:rsidRPr="00BD050E" w14:paraId="3579617A" w14:textId="77777777" w:rsidTr="00D62E73">
        <w:trPr>
          <w:trHeight w:val="476"/>
        </w:trPr>
        <w:tc>
          <w:tcPr>
            <w:tcW w:w="1844" w:type="dxa"/>
            <w:vMerge/>
            <w:hideMark/>
          </w:tcPr>
          <w:p w14:paraId="7524D202"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20999236"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3E8AE248"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7117B4A0"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587DCA35" w14:textId="77777777" w:rsidTr="00D62E73">
        <w:trPr>
          <w:trHeight w:val="476"/>
        </w:trPr>
        <w:tc>
          <w:tcPr>
            <w:tcW w:w="1844" w:type="dxa"/>
            <w:vMerge/>
            <w:hideMark/>
          </w:tcPr>
          <w:p w14:paraId="0C9D48D6"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08FFE01C"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5B4545A5"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0B8DC2FB"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0E6387EB" w14:textId="77777777" w:rsidTr="00D62E73">
        <w:trPr>
          <w:trHeight w:val="337"/>
        </w:trPr>
        <w:tc>
          <w:tcPr>
            <w:tcW w:w="1844" w:type="dxa"/>
            <w:vMerge w:val="restart"/>
            <w:hideMark/>
          </w:tcPr>
          <w:p w14:paraId="6CC347D7" w14:textId="169E6960" w:rsidR="0036424B" w:rsidRPr="00BD050E" w:rsidRDefault="00D62E73"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3 (MS</w:t>
            </w:r>
            <w:r w:rsidR="0036424B" w:rsidRPr="00BD050E">
              <w:rPr>
                <w:rFonts w:asciiTheme="majorHAnsi" w:hAnsiTheme="majorHAnsi" w:cstheme="majorHAnsi"/>
                <w:color w:val="000000" w:themeColor="text1"/>
                <w:sz w:val="24"/>
                <w:szCs w:val="24"/>
                <w:lang w:val="ro-RO"/>
              </w:rPr>
              <w:t>+CNAM)</w:t>
            </w:r>
          </w:p>
        </w:tc>
        <w:tc>
          <w:tcPr>
            <w:tcW w:w="4536" w:type="dxa"/>
            <w:vMerge w:val="restart"/>
            <w:hideMark/>
          </w:tcPr>
          <w:p w14:paraId="1AA7F539" w14:textId="27AD988B"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Reducerea numărului anual de externări din secțiile de îngrijire acută la 100 </w:t>
            </w:r>
            <w:r w:rsidR="000F1D84" w:rsidRPr="00BD050E">
              <w:rPr>
                <w:rFonts w:asciiTheme="majorHAnsi" w:hAnsiTheme="majorHAnsi" w:cstheme="majorHAnsi"/>
                <w:color w:val="000000" w:themeColor="text1"/>
                <w:sz w:val="24"/>
                <w:szCs w:val="24"/>
                <w:lang w:val="ro-RO"/>
              </w:rPr>
              <w:t xml:space="preserve">de </w:t>
            </w:r>
            <w:r w:rsidRPr="00BD050E">
              <w:rPr>
                <w:rFonts w:asciiTheme="majorHAnsi" w:hAnsiTheme="majorHAnsi" w:cstheme="majorHAnsi"/>
                <w:color w:val="000000" w:themeColor="text1"/>
                <w:sz w:val="24"/>
                <w:szCs w:val="24"/>
                <w:lang w:val="ro-RO"/>
              </w:rPr>
              <w:t xml:space="preserve">locuitori, sub 15,6 de la nivelul de referință de 17,6. MS (debursat </w:t>
            </w:r>
            <w:r w:rsidR="000F1D84" w:rsidRPr="00BD050E">
              <w:rPr>
                <w:rFonts w:asciiTheme="majorHAnsi" w:hAnsiTheme="majorHAnsi" w:cstheme="majorHAnsi"/>
                <w:color w:val="000000" w:themeColor="text1"/>
                <w:sz w:val="24"/>
                <w:szCs w:val="24"/>
                <w:lang w:val="ro-RO"/>
              </w:rPr>
              <w:t>la</w:t>
            </w:r>
            <w:r w:rsidRPr="00BD050E">
              <w:rPr>
                <w:rFonts w:asciiTheme="majorHAnsi" w:hAnsiTheme="majorHAnsi" w:cstheme="majorHAnsi"/>
                <w:color w:val="000000" w:themeColor="text1"/>
                <w:sz w:val="24"/>
                <w:szCs w:val="24"/>
                <w:lang w:val="ro-RO"/>
              </w:rPr>
              <w:t xml:space="preserve"> 30.06.2016 </w:t>
            </w:r>
            <w:r w:rsidR="000F1D84"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bugetul CNAM)</w:t>
            </w:r>
          </w:p>
        </w:tc>
        <w:tc>
          <w:tcPr>
            <w:tcW w:w="1451" w:type="dxa"/>
            <w:vMerge w:val="restart"/>
            <w:hideMark/>
          </w:tcPr>
          <w:p w14:paraId="387757C3"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50,0%</w:t>
            </w:r>
          </w:p>
        </w:tc>
        <w:tc>
          <w:tcPr>
            <w:tcW w:w="1516" w:type="dxa"/>
            <w:vMerge w:val="restart"/>
            <w:hideMark/>
          </w:tcPr>
          <w:p w14:paraId="556E9554"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50,0%</w:t>
            </w:r>
          </w:p>
        </w:tc>
      </w:tr>
      <w:tr w:rsidR="00814F8E" w:rsidRPr="00BD050E" w14:paraId="12CD6C0B" w14:textId="77777777" w:rsidTr="00D62E73">
        <w:trPr>
          <w:trHeight w:val="476"/>
        </w:trPr>
        <w:tc>
          <w:tcPr>
            <w:tcW w:w="1844" w:type="dxa"/>
            <w:vMerge/>
            <w:hideMark/>
          </w:tcPr>
          <w:p w14:paraId="1B61F207"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178EBE1A"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5A1FB0D4"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0CCF9680"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32C24F2B" w14:textId="77777777" w:rsidTr="00D62E73">
        <w:trPr>
          <w:trHeight w:val="476"/>
        </w:trPr>
        <w:tc>
          <w:tcPr>
            <w:tcW w:w="1844" w:type="dxa"/>
            <w:vMerge/>
            <w:hideMark/>
          </w:tcPr>
          <w:p w14:paraId="6DB696AB"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10BF1290"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0D37DC48"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330A71F3"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74D44A35" w14:textId="77777777" w:rsidTr="00D62E73">
        <w:trPr>
          <w:trHeight w:val="337"/>
        </w:trPr>
        <w:tc>
          <w:tcPr>
            <w:tcW w:w="1844" w:type="dxa"/>
            <w:vMerge w:val="restart"/>
            <w:hideMark/>
          </w:tcPr>
          <w:p w14:paraId="636400EE"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4 (MSMPS)</w:t>
            </w:r>
          </w:p>
        </w:tc>
        <w:tc>
          <w:tcPr>
            <w:tcW w:w="4536" w:type="dxa"/>
            <w:vMerge w:val="restart"/>
            <w:hideMark/>
          </w:tcPr>
          <w:p w14:paraId="0E84A246" w14:textId="2C1EE06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Reducerea numărului de paturi pentru îngrijiri acute, sub 15.000 de la nivelul de referință de 17.586. MS (debursat </w:t>
            </w:r>
            <w:r w:rsidR="000F1D84" w:rsidRPr="00BD050E">
              <w:rPr>
                <w:rFonts w:asciiTheme="majorHAnsi" w:hAnsiTheme="majorHAnsi" w:cstheme="majorHAnsi"/>
                <w:color w:val="000000" w:themeColor="text1"/>
                <w:sz w:val="24"/>
                <w:szCs w:val="24"/>
                <w:lang w:val="ro-RO"/>
              </w:rPr>
              <w:t>la</w:t>
            </w:r>
            <w:r w:rsidRPr="00BD050E">
              <w:rPr>
                <w:rFonts w:asciiTheme="majorHAnsi" w:hAnsiTheme="majorHAnsi" w:cstheme="majorHAnsi"/>
                <w:color w:val="000000" w:themeColor="text1"/>
                <w:sz w:val="24"/>
                <w:szCs w:val="24"/>
                <w:lang w:val="ro-RO"/>
              </w:rPr>
              <w:t xml:space="preserve"> 30.06.2016 </w:t>
            </w:r>
            <w:r w:rsidR="000F1D84"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bugetul MS)</w:t>
            </w:r>
          </w:p>
        </w:tc>
        <w:tc>
          <w:tcPr>
            <w:tcW w:w="1451" w:type="dxa"/>
            <w:vMerge w:val="restart"/>
            <w:hideMark/>
          </w:tcPr>
          <w:p w14:paraId="11521BEB"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c>
          <w:tcPr>
            <w:tcW w:w="1516" w:type="dxa"/>
            <w:vMerge w:val="restart"/>
            <w:hideMark/>
          </w:tcPr>
          <w:p w14:paraId="1605BA99"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r>
      <w:tr w:rsidR="00814F8E" w:rsidRPr="00BD050E" w14:paraId="453B502F" w14:textId="77777777" w:rsidTr="00D62E73">
        <w:trPr>
          <w:trHeight w:val="476"/>
        </w:trPr>
        <w:tc>
          <w:tcPr>
            <w:tcW w:w="1844" w:type="dxa"/>
            <w:vMerge/>
            <w:hideMark/>
          </w:tcPr>
          <w:p w14:paraId="0F2FD02A"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385186F1"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2AB2A16C"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21E765DB"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2762CDB0" w14:textId="77777777" w:rsidTr="00D62E73">
        <w:trPr>
          <w:trHeight w:val="476"/>
        </w:trPr>
        <w:tc>
          <w:tcPr>
            <w:tcW w:w="1844" w:type="dxa"/>
            <w:vMerge/>
            <w:hideMark/>
          </w:tcPr>
          <w:p w14:paraId="0F7FFBCF"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3BEBFAC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6700A88A"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1F4EA6D4"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6B8F56AB" w14:textId="77777777" w:rsidTr="00D62E73">
        <w:trPr>
          <w:trHeight w:val="337"/>
        </w:trPr>
        <w:tc>
          <w:tcPr>
            <w:tcW w:w="1844" w:type="dxa"/>
            <w:vMerge w:val="restart"/>
            <w:hideMark/>
          </w:tcPr>
          <w:p w14:paraId="1479950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5 (CNAM)</w:t>
            </w:r>
          </w:p>
        </w:tc>
        <w:tc>
          <w:tcPr>
            <w:tcW w:w="4536" w:type="dxa"/>
            <w:vMerge w:val="restart"/>
            <w:hideMark/>
          </w:tcPr>
          <w:p w14:paraId="1757214F" w14:textId="79CE24C6"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Mărirea ratei de compensare a medicamentelor anti-hipertensive </w:t>
            </w:r>
            <w:r w:rsidR="000F1D84" w:rsidRPr="00BD050E">
              <w:rPr>
                <w:rFonts w:asciiTheme="majorHAnsi" w:hAnsiTheme="majorHAnsi" w:cstheme="majorHAnsi"/>
                <w:color w:val="000000" w:themeColor="text1"/>
                <w:sz w:val="24"/>
                <w:szCs w:val="24"/>
                <w:lang w:val="ro-RO"/>
              </w:rPr>
              <w:t>cu</w:t>
            </w:r>
            <w:r w:rsidRPr="00BD050E">
              <w:rPr>
                <w:rFonts w:asciiTheme="majorHAnsi" w:hAnsiTheme="majorHAnsi" w:cstheme="majorHAnsi"/>
                <w:color w:val="000000" w:themeColor="text1"/>
                <w:sz w:val="24"/>
                <w:szCs w:val="24"/>
                <w:lang w:val="ro-RO"/>
              </w:rPr>
              <w:t xml:space="preserve"> minim</w:t>
            </w:r>
            <w:r w:rsidR="000F1D84" w:rsidRPr="00BD050E">
              <w:rPr>
                <w:rFonts w:asciiTheme="majorHAnsi" w:hAnsiTheme="majorHAnsi" w:cstheme="majorHAnsi"/>
                <w:color w:val="000000" w:themeColor="text1"/>
                <w:sz w:val="24"/>
                <w:szCs w:val="24"/>
                <w:lang w:val="ro-RO"/>
              </w:rPr>
              <w:t>um</w:t>
            </w:r>
            <w:r w:rsidRPr="00BD050E">
              <w:rPr>
                <w:rFonts w:asciiTheme="majorHAnsi" w:hAnsiTheme="majorHAnsi" w:cstheme="majorHAnsi"/>
                <w:color w:val="000000" w:themeColor="text1"/>
                <w:sz w:val="24"/>
                <w:szCs w:val="24"/>
                <w:lang w:val="ro-RO"/>
              </w:rPr>
              <w:t xml:space="preserve"> 70% pentru 3 categorii generice de prima linie. MS/CNAM (debursat </w:t>
            </w:r>
            <w:r w:rsidR="000F1D84"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bugetul CNAM </w:t>
            </w:r>
            <w:r w:rsidR="000F1D84" w:rsidRPr="00BD050E">
              <w:rPr>
                <w:rFonts w:asciiTheme="majorHAnsi" w:hAnsiTheme="majorHAnsi" w:cstheme="majorHAnsi"/>
                <w:color w:val="000000" w:themeColor="text1"/>
                <w:sz w:val="24"/>
                <w:szCs w:val="24"/>
                <w:lang w:val="ro-RO"/>
              </w:rPr>
              <w:t>la</w:t>
            </w:r>
            <w:r w:rsidRPr="00BD050E">
              <w:rPr>
                <w:rFonts w:asciiTheme="majorHAnsi" w:hAnsiTheme="majorHAnsi" w:cstheme="majorHAnsi"/>
                <w:color w:val="000000" w:themeColor="text1"/>
                <w:sz w:val="24"/>
                <w:szCs w:val="24"/>
                <w:lang w:val="ro-RO"/>
              </w:rPr>
              <w:t xml:space="preserve"> 30.11.2015)</w:t>
            </w:r>
          </w:p>
        </w:tc>
        <w:tc>
          <w:tcPr>
            <w:tcW w:w="1451" w:type="dxa"/>
            <w:vMerge w:val="restart"/>
            <w:hideMark/>
          </w:tcPr>
          <w:p w14:paraId="04A59F88"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c>
          <w:tcPr>
            <w:tcW w:w="1516" w:type="dxa"/>
            <w:vMerge w:val="restart"/>
            <w:hideMark/>
          </w:tcPr>
          <w:p w14:paraId="60E5D0FD"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r>
      <w:tr w:rsidR="00814F8E" w:rsidRPr="00BD050E" w14:paraId="58346933" w14:textId="77777777" w:rsidTr="00D62E73">
        <w:trPr>
          <w:trHeight w:val="476"/>
        </w:trPr>
        <w:tc>
          <w:tcPr>
            <w:tcW w:w="1844" w:type="dxa"/>
            <w:vMerge/>
            <w:hideMark/>
          </w:tcPr>
          <w:p w14:paraId="74FCD960"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232C3070"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714AF633"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63D40799"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4B717070" w14:textId="77777777" w:rsidTr="00D62E73">
        <w:trPr>
          <w:trHeight w:val="476"/>
        </w:trPr>
        <w:tc>
          <w:tcPr>
            <w:tcW w:w="1844" w:type="dxa"/>
            <w:vMerge/>
            <w:hideMark/>
          </w:tcPr>
          <w:p w14:paraId="6DB4A397"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45F4BE6F"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593A756D"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32B7ACEB"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307EFC00" w14:textId="77777777" w:rsidTr="00D62E73">
        <w:trPr>
          <w:trHeight w:val="337"/>
        </w:trPr>
        <w:tc>
          <w:tcPr>
            <w:tcW w:w="1844" w:type="dxa"/>
            <w:vMerge w:val="restart"/>
            <w:hideMark/>
          </w:tcPr>
          <w:p w14:paraId="59F353F3" w14:textId="507FE8EC" w:rsidR="0036424B" w:rsidRPr="00BD050E" w:rsidRDefault="00D62E73"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6 (MS</w:t>
            </w:r>
            <w:r w:rsidR="0036424B" w:rsidRPr="00BD050E">
              <w:rPr>
                <w:rFonts w:asciiTheme="majorHAnsi" w:hAnsiTheme="majorHAnsi" w:cstheme="majorHAnsi"/>
                <w:color w:val="000000" w:themeColor="text1"/>
                <w:sz w:val="24"/>
                <w:szCs w:val="24"/>
                <w:lang w:val="ro-RO"/>
              </w:rPr>
              <w:t>+CNAM)</w:t>
            </w:r>
          </w:p>
        </w:tc>
        <w:tc>
          <w:tcPr>
            <w:tcW w:w="4536" w:type="dxa"/>
            <w:vMerge w:val="restart"/>
            <w:hideMark/>
          </w:tcPr>
          <w:p w14:paraId="66E87441" w14:textId="7F1B4393"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Revizuirea (în primul an) şi implementarea </w:t>
            </w:r>
            <w:r w:rsidR="000F1D84" w:rsidRPr="00BD050E">
              <w:rPr>
                <w:rFonts w:asciiTheme="majorHAnsi" w:hAnsiTheme="majorHAnsi" w:cstheme="majorHAnsi"/>
                <w:color w:val="000000" w:themeColor="text1"/>
                <w:sz w:val="24"/>
                <w:szCs w:val="24"/>
                <w:lang w:val="ro-RO"/>
              </w:rPr>
              <w:t>S</w:t>
            </w:r>
            <w:r w:rsidRPr="00BD050E">
              <w:rPr>
                <w:rFonts w:asciiTheme="majorHAnsi" w:hAnsiTheme="majorHAnsi" w:cstheme="majorHAnsi"/>
                <w:color w:val="000000" w:themeColor="text1"/>
                <w:sz w:val="24"/>
                <w:szCs w:val="24"/>
                <w:lang w:val="ro-RO"/>
              </w:rPr>
              <w:t>chemei de stimulare bazat</w:t>
            </w:r>
            <w:r w:rsidR="0078350E" w:rsidRPr="00BD050E">
              <w:rPr>
                <w:rFonts w:asciiTheme="majorHAnsi" w:hAnsiTheme="majorHAnsi" w:cstheme="majorHAnsi"/>
                <w:color w:val="000000" w:themeColor="text1"/>
                <w:sz w:val="24"/>
                <w:szCs w:val="24"/>
                <w:lang w:val="ro-RO"/>
              </w:rPr>
              <w:t>e</w:t>
            </w:r>
            <w:r w:rsidRPr="00BD050E">
              <w:rPr>
                <w:rFonts w:asciiTheme="majorHAnsi" w:hAnsiTheme="majorHAnsi" w:cstheme="majorHAnsi"/>
                <w:color w:val="000000" w:themeColor="text1"/>
                <w:sz w:val="24"/>
                <w:szCs w:val="24"/>
                <w:lang w:val="ro-RO"/>
              </w:rPr>
              <w:t xml:space="preserve"> pe performanță în asistența medicală primară (contractarea tuturor CS/CMF pe parcursul a 3 ani ulteriori). MS/CNAM</w:t>
            </w:r>
          </w:p>
        </w:tc>
        <w:tc>
          <w:tcPr>
            <w:tcW w:w="1451" w:type="dxa"/>
            <w:vMerge w:val="restart"/>
            <w:hideMark/>
          </w:tcPr>
          <w:p w14:paraId="7EC0DFCA"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50,0%</w:t>
            </w:r>
          </w:p>
        </w:tc>
        <w:tc>
          <w:tcPr>
            <w:tcW w:w="1516" w:type="dxa"/>
            <w:vMerge w:val="restart"/>
            <w:hideMark/>
          </w:tcPr>
          <w:p w14:paraId="48564417"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50,0%</w:t>
            </w:r>
          </w:p>
        </w:tc>
      </w:tr>
      <w:tr w:rsidR="00814F8E" w:rsidRPr="00BD050E" w14:paraId="04B13889" w14:textId="77777777" w:rsidTr="00D62E73">
        <w:trPr>
          <w:trHeight w:val="476"/>
        </w:trPr>
        <w:tc>
          <w:tcPr>
            <w:tcW w:w="1844" w:type="dxa"/>
            <w:vMerge/>
            <w:hideMark/>
          </w:tcPr>
          <w:p w14:paraId="12965715"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2C977442"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4953C139"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2D2878DB"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165E5D01" w14:textId="77777777" w:rsidTr="00D62E73">
        <w:trPr>
          <w:trHeight w:val="476"/>
        </w:trPr>
        <w:tc>
          <w:tcPr>
            <w:tcW w:w="1844" w:type="dxa"/>
            <w:vMerge/>
            <w:hideMark/>
          </w:tcPr>
          <w:p w14:paraId="1DD2A47B"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34FCCBD1"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6123CF31"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35D06278"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46D21799" w14:textId="77777777" w:rsidTr="00D62E73">
        <w:trPr>
          <w:trHeight w:val="337"/>
        </w:trPr>
        <w:tc>
          <w:tcPr>
            <w:tcW w:w="1844" w:type="dxa"/>
            <w:vMerge w:val="restart"/>
            <w:hideMark/>
          </w:tcPr>
          <w:p w14:paraId="3D22A6D0" w14:textId="60A61A60" w:rsidR="0036424B" w:rsidRPr="00BD050E" w:rsidRDefault="00D62E73"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7 (MS</w:t>
            </w:r>
            <w:r w:rsidR="0036424B" w:rsidRPr="00BD050E">
              <w:rPr>
                <w:rFonts w:asciiTheme="majorHAnsi" w:hAnsiTheme="majorHAnsi" w:cstheme="majorHAnsi"/>
                <w:color w:val="000000" w:themeColor="text1"/>
                <w:sz w:val="24"/>
                <w:szCs w:val="24"/>
                <w:lang w:val="ro-RO"/>
              </w:rPr>
              <w:t>+CNAM)</w:t>
            </w:r>
          </w:p>
        </w:tc>
        <w:tc>
          <w:tcPr>
            <w:tcW w:w="4536" w:type="dxa"/>
            <w:vMerge w:val="restart"/>
            <w:hideMark/>
          </w:tcPr>
          <w:p w14:paraId="75663CEC" w14:textId="23E0AA71"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Elaborarea (an I-i), pilotarea (an II-i), adoptarea (an III-i) şi implementarea </w:t>
            </w:r>
            <w:r w:rsidR="000F1D84" w:rsidRPr="00BD050E">
              <w:rPr>
                <w:rFonts w:asciiTheme="majorHAnsi" w:hAnsiTheme="majorHAnsi" w:cstheme="majorHAnsi"/>
                <w:color w:val="000000" w:themeColor="text1"/>
                <w:sz w:val="24"/>
                <w:szCs w:val="24"/>
                <w:lang w:val="ro-RO"/>
              </w:rPr>
              <w:t>S</w:t>
            </w:r>
            <w:r w:rsidRPr="00BD050E">
              <w:rPr>
                <w:rFonts w:asciiTheme="majorHAnsi" w:hAnsiTheme="majorHAnsi" w:cstheme="majorHAnsi"/>
                <w:color w:val="000000" w:themeColor="text1"/>
                <w:sz w:val="24"/>
                <w:szCs w:val="24"/>
                <w:lang w:val="ro-RO"/>
              </w:rPr>
              <w:t>chemei de stimulare bazat</w:t>
            </w:r>
            <w:r w:rsidR="0078350E" w:rsidRPr="00BD050E">
              <w:rPr>
                <w:rFonts w:asciiTheme="majorHAnsi" w:hAnsiTheme="majorHAnsi" w:cstheme="majorHAnsi"/>
                <w:color w:val="000000" w:themeColor="text1"/>
                <w:sz w:val="24"/>
                <w:szCs w:val="24"/>
                <w:lang w:val="ro-RO"/>
              </w:rPr>
              <w:t>e</w:t>
            </w:r>
            <w:r w:rsidRPr="00BD050E">
              <w:rPr>
                <w:rFonts w:asciiTheme="majorHAnsi" w:hAnsiTheme="majorHAnsi" w:cstheme="majorHAnsi"/>
                <w:color w:val="000000" w:themeColor="text1"/>
                <w:sz w:val="24"/>
                <w:szCs w:val="24"/>
                <w:lang w:val="ro-RO"/>
              </w:rPr>
              <w:t xml:space="preserve"> pe performanță în spitale (prin semnarea contractelor  cu toate spitalele în anul IV). MS/CNAM</w:t>
            </w:r>
          </w:p>
        </w:tc>
        <w:tc>
          <w:tcPr>
            <w:tcW w:w="1451" w:type="dxa"/>
            <w:vMerge w:val="restart"/>
            <w:hideMark/>
          </w:tcPr>
          <w:p w14:paraId="6E3C0EE3"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13,5%</w:t>
            </w:r>
          </w:p>
        </w:tc>
        <w:tc>
          <w:tcPr>
            <w:tcW w:w="1516" w:type="dxa"/>
            <w:vMerge w:val="restart"/>
            <w:hideMark/>
          </w:tcPr>
          <w:p w14:paraId="1113FCB3"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86,5%</w:t>
            </w:r>
          </w:p>
        </w:tc>
      </w:tr>
      <w:tr w:rsidR="00814F8E" w:rsidRPr="00BD050E" w14:paraId="43459812" w14:textId="77777777" w:rsidTr="00D62E73">
        <w:trPr>
          <w:trHeight w:val="476"/>
        </w:trPr>
        <w:tc>
          <w:tcPr>
            <w:tcW w:w="1844" w:type="dxa"/>
            <w:vMerge/>
            <w:hideMark/>
          </w:tcPr>
          <w:p w14:paraId="04E027BF"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266171BA"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0354ADE9"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62A0861B"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607B3F85" w14:textId="77777777" w:rsidTr="00D62E73">
        <w:trPr>
          <w:trHeight w:val="476"/>
        </w:trPr>
        <w:tc>
          <w:tcPr>
            <w:tcW w:w="1844" w:type="dxa"/>
            <w:vMerge/>
            <w:hideMark/>
          </w:tcPr>
          <w:p w14:paraId="5FE7C859"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59FDE80E"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7CBC463C"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5DDF743D"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13FBD209" w14:textId="77777777" w:rsidTr="00D62E73">
        <w:trPr>
          <w:trHeight w:val="337"/>
        </w:trPr>
        <w:tc>
          <w:tcPr>
            <w:tcW w:w="1844" w:type="dxa"/>
            <w:vMerge w:val="restart"/>
            <w:hideMark/>
          </w:tcPr>
          <w:p w14:paraId="7340B8B7"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8 (CNAM)</w:t>
            </w:r>
          </w:p>
        </w:tc>
        <w:tc>
          <w:tcPr>
            <w:tcW w:w="4536" w:type="dxa"/>
            <w:vMerge w:val="restart"/>
            <w:hideMark/>
          </w:tcPr>
          <w:p w14:paraId="14FB37CC" w14:textId="0C4E45C5"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Implementarea şi actualizarea prețurilor DRG, în baza datelor </w:t>
            </w:r>
            <w:r w:rsidR="000F1D84" w:rsidRPr="00BD050E">
              <w:rPr>
                <w:rFonts w:asciiTheme="majorHAnsi" w:hAnsiTheme="majorHAnsi" w:cstheme="majorHAnsi"/>
                <w:color w:val="000000" w:themeColor="text1"/>
                <w:sz w:val="24"/>
                <w:szCs w:val="24"/>
                <w:lang w:val="ro-RO"/>
              </w:rPr>
              <w:t>p</w:t>
            </w:r>
            <w:r w:rsidRPr="00BD050E">
              <w:rPr>
                <w:rFonts w:asciiTheme="majorHAnsi" w:hAnsiTheme="majorHAnsi" w:cstheme="majorHAnsi"/>
                <w:color w:val="000000" w:themeColor="text1"/>
                <w:sz w:val="24"/>
                <w:szCs w:val="24"/>
                <w:lang w:val="ro-RO"/>
              </w:rPr>
              <w:t xml:space="preserve">e ţară, pentru achitarea </w:t>
            </w:r>
            <w:r w:rsidR="00CD3C6F" w:rsidRPr="00BD050E">
              <w:rPr>
                <w:rFonts w:asciiTheme="majorHAnsi" w:hAnsiTheme="majorHAnsi" w:cstheme="majorHAnsi"/>
                <w:color w:val="000000" w:themeColor="text1"/>
                <w:sz w:val="24"/>
                <w:szCs w:val="24"/>
                <w:lang w:val="ro-RO"/>
              </w:rPr>
              <w:t xml:space="preserve">către </w:t>
            </w:r>
            <w:r w:rsidRPr="00BD050E">
              <w:rPr>
                <w:rFonts w:asciiTheme="majorHAnsi" w:hAnsiTheme="majorHAnsi" w:cstheme="majorHAnsi"/>
                <w:color w:val="000000" w:themeColor="text1"/>
                <w:sz w:val="24"/>
                <w:szCs w:val="24"/>
                <w:lang w:val="ro-RO"/>
              </w:rPr>
              <w:t>spitalel</w:t>
            </w:r>
            <w:r w:rsidR="00CD3C6F" w:rsidRPr="00BD050E">
              <w:rPr>
                <w:rFonts w:asciiTheme="majorHAnsi" w:hAnsiTheme="majorHAnsi" w:cstheme="majorHAnsi"/>
                <w:color w:val="000000" w:themeColor="text1"/>
                <w:sz w:val="24"/>
                <w:szCs w:val="24"/>
                <w:lang w:val="ro-RO"/>
              </w:rPr>
              <w:t>e</w:t>
            </w:r>
            <w:r w:rsidRPr="00BD050E">
              <w:rPr>
                <w:rFonts w:asciiTheme="majorHAnsi" w:hAnsiTheme="majorHAnsi" w:cstheme="majorHAnsi"/>
                <w:color w:val="000000" w:themeColor="text1"/>
                <w:sz w:val="24"/>
                <w:szCs w:val="24"/>
                <w:lang w:val="ro-RO"/>
              </w:rPr>
              <w:t xml:space="preserve"> publice  </w:t>
            </w:r>
            <w:r w:rsidR="00CD3C6F" w:rsidRPr="00BD050E">
              <w:rPr>
                <w:rFonts w:asciiTheme="majorHAnsi" w:hAnsiTheme="majorHAnsi" w:cstheme="majorHAnsi"/>
                <w:color w:val="000000" w:themeColor="text1"/>
                <w:sz w:val="24"/>
                <w:szCs w:val="24"/>
                <w:lang w:val="ro-RO"/>
              </w:rPr>
              <w:t>de</w:t>
            </w:r>
            <w:r w:rsidRPr="00BD050E">
              <w:rPr>
                <w:rFonts w:asciiTheme="majorHAnsi" w:hAnsiTheme="majorHAnsi" w:cstheme="majorHAnsi"/>
                <w:color w:val="000000" w:themeColor="text1"/>
                <w:sz w:val="24"/>
                <w:szCs w:val="24"/>
                <w:lang w:val="ro-RO"/>
              </w:rPr>
              <w:t xml:space="preserve"> îngrijire acută (pentru anul IV)</w:t>
            </w:r>
            <w:r w:rsidR="00CD3C6F" w:rsidRPr="00BD050E">
              <w:rPr>
                <w:rFonts w:asciiTheme="majorHAnsi" w:hAnsiTheme="majorHAnsi" w:cstheme="majorHAnsi"/>
                <w:color w:val="000000" w:themeColor="text1"/>
                <w:sz w:val="24"/>
                <w:szCs w:val="24"/>
                <w:lang w:val="ro-RO"/>
              </w:rPr>
              <w:t>, i</w:t>
            </w:r>
            <w:r w:rsidRPr="00BD050E">
              <w:rPr>
                <w:rFonts w:asciiTheme="majorHAnsi" w:hAnsiTheme="majorHAnsi" w:cstheme="majorHAnsi"/>
                <w:color w:val="000000" w:themeColor="text1"/>
                <w:sz w:val="24"/>
                <w:szCs w:val="24"/>
                <w:lang w:val="ro-RO"/>
              </w:rPr>
              <w:t xml:space="preserve">ar plățile în baza DRG pentru spitalele publice </w:t>
            </w:r>
            <w:r w:rsidR="00CD3C6F" w:rsidRPr="00BD050E">
              <w:rPr>
                <w:rFonts w:asciiTheme="majorHAnsi" w:hAnsiTheme="majorHAnsi" w:cstheme="majorHAnsi"/>
                <w:color w:val="000000" w:themeColor="text1"/>
                <w:sz w:val="24"/>
                <w:szCs w:val="24"/>
                <w:lang w:val="ro-RO"/>
              </w:rPr>
              <w:t xml:space="preserve">de îngrijire </w:t>
            </w:r>
            <w:r w:rsidRPr="00BD050E">
              <w:rPr>
                <w:rFonts w:asciiTheme="majorHAnsi" w:hAnsiTheme="majorHAnsi" w:cstheme="majorHAnsi"/>
                <w:color w:val="000000" w:themeColor="text1"/>
                <w:sz w:val="24"/>
                <w:szCs w:val="24"/>
                <w:lang w:val="ro-RO"/>
              </w:rPr>
              <w:t>acut</w:t>
            </w:r>
            <w:r w:rsidR="00CD3C6F" w:rsidRPr="00BD050E">
              <w:rPr>
                <w:rFonts w:asciiTheme="majorHAnsi" w:hAnsiTheme="majorHAnsi" w:cstheme="majorHAnsi"/>
                <w:color w:val="000000" w:themeColor="text1"/>
                <w:sz w:val="24"/>
                <w:szCs w:val="24"/>
                <w:lang w:val="ro-RO"/>
              </w:rPr>
              <w:t xml:space="preserve">ă </w:t>
            </w:r>
            <w:r w:rsidRPr="00BD050E">
              <w:rPr>
                <w:rFonts w:asciiTheme="majorHAnsi" w:hAnsiTheme="majorHAnsi" w:cstheme="majorHAnsi"/>
                <w:color w:val="000000" w:themeColor="text1"/>
                <w:sz w:val="24"/>
                <w:szCs w:val="24"/>
                <w:lang w:val="ro-RO"/>
              </w:rPr>
              <w:t xml:space="preserve"> </w:t>
            </w:r>
            <w:r w:rsidR="00CD3C6F" w:rsidRPr="00BD050E">
              <w:rPr>
                <w:rFonts w:asciiTheme="majorHAnsi" w:hAnsiTheme="majorHAnsi" w:cstheme="majorHAnsi"/>
                <w:color w:val="000000" w:themeColor="text1"/>
                <w:sz w:val="24"/>
                <w:szCs w:val="24"/>
                <w:lang w:val="ro-RO"/>
              </w:rPr>
              <w:t>constituie</w:t>
            </w:r>
            <w:r w:rsidRPr="00BD050E">
              <w:rPr>
                <w:rFonts w:asciiTheme="majorHAnsi" w:hAnsiTheme="majorHAnsi" w:cstheme="majorHAnsi"/>
                <w:color w:val="000000" w:themeColor="text1"/>
                <w:sz w:val="24"/>
                <w:szCs w:val="24"/>
                <w:lang w:val="ro-RO"/>
              </w:rPr>
              <w:t xml:space="preserve"> peste 40% (în an I-i), 50% (an II-i) și 60% (an III-i) din plăţile CNAM destinate spitalelor. MS/CNAM</w:t>
            </w:r>
          </w:p>
        </w:tc>
        <w:tc>
          <w:tcPr>
            <w:tcW w:w="1451" w:type="dxa"/>
            <w:vMerge w:val="restart"/>
            <w:hideMark/>
          </w:tcPr>
          <w:p w14:paraId="04985592"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c>
          <w:tcPr>
            <w:tcW w:w="1516" w:type="dxa"/>
            <w:vMerge w:val="restart"/>
            <w:hideMark/>
          </w:tcPr>
          <w:p w14:paraId="631767F3"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r>
      <w:tr w:rsidR="00814F8E" w:rsidRPr="00BD050E" w14:paraId="2080E62F" w14:textId="77777777" w:rsidTr="00D62E73">
        <w:trPr>
          <w:trHeight w:val="476"/>
        </w:trPr>
        <w:tc>
          <w:tcPr>
            <w:tcW w:w="1844" w:type="dxa"/>
            <w:vMerge/>
            <w:hideMark/>
          </w:tcPr>
          <w:p w14:paraId="3EB5674E"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5048F27A"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198B15AE"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07CB6225"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3D5F9D01" w14:textId="77777777" w:rsidTr="00D62E73">
        <w:trPr>
          <w:trHeight w:val="476"/>
        </w:trPr>
        <w:tc>
          <w:tcPr>
            <w:tcW w:w="1844" w:type="dxa"/>
            <w:vMerge/>
            <w:hideMark/>
          </w:tcPr>
          <w:p w14:paraId="0C0B4A2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28289309"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379D8415"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30E0DBDE"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626BDE4F" w14:textId="77777777" w:rsidTr="00D62E73">
        <w:trPr>
          <w:trHeight w:val="345"/>
        </w:trPr>
        <w:tc>
          <w:tcPr>
            <w:tcW w:w="1844" w:type="dxa"/>
            <w:vMerge w:val="restart"/>
            <w:hideMark/>
          </w:tcPr>
          <w:p w14:paraId="18170289" w14:textId="0B4B546F" w:rsidR="0036424B" w:rsidRPr="00BD050E" w:rsidRDefault="00D62E73"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9 (MS</w:t>
            </w:r>
            <w:r w:rsidR="0036424B" w:rsidRPr="00BD050E">
              <w:rPr>
                <w:rFonts w:asciiTheme="majorHAnsi" w:hAnsiTheme="majorHAnsi" w:cstheme="majorHAnsi"/>
                <w:color w:val="000000" w:themeColor="text1"/>
                <w:sz w:val="24"/>
                <w:szCs w:val="24"/>
                <w:lang w:val="ro-RO"/>
              </w:rPr>
              <w:t>)</w:t>
            </w:r>
          </w:p>
        </w:tc>
        <w:tc>
          <w:tcPr>
            <w:tcW w:w="4536" w:type="dxa"/>
            <w:vMerge w:val="restart"/>
            <w:hideMark/>
          </w:tcPr>
          <w:p w14:paraId="45C90D13" w14:textId="31D755BB" w:rsidR="0036424B" w:rsidRPr="00BD050E" w:rsidRDefault="0036424B"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Consolidarea spitalelor de</w:t>
            </w:r>
            <w:r w:rsidR="00D62E73" w:rsidRPr="00BD050E">
              <w:rPr>
                <w:rFonts w:asciiTheme="majorHAnsi" w:hAnsiTheme="majorHAnsi" w:cstheme="majorHAnsi"/>
                <w:color w:val="000000" w:themeColor="text1"/>
                <w:sz w:val="24"/>
                <w:szCs w:val="24"/>
                <w:lang w:val="ro-RO"/>
              </w:rPr>
              <w:t xml:space="preserve">partamentale </w:t>
            </w:r>
            <w:r w:rsidR="00666D25" w:rsidRPr="00BD050E">
              <w:rPr>
                <w:rFonts w:asciiTheme="majorHAnsi" w:hAnsiTheme="majorHAnsi" w:cstheme="majorHAnsi"/>
                <w:color w:val="000000" w:themeColor="text1"/>
                <w:sz w:val="24"/>
                <w:szCs w:val="24"/>
                <w:lang w:val="ro-RO"/>
              </w:rPr>
              <w:t>di</w:t>
            </w:r>
            <w:r w:rsidR="00D62E73" w:rsidRPr="00BD050E">
              <w:rPr>
                <w:rFonts w:asciiTheme="majorHAnsi" w:hAnsiTheme="majorHAnsi" w:cstheme="majorHAnsi"/>
                <w:color w:val="000000" w:themeColor="text1"/>
                <w:sz w:val="24"/>
                <w:szCs w:val="24"/>
                <w:lang w:val="ro-RO"/>
              </w:rPr>
              <w:t>n subordinea MS</w:t>
            </w:r>
            <w:r w:rsidRPr="00BD050E">
              <w:rPr>
                <w:rFonts w:asciiTheme="majorHAnsi" w:hAnsiTheme="majorHAnsi" w:cstheme="majorHAnsi"/>
                <w:color w:val="000000" w:themeColor="text1"/>
                <w:sz w:val="24"/>
                <w:szCs w:val="24"/>
                <w:lang w:val="ro-RO"/>
              </w:rPr>
              <w:t xml:space="preserve"> (3 spitale din C</w:t>
            </w:r>
            <w:r w:rsidR="00D62E73" w:rsidRPr="00BD050E">
              <w:rPr>
                <w:rFonts w:asciiTheme="majorHAnsi" w:hAnsiTheme="majorHAnsi" w:cstheme="majorHAnsi"/>
                <w:color w:val="000000" w:themeColor="text1"/>
                <w:sz w:val="24"/>
                <w:szCs w:val="24"/>
                <w:lang w:val="ro-RO"/>
              </w:rPr>
              <w:t>hișinău sub managementul comun</w:t>
            </w:r>
            <w:r w:rsidR="00CD3C6F" w:rsidRPr="00BD050E">
              <w:rPr>
                <w:rFonts w:asciiTheme="majorHAnsi" w:hAnsiTheme="majorHAnsi" w:cstheme="majorHAnsi"/>
                <w:color w:val="000000" w:themeColor="text1"/>
                <w:sz w:val="24"/>
                <w:szCs w:val="24"/>
                <w:lang w:val="ro-RO"/>
              </w:rPr>
              <w:t>)</w:t>
            </w:r>
          </w:p>
        </w:tc>
        <w:tc>
          <w:tcPr>
            <w:tcW w:w="1451" w:type="dxa"/>
            <w:vMerge w:val="restart"/>
            <w:hideMark/>
          </w:tcPr>
          <w:p w14:paraId="4D075A6F"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c>
          <w:tcPr>
            <w:tcW w:w="1516" w:type="dxa"/>
            <w:vMerge w:val="restart"/>
            <w:hideMark/>
          </w:tcPr>
          <w:p w14:paraId="2E252792"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r>
      <w:tr w:rsidR="00814F8E" w:rsidRPr="00BD050E" w14:paraId="07A69CC2" w14:textId="77777777" w:rsidTr="00D62E73">
        <w:trPr>
          <w:trHeight w:val="476"/>
        </w:trPr>
        <w:tc>
          <w:tcPr>
            <w:tcW w:w="1844" w:type="dxa"/>
            <w:vMerge/>
            <w:hideMark/>
          </w:tcPr>
          <w:p w14:paraId="5F3C6778"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2B5A6094"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4537DC84"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0B138A20"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036F0995" w14:textId="77777777" w:rsidTr="00D62E73">
        <w:trPr>
          <w:trHeight w:val="476"/>
        </w:trPr>
        <w:tc>
          <w:tcPr>
            <w:tcW w:w="1844" w:type="dxa"/>
            <w:vMerge/>
            <w:hideMark/>
          </w:tcPr>
          <w:p w14:paraId="1DD87B9F"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hideMark/>
          </w:tcPr>
          <w:p w14:paraId="150B3EA2" w14:textId="77777777" w:rsidR="0036424B" w:rsidRPr="00BD050E" w:rsidRDefault="0036424B" w:rsidP="000B4C5A">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hideMark/>
          </w:tcPr>
          <w:p w14:paraId="6B6E8558"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hideMark/>
          </w:tcPr>
          <w:p w14:paraId="09FE7F87" w14:textId="77777777" w:rsidR="0036424B" w:rsidRPr="00BD050E" w:rsidRDefault="0036424B" w:rsidP="000B4C5A">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BD050E" w14:paraId="0121C6EE" w14:textId="77777777" w:rsidTr="00D62E73">
        <w:trPr>
          <w:trHeight w:val="337"/>
        </w:trPr>
        <w:tc>
          <w:tcPr>
            <w:tcW w:w="1844" w:type="dxa"/>
          </w:tcPr>
          <w:p w14:paraId="6585EB28" w14:textId="34B3DC3D" w:rsidR="00D62E73" w:rsidRPr="00BD050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10 (MS)</w:t>
            </w:r>
          </w:p>
        </w:tc>
        <w:tc>
          <w:tcPr>
            <w:tcW w:w="4536" w:type="dxa"/>
          </w:tcPr>
          <w:p w14:paraId="5D9B545E" w14:textId="11A55575" w:rsidR="00D62E73" w:rsidRPr="00BD050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 xml:space="preserve">Aprobarea modificărilor Strategiei de dezvoltare a sistemului de sănătate, cu măsurile de raționalizare a spitalelor: regionalizarea lor, introducerea managementului comun și crearea spitalului universitar. MS (debursat </w:t>
            </w:r>
            <w:r w:rsidR="00CD3C6F" w:rsidRPr="00BD050E">
              <w:rPr>
                <w:rFonts w:asciiTheme="majorHAnsi" w:hAnsiTheme="majorHAnsi" w:cstheme="majorHAnsi"/>
                <w:color w:val="000000" w:themeColor="text1"/>
                <w:sz w:val="24"/>
                <w:szCs w:val="24"/>
                <w:lang w:val="ro-RO"/>
              </w:rPr>
              <w:t>în</w:t>
            </w:r>
            <w:r w:rsidRPr="00BD050E">
              <w:rPr>
                <w:rFonts w:asciiTheme="majorHAnsi" w:hAnsiTheme="majorHAnsi" w:cstheme="majorHAnsi"/>
                <w:color w:val="000000" w:themeColor="text1"/>
                <w:sz w:val="24"/>
                <w:szCs w:val="24"/>
                <w:lang w:val="ro-RO"/>
              </w:rPr>
              <w:t xml:space="preserve"> bugetul MS </w:t>
            </w:r>
            <w:r w:rsidR="00CD3C6F" w:rsidRPr="00BD050E">
              <w:rPr>
                <w:rFonts w:asciiTheme="majorHAnsi" w:hAnsiTheme="majorHAnsi" w:cstheme="majorHAnsi"/>
                <w:color w:val="000000" w:themeColor="text1"/>
                <w:sz w:val="24"/>
                <w:szCs w:val="24"/>
                <w:lang w:val="ro-RO"/>
              </w:rPr>
              <w:t xml:space="preserve">la </w:t>
            </w:r>
            <w:r w:rsidRPr="00BD050E">
              <w:rPr>
                <w:rFonts w:asciiTheme="majorHAnsi" w:hAnsiTheme="majorHAnsi" w:cstheme="majorHAnsi"/>
                <w:color w:val="000000" w:themeColor="text1"/>
                <w:sz w:val="24"/>
                <w:szCs w:val="24"/>
                <w:lang w:val="ro-RO"/>
              </w:rPr>
              <w:t xml:space="preserve"> 30.11.2015)</w:t>
            </w:r>
          </w:p>
        </w:tc>
        <w:tc>
          <w:tcPr>
            <w:tcW w:w="1451" w:type="dxa"/>
          </w:tcPr>
          <w:p w14:paraId="2B007723" w14:textId="643B53C6" w:rsidR="00D62E73" w:rsidRPr="00BD050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c>
          <w:tcPr>
            <w:tcW w:w="1516" w:type="dxa"/>
          </w:tcPr>
          <w:p w14:paraId="4BE73D26" w14:textId="5309C665" w:rsidR="00D62E73" w:rsidRPr="00BD050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r>
      <w:tr w:rsidR="00814F8E" w:rsidRPr="00814F8E" w14:paraId="4F1B2520" w14:textId="77777777" w:rsidTr="00D62E73">
        <w:trPr>
          <w:trHeight w:val="337"/>
        </w:trPr>
        <w:tc>
          <w:tcPr>
            <w:tcW w:w="1844" w:type="dxa"/>
            <w:vMerge w:val="restart"/>
          </w:tcPr>
          <w:p w14:paraId="55CF3AB2" w14:textId="1EB85B8F" w:rsidR="00D62E73" w:rsidRPr="00BD050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11 (MS)</w:t>
            </w:r>
          </w:p>
        </w:tc>
        <w:tc>
          <w:tcPr>
            <w:tcW w:w="4536" w:type="dxa"/>
            <w:vMerge w:val="restart"/>
          </w:tcPr>
          <w:p w14:paraId="0A0BA6E5" w14:textId="30AD5760" w:rsidR="00D62E73" w:rsidRPr="00BD050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Integrarea lecțiilor învățate în campaniile de comunicare privind schimbarea comportamentului populației și evaluarea gradului de pregătire pentru vaccin</w:t>
            </w:r>
          </w:p>
          <w:p w14:paraId="04FDCFA0" w14:textId="70CE7793" w:rsidR="00D62E73" w:rsidRPr="00BD050E" w:rsidRDefault="00D62E73" w:rsidP="00D62E73">
            <w:pPr>
              <w:tabs>
                <w:tab w:val="left" w:pos="3430"/>
              </w:tabs>
              <w:rPr>
                <w:rFonts w:asciiTheme="majorHAnsi" w:hAnsiTheme="majorHAnsi" w:cstheme="majorHAnsi"/>
                <w:color w:val="000000" w:themeColor="text1"/>
                <w:sz w:val="24"/>
                <w:szCs w:val="24"/>
                <w:lang w:val="ro-RO"/>
              </w:rPr>
            </w:pPr>
            <w:r w:rsidRPr="00BD050E">
              <w:rPr>
                <w:rFonts w:asciiTheme="majorHAnsi" w:hAnsiTheme="majorHAnsi" w:cstheme="majorHAnsi"/>
                <w:color w:val="000000" w:themeColor="text1"/>
                <w:sz w:val="24"/>
                <w:szCs w:val="24"/>
                <w:lang w:val="ro-RO"/>
              </w:rPr>
              <w:tab/>
            </w:r>
          </w:p>
        </w:tc>
        <w:tc>
          <w:tcPr>
            <w:tcW w:w="1451" w:type="dxa"/>
            <w:vMerge w:val="restart"/>
          </w:tcPr>
          <w:p w14:paraId="7C0E45B4" w14:textId="36A192E9" w:rsidR="00D62E73" w:rsidRPr="00BD050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100,0%</w:t>
            </w:r>
          </w:p>
        </w:tc>
        <w:tc>
          <w:tcPr>
            <w:tcW w:w="1516" w:type="dxa"/>
            <w:vMerge w:val="restart"/>
          </w:tcPr>
          <w:p w14:paraId="4A94F22A" w14:textId="6F8DC6C3" w:rsidR="00D62E73" w:rsidRPr="006F2A2F"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r w:rsidRPr="00BD050E">
              <w:rPr>
                <w:rFonts w:asciiTheme="majorHAnsi" w:hAnsiTheme="majorHAnsi" w:cstheme="majorHAnsi"/>
                <w:b/>
                <w:bCs/>
                <w:color w:val="000000" w:themeColor="text1"/>
                <w:sz w:val="24"/>
                <w:szCs w:val="24"/>
                <w:lang w:val="ro-RO"/>
              </w:rPr>
              <w:t>0,0%</w:t>
            </w:r>
          </w:p>
        </w:tc>
      </w:tr>
      <w:tr w:rsidR="00814F8E" w:rsidRPr="00814F8E" w14:paraId="7BFF9570" w14:textId="77777777" w:rsidTr="00D62E73">
        <w:trPr>
          <w:trHeight w:val="337"/>
        </w:trPr>
        <w:tc>
          <w:tcPr>
            <w:tcW w:w="1844" w:type="dxa"/>
            <w:vMerge/>
          </w:tcPr>
          <w:p w14:paraId="2865ABAF"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tcPr>
          <w:p w14:paraId="5F783196"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tcPr>
          <w:p w14:paraId="21133F9B"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tcPr>
          <w:p w14:paraId="7A7BD74D"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814F8E" w14:paraId="1A964F4A" w14:textId="77777777" w:rsidTr="00D62E73">
        <w:trPr>
          <w:trHeight w:val="337"/>
        </w:trPr>
        <w:tc>
          <w:tcPr>
            <w:tcW w:w="1844" w:type="dxa"/>
            <w:vMerge/>
          </w:tcPr>
          <w:p w14:paraId="3C694EA1"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tcPr>
          <w:p w14:paraId="2EFA56FF"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tcPr>
          <w:p w14:paraId="54E84CAD"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tcPr>
          <w:p w14:paraId="6ED27318"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814F8E" w:rsidRPr="00814F8E" w14:paraId="39EE21B8" w14:textId="77777777" w:rsidTr="00D62E73">
        <w:trPr>
          <w:trHeight w:val="476"/>
        </w:trPr>
        <w:tc>
          <w:tcPr>
            <w:tcW w:w="1844" w:type="dxa"/>
            <w:vMerge/>
          </w:tcPr>
          <w:p w14:paraId="5F6C1DBB"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tcPr>
          <w:p w14:paraId="51BD785B"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tcPr>
          <w:p w14:paraId="6CBF2AB3"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tcPr>
          <w:p w14:paraId="7CD60797"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r w:rsidR="00D62E73" w:rsidRPr="00814F8E" w14:paraId="27E8892C" w14:textId="77777777" w:rsidTr="00D62E73">
        <w:trPr>
          <w:trHeight w:val="476"/>
        </w:trPr>
        <w:tc>
          <w:tcPr>
            <w:tcW w:w="1844" w:type="dxa"/>
            <w:vMerge/>
          </w:tcPr>
          <w:p w14:paraId="7F905F0A"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4536" w:type="dxa"/>
            <w:vMerge/>
          </w:tcPr>
          <w:p w14:paraId="609B029C" w14:textId="77777777" w:rsidR="00D62E73" w:rsidRPr="00814F8E" w:rsidRDefault="00D62E73" w:rsidP="00D62E73">
            <w:pPr>
              <w:tabs>
                <w:tab w:val="left" w:pos="1080"/>
              </w:tabs>
              <w:spacing w:line="276" w:lineRule="auto"/>
              <w:contextualSpacing/>
              <w:jc w:val="both"/>
              <w:rPr>
                <w:rFonts w:asciiTheme="majorHAnsi" w:hAnsiTheme="majorHAnsi" w:cstheme="majorHAnsi"/>
                <w:color w:val="000000" w:themeColor="text1"/>
                <w:sz w:val="24"/>
                <w:szCs w:val="24"/>
                <w:lang w:val="ro-RO"/>
              </w:rPr>
            </w:pPr>
          </w:p>
        </w:tc>
        <w:tc>
          <w:tcPr>
            <w:tcW w:w="1451" w:type="dxa"/>
            <w:vMerge/>
          </w:tcPr>
          <w:p w14:paraId="35BFFDCE"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c>
          <w:tcPr>
            <w:tcW w:w="1516" w:type="dxa"/>
            <w:vMerge/>
          </w:tcPr>
          <w:p w14:paraId="2178873A" w14:textId="77777777" w:rsidR="00D62E73" w:rsidRPr="00814F8E" w:rsidRDefault="00D62E73" w:rsidP="00D62E73">
            <w:pPr>
              <w:tabs>
                <w:tab w:val="left" w:pos="1080"/>
              </w:tabs>
              <w:spacing w:line="276" w:lineRule="auto"/>
              <w:contextualSpacing/>
              <w:jc w:val="both"/>
              <w:rPr>
                <w:rFonts w:asciiTheme="majorHAnsi" w:hAnsiTheme="majorHAnsi" w:cstheme="majorHAnsi"/>
                <w:b/>
                <w:bCs/>
                <w:color w:val="000000" w:themeColor="text1"/>
                <w:sz w:val="24"/>
                <w:szCs w:val="24"/>
                <w:lang w:val="ro-RO"/>
              </w:rPr>
            </w:pPr>
          </w:p>
        </w:tc>
      </w:tr>
    </w:tbl>
    <w:p w14:paraId="1EE3334E" w14:textId="77777777" w:rsidR="0036424B" w:rsidRPr="00814F8E" w:rsidRDefault="0036424B" w:rsidP="0036424B">
      <w:pPr>
        <w:tabs>
          <w:tab w:val="left" w:pos="1080"/>
        </w:tabs>
        <w:spacing w:after="0" w:line="276" w:lineRule="auto"/>
        <w:contextualSpacing/>
        <w:jc w:val="both"/>
        <w:rPr>
          <w:rFonts w:asciiTheme="majorHAnsi" w:hAnsiTheme="majorHAnsi" w:cstheme="majorHAnsi"/>
          <w:color w:val="000000" w:themeColor="text1"/>
          <w:sz w:val="24"/>
          <w:szCs w:val="24"/>
          <w:lang w:val="ro-RO"/>
        </w:rPr>
      </w:pPr>
    </w:p>
    <w:p w14:paraId="0D33F468" w14:textId="77777777" w:rsidR="0036424B" w:rsidRPr="00814F8E" w:rsidRDefault="0036424B" w:rsidP="0036424B">
      <w:pPr>
        <w:rPr>
          <w:color w:val="000000" w:themeColor="text1"/>
          <w:lang w:val="ro-RO"/>
        </w:rPr>
      </w:pPr>
    </w:p>
    <w:p w14:paraId="1D33EEAF" w14:textId="77777777" w:rsidR="00A26C34" w:rsidRPr="00814F8E" w:rsidRDefault="00A26C34" w:rsidP="0036424B">
      <w:pPr>
        <w:keepNext/>
        <w:keepLines/>
        <w:spacing w:before="240" w:after="0"/>
        <w:jc w:val="right"/>
        <w:outlineLvl w:val="0"/>
        <w:rPr>
          <w:color w:val="000000" w:themeColor="text1"/>
          <w:lang w:val="ro-RO"/>
        </w:rPr>
      </w:pPr>
    </w:p>
    <w:sectPr w:rsidR="00A26C34" w:rsidRPr="00814F8E" w:rsidSect="00A26C34">
      <w:pgSz w:w="11909" w:h="16834"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1220" w14:textId="77777777" w:rsidR="005B034F" w:rsidRDefault="005B034F" w:rsidP="00963506">
      <w:pPr>
        <w:spacing w:after="0" w:line="240" w:lineRule="auto"/>
      </w:pPr>
      <w:r>
        <w:separator/>
      </w:r>
    </w:p>
  </w:endnote>
  <w:endnote w:type="continuationSeparator" w:id="0">
    <w:p w14:paraId="1A95566A" w14:textId="77777777" w:rsidR="005B034F" w:rsidRDefault="005B034F" w:rsidP="0096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3204"/>
      <w:docPartObj>
        <w:docPartGallery w:val="Page Numbers (Bottom of Page)"/>
        <w:docPartUnique/>
      </w:docPartObj>
    </w:sdtPr>
    <w:sdtEndPr>
      <w:rPr>
        <w:noProof/>
      </w:rPr>
    </w:sdtEndPr>
    <w:sdtContent>
      <w:p w14:paraId="5A9DAF58" w14:textId="50F5B377" w:rsidR="00D57F32" w:rsidRDefault="00D57F32">
        <w:pPr>
          <w:pStyle w:val="Footer"/>
          <w:jc w:val="right"/>
        </w:pPr>
        <w:r w:rsidRPr="007468D7">
          <w:rPr>
            <w:rFonts w:asciiTheme="majorHAnsi" w:hAnsiTheme="majorHAnsi"/>
            <w:sz w:val="24"/>
            <w:szCs w:val="24"/>
          </w:rPr>
          <w:fldChar w:fldCharType="begin"/>
        </w:r>
        <w:r w:rsidRPr="007468D7">
          <w:rPr>
            <w:rFonts w:asciiTheme="majorHAnsi" w:hAnsiTheme="majorHAnsi"/>
            <w:sz w:val="24"/>
            <w:szCs w:val="24"/>
          </w:rPr>
          <w:instrText xml:space="preserve"> PAGE   \* MERGEFORMAT </w:instrText>
        </w:r>
        <w:r w:rsidRPr="007468D7">
          <w:rPr>
            <w:rFonts w:asciiTheme="majorHAnsi" w:hAnsiTheme="majorHAnsi"/>
            <w:sz w:val="24"/>
            <w:szCs w:val="24"/>
          </w:rPr>
          <w:fldChar w:fldCharType="separate"/>
        </w:r>
        <w:r w:rsidR="00EB01D3">
          <w:rPr>
            <w:rFonts w:asciiTheme="majorHAnsi" w:hAnsiTheme="majorHAnsi"/>
            <w:noProof/>
            <w:sz w:val="24"/>
            <w:szCs w:val="24"/>
          </w:rPr>
          <w:t>19</w:t>
        </w:r>
        <w:r w:rsidRPr="007468D7">
          <w:rPr>
            <w:rFonts w:asciiTheme="majorHAnsi" w:hAnsiTheme="majorHAnsi"/>
            <w:noProof/>
            <w:sz w:val="24"/>
            <w:szCs w:val="24"/>
          </w:rPr>
          <w:fldChar w:fldCharType="end"/>
        </w:r>
      </w:p>
    </w:sdtContent>
  </w:sdt>
  <w:p w14:paraId="6E5CAA11" w14:textId="77777777" w:rsidR="00D57F32" w:rsidRDefault="00D5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55E5" w14:textId="77777777" w:rsidR="005B034F" w:rsidRDefault="005B034F" w:rsidP="00963506">
      <w:pPr>
        <w:spacing w:after="0" w:line="240" w:lineRule="auto"/>
      </w:pPr>
      <w:r>
        <w:separator/>
      </w:r>
    </w:p>
  </w:footnote>
  <w:footnote w:type="continuationSeparator" w:id="0">
    <w:p w14:paraId="42798D4F" w14:textId="77777777" w:rsidR="005B034F" w:rsidRDefault="005B034F" w:rsidP="00963506">
      <w:pPr>
        <w:spacing w:after="0" w:line="240" w:lineRule="auto"/>
      </w:pPr>
      <w:r>
        <w:continuationSeparator/>
      </w:r>
    </w:p>
  </w:footnote>
  <w:footnote w:id="1">
    <w:p w14:paraId="12E1577B" w14:textId="77777777" w:rsidR="00D57F32" w:rsidRPr="007B1179" w:rsidRDefault="00D57F32" w:rsidP="007B1179">
      <w:pPr>
        <w:pStyle w:val="FootnoteText"/>
        <w:jc w:val="both"/>
        <w:rPr>
          <w:rFonts w:asciiTheme="majorHAnsi" w:hAnsiTheme="majorHAnsi" w:cstheme="majorHAnsi"/>
          <w:color w:val="000000" w:themeColor="text1"/>
          <w:sz w:val="16"/>
          <w:szCs w:val="16"/>
          <w:lang w:val="ro-MD"/>
        </w:rPr>
      </w:pPr>
      <w:r w:rsidRPr="007B1179">
        <w:rPr>
          <w:rStyle w:val="FootnoteReference"/>
          <w:rFonts w:asciiTheme="majorHAnsi" w:hAnsiTheme="majorHAnsi" w:cstheme="majorHAnsi"/>
          <w:color w:val="000000" w:themeColor="text1"/>
          <w:sz w:val="16"/>
          <w:szCs w:val="16"/>
        </w:rPr>
        <w:footnoteRef/>
      </w:r>
      <w:r w:rsidRPr="007B1179">
        <w:rPr>
          <w:rFonts w:asciiTheme="majorHAnsi" w:hAnsiTheme="majorHAnsi" w:cstheme="majorHAnsi"/>
          <w:color w:val="000000" w:themeColor="text1"/>
          <w:sz w:val="16"/>
          <w:szCs w:val="16"/>
        </w:rPr>
        <w:t xml:space="preserve"> </w:t>
      </w:r>
      <w:r w:rsidRPr="007B1179">
        <w:rPr>
          <w:rFonts w:asciiTheme="majorHAnsi" w:hAnsiTheme="majorHAnsi" w:cstheme="majorHAnsi"/>
          <w:color w:val="000000" w:themeColor="text1"/>
          <w:sz w:val="16"/>
          <w:szCs w:val="16"/>
          <w:lang w:val="ro-MD"/>
        </w:rPr>
        <w:t>Legea nr. 35 din 19-03-2015 pentru ratificarea Acordului de finanțare dintre Republica Moldova şi Asociația Internațională pentru Dezvoltare în vederea realizării Proiectului „Modernizarea sectorului sănătății în Republica Moldova”.</w:t>
      </w:r>
    </w:p>
  </w:footnote>
  <w:footnote w:id="2">
    <w:p w14:paraId="69E5CEC4" w14:textId="59E7DF54" w:rsidR="00D57F32" w:rsidRPr="007B1179" w:rsidRDefault="00D57F32" w:rsidP="007B1179">
      <w:pPr>
        <w:pStyle w:val="FootnoteText"/>
        <w:jc w:val="both"/>
        <w:rPr>
          <w:rFonts w:asciiTheme="majorHAnsi" w:hAnsiTheme="majorHAnsi" w:cstheme="majorHAnsi"/>
          <w:color w:val="000000" w:themeColor="text1"/>
          <w:sz w:val="16"/>
          <w:szCs w:val="16"/>
          <w:lang w:val="ro-MD"/>
        </w:rPr>
      </w:pPr>
      <w:r w:rsidRPr="007B1179">
        <w:rPr>
          <w:rStyle w:val="FootnoteReference"/>
          <w:rFonts w:asciiTheme="majorHAnsi" w:hAnsiTheme="majorHAnsi" w:cstheme="majorHAnsi"/>
          <w:color w:val="000000" w:themeColor="text1"/>
          <w:sz w:val="16"/>
          <w:szCs w:val="16"/>
          <w:lang w:val="ro-MD"/>
        </w:rPr>
        <w:footnoteRef/>
      </w:r>
      <w:r w:rsidRPr="007B1179">
        <w:rPr>
          <w:rFonts w:asciiTheme="majorHAnsi" w:hAnsiTheme="majorHAnsi" w:cstheme="majorHAnsi"/>
          <w:color w:val="000000" w:themeColor="text1"/>
          <w:sz w:val="16"/>
          <w:szCs w:val="16"/>
          <w:lang w:val="ro-MD"/>
        </w:rPr>
        <w:t xml:space="preserve"> </w:t>
      </w:r>
      <w:r w:rsidRPr="005719BF">
        <w:rPr>
          <w:rFonts w:asciiTheme="majorHAnsi" w:hAnsiTheme="majorHAnsi" w:cstheme="majorHAnsi"/>
          <w:color w:val="000000" w:themeColor="text1"/>
          <w:sz w:val="16"/>
          <w:szCs w:val="16"/>
          <w:lang w:val="ro-MD"/>
        </w:rPr>
        <w:t>Ordinul viceministrului finanțelor nr</w:t>
      </w:r>
      <w:r w:rsidRPr="007B1179">
        <w:rPr>
          <w:rFonts w:asciiTheme="majorHAnsi" w:hAnsiTheme="majorHAnsi" w:cstheme="majorHAnsi"/>
          <w:color w:val="000000" w:themeColor="text1"/>
          <w:sz w:val="16"/>
          <w:szCs w:val="16"/>
          <w:lang w:val="ro-MD"/>
        </w:rPr>
        <w:t xml:space="preserve">.216 din 28.12.2015 „Cu privire la aprobarea Planului de conturi contabile în sistemul bugetar şi a Normelor metodologice privind evidența contabilă şi raportarea </w:t>
      </w:r>
      <w:r>
        <w:rPr>
          <w:rFonts w:asciiTheme="majorHAnsi" w:hAnsiTheme="majorHAnsi" w:cstheme="majorHAnsi"/>
          <w:color w:val="000000" w:themeColor="text1"/>
          <w:sz w:val="16"/>
          <w:szCs w:val="16"/>
          <w:lang w:val="ro-MD"/>
        </w:rPr>
        <w:t>financiară în sistemul bugetar”;</w:t>
      </w:r>
    </w:p>
    <w:p w14:paraId="303A212D" w14:textId="77777777" w:rsidR="00D57F32" w:rsidRPr="007B1179" w:rsidRDefault="00D57F32" w:rsidP="007B1179">
      <w:pPr>
        <w:pStyle w:val="FootnoteText"/>
        <w:jc w:val="both"/>
        <w:rPr>
          <w:rFonts w:asciiTheme="majorHAnsi" w:hAnsiTheme="majorHAnsi" w:cstheme="majorHAnsi"/>
          <w:color w:val="000000" w:themeColor="text1"/>
          <w:sz w:val="16"/>
          <w:szCs w:val="16"/>
          <w:lang w:val="ro-MD"/>
        </w:rPr>
      </w:pPr>
      <w:r w:rsidRPr="007B1179">
        <w:rPr>
          <w:rFonts w:asciiTheme="majorHAnsi" w:hAnsiTheme="majorHAnsi" w:cstheme="majorHAnsi"/>
          <w:color w:val="000000" w:themeColor="text1"/>
          <w:sz w:val="16"/>
          <w:szCs w:val="16"/>
          <w:lang w:val="ro-MD"/>
        </w:rPr>
        <w:t>Sursele și utilizarea fondurilor din mijloacele Proiectului de Asistență Tehnică din cadrul Programului „Modernizarea sectorului sănătății în Republica Moldova”, încheiat la 31 decembrie 2020;</w:t>
      </w:r>
      <w:r w:rsidRPr="007B1179">
        <w:rPr>
          <w:rFonts w:asciiTheme="majorHAnsi" w:hAnsiTheme="majorHAnsi" w:cstheme="majorHAnsi"/>
          <w:i/>
          <w:color w:val="000000" w:themeColor="text1"/>
          <w:sz w:val="16"/>
          <w:szCs w:val="16"/>
          <w:lang w:val="ro-MD"/>
        </w:rPr>
        <w:t xml:space="preserve"> </w:t>
      </w:r>
      <w:r w:rsidRPr="007B1179">
        <w:rPr>
          <w:rFonts w:asciiTheme="majorHAnsi" w:hAnsiTheme="majorHAnsi" w:cstheme="majorHAnsi"/>
          <w:color w:val="000000" w:themeColor="text1"/>
          <w:sz w:val="16"/>
          <w:szCs w:val="16"/>
          <w:lang w:val="ro-MD"/>
        </w:rPr>
        <w:t>Raportul privind executarea cheltuielilor din mijloacele Proiectului de Asistență Tehnică din cadrul Programului „Modernizarea sectorului sănătății în Republica Moldova”, încheiat la 31 decembrie 2020;</w:t>
      </w:r>
      <w:r w:rsidRPr="007B1179">
        <w:rPr>
          <w:rFonts w:asciiTheme="majorHAnsi" w:hAnsiTheme="majorHAnsi" w:cstheme="majorHAnsi"/>
          <w:i/>
          <w:color w:val="000000" w:themeColor="text1"/>
          <w:sz w:val="16"/>
          <w:szCs w:val="16"/>
          <w:lang w:val="ro-MD"/>
        </w:rPr>
        <w:t xml:space="preserve"> </w:t>
      </w:r>
      <w:r w:rsidRPr="007B1179">
        <w:rPr>
          <w:rFonts w:asciiTheme="majorHAnsi" w:hAnsiTheme="majorHAnsi" w:cstheme="majorHAnsi"/>
          <w:color w:val="000000" w:themeColor="text1"/>
          <w:sz w:val="16"/>
          <w:szCs w:val="16"/>
          <w:lang w:val="ro-MD"/>
        </w:rPr>
        <w:t>Declarația de contabilitate DA-A aferentă Proiectului de Asistență Tehnică din cadrul Programului „Modernizarea sectorului sănătății în Republica Moldova”, încheiat la 31 decembrie 2020.</w:t>
      </w:r>
    </w:p>
  </w:footnote>
  <w:footnote w:id="3">
    <w:p w14:paraId="41178B5F" w14:textId="77777777" w:rsidR="00D57F32" w:rsidRPr="007B1179" w:rsidRDefault="00D57F32" w:rsidP="007B1179">
      <w:pPr>
        <w:pStyle w:val="FootnoteText"/>
        <w:jc w:val="both"/>
        <w:rPr>
          <w:rFonts w:asciiTheme="majorHAnsi" w:hAnsiTheme="majorHAnsi" w:cstheme="majorHAnsi"/>
          <w:color w:val="000000" w:themeColor="text1"/>
          <w:sz w:val="16"/>
          <w:szCs w:val="16"/>
          <w:lang w:val="ro-MD"/>
        </w:rPr>
      </w:pPr>
      <w:r w:rsidRPr="007B1179">
        <w:rPr>
          <w:rStyle w:val="FootnoteReference"/>
          <w:rFonts w:asciiTheme="majorHAnsi" w:hAnsiTheme="majorHAnsi" w:cstheme="majorHAnsi"/>
          <w:color w:val="000000" w:themeColor="text1"/>
          <w:sz w:val="16"/>
          <w:szCs w:val="16"/>
          <w:lang w:val="ro-MD"/>
        </w:rPr>
        <w:footnoteRef/>
      </w:r>
      <w:r w:rsidRPr="007B1179">
        <w:rPr>
          <w:rFonts w:asciiTheme="majorHAnsi" w:hAnsiTheme="majorHAnsi" w:cstheme="majorHAnsi"/>
          <w:color w:val="000000" w:themeColor="text1"/>
          <w:sz w:val="16"/>
          <w:szCs w:val="16"/>
          <w:lang w:val="ro-MD"/>
        </w:rPr>
        <w:t xml:space="preserve"> ISSAI 1800 „Linii directoare de audit financiar – considerații speciale – audituri ale situațiilor financiare speciale”.</w:t>
      </w:r>
    </w:p>
  </w:footnote>
  <w:footnote w:id="4">
    <w:p w14:paraId="3F4A950D" w14:textId="77777777" w:rsidR="00D57F32" w:rsidRPr="007B1179" w:rsidRDefault="00D57F32" w:rsidP="007B1179">
      <w:pPr>
        <w:pStyle w:val="FootnoteText"/>
        <w:jc w:val="both"/>
        <w:rPr>
          <w:rFonts w:asciiTheme="majorHAnsi" w:hAnsiTheme="majorHAnsi" w:cstheme="majorHAnsi"/>
          <w:color w:val="000000" w:themeColor="text1"/>
          <w:sz w:val="16"/>
          <w:szCs w:val="16"/>
          <w:lang w:val="ro-MD"/>
        </w:rPr>
      </w:pPr>
      <w:r w:rsidRPr="007B1179">
        <w:rPr>
          <w:rStyle w:val="FootnoteReference"/>
          <w:rFonts w:asciiTheme="majorHAnsi" w:hAnsiTheme="majorHAnsi" w:cstheme="majorHAnsi"/>
          <w:color w:val="000000" w:themeColor="text1"/>
          <w:sz w:val="16"/>
          <w:szCs w:val="16"/>
          <w:lang w:val="ro-MD"/>
        </w:rPr>
        <w:footnoteRef/>
      </w:r>
      <w:r w:rsidRPr="007B1179">
        <w:rPr>
          <w:rFonts w:asciiTheme="majorHAnsi" w:hAnsiTheme="majorHAnsi" w:cstheme="majorHAnsi"/>
          <w:color w:val="000000" w:themeColor="text1"/>
          <w:sz w:val="16"/>
          <w:szCs w:val="16"/>
          <w:lang w:val="ro-MD"/>
        </w:rPr>
        <w:t xml:space="preserve"> Standardele Internaționale ale Instituțiilor Supreme de Audit, puse în aplicare prin Hotărârea Curții de Conturi nr.2 din 24.01.2020 „Cu privire la Cadrul Declarațiilor Profesionale ale INTOSAI”.</w:t>
      </w:r>
    </w:p>
  </w:footnote>
  <w:footnote w:id="5">
    <w:p w14:paraId="2B44EFE3" w14:textId="77777777" w:rsidR="00D57F32" w:rsidRPr="007B1179" w:rsidRDefault="00D57F32" w:rsidP="007B1179">
      <w:pPr>
        <w:spacing w:after="0" w:line="240" w:lineRule="auto"/>
        <w:jc w:val="both"/>
        <w:rPr>
          <w:rFonts w:asciiTheme="majorHAnsi" w:hAnsiTheme="majorHAnsi" w:cstheme="majorHAnsi"/>
          <w:color w:val="000000" w:themeColor="text1"/>
          <w:sz w:val="16"/>
          <w:szCs w:val="16"/>
          <w:lang w:val="ro-MD"/>
        </w:rPr>
      </w:pPr>
      <w:r w:rsidRPr="007B1179">
        <w:rPr>
          <w:rStyle w:val="FootnoteReference"/>
          <w:rFonts w:asciiTheme="majorHAnsi" w:hAnsiTheme="majorHAnsi" w:cstheme="majorHAnsi"/>
          <w:color w:val="000000" w:themeColor="text1"/>
          <w:sz w:val="16"/>
          <w:szCs w:val="16"/>
          <w:lang w:val="ro-MD"/>
        </w:rPr>
        <w:footnoteRef/>
      </w:r>
      <w:r w:rsidRPr="007B1179">
        <w:rPr>
          <w:rFonts w:asciiTheme="majorHAnsi" w:hAnsiTheme="majorHAnsi" w:cstheme="majorHAnsi"/>
          <w:color w:val="000000" w:themeColor="text1"/>
          <w:sz w:val="16"/>
          <w:szCs w:val="16"/>
          <w:lang w:val="ro-MD"/>
        </w:rPr>
        <w:t xml:space="preserve"> Hotărârea Curții de Conturi nr. 19  din 05.04.2019 „Cu privire la aprobarea Codului etic al Curții de Conturi”.</w:t>
      </w:r>
    </w:p>
  </w:footnote>
  <w:footnote w:id="6">
    <w:p w14:paraId="2DFD450B" w14:textId="735D2267" w:rsidR="00D57F32" w:rsidRPr="00D57F32" w:rsidRDefault="00D57F32" w:rsidP="007B1179">
      <w:pPr>
        <w:pStyle w:val="FootnoteText"/>
      </w:pPr>
      <w:r w:rsidRPr="007B1179">
        <w:rPr>
          <w:rStyle w:val="FootnoteReference"/>
          <w:rFonts w:asciiTheme="majorHAnsi" w:hAnsiTheme="majorHAnsi" w:cstheme="majorHAnsi"/>
          <w:color w:val="000000" w:themeColor="text1"/>
          <w:sz w:val="16"/>
          <w:szCs w:val="16"/>
        </w:rPr>
        <w:footnoteRef/>
      </w:r>
      <w:r w:rsidRPr="007B1179">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ILD</w:t>
      </w:r>
      <w:r w:rsidRPr="007B1179">
        <w:rPr>
          <w:rFonts w:asciiTheme="majorHAnsi" w:hAnsiTheme="majorHAnsi" w:cstheme="majorHAnsi"/>
          <w:color w:val="000000" w:themeColor="text1"/>
          <w:sz w:val="16"/>
          <w:szCs w:val="16"/>
        </w:rPr>
        <w:t xml:space="preserve"> 1:Toate </w:t>
      </w:r>
      <w:r>
        <w:rPr>
          <w:rFonts w:asciiTheme="majorHAnsi" w:hAnsiTheme="majorHAnsi" w:cstheme="majorHAnsi"/>
          <w:color w:val="000000" w:themeColor="text1"/>
          <w:sz w:val="16"/>
          <w:szCs w:val="16"/>
        </w:rPr>
        <w:t>ț</w:t>
      </w:r>
      <w:r w:rsidRPr="007B1179">
        <w:rPr>
          <w:rFonts w:asciiTheme="majorHAnsi" w:hAnsiTheme="majorHAnsi" w:cstheme="majorHAnsi"/>
          <w:color w:val="000000" w:themeColor="text1"/>
          <w:sz w:val="16"/>
          <w:szCs w:val="16"/>
        </w:rPr>
        <w:t xml:space="preserve">igările </w:t>
      </w:r>
      <w:r w:rsidRPr="00D57F32">
        <w:rPr>
          <w:rFonts w:asciiTheme="majorHAnsi" w:hAnsiTheme="majorHAnsi" w:cstheme="majorHAnsi"/>
          <w:color w:val="000000" w:themeColor="text1"/>
          <w:sz w:val="16"/>
          <w:szCs w:val="16"/>
        </w:rPr>
        <w:t>importate și produse local, comercializate pe piață, sunt în conformitate cu reglementarea privind etichetarea produselor de tutun.</w:t>
      </w:r>
    </w:p>
  </w:footnote>
  <w:footnote w:id="7">
    <w:p w14:paraId="0B9EF08F" w14:textId="1D28CC8A" w:rsidR="00D57F32" w:rsidRPr="00D57F32" w:rsidRDefault="00D57F32" w:rsidP="007F528F">
      <w:pPr>
        <w:pStyle w:val="FootnoteText"/>
        <w:jc w:val="both"/>
        <w:rPr>
          <w:rFonts w:asciiTheme="majorHAnsi" w:hAnsiTheme="majorHAnsi" w:cstheme="majorHAnsi"/>
          <w:color w:val="000000" w:themeColor="text1"/>
          <w:sz w:val="16"/>
          <w:szCs w:val="16"/>
          <w:lang w:val="ro-RO"/>
        </w:rPr>
      </w:pPr>
      <w:r w:rsidRPr="00D57F32">
        <w:rPr>
          <w:rStyle w:val="FootnoteReference"/>
          <w:rFonts w:asciiTheme="majorHAnsi" w:hAnsiTheme="majorHAnsi" w:cstheme="majorHAnsi"/>
          <w:color w:val="000000" w:themeColor="text1"/>
          <w:sz w:val="16"/>
          <w:szCs w:val="16"/>
          <w:lang w:val="ro-RO"/>
        </w:rPr>
        <w:footnoteRef/>
      </w:r>
      <w:r w:rsidRPr="00D57F32">
        <w:rPr>
          <w:rFonts w:asciiTheme="majorHAnsi" w:hAnsiTheme="majorHAnsi" w:cstheme="majorHAnsi"/>
          <w:color w:val="000000" w:themeColor="text1"/>
          <w:sz w:val="16"/>
          <w:szCs w:val="16"/>
          <w:lang w:val="ro-RO"/>
        </w:rPr>
        <w:t xml:space="preserve">ILD 2: Creșterea numărului de persoane cu boli cardiovasculare (BCV) care beneficiază de medicamente compensate pentru tratamentul BCV; ILD 7.: Conceperea și pilotarea stimulentelor bazate pe performanță pentru toate spitalele; ILD .: Consolidarea spitalelor departamentale aflate în  administrarea MSMPS; ILD 11: Integrarea lecțiilor învățate în campaniile de comunicare privind schimbarea comportamentului populației și evaluarea gradului de pregătire pentru vaccine. </w:t>
      </w:r>
    </w:p>
  </w:footnote>
  <w:footnote w:id="8">
    <w:p w14:paraId="5409A00D" w14:textId="3191A70F" w:rsidR="00D57F32" w:rsidRPr="007F528F" w:rsidRDefault="00D57F32" w:rsidP="007F528F">
      <w:pPr>
        <w:pStyle w:val="FootnoteText"/>
        <w:jc w:val="both"/>
        <w:rPr>
          <w:rFonts w:asciiTheme="majorHAnsi" w:hAnsiTheme="majorHAnsi" w:cstheme="majorHAnsi"/>
          <w:color w:val="000000" w:themeColor="text1"/>
          <w:sz w:val="16"/>
          <w:szCs w:val="16"/>
          <w:lang w:val="ro-RO"/>
        </w:rPr>
      </w:pPr>
      <w:r w:rsidRPr="00D57F32">
        <w:rPr>
          <w:rStyle w:val="FootnoteReference"/>
          <w:rFonts w:asciiTheme="majorHAnsi" w:hAnsiTheme="majorHAnsi" w:cstheme="majorHAnsi"/>
          <w:color w:val="000000" w:themeColor="text1"/>
          <w:sz w:val="16"/>
          <w:szCs w:val="16"/>
          <w:lang w:val="ro-RO"/>
        </w:rPr>
        <w:footnoteRef/>
      </w:r>
      <w:r w:rsidRPr="00D57F32">
        <w:rPr>
          <w:rFonts w:asciiTheme="majorHAnsi" w:hAnsiTheme="majorHAnsi" w:cstheme="majorHAnsi"/>
          <w:color w:val="000000" w:themeColor="text1"/>
          <w:sz w:val="16"/>
          <w:szCs w:val="16"/>
          <w:lang w:val="ro-RO"/>
        </w:rPr>
        <w:t xml:space="preserve"> Acordul între Ministerul Finanțelor și Banca Mondială, semnat la 02.11.2018.</w:t>
      </w:r>
    </w:p>
  </w:footnote>
  <w:footnote w:id="9">
    <w:p w14:paraId="0EB39AFB" w14:textId="77777777" w:rsidR="00D57F32" w:rsidRPr="007F528F" w:rsidRDefault="00D57F32" w:rsidP="007F528F">
      <w:pPr>
        <w:pStyle w:val="FootnoteText"/>
        <w:jc w:val="both"/>
        <w:rPr>
          <w:rFonts w:asciiTheme="majorHAnsi" w:hAnsiTheme="majorHAnsi" w:cstheme="majorHAnsi"/>
          <w:color w:val="000000" w:themeColor="text1"/>
          <w:sz w:val="16"/>
          <w:szCs w:val="16"/>
          <w:lang w:val="ro-RO"/>
        </w:rPr>
      </w:pPr>
      <w:r w:rsidRPr="007F528F">
        <w:rPr>
          <w:rStyle w:val="FootnoteReference"/>
          <w:rFonts w:asciiTheme="majorHAnsi" w:hAnsiTheme="majorHAnsi" w:cstheme="majorHAnsi"/>
          <w:color w:val="000000" w:themeColor="text1"/>
          <w:sz w:val="16"/>
          <w:szCs w:val="16"/>
          <w:lang w:val="ro-RO"/>
        </w:rPr>
        <w:footnoteRef/>
      </w:r>
      <w:r w:rsidRPr="007F528F">
        <w:rPr>
          <w:rFonts w:asciiTheme="majorHAnsi" w:hAnsiTheme="majorHAnsi" w:cstheme="majorHAnsi"/>
          <w:color w:val="000000" w:themeColor="text1"/>
          <w:sz w:val="16"/>
          <w:szCs w:val="16"/>
          <w:lang w:val="ro-RO"/>
        </w:rPr>
        <w:t xml:space="preserve"> Art. III pct. 3.01., secțiunea IV, pct.1 și pct.2 din Acordul de finanțare ratificat prin Legea nr.35 din 19.03.2015 (în continuare – Acordul de finanțare).</w:t>
      </w:r>
    </w:p>
  </w:footnote>
  <w:footnote w:id="10">
    <w:p w14:paraId="66953120" w14:textId="55B93D53" w:rsidR="00D57F32" w:rsidRPr="006F2A2F" w:rsidRDefault="00D57F32" w:rsidP="007F528F">
      <w:pPr>
        <w:pStyle w:val="FootnoteText"/>
        <w:jc w:val="both"/>
        <w:rPr>
          <w:color w:val="000000" w:themeColor="text1"/>
          <w:lang w:val="ro-MD"/>
        </w:rPr>
      </w:pPr>
      <w:r w:rsidRPr="007F528F">
        <w:rPr>
          <w:rStyle w:val="FootnoteReference"/>
          <w:rFonts w:asciiTheme="majorHAnsi" w:hAnsiTheme="majorHAnsi" w:cstheme="majorHAnsi"/>
          <w:color w:val="000000" w:themeColor="text1"/>
          <w:sz w:val="16"/>
          <w:szCs w:val="16"/>
          <w:lang w:val="ro-RO"/>
        </w:rPr>
        <w:footnoteRef/>
      </w:r>
      <w:r w:rsidRPr="007F528F">
        <w:rPr>
          <w:rFonts w:asciiTheme="majorHAnsi" w:hAnsiTheme="majorHAnsi" w:cstheme="majorHAnsi"/>
          <w:color w:val="000000" w:themeColor="text1"/>
          <w:sz w:val="16"/>
          <w:szCs w:val="16"/>
          <w:lang w:val="ro-RO"/>
        </w:rPr>
        <w:t xml:space="preserve"> </w:t>
      </w:r>
      <w:r w:rsidRPr="006F2A2F">
        <w:rPr>
          <w:rFonts w:asciiTheme="majorHAnsi" w:hAnsiTheme="majorHAnsi" w:cstheme="majorHAnsi"/>
          <w:color w:val="000000" w:themeColor="text1"/>
          <w:sz w:val="16"/>
          <w:szCs w:val="16"/>
          <w:lang w:val="ro-RO"/>
        </w:rPr>
        <w:t>Legea bugetului de stat pentru anul 2021 nr. 258 din 16.12.2020.</w:t>
      </w:r>
    </w:p>
  </w:footnote>
  <w:footnote w:id="11">
    <w:p w14:paraId="1CAC7AB7" w14:textId="65B0D53B" w:rsidR="00D57F32" w:rsidRPr="00F77C13" w:rsidRDefault="00D57F32">
      <w:pPr>
        <w:pStyle w:val="FootnoteText"/>
        <w:rPr>
          <w:rFonts w:asciiTheme="majorHAnsi" w:hAnsiTheme="majorHAnsi" w:cstheme="majorHAnsi"/>
          <w:b/>
          <w:sz w:val="16"/>
          <w:szCs w:val="16"/>
          <w:lang w:val="ro-MD"/>
        </w:rPr>
      </w:pPr>
      <w:r w:rsidRPr="006F2A2F">
        <w:rPr>
          <w:rStyle w:val="FootnoteReference"/>
          <w:rFonts w:asciiTheme="majorHAnsi" w:hAnsiTheme="majorHAnsi" w:cstheme="majorHAnsi"/>
          <w:sz w:val="16"/>
          <w:szCs w:val="16"/>
        </w:rPr>
        <w:footnoteRef/>
      </w:r>
      <w:r w:rsidRPr="006F2A2F">
        <w:rPr>
          <w:rFonts w:asciiTheme="majorHAnsi" w:hAnsiTheme="majorHAnsi" w:cstheme="majorHAnsi"/>
          <w:b/>
          <w:sz w:val="16"/>
          <w:szCs w:val="16"/>
        </w:rPr>
        <w:t xml:space="preserve"> </w:t>
      </w:r>
      <w:r w:rsidRPr="006F2A2F">
        <w:rPr>
          <w:rFonts w:asciiTheme="majorHAnsi" w:hAnsiTheme="majorHAnsi" w:cstheme="majorHAnsi"/>
          <w:sz w:val="16"/>
          <w:szCs w:val="16"/>
          <w:lang w:val="ro-MD"/>
        </w:rPr>
        <w:t>Legea nr.135 din 14.10.2021</w:t>
      </w:r>
      <w:r w:rsidRPr="006F2A2F">
        <w:rPr>
          <w:rFonts w:asciiTheme="majorHAnsi" w:hAnsiTheme="majorHAnsi" w:cstheme="majorHAnsi"/>
          <w:b/>
          <w:sz w:val="16"/>
          <w:szCs w:val="16"/>
          <w:lang w:val="ro-MD"/>
        </w:rPr>
        <w:t xml:space="preserve"> </w:t>
      </w:r>
      <w:r w:rsidRPr="006F2A2F">
        <w:rPr>
          <w:rStyle w:val="Strong"/>
          <w:rFonts w:asciiTheme="majorHAnsi" w:hAnsiTheme="majorHAnsi" w:cstheme="majorHAnsi"/>
          <w:b w:val="0"/>
          <w:color w:val="000000"/>
          <w:sz w:val="16"/>
          <w:szCs w:val="16"/>
          <w:shd w:val="clear" w:color="auto" w:fill="FFFFFF"/>
        </w:rPr>
        <w:t>privind modificarea Legii bugetului de stat</w:t>
      </w:r>
      <w:r w:rsidRPr="006F2A2F">
        <w:rPr>
          <w:rFonts w:asciiTheme="majorHAnsi" w:hAnsiTheme="majorHAnsi" w:cstheme="majorHAnsi"/>
          <w:b/>
          <w:color w:val="000000"/>
          <w:sz w:val="16"/>
          <w:szCs w:val="16"/>
        </w:rPr>
        <w:t xml:space="preserve"> </w:t>
      </w:r>
      <w:r w:rsidRPr="006F2A2F">
        <w:rPr>
          <w:rStyle w:val="Strong"/>
          <w:rFonts w:asciiTheme="majorHAnsi" w:hAnsiTheme="majorHAnsi" w:cstheme="majorHAnsi"/>
          <w:b w:val="0"/>
          <w:color w:val="000000"/>
          <w:sz w:val="16"/>
          <w:szCs w:val="16"/>
          <w:shd w:val="clear" w:color="auto" w:fill="FFFFFF"/>
        </w:rPr>
        <w:t>pentru anul 2021 nr. 258/2020​</w:t>
      </w:r>
      <w:r>
        <w:rPr>
          <w:rStyle w:val="Strong"/>
          <w:rFonts w:asciiTheme="majorHAnsi" w:hAnsiTheme="majorHAnsi" w:cstheme="majorHAnsi"/>
          <w:b w:val="0"/>
          <w:color w:val="000000"/>
          <w:sz w:val="16"/>
          <w:szCs w:val="16"/>
          <w:shd w:val="clear" w:color="auto" w:fill="FFFFFF"/>
        </w:rPr>
        <w:t>.</w:t>
      </w:r>
    </w:p>
  </w:footnote>
  <w:footnote w:id="12">
    <w:p w14:paraId="7C0C15B2" w14:textId="0ADDEDD7" w:rsidR="00D57F32" w:rsidRPr="00D26068" w:rsidRDefault="00D57F32">
      <w:pPr>
        <w:pStyle w:val="FootnoteText"/>
        <w:rPr>
          <w:lang w:val="ro-MD"/>
        </w:rPr>
      </w:pPr>
      <w:r w:rsidRPr="00D74CBC">
        <w:rPr>
          <w:rStyle w:val="FootnoteReference"/>
        </w:rPr>
        <w:footnoteRef/>
      </w:r>
      <w:r w:rsidRPr="00D74CBC">
        <w:t xml:space="preserve"> </w:t>
      </w:r>
      <w:r w:rsidRPr="006F2A2F">
        <w:rPr>
          <w:rFonts w:asciiTheme="majorHAnsi" w:eastAsia="Calibri" w:hAnsiTheme="majorHAnsi" w:cstheme="majorHAnsi"/>
          <w:sz w:val="16"/>
          <w:szCs w:val="16"/>
          <w:lang w:val="ro-MD"/>
        </w:rPr>
        <w:t>H</w:t>
      </w:r>
      <w:r>
        <w:rPr>
          <w:rFonts w:asciiTheme="majorHAnsi" w:eastAsia="Calibri" w:hAnsiTheme="majorHAnsi" w:cstheme="majorHAnsi"/>
          <w:sz w:val="16"/>
          <w:szCs w:val="16"/>
          <w:lang w:val="ro-MD"/>
        </w:rPr>
        <w:t xml:space="preserve">otărârea </w:t>
      </w:r>
      <w:r w:rsidRPr="006F2A2F">
        <w:rPr>
          <w:rFonts w:asciiTheme="majorHAnsi" w:eastAsia="Calibri" w:hAnsiTheme="majorHAnsi" w:cstheme="majorHAnsi"/>
          <w:sz w:val="16"/>
          <w:szCs w:val="16"/>
          <w:lang w:val="ro-MD"/>
        </w:rPr>
        <w:t>C</w:t>
      </w:r>
      <w:r>
        <w:rPr>
          <w:rFonts w:asciiTheme="majorHAnsi" w:eastAsia="Calibri" w:hAnsiTheme="majorHAnsi" w:cstheme="majorHAnsi"/>
          <w:sz w:val="16"/>
          <w:szCs w:val="16"/>
          <w:lang w:val="ro-MD"/>
        </w:rPr>
        <w:t xml:space="preserve">urții de </w:t>
      </w:r>
      <w:r w:rsidRPr="006F2A2F">
        <w:rPr>
          <w:rFonts w:asciiTheme="majorHAnsi" w:eastAsia="Calibri" w:hAnsiTheme="majorHAnsi" w:cstheme="majorHAnsi"/>
          <w:sz w:val="16"/>
          <w:szCs w:val="16"/>
          <w:lang w:val="ro-MD"/>
        </w:rPr>
        <w:t>C</w:t>
      </w:r>
      <w:r>
        <w:rPr>
          <w:rFonts w:asciiTheme="majorHAnsi" w:eastAsia="Calibri" w:hAnsiTheme="majorHAnsi" w:cstheme="majorHAnsi"/>
          <w:sz w:val="16"/>
          <w:szCs w:val="16"/>
          <w:lang w:val="ro-MD"/>
        </w:rPr>
        <w:t>onturi</w:t>
      </w:r>
      <w:r w:rsidRPr="006F2A2F">
        <w:rPr>
          <w:rFonts w:asciiTheme="majorHAnsi" w:eastAsia="Calibri" w:hAnsiTheme="majorHAnsi" w:cstheme="majorHAnsi"/>
          <w:sz w:val="16"/>
          <w:szCs w:val="16"/>
          <w:lang w:val="ro-MD"/>
        </w:rPr>
        <w:t xml:space="preserve"> nr.22 din 04.06.2021</w:t>
      </w:r>
      <w:r w:rsidRPr="006F2A2F">
        <w:t xml:space="preserve"> </w:t>
      </w:r>
      <w:r w:rsidRPr="006F2A2F">
        <w:rPr>
          <w:rFonts w:asciiTheme="majorHAnsi" w:eastAsia="Calibri" w:hAnsiTheme="majorHAnsi" w:cstheme="majorHAnsi"/>
          <w:sz w:val="16"/>
          <w:szCs w:val="16"/>
          <w:lang w:val="ro-MD"/>
        </w:rPr>
        <w:t>cu privire la Raportul auditului financiar al Raportului Guvernului privind executarea fondurilor asigurării obligatorii de asistență medicală în anul 2020</w:t>
      </w:r>
      <w:r>
        <w:rPr>
          <w:rFonts w:asciiTheme="majorHAnsi" w:eastAsia="Calibri" w:hAnsiTheme="majorHAnsi" w:cstheme="majorHAnsi"/>
          <w:sz w:val="16"/>
          <w:szCs w:val="16"/>
          <w:lang w:val="ro-MD"/>
        </w:rPr>
        <w:t>.</w:t>
      </w:r>
    </w:p>
  </w:footnote>
  <w:footnote w:id="13">
    <w:p w14:paraId="3FFD8686" w14:textId="1D4BC7A1" w:rsidR="00D57F32" w:rsidRPr="00C35E5C" w:rsidRDefault="00D57F32" w:rsidP="00C35E5C">
      <w:pPr>
        <w:pStyle w:val="FootnoteText"/>
        <w:jc w:val="both"/>
        <w:rPr>
          <w:rFonts w:asciiTheme="majorHAnsi" w:hAnsiTheme="majorHAnsi" w:cstheme="majorHAnsi"/>
          <w:sz w:val="16"/>
          <w:szCs w:val="16"/>
          <w:lang w:val="ro-MD"/>
        </w:rPr>
      </w:pPr>
      <w:r w:rsidRPr="00C35E5C">
        <w:rPr>
          <w:rStyle w:val="FootnoteReference"/>
          <w:rFonts w:asciiTheme="majorHAnsi" w:hAnsiTheme="majorHAnsi" w:cstheme="majorHAnsi"/>
          <w:sz w:val="16"/>
          <w:szCs w:val="16"/>
        </w:rPr>
        <w:footnoteRef/>
      </w:r>
      <w:r w:rsidRPr="00C35E5C">
        <w:rPr>
          <w:rFonts w:asciiTheme="majorHAnsi" w:hAnsiTheme="majorHAnsi" w:cstheme="majorHAnsi"/>
          <w:sz w:val="16"/>
          <w:szCs w:val="16"/>
        </w:rPr>
        <w:t xml:space="preserve"> </w:t>
      </w:r>
      <w:r w:rsidRPr="00C35E5C">
        <w:rPr>
          <w:rFonts w:asciiTheme="majorHAnsi" w:hAnsiTheme="majorHAnsi" w:cstheme="majorHAnsi"/>
          <w:sz w:val="16"/>
          <w:szCs w:val="16"/>
          <w:lang w:val="ro-MD"/>
        </w:rPr>
        <w:t xml:space="preserve">Legea nr. 34/2022 pentru ratificarea Amendamentului nr.2, întocmit prin schimb de scrisori, la Acordul de finanţare dintre Republica Moldova </w:t>
      </w:r>
      <w:r>
        <w:rPr>
          <w:rFonts w:asciiTheme="majorHAnsi" w:hAnsiTheme="majorHAnsi" w:cstheme="majorHAnsi"/>
          <w:sz w:val="16"/>
          <w:szCs w:val="16"/>
          <w:lang w:val="ro-MD"/>
        </w:rPr>
        <w:t xml:space="preserve">şi  </w:t>
      </w:r>
      <w:r w:rsidRPr="00C35E5C">
        <w:rPr>
          <w:rFonts w:asciiTheme="majorHAnsi" w:hAnsiTheme="majorHAnsi" w:cstheme="majorHAnsi"/>
          <w:sz w:val="16"/>
          <w:szCs w:val="16"/>
          <w:lang w:val="ro-MD"/>
        </w:rPr>
        <w:t>Asociaţia Internaţională pentru Dezvoltare</w:t>
      </w:r>
      <w:r>
        <w:rPr>
          <w:rFonts w:asciiTheme="majorHAnsi" w:hAnsiTheme="majorHAnsi" w:cstheme="majorHAnsi"/>
          <w:sz w:val="16"/>
          <w:szCs w:val="16"/>
          <w:lang w:val="ro-MD"/>
        </w:rPr>
        <w:t>,</w:t>
      </w:r>
      <w:r w:rsidRPr="00C35E5C">
        <w:rPr>
          <w:rFonts w:asciiTheme="majorHAnsi" w:hAnsiTheme="majorHAnsi" w:cstheme="majorHAnsi"/>
          <w:sz w:val="16"/>
          <w:szCs w:val="16"/>
          <w:lang w:val="ro-MD"/>
        </w:rPr>
        <w:t xml:space="preserve"> în vederea realizării Proiectului „Modernizarea sectorului  sănătăţii în Republica Moldova”</w:t>
      </w:r>
      <w:r>
        <w:rPr>
          <w:rFonts w:asciiTheme="majorHAnsi" w:hAnsiTheme="majorHAnsi" w:cstheme="majorHAnsi"/>
          <w:sz w:val="16"/>
          <w:szCs w:val="16"/>
          <w:lang w:val="ro-MD"/>
        </w:rPr>
        <w:t>.</w:t>
      </w:r>
    </w:p>
  </w:footnote>
  <w:footnote w:id="14">
    <w:p w14:paraId="6AA60763" w14:textId="1695B192" w:rsidR="00D57F32" w:rsidRPr="00725D24" w:rsidRDefault="00D57F32" w:rsidP="00C35E5C">
      <w:pPr>
        <w:pStyle w:val="FootnoteText"/>
        <w:jc w:val="both"/>
      </w:pPr>
      <w:r w:rsidRPr="00C35E5C">
        <w:rPr>
          <w:rStyle w:val="FootnoteReference"/>
          <w:rFonts w:asciiTheme="majorHAnsi" w:hAnsiTheme="majorHAnsi" w:cstheme="majorHAnsi"/>
          <w:sz w:val="16"/>
          <w:szCs w:val="16"/>
        </w:rPr>
        <w:footnoteRef/>
      </w:r>
      <w:r w:rsidRPr="00C35E5C">
        <w:rPr>
          <w:rFonts w:asciiTheme="majorHAnsi" w:hAnsiTheme="majorHAnsi" w:cstheme="majorHAnsi"/>
          <w:sz w:val="16"/>
          <w:szCs w:val="16"/>
        </w:rPr>
        <w:t xml:space="preserve"> H</w:t>
      </w:r>
      <w:r>
        <w:rPr>
          <w:rFonts w:asciiTheme="majorHAnsi" w:hAnsiTheme="majorHAnsi" w:cstheme="majorHAnsi"/>
          <w:sz w:val="16"/>
          <w:szCs w:val="16"/>
        </w:rPr>
        <w:t xml:space="preserve">otărârea </w:t>
      </w:r>
      <w:r w:rsidRPr="00C35E5C">
        <w:rPr>
          <w:rFonts w:asciiTheme="majorHAnsi" w:hAnsiTheme="majorHAnsi" w:cstheme="majorHAnsi"/>
          <w:sz w:val="16"/>
          <w:szCs w:val="16"/>
        </w:rPr>
        <w:t>G</w:t>
      </w:r>
      <w:r>
        <w:rPr>
          <w:rFonts w:asciiTheme="majorHAnsi" w:hAnsiTheme="majorHAnsi" w:cstheme="majorHAnsi"/>
          <w:sz w:val="16"/>
          <w:szCs w:val="16"/>
        </w:rPr>
        <w:t>uvernului</w:t>
      </w:r>
      <w:r w:rsidRPr="00C35E5C">
        <w:rPr>
          <w:rFonts w:asciiTheme="majorHAnsi" w:hAnsiTheme="majorHAnsi" w:cstheme="majorHAnsi"/>
          <w:sz w:val="16"/>
          <w:szCs w:val="16"/>
        </w:rPr>
        <w:t xml:space="preserve"> nr. 410 din 21.08.2019 сu privire la transmiterea unor instituții medico-sanitare publice</w:t>
      </w:r>
      <w:r>
        <w:rPr>
          <w:rFonts w:asciiTheme="majorHAnsi" w:hAnsiTheme="majorHAnsi" w:cstheme="majorHAnsi"/>
          <w:sz w:val="16"/>
          <w:szCs w:val="16"/>
        </w:rPr>
        <w:t>.</w:t>
      </w:r>
    </w:p>
  </w:footnote>
  <w:footnote w:id="15">
    <w:p w14:paraId="76A945B2" w14:textId="10716DCD" w:rsidR="00D57F32" w:rsidRPr="007B1179" w:rsidRDefault="00D57F32" w:rsidP="007B1179">
      <w:pPr>
        <w:pStyle w:val="NoSpacing"/>
        <w:jc w:val="both"/>
        <w:rPr>
          <w:rFonts w:asciiTheme="majorHAnsi" w:hAnsiTheme="majorHAnsi" w:cstheme="majorHAnsi"/>
          <w:sz w:val="16"/>
          <w:szCs w:val="16"/>
          <w:lang w:val="ro-MD"/>
        </w:rPr>
      </w:pPr>
      <w:r w:rsidRPr="007B1179">
        <w:rPr>
          <w:rStyle w:val="FootnoteReference"/>
          <w:rFonts w:asciiTheme="majorHAnsi" w:hAnsiTheme="majorHAnsi" w:cstheme="majorHAnsi"/>
          <w:sz w:val="16"/>
          <w:szCs w:val="16"/>
          <w:lang w:val="ro-MD"/>
        </w:rPr>
        <w:footnoteRef/>
      </w:r>
      <w:r w:rsidRPr="007B1179">
        <w:rPr>
          <w:rFonts w:asciiTheme="majorHAnsi" w:hAnsiTheme="majorHAnsi" w:cstheme="majorHAnsi"/>
          <w:sz w:val="16"/>
          <w:szCs w:val="16"/>
          <w:lang w:val="ro-MD"/>
        </w:rPr>
        <w:t xml:space="preserve"> </w:t>
      </w:r>
      <w:r w:rsidRPr="007B1179">
        <w:rPr>
          <w:rFonts w:asciiTheme="majorHAnsi" w:eastAsia="Times New Roman" w:hAnsiTheme="majorHAnsi" w:cstheme="majorHAnsi"/>
          <w:sz w:val="16"/>
          <w:szCs w:val="16"/>
          <w:lang w:val="ro-MD"/>
        </w:rPr>
        <w:t xml:space="preserve">Legea </w:t>
      </w:r>
      <w:r>
        <w:rPr>
          <w:rFonts w:asciiTheme="majorHAnsi" w:eastAsia="Times New Roman" w:hAnsiTheme="majorHAnsi" w:cstheme="majorHAnsi"/>
          <w:sz w:val="16"/>
          <w:szCs w:val="16"/>
          <w:lang w:val="ro-MD"/>
        </w:rPr>
        <w:t xml:space="preserve">nr.229 din 23.09.2010 </w:t>
      </w:r>
      <w:r w:rsidRPr="006F2A2F">
        <w:rPr>
          <w:rFonts w:asciiTheme="majorHAnsi" w:eastAsia="Times New Roman" w:hAnsiTheme="majorHAnsi" w:cstheme="majorHAnsi"/>
          <w:sz w:val="16"/>
          <w:szCs w:val="16"/>
          <w:lang w:val="ro-MD"/>
        </w:rPr>
        <w:t>privind controlul financiar public intern</w:t>
      </w:r>
      <w:r>
        <w:rPr>
          <w:rFonts w:asciiTheme="majorHAnsi" w:eastAsia="Times New Roman" w:hAnsiTheme="majorHAnsi" w:cstheme="majorHAnsi"/>
          <w:sz w:val="16"/>
          <w:szCs w:val="16"/>
          <w:lang w:val="ro-MD"/>
        </w:rPr>
        <w:t>.</w:t>
      </w:r>
    </w:p>
  </w:footnote>
  <w:footnote w:id="16">
    <w:p w14:paraId="56E3BD91" w14:textId="5D1130D1" w:rsidR="00D57F32" w:rsidRPr="00E9100E" w:rsidRDefault="00D57F32" w:rsidP="007B1179">
      <w:pPr>
        <w:pStyle w:val="FootnoteText"/>
        <w:jc w:val="both"/>
        <w:rPr>
          <w:lang w:val="ro-MD"/>
        </w:rPr>
      </w:pPr>
      <w:r w:rsidRPr="007B1179">
        <w:rPr>
          <w:rStyle w:val="FootnoteReference"/>
          <w:rFonts w:asciiTheme="majorHAnsi" w:hAnsiTheme="majorHAnsi" w:cstheme="majorHAnsi"/>
          <w:sz w:val="16"/>
          <w:szCs w:val="16"/>
        </w:rPr>
        <w:footnoteRef/>
      </w:r>
      <w:r w:rsidRPr="007B1179">
        <w:rPr>
          <w:rFonts w:asciiTheme="majorHAnsi" w:hAnsiTheme="majorHAnsi" w:cstheme="majorHAnsi"/>
          <w:sz w:val="16"/>
          <w:szCs w:val="16"/>
        </w:rPr>
        <w:t xml:space="preserve"> </w:t>
      </w:r>
      <w:r w:rsidRPr="007B1179">
        <w:rPr>
          <w:rFonts w:asciiTheme="majorHAnsi" w:hAnsiTheme="majorHAnsi" w:cstheme="majorHAnsi"/>
          <w:color w:val="000000" w:themeColor="text1"/>
          <w:sz w:val="16"/>
          <w:szCs w:val="16"/>
          <w:lang w:val="ro-RO"/>
        </w:rPr>
        <w:t>ILD 2: Creșterea numărului de persoane cu boli cardiovasculare (BCV) care beneficiază de medicamente compensate pentru tratamentul BCV;</w:t>
      </w:r>
      <w:r w:rsidRPr="007B1179">
        <w:rPr>
          <w:rFonts w:asciiTheme="majorHAnsi" w:hAnsiTheme="majorHAnsi" w:cstheme="majorHAnsi"/>
          <w:sz w:val="16"/>
          <w:szCs w:val="16"/>
        </w:rPr>
        <w:t xml:space="preserve"> </w:t>
      </w:r>
      <w:r w:rsidRPr="007B1179">
        <w:rPr>
          <w:rFonts w:asciiTheme="majorHAnsi" w:hAnsiTheme="majorHAnsi" w:cstheme="majorHAnsi"/>
          <w:color w:val="000000" w:themeColor="text1"/>
          <w:sz w:val="16"/>
          <w:szCs w:val="16"/>
          <w:lang w:val="ro-RO"/>
        </w:rPr>
        <w:t>ILD</w:t>
      </w:r>
      <w:r>
        <w:rPr>
          <w:rFonts w:asciiTheme="majorHAnsi" w:hAnsiTheme="majorHAnsi" w:cstheme="majorHAnsi"/>
          <w:color w:val="000000" w:themeColor="text1"/>
          <w:sz w:val="16"/>
          <w:szCs w:val="16"/>
          <w:lang w:val="ro-RO"/>
        </w:rPr>
        <w:t xml:space="preserve"> </w:t>
      </w:r>
      <w:r w:rsidRPr="007B1179">
        <w:rPr>
          <w:rFonts w:asciiTheme="majorHAnsi" w:hAnsiTheme="majorHAnsi" w:cstheme="majorHAnsi"/>
          <w:color w:val="000000" w:themeColor="text1"/>
          <w:sz w:val="16"/>
          <w:szCs w:val="16"/>
          <w:lang w:val="ro-RO"/>
        </w:rPr>
        <w:t>7.2: Cel puțin 3 spitale de pe teritoriul Beneficiarului au semnat un acord cu CNAM privind pilotarea Schemei de stimulare bazate pe performanță din Anul 2; ILD 11: Integrarea lecțiilor învățate în campaniile de comunicare privind schimbarea comportamentului populației și evaluarea gradului de pregătire pentru vaccin</w:t>
      </w:r>
      <w:r>
        <w:rPr>
          <w:rFonts w:asciiTheme="majorHAnsi" w:hAnsiTheme="majorHAnsi" w:cstheme="majorHAnsi"/>
          <w:color w:val="000000" w:themeColor="text1"/>
          <w:sz w:val="16"/>
          <w:szCs w:val="16"/>
          <w:lang w:val="ro-RO"/>
        </w:rPr>
        <w:t>.</w:t>
      </w:r>
    </w:p>
  </w:footnote>
  <w:footnote w:id="17">
    <w:p w14:paraId="79EC3FE9" w14:textId="3BC2B1C8" w:rsidR="00D57F32" w:rsidRPr="00E9100E" w:rsidRDefault="00D57F32" w:rsidP="00963506">
      <w:pPr>
        <w:pStyle w:val="FootnoteText"/>
        <w:jc w:val="both"/>
        <w:rPr>
          <w:rFonts w:asciiTheme="majorHAnsi" w:hAnsiTheme="majorHAnsi" w:cstheme="majorHAnsi"/>
          <w:sz w:val="16"/>
          <w:szCs w:val="16"/>
          <w:lang w:val="ro-MD"/>
        </w:rPr>
      </w:pPr>
      <w:r w:rsidRPr="00E9100E">
        <w:rPr>
          <w:rStyle w:val="FootnoteReference"/>
          <w:rFonts w:asciiTheme="majorHAnsi" w:hAnsiTheme="majorHAnsi" w:cstheme="majorHAnsi"/>
          <w:sz w:val="16"/>
          <w:lang w:val="ro-MD"/>
        </w:rPr>
        <w:footnoteRef/>
      </w:r>
      <w:r>
        <w:rPr>
          <w:rFonts w:asciiTheme="majorHAnsi" w:hAnsiTheme="majorHAnsi" w:cstheme="majorHAnsi"/>
          <w:sz w:val="16"/>
          <w:lang w:val="ro-MD"/>
        </w:rPr>
        <w:t xml:space="preserve">; ILD </w:t>
      </w:r>
      <w:r w:rsidRPr="00E9100E">
        <w:rPr>
          <w:rFonts w:asciiTheme="majorHAnsi" w:hAnsiTheme="majorHAnsi" w:cstheme="majorHAnsi"/>
          <w:sz w:val="16"/>
          <w:lang w:val="ro-MD"/>
        </w:rPr>
        <w:t>7.3: Raportul acceptabil pentru Asociație</w:t>
      </w:r>
      <w:r>
        <w:rPr>
          <w:rFonts w:asciiTheme="majorHAnsi" w:hAnsiTheme="majorHAnsi" w:cstheme="majorHAnsi"/>
          <w:sz w:val="16"/>
          <w:lang w:val="ro-MD"/>
        </w:rPr>
        <w:t>,</w:t>
      </w:r>
      <w:r w:rsidRPr="00E9100E">
        <w:rPr>
          <w:rFonts w:asciiTheme="majorHAnsi" w:hAnsiTheme="majorHAnsi" w:cstheme="majorHAnsi"/>
          <w:sz w:val="16"/>
          <w:lang w:val="ro-MD"/>
        </w:rPr>
        <w:t xml:space="preserve"> care va include următoarele: (a) o evaluare a pilotării Schemei de stimulare bazate pe performanță în spitalele contractate de CNAM în Anul 2; şi (b) o actualizare a design-lui Schemei de stimulare bazate pe performanță ca urmare a evaluării realizate </w:t>
      </w:r>
      <w:r w:rsidRPr="00E9100E">
        <w:rPr>
          <w:rFonts w:asciiTheme="majorHAnsi" w:hAnsiTheme="majorHAnsi" w:cstheme="majorHAnsi"/>
          <w:sz w:val="16"/>
          <w:szCs w:val="16"/>
          <w:lang w:val="ro-MD"/>
        </w:rPr>
        <w:t>în Anul 2; ILD 9</w:t>
      </w:r>
      <w:r>
        <w:rPr>
          <w:rFonts w:asciiTheme="majorHAnsi" w:hAnsiTheme="majorHAnsi" w:cstheme="majorHAnsi"/>
          <w:sz w:val="16"/>
          <w:szCs w:val="16"/>
          <w:lang w:val="ro-MD"/>
        </w:rPr>
        <w:t>.</w:t>
      </w:r>
      <w:r w:rsidRPr="00E9100E">
        <w:rPr>
          <w:rFonts w:asciiTheme="majorHAnsi" w:hAnsiTheme="majorHAnsi" w:cstheme="majorHAnsi"/>
          <w:sz w:val="16"/>
          <w:szCs w:val="16"/>
          <w:lang w:val="ro-MD"/>
        </w:rPr>
        <w:t xml:space="preserve"> Consolidarea spitalelor departamentale aflate </w:t>
      </w:r>
      <w:r>
        <w:rPr>
          <w:rFonts w:asciiTheme="majorHAnsi" w:hAnsiTheme="majorHAnsi" w:cstheme="majorHAnsi"/>
          <w:sz w:val="16"/>
          <w:szCs w:val="16"/>
          <w:lang w:val="ro-MD"/>
        </w:rPr>
        <w:t>în</w:t>
      </w:r>
      <w:r w:rsidRPr="00E9100E">
        <w:rPr>
          <w:rFonts w:asciiTheme="majorHAnsi" w:hAnsiTheme="majorHAnsi" w:cstheme="majorHAnsi"/>
          <w:sz w:val="16"/>
          <w:szCs w:val="16"/>
          <w:lang w:val="ro-MD"/>
        </w:rPr>
        <w:t xml:space="preserve"> administrarea MSMPS</w:t>
      </w:r>
      <w:r>
        <w:rPr>
          <w:rFonts w:asciiTheme="majorHAnsi" w:hAnsiTheme="majorHAnsi" w:cstheme="majorHAnsi"/>
          <w:sz w:val="16"/>
          <w:szCs w:val="16"/>
          <w:lang w:val="ro-MD"/>
        </w:rPr>
        <w:t>.</w:t>
      </w:r>
    </w:p>
  </w:footnote>
  <w:footnote w:id="18">
    <w:p w14:paraId="321BE772" w14:textId="43EF0C19" w:rsidR="00D57F32" w:rsidRPr="00A26C34" w:rsidRDefault="00D57F32" w:rsidP="004E63A0">
      <w:pPr>
        <w:pStyle w:val="FootnoteText"/>
        <w:rPr>
          <w:rFonts w:asciiTheme="majorHAnsi" w:hAnsiTheme="majorHAnsi" w:cstheme="majorHAnsi"/>
          <w:sz w:val="18"/>
          <w:szCs w:val="18"/>
          <w:lang w:val="ro-MD"/>
        </w:rPr>
      </w:pPr>
      <w:r w:rsidRPr="00E9100E">
        <w:rPr>
          <w:rStyle w:val="FootnoteReference"/>
          <w:rFonts w:asciiTheme="majorHAnsi" w:hAnsiTheme="majorHAnsi" w:cstheme="majorHAnsi"/>
          <w:sz w:val="16"/>
          <w:szCs w:val="16"/>
        </w:rPr>
        <w:footnoteRef/>
      </w:r>
      <w:r w:rsidRPr="00E9100E">
        <w:rPr>
          <w:rFonts w:asciiTheme="majorHAnsi" w:hAnsiTheme="majorHAnsi" w:cstheme="majorHAnsi"/>
          <w:sz w:val="16"/>
          <w:szCs w:val="16"/>
        </w:rPr>
        <w:t xml:space="preserve"> S</w:t>
      </w:r>
      <w:r w:rsidRPr="00E9100E">
        <w:rPr>
          <w:rFonts w:asciiTheme="majorHAnsi" w:eastAsia="Times New Roman" w:hAnsiTheme="majorHAnsi" w:cstheme="majorHAnsi"/>
          <w:bCs/>
          <w:iCs/>
          <w:color w:val="000000"/>
          <w:sz w:val="16"/>
          <w:szCs w:val="16"/>
          <w:lang w:val="ro-RO"/>
        </w:rPr>
        <w:t>crisoarea nr. 01/384 din 27.01.2021</w:t>
      </w:r>
      <w:r>
        <w:rPr>
          <w:rFonts w:asciiTheme="majorHAnsi" w:eastAsia="Times New Roman" w:hAnsiTheme="majorHAnsi" w:cstheme="majorHAnsi"/>
          <w:bCs/>
          <w:iCs/>
          <w:color w:val="000000"/>
          <w:sz w:val="16"/>
          <w:szCs w:val="16"/>
          <w:lang w:val="ro-RO"/>
        </w:rPr>
        <w:t>.</w:t>
      </w:r>
    </w:p>
  </w:footnote>
  <w:footnote w:id="19">
    <w:p w14:paraId="3C048A2B" w14:textId="0A25CA71" w:rsidR="00D57F32" w:rsidRPr="00FE50D8" w:rsidRDefault="00D57F32" w:rsidP="00AA2208">
      <w:pPr>
        <w:spacing w:after="0"/>
        <w:jc w:val="both"/>
        <w:rPr>
          <w:rFonts w:ascii="Times New Roman" w:eastAsia="Times New Roman" w:hAnsi="Times New Roman" w:cs="Times New Roman"/>
          <w:sz w:val="20"/>
          <w:szCs w:val="20"/>
          <w:lang w:val="ro-RO"/>
        </w:rPr>
      </w:pPr>
      <w:r w:rsidRPr="00895379">
        <w:rPr>
          <w:rStyle w:val="FootnoteReference"/>
          <w:rFonts w:asciiTheme="majorHAnsi" w:hAnsiTheme="majorHAnsi" w:cstheme="majorHAnsi"/>
          <w:sz w:val="16"/>
          <w:szCs w:val="16"/>
          <w:lang w:val="ro-RO"/>
        </w:rPr>
        <w:footnoteRef/>
      </w:r>
      <w:r w:rsidRPr="00895379">
        <w:rPr>
          <w:rFonts w:asciiTheme="majorHAnsi" w:hAnsiTheme="majorHAnsi" w:cstheme="majorHAnsi"/>
          <w:sz w:val="16"/>
          <w:szCs w:val="16"/>
          <w:lang w:val="ro-RO"/>
        </w:rPr>
        <w:t xml:space="preserve"> </w:t>
      </w:r>
      <w:r w:rsidRPr="00895379">
        <w:rPr>
          <w:rFonts w:asciiTheme="majorHAnsi" w:eastAsia="Times New Roman" w:hAnsiTheme="majorHAnsi" w:cstheme="majorHAnsi"/>
          <w:sz w:val="16"/>
          <w:szCs w:val="16"/>
          <w:lang w:val="ro-RO"/>
        </w:rPr>
        <w:t>Pct.20 din Documentul de evaluare a Programului privind creditul propus în valoare de 20 milioane DST (echivalen</w:t>
      </w:r>
      <w:r>
        <w:rPr>
          <w:rFonts w:asciiTheme="majorHAnsi" w:eastAsia="Times New Roman" w:hAnsiTheme="majorHAnsi" w:cstheme="majorHAnsi"/>
          <w:sz w:val="16"/>
          <w:szCs w:val="16"/>
          <w:lang w:val="ro-RO"/>
        </w:rPr>
        <w:t xml:space="preserve">tul a 30,8 milioane dolari SUA </w:t>
      </w:r>
      <w:r w:rsidRPr="00895379">
        <w:rPr>
          <w:rFonts w:asciiTheme="majorHAnsi" w:eastAsia="Times New Roman" w:hAnsiTheme="majorHAnsi" w:cstheme="majorHAnsi"/>
          <w:sz w:val="16"/>
          <w:szCs w:val="16"/>
          <w:lang w:val="ro-RO"/>
        </w:rPr>
        <w:t>pentru Republica Moldova pentru Operațiunea de transformare în domeniul sănătății, aprobat la 30.04.2014.</w:t>
      </w:r>
    </w:p>
  </w:footnote>
  <w:footnote w:id="20">
    <w:p w14:paraId="20AFEFF5" w14:textId="0387555F" w:rsidR="00D57F32" w:rsidRPr="00895379" w:rsidRDefault="00D57F32" w:rsidP="00AA2208">
      <w:pPr>
        <w:pStyle w:val="FootnoteText"/>
        <w:jc w:val="both"/>
        <w:rPr>
          <w:rFonts w:asciiTheme="majorHAnsi" w:hAnsiTheme="majorHAnsi" w:cstheme="majorHAnsi"/>
          <w:sz w:val="16"/>
          <w:szCs w:val="16"/>
          <w:lang w:val="ro-RO"/>
        </w:rPr>
      </w:pPr>
      <w:r w:rsidRPr="00895379">
        <w:rPr>
          <w:rStyle w:val="FootnoteReference"/>
          <w:rFonts w:asciiTheme="majorHAnsi" w:hAnsiTheme="majorHAnsi" w:cstheme="majorHAnsi"/>
          <w:sz w:val="16"/>
          <w:szCs w:val="16"/>
          <w:lang w:val="ro-RO"/>
        </w:rPr>
        <w:footnoteRef/>
      </w:r>
      <w:r w:rsidRPr="00895379">
        <w:rPr>
          <w:rFonts w:asciiTheme="majorHAnsi" w:hAnsiTheme="majorHAnsi" w:cstheme="majorHAnsi"/>
          <w:sz w:val="16"/>
          <w:szCs w:val="16"/>
          <w:lang w:val="ro-RO"/>
        </w:rPr>
        <w:t xml:space="preserve"> Nota de Memoriu din 27.10.2017 referitor la evaluarea intermediară a </w:t>
      </w:r>
      <w:r>
        <w:rPr>
          <w:rFonts w:asciiTheme="majorHAnsi" w:hAnsiTheme="majorHAnsi" w:cstheme="majorHAnsi"/>
          <w:sz w:val="16"/>
          <w:szCs w:val="16"/>
          <w:lang w:val="ro-RO"/>
        </w:rPr>
        <w:t>O</w:t>
      </w:r>
      <w:r w:rsidRPr="00895379">
        <w:rPr>
          <w:rFonts w:asciiTheme="majorHAnsi" w:hAnsiTheme="majorHAnsi" w:cstheme="majorHAnsi"/>
          <w:sz w:val="16"/>
          <w:szCs w:val="16"/>
          <w:lang w:val="ro-RO"/>
        </w:rPr>
        <w:t xml:space="preserve">perațiunii </w:t>
      </w:r>
      <w:r>
        <w:rPr>
          <w:rFonts w:asciiTheme="majorHAnsi" w:hAnsiTheme="majorHAnsi" w:cstheme="majorHAnsi"/>
          <w:sz w:val="16"/>
          <w:szCs w:val="16"/>
          <w:lang w:val="ro-RO"/>
        </w:rPr>
        <w:t>de m</w:t>
      </w:r>
      <w:r w:rsidRPr="00895379">
        <w:rPr>
          <w:rFonts w:asciiTheme="majorHAnsi" w:hAnsiTheme="majorHAnsi" w:cstheme="majorHAnsi"/>
          <w:sz w:val="16"/>
          <w:szCs w:val="16"/>
          <w:lang w:val="ro-RO"/>
        </w:rPr>
        <w:t>odernizare</w:t>
      </w:r>
      <w:r>
        <w:rPr>
          <w:rFonts w:asciiTheme="majorHAnsi" w:hAnsiTheme="majorHAnsi" w:cstheme="majorHAnsi"/>
          <w:sz w:val="16"/>
          <w:szCs w:val="16"/>
          <w:lang w:val="ro-RO"/>
        </w:rPr>
        <w:t xml:space="preserve"> </w:t>
      </w:r>
      <w:r w:rsidRPr="00895379">
        <w:rPr>
          <w:rFonts w:asciiTheme="majorHAnsi" w:hAnsiTheme="majorHAnsi" w:cstheme="majorHAnsi"/>
          <w:sz w:val="16"/>
          <w:szCs w:val="16"/>
          <w:lang w:val="ro-RO"/>
        </w:rPr>
        <w:t xml:space="preserve">a </w:t>
      </w:r>
      <w:r>
        <w:rPr>
          <w:rFonts w:asciiTheme="majorHAnsi" w:hAnsiTheme="majorHAnsi" w:cstheme="majorHAnsi"/>
          <w:sz w:val="16"/>
          <w:szCs w:val="16"/>
          <w:lang w:val="ro-RO"/>
        </w:rPr>
        <w:t>s</w:t>
      </w:r>
      <w:r w:rsidRPr="00895379">
        <w:rPr>
          <w:rFonts w:asciiTheme="majorHAnsi" w:hAnsiTheme="majorHAnsi" w:cstheme="majorHAnsi"/>
          <w:sz w:val="16"/>
          <w:szCs w:val="16"/>
          <w:lang w:val="ro-RO"/>
        </w:rPr>
        <w:t xml:space="preserve">ectorului </w:t>
      </w:r>
      <w:r>
        <w:rPr>
          <w:rFonts w:asciiTheme="majorHAnsi" w:hAnsiTheme="majorHAnsi" w:cstheme="majorHAnsi"/>
          <w:sz w:val="16"/>
          <w:szCs w:val="16"/>
          <w:lang w:val="ro-RO"/>
        </w:rPr>
        <w:t>s</w:t>
      </w:r>
      <w:r w:rsidRPr="00895379">
        <w:rPr>
          <w:rFonts w:asciiTheme="majorHAnsi" w:hAnsiTheme="majorHAnsi" w:cstheme="majorHAnsi"/>
          <w:sz w:val="16"/>
          <w:szCs w:val="16"/>
          <w:lang w:val="ro-RO"/>
        </w:rPr>
        <w:t>ănătății în Republica Moldova.</w:t>
      </w:r>
    </w:p>
  </w:footnote>
  <w:footnote w:id="21">
    <w:p w14:paraId="18955130" w14:textId="77777777" w:rsidR="00D57F32" w:rsidRPr="00BD050E" w:rsidRDefault="00D57F32" w:rsidP="007B1179">
      <w:pPr>
        <w:pStyle w:val="FootnoteText"/>
        <w:jc w:val="both"/>
        <w:rPr>
          <w:lang w:val="ro-MD"/>
        </w:rPr>
      </w:pPr>
      <w:r w:rsidRPr="00BD050E">
        <w:rPr>
          <w:rStyle w:val="FootnoteReference"/>
          <w:sz w:val="16"/>
          <w:szCs w:val="16"/>
        </w:rPr>
        <w:footnoteRef/>
      </w:r>
      <w:r w:rsidRPr="00BD050E">
        <w:rPr>
          <w:sz w:val="16"/>
          <w:szCs w:val="16"/>
        </w:rPr>
        <w:t xml:space="preserve"> </w:t>
      </w:r>
      <w:r w:rsidRPr="00BD050E">
        <w:rPr>
          <w:rFonts w:asciiTheme="majorHAnsi" w:eastAsia="Calibri" w:hAnsiTheme="majorHAnsi" w:cstheme="majorHAnsi"/>
          <w:bCs/>
          <w:sz w:val="16"/>
          <w:szCs w:val="16"/>
          <w:lang w:val="ro-MD"/>
        </w:rPr>
        <w:t>(Credit No. 5469-MD) Acordul de finanțare dintre Republica Moldova și Asociația Internațională pentru Dezvoltare din 11.07.2014.</w:t>
      </w:r>
    </w:p>
  </w:footnote>
  <w:footnote w:id="22">
    <w:p w14:paraId="61816AB1" w14:textId="08E3255F" w:rsidR="00D57F32" w:rsidRPr="000A7C6C" w:rsidRDefault="00D57F32" w:rsidP="007B1179">
      <w:pPr>
        <w:pStyle w:val="FootnoteText"/>
        <w:jc w:val="both"/>
      </w:pPr>
      <w:r w:rsidRPr="00BD050E">
        <w:rPr>
          <w:rStyle w:val="FootnoteReference"/>
          <w:rFonts w:asciiTheme="majorHAnsi" w:hAnsiTheme="majorHAnsi" w:cstheme="majorHAnsi"/>
          <w:sz w:val="16"/>
          <w:szCs w:val="16"/>
          <w:lang w:val="ro-MD"/>
        </w:rPr>
        <w:footnoteRef/>
      </w:r>
      <w:r w:rsidRPr="00BD050E">
        <w:rPr>
          <w:rFonts w:asciiTheme="majorHAnsi" w:hAnsiTheme="majorHAnsi" w:cstheme="majorHAnsi"/>
          <w:sz w:val="16"/>
          <w:szCs w:val="16"/>
          <w:lang w:val="ro-MD"/>
        </w:rPr>
        <w:t xml:space="preserve"> ILD 3: Numărul de internări anuale în spitalele de îngrijire acută la 100 persoane, pornind de la o valoare de referință de 17,6; ILD 4: Numărul de paturi în spitale de îngrijire acută, pornind de la o valoare de referință de 17.586; ILD 5: Aprobarea revizuirii pachetului de beneficii de ambulatoriu în ceea ce privește medicamentele anti-hipertensive; ILD 6: Revizuirea și punerea în aplicare a Schemei de stimulare bazate pe performanță în asistența medicală primară; ILD 8: Punerea în aplicare</w:t>
      </w:r>
      <w:r w:rsidRPr="00E33BAB">
        <w:rPr>
          <w:rFonts w:asciiTheme="majorHAnsi" w:hAnsiTheme="majorHAnsi" w:cstheme="majorHAnsi"/>
          <w:sz w:val="16"/>
          <w:szCs w:val="16"/>
          <w:lang w:val="ro-MD"/>
        </w:rPr>
        <w:t xml:space="preserve"> și actualizarea prețurilor GOB pentru plățile către spitale publice de îngrijiri </w:t>
      </w:r>
      <w:r>
        <w:rPr>
          <w:rFonts w:asciiTheme="majorHAnsi" w:hAnsiTheme="majorHAnsi" w:cstheme="majorHAnsi"/>
          <w:sz w:val="16"/>
          <w:szCs w:val="16"/>
          <w:lang w:val="ro-MD"/>
        </w:rPr>
        <w:t>a</w:t>
      </w:r>
      <w:r w:rsidRPr="00E33BAB">
        <w:rPr>
          <w:rFonts w:asciiTheme="majorHAnsi" w:hAnsiTheme="majorHAnsi" w:cstheme="majorHAnsi"/>
          <w:sz w:val="16"/>
          <w:szCs w:val="16"/>
          <w:lang w:val="ro-MD"/>
        </w:rPr>
        <w:t xml:space="preserve">cute; </w:t>
      </w:r>
      <w:r>
        <w:rPr>
          <w:rFonts w:asciiTheme="majorHAnsi" w:hAnsiTheme="majorHAnsi" w:cstheme="majorHAnsi"/>
          <w:sz w:val="16"/>
          <w:szCs w:val="16"/>
          <w:lang w:val="ro-MD"/>
        </w:rPr>
        <w:t>ILD</w:t>
      </w:r>
      <w:r w:rsidRPr="00E33BAB">
        <w:rPr>
          <w:rFonts w:asciiTheme="majorHAnsi" w:hAnsiTheme="majorHAnsi" w:cstheme="majorHAnsi"/>
          <w:sz w:val="16"/>
          <w:szCs w:val="16"/>
          <w:lang w:val="ro-MD"/>
        </w:rPr>
        <w:t xml:space="preserve"> 10: Aprobarea Strategiei naționale de dezvoltare a sistemului de sănătate revizuite, care include măsuri de raționalizare spitalicească</w:t>
      </w:r>
      <w:r>
        <w:rPr>
          <w:rFonts w:asciiTheme="majorHAnsi" w:hAnsiTheme="majorHAnsi" w:cstheme="majorHAnsi"/>
          <w:sz w:val="16"/>
          <w:szCs w:val="16"/>
          <w:lang w:val="ro-MD"/>
        </w:rPr>
        <w:t>.</w:t>
      </w:r>
      <w:r>
        <w:t xml:space="preserve">  </w:t>
      </w:r>
    </w:p>
  </w:footnote>
  <w:footnote w:id="23">
    <w:p w14:paraId="3CE6EC55" w14:textId="77777777" w:rsidR="00D57F32" w:rsidRPr="00215432" w:rsidRDefault="00D57F32" w:rsidP="007B1179">
      <w:pPr>
        <w:pStyle w:val="FootnoteText"/>
        <w:jc w:val="both"/>
        <w:rPr>
          <w:lang w:val="ro-MD"/>
        </w:rPr>
      </w:pPr>
      <w:r w:rsidRPr="00480427">
        <w:rPr>
          <w:rStyle w:val="FootnoteReference"/>
          <w:sz w:val="16"/>
          <w:szCs w:val="16"/>
        </w:rPr>
        <w:footnoteRef/>
      </w:r>
      <w:r>
        <w:t xml:space="preserve"> </w:t>
      </w:r>
      <w:r w:rsidRPr="00152D68">
        <w:rPr>
          <w:rFonts w:asciiTheme="majorHAnsi" w:eastAsia="Calibri" w:hAnsiTheme="majorHAnsi" w:cstheme="majorHAnsi"/>
          <w:bCs/>
          <w:sz w:val="16"/>
          <w:szCs w:val="16"/>
          <w:lang w:val="ro-MD"/>
        </w:rPr>
        <w:t>(</w:t>
      </w:r>
      <w:r>
        <w:rPr>
          <w:rFonts w:asciiTheme="majorHAnsi" w:eastAsia="Calibri" w:hAnsiTheme="majorHAnsi" w:cstheme="majorHAnsi"/>
          <w:bCs/>
          <w:sz w:val="16"/>
          <w:szCs w:val="16"/>
          <w:lang w:val="ro-MD"/>
        </w:rPr>
        <w:t>Credit No. 5470</w:t>
      </w:r>
      <w:r w:rsidRPr="00FF273E">
        <w:rPr>
          <w:rFonts w:asciiTheme="majorHAnsi" w:eastAsia="Calibri" w:hAnsiTheme="majorHAnsi" w:cstheme="majorHAnsi"/>
          <w:bCs/>
          <w:sz w:val="16"/>
          <w:szCs w:val="16"/>
          <w:lang w:val="ro-MD"/>
        </w:rPr>
        <w:t>-MD) Acordul de finanțare dintre Republica Moldova și Asociația Internațională pentru Dezvoltare din 11.07.2014</w:t>
      </w:r>
      <w:r>
        <w:rPr>
          <w:rFonts w:asciiTheme="majorHAnsi" w:eastAsia="Calibri" w:hAnsiTheme="majorHAnsi" w:cstheme="majorHAnsi"/>
          <w:bCs/>
          <w:sz w:val="16"/>
          <w:szCs w:val="16"/>
          <w:lang w:val="ro-MD"/>
        </w:rPr>
        <w:t>.</w:t>
      </w:r>
    </w:p>
  </w:footnote>
  <w:footnote w:id="24">
    <w:p w14:paraId="02053F2A" w14:textId="006088F9" w:rsidR="00D57F32" w:rsidRPr="00742B36" w:rsidRDefault="00D57F32" w:rsidP="00963506">
      <w:pPr>
        <w:pStyle w:val="FootnoteText"/>
        <w:rPr>
          <w:rFonts w:asciiTheme="majorHAnsi" w:hAnsiTheme="majorHAnsi"/>
          <w:sz w:val="18"/>
          <w:szCs w:val="18"/>
          <w:lang w:val="ro-RO"/>
        </w:rPr>
      </w:pPr>
      <w:r w:rsidRPr="00742B36">
        <w:rPr>
          <w:rStyle w:val="FootnoteReference"/>
          <w:rFonts w:asciiTheme="majorHAnsi" w:hAnsiTheme="majorHAnsi"/>
          <w:sz w:val="16"/>
          <w:szCs w:val="18"/>
        </w:rPr>
        <w:footnoteRef/>
      </w:r>
      <w:r w:rsidRPr="00742B36">
        <w:rPr>
          <w:rFonts w:asciiTheme="majorHAnsi" w:hAnsiTheme="majorHAnsi"/>
          <w:sz w:val="16"/>
          <w:szCs w:val="18"/>
        </w:rPr>
        <w:t xml:space="preserve"> </w:t>
      </w:r>
      <w:r>
        <w:rPr>
          <w:rFonts w:asciiTheme="majorHAnsi" w:eastAsia="Times New Roman" w:hAnsiTheme="majorHAnsi" w:cstheme="majorHAnsi"/>
          <w:sz w:val="16"/>
          <w:szCs w:val="18"/>
          <w:lang w:val="ro-MD"/>
        </w:rPr>
        <w:t>A</w:t>
      </w:r>
      <w:r w:rsidRPr="00742B36">
        <w:rPr>
          <w:rFonts w:asciiTheme="majorHAnsi" w:eastAsia="Times New Roman" w:hAnsiTheme="majorHAnsi" w:cstheme="majorHAnsi"/>
          <w:sz w:val="16"/>
          <w:szCs w:val="18"/>
          <w:lang w:val="ro-MD"/>
        </w:rPr>
        <w:t>rt. 25 din Legea finanțelor publice și responsabilității bugetar-fiscale nr.181 din 25.07.2014</w:t>
      </w:r>
      <w:r>
        <w:rPr>
          <w:rFonts w:asciiTheme="majorHAnsi" w:eastAsia="Times New Roman" w:hAnsiTheme="majorHAnsi" w:cstheme="majorHAnsi"/>
          <w:sz w:val="16"/>
          <w:szCs w:val="18"/>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600F" w14:textId="77777777" w:rsidR="00D57F32" w:rsidRPr="00633617" w:rsidRDefault="00D57F32" w:rsidP="00A26C34">
    <w:pPr>
      <w:pStyle w:val="Header"/>
      <w:jc w:val="right"/>
      <w:rPr>
        <w:rFonts w:asciiTheme="majorHAnsi" w:hAnsiTheme="majorHAnsi" w:cstheme="maj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F029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E29B8"/>
    <w:multiLevelType w:val="multilevel"/>
    <w:tmpl w:val="518A6B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7590EEB"/>
    <w:multiLevelType w:val="multilevel"/>
    <w:tmpl w:val="3D46199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8391571"/>
    <w:multiLevelType w:val="multilevel"/>
    <w:tmpl w:val="A52C0652"/>
    <w:lvl w:ilvl="0">
      <w:start w:val="4"/>
      <w:numFmt w:val="decimal"/>
      <w:lvlText w:val="%1."/>
      <w:lvlJc w:val="left"/>
      <w:pPr>
        <w:ind w:left="440" w:hanging="44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4" w15:restartNumberingAfterBreak="0">
    <w:nsid w:val="0CFA07E6"/>
    <w:multiLevelType w:val="multilevel"/>
    <w:tmpl w:val="2B42DE5A"/>
    <w:lvl w:ilvl="0">
      <w:start w:val="5"/>
      <w:numFmt w:val="decimal"/>
      <w:lvlText w:val="%1."/>
      <w:lvlJc w:val="left"/>
      <w:pPr>
        <w:ind w:left="396" w:hanging="396"/>
      </w:pPr>
      <w:rPr>
        <w:rFonts w:hint="default"/>
      </w:rPr>
    </w:lvl>
    <w:lvl w:ilvl="1">
      <w:start w:val="1"/>
      <w:numFmt w:val="decimal"/>
      <w:lvlText w:val="%1.%2."/>
      <w:lvlJc w:val="left"/>
      <w:pPr>
        <w:ind w:left="6634" w:hanging="39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7C574B"/>
    <w:multiLevelType w:val="hybridMultilevel"/>
    <w:tmpl w:val="CE6A3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427F"/>
    <w:multiLevelType w:val="multilevel"/>
    <w:tmpl w:val="A1B8BF8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565D54"/>
    <w:multiLevelType w:val="hybridMultilevel"/>
    <w:tmpl w:val="E8E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538"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6549C"/>
    <w:multiLevelType w:val="multilevel"/>
    <w:tmpl w:val="674AE6E8"/>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8AA4182"/>
    <w:multiLevelType w:val="multilevel"/>
    <w:tmpl w:val="9ECA2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76518"/>
    <w:multiLevelType w:val="hybridMultilevel"/>
    <w:tmpl w:val="4E847486"/>
    <w:lvl w:ilvl="0" w:tplc="71B4A6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97C40"/>
    <w:multiLevelType w:val="hybridMultilevel"/>
    <w:tmpl w:val="9712056C"/>
    <w:lvl w:ilvl="0" w:tplc="654ECB44">
      <w:start w:val="1"/>
      <w:numFmt w:val="decimal"/>
      <w:pStyle w:val="NormalAriel"/>
      <w:lvlText w:val="%1."/>
      <w:lvlJc w:val="left"/>
      <w:pPr>
        <w:tabs>
          <w:tab w:val="num" w:pos="140"/>
        </w:tabs>
        <w:ind w:left="350" w:hanging="170"/>
      </w:pPr>
      <w:rPr>
        <w:rFonts w:hint="default"/>
        <w:b/>
        <w:sz w:val="28"/>
        <w:szCs w:val="28"/>
      </w:rPr>
    </w:lvl>
    <w:lvl w:ilvl="1" w:tplc="0419000F">
      <w:start w:val="1"/>
      <w:numFmt w:val="decimal"/>
      <w:lvlText w:val="%2."/>
      <w:lvlJc w:val="left"/>
      <w:pPr>
        <w:tabs>
          <w:tab w:val="num" w:pos="730"/>
        </w:tabs>
        <w:ind w:left="730" w:hanging="360"/>
      </w:pPr>
      <w:rPr>
        <w:rFonts w:hint="default"/>
        <w:sz w:val="22"/>
        <w:szCs w:val="22"/>
      </w:rPr>
    </w:lvl>
    <w:lvl w:ilvl="2" w:tplc="DCF68850">
      <w:start w:val="5"/>
      <w:numFmt w:val="lowerLetter"/>
      <w:lvlText w:val="%3."/>
      <w:lvlJc w:val="left"/>
      <w:pPr>
        <w:tabs>
          <w:tab w:val="num" w:pos="1630"/>
        </w:tabs>
        <w:ind w:left="1630" w:hanging="360"/>
      </w:pPr>
      <w:rPr>
        <w:rFonts w:hint="default"/>
      </w:r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13" w15:restartNumberingAfterBreak="0">
    <w:nsid w:val="404A0F66"/>
    <w:multiLevelType w:val="multilevel"/>
    <w:tmpl w:val="97BA440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AC3B1B"/>
    <w:multiLevelType w:val="hybridMultilevel"/>
    <w:tmpl w:val="82126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96D7C"/>
    <w:multiLevelType w:val="multilevel"/>
    <w:tmpl w:val="6D7C95A6"/>
    <w:lvl w:ilvl="0">
      <w:start w:val="1"/>
      <w:numFmt w:val="upperRoman"/>
      <w:pStyle w:val="Heading1"/>
      <w:lvlText w:val="%1."/>
      <w:lvlJc w:val="left"/>
      <w:pPr>
        <w:ind w:left="360"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pStyle w:val="Heading4"/>
      <w:lvlText w:val="%1.%2.%3.%4"/>
      <w:lvlJc w:val="left"/>
      <w:pPr>
        <w:ind w:left="438" w:hanging="864"/>
      </w:pPr>
      <w:rPr>
        <w:rFonts w:hint="default"/>
      </w:rPr>
    </w:lvl>
    <w:lvl w:ilvl="4">
      <w:start w:val="1"/>
      <w:numFmt w:val="decimal"/>
      <w:pStyle w:val="Heading5"/>
      <w:lvlText w:val="%1.%2.%3.%4.%5"/>
      <w:lvlJc w:val="left"/>
      <w:pPr>
        <w:ind w:left="582" w:hanging="1008"/>
      </w:pPr>
      <w:rPr>
        <w:rFonts w:hint="default"/>
      </w:rPr>
    </w:lvl>
    <w:lvl w:ilvl="5">
      <w:start w:val="1"/>
      <w:numFmt w:val="decimal"/>
      <w:pStyle w:val="Heading6"/>
      <w:lvlText w:val="%1.%2.%3.%4.%5.%6"/>
      <w:lvlJc w:val="left"/>
      <w:pPr>
        <w:ind w:left="726" w:hanging="1152"/>
      </w:pPr>
      <w:rPr>
        <w:rFonts w:hint="default"/>
      </w:rPr>
    </w:lvl>
    <w:lvl w:ilvl="6">
      <w:start w:val="1"/>
      <w:numFmt w:val="decimal"/>
      <w:pStyle w:val="Heading7"/>
      <w:lvlText w:val="%1.%2.%3.%4.%5.%6.%7"/>
      <w:lvlJc w:val="left"/>
      <w:pPr>
        <w:ind w:left="870" w:hanging="1296"/>
      </w:pPr>
      <w:rPr>
        <w:rFonts w:hint="default"/>
      </w:rPr>
    </w:lvl>
    <w:lvl w:ilvl="7">
      <w:start w:val="1"/>
      <w:numFmt w:val="decimal"/>
      <w:pStyle w:val="Heading8"/>
      <w:lvlText w:val="%1.%2.%3.%4.%5.%6.%7.%8"/>
      <w:lvlJc w:val="left"/>
      <w:pPr>
        <w:ind w:left="1014" w:hanging="1440"/>
      </w:pPr>
      <w:rPr>
        <w:rFonts w:hint="default"/>
      </w:rPr>
    </w:lvl>
    <w:lvl w:ilvl="8">
      <w:start w:val="1"/>
      <w:numFmt w:val="decimal"/>
      <w:pStyle w:val="Heading9"/>
      <w:lvlText w:val="%1.%2.%3.%4.%5.%6.%7.%8.%9"/>
      <w:lvlJc w:val="left"/>
      <w:pPr>
        <w:ind w:left="1158" w:hanging="1584"/>
      </w:pPr>
      <w:rPr>
        <w:rFonts w:hint="default"/>
      </w:rPr>
    </w:lvl>
  </w:abstractNum>
  <w:abstractNum w:abstractNumId="16" w15:restartNumberingAfterBreak="0">
    <w:nsid w:val="4D93496E"/>
    <w:multiLevelType w:val="hybridMultilevel"/>
    <w:tmpl w:val="9EF24FD6"/>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020B9"/>
    <w:multiLevelType w:val="hybridMultilevel"/>
    <w:tmpl w:val="3E8E1F70"/>
    <w:lvl w:ilvl="0" w:tplc="114A8E36">
      <w:start w:val="1"/>
      <w:numFmt w:val="decimal"/>
      <w:lvlText w:val="%1."/>
      <w:lvlJc w:val="left"/>
      <w:pPr>
        <w:ind w:left="720" w:hanging="360"/>
      </w:pPr>
      <w:rPr>
        <w:rFonts w:eastAsiaTheme="majorEastAs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D1CD4"/>
    <w:multiLevelType w:val="multilevel"/>
    <w:tmpl w:val="1D0A651C"/>
    <w:lvl w:ilvl="0">
      <w:start w:val="5"/>
      <w:numFmt w:val="decimal"/>
      <w:lvlText w:val="%1."/>
      <w:lvlJc w:val="left"/>
      <w:pPr>
        <w:ind w:left="504" w:hanging="504"/>
      </w:pPr>
      <w:rPr>
        <w:rFonts w:hint="default"/>
        <w:sz w:val="32"/>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960" w:hanging="180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5040" w:hanging="2160"/>
      </w:pPr>
      <w:rPr>
        <w:rFonts w:hint="default"/>
        <w:sz w:val="32"/>
      </w:rPr>
    </w:lvl>
  </w:abstractNum>
  <w:abstractNum w:abstractNumId="19" w15:restartNumberingAfterBreak="0">
    <w:nsid w:val="64DF0335"/>
    <w:multiLevelType w:val="multilevel"/>
    <w:tmpl w:val="B28672E2"/>
    <w:lvl w:ilvl="0">
      <w:start w:val="6"/>
      <w:numFmt w:val="decimal"/>
      <w:lvlText w:val="%1."/>
      <w:lvlJc w:val="left"/>
      <w:pPr>
        <w:ind w:left="396" w:hanging="396"/>
      </w:pPr>
      <w:rPr>
        <w:rFonts w:hint="default"/>
      </w:rPr>
    </w:lvl>
    <w:lvl w:ilvl="1">
      <w:start w:val="1"/>
      <w:numFmt w:val="decimal"/>
      <w:lvlText w:val="%1.%2."/>
      <w:lvlJc w:val="left"/>
      <w:pPr>
        <w:ind w:left="538" w:hanging="396"/>
      </w:pPr>
      <w:rPr>
        <w:rFonts w:hint="default"/>
        <w:b/>
        <w:i w:val="0"/>
        <w:strike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9F6F24"/>
    <w:multiLevelType w:val="hybridMultilevel"/>
    <w:tmpl w:val="20B8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C6037A"/>
    <w:multiLevelType w:val="hybridMultilevel"/>
    <w:tmpl w:val="D4F079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1714B13"/>
    <w:multiLevelType w:val="multilevel"/>
    <w:tmpl w:val="B7885842"/>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11485C"/>
    <w:multiLevelType w:val="hybridMultilevel"/>
    <w:tmpl w:val="4B1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42D09"/>
    <w:multiLevelType w:val="hybridMultilevel"/>
    <w:tmpl w:val="EFA2C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5"/>
  </w:num>
  <w:num w:numId="2">
    <w:abstractNumId w:val="0"/>
  </w:num>
  <w:num w:numId="3">
    <w:abstractNumId w:val="15"/>
    <w:lvlOverride w:ilvl="0">
      <w:startOverride w:val="1"/>
    </w:lvlOverride>
  </w:num>
  <w:num w:numId="4">
    <w:abstractNumId w:val="12"/>
  </w:num>
  <w:num w:numId="5">
    <w:abstractNumId w:val="8"/>
  </w:num>
  <w:num w:numId="6">
    <w:abstractNumId w:val="4"/>
  </w:num>
  <w:num w:numId="7">
    <w:abstractNumId w:val="1"/>
  </w:num>
  <w:num w:numId="8">
    <w:abstractNumId w:val="15"/>
    <w:lvlOverride w:ilvl="0">
      <w:startOverride w:val="1"/>
    </w:lvlOverride>
  </w:num>
  <w:num w:numId="9">
    <w:abstractNumId w:val="3"/>
  </w:num>
  <w:num w:numId="10">
    <w:abstractNumId w:val="7"/>
  </w:num>
  <w:num w:numId="11">
    <w:abstractNumId w:val="11"/>
  </w:num>
  <w:num w:numId="12">
    <w:abstractNumId w:val="22"/>
  </w:num>
  <w:num w:numId="13">
    <w:abstractNumId w:val="15"/>
    <w:lvlOverride w:ilvl="0">
      <w:startOverride w:val="1"/>
    </w:lvlOverride>
  </w:num>
  <w:num w:numId="14">
    <w:abstractNumId w:val="10"/>
  </w:num>
  <w:num w:numId="15">
    <w:abstractNumId w:val="5"/>
  </w:num>
  <w:num w:numId="16">
    <w:abstractNumId w:val="14"/>
  </w:num>
  <w:num w:numId="17">
    <w:abstractNumId w:val="16"/>
  </w:num>
  <w:num w:numId="18">
    <w:abstractNumId w:val="24"/>
  </w:num>
  <w:num w:numId="19">
    <w:abstractNumId w:val="23"/>
  </w:num>
  <w:num w:numId="20">
    <w:abstractNumId w:val="13"/>
  </w:num>
  <w:num w:numId="21">
    <w:abstractNumId w:val="17"/>
  </w:num>
  <w:num w:numId="22">
    <w:abstractNumId w:val="18"/>
  </w:num>
  <w:num w:numId="23">
    <w:abstractNumId w:val="25"/>
  </w:num>
  <w:num w:numId="24">
    <w:abstractNumId w:val="19"/>
  </w:num>
  <w:num w:numId="25">
    <w:abstractNumId w:val="20"/>
  </w:num>
  <w:num w:numId="26">
    <w:abstractNumId w:val="21"/>
  </w:num>
  <w:num w:numId="27">
    <w:abstractNumId w:val="9"/>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06"/>
    <w:rsid w:val="00015FD1"/>
    <w:rsid w:val="000202E7"/>
    <w:rsid w:val="00047BCB"/>
    <w:rsid w:val="00050878"/>
    <w:rsid w:val="00072178"/>
    <w:rsid w:val="00076B79"/>
    <w:rsid w:val="00095163"/>
    <w:rsid w:val="0009712C"/>
    <w:rsid w:val="000A4E19"/>
    <w:rsid w:val="000B4C5A"/>
    <w:rsid w:val="000B5D5F"/>
    <w:rsid w:val="000D3749"/>
    <w:rsid w:val="000F1D84"/>
    <w:rsid w:val="0010141B"/>
    <w:rsid w:val="00121F1D"/>
    <w:rsid w:val="0015212E"/>
    <w:rsid w:val="00157FB1"/>
    <w:rsid w:val="00164EDE"/>
    <w:rsid w:val="001804CC"/>
    <w:rsid w:val="001830F4"/>
    <w:rsid w:val="001A5AB7"/>
    <w:rsid w:val="001C236A"/>
    <w:rsid w:val="001C6ACC"/>
    <w:rsid w:val="001E07E9"/>
    <w:rsid w:val="001F561A"/>
    <w:rsid w:val="002024FD"/>
    <w:rsid w:val="00202E7D"/>
    <w:rsid w:val="00207151"/>
    <w:rsid w:val="00212961"/>
    <w:rsid w:val="00215A69"/>
    <w:rsid w:val="00221121"/>
    <w:rsid w:val="00224AE9"/>
    <w:rsid w:val="00236112"/>
    <w:rsid w:val="00250884"/>
    <w:rsid w:val="00255224"/>
    <w:rsid w:val="002568A3"/>
    <w:rsid w:val="002742C0"/>
    <w:rsid w:val="00283ECB"/>
    <w:rsid w:val="00290D70"/>
    <w:rsid w:val="002A40E6"/>
    <w:rsid w:val="002B7EFF"/>
    <w:rsid w:val="002C5F89"/>
    <w:rsid w:val="002D2109"/>
    <w:rsid w:val="002E7510"/>
    <w:rsid w:val="002F38ED"/>
    <w:rsid w:val="00300B70"/>
    <w:rsid w:val="00302018"/>
    <w:rsid w:val="00337BD3"/>
    <w:rsid w:val="00363DBA"/>
    <w:rsid w:val="0036424B"/>
    <w:rsid w:val="00396F30"/>
    <w:rsid w:val="003C4968"/>
    <w:rsid w:val="003C6885"/>
    <w:rsid w:val="003E0613"/>
    <w:rsid w:val="003E50CF"/>
    <w:rsid w:val="003E6C95"/>
    <w:rsid w:val="003F47E5"/>
    <w:rsid w:val="003F54C8"/>
    <w:rsid w:val="004118C9"/>
    <w:rsid w:val="004175D7"/>
    <w:rsid w:val="004329A0"/>
    <w:rsid w:val="00444404"/>
    <w:rsid w:val="00461A2F"/>
    <w:rsid w:val="0046493C"/>
    <w:rsid w:val="00465AB5"/>
    <w:rsid w:val="00481102"/>
    <w:rsid w:val="00492071"/>
    <w:rsid w:val="004A01EA"/>
    <w:rsid w:val="004A754B"/>
    <w:rsid w:val="004C1828"/>
    <w:rsid w:val="004E63A0"/>
    <w:rsid w:val="004F51BF"/>
    <w:rsid w:val="005009F9"/>
    <w:rsid w:val="00525A4E"/>
    <w:rsid w:val="0055470E"/>
    <w:rsid w:val="0056125E"/>
    <w:rsid w:val="0057074D"/>
    <w:rsid w:val="005719BF"/>
    <w:rsid w:val="005A3930"/>
    <w:rsid w:val="005B034F"/>
    <w:rsid w:val="005B0749"/>
    <w:rsid w:val="005E1A29"/>
    <w:rsid w:val="005F2495"/>
    <w:rsid w:val="00601BF8"/>
    <w:rsid w:val="006270B3"/>
    <w:rsid w:val="00666D25"/>
    <w:rsid w:val="0068665E"/>
    <w:rsid w:val="006B10B0"/>
    <w:rsid w:val="006D38A6"/>
    <w:rsid w:val="006D3A2F"/>
    <w:rsid w:val="006D5691"/>
    <w:rsid w:val="006D633A"/>
    <w:rsid w:val="006E0028"/>
    <w:rsid w:val="006F015E"/>
    <w:rsid w:val="006F2A2F"/>
    <w:rsid w:val="006F4697"/>
    <w:rsid w:val="006F5F7F"/>
    <w:rsid w:val="0071478C"/>
    <w:rsid w:val="00720E62"/>
    <w:rsid w:val="00725BCD"/>
    <w:rsid w:val="00725D24"/>
    <w:rsid w:val="007461C4"/>
    <w:rsid w:val="0074652C"/>
    <w:rsid w:val="007468B1"/>
    <w:rsid w:val="00762587"/>
    <w:rsid w:val="00764667"/>
    <w:rsid w:val="007711AF"/>
    <w:rsid w:val="0078350E"/>
    <w:rsid w:val="00783607"/>
    <w:rsid w:val="00796782"/>
    <w:rsid w:val="007970A2"/>
    <w:rsid w:val="007B1179"/>
    <w:rsid w:val="007B27DF"/>
    <w:rsid w:val="007B65EF"/>
    <w:rsid w:val="007C5397"/>
    <w:rsid w:val="007D39B1"/>
    <w:rsid w:val="007D67B8"/>
    <w:rsid w:val="007F528F"/>
    <w:rsid w:val="00814F8E"/>
    <w:rsid w:val="00815B92"/>
    <w:rsid w:val="00824809"/>
    <w:rsid w:val="008332C3"/>
    <w:rsid w:val="00840A27"/>
    <w:rsid w:val="00841964"/>
    <w:rsid w:val="0084481C"/>
    <w:rsid w:val="0086533E"/>
    <w:rsid w:val="00865421"/>
    <w:rsid w:val="008A4784"/>
    <w:rsid w:val="008B0D45"/>
    <w:rsid w:val="008B0EA5"/>
    <w:rsid w:val="008C111F"/>
    <w:rsid w:val="008C18B3"/>
    <w:rsid w:val="008C4E5C"/>
    <w:rsid w:val="008D5689"/>
    <w:rsid w:val="008D7C95"/>
    <w:rsid w:val="008E1AB9"/>
    <w:rsid w:val="008F50F4"/>
    <w:rsid w:val="00931BBE"/>
    <w:rsid w:val="00944D43"/>
    <w:rsid w:val="00951377"/>
    <w:rsid w:val="00963506"/>
    <w:rsid w:val="0097112E"/>
    <w:rsid w:val="00980DE5"/>
    <w:rsid w:val="00996D85"/>
    <w:rsid w:val="0099739B"/>
    <w:rsid w:val="009A201F"/>
    <w:rsid w:val="009A5559"/>
    <w:rsid w:val="009B4D47"/>
    <w:rsid w:val="009C1BBA"/>
    <w:rsid w:val="009C5B17"/>
    <w:rsid w:val="009E7FDF"/>
    <w:rsid w:val="00A023EA"/>
    <w:rsid w:val="00A2062B"/>
    <w:rsid w:val="00A26C34"/>
    <w:rsid w:val="00A4146A"/>
    <w:rsid w:val="00A51F03"/>
    <w:rsid w:val="00A64790"/>
    <w:rsid w:val="00A84CDC"/>
    <w:rsid w:val="00A91279"/>
    <w:rsid w:val="00A91C5D"/>
    <w:rsid w:val="00A92DF4"/>
    <w:rsid w:val="00AA2208"/>
    <w:rsid w:val="00AA486E"/>
    <w:rsid w:val="00AF43F5"/>
    <w:rsid w:val="00B22A49"/>
    <w:rsid w:val="00B2329D"/>
    <w:rsid w:val="00B263CC"/>
    <w:rsid w:val="00B306AA"/>
    <w:rsid w:val="00B614FE"/>
    <w:rsid w:val="00B63081"/>
    <w:rsid w:val="00B71BD1"/>
    <w:rsid w:val="00B75CF0"/>
    <w:rsid w:val="00B93A82"/>
    <w:rsid w:val="00BC151C"/>
    <w:rsid w:val="00BD050E"/>
    <w:rsid w:val="00BE0B09"/>
    <w:rsid w:val="00C150D4"/>
    <w:rsid w:val="00C321F8"/>
    <w:rsid w:val="00C32331"/>
    <w:rsid w:val="00C35E5C"/>
    <w:rsid w:val="00C3746D"/>
    <w:rsid w:val="00C516EB"/>
    <w:rsid w:val="00C57989"/>
    <w:rsid w:val="00C722DC"/>
    <w:rsid w:val="00C725A8"/>
    <w:rsid w:val="00C74CE1"/>
    <w:rsid w:val="00C76C03"/>
    <w:rsid w:val="00C83268"/>
    <w:rsid w:val="00C97D80"/>
    <w:rsid w:val="00CB0B8C"/>
    <w:rsid w:val="00CB16E6"/>
    <w:rsid w:val="00CB5527"/>
    <w:rsid w:val="00CD37F0"/>
    <w:rsid w:val="00CD3C6F"/>
    <w:rsid w:val="00CE01A2"/>
    <w:rsid w:val="00CE4188"/>
    <w:rsid w:val="00CE4A1C"/>
    <w:rsid w:val="00CE7817"/>
    <w:rsid w:val="00D1174F"/>
    <w:rsid w:val="00D12FDE"/>
    <w:rsid w:val="00D26068"/>
    <w:rsid w:val="00D36F21"/>
    <w:rsid w:val="00D437BE"/>
    <w:rsid w:val="00D57F32"/>
    <w:rsid w:val="00D62E73"/>
    <w:rsid w:val="00D71ED1"/>
    <w:rsid w:val="00D74CBC"/>
    <w:rsid w:val="00D97068"/>
    <w:rsid w:val="00DB1634"/>
    <w:rsid w:val="00DB389E"/>
    <w:rsid w:val="00DB6D88"/>
    <w:rsid w:val="00DD3658"/>
    <w:rsid w:val="00DE1472"/>
    <w:rsid w:val="00DE259A"/>
    <w:rsid w:val="00DE3186"/>
    <w:rsid w:val="00E02D0C"/>
    <w:rsid w:val="00E06E19"/>
    <w:rsid w:val="00E20806"/>
    <w:rsid w:val="00E228B3"/>
    <w:rsid w:val="00E25105"/>
    <w:rsid w:val="00E303F7"/>
    <w:rsid w:val="00E37A9D"/>
    <w:rsid w:val="00E54956"/>
    <w:rsid w:val="00E72A17"/>
    <w:rsid w:val="00E749FD"/>
    <w:rsid w:val="00E85A97"/>
    <w:rsid w:val="00E85D05"/>
    <w:rsid w:val="00E906EA"/>
    <w:rsid w:val="00E9100E"/>
    <w:rsid w:val="00E92AB3"/>
    <w:rsid w:val="00E96671"/>
    <w:rsid w:val="00EA0C64"/>
    <w:rsid w:val="00EA62CC"/>
    <w:rsid w:val="00EA7961"/>
    <w:rsid w:val="00EB01D3"/>
    <w:rsid w:val="00EB1EEF"/>
    <w:rsid w:val="00F16438"/>
    <w:rsid w:val="00F32099"/>
    <w:rsid w:val="00F506F2"/>
    <w:rsid w:val="00F507AD"/>
    <w:rsid w:val="00F62533"/>
    <w:rsid w:val="00F74BD3"/>
    <w:rsid w:val="00F77324"/>
    <w:rsid w:val="00F77C13"/>
    <w:rsid w:val="00F91512"/>
    <w:rsid w:val="00F94462"/>
    <w:rsid w:val="00FA19B9"/>
    <w:rsid w:val="00FA1C89"/>
    <w:rsid w:val="00FC3770"/>
    <w:rsid w:val="00FE21DC"/>
    <w:rsid w:val="00FE5EBD"/>
    <w:rsid w:val="00FF3C75"/>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FD71"/>
  <w15:chartTrackingRefBased/>
  <w15:docId w15:val="{4E407CD7-24C4-4B09-B615-CBBE3F6C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06"/>
  </w:style>
  <w:style w:type="paragraph" w:styleId="Heading1">
    <w:name w:val="heading 1"/>
    <w:aliases w:val="Capitole"/>
    <w:basedOn w:val="Normal"/>
    <w:next w:val="Normal"/>
    <w:link w:val="Heading1Char"/>
    <w:uiPriority w:val="9"/>
    <w:qFormat/>
    <w:rsid w:val="00963506"/>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Heading2">
    <w:name w:val="heading 2"/>
    <w:aliases w:val="Subcapitole"/>
    <w:basedOn w:val="Heading1"/>
    <w:next w:val="Normal"/>
    <w:link w:val="Heading2Char"/>
    <w:uiPriority w:val="9"/>
    <w:unhideWhenUsed/>
    <w:qFormat/>
    <w:rsid w:val="00963506"/>
    <w:pPr>
      <w:numPr>
        <w:numId w:val="0"/>
      </w:numPr>
      <w:spacing w:before="40" w:line="240" w:lineRule="auto"/>
      <w:ind w:firstLine="709"/>
      <w:jc w:val="both"/>
      <w:outlineLvl w:val="1"/>
    </w:pPr>
    <w:rPr>
      <w:rFonts w:eastAsia="Times New Roman" w:cs="Times New Roman"/>
      <w:bCs/>
      <w:sz w:val="28"/>
      <w:szCs w:val="28"/>
      <w:lang w:eastAsia="ro-RO"/>
    </w:rPr>
  </w:style>
  <w:style w:type="paragraph" w:styleId="Heading4">
    <w:name w:val="heading 4"/>
    <w:basedOn w:val="Normal"/>
    <w:next w:val="Normal"/>
    <w:link w:val="Heading4Char"/>
    <w:autoRedefine/>
    <w:uiPriority w:val="9"/>
    <w:unhideWhenUsed/>
    <w:qFormat/>
    <w:rsid w:val="00963506"/>
    <w:pPr>
      <w:keepNext/>
      <w:keepLines/>
      <w:numPr>
        <w:ilvl w:val="3"/>
        <w:numId w:val="1"/>
      </w:numPr>
      <w:spacing w:before="40" w:after="0" w:line="276" w:lineRule="auto"/>
      <w:jc w:val="both"/>
      <w:outlineLvl w:val="3"/>
    </w:pPr>
    <w:rPr>
      <w:rFonts w:ascii="Times New Roman" w:eastAsiaTheme="majorEastAsia" w:hAnsi="Times New Roman" w:cstheme="majorBidi"/>
      <w:i/>
      <w:iCs/>
      <w:sz w:val="28"/>
      <w:lang w:val="ro-MD"/>
    </w:rPr>
  </w:style>
  <w:style w:type="paragraph" w:styleId="Heading5">
    <w:name w:val="heading 5"/>
    <w:basedOn w:val="Normal"/>
    <w:next w:val="Normal"/>
    <w:link w:val="Heading5Char"/>
    <w:uiPriority w:val="9"/>
    <w:semiHidden/>
    <w:unhideWhenUsed/>
    <w:qFormat/>
    <w:rsid w:val="00963506"/>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Heading6">
    <w:name w:val="heading 6"/>
    <w:basedOn w:val="Normal"/>
    <w:next w:val="Normal"/>
    <w:link w:val="Heading6Char"/>
    <w:uiPriority w:val="9"/>
    <w:semiHidden/>
    <w:unhideWhenUsed/>
    <w:qFormat/>
    <w:rsid w:val="00963506"/>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Heading7">
    <w:name w:val="heading 7"/>
    <w:basedOn w:val="Normal"/>
    <w:next w:val="Normal"/>
    <w:link w:val="Heading7Char"/>
    <w:uiPriority w:val="9"/>
    <w:semiHidden/>
    <w:unhideWhenUsed/>
    <w:qFormat/>
    <w:rsid w:val="00963506"/>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Heading8">
    <w:name w:val="heading 8"/>
    <w:basedOn w:val="Normal"/>
    <w:next w:val="Normal"/>
    <w:link w:val="Heading8Char"/>
    <w:uiPriority w:val="9"/>
    <w:semiHidden/>
    <w:unhideWhenUsed/>
    <w:qFormat/>
    <w:rsid w:val="00963506"/>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Heading9">
    <w:name w:val="heading 9"/>
    <w:basedOn w:val="Normal"/>
    <w:next w:val="Normal"/>
    <w:link w:val="Heading9Char"/>
    <w:uiPriority w:val="9"/>
    <w:semiHidden/>
    <w:unhideWhenUsed/>
    <w:qFormat/>
    <w:rsid w:val="00963506"/>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itole Char"/>
    <w:basedOn w:val="DefaultParagraphFont"/>
    <w:link w:val="Heading1"/>
    <w:uiPriority w:val="9"/>
    <w:rsid w:val="00963506"/>
    <w:rPr>
      <w:rFonts w:ascii="Times New Roman" w:eastAsiaTheme="majorEastAsia" w:hAnsi="Times New Roman" w:cstheme="majorBidi"/>
      <w:b/>
      <w:sz w:val="32"/>
      <w:szCs w:val="32"/>
      <w:lang w:val="ro-MD"/>
    </w:rPr>
  </w:style>
  <w:style w:type="character" w:customStyle="1" w:styleId="Heading2Char">
    <w:name w:val="Heading 2 Char"/>
    <w:aliases w:val="Subcapitole Char"/>
    <w:basedOn w:val="DefaultParagraphFont"/>
    <w:link w:val="Heading2"/>
    <w:uiPriority w:val="9"/>
    <w:rsid w:val="00963506"/>
    <w:rPr>
      <w:rFonts w:ascii="Times New Roman" w:eastAsia="Times New Roman" w:hAnsi="Times New Roman" w:cs="Times New Roman"/>
      <w:b/>
      <w:bCs/>
      <w:sz w:val="28"/>
      <w:szCs w:val="28"/>
      <w:lang w:val="ro-MD" w:eastAsia="ro-RO"/>
    </w:rPr>
  </w:style>
  <w:style w:type="character" w:customStyle="1" w:styleId="Heading4Char">
    <w:name w:val="Heading 4 Char"/>
    <w:basedOn w:val="DefaultParagraphFont"/>
    <w:link w:val="Heading4"/>
    <w:uiPriority w:val="9"/>
    <w:rsid w:val="00963506"/>
    <w:rPr>
      <w:rFonts w:ascii="Times New Roman" w:eastAsiaTheme="majorEastAsia" w:hAnsi="Times New Roman" w:cstheme="majorBidi"/>
      <w:i/>
      <w:iCs/>
      <w:sz w:val="28"/>
      <w:lang w:val="ro-MD"/>
    </w:rPr>
  </w:style>
  <w:style w:type="character" w:customStyle="1" w:styleId="Heading5Char">
    <w:name w:val="Heading 5 Char"/>
    <w:basedOn w:val="DefaultParagraphFont"/>
    <w:link w:val="Heading5"/>
    <w:uiPriority w:val="9"/>
    <w:semiHidden/>
    <w:rsid w:val="00963506"/>
    <w:rPr>
      <w:rFonts w:asciiTheme="majorHAnsi" w:eastAsiaTheme="majorEastAsia" w:hAnsiTheme="majorHAnsi" w:cstheme="majorBidi"/>
      <w:color w:val="2E74B5" w:themeColor="accent1" w:themeShade="BF"/>
      <w:sz w:val="28"/>
      <w:lang w:val="ro-MD"/>
    </w:rPr>
  </w:style>
  <w:style w:type="character" w:customStyle="1" w:styleId="Heading6Char">
    <w:name w:val="Heading 6 Char"/>
    <w:basedOn w:val="DefaultParagraphFont"/>
    <w:link w:val="Heading6"/>
    <w:uiPriority w:val="9"/>
    <w:semiHidden/>
    <w:rsid w:val="00963506"/>
    <w:rPr>
      <w:rFonts w:asciiTheme="majorHAnsi" w:eastAsiaTheme="majorEastAsia" w:hAnsiTheme="majorHAnsi" w:cstheme="majorBidi"/>
      <w:color w:val="1F4D78" w:themeColor="accent1" w:themeShade="7F"/>
      <w:sz w:val="28"/>
      <w:lang w:val="ro-MD"/>
    </w:rPr>
  </w:style>
  <w:style w:type="character" w:customStyle="1" w:styleId="Heading7Char">
    <w:name w:val="Heading 7 Char"/>
    <w:basedOn w:val="DefaultParagraphFont"/>
    <w:link w:val="Heading7"/>
    <w:uiPriority w:val="9"/>
    <w:semiHidden/>
    <w:rsid w:val="00963506"/>
    <w:rPr>
      <w:rFonts w:asciiTheme="majorHAnsi" w:eastAsiaTheme="majorEastAsia" w:hAnsiTheme="majorHAnsi" w:cstheme="majorBidi"/>
      <w:i/>
      <w:iCs/>
      <w:color w:val="1F4D78" w:themeColor="accent1" w:themeShade="7F"/>
      <w:sz w:val="28"/>
      <w:lang w:val="ro-MD"/>
    </w:rPr>
  </w:style>
  <w:style w:type="character" w:customStyle="1" w:styleId="Heading8Char">
    <w:name w:val="Heading 8 Char"/>
    <w:basedOn w:val="DefaultParagraphFont"/>
    <w:link w:val="Heading8"/>
    <w:uiPriority w:val="9"/>
    <w:semiHidden/>
    <w:rsid w:val="00963506"/>
    <w:rPr>
      <w:rFonts w:asciiTheme="majorHAnsi" w:eastAsiaTheme="majorEastAsia" w:hAnsiTheme="majorHAnsi" w:cstheme="majorBidi"/>
      <w:color w:val="272727" w:themeColor="text1" w:themeTint="D8"/>
      <w:sz w:val="21"/>
      <w:szCs w:val="21"/>
      <w:lang w:val="ro-MD"/>
    </w:rPr>
  </w:style>
  <w:style w:type="character" w:customStyle="1" w:styleId="Heading9Char">
    <w:name w:val="Heading 9 Char"/>
    <w:basedOn w:val="DefaultParagraphFont"/>
    <w:link w:val="Heading9"/>
    <w:uiPriority w:val="9"/>
    <w:semiHidden/>
    <w:rsid w:val="00963506"/>
    <w:rPr>
      <w:rFonts w:asciiTheme="majorHAnsi" w:eastAsiaTheme="majorEastAsia" w:hAnsiTheme="majorHAnsi" w:cstheme="majorBidi"/>
      <w:i/>
      <w:iCs/>
      <w:color w:val="272727" w:themeColor="text1" w:themeTint="D8"/>
      <w:sz w:val="21"/>
      <w:szCs w:val="21"/>
      <w:lang w:val="ro-MD"/>
    </w:rPr>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Normal"/>
    <w:link w:val="ListParagraphChar"/>
    <w:uiPriority w:val="34"/>
    <w:qFormat/>
    <w:rsid w:val="00963506"/>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963506"/>
  </w:style>
  <w:style w:type="character" w:styleId="Hyperlink">
    <w:name w:val="Hyperlink"/>
    <w:basedOn w:val="DefaultParagraphFont"/>
    <w:uiPriority w:val="99"/>
    <w:unhideWhenUsed/>
    <w:rsid w:val="00963506"/>
    <w:rPr>
      <w:color w:val="0563C1" w:themeColor="hyperlink"/>
      <w:u w:val="single"/>
    </w:rPr>
  </w:style>
  <w:style w:type="paragraph" w:styleId="TOCHeading">
    <w:name w:val="TOC Heading"/>
    <w:basedOn w:val="Heading1"/>
    <w:next w:val="Normal"/>
    <w:uiPriority w:val="39"/>
    <w:unhideWhenUsed/>
    <w:qFormat/>
    <w:rsid w:val="00963506"/>
    <w:pPr>
      <w:outlineLvl w:val="9"/>
    </w:pPr>
  </w:style>
  <w:style w:type="paragraph" w:styleId="TOC2">
    <w:name w:val="toc 2"/>
    <w:basedOn w:val="Normal"/>
    <w:next w:val="Normal"/>
    <w:autoRedefine/>
    <w:uiPriority w:val="39"/>
    <w:unhideWhenUsed/>
    <w:rsid w:val="00963506"/>
    <w:pPr>
      <w:tabs>
        <w:tab w:val="right" w:leader="dot" w:pos="9344"/>
      </w:tabs>
      <w:spacing w:after="100" w:line="276" w:lineRule="auto"/>
      <w:jc w:val="both"/>
    </w:pPr>
    <w:rPr>
      <w:rFonts w:ascii="Times New Roman" w:eastAsiaTheme="minorEastAsia" w:hAnsi="Times New Roman" w:cs="Times New Roman"/>
      <w:sz w:val="24"/>
      <w:lang w:val="ro-MD"/>
    </w:rPr>
  </w:style>
  <w:style w:type="paragraph" w:styleId="TOC1">
    <w:name w:val="toc 1"/>
    <w:basedOn w:val="Normal"/>
    <w:next w:val="Normal"/>
    <w:autoRedefine/>
    <w:uiPriority w:val="39"/>
    <w:unhideWhenUsed/>
    <w:rsid w:val="00963506"/>
    <w:pPr>
      <w:tabs>
        <w:tab w:val="left" w:pos="567"/>
        <w:tab w:val="right" w:leader="dot" w:pos="9344"/>
      </w:tabs>
      <w:spacing w:after="100" w:line="276" w:lineRule="auto"/>
      <w:ind w:left="284"/>
      <w:jc w:val="both"/>
    </w:pPr>
    <w:rPr>
      <w:rFonts w:ascii="Times New Roman" w:eastAsiaTheme="minorEastAsia" w:hAnsi="Times New Roman" w:cs="Times New Roman"/>
      <w:sz w:val="24"/>
      <w:lang w:val="ro-MD"/>
    </w:rPr>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Normal"/>
    <w:link w:val="FootnoteTextChar"/>
    <w:uiPriority w:val="99"/>
    <w:unhideWhenUsed/>
    <w:qFormat/>
    <w:rsid w:val="00963506"/>
    <w:pPr>
      <w:spacing w:after="0" w:line="240" w:lineRule="auto"/>
    </w:pPr>
    <w:rPr>
      <w:sz w:val="20"/>
      <w:szCs w:val="20"/>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n Char,FOOTNOTES Char,A Char"/>
    <w:basedOn w:val="DefaultParagraphFont"/>
    <w:link w:val="FootnoteText"/>
    <w:uiPriority w:val="99"/>
    <w:rsid w:val="00963506"/>
    <w:rPr>
      <w:sz w:val="20"/>
      <w:szCs w:val="20"/>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nhideWhenUsed/>
    <w:rsid w:val="00963506"/>
    <w:rPr>
      <w:vertAlign w:val="superscript"/>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963506"/>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963506"/>
    <w:rPr>
      <w:rFonts w:ascii="Times New Roman" w:eastAsia="Times New Roman" w:hAnsi="Times New Roman" w:cs="Times New Roman"/>
      <w:sz w:val="24"/>
      <w:szCs w:val="24"/>
    </w:rPr>
  </w:style>
  <w:style w:type="paragraph" w:customStyle="1" w:styleId="md">
    <w:name w:val="md"/>
    <w:basedOn w:val="Normal"/>
    <w:rsid w:val="00963506"/>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963506"/>
    <w:pPr>
      <w:spacing w:line="240" w:lineRule="exact"/>
    </w:pPr>
    <w:rPr>
      <w:vertAlign w:val="superscript"/>
    </w:rPr>
  </w:style>
  <w:style w:type="paragraph" w:styleId="NoSpacing">
    <w:name w:val="No Spacing"/>
    <w:aliases w:val="Subsol,referinta"/>
    <w:uiPriority w:val="1"/>
    <w:qFormat/>
    <w:rsid w:val="00963506"/>
    <w:pPr>
      <w:widowControl w:val="0"/>
      <w:autoSpaceDE w:val="0"/>
      <w:autoSpaceDN w:val="0"/>
      <w:adjustRightInd w:val="0"/>
      <w:spacing w:after="0" w:line="240" w:lineRule="auto"/>
    </w:pPr>
    <w:rPr>
      <w:rFonts w:ascii="Arial" w:eastAsiaTheme="minorEastAsia" w:hAnsi="Arial" w:cs="Arial"/>
      <w:sz w:val="20"/>
      <w:szCs w:val="20"/>
    </w:rPr>
  </w:style>
  <w:style w:type="table" w:styleId="TableGrid">
    <w:name w:val="Table Grid"/>
    <w:basedOn w:val="TableNormal"/>
    <w:uiPriority w:val="39"/>
    <w:rsid w:val="0096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qFormat/>
    <w:rsid w:val="00963506"/>
    <w:pPr>
      <w:spacing w:after="0" w:line="240" w:lineRule="auto"/>
      <w:jc w:val="center"/>
    </w:pPr>
    <w:rPr>
      <w:rFonts w:ascii="Times New Roman" w:eastAsia="Times New Roman" w:hAnsi="Times New Roman" w:cs="Times New Roman"/>
      <w:b/>
      <w:bCs/>
      <w:sz w:val="24"/>
      <w:szCs w:val="24"/>
      <w:lang w:val="ro-MD" w:eastAsia="ro-RO"/>
    </w:rPr>
  </w:style>
  <w:style w:type="paragraph" w:styleId="TOC3">
    <w:name w:val="toc 3"/>
    <w:basedOn w:val="Normal"/>
    <w:next w:val="Normal"/>
    <w:autoRedefine/>
    <w:uiPriority w:val="39"/>
    <w:unhideWhenUsed/>
    <w:rsid w:val="00963506"/>
    <w:pPr>
      <w:spacing w:after="100" w:line="276" w:lineRule="auto"/>
      <w:ind w:left="560" w:firstLine="709"/>
      <w:jc w:val="both"/>
    </w:pPr>
    <w:rPr>
      <w:rFonts w:ascii="Times New Roman" w:hAnsi="Times New Roman"/>
      <w:sz w:val="28"/>
      <w:lang w:val="ro-MD"/>
    </w:rPr>
  </w:style>
  <w:style w:type="paragraph" w:styleId="Footer">
    <w:name w:val="footer"/>
    <w:basedOn w:val="Normal"/>
    <w:link w:val="FooterChar"/>
    <w:uiPriority w:val="99"/>
    <w:unhideWhenUsed/>
    <w:rsid w:val="00963506"/>
    <w:pPr>
      <w:tabs>
        <w:tab w:val="center" w:pos="4677"/>
        <w:tab w:val="right" w:pos="9355"/>
      </w:tabs>
      <w:spacing w:after="0" w:line="240" w:lineRule="auto"/>
      <w:ind w:firstLine="709"/>
      <w:jc w:val="both"/>
    </w:pPr>
    <w:rPr>
      <w:rFonts w:ascii="Times New Roman" w:hAnsi="Times New Roman"/>
      <w:sz w:val="28"/>
      <w:lang w:val="ro-MD"/>
    </w:rPr>
  </w:style>
  <w:style w:type="character" w:customStyle="1" w:styleId="FooterChar">
    <w:name w:val="Footer Char"/>
    <w:basedOn w:val="DefaultParagraphFont"/>
    <w:link w:val="Footer"/>
    <w:uiPriority w:val="99"/>
    <w:rsid w:val="00963506"/>
    <w:rPr>
      <w:rFonts w:ascii="Times New Roman" w:hAnsi="Times New Roman"/>
      <w:sz w:val="28"/>
      <w:lang w:val="ro-MD"/>
    </w:rPr>
  </w:style>
  <w:style w:type="character" w:customStyle="1" w:styleId="2">
    <w:name w:val="Основной текст (2)_"/>
    <w:basedOn w:val="DefaultParagraphFont"/>
    <w:link w:val="20"/>
    <w:rsid w:val="00963506"/>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963506"/>
    <w:pPr>
      <w:widowControl w:val="0"/>
      <w:shd w:val="clear" w:color="auto" w:fill="FFFFFF"/>
      <w:spacing w:before="720" w:after="260" w:line="245" w:lineRule="exact"/>
    </w:pPr>
    <w:rPr>
      <w:rFonts w:ascii="Book Antiqua" w:eastAsia="Book Antiqua" w:hAnsi="Book Antiqua" w:cs="Book Antiqua"/>
      <w:sz w:val="18"/>
      <w:szCs w:val="18"/>
    </w:rPr>
  </w:style>
  <w:style w:type="character" w:styleId="CommentReference">
    <w:name w:val="annotation reference"/>
    <w:basedOn w:val="DefaultParagraphFont"/>
    <w:uiPriority w:val="99"/>
    <w:semiHidden/>
    <w:unhideWhenUsed/>
    <w:rsid w:val="00963506"/>
    <w:rPr>
      <w:sz w:val="16"/>
      <w:szCs w:val="16"/>
    </w:rPr>
  </w:style>
  <w:style w:type="paragraph" w:styleId="CommentText">
    <w:name w:val="annotation text"/>
    <w:basedOn w:val="Normal"/>
    <w:link w:val="CommentTextChar"/>
    <w:uiPriority w:val="99"/>
    <w:unhideWhenUsed/>
    <w:rsid w:val="00963506"/>
    <w:pPr>
      <w:spacing w:line="240" w:lineRule="auto"/>
    </w:pPr>
    <w:rPr>
      <w:sz w:val="20"/>
      <w:szCs w:val="20"/>
    </w:rPr>
  </w:style>
  <w:style w:type="character" w:customStyle="1" w:styleId="CommentTextChar">
    <w:name w:val="Comment Text Char"/>
    <w:basedOn w:val="DefaultParagraphFont"/>
    <w:link w:val="CommentText"/>
    <w:uiPriority w:val="99"/>
    <w:rsid w:val="00963506"/>
    <w:rPr>
      <w:sz w:val="20"/>
      <w:szCs w:val="20"/>
    </w:rPr>
  </w:style>
  <w:style w:type="paragraph" w:styleId="CommentSubject">
    <w:name w:val="annotation subject"/>
    <w:basedOn w:val="CommentText"/>
    <w:next w:val="CommentText"/>
    <w:link w:val="CommentSubjectChar"/>
    <w:uiPriority w:val="99"/>
    <w:semiHidden/>
    <w:unhideWhenUsed/>
    <w:rsid w:val="00963506"/>
    <w:rPr>
      <w:b/>
      <w:bCs/>
    </w:rPr>
  </w:style>
  <w:style w:type="character" w:customStyle="1" w:styleId="CommentSubjectChar">
    <w:name w:val="Comment Subject Char"/>
    <w:basedOn w:val="CommentTextChar"/>
    <w:link w:val="CommentSubject"/>
    <w:uiPriority w:val="99"/>
    <w:semiHidden/>
    <w:rsid w:val="00963506"/>
    <w:rPr>
      <w:b/>
      <w:bCs/>
      <w:sz w:val="20"/>
      <w:szCs w:val="20"/>
    </w:rPr>
  </w:style>
  <w:style w:type="paragraph" w:styleId="BalloonText">
    <w:name w:val="Balloon Text"/>
    <w:basedOn w:val="Normal"/>
    <w:link w:val="BalloonTextChar"/>
    <w:uiPriority w:val="99"/>
    <w:unhideWhenUsed/>
    <w:rsid w:val="0096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3506"/>
    <w:rPr>
      <w:rFonts w:ascii="Segoe UI" w:hAnsi="Segoe UI" w:cs="Segoe UI"/>
      <w:sz w:val="18"/>
      <w:szCs w:val="18"/>
    </w:rPr>
  </w:style>
  <w:style w:type="paragraph" w:customStyle="1" w:styleId="cn">
    <w:name w:val="cn"/>
    <w:basedOn w:val="Normal"/>
    <w:rsid w:val="00963506"/>
    <w:pPr>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963506"/>
    <w:pPr>
      <w:autoSpaceDE w:val="0"/>
      <w:autoSpaceDN w:val="0"/>
      <w:adjustRightInd w:val="0"/>
      <w:spacing w:after="0" w:line="240" w:lineRule="auto"/>
    </w:pPr>
    <w:rPr>
      <w:rFonts w:ascii="Arial" w:hAnsi="Arial" w:cs="Arial"/>
      <w:color w:val="000000"/>
      <w:sz w:val="24"/>
      <w:szCs w:val="24"/>
    </w:rPr>
  </w:style>
  <w:style w:type="paragraph" w:customStyle="1" w:styleId="cb">
    <w:name w:val="cb"/>
    <w:basedOn w:val="Normal"/>
    <w:rsid w:val="00963506"/>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63506"/>
    <w:pPr>
      <w:tabs>
        <w:tab w:val="center" w:pos="4680"/>
        <w:tab w:val="right" w:pos="9360"/>
      </w:tabs>
      <w:spacing w:after="0" w:line="240" w:lineRule="auto"/>
    </w:pPr>
    <w:rPr>
      <w:rFonts w:ascii="Times New Roman" w:eastAsia="Times New Roman" w:hAnsi="Times New Roman" w:cs="Times New Roman"/>
      <w:sz w:val="24"/>
      <w:szCs w:val="24"/>
      <w:lang w:val="ro-MD" w:eastAsia="ru-RU"/>
    </w:rPr>
  </w:style>
  <w:style w:type="character" w:customStyle="1" w:styleId="HeaderChar">
    <w:name w:val="Header Char"/>
    <w:basedOn w:val="DefaultParagraphFont"/>
    <w:link w:val="Header"/>
    <w:uiPriority w:val="99"/>
    <w:rsid w:val="00963506"/>
    <w:rPr>
      <w:rFonts w:ascii="Times New Roman" w:eastAsia="Times New Roman" w:hAnsi="Times New Roman" w:cs="Times New Roman"/>
      <w:sz w:val="24"/>
      <w:szCs w:val="24"/>
      <w:lang w:val="ro-MD" w:eastAsia="ru-RU"/>
    </w:rPr>
  </w:style>
  <w:style w:type="paragraph" w:customStyle="1" w:styleId="cp">
    <w:name w:val="cp"/>
    <w:basedOn w:val="Normal"/>
    <w:rsid w:val="00963506"/>
    <w:pPr>
      <w:spacing w:after="0" w:line="240" w:lineRule="auto"/>
      <w:jc w:val="center"/>
    </w:pPr>
    <w:rPr>
      <w:rFonts w:ascii="Times New Roman" w:eastAsia="Times New Roman" w:hAnsi="Times New Roman" w:cs="Times New Roman"/>
      <w:b/>
      <w:bCs/>
      <w:sz w:val="24"/>
      <w:szCs w:val="24"/>
    </w:rPr>
  </w:style>
  <w:style w:type="paragraph" w:styleId="ListBullet">
    <w:name w:val="List Bullet"/>
    <w:basedOn w:val="Normal"/>
    <w:uiPriority w:val="99"/>
    <w:unhideWhenUsed/>
    <w:rsid w:val="00963506"/>
    <w:pPr>
      <w:numPr>
        <w:numId w:val="2"/>
      </w:numPr>
      <w:spacing w:after="0" w:line="240" w:lineRule="auto"/>
      <w:contextualSpacing/>
    </w:pPr>
    <w:rPr>
      <w:rFonts w:ascii="Times New Roman" w:eastAsia="Times New Roman" w:hAnsi="Times New Roman" w:cs="Times New Roman"/>
      <w:sz w:val="24"/>
      <w:szCs w:val="24"/>
      <w:lang w:val="ro-MD" w:eastAsia="ru-RU"/>
    </w:rPr>
  </w:style>
  <w:style w:type="character" w:customStyle="1" w:styleId="docheader">
    <w:name w:val="doc_header"/>
    <w:basedOn w:val="DefaultParagraphFont"/>
    <w:rsid w:val="00963506"/>
  </w:style>
  <w:style w:type="character" w:styleId="Emphasis">
    <w:name w:val="Emphasis"/>
    <w:basedOn w:val="DefaultParagraphFont"/>
    <w:uiPriority w:val="20"/>
    <w:qFormat/>
    <w:rsid w:val="00963506"/>
    <w:rPr>
      <w:i/>
      <w:iCs/>
    </w:rPr>
  </w:style>
  <w:style w:type="table" w:customStyle="1" w:styleId="TableGrid1">
    <w:name w:val="Table Grid1"/>
    <w:basedOn w:val="TableNormal"/>
    <w:next w:val="TableGrid"/>
    <w:uiPriority w:val="39"/>
    <w:rsid w:val="0096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506"/>
    <w:rPr>
      <w:color w:val="800080"/>
      <w:u w:val="single"/>
    </w:rPr>
  </w:style>
  <w:style w:type="paragraph" w:customStyle="1" w:styleId="msonormal0">
    <w:name w:val="msonormal"/>
    <w:basedOn w:val="Normal"/>
    <w:rsid w:val="00963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963506"/>
    <w:pPr>
      <w:spacing w:before="100" w:beforeAutospacing="1" w:after="100" w:afterAutospacing="1" w:line="240" w:lineRule="auto"/>
    </w:pPr>
    <w:rPr>
      <w:rFonts w:ascii="Calibri" w:eastAsia="Times New Roman" w:hAnsi="Calibri" w:cs="Calibri"/>
      <w:color w:val="000000"/>
    </w:rPr>
  </w:style>
  <w:style w:type="paragraph" w:customStyle="1" w:styleId="xl85">
    <w:name w:val="xl85"/>
    <w:basedOn w:val="Normal"/>
    <w:rsid w:val="009635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0">
    <w:name w:val="xl90"/>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2">
    <w:name w:val="xl92"/>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Normal"/>
    <w:rsid w:val="00963506"/>
    <w:pPr>
      <w:spacing w:before="100" w:beforeAutospacing="1" w:after="100" w:afterAutospacing="1" w:line="240" w:lineRule="auto"/>
    </w:pPr>
    <w:rPr>
      <w:rFonts w:ascii="Calibri" w:eastAsia="Times New Roman" w:hAnsi="Calibri" w:cs="Calibri"/>
      <w:color w:val="000000"/>
    </w:rPr>
  </w:style>
  <w:style w:type="paragraph" w:customStyle="1" w:styleId="xl98">
    <w:name w:val="xl98"/>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1">
    <w:name w:val="xl101"/>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963506"/>
    <w:pPr>
      <w:spacing w:before="100" w:beforeAutospacing="1" w:after="100" w:afterAutospacing="1" w:line="240" w:lineRule="auto"/>
    </w:pPr>
    <w:rPr>
      <w:rFonts w:ascii="Calibri" w:eastAsia="Times New Roman" w:hAnsi="Calibri" w:cs="Calibri"/>
    </w:rPr>
  </w:style>
  <w:style w:type="paragraph" w:customStyle="1" w:styleId="xl111">
    <w:name w:val="xl111"/>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4">
    <w:name w:val="xl114"/>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5">
    <w:name w:val="xl115"/>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6">
    <w:name w:val="xl116"/>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9635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96350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96350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963506"/>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9635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963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9635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9635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963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9635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9635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9635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9635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9635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9635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9635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Strong">
    <w:name w:val="Strong"/>
    <w:basedOn w:val="DefaultParagraphFont"/>
    <w:uiPriority w:val="22"/>
    <w:qFormat/>
    <w:rsid w:val="00963506"/>
    <w:rPr>
      <w:b/>
      <w:bCs/>
    </w:rPr>
  </w:style>
  <w:style w:type="character" w:customStyle="1" w:styleId="a">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DefaultParagraphFont"/>
    <w:uiPriority w:val="99"/>
    <w:locked/>
    <w:rsid w:val="00963506"/>
  </w:style>
  <w:style w:type="character" w:customStyle="1" w:styleId="295pt">
    <w:name w:val="Основной текст (2) + 9.5 pt"/>
    <w:aliases w:val="Полужирный,Основной текст (2) + 8.5 pt"/>
    <w:basedOn w:val="2"/>
    <w:rsid w:val="00963506"/>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275pt">
    <w:name w:val="Основной текст (2) + 7.5 pt"/>
    <w:aliases w:val="Курсив,Основной текст (2) + 9 pt"/>
    <w:basedOn w:val="2"/>
    <w:rsid w:val="00963506"/>
    <w:rPr>
      <w:rFonts w:ascii="Times New Roman" w:eastAsia="Times New Roman" w:hAnsi="Times New Roman" w:cs="Times New Roman"/>
      <w:i/>
      <w:iCs/>
      <w:color w:val="000000"/>
      <w:spacing w:val="0"/>
      <w:w w:val="100"/>
      <w:position w:val="0"/>
      <w:sz w:val="15"/>
      <w:szCs w:val="15"/>
      <w:shd w:val="clear" w:color="auto" w:fill="FFFFFF"/>
      <w:lang w:val="ro-RO" w:eastAsia="ro-RO" w:bidi="ro-RO"/>
    </w:rPr>
  </w:style>
  <w:style w:type="character" w:customStyle="1" w:styleId="3">
    <w:name w:val="Основной текст (3)_"/>
    <w:basedOn w:val="DefaultParagraphFont"/>
    <w:link w:val="30"/>
    <w:rsid w:val="0096350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Normal"/>
    <w:link w:val="3"/>
    <w:rsid w:val="00963506"/>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1">
    <w:name w:val="Подпись к картинке (2)_"/>
    <w:basedOn w:val="DefaultParagraphFont"/>
    <w:link w:val="22"/>
    <w:rsid w:val="00963506"/>
    <w:rPr>
      <w:rFonts w:ascii="Times New Roman" w:eastAsia="Times New Roman" w:hAnsi="Times New Roman" w:cs="Times New Roman"/>
      <w:b/>
      <w:bCs/>
      <w:sz w:val="19"/>
      <w:szCs w:val="19"/>
      <w:shd w:val="clear" w:color="auto" w:fill="FFFFFF"/>
    </w:rPr>
  </w:style>
  <w:style w:type="paragraph" w:customStyle="1" w:styleId="22">
    <w:name w:val="Подпись к картинке (2)"/>
    <w:basedOn w:val="Normal"/>
    <w:link w:val="21"/>
    <w:rsid w:val="00963506"/>
    <w:pPr>
      <w:widowControl w:val="0"/>
      <w:shd w:val="clear" w:color="auto" w:fill="FFFFFF"/>
      <w:spacing w:after="0" w:line="210" w:lineRule="exact"/>
    </w:pPr>
    <w:rPr>
      <w:rFonts w:ascii="Times New Roman" w:eastAsia="Times New Roman" w:hAnsi="Times New Roman" w:cs="Times New Roman"/>
      <w:b/>
      <w:bCs/>
      <w:sz w:val="19"/>
      <w:szCs w:val="19"/>
    </w:rPr>
  </w:style>
  <w:style w:type="character" w:customStyle="1" w:styleId="LegturInternet">
    <w:name w:val="Legătură Internet"/>
    <w:basedOn w:val="DefaultParagraphFont"/>
    <w:rsid w:val="00963506"/>
    <w:rPr>
      <w:color w:val="0563C1"/>
      <w:u w:val="single"/>
    </w:rPr>
  </w:style>
  <w:style w:type="paragraph" w:customStyle="1" w:styleId="Normal1">
    <w:name w:val="Normal1"/>
    <w:basedOn w:val="Normal"/>
    <w:rsid w:val="00963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el">
    <w:name w:val="Normal+Ariel"/>
    <w:aliases w:val="1"/>
    <w:basedOn w:val="Normal"/>
    <w:rsid w:val="00963506"/>
    <w:pPr>
      <w:numPr>
        <w:numId w:val="4"/>
      </w:numPr>
      <w:spacing w:before="100" w:beforeAutospacing="1" w:after="100" w:afterAutospacing="1" w:line="240" w:lineRule="auto"/>
      <w:jc w:val="both"/>
    </w:pPr>
    <w:rPr>
      <w:rFonts w:ascii="Arial" w:eastAsia="Times New Roman" w:hAnsi="Arial" w:cs="Arial"/>
      <w:bCs/>
      <w:color w:val="000000"/>
      <w:spacing w:val="-2"/>
      <w:sz w:val="24"/>
      <w:lang w:val="ro-RO" w:eastAsia="ro-RO"/>
    </w:rPr>
  </w:style>
  <w:style w:type="paragraph" w:customStyle="1" w:styleId="listparagraph0">
    <w:name w:val="listparagraph"/>
    <w:basedOn w:val="Normal"/>
    <w:rsid w:val="00963506"/>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96350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next w:val="GridTable4-Accent52"/>
    <w:uiPriority w:val="49"/>
    <w:rsid w:val="009635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uiPriority w:val="49"/>
    <w:rsid w:val="009635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1">
    <w:name w:val="Grid Table 1 Light1"/>
    <w:basedOn w:val="TableNormal"/>
    <w:uiPriority w:val="46"/>
    <w:rsid w:val="009635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963506"/>
    <w:pPr>
      <w:tabs>
        <w:tab w:val="left" w:pos="-720"/>
      </w:tabs>
      <w:suppressAutoHyphens/>
      <w:spacing w:after="0" w:line="48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63506"/>
    <w:rPr>
      <w:rFonts w:ascii="Times New Roman" w:eastAsia="Times New Roman" w:hAnsi="Times New Roman" w:cs="Times New Roman"/>
      <w:sz w:val="20"/>
      <w:szCs w:val="20"/>
    </w:rPr>
  </w:style>
  <w:style w:type="character" w:customStyle="1" w:styleId="Bodytext5">
    <w:name w:val="Body text (5)_"/>
    <w:basedOn w:val="DefaultParagraphFont"/>
    <w:link w:val="Bodytext50"/>
    <w:rsid w:val="00963506"/>
    <w:rPr>
      <w:rFonts w:ascii="Times New Roman" w:eastAsia="Times New Roman" w:hAnsi="Times New Roman" w:cs="Times New Roman"/>
      <w:b/>
      <w:bCs/>
      <w:sz w:val="26"/>
      <w:szCs w:val="26"/>
      <w:shd w:val="clear" w:color="auto" w:fill="FFFFFF"/>
    </w:rPr>
  </w:style>
  <w:style w:type="paragraph" w:customStyle="1" w:styleId="Bodytext50">
    <w:name w:val="Body text (5)"/>
    <w:basedOn w:val="Normal"/>
    <w:link w:val="Bodytext5"/>
    <w:rsid w:val="00963506"/>
    <w:pPr>
      <w:widowControl w:val="0"/>
      <w:shd w:val="clear" w:color="auto" w:fill="FFFFFF"/>
      <w:spacing w:after="540" w:line="302" w:lineRule="exact"/>
      <w:jc w:val="both"/>
    </w:pPr>
    <w:rPr>
      <w:rFonts w:ascii="Times New Roman" w:eastAsia="Times New Roman" w:hAnsi="Times New Roman" w:cs="Times New Roman"/>
      <w:b/>
      <w:bCs/>
      <w:sz w:val="26"/>
      <w:szCs w:val="26"/>
    </w:rPr>
  </w:style>
  <w:style w:type="character" w:customStyle="1" w:styleId="Bodytext2">
    <w:name w:val="Body text (2)"/>
    <w:basedOn w:val="DefaultParagraphFont"/>
    <w:rsid w:val="00963506"/>
    <w:rPr>
      <w:rFonts w:ascii="Times New Roman" w:eastAsia="Times New Roman" w:hAnsi="Times New Roman" w:cs="Times New Roman"/>
      <w:b w:val="0"/>
      <w:bCs w:val="0"/>
      <w:i w:val="0"/>
      <w:iCs w:val="0"/>
      <w:smallCaps w:val="0"/>
      <w:strike w:val="0"/>
      <w:color w:val="171717"/>
      <w:spacing w:val="0"/>
      <w:w w:val="100"/>
      <w:position w:val="0"/>
      <w:sz w:val="26"/>
      <w:szCs w:val="26"/>
      <w:u w:val="none"/>
      <w:lang w:val="ro-RO" w:eastAsia="ro-RO" w:bidi="ro-RO"/>
    </w:rPr>
  </w:style>
  <w:style w:type="character" w:customStyle="1" w:styleId="Bodytext2Bold">
    <w:name w:val="Body text (2) + Bold"/>
    <w:aliases w:val="Italic"/>
    <w:basedOn w:val="DefaultParagraphFont"/>
    <w:rsid w:val="00963506"/>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6pt">
    <w:name w:val="Body text (2) + 6 pt"/>
    <w:aliases w:val="Bold"/>
    <w:basedOn w:val="DefaultParagraphFont"/>
    <w:rsid w:val="00963506"/>
    <w:rPr>
      <w:rFonts w:ascii="Arial" w:eastAsia="Arial" w:hAnsi="Arial" w:cs="Arial"/>
      <w:b/>
      <w:bCs/>
      <w:i w:val="0"/>
      <w:iCs w:val="0"/>
      <w:smallCaps w:val="0"/>
      <w:strike w:val="0"/>
      <w:color w:val="000000"/>
      <w:spacing w:val="0"/>
      <w:w w:val="100"/>
      <w:position w:val="0"/>
      <w:sz w:val="12"/>
      <w:szCs w:val="12"/>
      <w:u w:val="none"/>
      <w:lang w:val="ro-RO" w:eastAsia="ro-RO" w:bidi="ro-RO"/>
    </w:rPr>
  </w:style>
  <w:style w:type="character" w:customStyle="1" w:styleId="Bodytext20">
    <w:name w:val="Body text (2)_"/>
    <w:basedOn w:val="DefaultParagraphFont"/>
    <w:rsid w:val="00963506"/>
    <w:rPr>
      <w:rFonts w:ascii="Arial" w:eastAsia="Arial" w:hAnsi="Arial" w:cs="Arial"/>
      <w:b w:val="0"/>
      <w:bCs w:val="0"/>
      <w:i w:val="0"/>
      <w:iCs w:val="0"/>
      <w:smallCaps w:val="0"/>
      <w:strike w:val="0"/>
      <w:sz w:val="13"/>
      <w:szCs w:val="13"/>
      <w:u w:val="none"/>
    </w:rPr>
  </w:style>
  <w:style w:type="paragraph" w:styleId="Revision">
    <w:name w:val="Revision"/>
    <w:hidden/>
    <w:uiPriority w:val="99"/>
    <w:semiHidden/>
    <w:rsid w:val="00963506"/>
    <w:pPr>
      <w:spacing w:after="0" w:line="240" w:lineRule="auto"/>
    </w:pPr>
  </w:style>
  <w:style w:type="table" w:customStyle="1" w:styleId="-451">
    <w:name w:val="Таблица-сетка 4 — акцент 51"/>
    <w:basedOn w:val="TableNormal"/>
    <w:uiPriority w:val="49"/>
    <w:rsid w:val="009635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dnoteText">
    <w:name w:val="endnote text"/>
    <w:basedOn w:val="Normal"/>
    <w:link w:val="EndnoteTextChar"/>
    <w:uiPriority w:val="99"/>
    <w:semiHidden/>
    <w:unhideWhenUsed/>
    <w:rsid w:val="009635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506"/>
    <w:rPr>
      <w:sz w:val="20"/>
      <w:szCs w:val="20"/>
    </w:rPr>
  </w:style>
  <w:style w:type="character" w:styleId="EndnoteReference">
    <w:name w:val="endnote reference"/>
    <w:basedOn w:val="DefaultParagraphFont"/>
    <w:uiPriority w:val="99"/>
    <w:semiHidden/>
    <w:unhideWhenUsed/>
    <w:rsid w:val="00963506"/>
    <w:rPr>
      <w:vertAlign w:val="superscript"/>
    </w:rPr>
  </w:style>
  <w:style w:type="table" w:styleId="GridTable5Dark-Accent3">
    <w:name w:val="Grid Table 5 Dark Accent 3"/>
    <w:basedOn w:val="TableNormal"/>
    <w:uiPriority w:val="50"/>
    <w:rsid w:val="009635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6">
    <w:name w:val="Grid Table 5 Dark Accent 6"/>
    <w:basedOn w:val="TableNormal"/>
    <w:uiPriority w:val="50"/>
    <w:rsid w:val="009635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5">
    <w:name w:val="Grid Table 6 Colorful Accent 5"/>
    <w:basedOn w:val="TableNormal"/>
    <w:uiPriority w:val="51"/>
    <w:rsid w:val="0096350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8C18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1">
    <w:name w:val="doc_header1"/>
    <w:rsid w:val="00224AE9"/>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731C-A98D-4A94-82AA-1C3E5B64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10241</Words>
  <Characters>58376</Characters>
  <Application>Microsoft Office Word</Application>
  <DocSecurity>0</DocSecurity>
  <Lines>486</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2</cp:revision>
  <dcterms:created xsi:type="dcterms:W3CDTF">2022-08-03T15:43:00Z</dcterms:created>
  <dcterms:modified xsi:type="dcterms:W3CDTF">2022-08-03T15:43:00Z</dcterms:modified>
</cp:coreProperties>
</file>