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theme/themeOverride2.xml" ContentType="application/vnd.openxmlformats-officedocument.themeOverride+xml"/>
  <Override PartName="/word/charts/chart8.xml" ContentType="application/vnd.openxmlformats-officedocument.drawingml.chart+xml"/>
  <Override PartName="/word/theme/themeOverride3.xml" ContentType="application/vnd.openxmlformats-officedocument.themeOverride+xml"/>
  <Override PartName="/word/charts/chart9.xml" ContentType="application/vnd.openxmlformats-officedocument.drawingml.chart+xml"/>
  <Override PartName="/word/theme/themeOverride4.xml" ContentType="application/vnd.openxmlformats-officedocument.themeOverride+xml"/>
  <Override PartName="/word/charts/chart10.xml" ContentType="application/vnd.openxmlformats-officedocument.drawingml.chart+xml"/>
  <Override PartName="/word/theme/themeOverride5.xml" ContentType="application/vnd.openxmlformats-officedocument.themeOverride+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theme/themeOverride8.xml" ContentType="application/vnd.openxmlformats-officedocument.themeOverride+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charts/chart16.xml" ContentType="application/vnd.openxmlformats-officedocument.drawingml.chart+xml"/>
  <Override PartName="/word/theme/themeOverride11.xml" ContentType="application/vnd.openxmlformats-officedocument.themeOverride+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charts/chart19.xml" ContentType="application/vnd.openxmlformats-officedocument.drawingml.chart+xml"/>
  <Override PartName="/word/charts/chart20.xml" ContentType="application/vnd.openxmlformats-officedocument.drawingml.chart+xml"/>
  <Override PartName="/word/theme/themeOverride14.xml" ContentType="application/vnd.openxmlformats-officedocument.themeOverride+xml"/>
  <Override PartName="/word/charts/chart21.xml" ContentType="application/vnd.openxmlformats-officedocument.drawingml.chart+xml"/>
  <Override PartName="/word/theme/themeOverride15.xml" ContentType="application/vnd.openxmlformats-officedocument.themeOverride+xml"/>
  <Override PartName="/word/charts/chart22.xml" ContentType="application/vnd.openxmlformats-officedocument.drawingml.chart+xml"/>
  <Override PartName="/word/theme/themeOverride16.xml" ContentType="application/vnd.openxmlformats-officedocument.themeOverride+xml"/>
  <Override PartName="/word/charts/chart23.xml" ContentType="application/vnd.openxmlformats-officedocument.drawingml.chart+xml"/>
  <Override PartName="/word/theme/themeOverride17.xml" ContentType="application/vnd.openxmlformats-officedocument.themeOverride+xml"/>
  <Override PartName="/word/charts/chart24.xml" ContentType="application/vnd.openxmlformats-officedocument.drawingml.chart+xml"/>
  <Override PartName="/word/theme/themeOverride18.xml" ContentType="application/vnd.openxmlformats-officedocument.themeOverride+xml"/>
  <Override PartName="/word/charts/chart25.xml" ContentType="application/vnd.openxmlformats-officedocument.drawingml.chart+xml"/>
  <Override PartName="/word/theme/themeOverride19.xml" ContentType="application/vnd.openxmlformats-officedocument.themeOverride+xml"/>
  <Override PartName="/word/charts/chart26.xml" ContentType="application/vnd.openxmlformats-officedocument.drawingml.chart+xml"/>
  <Override PartName="/word/theme/themeOverride20.xml" ContentType="application/vnd.openxmlformats-officedocument.themeOverride+xml"/>
  <Override PartName="/word/charts/chart27.xml" ContentType="application/vnd.openxmlformats-officedocument.drawingml.chart+xml"/>
  <Override PartName="/word/theme/themeOverride21.xml" ContentType="application/vnd.openxmlformats-officedocument.themeOverride+xml"/>
  <Override PartName="/word/charts/chart28.xml" ContentType="application/vnd.openxmlformats-officedocument.drawingml.chart+xml"/>
  <Override PartName="/word/theme/themeOverride22.xml" ContentType="application/vnd.openxmlformats-officedocument.themeOverride+xml"/>
  <Override PartName="/word/charts/chart29.xml" ContentType="application/vnd.openxmlformats-officedocument.drawingml.chart+xml"/>
  <Override PartName="/word/theme/themeOverride23.xml" ContentType="application/vnd.openxmlformats-officedocument.themeOverride+xml"/>
  <Override PartName="/word/charts/chart30.xml" ContentType="application/vnd.openxmlformats-officedocument.drawingml.chart+xml"/>
  <Override PartName="/word/theme/themeOverride24.xml" ContentType="application/vnd.openxmlformats-officedocument.themeOverride+xml"/>
  <Override PartName="/word/charts/chart31.xml" ContentType="application/vnd.openxmlformats-officedocument.drawingml.chart+xml"/>
  <Override PartName="/word/theme/themeOverride25.xml" ContentType="application/vnd.openxmlformats-officedocument.themeOverride+xml"/>
  <Override PartName="/word/charts/chart32.xml" ContentType="application/vnd.openxmlformats-officedocument.drawingml.chart+xml"/>
  <Override PartName="/word/theme/themeOverride26.xml" ContentType="application/vnd.openxmlformats-officedocument.themeOverride+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6.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7.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38.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39.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28.xml" ContentType="application/vnd.openxmlformats-officedocument.themeOverride+xml"/>
  <Override PartName="/word/charts/chart4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theme/themeOverride30.xml" ContentType="application/vnd.openxmlformats-officedocument.themeOverride+xml"/>
  <Override PartName="/word/charts/chart43.xml" ContentType="application/vnd.openxmlformats-officedocument.drawingml.chart+xml"/>
  <Override PartName="/word/theme/themeOverride31.xml" ContentType="application/vnd.openxmlformats-officedocument.themeOverride+xml"/>
  <Override PartName="/word/charts/chart44.xml" ContentType="application/vnd.openxmlformats-officedocument.drawingml.chart+xml"/>
  <Override PartName="/word/theme/themeOverride32.xml" ContentType="application/vnd.openxmlformats-officedocument.themeOverride+xml"/>
  <Override PartName="/word/charts/chart45.xml" ContentType="application/vnd.openxmlformats-officedocument.drawingml.chart+xml"/>
  <Override PartName="/word/theme/themeOverride33.xml" ContentType="application/vnd.openxmlformats-officedocument.themeOverride+xml"/>
  <Override PartName="/word/charts/chart46.xml" ContentType="application/vnd.openxmlformats-officedocument.drawingml.chart+xml"/>
  <Override PartName="/word/theme/themeOverride34.xml" ContentType="application/vnd.openxmlformats-officedocument.themeOverride+xml"/>
  <Override PartName="/word/charts/chart47.xml" ContentType="application/vnd.openxmlformats-officedocument.drawingml.chart+xml"/>
  <Override PartName="/word/theme/themeOverride35.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48.xml" ContentType="application/vnd.openxmlformats-officedocument.drawingml.chart+xml"/>
  <Override PartName="/word/theme/themeOverride36.xml" ContentType="application/vnd.openxmlformats-officedocument.themeOverride+xml"/>
  <Override PartName="/word/charts/chart49.xml" ContentType="application/vnd.openxmlformats-officedocument.drawingml.chart+xml"/>
  <Override PartName="/word/theme/themeOverride37.xml" ContentType="application/vnd.openxmlformats-officedocument.themeOverride+xml"/>
  <Override PartName="/word/charts/chart50.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39.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170B" w:rsidRPr="008376FC" w:rsidRDefault="0096170B" w:rsidP="00F61756">
      <w:pPr>
        <w:spacing w:after="0" w:line="276" w:lineRule="auto"/>
        <w:jc w:val="right"/>
        <w:rPr>
          <w:rFonts w:asciiTheme="majorHAnsi" w:hAnsiTheme="majorHAnsi" w:cstheme="majorHAnsi"/>
          <w:b w:val="0"/>
          <w:bCs w:val="0"/>
          <w:sz w:val="24"/>
          <w:szCs w:val="24"/>
        </w:rPr>
      </w:pPr>
      <w:bookmarkStart w:id="0" w:name="_GoBack"/>
      <w:bookmarkEnd w:id="0"/>
      <w:r w:rsidRPr="008376FC">
        <w:rPr>
          <w:rFonts w:asciiTheme="majorHAnsi" w:hAnsiTheme="majorHAnsi" w:cstheme="majorHAnsi"/>
          <w:b w:val="0"/>
          <w:bCs w:val="0"/>
          <w:sz w:val="24"/>
          <w:szCs w:val="24"/>
        </w:rPr>
        <w:t>Anexă</w:t>
      </w:r>
    </w:p>
    <w:p w:rsidR="0096170B" w:rsidRPr="008376FC" w:rsidRDefault="0096170B" w:rsidP="00F61756">
      <w:pPr>
        <w:spacing w:after="0" w:line="276" w:lineRule="auto"/>
        <w:jc w:val="right"/>
        <w:rPr>
          <w:rFonts w:asciiTheme="majorHAnsi" w:hAnsiTheme="majorHAnsi" w:cstheme="majorHAnsi"/>
          <w:b w:val="0"/>
          <w:bCs w:val="0"/>
          <w:sz w:val="24"/>
          <w:szCs w:val="24"/>
        </w:rPr>
      </w:pPr>
      <w:r w:rsidRPr="008376FC">
        <w:rPr>
          <w:rFonts w:asciiTheme="majorHAnsi" w:hAnsiTheme="majorHAnsi" w:cstheme="majorHAnsi"/>
          <w:b w:val="0"/>
          <w:bCs w:val="0"/>
          <w:sz w:val="24"/>
          <w:szCs w:val="24"/>
        </w:rPr>
        <w:t>la Hotărârea Curții de Conturi</w:t>
      </w:r>
    </w:p>
    <w:p w:rsidR="0096170B" w:rsidRPr="008376FC" w:rsidRDefault="0096170B" w:rsidP="00F61756">
      <w:pPr>
        <w:spacing w:after="0" w:line="276" w:lineRule="auto"/>
        <w:jc w:val="right"/>
        <w:rPr>
          <w:rFonts w:asciiTheme="majorHAnsi" w:hAnsiTheme="majorHAnsi" w:cstheme="majorHAnsi"/>
          <w:b w:val="0"/>
          <w:bCs w:val="0"/>
          <w:sz w:val="24"/>
          <w:szCs w:val="24"/>
        </w:rPr>
      </w:pPr>
      <w:r w:rsidRPr="008376FC">
        <w:rPr>
          <w:rFonts w:asciiTheme="majorHAnsi" w:hAnsiTheme="majorHAnsi" w:cstheme="majorHAnsi"/>
          <w:b w:val="0"/>
          <w:bCs w:val="0"/>
          <w:sz w:val="24"/>
          <w:szCs w:val="24"/>
        </w:rPr>
        <w:t>nr</w:t>
      </w:r>
      <w:r w:rsidR="00F7482A" w:rsidRPr="008376FC">
        <w:rPr>
          <w:rFonts w:asciiTheme="majorHAnsi" w:hAnsiTheme="majorHAnsi" w:cstheme="majorHAnsi"/>
          <w:b w:val="0"/>
          <w:bCs w:val="0"/>
          <w:sz w:val="24"/>
          <w:szCs w:val="24"/>
        </w:rPr>
        <w:t>.</w:t>
      </w:r>
      <w:r w:rsidR="00500662">
        <w:rPr>
          <w:rFonts w:asciiTheme="majorHAnsi" w:hAnsiTheme="majorHAnsi" w:cstheme="majorHAnsi"/>
          <w:b w:val="0"/>
          <w:bCs w:val="0"/>
          <w:sz w:val="24"/>
          <w:szCs w:val="24"/>
        </w:rPr>
        <w:t>14</w:t>
      </w:r>
      <w:r w:rsidR="00F7482A" w:rsidRPr="008376FC">
        <w:rPr>
          <w:rFonts w:asciiTheme="majorHAnsi" w:hAnsiTheme="majorHAnsi" w:cstheme="majorHAnsi"/>
          <w:b w:val="0"/>
          <w:bCs w:val="0"/>
          <w:sz w:val="24"/>
          <w:szCs w:val="24"/>
        </w:rPr>
        <w:t xml:space="preserve"> </w:t>
      </w:r>
      <w:r w:rsidRPr="008376FC">
        <w:rPr>
          <w:rFonts w:asciiTheme="majorHAnsi" w:hAnsiTheme="majorHAnsi" w:cstheme="majorHAnsi"/>
          <w:b w:val="0"/>
          <w:bCs w:val="0"/>
          <w:sz w:val="24"/>
          <w:szCs w:val="24"/>
        </w:rPr>
        <w:t>din</w:t>
      </w:r>
      <w:r w:rsidR="00E70433" w:rsidRPr="008376FC">
        <w:rPr>
          <w:rFonts w:asciiTheme="majorHAnsi" w:hAnsiTheme="majorHAnsi" w:cstheme="majorHAnsi"/>
          <w:b w:val="0"/>
          <w:bCs w:val="0"/>
          <w:sz w:val="24"/>
          <w:szCs w:val="24"/>
        </w:rPr>
        <w:t xml:space="preserve"> </w:t>
      </w:r>
      <w:r w:rsidR="002901DE" w:rsidRPr="008376FC">
        <w:rPr>
          <w:rFonts w:asciiTheme="majorHAnsi" w:hAnsiTheme="majorHAnsi" w:cstheme="majorHAnsi"/>
          <w:b w:val="0"/>
          <w:bCs w:val="0"/>
          <w:sz w:val="24"/>
          <w:szCs w:val="24"/>
        </w:rPr>
        <w:t>06</w:t>
      </w:r>
      <w:r w:rsidRPr="008376FC">
        <w:rPr>
          <w:rFonts w:asciiTheme="majorHAnsi" w:hAnsiTheme="majorHAnsi" w:cstheme="majorHAnsi"/>
          <w:b w:val="0"/>
          <w:bCs w:val="0"/>
          <w:sz w:val="24"/>
          <w:szCs w:val="24"/>
        </w:rPr>
        <w:t>.</w:t>
      </w:r>
      <w:r w:rsidR="002901DE" w:rsidRPr="008376FC">
        <w:rPr>
          <w:rFonts w:asciiTheme="majorHAnsi" w:hAnsiTheme="majorHAnsi" w:cstheme="majorHAnsi"/>
          <w:b w:val="0"/>
          <w:bCs w:val="0"/>
          <w:sz w:val="24"/>
          <w:szCs w:val="24"/>
        </w:rPr>
        <w:t>04</w:t>
      </w:r>
      <w:r w:rsidRPr="008376FC">
        <w:rPr>
          <w:rFonts w:asciiTheme="majorHAnsi" w:hAnsiTheme="majorHAnsi" w:cstheme="majorHAnsi"/>
          <w:b w:val="0"/>
          <w:bCs w:val="0"/>
          <w:sz w:val="24"/>
          <w:szCs w:val="24"/>
        </w:rPr>
        <w:t>.202</w:t>
      </w:r>
      <w:r w:rsidR="00E70433" w:rsidRPr="008376FC">
        <w:rPr>
          <w:rFonts w:asciiTheme="majorHAnsi" w:hAnsiTheme="majorHAnsi" w:cstheme="majorHAnsi"/>
          <w:b w:val="0"/>
          <w:bCs w:val="0"/>
          <w:sz w:val="24"/>
          <w:szCs w:val="24"/>
        </w:rPr>
        <w:t>3</w:t>
      </w:r>
    </w:p>
    <w:p w:rsidR="0096170B" w:rsidRPr="008376FC" w:rsidRDefault="0096170B" w:rsidP="00F61756">
      <w:pPr>
        <w:spacing w:after="0" w:line="276" w:lineRule="auto"/>
        <w:jc w:val="center"/>
        <w:rPr>
          <w:rFonts w:asciiTheme="majorHAnsi" w:hAnsiTheme="majorHAnsi" w:cstheme="majorHAnsi"/>
          <w:bCs w:val="0"/>
          <w:sz w:val="24"/>
          <w:szCs w:val="24"/>
        </w:rPr>
      </w:pPr>
    </w:p>
    <w:p w:rsidR="0096170B" w:rsidRPr="008376FC" w:rsidRDefault="0096170B" w:rsidP="00F61756">
      <w:pPr>
        <w:spacing w:after="0" w:line="276" w:lineRule="auto"/>
        <w:jc w:val="center"/>
        <w:rPr>
          <w:rFonts w:asciiTheme="majorHAnsi" w:hAnsiTheme="majorHAnsi" w:cstheme="majorHAnsi"/>
          <w:bCs w:val="0"/>
          <w:sz w:val="24"/>
          <w:szCs w:val="24"/>
        </w:rPr>
      </w:pPr>
      <w:r w:rsidRPr="008376FC">
        <w:rPr>
          <w:rFonts w:asciiTheme="majorHAnsi" w:hAnsiTheme="majorHAnsi" w:cstheme="majorHAnsi"/>
          <w:bCs w:val="0"/>
          <w:noProof/>
          <w:sz w:val="24"/>
          <w:szCs w:val="24"/>
          <w:lang w:val="ru-RU" w:eastAsia="ru-RU"/>
        </w:rPr>
        <w:drawing>
          <wp:inline distT="0" distB="0" distL="0" distR="0">
            <wp:extent cx="1377950" cy="1383665"/>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77950" cy="1383665"/>
                    </a:xfrm>
                    <a:prstGeom prst="rect">
                      <a:avLst/>
                    </a:prstGeom>
                    <a:noFill/>
                  </pic:spPr>
                </pic:pic>
              </a:graphicData>
            </a:graphic>
          </wp:inline>
        </w:drawing>
      </w:r>
    </w:p>
    <w:p w:rsidR="0096170B" w:rsidRPr="008376FC" w:rsidRDefault="0096170B" w:rsidP="00F61756">
      <w:pPr>
        <w:spacing w:after="0" w:line="276" w:lineRule="auto"/>
        <w:jc w:val="center"/>
        <w:rPr>
          <w:rFonts w:asciiTheme="majorHAnsi" w:hAnsiTheme="majorHAnsi" w:cstheme="majorHAnsi"/>
          <w:bCs w:val="0"/>
          <w:sz w:val="24"/>
          <w:szCs w:val="24"/>
        </w:rPr>
      </w:pPr>
    </w:p>
    <w:p w:rsidR="0096170B" w:rsidRPr="008376FC" w:rsidRDefault="0096170B" w:rsidP="00F61756">
      <w:pPr>
        <w:spacing w:after="0" w:line="276" w:lineRule="auto"/>
        <w:jc w:val="center"/>
        <w:rPr>
          <w:rFonts w:asciiTheme="majorHAnsi" w:hAnsiTheme="majorHAnsi" w:cstheme="majorHAnsi"/>
          <w:b w:val="0"/>
          <w:bCs w:val="0"/>
          <w:sz w:val="24"/>
          <w:szCs w:val="24"/>
        </w:rPr>
      </w:pPr>
      <w:r w:rsidRPr="008376FC">
        <w:rPr>
          <w:rFonts w:asciiTheme="majorHAnsi" w:hAnsiTheme="majorHAnsi" w:cstheme="majorHAnsi"/>
          <w:sz w:val="24"/>
          <w:szCs w:val="24"/>
        </w:rPr>
        <w:t>CURTEA DE CONTURI A REPUBLICII MOLDOVA</w:t>
      </w:r>
    </w:p>
    <w:p w:rsidR="0096170B" w:rsidRPr="008376FC" w:rsidRDefault="0096170B" w:rsidP="00F61756">
      <w:pPr>
        <w:spacing w:after="0" w:line="276" w:lineRule="auto"/>
        <w:jc w:val="center"/>
        <w:rPr>
          <w:rFonts w:asciiTheme="majorHAnsi" w:hAnsiTheme="majorHAnsi" w:cstheme="majorHAnsi"/>
          <w:bCs w:val="0"/>
          <w:sz w:val="24"/>
          <w:szCs w:val="24"/>
        </w:rPr>
      </w:pPr>
    </w:p>
    <w:p w:rsidR="0096170B" w:rsidRPr="008376FC" w:rsidRDefault="0096170B" w:rsidP="00F61756">
      <w:pPr>
        <w:tabs>
          <w:tab w:val="left" w:pos="720"/>
        </w:tabs>
        <w:spacing w:after="0" w:line="276" w:lineRule="auto"/>
        <w:jc w:val="both"/>
        <w:rPr>
          <w:rFonts w:asciiTheme="majorHAnsi" w:eastAsia="Times New Roman" w:hAnsiTheme="majorHAnsi" w:cstheme="majorHAnsi"/>
          <w:sz w:val="24"/>
          <w:szCs w:val="24"/>
        </w:rPr>
      </w:pPr>
    </w:p>
    <w:p w:rsidR="0096170B" w:rsidRPr="008376FC" w:rsidRDefault="0096170B" w:rsidP="00F61756">
      <w:pPr>
        <w:tabs>
          <w:tab w:val="left" w:pos="720"/>
        </w:tabs>
        <w:spacing w:after="0" w:line="276" w:lineRule="auto"/>
        <w:jc w:val="both"/>
        <w:rPr>
          <w:rFonts w:asciiTheme="majorHAnsi" w:eastAsia="Times New Roman" w:hAnsiTheme="majorHAnsi" w:cstheme="majorHAnsi"/>
          <w:sz w:val="24"/>
          <w:szCs w:val="24"/>
        </w:rPr>
      </w:pPr>
    </w:p>
    <w:tbl>
      <w:tblPr>
        <w:tblStyle w:val="af2"/>
        <w:tblW w:w="0" w:type="auto"/>
        <w:tblBorders>
          <w:top w:val="thinThickSmallGap" w:sz="12" w:space="0" w:color="auto"/>
          <w:left w:val="none" w:sz="0" w:space="0" w:color="auto"/>
          <w:bottom w:val="thickThinSmallGap" w:sz="12"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96170B" w:rsidRPr="00390909" w:rsidTr="00981A72">
        <w:trPr>
          <w:trHeight w:val="435"/>
        </w:trPr>
        <w:tc>
          <w:tcPr>
            <w:tcW w:w="9350" w:type="dxa"/>
          </w:tcPr>
          <w:p w:rsidR="00390909" w:rsidRPr="00390909" w:rsidRDefault="0096170B" w:rsidP="00F61756">
            <w:pPr>
              <w:tabs>
                <w:tab w:val="left" w:pos="482"/>
              </w:tabs>
              <w:spacing w:line="276" w:lineRule="auto"/>
              <w:jc w:val="center"/>
              <w:rPr>
                <w:rFonts w:asciiTheme="majorHAnsi" w:hAnsiTheme="majorHAnsi" w:cstheme="majorHAnsi"/>
                <w:b w:val="0"/>
                <w:sz w:val="18"/>
                <w:szCs w:val="18"/>
              </w:rPr>
            </w:pPr>
            <w:r w:rsidRPr="00390909">
              <w:rPr>
                <w:rFonts w:asciiTheme="majorHAnsi" w:hAnsiTheme="majorHAnsi" w:cstheme="majorHAnsi"/>
                <w:b w:val="0"/>
                <w:sz w:val="18"/>
                <w:szCs w:val="18"/>
              </w:rPr>
              <w:t>MD-2001, mun. Chișinău, bd. Ștefan cel Mare și Sfânt,</w:t>
            </w:r>
            <w:r w:rsidR="00695109" w:rsidRPr="00390909">
              <w:rPr>
                <w:rFonts w:asciiTheme="majorHAnsi" w:hAnsiTheme="majorHAnsi" w:cstheme="majorHAnsi"/>
                <w:b w:val="0"/>
                <w:sz w:val="18"/>
                <w:szCs w:val="18"/>
              </w:rPr>
              <w:t xml:space="preserve"> </w:t>
            </w:r>
            <w:r w:rsidRPr="00390909">
              <w:rPr>
                <w:rFonts w:asciiTheme="majorHAnsi" w:hAnsiTheme="majorHAnsi" w:cstheme="majorHAnsi"/>
                <w:b w:val="0"/>
                <w:sz w:val="18"/>
                <w:szCs w:val="18"/>
              </w:rPr>
              <w:t>69, tel.: (+373) 22 23 25 79, fax: (+373) 22 23 30 20,</w:t>
            </w:r>
          </w:p>
          <w:p w:rsidR="0096170B" w:rsidRPr="00390909" w:rsidRDefault="0096170B" w:rsidP="00F61756">
            <w:pPr>
              <w:tabs>
                <w:tab w:val="left" w:pos="482"/>
              </w:tabs>
              <w:spacing w:line="276" w:lineRule="auto"/>
              <w:jc w:val="center"/>
              <w:rPr>
                <w:rFonts w:asciiTheme="majorHAnsi" w:eastAsia="Times New Roman" w:hAnsiTheme="majorHAnsi" w:cstheme="majorHAnsi"/>
                <w:b w:val="0"/>
                <w:sz w:val="18"/>
                <w:szCs w:val="18"/>
              </w:rPr>
            </w:pPr>
            <w:r w:rsidRPr="00390909">
              <w:rPr>
                <w:rFonts w:asciiTheme="majorHAnsi" w:hAnsiTheme="majorHAnsi" w:cstheme="majorHAnsi"/>
                <w:b w:val="0"/>
                <w:sz w:val="18"/>
                <w:szCs w:val="18"/>
              </w:rPr>
              <w:t xml:space="preserve"> </w:t>
            </w:r>
            <w:hyperlink r:id="rId9" w:history="1">
              <w:r w:rsidRPr="00390909">
                <w:rPr>
                  <w:rFonts w:asciiTheme="majorHAnsi" w:hAnsiTheme="majorHAnsi" w:cstheme="majorHAnsi"/>
                  <w:b w:val="0"/>
                  <w:sz w:val="18"/>
                  <w:szCs w:val="18"/>
                  <w:u w:val="single"/>
                </w:rPr>
                <w:t>www.ccrm.md</w:t>
              </w:r>
            </w:hyperlink>
            <w:r w:rsidRPr="00390909">
              <w:rPr>
                <w:rFonts w:asciiTheme="majorHAnsi" w:hAnsiTheme="majorHAnsi" w:cstheme="majorHAnsi"/>
                <w:b w:val="0"/>
                <w:sz w:val="18"/>
                <w:szCs w:val="18"/>
                <w:u w:val="single"/>
              </w:rPr>
              <w:t>;</w:t>
            </w:r>
            <w:r w:rsidR="00B4352A" w:rsidRPr="00390909">
              <w:rPr>
                <w:rFonts w:asciiTheme="majorHAnsi" w:hAnsiTheme="majorHAnsi" w:cstheme="majorHAnsi"/>
                <w:b w:val="0"/>
                <w:sz w:val="18"/>
                <w:szCs w:val="18"/>
                <w:u w:val="single"/>
              </w:rPr>
              <w:t xml:space="preserve"> </w:t>
            </w:r>
            <w:r w:rsidRPr="00390909">
              <w:rPr>
                <w:rFonts w:asciiTheme="majorHAnsi" w:hAnsiTheme="majorHAnsi" w:cstheme="majorHAnsi"/>
                <w:b w:val="0"/>
                <w:sz w:val="18"/>
                <w:szCs w:val="18"/>
              </w:rPr>
              <w:t xml:space="preserve">e-mail: </w:t>
            </w:r>
            <w:hyperlink r:id="rId10" w:history="1">
              <w:r w:rsidRPr="00390909">
                <w:rPr>
                  <w:rFonts w:asciiTheme="majorHAnsi" w:hAnsiTheme="majorHAnsi" w:cstheme="majorHAnsi"/>
                  <w:b w:val="0"/>
                  <w:sz w:val="18"/>
                  <w:szCs w:val="18"/>
                  <w:u w:val="single"/>
                </w:rPr>
                <w:t>ccrm@ccrm.md</w:t>
              </w:r>
            </w:hyperlink>
          </w:p>
        </w:tc>
      </w:tr>
    </w:tbl>
    <w:p w:rsidR="0096170B" w:rsidRPr="008376FC" w:rsidRDefault="0096170B" w:rsidP="00F61756">
      <w:pPr>
        <w:tabs>
          <w:tab w:val="left" w:pos="720"/>
        </w:tabs>
        <w:spacing w:after="0" w:line="276" w:lineRule="auto"/>
        <w:jc w:val="both"/>
        <w:rPr>
          <w:rFonts w:asciiTheme="majorHAnsi" w:eastAsia="Times New Roman" w:hAnsiTheme="majorHAnsi" w:cstheme="majorHAnsi"/>
          <w:sz w:val="24"/>
          <w:szCs w:val="24"/>
        </w:rPr>
      </w:pPr>
    </w:p>
    <w:p w:rsidR="0096170B" w:rsidRPr="008376FC" w:rsidRDefault="0096170B" w:rsidP="00F61756">
      <w:pPr>
        <w:tabs>
          <w:tab w:val="left" w:pos="720"/>
        </w:tabs>
        <w:spacing w:after="0" w:line="276" w:lineRule="auto"/>
        <w:jc w:val="both"/>
        <w:rPr>
          <w:rFonts w:asciiTheme="majorHAnsi" w:eastAsia="Times New Roman" w:hAnsiTheme="majorHAnsi" w:cstheme="majorHAnsi"/>
          <w:sz w:val="24"/>
          <w:szCs w:val="24"/>
        </w:rPr>
      </w:pPr>
    </w:p>
    <w:p w:rsidR="0096170B" w:rsidRPr="008376FC" w:rsidRDefault="0096170B" w:rsidP="00F61756">
      <w:pPr>
        <w:tabs>
          <w:tab w:val="left" w:pos="720"/>
        </w:tabs>
        <w:spacing w:after="0" w:line="276" w:lineRule="auto"/>
        <w:jc w:val="both"/>
        <w:rPr>
          <w:rFonts w:asciiTheme="majorHAnsi" w:eastAsia="Times New Roman" w:hAnsiTheme="majorHAnsi" w:cstheme="majorHAnsi"/>
          <w:sz w:val="24"/>
          <w:szCs w:val="24"/>
        </w:rPr>
      </w:pPr>
    </w:p>
    <w:p w:rsidR="0096170B" w:rsidRPr="00390909" w:rsidRDefault="0096170B" w:rsidP="00F61756">
      <w:pPr>
        <w:tabs>
          <w:tab w:val="left" w:pos="720"/>
        </w:tabs>
        <w:spacing w:after="0" w:line="276" w:lineRule="auto"/>
        <w:jc w:val="center"/>
        <w:rPr>
          <w:rFonts w:asciiTheme="majorHAnsi" w:eastAsia="Times New Roman" w:hAnsiTheme="majorHAnsi" w:cstheme="majorHAnsi"/>
          <w:sz w:val="32"/>
          <w:szCs w:val="32"/>
        </w:rPr>
      </w:pPr>
      <w:r w:rsidRPr="00390909">
        <w:rPr>
          <w:rFonts w:asciiTheme="majorHAnsi" w:eastAsia="Times New Roman" w:hAnsiTheme="majorHAnsi" w:cstheme="majorHAnsi"/>
          <w:sz w:val="32"/>
          <w:szCs w:val="32"/>
        </w:rPr>
        <w:t>RAPORTUL</w:t>
      </w:r>
    </w:p>
    <w:p w:rsidR="00B4352A" w:rsidRPr="00390909" w:rsidRDefault="0096170B" w:rsidP="00F61756">
      <w:pPr>
        <w:tabs>
          <w:tab w:val="left" w:pos="720"/>
        </w:tabs>
        <w:spacing w:after="0" w:line="276" w:lineRule="auto"/>
        <w:jc w:val="center"/>
        <w:rPr>
          <w:rFonts w:asciiTheme="majorHAnsi" w:eastAsia="Times New Roman" w:hAnsiTheme="majorHAnsi" w:cstheme="majorHAnsi"/>
          <w:sz w:val="28"/>
          <w:szCs w:val="28"/>
        </w:rPr>
      </w:pPr>
      <w:r w:rsidRPr="00390909">
        <w:rPr>
          <w:rFonts w:asciiTheme="majorHAnsi" w:eastAsia="Times New Roman" w:hAnsiTheme="majorHAnsi" w:cstheme="majorHAnsi"/>
          <w:sz w:val="28"/>
          <w:szCs w:val="28"/>
        </w:rPr>
        <w:t>auditul</w:t>
      </w:r>
      <w:r w:rsidR="003A4DA0" w:rsidRPr="00390909">
        <w:rPr>
          <w:rFonts w:asciiTheme="majorHAnsi" w:eastAsia="Times New Roman" w:hAnsiTheme="majorHAnsi" w:cstheme="majorHAnsi"/>
          <w:sz w:val="28"/>
          <w:szCs w:val="28"/>
        </w:rPr>
        <w:t>ui</w:t>
      </w:r>
      <w:r w:rsidRPr="00390909">
        <w:rPr>
          <w:rFonts w:asciiTheme="majorHAnsi" w:eastAsia="Times New Roman" w:hAnsiTheme="majorHAnsi" w:cstheme="majorHAnsi"/>
          <w:sz w:val="28"/>
          <w:szCs w:val="28"/>
        </w:rPr>
        <w:t xml:space="preserve"> performanței </w:t>
      </w:r>
      <w:r w:rsidR="00E70433" w:rsidRPr="00390909">
        <w:rPr>
          <w:rFonts w:asciiTheme="majorHAnsi" w:eastAsia="Times New Roman" w:hAnsiTheme="majorHAnsi" w:cstheme="majorHAnsi"/>
          <w:sz w:val="28"/>
          <w:szCs w:val="28"/>
        </w:rPr>
        <w:t>„Progresele atinse în cadrul implementării Strategiei de alimentare cu apă şi sanitaţie (2014-2030)”</w:t>
      </w:r>
    </w:p>
    <w:p w:rsidR="00B4352A" w:rsidRPr="008376FC" w:rsidRDefault="00B4352A" w:rsidP="00F61756">
      <w:pPr>
        <w:tabs>
          <w:tab w:val="left" w:pos="720"/>
        </w:tabs>
        <w:spacing w:after="0" w:line="276" w:lineRule="auto"/>
        <w:jc w:val="center"/>
        <w:rPr>
          <w:rFonts w:asciiTheme="majorHAnsi" w:eastAsia="Times New Roman" w:hAnsiTheme="majorHAnsi" w:cstheme="majorHAnsi"/>
          <w:sz w:val="24"/>
          <w:szCs w:val="24"/>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5"/>
        <w:gridCol w:w="3025"/>
        <w:gridCol w:w="3748"/>
      </w:tblGrid>
      <w:tr w:rsidR="00090A94" w:rsidRPr="008376FC" w:rsidTr="000E47DF">
        <w:tc>
          <w:tcPr>
            <w:tcW w:w="3301" w:type="dxa"/>
          </w:tcPr>
          <w:p w:rsidR="00090A94" w:rsidRPr="008376FC" w:rsidRDefault="00F83F38" w:rsidP="00F61756">
            <w:pPr>
              <w:tabs>
                <w:tab w:val="left" w:pos="720"/>
              </w:tabs>
              <w:spacing w:line="276" w:lineRule="auto"/>
              <w:jc w:val="both"/>
              <w:rPr>
                <w:rFonts w:asciiTheme="majorHAnsi" w:eastAsia="Times New Roman" w:hAnsiTheme="majorHAnsi" w:cstheme="majorHAnsi"/>
                <w:sz w:val="24"/>
                <w:szCs w:val="24"/>
              </w:rPr>
            </w:pPr>
            <w:r w:rsidRPr="008376FC">
              <w:rPr>
                <w:rFonts w:asciiTheme="majorHAnsi" w:eastAsia="Times New Roman" w:hAnsiTheme="majorHAnsi" w:cstheme="majorHAnsi"/>
                <w:noProof/>
                <w:sz w:val="24"/>
                <w:szCs w:val="24"/>
                <w:lang w:val="ru-RU" w:eastAsia="ru-RU"/>
              </w:rPr>
              <w:drawing>
                <wp:inline distT="0" distB="0" distL="0" distR="0">
                  <wp:extent cx="1758543" cy="2201875"/>
                  <wp:effectExtent l="19050" t="0" r="0" b="0"/>
                  <wp:docPr id="86" name="Рисунок 16" descr="C:\Users\Svetlana\Desktop\SAAS auare IPM\desen apa cr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vetlana\Desktop\SAAS auare IPM\desen apa cran.jpg"/>
                          <pic:cNvPicPr>
                            <a:picLocks noChangeAspect="1" noChangeArrowheads="1"/>
                          </pic:cNvPicPr>
                        </pic:nvPicPr>
                        <pic:blipFill>
                          <a:blip r:embed="rId11" cstate="print"/>
                          <a:srcRect/>
                          <a:stretch>
                            <a:fillRect/>
                          </a:stretch>
                        </pic:blipFill>
                        <pic:spPr bwMode="auto">
                          <a:xfrm>
                            <a:off x="0" y="0"/>
                            <a:ext cx="1758698" cy="2202069"/>
                          </a:xfrm>
                          <a:prstGeom prst="rect">
                            <a:avLst/>
                          </a:prstGeom>
                          <a:noFill/>
                          <a:ln w="9525">
                            <a:noFill/>
                            <a:miter lim="800000"/>
                            <a:headEnd/>
                            <a:tailEnd/>
                          </a:ln>
                        </pic:spPr>
                      </pic:pic>
                    </a:graphicData>
                  </a:graphic>
                </wp:inline>
              </w:drawing>
            </w:r>
          </w:p>
        </w:tc>
        <w:tc>
          <w:tcPr>
            <w:tcW w:w="3302" w:type="dxa"/>
          </w:tcPr>
          <w:p w:rsidR="00090A94" w:rsidRPr="008376FC" w:rsidRDefault="00090A94" w:rsidP="00F61756">
            <w:pPr>
              <w:tabs>
                <w:tab w:val="left" w:pos="720"/>
              </w:tabs>
              <w:spacing w:line="276" w:lineRule="auto"/>
              <w:jc w:val="both"/>
              <w:rPr>
                <w:rFonts w:asciiTheme="majorHAnsi" w:eastAsia="Times New Roman" w:hAnsiTheme="majorHAnsi" w:cstheme="majorHAnsi"/>
                <w:sz w:val="24"/>
                <w:szCs w:val="24"/>
              </w:rPr>
            </w:pPr>
            <w:r w:rsidRPr="008376FC">
              <w:rPr>
                <w:rFonts w:asciiTheme="majorHAnsi" w:eastAsia="Times New Roman" w:hAnsiTheme="majorHAnsi" w:cstheme="majorHAnsi"/>
                <w:noProof/>
                <w:sz w:val="24"/>
                <w:szCs w:val="24"/>
                <w:lang w:val="ru-RU" w:eastAsia="ru-RU"/>
              </w:rPr>
              <w:drawing>
                <wp:inline distT="0" distB="0" distL="0" distR="0">
                  <wp:extent cx="1849120" cy="2201545"/>
                  <wp:effectExtent l="0" t="0" r="0" b="0"/>
                  <wp:docPr id="83" name="Picture 23" descr="ANd9GcQlYFPjDvLW-t2XLyyokZK_F-R2Lx1_cLgABEYk2OSe-0n_8m3ZgQKOMZ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d9GcQlYFPjDvLW-t2XLyyokZK_F-R2Lx1_cLgABEYk2OSe-0n_8m3ZgQKOMZ8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68090" cy="2224131"/>
                          </a:xfrm>
                          <a:prstGeom prst="rect">
                            <a:avLst/>
                          </a:prstGeom>
                          <a:noFill/>
                          <a:ln>
                            <a:noFill/>
                          </a:ln>
                        </pic:spPr>
                      </pic:pic>
                    </a:graphicData>
                  </a:graphic>
                </wp:inline>
              </w:drawing>
            </w:r>
          </w:p>
        </w:tc>
        <w:tc>
          <w:tcPr>
            <w:tcW w:w="3302" w:type="dxa"/>
          </w:tcPr>
          <w:p w:rsidR="00090A94" w:rsidRPr="008376FC" w:rsidRDefault="00090A94" w:rsidP="00F61756">
            <w:pPr>
              <w:tabs>
                <w:tab w:val="left" w:pos="720"/>
              </w:tabs>
              <w:spacing w:line="276" w:lineRule="auto"/>
              <w:jc w:val="both"/>
              <w:rPr>
                <w:rFonts w:asciiTheme="majorHAnsi" w:eastAsia="Times New Roman" w:hAnsiTheme="majorHAnsi" w:cstheme="majorHAnsi"/>
                <w:sz w:val="24"/>
                <w:szCs w:val="24"/>
              </w:rPr>
            </w:pPr>
            <w:r w:rsidRPr="008376FC">
              <w:rPr>
                <w:rFonts w:asciiTheme="majorHAnsi" w:eastAsia="Times New Roman" w:hAnsiTheme="majorHAnsi" w:cstheme="majorHAnsi"/>
                <w:noProof/>
                <w:sz w:val="24"/>
                <w:szCs w:val="24"/>
                <w:lang w:val="ru-RU" w:eastAsia="ru-RU"/>
              </w:rPr>
              <w:drawing>
                <wp:inline distT="0" distB="0" distL="0" distR="0">
                  <wp:extent cx="2325370" cy="2201545"/>
                  <wp:effectExtent l="0" t="0" r="0" b="0"/>
                  <wp:docPr id="85" name="Picture 24" descr="d:\s_purici\Desktop\FEN 2016\Raportarea FEN\Apedu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_purici\Desktop\FEN 2016\Raportarea FEN\Apeduc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28915" cy="2204901"/>
                          </a:xfrm>
                          <a:prstGeom prst="rect">
                            <a:avLst/>
                          </a:prstGeom>
                          <a:noFill/>
                          <a:ln>
                            <a:noFill/>
                          </a:ln>
                        </pic:spPr>
                      </pic:pic>
                    </a:graphicData>
                  </a:graphic>
                </wp:inline>
              </w:drawing>
            </w:r>
          </w:p>
        </w:tc>
      </w:tr>
    </w:tbl>
    <w:p w:rsidR="00A904F2" w:rsidRPr="008376FC" w:rsidRDefault="00A904F2" w:rsidP="00F61756">
      <w:pPr>
        <w:tabs>
          <w:tab w:val="left" w:pos="720"/>
        </w:tabs>
        <w:spacing w:after="0" w:line="276" w:lineRule="auto"/>
        <w:jc w:val="both"/>
        <w:rPr>
          <w:rFonts w:asciiTheme="majorHAnsi" w:eastAsia="Times New Roman" w:hAnsiTheme="majorHAnsi" w:cstheme="majorHAnsi"/>
          <w:sz w:val="24"/>
          <w:szCs w:val="24"/>
        </w:rPr>
      </w:pPr>
    </w:p>
    <w:p w:rsidR="00A904F2" w:rsidRPr="008376FC" w:rsidRDefault="00A904F2" w:rsidP="00F61756">
      <w:pPr>
        <w:tabs>
          <w:tab w:val="left" w:pos="720"/>
        </w:tabs>
        <w:spacing w:after="0" w:line="276" w:lineRule="auto"/>
        <w:jc w:val="both"/>
        <w:rPr>
          <w:rFonts w:asciiTheme="majorHAnsi" w:eastAsia="Times New Roman" w:hAnsiTheme="majorHAnsi" w:cstheme="majorHAnsi"/>
          <w:sz w:val="24"/>
          <w:szCs w:val="24"/>
        </w:rPr>
      </w:pP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4"/>
        <w:gridCol w:w="4844"/>
      </w:tblGrid>
      <w:tr w:rsidR="00A904F2" w:rsidRPr="008376FC" w:rsidTr="00A904F2">
        <w:tc>
          <w:tcPr>
            <w:tcW w:w="5164" w:type="dxa"/>
          </w:tcPr>
          <w:p w:rsidR="00A904F2" w:rsidRPr="008376FC" w:rsidRDefault="00A904F2" w:rsidP="00F61756">
            <w:pPr>
              <w:tabs>
                <w:tab w:val="left" w:pos="720"/>
              </w:tabs>
              <w:spacing w:line="276" w:lineRule="auto"/>
              <w:jc w:val="both"/>
              <w:rPr>
                <w:rFonts w:asciiTheme="majorHAnsi" w:eastAsia="Times New Roman" w:hAnsiTheme="majorHAnsi" w:cstheme="majorHAnsi"/>
                <w:b w:val="0"/>
                <w:sz w:val="24"/>
                <w:szCs w:val="24"/>
              </w:rPr>
            </w:pPr>
          </w:p>
        </w:tc>
        <w:tc>
          <w:tcPr>
            <w:tcW w:w="5165" w:type="dxa"/>
          </w:tcPr>
          <w:p w:rsidR="00A904F2" w:rsidRPr="008376FC" w:rsidRDefault="00A904F2" w:rsidP="00F61756">
            <w:pPr>
              <w:tabs>
                <w:tab w:val="left" w:pos="720"/>
              </w:tabs>
              <w:spacing w:line="276" w:lineRule="auto"/>
              <w:jc w:val="both"/>
              <w:rPr>
                <w:rFonts w:asciiTheme="majorHAnsi" w:eastAsia="Times New Roman" w:hAnsiTheme="majorHAnsi" w:cstheme="majorHAnsi"/>
                <w:b w:val="0"/>
                <w:sz w:val="24"/>
                <w:szCs w:val="24"/>
              </w:rPr>
            </w:pPr>
          </w:p>
        </w:tc>
      </w:tr>
    </w:tbl>
    <w:p w:rsidR="00A904F2" w:rsidRPr="008376FC" w:rsidRDefault="00A904F2" w:rsidP="00F61756">
      <w:pPr>
        <w:tabs>
          <w:tab w:val="left" w:pos="720"/>
        </w:tabs>
        <w:spacing w:after="0" w:line="276" w:lineRule="auto"/>
        <w:jc w:val="both"/>
        <w:rPr>
          <w:rFonts w:asciiTheme="majorHAnsi" w:eastAsia="Times New Roman" w:hAnsiTheme="majorHAnsi" w:cstheme="majorHAnsi"/>
          <w:b w:val="0"/>
          <w:sz w:val="24"/>
          <w:szCs w:val="24"/>
        </w:rPr>
      </w:pPr>
    </w:p>
    <w:sdt>
      <w:sdtPr>
        <w:rPr>
          <w:rFonts w:asciiTheme="minorHAnsi" w:eastAsiaTheme="minorHAnsi" w:hAnsiTheme="minorHAnsi" w:cstheme="minorBidi"/>
          <w:b/>
          <w:bCs/>
          <w:color w:val="auto"/>
          <w:sz w:val="22"/>
          <w:szCs w:val="22"/>
          <w:lang w:val="ro-RO"/>
        </w:rPr>
        <w:id w:val="-602422020"/>
        <w:docPartObj>
          <w:docPartGallery w:val="Table of Contents"/>
          <w:docPartUnique/>
        </w:docPartObj>
      </w:sdtPr>
      <w:sdtEndPr>
        <w:rPr>
          <w:rFonts w:asciiTheme="majorHAnsi" w:hAnsiTheme="majorHAnsi" w:cstheme="majorHAnsi"/>
          <w:b w:val="0"/>
          <w:noProof/>
          <w:sz w:val="20"/>
          <w:szCs w:val="20"/>
        </w:rPr>
      </w:sdtEndPr>
      <w:sdtContent>
        <w:p w:rsidR="005C7DFD" w:rsidRPr="00A67861" w:rsidRDefault="00BC28D6" w:rsidP="00F61756">
          <w:pPr>
            <w:pStyle w:val="af3"/>
            <w:spacing w:line="276" w:lineRule="auto"/>
            <w:rPr>
              <w:sz w:val="24"/>
              <w:szCs w:val="24"/>
            </w:rPr>
          </w:pPr>
          <w:r w:rsidRPr="00BC28D6">
            <w:rPr>
              <w:sz w:val="24"/>
              <w:szCs w:val="24"/>
            </w:rPr>
            <w:t>CUPRINS:</w:t>
          </w:r>
        </w:p>
        <w:p w:rsidR="00CC7A26" w:rsidRPr="00CC7A26" w:rsidRDefault="00BC28D6" w:rsidP="00F61756">
          <w:pPr>
            <w:pStyle w:val="11"/>
            <w:spacing w:line="276" w:lineRule="auto"/>
            <w:rPr>
              <w:rFonts w:eastAsiaTheme="minorEastAsia" w:cstheme="minorBidi"/>
              <w:lang w:val="ru-RU" w:eastAsia="ru-RU"/>
            </w:rPr>
          </w:pPr>
          <w:r w:rsidRPr="00CC7A26">
            <w:rPr>
              <w:sz w:val="20"/>
              <w:szCs w:val="20"/>
            </w:rPr>
            <w:fldChar w:fldCharType="begin"/>
          </w:r>
          <w:r w:rsidR="005C7DFD" w:rsidRPr="00CC7A26">
            <w:rPr>
              <w:sz w:val="20"/>
              <w:szCs w:val="20"/>
            </w:rPr>
            <w:instrText xml:space="preserve"> TOC \o "1-3" \h \z \u </w:instrText>
          </w:r>
          <w:r w:rsidRPr="00CC7A26">
            <w:rPr>
              <w:sz w:val="20"/>
              <w:szCs w:val="20"/>
            </w:rPr>
            <w:fldChar w:fldCharType="separate"/>
          </w:r>
          <w:hyperlink w:anchor="_Toc132320199" w:history="1">
            <w:r w:rsidR="00CC7A26" w:rsidRPr="00CC7A26">
              <w:rPr>
                <w:rStyle w:val="af4"/>
              </w:rPr>
              <w:t>LISTA ACRONIMELOR</w:t>
            </w:r>
            <w:r w:rsidR="00CC7A26">
              <w:rPr>
                <w:rStyle w:val="af4"/>
              </w:rPr>
              <w:t>……………………………………………………………………………………………………………………………………</w:t>
            </w:r>
            <w:r w:rsidR="00CC7A26" w:rsidRPr="00CC7A26">
              <w:rPr>
                <w:webHidden/>
              </w:rPr>
              <w:tab/>
            </w:r>
            <w:r w:rsidR="00CC7A26" w:rsidRPr="00CC7A26">
              <w:rPr>
                <w:webHidden/>
              </w:rPr>
              <w:fldChar w:fldCharType="begin"/>
            </w:r>
            <w:r w:rsidR="00CC7A26" w:rsidRPr="00CC7A26">
              <w:rPr>
                <w:webHidden/>
              </w:rPr>
              <w:instrText xml:space="preserve"> PAGEREF _Toc132320199 \h </w:instrText>
            </w:r>
            <w:r w:rsidR="00CC7A26" w:rsidRPr="00CC7A26">
              <w:rPr>
                <w:webHidden/>
              </w:rPr>
            </w:r>
            <w:r w:rsidR="00CC7A26" w:rsidRPr="00CC7A26">
              <w:rPr>
                <w:webHidden/>
              </w:rPr>
              <w:fldChar w:fldCharType="separate"/>
            </w:r>
            <w:r w:rsidR="005A04BF">
              <w:rPr>
                <w:webHidden/>
              </w:rPr>
              <w:t>3</w:t>
            </w:r>
            <w:r w:rsidR="00CC7A26" w:rsidRPr="00CC7A26">
              <w:rPr>
                <w:webHidden/>
              </w:rPr>
              <w:fldChar w:fldCharType="end"/>
            </w:r>
          </w:hyperlink>
        </w:p>
        <w:p w:rsidR="00CC7A26" w:rsidRPr="00CC7A26" w:rsidRDefault="00854176" w:rsidP="00F61756">
          <w:pPr>
            <w:pStyle w:val="11"/>
            <w:spacing w:line="276" w:lineRule="auto"/>
            <w:rPr>
              <w:rFonts w:eastAsiaTheme="minorEastAsia" w:cstheme="minorBidi"/>
              <w:lang w:val="ru-RU" w:eastAsia="ru-RU"/>
            </w:rPr>
          </w:pPr>
          <w:hyperlink w:anchor="_Toc132320200" w:history="1">
            <w:r w:rsidR="00CC7A26" w:rsidRPr="00CC7A26">
              <w:rPr>
                <w:rStyle w:val="af4"/>
              </w:rPr>
              <w:t>I.</w:t>
            </w:r>
            <w:r w:rsidR="00CC7A26" w:rsidRPr="00CC7A26">
              <w:rPr>
                <w:rFonts w:eastAsiaTheme="minorEastAsia" w:cstheme="minorBidi"/>
                <w:lang w:val="ru-RU" w:eastAsia="ru-RU"/>
              </w:rPr>
              <w:tab/>
            </w:r>
            <w:r w:rsidR="00CC7A26" w:rsidRPr="00CC7A26">
              <w:rPr>
                <w:rStyle w:val="af4"/>
              </w:rPr>
              <w:t>SINTEZA</w:t>
            </w:r>
            <w:r w:rsidR="00CC7A26">
              <w:rPr>
                <w:rStyle w:val="af4"/>
              </w:rPr>
              <w:t>……………………………………………………………………………………………………………………………………………………..</w:t>
            </w:r>
            <w:r w:rsidR="00CC7A26" w:rsidRPr="00CC7A26">
              <w:rPr>
                <w:webHidden/>
              </w:rPr>
              <w:tab/>
            </w:r>
            <w:r w:rsidR="00CC7A26" w:rsidRPr="00CC7A26">
              <w:rPr>
                <w:webHidden/>
              </w:rPr>
              <w:fldChar w:fldCharType="begin"/>
            </w:r>
            <w:r w:rsidR="00CC7A26" w:rsidRPr="00CC7A26">
              <w:rPr>
                <w:webHidden/>
              </w:rPr>
              <w:instrText xml:space="preserve"> PAGEREF _Toc132320200 \h </w:instrText>
            </w:r>
            <w:r w:rsidR="00CC7A26" w:rsidRPr="00CC7A26">
              <w:rPr>
                <w:webHidden/>
              </w:rPr>
            </w:r>
            <w:r w:rsidR="00CC7A26" w:rsidRPr="00CC7A26">
              <w:rPr>
                <w:webHidden/>
              </w:rPr>
              <w:fldChar w:fldCharType="separate"/>
            </w:r>
            <w:r w:rsidR="005A04BF">
              <w:rPr>
                <w:webHidden/>
              </w:rPr>
              <w:t>4</w:t>
            </w:r>
            <w:r w:rsidR="00CC7A26" w:rsidRPr="00CC7A26">
              <w:rPr>
                <w:webHidden/>
              </w:rPr>
              <w:fldChar w:fldCharType="end"/>
            </w:r>
          </w:hyperlink>
        </w:p>
        <w:p w:rsidR="00CC7A26" w:rsidRPr="00CC7A26" w:rsidRDefault="00854176" w:rsidP="00F61756">
          <w:pPr>
            <w:pStyle w:val="11"/>
            <w:spacing w:line="276" w:lineRule="auto"/>
            <w:rPr>
              <w:rFonts w:eastAsiaTheme="minorEastAsia" w:cstheme="minorBidi"/>
              <w:lang w:val="ru-RU" w:eastAsia="ru-RU"/>
            </w:rPr>
          </w:pPr>
          <w:hyperlink w:anchor="_Toc132320201" w:history="1">
            <w:r w:rsidR="00CC7A26" w:rsidRPr="00CC7A26">
              <w:rPr>
                <w:rStyle w:val="af4"/>
              </w:rPr>
              <w:t>II. PREZENTAREA GENERALĂ</w:t>
            </w:r>
            <w:r w:rsidR="00CC7A26">
              <w:rPr>
                <w:rStyle w:val="af4"/>
              </w:rPr>
              <w:t>…………………………………………………………………………………………………………………………</w:t>
            </w:r>
            <w:r w:rsidR="00CC7A26" w:rsidRPr="00CC7A26">
              <w:rPr>
                <w:webHidden/>
              </w:rPr>
              <w:tab/>
            </w:r>
            <w:r w:rsidR="00CC7A26" w:rsidRPr="00CC7A26">
              <w:rPr>
                <w:webHidden/>
              </w:rPr>
              <w:fldChar w:fldCharType="begin"/>
            </w:r>
            <w:r w:rsidR="00CC7A26" w:rsidRPr="00CC7A26">
              <w:rPr>
                <w:webHidden/>
              </w:rPr>
              <w:instrText xml:space="preserve"> PAGEREF _Toc132320201 \h </w:instrText>
            </w:r>
            <w:r w:rsidR="00CC7A26" w:rsidRPr="00CC7A26">
              <w:rPr>
                <w:webHidden/>
              </w:rPr>
            </w:r>
            <w:r w:rsidR="00CC7A26" w:rsidRPr="00CC7A26">
              <w:rPr>
                <w:webHidden/>
              </w:rPr>
              <w:fldChar w:fldCharType="separate"/>
            </w:r>
            <w:r w:rsidR="005A04BF">
              <w:rPr>
                <w:webHidden/>
              </w:rPr>
              <w:t>7</w:t>
            </w:r>
            <w:r w:rsidR="00CC7A26" w:rsidRPr="00CC7A26">
              <w:rPr>
                <w:webHidden/>
              </w:rPr>
              <w:fldChar w:fldCharType="end"/>
            </w:r>
          </w:hyperlink>
        </w:p>
        <w:p w:rsidR="00CC7A26" w:rsidRPr="00CC7A26" w:rsidRDefault="00854176" w:rsidP="00F61756">
          <w:pPr>
            <w:pStyle w:val="11"/>
            <w:spacing w:line="276" w:lineRule="auto"/>
            <w:rPr>
              <w:rFonts w:eastAsiaTheme="minorEastAsia" w:cstheme="minorBidi"/>
              <w:lang w:val="ru-RU" w:eastAsia="ru-RU"/>
            </w:rPr>
          </w:pPr>
          <w:hyperlink w:anchor="_Toc132320202" w:history="1">
            <w:r w:rsidR="00CC7A26" w:rsidRPr="00CC7A26">
              <w:rPr>
                <w:rStyle w:val="af4"/>
              </w:rPr>
              <w:t>2.1. Informație generală despre SAAS</w:t>
            </w:r>
            <w:r w:rsidR="00CC7A26">
              <w:rPr>
                <w:rStyle w:val="af4"/>
              </w:rPr>
              <w:t>………………………………………………………………………………………………………….</w:t>
            </w:r>
            <w:r w:rsidR="00CC7A26" w:rsidRPr="00CC7A26">
              <w:rPr>
                <w:webHidden/>
              </w:rPr>
              <w:tab/>
            </w:r>
            <w:r w:rsidR="00CC7A26" w:rsidRPr="00CC7A26">
              <w:rPr>
                <w:webHidden/>
              </w:rPr>
              <w:fldChar w:fldCharType="begin"/>
            </w:r>
            <w:r w:rsidR="00CC7A26" w:rsidRPr="00CC7A26">
              <w:rPr>
                <w:webHidden/>
              </w:rPr>
              <w:instrText xml:space="preserve"> PAGEREF _Toc132320202 \h </w:instrText>
            </w:r>
            <w:r w:rsidR="00CC7A26" w:rsidRPr="00CC7A26">
              <w:rPr>
                <w:webHidden/>
              </w:rPr>
            </w:r>
            <w:r w:rsidR="00CC7A26" w:rsidRPr="00CC7A26">
              <w:rPr>
                <w:webHidden/>
              </w:rPr>
              <w:fldChar w:fldCharType="separate"/>
            </w:r>
            <w:r w:rsidR="005A04BF">
              <w:rPr>
                <w:webHidden/>
              </w:rPr>
              <w:t>7</w:t>
            </w:r>
            <w:r w:rsidR="00CC7A26" w:rsidRPr="00CC7A26">
              <w:rPr>
                <w:webHidden/>
              </w:rPr>
              <w:fldChar w:fldCharType="end"/>
            </w:r>
          </w:hyperlink>
        </w:p>
        <w:p w:rsidR="00CC7A26" w:rsidRPr="00CC7A26" w:rsidRDefault="00854176" w:rsidP="00F61756">
          <w:pPr>
            <w:pStyle w:val="11"/>
            <w:spacing w:line="276" w:lineRule="auto"/>
            <w:rPr>
              <w:rFonts w:eastAsiaTheme="minorEastAsia" w:cstheme="minorBidi"/>
              <w:lang w:val="ru-RU" w:eastAsia="ru-RU"/>
            </w:rPr>
          </w:pPr>
          <w:hyperlink w:anchor="_Toc132320203" w:history="1">
            <w:r w:rsidR="00CC7A26" w:rsidRPr="00CC7A26">
              <w:rPr>
                <w:rStyle w:val="af4"/>
              </w:rPr>
              <w:t>2.2.  Valoarea investițiilor efectuate în infrastructura de alimentare cu apă şi canalizare în anii 2014-2022</w:t>
            </w:r>
            <w:r w:rsidR="00CC7A26">
              <w:rPr>
                <w:rStyle w:val="af4"/>
              </w:rPr>
              <w:t>..</w:t>
            </w:r>
            <w:r w:rsidR="00CC7A26" w:rsidRPr="00CC7A26">
              <w:rPr>
                <w:webHidden/>
              </w:rPr>
              <w:tab/>
            </w:r>
            <w:r w:rsidR="00CC7A26" w:rsidRPr="00CC7A26">
              <w:rPr>
                <w:webHidden/>
              </w:rPr>
              <w:fldChar w:fldCharType="begin"/>
            </w:r>
            <w:r w:rsidR="00CC7A26" w:rsidRPr="00CC7A26">
              <w:rPr>
                <w:webHidden/>
              </w:rPr>
              <w:instrText xml:space="preserve"> PAGEREF _Toc132320203 \h </w:instrText>
            </w:r>
            <w:r w:rsidR="00CC7A26" w:rsidRPr="00CC7A26">
              <w:rPr>
                <w:webHidden/>
              </w:rPr>
            </w:r>
            <w:r w:rsidR="00CC7A26" w:rsidRPr="00CC7A26">
              <w:rPr>
                <w:webHidden/>
              </w:rPr>
              <w:fldChar w:fldCharType="separate"/>
            </w:r>
            <w:r w:rsidR="005A04BF">
              <w:rPr>
                <w:webHidden/>
              </w:rPr>
              <w:t>9</w:t>
            </w:r>
            <w:r w:rsidR="00CC7A26" w:rsidRPr="00CC7A26">
              <w:rPr>
                <w:webHidden/>
              </w:rPr>
              <w:fldChar w:fldCharType="end"/>
            </w:r>
          </w:hyperlink>
        </w:p>
        <w:p w:rsidR="00CC7A26" w:rsidRPr="00CC7A26" w:rsidRDefault="00854176" w:rsidP="00F61756">
          <w:pPr>
            <w:pStyle w:val="11"/>
            <w:spacing w:line="276" w:lineRule="auto"/>
            <w:rPr>
              <w:rFonts w:eastAsiaTheme="minorEastAsia" w:cstheme="minorBidi"/>
              <w:lang w:val="ru-RU" w:eastAsia="ru-RU"/>
            </w:rPr>
          </w:pPr>
          <w:hyperlink w:anchor="_Toc132320204" w:history="1">
            <w:r w:rsidR="00CC7A26" w:rsidRPr="00CC7A26">
              <w:rPr>
                <w:rStyle w:val="af4"/>
              </w:rPr>
              <w:t>2.3. Actorii implicați în implementarea SAAS 2014-2030</w:t>
            </w:r>
            <w:r w:rsidR="00CC7A26">
              <w:rPr>
                <w:rStyle w:val="af4"/>
              </w:rPr>
              <w:t xml:space="preserve"> …………………………………………………………………………..</w:t>
            </w:r>
            <w:r w:rsidR="00CC7A26" w:rsidRPr="00CC7A26">
              <w:rPr>
                <w:webHidden/>
              </w:rPr>
              <w:fldChar w:fldCharType="begin"/>
            </w:r>
            <w:r w:rsidR="00CC7A26" w:rsidRPr="00CC7A26">
              <w:rPr>
                <w:webHidden/>
              </w:rPr>
              <w:instrText xml:space="preserve"> PAGEREF _Toc132320204 \h </w:instrText>
            </w:r>
            <w:r w:rsidR="00CC7A26" w:rsidRPr="00CC7A26">
              <w:rPr>
                <w:webHidden/>
              </w:rPr>
            </w:r>
            <w:r w:rsidR="00CC7A26" w:rsidRPr="00CC7A26">
              <w:rPr>
                <w:webHidden/>
              </w:rPr>
              <w:fldChar w:fldCharType="separate"/>
            </w:r>
            <w:r w:rsidR="005A04BF">
              <w:rPr>
                <w:webHidden/>
              </w:rPr>
              <w:t>10</w:t>
            </w:r>
            <w:r w:rsidR="00CC7A26" w:rsidRPr="00CC7A26">
              <w:rPr>
                <w:webHidden/>
              </w:rPr>
              <w:fldChar w:fldCharType="end"/>
            </w:r>
          </w:hyperlink>
        </w:p>
        <w:p w:rsidR="00CC7A26" w:rsidRPr="00CC7A26" w:rsidRDefault="00854176" w:rsidP="00F61756">
          <w:pPr>
            <w:pStyle w:val="11"/>
            <w:spacing w:line="276" w:lineRule="auto"/>
            <w:rPr>
              <w:rFonts w:eastAsiaTheme="minorEastAsia" w:cstheme="minorBidi"/>
              <w:lang w:val="ru-RU" w:eastAsia="ru-RU"/>
            </w:rPr>
          </w:pPr>
          <w:hyperlink w:anchor="_Toc132320205" w:history="1">
            <w:r w:rsidR="00CC7A26" w:rsidRPr="00CC7A26">
              <w:rPr>
                <w:rStyle w:val="af4"/>
              </w:rPr>
              <w:t>III. SFERA ȘI ABORDAREA AUDITULUI</w:t>
            </w:r>
            <w:r w:rsidR="00CC7A26">
              <w:rPr>
                <w:rStyle w:val="af4"/>
              </w:rPr>
              <w:t xml:space="preserve"> …………………………………………………………………………………………………………</w:t>
            </w:r>
            <w:r w:rsidR="00CC7A26" w:rsidRPr="00CC7A26">
              <w:rPr>
                <w:webHidden/>
              </w:rPr>
              <w:fldChar w:fldCharType="begin"/>
            </w:r>
            <w:r w:rsidR="00CC7A26" w:rsidRPr="00CC7A26">
              <w:rPr>
                <w:webHidden/>
              </w:rPr>
              <w:instrText xml:space="preserve"> PAGEREF _Toc132320205 \h </w:instrText>
            </w:r>
            <w:r w:rsidR="00CC7A26" w:rsidRPr="00CC7A26">
              <w:rPr>
                <w:webHidden/>
              </w:rPr>
            </w:r>
            <w:r w:rsidR="00CC7A26" w:rsidRPr="00CC7A26">
              <w:rPr>
                <w:webHidden/>
              </w:rPr>
              <w:fldChar w:fldCharType="separate"/>
            </w:r>
            <w:r w:rsidR="005A04BF">
              <w:rPr>
                <w:webHidden/>
              </w:rPr>
              <w:t>10</w:t>
            </w:r>
            <w:r w:rsidR="00CC7A26" w:rsidRPr="00CC7A26">
              <w:rPr>
                <w:webHidden/>
              </w:rPr>
              <w:fldChar w:fldCharType="end"/>
            </w:r>
          </w:hyperlink>
        </w:p>
        <w:p w:rsidR="00CC7A26" w:rsidRPr="00CC7A26" w:rsidRDefault="00854176" w:rsidP="00F61756">
          <w:pPr>
            <w:pStyle w:val="11"/>
            <w:spacing w:line="276" w:lineRule="auto"/>
            <w:rPr>
              <w:rFonts w:eastAsiaTheme="minorEastAsia" w:cstheme="minorBidi"/>
              <w:lang w:val="ru-RU" w:eastAsia="ru-RU"/>
            </w:rPr>
          </w:pPr>
          <w:hyperlink w:anchor="_Toc132320206" w:history="1">
            <w:r w:rsidR="00CC7A26" w:rsidRPr="00CC7A26">
              <w:rPr>
                <w:rStyle w:val="af4"/>
              </w:rPr>
              <w:t>IV. CONSTATĂRI</w:t>
            </w:r>
            <w:r w:rsidR="00CC7A26">
              <w:rPr>
                <w:rStyle w:val="af4"/>
              </w:rPr>
              <w:t>…………………………………………………………………………………………………………………………………………..</w:t>
            </w:r>
            <w:r w:rsidR="00CC7A26" w:rsidRPr="00CC7A26">
              <w:rPr>
                <w:webHidden/>
              </w:rPr>
              <w:fldChar w:fldCharType="begin"/>
            </w:r>
            <w:r w:rsidR="00CC7A26" w:rsidRPr="00CC7A26">
              <w:rPr>
                <w:webHidden/>
              </w:rPr>
              <w:instrText xml:space="preserve"> PAGEREF _Toc132320206 \h </w:instrText>
            </w:r>
            <w:r w:rsidR="00CC7A26" w:rsidRPr="00CC7A26">
              <w:rPr>
                <w:webHidden/>
              </w:rPr>
            </w:r>
            <w:r w:rsidR="00CC7A26" w:rsidRPr="00CC7A26">
              <w:rPr>
                <w:webHidden/>
              </w:rPr>
              <w:fldChar w:fldCharType="separate"/>
            </w:r>
            <w:r w:rsidR="005A04BF">
              <w:rPr>
                <w:webHidden/>
              </w:rPr>
              <w:t>11</w:t>
            </w:r>
            <w:r w:rsidR="00CC7A26" w:rsidRPr="00CC7A26">
              <w:rPr>
                <w:webHidden/>
              </w:rPr>
              <w:fldChar w:fldCharType="end"/>
            </w:r>
          </w:hyperlink>
        </w:p>
        <w:p w:rsidR="00CC7A26" w:rsidRPr="00CC7A26" w:rsidRDefault="00854176" w:rsidP="00F61756">
          <w:pPr>
            <w:pStyle w:val="11"/>
            <w:spacing w:line="276" w:lineRule="auto"/>
            <w:rPr>
              <w:rFonts w:eastAsiaTheme="minorEastAsia" w:cstheme="minorBidi"/>
              <w:lang w:val="ru-RU" w:eastAsia="ru-RU"/>
            </w:rPr>
          </w:pPr>
          <w:hyperlink w:anchor="_Toc132320207" w:history="1">
            <w:r w:rsidR="00CC7A26" w:rsidRPr="00CC7A26">
              <w:rPr>
                <w:rStyle w:val="af4"/>
              </w:rPr>
              <w:t>4.1. Factorii de decizie au întreprins măsuri de rigoare pentru realizarea integrală a acţiunilor incluse în Planurile de acțiuni SAAS?</w:t>
            </w:r>
            <w:r w:rsidR="00CC7A26">
              <w:rPr>
                <w:rStyle w:val="af4"/>
              </w:rPr>
              <w:t>..................................................................................................................................</w:t>
            </w:r>
            <w:r w:rsidR="00CC7A26" w:rsidRPr="00CC7A26">
              <w:rPr>
                <w:webHidden/>
              </w:rPr>
              <w:fldChar w:fldCharType="begin"/>
            </w:r>
            <w:r w:rsidR="00CC7A26" w:rsidRPr="00CC7A26">
              <w:rPr>
                <w:webHidden/>
              </w:rPr>
              <w:instrText xml:space="preserve"> PAGEREF _Toc132320207 \h </w:instrText>
            </w:r>
            <w:r w:rsidR="00CC7A26" w:rsidRPr="00CC7A26">
              <w:rPr>
                <w:webHidden/>
              </w:rPr>
            </w:r>
            <w:r w:rsidR="00CC7A26" w:rsidRPr="00CC7A26">
              <w:rPr>
                <w:webHidden/>
              </w:rPr>
              <w:fldChar w:fldCharType="separate"/>
            </w:r>
            <w:r w:rsidR="005A04BF">
              <w:rPr>
                <w:webHidden/>
              </w:rPr>
              <w:t>11</w:t>
            </w:r>
            <w:r w:rsidR="00CC7A26" w:rsidRPr="00CC7A26">
              <w:rPr>
                <w:webHidden/>
              </w:rPr>
              <w:fldChar w:fldCharType="end"/>
            </w:r>
          </w:hyperlink>
        </w:p>
        <w:p w:rsidR="00CC7A26" w:rsidRPr="00CC7A26" w:rsidRDefault="00854176" w:rsidP="00F61756">
          <w:pPr>
            <w:pStyle w:val="11"/>
            <w:spacing w:line="276" w:lineRule="auto"/>
            <w:rPr>
              <w:rFonts w:eastAsiaTheme="minorEastAsia" w:cstheme="minorBidi"/>
              <w:lang w:val="ru-RU" w:eastAsia="ru-RU"/>
            </w:rPr>
          </w:pPr>
          <w:hyperlink w:anchor="_Toc132320208" w:history="1">
            <w:r w:rsidR="00CC7A26" w:rsidRPr="00CC7A26">
              <w:rPr>
                <w:rStyle w:val="af4"/>
              </w:rPr>
              <w:t>4.2. Investițiile efectuate din resursele FEN, FNRD ŞI FNDAMR au întrunit criteriile de eficiență, durabilitate și sustenabilitate?</w:t>
            </w:r>
            <w:r w:rsidR="00CC7A26">
              <w:rPr>
                <w:rStyle w:val="af4"/>
              </w:rPr>
              <w:t>...........................................................................................................................................</w:t>
            </w:r>
            <w:r w:rsidR="003F3AFB">
              <w:rPr>
                <w:rStyle w:val="af4"/>
              </w:rPr>
              <w:t>....</w:t>
            </w:r>
            <w:r w:rsidR="00CC7A26">
              <w:rPr>
                <w:rStyle w:val="af4"/>
              </w:rPr>
              <w:t>....</w:t>
            </w:r>
            <w:r w:rsidR="00CC7A26" w:rsidRPr="00CC7A26">
              <w:rPr>
                <w:webHidden/>
              </w:rPr>
              <w:fldChar w:fldCharType="begin"/>
            </w:r>
            <w:r w:rsidR="00CC7A26" w:rsidRPr="00CC7A26">
              <w:rPr>
                <w:webHidden/>
              </w:rPr>
              <w:instrText xml:space="preserve"> PAGEREF _Toc132320208 \h </w:instrText>
            </w:r>
            <w:r w:rsidR="00CC7A26" w:rsidRPr="00CC7A26">
              <w:rPr>
                <w:webHidden/>
              </w:rPr>
            </w:r>
            <w:r w:rsidR="00CC7A26" w:rsidRPr="00CC7A26">
              <w:rPr>
                <w:webHidden/>
              </w:rPr>
              <w:fldChar w:fldCharType="separate"/>
            </w:r>
            <w:r w:rsidR="005A04BF">
              <w:rPr>
                <w:webHidden/>
              </w:rPr>
              <w:t>22</w:t>
            </w:r>
            <w:r w:rsidR="00CC7A26" w:rsidRPr="00CC7A26">
              <w:rPr>
                <w:webHidden/>
              </w:rPr>
              <w:fldChar w:fldCharType="end"/>
            </w:r>
          </w:hyperlink>
        </w:p>
        <w:p w:rsidR="00CC7A26" w:rsidRPr="00CC7A26" w:rsidRDefault="00854176" w:rsidP="00F61756">
          <w:pPr>
            <w:pStyle w:val="11"/>
            <w:spacing w:line="276" w:lineRule="auto"/>
            <w:rPr>
              <w:rFonts w:eastAsiaTheme="minorEastAsia" w:cstheme="minorBidi"/>
              <w:lang w:val="ru-RU" w:eastAsia="ru-RU"/>
            </w:rPr>
          </w:pPr>
          <w:hyperlink w:anchor="_Toc132320209" w:history="1">
            <w:r w:rsidR="00CC7A26" w:rsidRPr="00CC7A26">
              <w:rPr>
                <w:rStyle w:val="af4"/>
              </w:rPr>
              <w:t>4.3.</w:t>
            </w:r>
            <w:r w:rsidR="00CC7A26">
              <w:rPr>
                <w:rStyle w:val="af4"/>
              </w:rPr>
              <w:t xml:space="preserve"> </w:t>
            </w:r>
            <w:r w:rsidR="00CC7A26" w:rsidRPr="00CC7A26">
              <w:rPr>
                <w:rStyle w:val="af4"/>
              </w:rPr>
              <w:t>Există un sistem centralizat de date care să permită evaluarea și monitorizarea situației în domeniul aprovizionării cu apă și sanitației a populației și a localităților din republică?</w:t>
            </w:r>
            <w:r w:rsidR="00CC7A26">
              <w:rPr>
                <w:rStyle w:val="af4"/>
              </w:rPr>
              <w:t>.................................................</w:t>
            </w:r>
            <w:r w:rsidR="00CC7A26" w:rsidRPr="00CC7A26">
              <w:rPr>
                <w:webHidden/>
              </w:rPr>
              <w:fldChar w:fldCharType="begin"/>
            </w:r>
            <w:r w:rsidR="00CC7A26" w:rsidRPr="00CC7A26">
              <w:rPr>
                <w:webHidden/>
              </w:rPr>
              <w:instrText xml:space="preserve"> PAGEREF _Toc132320209 \h </w:instrText>
            </w:r>
            <w:r w:rsidR="00CC7A26" w:rsidRPr="00CC7A26">
              <w:rPr>
                <w:webHidden/>
              </w:rPr>
            </w:r>
            <w:r w:rsidR="00CC7A26" w:rsidRPr="00CC7A26">
              <w:rPr>
                <w:webHidden/>
              </w:rPr>
              <w:fldChar w:fldCharType="separate"/>
            </w:r>
            <w:r w:rsidR="005A04BF">
              <w:rPr>
                <w:webHidden/>
              </w:rPr>
              <w:t>46</w:t>
            </w:r>
            <w:r w:rsidR="00CC7A26" w:rsidRPr="00CC7A26">
              <w:rPr>
                <w:webHidden/>
              </w:rPr>
              <w:fldChar w:fldCharType="end"/>
            </w:r>
          </w:hyperlink>
        </w:p>
        <w:p w:rsidR="00CC7A26" w:rsidRPr="00CC7A26" w:rsidRDefault="00854176" w:rsidP="00F61756">
          <w:pPr>
            <w:pStyle w:val="11"/>
            <w:spacing w:line="276" w:lineRule="auto"/>
            <w:rPr>
              <w:rFonts w:eastAsiaTheme="minorEastAsia" w:cstheme="minorBidi"/>
              <w:lang w:val="ru-RU" w:eastAsia="ru-RU"/>
            </w:rPr>
          </w:pPr>
          <w:hyperlink w:anchor="_Toc132320210" w:history="1">
            <w:r w:rsidR="00CC7A26" w:rsidRPr="00CC7A26">
              <w:rPr>
                <w:rStyle w:val="af4"/>
                <w:shd w:val="clear" w:color="auto" w:fill="FFFFFF"/>
              </w:rPr>
              <w:t xml:space="preserve">4.4. </w:t>
            </w:r>
            <w:r w:rsidR="00CC7A26" w:rsidRPr="00CC7A26">
              <w:rPr>
                <w:rStyle w:val="af4"/>
                <w:lang w:val="en-US"/>
              </w:rPr>
              <w:t>Calitatea apei potabile, ca factor determinant al sănătății, corespunde normativelor sanitare?</w:t>
            </w:r>
            <w:r w:rsidR="00CC7A26">
              <w:rPr>
                <w:rStyle w:val="af4"/>
                <w:lang w:val="en-US"/>
              </w:rPr>
              <w:t>............</w:t>
            </w:r>
            <w:r w:rsidR="00CC7A26" w:rsidRPr="00CC7A26">
              <w:rPr>
                <w:webHidden/>
              </w:rPr>
              <w:fldChar w:fldCharType="begin"/>
            </w:r>
            <w:r w:rsidR="00CC7A26" w:rsidRPr="00CC7A26">
              <w:rPr>
                <w:webHidden/>
              </w:rPr>
              <w:instrText xml:space="preserve"> PAGEREF _Toc132320210 \h </w:instrText>
            </w:r>
            <w:r w:rsidR="00CC7A26" w:rsidRPr="00CC7A26">
              <w:rPr>
                <w:webHidden/>
              </w:rPr>
            </w:r>
            <w:r w:rsidR="00CC7A26" w:rsidRPr="00CC7A26">
              <w:rPr>
                <w:webHidden/>
              </w:rPr>
              <w:fldChar w:fldCharType="separate"/>
            </w:r>
            <w:r w:rsidR="005A04BF">
              <w:rPr>
                <w:webHidden/>
              </w:rPr>
              <w:t>80</w:t>
            </w:r>
            <w:r w:rsidR="00CC7A26" w:rsidRPr="00CC7A26">
              <w:rPr>
                <w:webHidden/>
              </w:rPr>
              <w:fldChar w:fldCharType="end"/>
            </w:r>
          </w:hyperlink>
        </w:p>
        <w:p w:rsidR="00CC7A26" w:rsidRPr="00CC7A26" w:rsidRDefault="00854176" w:rsidP="00F61756">
          <w:pPr>
            <w:pStyle w:val="11"/>
            <w:spacing w:line="276" w:lineRule="auto"/>
            <w:rPr>
              <w:rFonts w:eastAsiaTheme="minorEastAsia" w:cstheme="minorBidi"/>
              <w:lang w:val="ru-RU" w:eastAsia="ru-RU"/>
            </w:rPr>
          </w:pPr>
          <w:hyperlink w:anchor="_Toc132320211" w:history="1">
            <w:r w:rsidR="00CC7A26" w:rsidRPr="00CC7A26">
              <w:rPr>
                <w:rStyle w:val="af4"/>
              </w:rPr>
              <w:t>4.5.</w:t>
            </w:r>
            <w:r w:rsidR="00CC7A26">
              <w:rPr>
                <w:rStyle w:val="af4"/>
              </w:rPr>
              <w:t xml:space="preserve"> </w:t>
            </w:r>
            <w:r w:rsidR="00CC7A26" w:rsidRPr="00CC7A26">
              <w:rPr>
                <w:rStyle w:val="af4"/>
                <w:lang w:val="en-US"/>
              </w:rPr>
              <w:t>Tarifele aprobate pentru serviciile prestate de alimentare cu apă și sanitație sunt adecvate pentru a acoperi costurile aferente prestării serviciului public respectiv?</w:t>
            </w:r>
            <w:r w:rsidR="00CC7A26">
              <w:rPr>
                <w:rStyle w:val="af4"/>
                <w:lang w:val="en-US"/>
              </w:rPr>
              <w:t xml:space="preserve"> ………………………………………………………………..</w:t>
            </w:r>
            <w:r w:rsidR="00CC7A26" w:rsidRPr="00CC7A26">
              <w:rPr>
                <w:webHidden/>
              </w:rPr>
              <w:fldChar w:fldCharType="begin"/>
            </w:r>
            <w:r w:rsidR="00CC7A26" w:rsidRPr="00CC7A26">
              <w:rPr>
                <w:webHidden/>
              </w:rPr>
              <w:instrText xml:space="preserve"> PAGEREF _Toc132320211 \h </w:instrText>
            </w:r>
            <w:r w:rsidR="00CC7A26" w:rsidRPr="00CC7A26">
              <w:rPr>
                <w:webHidden/>
              </w:rPr>
            </w:r>
            <w:r w:rsidR="00CC7A26" w:rsidRPr="00CC7A26">
              <w:rPr>
                <w:webHidden/>
              </w:rPr>
              <w:fldChar w:fldCharType="separate"/>
            </w:r>
            <w:r w:rsidR="005A04BF">
              <w:rPr>
                <w:webHidden/>
              </w:rPr>
              <w:t>89</w:t>
            </w:r>
            <w:r w:rsidR="00CC7A26" w:rsidRPr="00CC7A26">
              <w:rPr>
                <w:webHidden/>
              </w:rPr>
              <w:fldChar w:fldCharType="end"/>
            </w:r>
          </w:hyperlink>
        </w:p>
        <w:p w:rsidR="00CC7A26" w:rsidRPr="00CC7A26" w:rsidRDefault="00854176" w:rsidP="00F61756">
          <w:pPr>
            <w:pStyle w:val="11"/>
            <w:spacing w:line="276" w:lineRule="auto"/>
            <w:rPr>
              <w:rFonts w:eastAsiaTheme="minorEastAsia" w:cstheme="minorBidi"/>
              <w:lang w:val="ru-RU" w:eastAsia="ru-RU"/>
            </w:rPr>
          </w:pPr>
          <w:hyperlink w:anchor="_Toc132320212" w:history="1">
            <w:r w:rsidR="00CC7A26" w:rsidRPr="00CC7A26">
              <w:rPr>
                <w:rStyle w:val="af4"/>
              </w:rPr>
              <w:t>4.6.</w:t>
            </w:r>
            <w:r w:rsidR="00CC7A26">
              <w:rPr>
                <w:rStyle w:val="af4"/>
              </w:rPr>
              <w:t xml:space="preserve"> </w:t>
            </w:r>
            <w:r w:rsidR="00CC7A26" w:rsidRPr="00CC7A26">
              <w:rPr>
                <w:rStyle w:val="af4"/>
              </w:rPr>
              <w:t>Amenzile și prejudiciile aplicate de IPM contribuie la prevenirea cazurilor de încălcare a legislației privind protecția mediului în domeniul alimentării cu apă și sanitației?</w:t>
            </w:r>
            <w:r w:rsidR="00CC7A26">
              <w:rPr>
                <w:rStyle w:val="af4"/>
              </w:rPr>
              <w:t xml:space="preserve"> ……………</w:t>
            </w:r>
            <w:r w:rsidR="003F3AFB">
              <w:rPr>
                <w:rStyle w:val="af4"/>
              </w:rPr>
              <w:t>............</w:t>
            </w:r>
            <w:r w:rsidR="00CC7A26">
              <w:rPr>
                <w:rStyle w:val="af4"/>
              </w:rPr>
              <w:t>………………………………………</w:t>
            </w:r>
            <w:r w:rsidR="00CC7A26" w:rsidRPr="00CC7A26">
              <w:rPr>
                <w:webHidden/>
              </w:rPr>
              <w:fldChar w:fldCharType="begin"/>
            </w:r>
            <w:r w:rsidR="00CC7A26" w:rsidRPr="00CC7A26">
              <w:rPr>
                <w:webHidden/>
              </w:rPr>
              <w:instrText xml:space="preserve"> PAGEREF _Toc132320212 \h </w:instrText>
            </w:r>
            <w:r w:rsidR="00CC7A26" w:rsidRPr="00CC7A26">
              <w:rPr>
                <w:webHidden/>
              </w:rPr>
            </w:r>
            <w:r w:rsidR="00CC7A26" w:rsidRPr="00CC7A26">
              <w:rPr>
                <w:webHidden/>
              </w:rPr>
              <w:fldChar w:fldCharType="separate"/>
            </w:r>
            <w:r w:rsidR="005A04BF">
              <w:rPr>
                <w:webHidden/>
              </w:rPr>
              <w:t>117</w:t>
            </w:r>
            <w:r w:rsidR="00CC7A26" w:rsidRPr="00CC7A26">
              <w:rPr>
                <w:webHidden/>
              </w:rPr>
              <w:fldChar w:fldCharType="end"/>
            </w:r>
          </w:hyperlink>
        </w:p>
        <w:p w:rsidR="00CC7A26" w:rsidRPr="00CC7A26" w:rsidRDefault="00854176" w:rsidP="00F61756">
          <w:pPr>
            <w:pStyle w:val="11"/>
            <w:spacing w:line="276" w:lineRule="auto"/>
            <w:rPr>
              <w:rFonts w:eastAsiaTheme="minorEastAsia" w:cstheme="minorBidi"/>
              <w:lang w:val="ru-RU" w:eastAsia="ru-RU"/>
            </w:rPr>
          </w:pPr>
          <w:hyperlink w:anchor="_Toc132320213" w:history="1">
            <w:r w:rsidR="00CC7A26" w:rsidRPr="00CC7A26">
              <w:rPr>
                <w:rStyle w:val="af4"/>
              </w:rPr>
              <w:t>V. ALTE CONSTATĂRI</w:t>
            </w:r>
            <w:r w:rsidR="00CC7A26">
              <w:rPr>
                <w:rStyle w:val="af4"/>
              </w:rPr>
              <w:t xml:space="preserve"> ………………………………………………………………………………………………………………………………..</w:t>
            </w:r>
            <w:r w:rsidR="00CC7A26" w:rsidRPr="00CC7A26">
              <w:rPr>
                <w:webHidden/>
              </w:rPr>
              <w:fldChar w:fldCharType="begin"/>
            </w:r>
            <w:r w:rsidR="00CC7A26" w:rsidRPr="00CC7A26">
              <w:rPr>
                <w:webHidden/>
              </w:rPr>
              <w:instrText xml:space="preserve"> PAGEREF _Toc132320213 \h </w:instrText>
            </w:r>
            <w:r w:rsidR="00CC7A26" w:rsidRPr="00CC7A26">
              <w:rPr>
                <w:webHidden/>
              </w:rPr>
            </w:r>
            <w:r w:rsidR="00CC7A26" w:rsidRPr="00CC7A26">
              <w:rPr>
                <w:webHidden/>
              </w:rPr>
              <w:fldChar w:fldCharType="separate"/>
            </w:r>
            <w:r w:rsidR="005A04BF">
              <w:rPr>
                <w:webHidden/>
              </w:rPr>
              <w:t>124</w:t>
            </w:r>
            <w:r w:rsidR="00CC7A26" w:rsidRPr="00CC7A26">
              <w:rPr>
                <w:webHidden/>
              </w:rPr>
              <w:fldChar w:fldCharType="end"/>
            </w:r>
          </w:hyperlink>
        </w:p>
        <w:p w:rsidR="00CC7A26" w:rsidRPr="00CC7A26" w:rsidRDefault="00854176" w:rsidP="00F61756">
          <w:pPr>
            <w:pStyle w:val="11"/>
            <w:spacing w:line="276" w:lineRule="auto"/>
            <w:rPr>
              <w:rFonts w:eastAsiaTheme="minorEastAsia" w:cstheme="minorBidi"/>
              <w:lang w:val="ru-RU" w:eastAsia="ru-RU"/>
            </w:rPr>
          </w:pPr>
          <w:hyperlink w:anchor="_Toc132320214" w:history="1">
            <w:r w:rsidR="00CC7A26" w:rsidRPr="00CC7A26">
              <w:rPr>
                <w:rStyle w:val="af4"/>
              </w:rPr>
              <w:t>VI. CONCLUZIA GENERALĂ</w:t>
            </w:r>
            <w:r w:rsidR="00CC7A26">
              <w:rPr>
                <w:rStyle w:val="af4"/>
              </w:rPr>
              <w:t>…………………………………………………………………………………………………………………………</w:t>
            </w:r>
            <w:r w:rsidR="00CC7A26" w:rsidRPr="00CC7A26">
              <w:rPr>
                <w:webHidden/>
              </w:rPr>
              <w:fldChar w:fldCharType="begin"/>
            </w:r>
            <w:r w:rsidR="00CC7A26" w:rsidRPr="00CC7A26">
              <w:rPr>
                <w:webHidden/>
              </w:rPr>
              <w:instrText xml:space="preserve"> PAGEREF _Toc132320214 \h </w:instrText>
            </w:r>
            <w:r w:rsidR="00CC7A26" w:rsidRPr="00CC7A26">
              <w:rPr>
                <w:webHidden/>
              </w:rPr>
            </w:r>
            <w:r w:rsidR="00CC7A26" w:rsidRPr="00CC7A26">
              <w:rPr>
                <w:webHidden/>
              </w:rPr>
              <w:fldChar w:fldCharType="separate"/>
            </w:r>
            <w:r w:rsidR="005A04BF">
              <w:rPr>
                <w:webHidden/>
              </w:rPr>
              <w:t>128</w:t>
            </w:r>
            <w:r w:rsidR="00CC7A26" w:rsidRPr="00CC7A26">
              <w:rPr>
                <w:webHidden/>
              </w:rPr>
              <w:fldChar w:fldCharType="end"/>
            </w:r>
          </w:hyperlink>
        </w:p>
        <w:p w:rsidR="00CC7A26" w:rsidRPr="00CC7A26" w:rsidRDefault="00854176" w:rsidP="00F61756">
          <w:pPr>
            <w:pStyle w:val="11"/>
            <w:spacing w:line="276" w:lineRule="auto"/>
            <w:rPr>
              <w:rFonts w:eastAsiaTheme="minorEastAsia" w:cstheme="minorBidi"/>
              <w:lang w:val="ru-RU" w:eastAsia="ru-RU"/>
            </w:rPr>
          </w:pPr>
          <w:hyperlink w:anchor="_Toc132320215" w:history="1">
            <w:r w:rsidR="00CC7A26" w:rsidRPr="00CC7A26">
              <w:rPr>
                <w:rStyle w:val="af4"/>
              </w:rPr>
              <w:t>VII.</w:t>
            </w:r>
            <w:r w:rsidR="00CC7A26">
              <w:rPr>
                <w:rStyle w:val="af4"/>
              </w:rPr>
              <w:t xml:space="preserve"> </w:t>
            </w:r>
            <w:r w:rsidR="00CC7A26" w:rsidRPr="00CC7A26">
              <w:rPr>
                <w:rStyle w:val="af4"/>
                <w:shd w:val="clear" w:color="auto" w:fill="FFFFFF" w:themeFill="background1"/>
              </w:rPr>
              <w:t>RECOMANDĂRI</w:t>
            </w:r>
            <w:r w:rsidR="00CC7A26">
              <w:rPr>
                <w:rStyle w:val="af4"/>
                <w:shd w:val="clear" w:color="auto" w:fill="FFFFFF" w:themeFill="background1"/>
              </w:rPr>
              <w:t xml:space="preserve"> …………………………………………………………………………………………………………………………………..</w:t>
            </w:r>
            <w:r w:rsidR="00CC7A26" w:rsidRPr="00CC7A26">
              <w:rPr>
                <w:webHidden/>
              </w:rPr>
              <w:fldChar w:fldCharType="begin"/>
            </w:r>
            <w:r w:rsidR="00CC7A26" w:rsidRPr="00CC7A26">
              <w:rPr>
                <w:webHidden/>
              </w:rPr>
              <w:instrText xml:space="preserve"> PAGEREF _Toc132320215 \h </w:instrText>
            </w:r>
            <w:r w:rsidR="00CC7A26" w:rsidRPr="00CC7A26">
              <w:rPr>
                <w:webHidden/>
              </w:rPr>
            </w:r>
            <w:r w:rsidR="00CC7A26" w:rsidRPr="00CC7A26">
              <w:rPr>
                <w:webHidden/>
              </w:rPr>
              <w:fldChar w:fldCharType="separate"/>
            </w:r>
            <w:r w:rsidR="005A04BF">
              <w:rPr>
                <w:webHidden/>
              </w:rPr>
              <w:t>129</w:t>
            </w:r>
            <w:r w:rsidR="00CC7A26" w:rsidRPr="00CC7A26">
              <w:rPr>
                <w:webHidden/>
              </w:rPr>
              <w:fldChar w:fldCharType="end"/>
            </w:r>
          </w:hyperlink>
        </w:p>
        <w:p w:rsidR="00CC7A26" w:rsidRPr="00CC7A26" w:rsidRDefault="00854176" w:rsidP="00F61756">
          <w:pPr>
            <w:pStyle w:val="11"/>
            <w:spacing w:line="276" w:lineRule="auto"/>
            <w:rPr>
              <w:rFonts w:eastAsiaTheme="minorEastAsia" w:cstheme="minorBidi"/>
              <w:lang w:val="ru-RU" w:eastAsia="ru-RU"/>
            </w:rPr>
          </w:pPr>
          <w:hyperlink w:anchor="_Toc132320216" w:history="1">
            <w:r w:rsidR="00CC7A26" w:rsidRPr="00CC7A26">
              <w:rPr>
                <w:rStyle w:val="af4"/>
              </w:rPr>
              <w:t>VIII.</w:t>
            </w:r>
            <w:r w:rsidR="00CC7A26">
              <w:rPr>
                <w:rStyle w:val="af4"/>
              </w:rPr>
              <w:t xml:space="preserve"> </w:t>
            </w:r>
            <w:r w:rsidR="00CC7A26" w:rsidRPr="00CC7A26">
              <w:rPr>
                <w:rStyle w:val="af4"/>
              </w:rPr>
              <w:t>SEMNĂTURILE ECHIPEI DE AUDIT</w:t>
            </w:r>
            <w:r w:rsidR="00CC7A26">
              <w:rPr>
                <w:rStyle w:val="af4"/>
              </w:rPr>
              <w:t xml:space="preserve"> ………………………………………………………………………………………………………</w:t>
            </w:r>
            <w:r w:rsidR="00CC7A26" w:rsidRPr="00CC7A26">
              <w:rPr>
                <w:webHidden/>
              </w:rPr>
              <w:fldChar w:fldCharType="begin"/>
            </w:r>
            <w:r w:rsidR="00CC7A26" w:rsidRPr="00CC7A26">
              <w:rPr>
                <w:webHidden/>
              </w:rPr>
              <w:instrText xml:space="preserve"> PAGEREF _Toc132320216 \h </w:instrText>
            </w:r>
            <w:r w:rsidR="00CC7A26" w:rsidRPr="00CC7A26">
              <w:rPr>
                <w:webHidden/>
              </w:rPr>
            </w:r>
            <w:r w:rsidR="00CC7A26" w:rsidRPr="00CC7A26">
              <w:rPr>
                <w:webHidden/>
              </w:rPr>
              <w:fldChar w:fldCharType="separate"/>
            </w:r>
            <w:r w:rsidR="005A04BF">
              <w:rPr>
                <w:webHidden/>
              </w:rPr>
              <w:t>133</w:t>
            </w:r>
            <w:r w:rsidR="00CC7A26" w:rsidRPr="00CC7A26">
              <w:rPr>
                <w:webHidden/>
              </w:rPr>
              <w:fldChar w:fldCharType="end"/>
            </w:r>
          </w:hyperlink>
        </w:p>
        <w:p w:rsidR="00CC7A26" w:rsidRPr="00CC7A26" w:rsidRDefault="00854176" w:rsidP="00F61756">
          <w:pPr>
            <w:pStyle w:val="11"/>
            <w:spacing w:line="276" w:lineRule="auto"/>
            <w:rPr>
              <w:rFonts w:eastAsiaTheme="minorEastAsia" w:cstheme="minorBidi"/>
              <w:lang w:val="ru-RU" w:eastAsia="ru-RU"/>
            </w:rPr>
          </w:pPr>
          <w:hyperlink w:anchor="_Toc132320217" w:history="1">
            <w:r w:rsidR="00CC7A26" w:rsidRPr="00CC7A26">
              <w:rPr>
                <w:rStyle w:val="af4"/>
              </w:rPr>
              <w:t>ANEXE</w:t>
            </w:r>
            <w:r w:rsidR="00CC7A26">
              <w:rPr>
                <w:rStyle w:val="af4"/>
              </w:rPr>
              <w:t xml:space="preserve"> ………………………………………………………………………………………………………………………………………………………</w:t>
            </w:r>
            <w:r w:rsidR="00CC7A26" w:rsidRPr="00CC7A26">
              <w:rPr>
                <w:webHidden/>
              </w:rPr>
              <w:fldChar w:fldCharType="begin"/>
            </w:r>
            <w:r w:rsidR="00CC7A26" w:rsidRPr="00CC7A26">
              <w:rPr>
                <w:webHidden/>
              </w:rPr>
              <w:instrText xml:space="preserve"> PAGEREF _Toc132320217 \h </w:instrText>
            </w:r>
            <w:r w:rsidR="00CC7A26" w:rsidRPr="00CC7A26">
              <w:rPr>
                <w:webHidden/>
              </w:rPr>
            </w:r>
            <w:r w:rsidR="00CC7A26" w:rsidRPr="00CC7A26">
              <w:rPr>
                <w:webHidden/>
              </w:rPr>
              <w:fldChar w:fldCharType="separate"/>
            </w:r>
            <w:r w:rsidR="005A04BF">
              <w:rPr>
                <w:webHidden/>
              </w:rPr>
              <w:t>134</w:t>
            </w:r>
            <w:r w:rsidR="00CC7A26" w:rsidRPr="00CC7A26">
              <w:rPr>
                <w:webHidden/>
              </w:rPr>
              <w:fldChar w:fldCharType="end"/>
            </w:r>
          </w:hyperlink>
        </w:p>
        <w:p w:rsidR="005C7DFD" w:rsidRPr="00CC7A26" w:rsidRDefault="00BC28D6" w:rsidP="00F61756">
          <w:pPr>
            <w:spacing w:line="276" w:lineRule="auto"/>
            <w:jc w:val="both"/>
            <w:rPr>
              <w:rFonts w:asciiTheme="majorHAnsi" w:hAnsiTheme="majorHAnsi" w:cstheme="majorHAnsi"/>
              <w:b w:val="0"/>
              <w:sz w:val="20"/>
              <w:szCs w:val="20"/>
            </w:rPr>
          </w:pPr>
          <w:r w:rsidRPr="00CC7A26">
            <w:rPr>
              <w:rFonts w:asciiTheme="majorHAnsi" w:hAnsiTheme="majorHAnsi" w:cstheme="majorHAnsi"/>
              <w:b w:val="0"/>
              <w:noProof/>
              <w:sz w:val="20"/>
              <w:szCs w:val="20"/>
            </w:rPr>
            <w:fldChar w:fldCharType="end"/>
          </w:r>
        </w:p>
      </w:sdtContent>
    </w:sdt>
    <w:p w:rsidR="006D313E" w:rsidRPr="00CC7A26" w:rsidRDefault="006D313E" w:rsidP="00F61756">
      <w:pPr>
        <w:spacing w:after="0" w:line="276" w:lineRule="auto"/>
        <w:jc w:val="both"/>
        <w:rPr>
          <w:rFonts w:asciiTheme="majorHAnsi" w:eastAsia="Calibri" w:hAnsiTheme="majorHAnsi" w:cstheme="majorHAnsi"/>
          <w:b w:val="0"/>
          <w:sz w:val="20"/>
          <w:szCs w:val="20"/>
        </w:rPr>
      </w:pPr>
      <w:r w:rsidRPr="00CC7A26">
        <w:rPr>
          <w:rFonts w:asciiTheme="majorHAnsi" w:eastAsia="Calibri" w:hAnsiTheme="majorHAnsi" w:cstheme="majorHAnsi"/>
          <w:b w:val="0"/>
          <w:bCs w:val="0"/>
          <w:sz w:val="20"/>
          <w:szCs w:val="20"/>
        </w:rPr>
        <w:br w:type="page"/>
      </w:r>
    </w:p>
    <w:p w:rsidR="0096170B" w:rsidRPr="008376FC" w:rsidRDefault="0096170B" w:rsidP="00F61756">
      <w:pPr>
        <w:pStyle w:val="a3"/>
        <w:spacing w:line="276" w:lineRule="auto"/>
        <w:ind w:left="1080"/>
        <w:jc w:val="both"/>
        <w:outlineLvl w:val="0"/>
        <w:rPr>
          <w:rFonts w:asciiTheme="majorHAnsi" w:eastAsia="Calibri" w:hAnsiTheme="majorHAnsi" w:cstheme="majorHAnsi"/>
          <w:b/>
          <w:bCs/>
          <w:lang w:val="ro-RO" w:eastAsia="en-US"/>
        </w:rPr>
      </w:pPr>
      <w:bookmarkStart w:id="1" w:name="_Toc132042777"/>
      <w:bookmarkStart w:id="2" w:name="_Toc132320199"/>
      <w:r w:rsidRPr="008376FC">
        <w:rPr>
          <w:rFonts w:asciiTheme="majorHAnsi" w:eastAsia="Calibri" w:hAnsiTheme="majorHAnsi" w:cstheme="majorHAnsi"/>
          <w:b/>
          <w:color w:val="0070C0"/>
          <w:lang w:val="ro-RO" w:eastAsia="en-US"/>
        </w:rPr>
        <w:t>LISTA ACRONIMELOR</w:t>
      </w:r>
      <w:bookmarkEnd w:id="1"/>
      <w:bookmarkEnd w:id="2"/>
    </w:p>
    <w:tbl>
      <w:tblPr>
        <w:tblStyle w:val="TableGrid1"/>
        <w:tblW w:w="9720" w:type="dxa"/>
        <w:tblLayout w:type="fixed"/>
        <w:tblLook w:val="04A0" w:firstRow="1" w:lastRow="0" w:firstColumn="1" w:lastColumn="0" w:noHBand="0" w:noVBand="1"/>
      </w:tblPr>
      <w:tblGrid>
        <w:gridCol w:w="1701"/>
        <w:gridCol w:w="8019"/>
      </w:tblGrid>
      <w:tr w:rsidR="00B1352E" w:rsidRPr="008376FC" w:rsidTr="00981A72">
        <w:tc>
          <w:tcPr>
            <w:tcW w:w="1701" w:type="dxa"/>
          </w:tcPr>
          <w:p w:rsidR="00B1352E" w:rsidRPr="008376FC" w:rsidRDefault="000056B2" w:rsidP="00F61756">
            <w:pPr>
              <w:jc w:val="both"/>
              <w:rPr>
                <w:rFonts w:asciiTheme="majorHAnsi" w:hAnsiTheme="majorHAnsi" w:cstheme="majorHAnsi"/>
                <w:sz w:val="20"/>
                <w:szCs w:val="20"/>
              </w:rPr>
            </w:pPr>
            <w:r w:rsidRPr="008376FC">
              <w:rPr>
                <w:rFonts w:asciiTheme="majorHAnsi" w:hAnsiTheme="majorHAnsi" w:cstheme="majorHAnsi"/>
                <w:sz w:val="20"/>
                <w:szCs w:val="20"/>
              </w:rPr>
              <w:t>Abrevierea</w:t>
            </w:r>
          </w:p>
        </w:tc>
        <w:tc>
          <w:tcPr>
            <w:tcW w:w="8019" w:type="dxa"/>
          </w:tcPr>
          <w:p w:rsidR="00B1352E" w:rsidRPr="008376FC" w:rsidRDefault="000056B2" w:rsidP="00F61756">
            <w:pPr>
              <w:jc w:val="both"/>
              <w:rPr>
                <w:rFonts w:asciiTheme="majorHAnsi" w:hAnsiTheme="majorHAnsi" w:cstheme="majorHAnsi"/>
                <w:sz w:val="20"/>
                <w:szCs w:val="20"/>
              </w:rPr>
            </w:pPr>
            <w:r w:rsidRPr="008376FC">
              <w:rPr>
                <w:rFonts w:asciiTheme="majorHAnsi" w:hAnsiTheme="majorHAnsi" w:cstheme="majorHAnsi"/>
                <w:sz w:val="20"/>
                <w:szCs w:val="20"/>
              </w:rPr>
              <w:t>Termenul abreviat</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AAM</w:t>
            </w:r>
          </w:p>
        </w:tc>
        <w:tc>
          <w:tcPr>
            <w:tcW w:w="8019"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Agenţia „Apele Moldovei”</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ADR</w:t>
            </w:r>
          </w:p>
        </w:tc>
        <w:tc>
          <w:tcPr>
            <w:tcW w:w="8019"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Agenţia de Dezvoltare Regională</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AIPA</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Agenția de Intervenție și Plăți pentru Agricultură</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 xml:space="preserve">AM </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Agenția de Mediu</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ANRE</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Agenţia Naţională pentru Reglementare în Energetică</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APL</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bCs w:val="0"/>
                <w:sz w:val="20"/>
                <w:szCs w:val="20"/>
              </w:rPr>
              <w:t xml:space="preserve">Administrația publică locală </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ARFC</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bCs w:val="0"/>
                <w:sz w:val="20"/>
                <w:szCs w:val="20"/>
              </w:rPr>
              <w:t>Agenţia Relaţii Funciare şi Cadastru</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ASP</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bCs w:val="0"/>
                <w:sz w:val="20"/>
                <w:szCs w:val="20"/>
              </w:rPr>
              <w:t>Agenţia de Servicii Publice</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 xml:space="preserve">AST </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Agenția de Supraveghere Tehnică</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BNS</w:t>
            </w:r>
          </w:p>
        </w:tc>
        <w:tc>
          <w:tcPr>
            <w:tcW w:w="8019"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sz w:val="20"/>
                <w:szCs w:val="20"/>
              </w:rPr>
              <w:t>Biroul Naţional de Statistică</w:t>
            </w:r>
          </w:p>
        </w:tc>
      </w:tr>
      <w:tr w:rsidR="00311A1F" w:rsidRPr="008376FC" w:rsidTr="00981A72">
        <w:tc>
          <w:tcPr>
            <w:tcW w:w="1701" w:type="dxa"/>
          </w:tcPr>
          <w:p w:rsidR="00311A1F"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BS</w:t>
            </w:r>
          </w:p>
        </w:tc>
        <w:tc>
          <w:tcPr>
            <w:tcW w:w="8019" w:type="dxa"/>
          </w:tcPr>
          <w:p w:rsidR="00311A1F"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Bugetul de stat</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CA</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Consiliul de administrare</w:t>
            </w:r>
          </w:p>
        </w:tc>
      </w:tr>
      <w:tr w:rsidR="00311A1F" w:rsidRPr="008376FC" w:rsidTr="00981A72">
        <w:tc>
          <w:tcPr>
            <w:tcW w:w="1701" w:type="dxa"/>
          </w:tcPr>
          <w:p w:rsidR="00311A1F"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CNA</w:t>
            </w:r>
          </w:p>
        </w:tc>
        <w:tc>
          <w:tcPr>
            <w:tcW w:w="8019" w:type="dxa"/>
          </w:tcPr>
          <w:p w:rsidR="00311A1F"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Consiliul Naţional Anticorupţie</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CNCDRL</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Consiliu</w:t>
            </w:r>
            <w:r w:rsidR="00695109" w:rsidRPr="004348F9">
              <w:rPr>
                <w:rFonts w:asciiTheme="majorHAnsi" w:hAnsiTheme="majorHAnsi" w:cstheme="majorHAnsi"/>
                <w:b w:val="0"/>
                <w:sz w:val="20"/>
                <w:szCs w:val="20"/>
              </w:rPr>
              <w:t>l</w:t>
            </w:r>
            <w:r w:rsidRPr="004348F9">
              <w:rPr>
                <w:rFonts w:asciiTheme="majorHAnsi" w:hAnsiTheme="majorHAnsi" w:cstheme="majorHAnsi"/>
                <w:b w:val="0"/>
                <w:sz w:val="20"/>
                <w:szCs w:val="20"/>
              </w:rPr>
              <w:t xml:space="preserve"> Național de Coordonare a Dezvoltării Regionale şi Locale</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CR</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Consiliul regional</w:t>
            </w:r>
          </w:p>
        </w:tc>
      </w:tr>
      <w:tr w:rsidR="009039D1" w:rsidRPr="008376FC" w:rsidTr="00981A72">
        <w:tc>
          <w:tcPr>
            <w:tcW w:w="1701" w:type="dxa"/>
          </w:tcPr>
          <w:p w:rsidR="009039D1" w:rsidRPr="004348F9" w:rsidRDefault="009039D1"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CSP</w:t>
            </w:r>
          </w:p>
        </w:tc>
        <w:tc>
          <w:tcPr>
            <w:tcW w:w="8019" w:type="dxa"/>
          </w:tcPr>
          <w:p w:rsidR="009039D1" w:rsidRPr="004348F9" w:rsidRDefault="009039D1"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Centre de Sănătate Publică</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IP</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Instituție Publică</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IPM</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bCs w:val="0"/>
                <w:sz w:val="20"/>
                <w:szCs w:val="20"/>
              </w:rPr>
              <w:t>Inspectoratul pentru Protecția Mediului</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MEC</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 xml:space="preserve">Ministerul Educației și Cercetării </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MEI</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Ministerul Economiei și Infrastructurii</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MIDR</w:t>
            </w:r>
          </w:p>
        </w:tc>
        <w:tc>
          <w:tcPr>
            <w:tcW w:w="8019"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sz w:val="20"/>
                <w:szCs w:val="20"/>
              </w:rPr>
              <w:t>Ministerul Infrastructurii şi Dezvoltării Regionale</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MF</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Ministerul Finanțelor</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MADRM</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Ministerul Agriculturii, Dezvoltării Regionale și Mediului</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MAIA</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Ministerul Agriculturii și Industriei Alimentare</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MDRC</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Ministerul Dezvoltării Regionale şi Construcţiilor</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MM</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Ministerul Mediului</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MSMPS</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Ministerul Sănătății, Muncii și Protecției Sociale</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ODD</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Obiectiv de Dezvoltare Durabilă</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ONDRL</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Oficiul Național de Dezvoltare Regională și Locală</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OITE</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 xml:space="preserve">Obiecte ale infrastructurii tehnico-edilitare </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ONIMP</w:t>
            </w:r>
          </w:p>
        </w:tc>
        <w:tc>
          <w:tcPr>
            <w:tcW w:w="8019"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sz w:val="20"/>
                <w:szCs w:val="20"/>
              </w:rPr>
              <w:t>Oficiul Naţional de Implementare a Proiectelor în Domeniul Mediului</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PA</w:t>
            </w:r>
          </w:p>
        </w:tc>
        <w:tc>
          <w:tcPr>
            <w:tcW w:w="8019" w:type="dxa"/>
          </w:tcPr>
          <w:p w:rsidR="00B1352E" w:rsidRPr="004348F9" w:rsidRDefault="000056B2" w:rsidP="00F61756">
            <w:pPr>
              <w:tabs>
                <w:tab w:val="right" w:pos="7803"/>
              </w:tabs>
              <w:jc w:val="both"/>
              <w:rPr>
                <w:rFonts w:asciiTheme="majorHAnsi" w:hAnsiTheme="majorHAnsi" w:cstheme="majorHAnsi"/>
                <w:b w:val="0"/>
                <w:sz w:val="20"/>
                <w:szCs w:val="20"/>
              </w:rPr>
            </w:pPr>
            <w:r w:rsidRPr="004348F9">
              <w:rPr>
                <w:rFonts w:asciiTheme="majorHAnsi" w:hAnsiTheme="majorHAnsi" w:cstheme="majorHAnsi"/>
                <w:b w:val="0"/>
                <w:sz w:val="20"/>
                <w:szCs w:val="20"/>
              </w:rPr>
              <w:t>Plan de acţiuni</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PI</w:t>
            </w:r>
          </w:p>
        </w:tc>
        <w:tc>
          <w:tcPr>
            <w:tcW w:w="8019" w:type="dxa"/>
          </w:tcPr>
          <w:p w:rsidR="00B1352E"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sz w:val="20"/>
                <w:szCs w:val="20"/>
              </w:rPr>
              <w:t>Proiect investițional</w:t>
            </w:r>
          </w:p>
        </w:tc>
      </w:tr>
      <w:tr w:rsidR="00311A1F" w:rsidRPr="008376FC" w:rsidTr="00981A72">
        <w:tc>
          <w:tcPr>
            <w:tcW w:w="1701" w:type="dxa"/>
          </w:tcPr>
          <w:p w:rsidR="00311A1F"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PIEF</w:t>
            </w:r>
          </w:p>
        </w:tc>
        <w:tc>
          <w:tcPr>
            <w:tcW w:w="8019" w:type="dxa"/>
          </w:tcPr>
          <w:p w:rsidR="00311A1F" w:rsidRPr="004348F9" w:rsidRDefault="000056B2" w:rsidP="00F61756">
            <w:pPr>
              <w:jc w:val="both"/>
              <w:rPr>
                <w:rFonts w:asciiTheme="majorHAnsi" w:hAnsiTheme="majorHAnsi" w:cstheme="majorHAnsi"/>
                <w:b w:val="0"/>
                <w:sz w:val="20"/>
                <w:szCs w:val="20"/>
              </w:rPr>
            </w:pPr>
            <w:r w:rsidRPr="004348F9">
              <w:rPr>
                <w:rFonts w:asciiTheme="majorHAnsi" w:hAnsiTheme="majorHAnsi" w:cstheme="majorHAnsi"/>
                <w:b w:val="0"/>
                <w:bCs w:val="0"/>
                <w:sz w:val="20"/>
                <w:szCs w:val="20"/>
                <w:shd w:val="clear" w:color="auto" w:fill="FFFFFF"/>
              </w:rPr>
              <w:t>Proiect de înregistrare şi evaluare funciară</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ROITE</w:t>
            </w:r>
          </w:p>
        </w:tc>
        <w:tc>
          <w:tcPr>
            <w:tcW w:w="8019" w:type="dxa"/>
          </w:tcPr>
          <w:p w:rsidR="00B1352E" w:rsidRPr="004348F9" w:rsidRDefault="000056B2" w:rsidP="00F61756">
            <w:pPr>
              <w:tabs>
                <w:tab w:val="right" w:pos="7803"/>
              </w:tabs>
              <w:jc w:val="both"/>
              <w:rPr>
                <w:rFonts w:asciiTheme="majorHAnsi" w:hAnsiTheme="majorHAnsi" w:cstheme="majorHAnsi"/>
                <w:b w:val="0"/>
                <w:bCs w:val="0"/>
                <w:sz w:val="20"/>
                <w:szCs w:val="20"/>
              </w:rPr>
            </w:pPr>
            <w:r w:rsidRPr="004348F9">
              <w:rPr>
                <w:rFonts w:asciiTheme="majorHAnsi" w:hAnsiTheme="majorHAnsi" w:cstheme="majorHAnsi"/>
                <w:b w:val="0"/>
                <w:sz w:val="20"/>
                <w:szCs w:val="20"/>
              </w:rPr>
              <w:t>Registrul obiectelor infrastructurii tehnico-edilitare</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RM</w:t>
            </w:r>
          </w:p>
        </w:tc>
        <w:tc>
          <w:tcPr>
            <w:tcW w:w="8019" w:type="dxa"/>
          </w:tcPr>
          <w:p w:rsidR="00B1352E" w:rsidRPr="004348F9" w:rsidRDefault="000056B2" w:rsidP="00F61756">
            <w:pPr>
              <w:tabs>
                <w:tab w:val="right" w:pos="7803"/>
              </w:tabs>
              <w:jc w:val="both"/>
              <w:rPr>
                <w:rFonts w:asciiTheme="majorHAnsi" w:hAnsiTheme="majorHAnsi" w:cstheme="majorHAnsi"/>
                <w:b w:val="0"/>
                <w:sz w:val="20"/>
                <w:szCs w:val="20"/>
              </w:rPr>
            </w:pPr>
            <w:r w:rsidRPr="004348F9">
              <w:rPr>
                <w:rFonts w:asciiTheme="majorHAnsi" w:hAnsiTheme="majorHAnsi" w:cstheme="majorHAnsi"/>
                <w:b w:val="0"/>
                <w:sz w:val="20"/>
                <w:szCs w:val="20"/>
              </w:rPr>
              <w:t>Republica Moldova</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SIA</w:t>
            </w:r>
          </w:p>
        </w:tc>
        <w:tc>
          <w:tcPr>
            <w:tcW w:w="8019" w:type="dxa"/>
          </w:tcPr>
          <w:p w:rsidR="00B1352E" w:rsidRPr="004348F9" w:rsidRDefault="000056B2" w:rsidP="00F61756">
            <w:pPr>
              <w:tabs>
                <w:tab w:val="right" w:pos="7803"/>
              </w:tabs>
              <w:jc w:val="both"/>
              <w:rPr>
                <w:rFonts w:asciiTheme="majorHAnsi" w:hAnsiTheme="majorHAnsi" w:cstheme="majorHAnsi"/>
                <w:b w:val="0"/>
                <w:sz w:val="20"/>
                <w:szCs w:val="20"/>
              </w:rPr>
            </w:pPr>
            <w:r w:rsidRPr="004348F9">
              <w:rPr>
                <w:rFonts w:asciiTheme="majorHAnsi" w:hAnsiTheme="majorHAnsi" w:cstheme="majorHAnsi"/>
                <w:b w:val="0"/>
                <w:sz w:val="20"/>
                <w:szCs w:val="20"/>
              </w:rPr>
              <w:t>Sistem informațional automatizat</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SFS</w:t>
            </w:r>
          </w:p>
        </w:tc>
        <w:tc>
          <w:tcPr>
            <w:tcW w:w="8019" w:type="dxa"/>
          </w:tcPr>
          <w:p w:rsidR="00B1352E" w:rsidRPr="004348F9" w:rsidRDefault="000056B2" w:rsidP="00F61756">
            <w:pPr>
              <w:tabs>
                <w:tab w:val="right" w:pos="7803"/>
              </w:tabs>
              <w:jc w:val="both"/>
              <w:rPr>
                <w:rFonts w:asciiTheme="majorHAnsi" w:hAnsiTheme="majorHAnsi" w:cstheme="majorHAnsi"/>
                <w:b w:val="0"/>
                <w:sz w:val="20"/>
                <w:szCs w:val="20"/>
              </w:rPr>
            </w:pPr>
            <w:r w:rsidRPr="004348F9">
              <w:rPr>
                <w:rFonts w:asciiTheme="majorHAnsi" w:hAnsiTheme="majorHAnsi" w:cstheme="majorHAnsi"/>
                <w:b w:val="0"/>
                <w:sz w:val="20"/>
                <w:szCs w:val="20"/>
              </w:rPr>
              <w:t>Serviciul Fiscal de Stat</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UE</w:t>
            </w:r>
          </w:p>
        </w:tc>
        <w:tc>
          <w:tcPr>
            <w:tcW w:w="8019" w:type="dxa"/>
          </w:tcPr>
          <w:p w:rsidR="00B1352E" w:rsidRPr="004348F9" w:rsidRDefault="000056B2" w:rsidP="00F61756">
            <w:pPr>
              <w:tabs>
                <w:tab w:val="right" w:pos="7803"/>
              </w:tabs>
              <w:jc w:val="both"/>
              <w:rPr>
                <w:rFonts w:asciiTheme="majorHAnsi" w:hAnsiTheme="majorHAnsi" w:cstheme="majorHAnsi"/>
                <w:b w:val="0"/>
                <w:sz w:val="20"/>
                <w:szCs w:val="20"/>
              </w:rPr>
            </w:pPr>
            <w:r w:rsidRPr="004348F9">
              <w:rPr>
                <w:rFonts w:asciiTheme="majorHAnsi" w:hAnsiTheme="majorHAnsi" w:cstheme="majorHAnsi"/>
                <w:b w:val="0"/>
                <w:sz w:val="20"/>
                <w:szCs w:val="20"/>
              </w:rPr>
              <w:t>Uniunea Europeană</w:t>
            </w:r>
          </w:p>
        </w:tc>
      </w:tr>
      <w:tr w:rsidR="00B1352E" w:rsidRPr="008376FC" w:rsidTr="00981A72">
        <w:tc>
          <w:tcPr>
            <w:tcW w:w="1701" w:type="dxa"/>
          </w:tcPr>
          <w:p w:rsidR="00B1352E" w:rsidRPr="004348F9" w:rsidRDefault="000056B2"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UTM</w:t>
            </w:r>
          </w:p>
        </w:tc>
        <w:tc>
          <w:tcPr>
            <w:tcW w:w="8019" w:type="dxa"/>
          </w:tcPr>
          <w:p w:rsidR="00B1352E" w:rsidRPr="004348F9" w:rsidRDefault="000056B2" w:rsidP="00F61756">
            <w:pPr>
              <w:tabs>
                <w:tab w:val="right" w:pos="7803"/>
              </w:tabs>
              <w:jc w:val="both"/>
              <w:rPr>
                <w:rFonts w:asciiTheme="majorHAnsi" w:hAnsiTheme="majorHAnsi" w:cstheme="majorHAnsi"/>
                <w:b w:val="0"/>
                <w:sz w:val="20"/>
                <w:szCs w:val="20"/>
              </w:rPr>
            </w:pPr>
            <w:r w:rsidRPr="004348F9">
              <w:rPr>
                <w:rFonts w:asciiTheme="majorHAnsi" w:hAnsiTheme="majorHAnsi" w:cstheme="majorHAnsi"/>
                <w:b w:val="0"/>
                <w:sz w:val="20"/>
                <w:szCs w:val="20"/>
              </w:rPr>
              <w:t>Universitatea Tehnică din Moldova</w:t>
            </w:r>
          </w:p>
        </w:tc>
      </w:tr>
      <w:tr w:rsidR="00C96986" w:rsidRPr="008376FC" w:rsidTr="00981A72">
        <w:tc>
          <w:tcPr>
            <w:tcW w:w="1701" w:type="dxa"/>
          </w:tcPr>
          <w:p w:rsidR="00C96986" w:rsidRPr="004348F9" w:rsidRDefault="00C96986"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FNDAMR</w:t>
            </w:r>
          </w:p>
        </w:tc>
        <w:tc>
          <w:tcPr>
            <w:tcW w:w="8019" w:type="dxa"/>
          </w:tcPr>
          <w:p w:rsidR="00C96986" w:rsidRPr="004348F9" w:rsidRDefault="000E3766" w:rsidP="00F61756">
            <w:pPr>
              <w:tabs>
                <w:tab w:val="right" w:pos="7803"/>
              </w:tabs>
              <w:jc w:val="both"/>
              <w:rPr>
                <w:rFonts w:asciiTheme="majorHAnsi" w:hAnsiTheme="majorHAnsi" w:cstheme="majorHAnsi"/>
                <w:b w:val="0"/>
                <w:sz w:val="20"/>
                <w:szCs w:val="20"/>
              </w:rPr>
            </w:pPr>
            <w:r w:rsidRPr="004348F9">
              <w:rPr>
                <w:rFonts w:asciiTheme="majorHAnsi" w:hAnsiTheme="majorHAnsi" w:cstheme="majorHAnsi"/>
                <w:b w:val="0"/>
                <w:sz w:val="20"/>
                <w:szCs w:val="20"/>
              </w:rPr>
              <w:t>Fondul Naţional de Dezvoltare a Agriculturii şi Mediului Rural</w:t>
            </w:r>
          </w:p>
        </w:tc>
      </w:tr>
      <w:tr w:rsidR="00333860" w:rsidRPr="008376FC" w:rsidTr="00981A72">
        <w:tc>
          <w:tcPr>
            <w:tcW w:w="1701" w:type="dxa"/>
          </w:tcPr>
          <w:p w:rsidR="00333860" w:rsidRPr="004348F9" w:rsidRDefault="00333860"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FNDRL</w:t>
            </w:r>
          </w:p>
        </w:tc>
        <w:tc>
          <w:tcPr>
            <w:tcW w:w="8019" w:type="dxa"/>
          </w:tcPr>
          <w:p w:rsidR="00333860" w:rsidRPr="00510CDB" w:rsidRDefault="00456013" w:rsidP="00F61756">
            <w:pPr>
              <w:tabs>
                <w:tab w:val="right" w:pos="7803"/>
              </w:tabs>
              <w:jc w:val="both"/>
              <w:rPr>
                <w:rFonts w:asciiTheme="majorHAnsi" w:hAnsiTheme="majorHAnsi" w:cstheme="majorHAnsi"/>
                <w:b w:val="0"/>
                <w:sz w:val="20"/>
                <w:szCs w:val="20"/>
              </w:rPr>
            </w:pPr>
            <w:r w:rsidRPr="00510CDB">
              <w:rPr>
                <w:rFonts w:asciiTheme="majorHAnsi" w:hAnsiTheme="majorHAnsi" w:cstheme="majorHAnsi"/>
                <w:b w:val="0"/>
                <w:sz w:val="20"/>
                <w:szCs w:val="20"/>
              </w:rPr>
              <w:t>Fondul Naţional de Dezvoltare Regională şi Locală</w:t>
            </w:r>
          </w:p>
        </w:tc>
      </w:tr>
      <w:tr w:rsidR="00167CA3" w:rsidRPr="008376FC" w:rsidTr="00981A72">
        <w:tc>
          <w:tcPr>
            <w:tcW w:w="1701" w:type="dxa"/>
          </w:tcPr>
          <w:p w:rsidR="00167CA3" w:rsidRPr="004348F9" w:rsidRDefault="00167CA3"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FNDR</w:t>
            </w:r>
          </w:p>
        </w:tc>
        <w:tc>
          <w:tcPr>
            <w:tcW w:w="8019" w:type="dxa"/>
          </w:tcPr>
          <w:p w:rsidR="00167CA3" w:rsidRPr="00510CDB" w:rsidRDefault="00456013" w:rsidP="00F61756">
            <w:pPr>
              <w:tabs>
                <w:tab w:val="right" w:pos="7803"/>
              </w:tabs>
              <w:jc w:val="both"/>
              <w:rPr>
                <w:rFonts w:asciiTheme="majorHAnsi" w:hAnsiTheme="majorHAnsi" w:cstheme="majorHAnsi"/>
                <w:b w:val="0"/>
                <w:sz w:val="20"/>
                <w:szCs w:val="20"/>
              </w:rPr>
            </w:pPr>
            <w:r w:rsidRPr="00510CDB">
              <w:rPr>
                <w:rFonts w:asciiTheme="majorHAnsi" w:hAnsiTheme="majorHAnsi" w:cstheme="majorHAnsi"/>
                <w:b w:val="0"/>
                <w:sz w:val="20"/>
                <w:szCs w:val="20"/>
              </w:rPr>
              <w:t>Fondul Naţional de Dezvoltare Regională</w:t>
            </w:r>
          </w:p>
        </w:tc>
      </w:tr>
      <w:tr w:rsidR="00167CA3" w:rsidRPr="008376FC" w:rsidTr="00981A72">
        <w:tc>
          <w:tcPr>
            <w:tcW w:w="1701" w:type="dxa"/>
          </w:tcPr>
          <w:p w:rsidR="00167CA3" w:rsidRPr="004348F9" w:rsidRDefault="00167CA3"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FEN</w:t>
            </w:r>
          </w:p>
        </w:tc>
        <w:tc>
          <w:tcPr>
            <w:tcW w:w="8019" w:type="dxa"/>
          </w:tcPr>
          <w:p w:rsidR="00167CA3" w:rsidRPr="00510CDB" w:rsidRDefault="00456013" w:rsidP="00F61756">
            <w:pPr>
              <w:tabs>
                <w:tab w:val="right" w:pos="7803"/>
              </w:tabs>
              <w:jc w:val="both"/>
              <w:rPr>
                <w:rFonts w:asciiTheme="majorHAnsi" w:hAnsiTheme="majorHAnsi" w:cstheme="majorHAnsi"/>
                <w:b w:val="0"/>
                <w:sz w:val="20"/>
                <w:szCs w:val="20"/>
              </w:rPr>
            </w:pPr>
            <w:r w:rsidRPr="00510CDB">
              <w:rPr>
                <w:rFonts w:asciiTheme="majorHAnsi" w:hAnsiTheme="majorHAnsi" w:cstheme="majorHAnsi"/>
                <w:b w:val="0"/>
                <w:sz w:val="20"/>
                <w:szCs w:val="20"/>
              </w:rPr>
              <w:t>Fondul Ecologic Naţional</w:t>
            </w:r>
          </w:p>
        </w:tc>
      </w:tr>
      <w:tr w:rsidR="00167CA3" w:rsidRPr="008376FC" w:rsidTr="00981A72">
        <w:tc>
          <w:tcPr>
            <w:tcW w:w="1701" w:type="dxa"/>
          </w:tcPr>
          <w:p w:rsidR="00167CA3" w:rsidRPr="004348F9" w:rsidRDefault="00167CA3" w:rsidP="00F61756">
            <w:pPr>
              <w:jc w:val="both"/>
              <w:rPr>
                <w:rFonts w:asciiTheme="majorHAnsi" w:hAnsiTheme="majorHAnsi" w:cstheme="majorHAnsi"/>
                <w:b w:val="0"/>
                <w:bCs w:val="0"/>
                <w:sz w:val="20"/>
                <w:szCs w:val="20"/>
              </w:rPr>
            </w:pPr>
            <w:r w:rsidRPr="004348F9">
              <w:rPr>
                <w:rFonts w:asciiTheme="majorHAnsi" w:hAnsiTheme="majorHAnsi" w:cstheme="majorHAnsi"/>
                <w:b w:val="0"/>
                <w:bCs w:val="0"/>
                <w:sz w:val="20"/>
                <w:szCs w:val="20"/>
              </w:rPr>
              <w:t>FNM</w:t>
            </w:r>
          </w:p>
        </w:tc>
        <w:tc>
          <w:tcPr>
            <w:tcW w:w="8019" w:type="dxa"/>
          </w:tcPr>
          <w:p w:rsidR="00167CA3" w:rsidRPr="00510CDB" w:rsidRDefault="00456013" w:rsidP="00F61756">
            <w:pPr>
              <w:tabs>
                <w:tab w:val="right" w:pos="7803"/>
              </w:tabs>
              <w:jc w:val="both"/>
              <w:rPr>
                <w:rFonts w:asciiTheme="majorHAnsi" w:hAnsiTheme="majorHAnsi" w:cstheme="majorHAnsi"/>
                <w:b w:val="0"/>
                <w:sz w:val="20"/>
                <w:szCs w:val="20"/>
              </w:rPr>
            </w:pPr>
            <w:r w:rsidRPr="00510CDB">
              <w:rPr>
                <w:rFonts w:asciiTheme="majorHAnsi" w:hAnsiTheme="majorHAnsi" w:cstheme="majorHAnsi"/>
                <w:b w:val="0"/>
                <w:sz w:val="20"/>
                <w:szCs w:val="20"/>
              </w:rPr>
              <w:t>Fondul Naţional de Mediu</w:t>
            </w:r>
          </w:p>
        </w:tc>
      </w:tr>
      <w:tr w:rsidR="00331DE4" w:rsidRPr="008376FC" w:rsidTr="00981A72">
        <w:tc>
          <w:tcPr>
            <w:tcW w:w="1701" w:type="dxa"/>
          </w:tcPr>
          <w:p w:rsidR="00331DE4" w:rsidRPr="004348F9" w:rsidRDefault="00BC28D6" w:rsidP="00F61756">
            <w:pPr>
              <w:jc w:val="both"/>
              <w:rPr>
                <w:rFonts w:asciiTheme="majorHAnsi" w:hAnsiTheme="majorHAnsi" w:cstheme="majorHAnsi"/>
                <w:b w:val="0"/>
                <w:bCs w:val="0"/>
                <w:sz w:val="20"/>
                <w:szCs w:val="20"/>
              </w:rPr>
            </w:pPr>
            <w:r w:rsidRPr="00BC28D6">
              <w:rPr>
                <w:rFonts w:asciiTheme="majorHAnsi" w:hAnsiTheme="majorHAnsi" w:cstheme="majorHAnsi"/>
                <w:b w:val="0"/>
                <w:bCs w:val="0"/>
                <w:sz w:val="20"/>
                <w:szCs w:val="20"/>
              </w:rPr>
              <w:t>GIZ</w:t>
            </w:r>
          </w:p>
        </w:tc>
        <w:tc>
          <w:tcPr>
            <w:tcW w:w="8019" w:type="dxa"/>
          </w:tcPr>
          <w:p w:rsidR="00331DE4" w:rsidRPr="00510CDB" w:rsidRDefault="00BC28D6" w:rsidP="00F61756">
            <w:pPr>
              <w:tabs>
                <w:tab w:val="right" w:pos="7803"/>
              </w:tabs>
              <w:jc w:val="both"/>
              <w:rPr>
                <w:rFonts w:asciiTheme="majorHAnsi" w:hAnsiTheme="majorHAnsi" w:cstheme="majorHAnsi"/>
                <w:b w:val="0"/>
                <w:sz w:val="20"/>
                <w:szCs w:val="20"/>
              </w:rPr>
            </w:pPr>
            <w:r w:rsidRPr="00510CDB">
              <w:rPr>
                <w:rFonts w:asciiTheme="majorHAnsi" w:hAnsiTheme="majorHAnsi" w:cstheme="majorHAnsi"/>
                <w:b w:val="0"/>
                <w:sz w:val="20"/>
                <w:szCs w:val="20"/>
              </w:rPr>
              <w:t xml:space="preserve">Agenţia de </w:t>
            </w:r>
            <w:r w:rsidR="00C96986" w:rsidRPr="00510CDB">
              <w:rPr>
                <w:rFonts w:asciiTheme="majorHAnsi" w:hAnsiTheme="majorHAnsi" w:cstheme="majorHAnsi"/>
                <w:b w:val="0"/>
                <w:sz w:val="20"/>
                <w:szCs w:val="20"/>
              </w:rPr>
              <w:t>cooperare tehnică germană pentru dezvoltare în Republica Moldova</w:t>
            </w:r>
          </w:p>
        </w:tc>
      </w:tr>
      <w:tr w:rsidR="00D11009" w:rsidRPr="008376FC" w:rsidTr="00981A72">
        <w:tc>
          <w:tcPr>
            <w:tcW w:w="1701" w:type="dxa"/>
          </w:tcPr>
          <w:p w:rsidR="00D11009" w:rsidRPr="004348F9" w:rsidRDefault="00BC28D6" w:rsidP="00F61756">
            <w:pPr>
              <w:jc w:val="both"/>
              <w:rPr>
                <w:rFonts w:asciiTheme="majorHAnsi" w:hAnsiTheme="majorHAnsi" w:cstheme="majorHAnsi"/>
                <w:b w:val="0"/>
                <w:bCs w:val="0"/>
                <w:sz w:val="20"/>
                <w:szCs w:val="20"/>
              </w:rPr>
            </w:pPr>
            <w:r w:rsidRPr="00BC28D6">
              <w:rPr>
                <w:rFonts w:asciiTheme="majorHAnsi" w:hAnsiTheme="majorHAnsi" w:cstheme="majorHAnsi"/>
                <w:b w:val="0"/>
                <w:bCs w:val="0"/>
                <w:sz w:val="20"/>
                <w:szCs w:val="20"/>
              </w:rPr>
              <w:t>DUP</w:t>
            </w:r>
          </w:p>
        </w:tc>
        <w:tc>
          <w:tcPr>
            <w:tcW w:w="8019" w:type="dxa"/>
          </w:tcPr>
          <w:p w:rsidR="00D11009" w:rsidRPr="00510CDB" w:rsidRDefault="006F57DC" w:rsidP="00F61756">
            <w:pPr>
              <w:tabs>
                <w:tab w:val="right" w:pos="7803"/>
              </w:tabs>
              <w:jc w:val="both"/>
              <w:rPr>
                <w:rFonts w:asciiTheme="majorHAnsi" w:hAnsiTheme="majorHAnsi" w:cstheme="majorHAnsi"/>
                <w:b w:val="0"/>
                <w:sz w:val="20"/>
                <w:szCs w:val="20"/>
              </w:rPr>
            </w:pPr>
            <w:r w:rsidRPr="00510CDB">
              <w:rPr>
                <w:rFonts w:asciiTheme="majorHAnsi" w:hAnsiTheme="majorHAnsi" w:cstheme="majorHAnsi"/>
                <w:b w:val="0"/>
                <w:sz w:val="20"/>
                <w:szCs w:val="20"/>
              </w:rPr>
              <w:t>Document unic de program</w:t>
            </w:r>
          </w:p>
        </w:tc>
      </w:tr>
      <w:tr w:rsidR="00B905B7" w:rsidRPr="008376FC" w:rsidTr="00981A72">
        <w:tc>
          <w:tcPr>
            <w:tcW w:w="1701" w:type="dxa"/>
          </w:tcPr>
          <w:p w:rsidR="00B905B7" w:rsidRPr="004348F9" w:rsidRDefault="00BC28D6" w:rsidP="00F61756">
            <w:pPr>
              <w:jc w:val="both"/>
              <w:rPr>
                <w:rFonts w:asciiTheme="majorHAnsi" w:hAnsiTheme="majorHAnsi" w:cstheme="majorHAnsi"/>
                <w:b w:val="0"/>
                <w:bCs w:val="0"/>
                <w:sz w:val="20"/>
                <w:szCs w:val="20"/>
              </w:rPr>
            </w:pPr>
            <w:r w:rsidRPr="00BC28D6">
              <w:rPr>
                <w:rFonts w:asciiTheme="majorHAnsi" w:hAnsiTheme="majorHAnsi" w:cstheme="majorHAnsi"/>
                <w:b w:val="0"/>
                <w:bCs w:val="0"/>
                <w:sz w:val="20"/>
                <w:szCs w:val="20"/>
              </w:rPr>
              <w:t>BM</w:t>
            </w:r>
          </w:p>
        </w:tc>
        <w:tc>
          <w:tcPr>
            <w:tcW w:w="8019" w:type="dxa"/>
          </w:tcPr>
          <w:p w:rsidR="00B905B7" w:rsidRPr="00510CDB" w:rsidRDefault="00BC28D6" w:rsidP="00F61756">
            <w:pPr>
              <w:tabs>
                <w:tab w:val="right" w:pos="7803"/>
              </w:tabs>
              <w:jc w:val="both"/>
              <w:rPr>
                <w:rFonts w:asciiTheme="majorHAnsi" w:hAnsiTheme="majorHAnsi" w:cstheme="majorHAnsi"/>
                <w:b w:val="0"/>
                <w:sz w:val="20"/>
                <w:szCs w:val="20"/>
              </w:rPr>
            </w:pPr>
            <w:r w:rsidRPr="00510CDB">
              <w:rPr>
                <w:rFonts w:asciiTheme="majorHAnsi" w:hAnsiTheme="majorHAnsi" w:cstheme="majorHAnsi"/>
                <w:b w:val="0"/>
                <w:sz w:val="20"/>
                <w:szCs w:val="20"/>
              </w:rPr>
              <w:t>Banca Moldială</w:t>
            </w:r>
          </w:p>
        </w:tc>
      </w:tr>
      <w:tr w:rsidR="00B905B7" w:rsidRPr="008376FC" w:rsidTr="00981A72">
        <w:tc>
          <w:tcPr>
            <w:tcW w:w="1701" w:type="dxa"/>
          </w:tcPr>
          <w:p w:rsidR="00B905B7" w:rsidRPr="004348F9" w:rsidRDefault="00BC28D6" w:rsidP="00F61756">
            <w:pPr>
              <w:jc w:val="both"/>
              <w:rPr>
                <w:rFonts w:asciiTheme="majorHAnsi" w:hAnsiTheme="majorHAnsi" w:cstheme="majorHAnsi"/>
                <w:b w:val="0"/>
                <w:bCs w:val="0"/>
                <w:sz w:val="20"/>
                <w:szCs w:val="20"/>
              </w:rPr>
            </w:pPr>
            <w:r w:rsidRPr="00BC28D6">
              <w:rPr>
                <w:rFonts w:asciiTheme="majorHAnsi" w:hAnsiTheme="majorHAnsi" w:cstheme="majorHAnsi"/>
                <w:b w:val="0"/>
                <w:bCs w:val="0"/>
                <w:sz w:val="20"/>
                <w:szCs w:val="20"/>
              </w:rPr>
              <w:t>AGE</w:t>
            </w:r>
          </w:p>
        </w:tc>
        <w:tc>
          <w:tcPr>
            <w:tcW w:w="8019" w:type="dxa"/>
          </w:tcPr>
          <w:p w:rsidR="00B905B7" w:rsidRPr="00510CDB" w:rsidRDefault="00C96986" w:rsidP="00F61756">
            <w:pPr>
              <w:tabs>
                <w:tab w:val="right" w:pos="7803"/>
              </w:tabs>
              <w:jc w:val="both"/>
              <w:rPr>
                <w:rFonts w:asciiTheme="majorHAnsi" w:hAnsiTheme="majorHAnsi" w:cstheme="majorHAnsi"/>
                <w:b w:val="0"/>
                <w:sz w:val="20"/>
                <w:szCs w:val="20"/>
              </w:rPr>
            </w:pPr>
            <w:r w:rsidRPr="00510CDB">
              <w:rPr>
                <w:rFonts w:asciiTheme="majorHAnsi" w:hAnsiTheme="majorHAnsi" w:cstheme="majorHAnsi"/>
                <w:b w:val="0"/>
                <w:sz w:val="20"/>
                <w:szCs w:val="20"/>
              </w:rPr>
              <w:t>Agenţia de Guvernare Electronică</w:t>
            </w:r>
          </w:p>
        </w:tc>
      </w:tr>
      <w:tr w:rsidR="00B905B7" w:rsidRPr="008376FC" w:rsidTr="00981A72">
        <w:tc>
          <w:tcPr>
            <w:tcW w:w="1701" w:type="dxa"/>
          </w:tcPr>
          <w:p w:rsidR="00B905B7" w:rsidRPr="004348F9" w:rsidRDefault="00BC28D6" w:rsidP="00F61756">
            <w:pPr>
              <w:jc w:val="both"/>
              <w:rPr>
                <w:rFonts w:asciiTheme="majorHAnsi" w:hAnsiTheme="majorHAnsi" w:cstheme="majorHAnsi"/>
                <w:b w:val="0"/>
                <w:bCs w:val="0"/>
                <w:sz w:val="20"/>
                <w:szCs w:val="20"/>
              </w:rPr>
            </w:pPr>
            <w:r w:rsidRPr="00BC28D6">
              <w:rPr>
                <w:rFonts w:asciiTheme="majorHAnsi" w:hAnsiTheme="majorHAnsi" w:cstheme="majorHAnsi"/>
                <w:b w:val="0"/>
                <w:bCs w:val="0"/>
                <w:sz w:val="20"/>
                <w:szCs w:val="20"/>
              </w:rPr>
              <w:t>BPN</w:t>
            </w:r>
          </w:p>
        </w:tc>
        <w:tc>
          <w:tcPr>
            <w:tcW w:w="8019" w:type="dxa"/>
          </w:tcPr>
          <w:p w:rsidR="00B905B7" w:rsidRPr="00510CDB" w:rsidRDefault="00BC28D6" w:rsidP="00F61756">
            <w:pPr>
              <w:tabs>
                <w:tab w:val="right" w:pos="7803"/>
              </w:tabs>
              <w:jc w:val="both"/>
              <w:rPr>
                <w:rFonts w:asciiTheme="majorHAnsi" w:hAnsiTheme="majorHAnsi" w:cstheme="majorHAnsi"/>
                <w:b w:val="0"/>
                <w:sz w:val="20"/>
                <w:szCs w:val="20"/>
              </w:rPr>
            </w:pPr>
            <w:r w:rsidRPr="00510CDB">
              <w:rPr>
                <w:rFonts w:asciiTheme="majorHAnsi" w:hAnsiTheme="majorHAnsi" w:cstheme="majorHAnsi"/>
                <w:b w:val="0"/>
                <w:sz w:val="20"/>
                <w:szCs w:val="20"/>
              </w:rPr>
              <w:t>Bugetul Public Național</w:t>
            </w:r>
          </w:p>
        </w:tc>
      </w:tr>
    </w:tbl>
    <w:p w:rsidR="008C5269" w:rsidRDefault="008C5269" w:rsidP="00F61756">
      <w:pPr>
        <w:spacing w:line="276" w:lineRule="auto"/>
        <w:rPr>
          <w:rFonts w:asciiTheme="majorHAnsi" w:eastAsia="Calibri" w:hAnsiTheme="majorHAnsi" w:cstheme="majorHAnsi"/>
          <w:bCs w:val="0"/>
          <w:color w:val="0070C0"/>
          <w:sz w:val="24"/>
          <w:szCs w:val="24"/>
        </w:rPr>
      </w:pPr>
      <w:bookmarkStart w:id="3" w:name="_Toc496696273"/>
      <w:bookmarkStart w:id="4" w:name="_Toc132042778"/>
      <w:r>
        <w:rPr>
          <w:rFonts w:asciiTheme="majorHAnsi" w:eastAsia="Calibri" w:hAnsiTheme="majorHAnsi" w:cstheme="majorHAnsi"/>
          <w:b w:val="0"/>
          <w:color w:val="0070C0"/>
        </w:rPr>
        <w:br w:type="page"/>
      </w:r>
    </w:p>
    <w:p w:rsidR="00167CA3" w:rsidRDefault="00167CA3" w:rsidP="00F61756">
      <w:pPr>
        <w:pStyle w:val="a3"/>
        <w:spacing w:line="276" w:lineRule="auto"/>
        <w:ind w:left="1080"/>
        <w:jc w:val="both"/>
        <w:outlineLvl w:val="0"/>
        <w:rPr>
          <w:rFonts w:asciiTheme="majorHAnsi" w:eastAsia="Calibri" w:hAnsiTheme="majorHAnsi" w:cstheme="majorHAnsi"/>
          <w:b/>
          <w:color w:val="0070C0"/>
          <w:lang w:val="ro-RO" w:eastAsia="en-US"/>
        </w:rPr>
      </w:pPr>
    </w:p>
    <w:p w:rsidR="0096170B" w:rsidRPr="008376FC" w:rsidRDefault="0096170B" w:rsidP="00F61756">
      <w:pPr>
        <w:pStyle w:val="a3"/>
        <w:numPr>
          <w:ilvl w:val="0"/>
          <w:numId w:val="1"/>
        </w:numPr>
        <w:spacing w:line="276" w:lineRule="auto"/>
        <w:jc w:val="both"/>
        <w:outlineLvl w:val="0"/>
        <w:rPr>
          <w:rFonts w:asciiTheme="majorHAnsi" w:eastAsia="Calibri" w:hAnsiTheme="majorHAnsi" w:cstheme="majorHAnsi"/>
          <w:b/>
          <w:color w:val="0070C0"/>
          <w:lang w:val="ro-RO" w:eastAsia="en-US"/>
        </w:rPr>
      </w:pPr>
      <w:bookmarkStart w:id="5" w:name="_Toc132320200"/>
      <w:r w:rsidRPr="008376FC">
        <w:rPr>
          <w:rFonts w:asciiTheme="majorHAnsi" w:eastAsia="Calibri" w:hAnsiTheme="majorHAnsi" w:cstheme="majorHAnsi"/>
          <w:b/>
          <w:color w:val="0070C0"/>
          <w:lang w:val="ro-RO" w:eastAsia="en-US"/>
        </w:rPr>
        <w:t>SINTEZA</w:t>
      </w:r>
      <w:bookmarkEnd w:id="3"/>
      <w:bookmarkEnd w:id="4"/>
      <w:bookmarkEnd w:id="5"/>
    </w:p>
    <w:p w:rsidR="00681871" w:rsidRPr="008376FC" w:rsidRDefault="00681871" w:rsidP="00F61756">
      <w:pPr>
        <w:shd w:val="clear" w:color="auto" w:fill="FFFFFF"/>
        <w:spacing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 xml:space="preserve">Problema aprovizionării cu apă potabilă și a canalizării este recunoscută la toate nivelurile ca importantă şi printre prioritățile naționale, fiind considerată, în acelaşi timp, factor de îmbunătățire a calității vieții şi de reducere a sărăciei. </w:t>
      </w:r>
    </w:p>
    <w:p w:rsidR="00681871" w:rsidRPr="008376FC" w:rsidRDefault="00681871" w:rsidP="00F61756">
      <w:pPr>
        <w:shd w:val="clear" w:color="auto" w:fill="FFFFFF"/>
        <w:spacing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 xml:space="preserve">Sectorul alimentării cu apă și </w:t>
      </w:r>
      <w:r w:rsidR="00972986">
        <w:rPr>
          <w:rFonts w:asciiTheme="majorHAnsi" w:hAnsiTheme="majorHAnsi" w:cstheme="majorHAnsi"/>
          <w:b w:val="0"/>
          <w:bCs w:val="0"/>
          <w:sz w:val="24"/>
          <w:szCs w:val="24"/>
        </w:rPr>
        <w:t>sanitație</w:t>
      </w:r>
      <w:r w:rsidRPr="008376FC">
        <w:rPr>
          <w:rFonts w:asciiTheme="majorHAnsi" w:hAnsiTheme="majorHAnsi" w:cstheme="majorHAnsi"/>
          <w:b w:val="0"/>
          <w:bCs w:val="0"/>
          <w:sz w:val="24"/>
          <w:szCs w:val="24"/>
        </w:rPr>
        <w:t xml:space="preserve"> din Republica Moldova a </w:t>
      </w:r>
      <w:r w:rsidR="00695109">
        <w:rPr>
          <w:rFonts w:asciiTheme="majorHAnsi" w:hAnsiTheme="majorHAnsi" w:cstheme="majorHAnsi"/>
          <w:b w:val="0"/>
          <w:bCs w:val="0"/>
          <w:sz w:val="24"/>
          <w:szCs w:val="24"/>
        </w:rPr>
        <w:t>suportat</w:t>
      </w:r>
      <w:r w:rsidR="00695109" w:rsidRPr="008376FC">
        <w:rPr>
          <w:rFonts w:asciiTheme="majorHAnsi" w:hAnsiTheme="majorHAnsi" w:cstheme="majorHAnsi"/>
          <w:b w:val="0"/>
          <w:bCs w:val="0"/>
          <w:sz w:val="24"/>
          <w:szCs w:val="24"/>
        </w:rPr>
        <w:t xml:space="preserve"> </w:t>
      </w:r>
      <w:r w:rsidRPr="008376FC">
        <w:rPr>
          <w:rFonts w:asciiTheme="majorHAnsi" w:hAnsiTheme="majorHAnsi" w:cstheme="majorHAnsi"/>
          <w:b w:val="0"/>
          <w:bCs w:val="0"/>
          <w:sz w:val="24"/>
          <w:szCs w:val="24"/>
        </w:rPr>
        <w:t xml:space="preserve">transformări în ultimele decenii, uneori cu impact negativ asupra calității vieții și sănătății utilizatorilor. </w:t>
      </w:r>
      <w:r w:rsidR="00695109">
        <w:rPr>
          <w:rFonts w:asciiTheme="majorHAnsi" w:hAnsiTheme="majorHAnsi" w:cstheme="majorHAnsi"/>
          <w:b w:val="0"/>
          <w:bCs w:val="0"/>
          <w:sz w:val="24"/>
          <w:szCs w:val="24"/>
        </w:rPr>
        <w:t>În acest scop</w:t>
      </w:r>
      <w:r w:rsidRPr="008376FC">
        <w:rPr>
          <w:rFonts w:asciiTheme="majorHAnsi" w:hAnsiTheme="majorHAnsi" w:cstheme="majorHAnsi"/>
          <w:b w:val="0"/>
          <w:bCs w:val="0"/>
          <w:sz w:val="24"/>
          <w:szCs w:val="24"/>
        </w:rPr>
        <w:t xml:space="preserve"> a fost elaborată o politică de redresare națională a acestui sector prin preluarea bunelor practici europene. Acțiunile incluse în Strategia de alimentare cu apă şi sanitație (2014-2030) vizează îmbunătățirea politicilor naționale şi armonizarea cadrului legal în conformitate cu acquis-ul comunitar şi standardele europene.</w:t>
      </w:r>
    </w:p>
    <w:p w:rsidR="00681871" w:rsidRPr="008376FC" w:rsidRDefault="00681871" w:rsidP="00F61756">
      <w:pPr>
        <w:shd w:val="clear" w:color="auto" w:fill="FFFFFF"/>
        <w:spacing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 xml:space="preserve">Investițiile în serviciul public de alimentare cu apă și de canalizare reprezintă o componentă esențială a serviciilor publice, având menirea de a contribui la buna funcționare a serviciilor în colectivitățile locale. </w:t>
      </w:r>
    </w:p>
    <w:p w:rsidR="004B0AA9" w:rsidRPr="008376FC" w:rsidRDefault="000056B2" w:rsidP="00F61756">
      <w:pPr>
        <w:tabs>
          <w:tab w:val="left" w:pos="426"/>
        </w:tabs>
        <w:spacing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Curtea de Conturi a efectuat auditul performanței implementării Strategiei de alimentare cu apă şi sanitaţie pentru anii 2014–2030, pentru a determina în ce măsură acțiunile realizate în cadrul acesteia au contribuit la</w:t>
      </w:r>
      <w:r w:rsidRPr="008376FC">
        <w:rPr>
          <w:rFonts w:asciiTheme="majorHAnsi" w:eastAsia="Calibri" w:hAnsiTheme="majorHAnsi" w:cstheme="majorHAnsi"/>
          <w:b w:val="0"/>
          <w:bCs w:val="0"/>
          <w:sz w:val="24"/>
          <w:szCs w:val="24"/>
        </w:rPr>
        <w:t xml:space="preserve"> </w:t>
      </w:r>
      <w:r w:rsidRPr="008376FC">
        <w:rPr>
          <w:rFonts w:asciiTheme="majorHAnsi" w:hAnsiTheme="majorHAnsi" w:cstheme="majorHAnsi"/>
          <w:b w:val="0"/>
          <w:bCs w:val="0"/>
          <w:sz w:val="24"/>
          <w:szCs w:val="24"/>
        </w:rPr>
        <w:t>dezvoltarea echilibrată și durabilă a</w:t>
      </w:r>
      <w:r w:rsidR="00331FC3" w:rsidRPr="008376FC">
        <w:rPr>
          <w:rFonts w:asciiTheme="majorHAnsi" w:hAnsiTheme="majorHAnsi" w:cstheme="majorHAnsi"/>
          <w:b w:val="0"/>
          <w:bCs w:val="0"/>
          <w:sz w:val="24"/>
          <w:szCs w:val="24"/>
        </w:rPr>
        <w:t xml:space="preserve"> </w:t>
      </w:r>
      <w:r w:rsidRPr="008376FC">
        <w:rPr>
          <w:rFonts w:asciiTheme="majorHAnsi" w:hAnsiTheme="majorHAnsi" w:cstheme="majorHAnsi"/>
          <w:b w:val="0"/>
          <w:bCs w:val="0"/>
          <w:sz w:val="24"/>
          <w:szCs w:val="24"/>
        </w:rPr>
        <w:t>sectorului</w:t>
      </w:r>
      <w:r w:rsidR="00972986">
        <w:rPr>
          <w:rFonts w:asciiTheme="majorHAnsi" w:hAnsiTheme="majorHAnsi" w:cstheme="majorHAnsi"/>
          <w:b w:val="0"/>
          <w:bCs w:val="0"/>
          <w:sz w:val="24"/>
          <w:szCs w:val="24"/>
        </w:rPr>
        <w:t xml:space="preserve"> dat. </w:t>
      </w:r>
    </w:p>
    <w:p w:rsidR="00BE3B68" w:rsidRPr="008376FC" w:rsidRDefault="000056B2" w:rsidP="00F61756">
      <w:pPr>
        <w:tabs>
          <w:tab w:val="left" w:pos="426"/>
        </w:tabs>
        <w:spacing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 xml:space="preserve">În Raportul de audit se evidențiază deficiențele în realizarea obiectivelor Strategiei, totodată, </w:t>
      </w:r>
      <w:r w:rsidR="00E65882">
        <w:rPr>
          <w:rFonts w:asciiTheme="majorHAnsi" w:hAnsiTheme="majorHAnsi" w:cstheme="majorHAnsi"/>
          <w:b w:val="0"/>
          <w:bCs w:val="0"/>
          <w:sz w:val="24"/>
          <w:szCs w:val="24"/>
        </w:rPr>
        <w:t>sunt</w:t>
      </w:r>
      <w:r w:rsidRPr="008376FC">
        <w:rPr>
          <w:rFonts w:asciiTheme="majorHAnsi" w:hAnsiTheme="majorHAnsi" w:cstheme="majorHAnsi"/>
          <w:b w:val="0"/>
          <w:bCs w:val="0"/>
          <w:sz w:val="24"/>
          <w:szCs w:val="24"/>
        </w:rPr>
        <w:t xml:space="preserve"> oferite repere de planificare și or</w:t>
      </w:r>
      <w:r w:rsidR="00C27EE1" w:rsidRPr="008376FC">
        <w:rPr>
          <w:rFonts w:asciiTheme="majorHAnsi" w:hAnsiTheme="majorHAnsi" w:cstheme="majorHAnsi"/>
          <w:b w:val="0"/>
          <w:bCs w:val="0"/>
          <w:sz w:val="24"/>
          <w:szCs w:val="24"/>
        </w:rPr>
        <w:t xml:space="preserve">ganizare a unor acțiuni pentru </w:t>
      </w:r>
      <w:r w:rsidRPr="008376FC">
        <w:rPr>
          <w:rFonts w:asciiTheme="majorHAnsi" w:hAnsiTheme="majorHAnsi" w:cstheme="majorHAnsi"/>
          <w:b w:val="0"/>
          <w:bCs w:val="0"/>
          <w:sz w:val="24"/>
          <w:szCs w:val="24"/>
        </w:rPr>
        <w:t xml:space="preserve">îmbunătățirea domeniului, </w:t>
      </w:r>
      <w:r w:rsidR="00C27EE1" w:rsidRPr="008376FC">
        <w:rPr>
          <w:rFonts w:asciiTheme="majorHAnsi" w:hAnsiTheme="majorHAnsi" w:cstheme="majorHAnsi"/>
          <w:b w:val="0"/>
          <w:bCs w:val="0"/>
          <w:sz w:val="24"/>
          <w:szCs w:val="24"/>
        </w:rPr>
        <w:t xml:space="preserve">fiind </w:t>
      </w:r>
      <w:r w:rsidR="00F30BFE">
        <w:rPr>
          <w:rFonts w:asciiTheme="majorHAnsi" w:hAnsiTheme="majorHAnsi" w:cstheme="majorHAnsi"/>
          <w:b w:val="0"/>
          <w:bCs w:val="0"/>
          <w:sz w:val="24"/>
          <w:szCs w:val="24"/>
        </w:rPr>
        <w:t xml:space="preserve">acordată </w:t>
      </w:r>
      <w:r w:rsidR="00C27EE1" w:rsidRPr="008376FC">
        <w:rPr>
          <w:rFonts w:asciiTheme="majorHAnsi" w:hAnsiTheme="majorHAnsi" w:cstheme="majorHAnsi"/>
          <w:b w:val="0"/>
          <w:bCs w:val="0"/>
          <w:sz w:val="24"/>
          <w:szCs w:val="24"/>
        </w:rPr>
        <w:t>o atenţie deosebită plenitudinii datelor deţinute de org</w:t>
      </w:r>
      <w:r w:rsidR="00E65882">
        <w:rPr>
          <w:rFonts w:asciiTheme="majorHAnsi" w:hAnsiTheme="majorHAnsi" w:cstheme="majorHAnsi"/>
          <w:b w:val="0"/>
          <w:bCs w:val="0"/>
          <w:sz w:val="24"/>
          <w:szCs w:val="24"/>
        </w:rPr>
        <w:t>a</w:t>
      </w:r>
      <w:r w:rsidR="00C27EE1" w:rsidRPr="008376FC">
        <w:rPr>
          <w:rFonts w:asciiTheme="majorHAnsi" w:hAnsiTheme="majorHAnsi" w:cstheme="majorHAnsi"/>
          <w:b w:val="0"/>
          <w:bCs w:val="0"/>
          <w:sz w:val="24"/>
          <w:szCs w:val="24"/>
        </w:rPr>
        <w:t xml:space="preserve">nele </w:t>
      </w:r>
      <w:r w:rsidR="00E65882">
        <w:rPr>
          <w:rFonts w:asciiTheme="majorHAnsi" w:hAnsiTheme="majorHAnsi" w:cstheme="majorHAnsi"/>
          <w:b w:val="0"/>
          <w:bCs w:val="0"/>
          <w:sz w:val="24"/>
          <w:szCs w:val="24"/>
        </w:rPr>
        <w:t xml:space="preserve">de </w:t>
      </w:r>
      <w:r w:rsidR="00C27EE1" w:rsidRPr="008376FC">
        <w:rPr>
          <w:rFonts w:asciiTheme="majorHAnsi" w:hAnsiTheme="majorHAnsi" w:cstheme="majorHAnsi"/>
          <w:b w:val="0"/>
          <w:bCs w:val="0"/>
          <w:sz w:val="24"/>
          <w:szCs w:val="24"/>
        </w:rPr>
        <w:t xml:space="preserve">stat </w:t>
      </w:r>
      <w:r w:rsidR="00331FC3" w:rsidRPr="008376FC">
        <w:rPr>
          <w:rFonts w:asciiTheme="majorHAnsi" w:hAnsiTheme="majorHAnsi" w:cstheme="majorHAnsi"/>
          <w:b w:val="0"/>
          <w:bCs w:val="0"/>
          <w:sz w:val="24"/>
          <w:szCs w:val="24"/>
        </w:rPr>
        <w:t>aferente</w:t>
      </w:r>
      <w:r w:rsidR="00C27EE1" w:rsidRPr="008376FC">
        <w:rPr>
          <w:rFonts w:asciiTheme="majorHAnsi" w:hAnsiTheme="majorHAnsi" w:cstheme="majorHAnsi"/>
          <w:b w:val="0"/>
          <w:bCs w:val="0"/>
          <w:sz w:val="24"/>
          <w:szCs w:val="24"/>
        </w:rPr>
        <w:t xml:space="preserve"> domeniu</w:t>
      </w:r>
      <w:r w:rsidR="00331FC3" w:rsidRPr="008376FC">
        <w:rPr>
          <w:rFonts w:asciiTheme="majorHAnsi" w:hAnsiTheme="majorHAnsi" w:cstheme="majorHAnsi"/>
          <w:b w:val="0"/>
          <w:bCs w:val="0"/>
          <w:sz w:val="24"/>
          <w:szCs w:val="24"/>
        </w:rPr>
        <w:t>lui</w:t>
      </w:r>
      <w:r w:rsidR="00C27EE1" w:rsidRPr="008376FC">
        <w:rPr>
          <w:rFonts w:asciiTheme="majorHAnsi" w:hAnsiTheme="majorHAnsi" w:cstheme="majorHAnsi"/>
          <w:b w:val="0"/>
          <w:bCs w:val="0"/>
          <w:sz w:val="24"/>
          <w:szCs w:val="24"/>
        </w:rPr>
        <w:t xml:space="preserve">, gestiunii serviciilor </w:t>
      </w:r>
      <w:r w:rsidR="00F30BFE">
        <w:rPr>
          <w:rFonts w:asciiTheme="majorHAnsi" w:hAnsiTheme="majorHAnsi" w:cstheme="majorHAnsi"/>
          <w:b w:val="0"/>
          <w:bCs w:val="0"/>
          <w:sz w:val="24"/>
          <w:szCs w:val="24"/>
        </w:rPr>
        <w:t xml:space="preserve">de </w:t>
      </w:r>
      <w:r w:rsidR="00331FC3" w:rsidRPr="008376FC">
        <w:rPr>
          <w:rFonts w:asciiTheme="majorHAnsi" w:hAnsiTheme="majorHAnsi" w:cstheme="majorHAnsi"/>
          <w:b w:val="0"/>
          <w:bCs w:val="0"/>
          <w:sz w:val="24"/>
          <w:szCs w:val="24"/>
        </w:rPr>
        <w:t>aprovozion</w:t>
      </w:r>
      <w:r w:rsidR="00F30BFE">
        <w:rPr>
          <w:rFonts w:asciiTheme="majorHAnsi" w:hAnsiTheme="majorHAnsi" w:cstheme="majorHAnsi"/>
          <w:b w:val="0"/>
          <w:bCs w:val="0"/>
          <w:sz w:val="24"/>
          <w:szCs w:val="24"/>
        </w:rPr>
        <w:t>are</w:t>
      </w:r>
      <w:r w:rsidR="00331FC3" w:rsidRPr="008376FC">
        <w:rPr>
          <w:rFonts w:asciiTheme="majorHAnsi" w:hAnsiTheme="majorHAnsi" w:cstheme="majorHAnsi"/>
          <w:b w:val="0"/>
          <w:bCs w:val="0"/>
          <w:sz w:val="24"/>
          <w:szCs w:val="24"/>
        </w:rPr>
        <w:t xml:space="preserve"> cu apă şi sanitaţie</w:t>
      </w:r>
      <w:r w:rsidR="00C27EE1" w:rsidRPr="008376FC">
        <w:rPr>
          <w:rFonts w:asciiTheme="majorHAnsi" w:hAnsiTheme="majorHAnsi" w:cstheme="majorHAnsi"/>
          <w:b w:val="0"/>
          <w:bCs w:val="0"/>
          <w:sz w:val="24"/>
          <w:szCs w:val="24"/>
        </w:rPr>
        <w:t xml:space="preserve"> şi, nemijlocit, modului de formare a tarifelor, precum şi calităţii apei livrate consumatorilor</w:t>
      </w:r>
      <w:r w:rsidRPr="008376FC">
        <w:rPr>
          <w:rFonts w:asciiTheme="majorHAnsi" w:hAnsiTheme="majorHAnsi" w:cstheme="majorHAnsi"/>
          <w:b w:val="0"/>
          <w:bCs w:val="0"/>
          <w:sz w:val="24"/>
          <w:szCs w:val="24"/>
        </w:rPr>
        <w:t>.</w:t>
      </w:r>
    </w:p>
    <w:p w:rsidR="004B0AA9" w:rsidRPr="008376FC" w:rsidRDefault="000056B2" w:rsidP="00F61756">
      <w:pPr>
        <w:tabs>
          <w:tab w:val="left" w:pos="426"/>
        </w:tabs>
        <w:spacing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 xml:space="preserve">Constatările şi concluziile auditului </w:t>
      </w:r>
      <w:r w:rsidR="00F30BFE">
        <w:rPr>
          <w:rFonts w:asciiTheme="majorHAnsi" w:hAnsiTheme="majorHAnsi" w:cstheme="majorHAnsi"/>
          <w:b w:val="0"/>
          <w:bCs w:val="0"/>
          <w:sz w:val="24"/>
          <w:szCs w:val="24"/>
        </w:rPr>
        <w:t>re</w:t>
      </w:r>
      <w:r w:rsidRPr="008376FC">
        <w:rPr>
          <w:rFonts w:asciiTheme="majorHAnsi" w:hAnsiTheme="majorHAnsi" w:cstheme="majorHAnsi"/>
          <w:b w:val="0"/>
          <w:bCs w:val="0"/>
          <w:sz w:val="24"/>
          <w:szCs w:val="24"/>
        </w:rPr>
        <w:t>prezintă nivelul de realizare a obiectivelor S</w:t>
      </w:r>
      <w:r w:rsidR="00C27EE1" w:rsidRPr="008376FC">
        <w:rPr>
          <w:rFonts w:asciiTheme="majorHAnsi" w:hAnsiTheme="majorHAnsi" w:cstheme="majorHAnsi"/>
          <w:b w:val="0"/>
          <w:bCs w:val="0"/>
          <w:sz w:val="24"/>
          <w:szCs w:val="24"/>
        </w:rPr>
        <w:t>trategiei</w:t>
      </w:r>
      <w:r w:rsidRPr="008376FC">
        <w:rPr>
          <w:rFonts w:asciiTheme="majorHAnsi" w:hAnsiTheme="majorHAnsi" w:cstheme="majorHAnsi"/>
          <w:b w:val="0"/>
          <w:bCs w:val="0"/>
          <w:sz w:val="24"/>
          <w:szCs w:val="24"/>
        </w:rPr>
        <w:t xml:space="preserve"> pentru anii 2014-2022, efectul acțiunilor întreprinse, cauzele care au produs impedimente la realizarea integrală a acestora și eficiența utilizării </w:t>
      </w:r>
      <w:r w:rsidR="00F30BFE">
        <w:rPr>
          <w:rFonts w:asciiTheme="majorHAnsi" w:hAnsiTheme="majorHAnsi" w:cstheme="majorHAnsi"/>
          <w:b w:val="0"/>
          <w:bCs w:val="0"/>
          <w:sz w:val="24"/>
          <w:szCs w:val="24"/>
        </w:rPr>
        <w:t>re</w:t>
      </w:r>
      <w:r w:rsidRPr="008376FC">
        <w:rPr>
          <w:rFonts w:asciiTheme="majorHAnsi" w:hAnsiTheme="majorHAnsi" w:cstheme="majorHAnsi"/>
          <w:b w:val="0"/>
          <w:bCs w:val="0"/>
          <w:sz w:val="24"/>
          <w:szCs w:val="24"/>
        </w:rPr>
        <w:t xml:space="preserve">surselor direcționate pentru domeniul </w:t>
      </w:r>
      <w:r w:rsidR="00C27EE1" w:rsidRPr="008376FC">
        <w:rPr>
          <w:rFonts w:asciiTheme="majorHAnsi" w:hAnsiTheme="majorHAnsi" w:cstheme="majorHAnsi"/>
          <w:b w:val="0"/>
          <w:bCs w:val="0"/>
          <w:sz w:val="24"/>
          <w:szCs w:val="24"/>
        </w:rPr>
        <w:t>aprovozionării cu apă şi sanitaţie</w:t>
      </w:r>
      <w:r w:rsidR="00F30BFE">
        <w:rPr>
          <w:rFonts w:asciiTheme="majorHAnsi" w:hAnsiTheme="majorHAnsi" w:cstheme="majorHAnsi"/>
          <w:b w:val="0"/>
          <w:bCs w:val="0"/>
          <w:sz w:val="24"/>
          <w:szCs w:val="24"/>
        </w:rPr>
        <w:t>i</w:t>
      </w:r>
      <w:r w:rsidRPr="008376FC">
        <w:rPr>
          <w:rFonts w:asciiTheme="majorHAnsi" w:hAnsiTheme="majorHAnsi" w:cstheme="majorHAnsi"/>
          <w:b w:val="0"/>
          <w:bCs w:val="0"/>
          <w:sz w:val="24"/>
          <w:szCs w:val="24"/>
        </w:rPr>
        <w:t>. De asemenea, în Raportul de audit sunt expuse și dificultățile întâmpinate de către actorii și beneficiarii implicați în reali</w:t>
      </w:r>
      <w:r w:rsidR="00C27EE1" w:rsidRPr="008376FC">
        <w:rPr>
          <w:rFonts w:asciiTheme="majorHAnsi" w:hAnsiTheme="majorHAnsi" w:cstheme="majorHAnsi"/>
          <w:b w:val="0"/>
          <w:bCs w:val="0"/>
          <w:sz w:val="24"/>
          <w:szCs w:val="24"/>
        </w:rPr>
        <w:t xml:space="preserve">zarea obiectivelor Strategiei. </w:t>
      </w:r>
      <w:r w:rsidRPr="008376FC">
        <w:rPr>
          <w:rFonts w:asciiTheme="majorHAnsi" w:hAnsiTheme="majorHAnsi" w:cstheme="majorHAnsi"/>
          <w:b w:val="0"/>
          <w:bCs w:val="0"/>
          <w:sz w:val="24"/>
          <w:szCs w:val="24"/>
        </w:rPr>
        <w:t xml:space="preserve">Analiza implementării </w:t>
      </w:r>
      <w:r w:rsidR="00C27EE1" w:rsidRPr="008376FC">
        <w:rPr>
          <w:rFonts w:asciiTheme="majorHAnsi" w:hAnsiTheme="majorHAnsi" w:cstheme="majorHAnsi"/>
          <w:b w:val="0"/>
          <w:bCs w:val="0"/>
          <w:sz w:val="24"/>
          <w:szCs w:val="24"/>
        </w:rPr>
        <w:t xml:space="preserve">Strategiei </w:t>
      </w:r>
      <w:r w:rsidRPr="008376FC">
        <w:rPr>
          <w:rFonts w:asciiTheme="majorHAnsi" w:hAnsiTheme="majorHAnsi" w:cstheme="majorHAnsi"/>
          <w:b w:val="0"/>
          <w:bCs w:val="0"/>
          <w:sz w:val="24"/>
          <w:szCs w:val="24"/>
        </w:rPr>
        <w:t xml:space="preserve">denotă constrângeri și provocări majore, care necesită a fi soluționate pentru eficientizarea guvernanței în domeniul </w:t>
      </w:r>
      <w:r w:rsidR="00C27EE1" w:rsidRPr="008376FC">
        <w:rPr>
          <w:rFonts w:asciiTheme="majorHAnsi" w:hAnsiTheme="majorHAnsi" w:cstheme="majorHAnsi"/>
          <w:b w:val="0"/>
          <w:bCs w:val="0"/>
          <w:sz w:val="24"/>
          <w:szCs w:val="24"/>
        </w:rPr>
        <w:t>aprovozionării cu apă şi sanitaţie</w:t>
      </w:r>
      <w:r w:rsidR="00F30BFE">
        <w:rPr>
          <w:rFonts w:asciiTheme="majorHAnsi" w:hAnsiTheme="majorHAnsi" w:cstheme="majorHAnsi"/>
          <w:b w:val="0"/>
          <w:bCs w:val="0"/>
          <w:sz w:val="24"/>
          <w:szCs w:val="24"/>
        </w:rPr>
        <w:t>i</w:t>
      </w:r>
      <w:r w:rsidRPr="008376FC">
        <w:rPr>
          <w:rFonts w:asciiTheme="majorHAnsi" w:hAnsiTheme="majorHAnsi" w:cstheme="majorHAnsi"/>
          <w:b w:val="0"/>
          <w:bCs w:val="0"/>
          <w:sz w:val="24"/>
          <w:szCs w:val="24"/>
        </w:rPr>
        <w:t xml:space="preserve">. </w:t>
      </w:r>
    </w:p>
    <w:p w:rsidR="004B0AA9" w:rsidRPr="008376FC" w:rsidRDefault="000056B2" w:rsidP="00F61756">
      <w:pPr>
        <w:tabs>
          <w:tab w:val="left" w:pos="426"/>
        </w:tabs>
        <w:spacing w:after="0" w:line="276" w:lineRule="auto"/>
        <w:jc w:val="both"/>
        <w:rPr>
          <w:rFonts w:asciiTheme="majorHAnsi" w:hAnsiTheme="majorHAnsi" w:cstheme="majorHAnsi"/>
          <w:b w:val="0"/>
          <w:bCs w:val="0"/>
          <w:i/>
          <w:sz w:val="24"/>
          <w:szCs w:val="24"/>
        </w:rPr>
      </w:pPr>
      <w:r w:rsidRPr="008376FC">
        <w:rPr>
          <w:rFonts w:asciiTheme="majorHAnsi" w:hAnsiTheme="majorHAnsi" w:cstheme="majorHAnsi"/>
          <w:b w:val="0"/>
          <w:bCs w:val="0"/>
          <w:i/>
          <w:sz w:val="24"/>
          <w:szCs w:val="24"/>
        </w:rPr>
        <w:t>În urma aplicării procedurilor de audit, s-au constatat</w:t>
      </w:r>
      <w:r w:rsidR="005721F0" w:rsidRPr="008376FC">
        <w:rPr>
          <w:rFonts w:asciiTheme="majorHAnsi" w:hAnsiTheme="majorHAnsi" w:cstheme="majorHAnsi"/>
          <w:b w:val="0"/>
          <w:bCs w:val="0"/>
          <w:i/>
          <w:sz w:val="24"/>
          <w:szCs w:val="24"/>
        </w:rPr>
        <w:t xml:space="preserve"> atâ</w:t>
      </w:r>
      <w:r w:rsidR="00623C61" w:rsidRPr="008376FC">
        <w:rPr>
          <w:rFonts w:asciiTheme="majorHAnsi" w:hAnsiTheme="majorHAnsi" w:cstheme="majorHAnsi"/>
          <w:b w:val="0"/>
          <w:bCs w:val="0"/>
          <w:i/>
          <w:sz w:val="24"/>
          <w:szCs w:val="24"/>
        </w:rPr>
        <w:t>t probleme aferente implementării</w:t>
      </w:r>
      <w:r w:rsidRPr="008376FC">
        <w:rPr>
          <w:rFonts w:asciiTheme="majorHAnsi" w:hAnsiTheme="majorHAnsi" w:cstheme="majorHAnsi"/>
          <w:b w:val="0"/>
          <w:bCs w:val="0"/>
          <w:i/>
          <w:sz w:val="24"/>
          <w:szCs w:val="24"/>
        </w:rPr>
        <w:t xml:space="preserve"> </w:t>
      </w:r>
      <w:r w:rsidR="00AE0854" w:rsidRPr="008376FC">
        <w:rPr>
          <w:rFonts w:asciiTheme="majorHAnsi" w:hAnsiTheme="majorHAnsi" w:cstheme="majorHAnsi"/>
          <w:b w:val="0"/>
          <w:bCs w:val="0"/>
          <w:i/>
          <w:sz w:val="24"/>
          <w:szCs w:val="24"/>
        </w:rPr>
        <w:t xml:space="preserve">măsurilor incluse în Strategie, cât şi </w:t>
      </w:r>
      <w:r w:rsidRPr="008376FC">
        <w:rPr>
          <w:rFonts w:asciiTheme="majorHAnsi" w:hAnsiTheme="majorHAnsi" w:cstheme="majorHAnsi"/>
          <w:b w:val="0"/>
          <w:bCs w:val="0"/>
          <w:i/>
          <w:sz w:val="24"/>
          <w:szCs w:val="24"/>
        </w:rPr>
        <w:t>un</w:t>
      </w:r>
      <w:r w:rsidR="00623C61" w:rsidRPr="008376FC">
        <w:rPr>
          <w:rFonts w:asciiTheme="majorHAnsi" w:hAnsiTheme="majorHAnsi" w:cstheme="majorHAnsi"/>
          <w:b w:val="0"/>
          <w:bCs w:val="0"/>
          <w:i/>
          <w:sz w:val="24"/>
          <w:szCs w:val="24"/>
        </w:rPr>
        <w:t>ele</w:t>
      </w:r>
      <w:r w:rsidR="0076329B" w:rsidRPr="008376FC">
        <w:rPr>
          <w:rFonts w:asciiTheme="majorHAnsi" w:hAnsiTheme="majorHAnsi" w:cstheme="majorHAnsi"/>
          <w:b w:val="0"/>
          <w:bCs w:val="0"/>
          <w:i/>
          <w:sz w:val="24"/>
          <w:szCs w:val="24"/>
        </w:rPr>
        <w:t xml:space="preserve"> deficiențe care</w:t>
      </w:r>
      <w:r w:rsidRPr="008376FC">
        <w:rPr>
          <w:rFonts w:asciiTheme="majorHAnsi" w:hAnsiTheme="majorHAnsi" w:cstheme="majorHAnsi"/>
          <w:b w:val="0"/>
          <w:bCs w:val="0"/>
          <w:i/>
          <w:sz w:val="24"/>
          <w:szCs w:val="24"/>
        </w:rPr>
        <w:t xml:space="preserve"> </w:t>
      </w:r>
      <w:r w:rsidR="0076329B" w:rsidRPr="008376FC">
        <w:rPr>
          <w:rFonts w:asciiTheme="majorHAnsi" w:hAnsiTheme="majorHAnsi" w:cstheme="majorHAnsi"/>
          <w:b w:val="0"/>
          <w:bCs w:val="0"/>
          <w:i/>
          <w:sz w:val="24"/>
          <w:szCs w:val="24"/>
        </w:rPr>
        <w:t xml:space="preserve">vizează </w:t>
      </w:r>
      <w:r w:rsidR="00BC4026" w:rsidRPr="008376FC">
        <w:rPr>
          <w:rFonts w:asciiTheme="majorHAnsi" w:hAnsiTheme="majorHAnsi" w:cstheme="majorHAnsi"/>
          <w:b w:val="0"/>
          <w:bCs w:val="0"/>
          <w:i/>
          <w:sz w:val="24"/>
          <w:szCs w:val="24"/>
        </w:rPr>
        <w:t xml:space="preserve">întreg </w:t>
      </w:r>
      <w:r w:rsidR="0076329B" w:rsidRPr="008376FC">
        <w:rPr>
          <w:rFonts w:asciiTheme="majorHAnsi" w:hAnsiTheme="majorHAnsi" w:cstheme="majorHAnsi"/>
          <w:b w:val="0"/>
          <w:bCs w:val="0"/>
          <w:i/>
          <w:sz w:val="24"/>
          <w:szCs w:val="24"/>
        </w:rPr>
        <w:t>sectorul de alimentare cu apă şi sanitaţie în ansamblu</w:t>
      </w:r>
      <w:r w:rsidRPr="008376FC">
        <w:rPr>
          <w:rFonts w:asciiTheme="majorHAnsi" w:hAnsiTheme="majorHAnsi" w:cstheme="majorHAnsi"/>
          <w:b w:val="0"/>
          <w:bCs w:val="0"/>
          <w:i/>
          <w:sz w:val="24"/>
          <w:szCs w:val="24"/>
        </w:rPr>
        <w:t>, și anume:</w:t>
      </w:r>
    </w:p>
    <w:p w:rsidR="00BE3B68" w:rsidRPr="008376FC" w:rsidRDefault="00F30BFE" w:rsidP="00F61756">
      <w:pPr>
        <w:pStyle w:val="a3"/>
        <w:numPr>
          <w:ilvl w:val="0"/>
          <w:numId w:val="53"/>
        </w:numPr>
        <w:tabs>
          <w:tab w:val="left" w:pos="426"/>
        </w:tabs>
        <w:spacing w:line="276" w:lineRule="auto"/>
        <w:jc w:val="both"/>
        <w:rPr>
          <w:rFonts w:asciiTheme="majorHAnsi" w:hAnsiTheme="majorHAnsi" w:cstheme="majorHAnsi"/>
          <w:i/>
          <w:lang w:val="en-US"/>
        </w:rPr>
      </w:pPr>
      <w:r>
        <w:rPr>
          <w:rFonts w:asciiTheme="majorHAnsi" w:hAnsiTheme="majorHAnsi" w:cstheme="majorHAnsi"/>
          <w:i/>
          <w:lang w:val="en-US"/>
        </w:rPr>
        <w:t>n</w:t>
      </w:r>
      <w:r w:rsidR="006B4AD5" w:rsidRPr="008376FC">
        <w:rPr>
          <w:rFonts w:asciiTheme="majorHAnsi" w:hAnsiTheme="majorHAnsi" w:cstheme="majorHAnsi"/>
          <w:i/>
          <w:lang w:val="en-US"/>
        </w:rPr>
        <w:t>u toate măsurile incluse în Planurile de acţiuni SAAS au fost realizate (pct.4.1.1)</w:t>
      </w:r>
      <w:r w:rsidR="00CB7474" w:rsidRPr="008376FC">
        <w:rPr>
          <w:rFonts w:asciiTheme="majorHAnsi" w:hAnsiTheme="majorHAnsi" w:cstheme="majorHAnsi"/>
          <w:i/>
          <w:lang w:val="en-US"/>
        </w:rPr>
        <w:t>;</w:t>
      </w:r>
    </w:p>
    <w:p w:rsidR="00BE3B68" w:rsidRPr="008376FC" w:rsidRDefault="00F30BFE" w:rsidP="00F61756">
      <w:pPr>
        <w:pStyle w:val="a3"/>
        <w:numPr>
          <w:ilvl w:val="0"/>
          <w:numId w:val="53"/>
        </w:numPr>
        <w:tabs>
          <w:tab w:val="left" w:pos="426"/>
        </w:tabs>
        <w:spacing w:line="276" w:lineRule="auto"/>
        <w:jc w:val="both"/>
        <w:rPr>
          <w:rFonts w:asciiTheme="majorHAnsi" w:hAnsiTheme="majorHAnsi" w:cstheme="majorHAnsi"/>
          <w:i/>
          <w:lang w:val="en-US"/>
        </w:rPr>
      </w:pPr>
      <w:r>
        <w:rPr>
          <w:rFonts w:asciiTheme="majorHAnsi" w:hAnsiTheme="majorHAnsi" w:cstheme="majorHAnsi"/>
          <w:i/>
          <w:lang w:val="en-US"/>
        </w:rPr>
        <w:t>i</w:t>
      </w:r>
      <w:r w:rsidR="006B4AD5" w:rsidRPr="008376FC">
        <w:rPr>
          <w:rFonts w:asciiTheme="majorHAnsi" w:hAnsiTheme="majorHAnsi" w:cstheme="majorHAnsi"/>
          <w:i/>
          <w:lang w:val="en-US"/>
        </w:rPr>
        <w:t>ndicatorii de evaluare a accesului populației la apeducte şi sisteme de sanitație sigure stabiliţi de SAAS diferă de cei aprobaţi de SND „Moldova Europeană 2030” şi urmează a fi ajustaţi (pct.4.1.2);</w:t>
      </w:r>
    </w:p>
    <w:p w:rsidR="00BE3B68" w:rsidRPr="008376FC" w:rsidRDefault="006B4AD5" w:rsidP="00F61756">
      <w:pPr>
        <w:pStyle w:val="a3"/>
        <w:numPr>
          <w:ilvl w:val="0"/>
          <w:numId w:val="53"/>
        </w:numPr>
        <w:tabs>
          <w:tab w:val="left" w:pos="426"/>
        </w:tabs>
        <w:spacing w:line="276" w:lineRule="auto"/>
        <w:jc w:val="both"/>
        <w:rPr>
          <w:rFonts w:asciiTheme="majorHAnsi" w:hAnsiTheme="majorHAnsi" w:cstheme="majorHAnsi"/>
          <w:i/>
          <w:lang w:val="en-US"/>
        </w:rPr>
      </w:pPr>
      <w:r w:rsidRPr="008376FC">
        <w:rPr>
          <w:rFonts w:asciiTheme="majorHAnsi" w:hAnsiTheme="majorHAnsi" w:cstheme="majorHAnsi"/>
          <w:i/>
          <w:lang w:val="en-US"/>
        </w:rPr>
        <w:t xml:space="preserve">nu există o certitudine în privința continuării implementării măsurilor incluse în SAAS </w:t>
      </w:r>
      <w:r w:rsidR="00F30BFE">
        <w:rPr>
          <w:rFonts w:asciiTheme="majorHAnsi" w:hAnsiTheme="majorHAnsi" w:cstheme="majorHAnsi"/>
          <w:i/>
          <w:lang w:val="en-US"/>
        </w:rPr>
        <w:t>din cauza</w:t>
      </w:r>
      <w:r w:rsidR="00F30BFE" w:rsidRPr="008376FC">
        <w:rPr>
          <w:rFonts w:asciiTheme="majorHAnsi" w:hAnsiTheme="majorHAnsi" w:cstheme="majorHAnsi"/>
          <w:i/>
          <w:lang w:val="en-US"/>
        </w:rPr>
        <w:t xml:space="preserve"> </w:t>
      </w:r>
      <w:r w:rsidRPr="008376FC">
        <w:rPr>
          <w:rFonts w:asciiTheme="majorHAnsi" w:hAnsiTheme="majorHAnsi" w:cstheme="majorHAnsi"/>
          <w:i/>
          <w:lang w:val="en-US"/>
        </w:rPr>
        <w:t>faptul</w:t>
      </w:r>
      <w:r w:rsidR="00F30BFE">
        <w:rPr>
          <w:rFonts w:asciiTheme="majorHAnsi" w:hAnsiTheme="majorHAnsi" w:cstheme="majorHAnsi"/>
          <w:i/>
          <w:lang w:val="en-US"/>
        </w:rPr>
        <w:t>ui</w:t>
      </w:r>
      <w:r w:rsidRPr="008376FC">
        <w:rPr>
          <w:rFonts w:asciiTheme="majorHAnsi" w:hAnsiTheme="majorHAnsi" w:cstheme="majorHAnsi"/>
          <w:i/>
          <w:lang w:val="en-US"/>
        </w:rPr>
        <w:t xml:space="preserve"> că Strategia nu mai corespunde noului cadrul normativ, introdus în anul 2020, care reglementează politicile publice (pct.4.1.4);</w:t>
      </w:r>
    </w:p>
    <w:p w:rsidR="00BE3B68" w:rsidRPr="008376FC" w:rsidRDefault="00126790" w:rsidP="00F61756">
      <w:pPr>
        <w:pStyle w:val="a3"/>
        <w:numPr>
          <w:ilvl w:val="0"/>
          <w:numId w:val="53"/>
        </w:numPr>
        <w:tabs>
          <w:tab w:val="left" w:pos="426"/>
        </w:tabs>
        <w:spacing w:line="276" w:lineRule="auto"/>
        <w:jc w:val="both"/>
        <w:rPr>
          <w:rFonts w:asciiTheme="majorHAnsi" w:hAnsiTheme="majorHAnsi" w:cstheme="majorHAnsi"/>
          <w:i/>
          <w:lang w:val="en-US"/>
        </w:rPr>
      </w:pPr>
      <w:r>
        <w:rPr>
          <w:rFonts w:asciiTheme="majorHAnsi" w:hAnsiTheme="majorHAnsi" w:cstheme="majorHAnsi"/>
          <w:i/>
          <w:lang w:val="en-US"/>
        </w:rPr>
        <w:t>m</w:t>
      </w:r>
      <w:r w:rsidR="006B4AD5" w:rsidRPr="008376FC">
        <w:rPr>
          <w:rFonts w:asciiTheme="majorHAnsi" w:hAnsiTheme="majorHAnsi" w:cstheme="majorHAnsi"/>
          <w:i/>
          <w:lang w:val="en-US"/>
        </w:rPr>
        <w:t>ăsurile incluse în Planurile de acțiuni ale SAAS nu au contribuit la creșterea numărului de operatori regionali care prestează servicii publice de alimentare cu apă şi sanitație (pct.4.1.6);</w:t>
      </w:r>
    </w:p>
    <w:p w:rsidR="00BE3B68" w:rsidRPr="008376FC" w:rsidRDefault="00126790" w:rsidP="00F61756">
      <w:pPr>
        <w:pStyle w:val="a3"/>
        <w:numPr>
          <w:ilvl w:val="0"/>
          <w:numId w:val="53"/>
        </w:numPr>
        <w:tabs>
          <w:tab w:val="left" w:pos="426"/>
        </w:tabs>
        <w:spacing w:line="276" w:lineRule="auto"/>
        <w:jc w:val="both"/>
        <w:rPr>
          <w:rFonts w:asciiTheme="majorHAnsi" w:hAnsiTheme="majorHAnsi" w:cstheme="majorHAnsi"/>
          <w:i/>
          <w:lang w:val="en-US"/>
        </w:rPr>
      </w:pPr>
      <w:r>
        <w:rPr>
          <w:rFonts w:asciiTheme="majorHAnsi" w:hAnsiTheme="majorHAnsi" w:cstheme="majorHAnsi"/>
          <w:i/>
          <w:lang w:val="en-US"/>
        </w:rPr>
        <w:t>l</w:t>
      </w:r>
      <w:r w:rsidR="00CB7474" w:rsidRPr="008376FC">
        <w:rPr>
          <w:rFonts w:asciiTheme="majorHAnsi" w:hAnsiTheme="majorHAnsi" w:cstheme="majorHAnsi"/>
          <w:i/>
          <w:lang w:val="en-US"/>
        </w:rPr>
        <w:t>ipsește un Plan de acțiuni u</w:t>
      </w:r>
      <w:r w:rsidR="005F7AA4" w:rsidRPr="008376FC">
        <w:rPr>
          <w:rFonts w:asciiTheme="majorHAnsi" w:hAnsiTheme="majorHAnsi" w:cstheme="majorHAnsi"/>
          <w:i/>
          <w:lang w:val="en-US"/>
        </w:rPr>
        <w:t>nic privind dezvoltarea dome</w:t>
      </w:r>
      <w:r w:rsidR="00CB7474" w:rsidRPr="008376FC">
        <w:rPr>
          <w:rFonts w:asciiTheme="majorHAnsi" w:hAnsiTheme="majorHAnsi" w:cstheme="majorHAnsi"/>
          <w:i/>
          <w:lang w:val="en-US"/>
        </w:rPr>
        <w:t>niului de alimentare cu apă și sanitație la nivel național (pct.4.2.1);</w:t>
      </w:r>
    </w:p>
    <w:p w:rsidR="00BE3B68" w:rsidRPr="008376FC" w:rsidRDefault="00126790" w:rsidP="00F61756">
      <w:pPr>
        <w:pStyle w:val="a3"/>
        <w:numPr>
          <w:ilvl w:val="0"/>
          <w:numId w:val="53"/>
        </w:numPr>
        <w:tabs>
          <w:tab w:val="left" w:pos="426"/>
        </w:tabs>
        <w:spacing w:line="276" w:lineRule="auto"/>
        <w:jc w:val="both"/>
        <w:rPr>
          <w:rFonts w:asciiTheme="majorHAnsi" w:hAnsiTheme="majorHAnsi" w:cstheme="majorHAnsi"/>
          <w:i/>
          <w:lang w:val="en-US"/>
        </w:rPr>
      </w:pPr>
      <w:r>
        <w:rPr>
          <w:rFonts w:asciiTheme="majorHAnsi" w:hAnsiTheme="majorHAnsi" w:cstheme="majorHAnsi"/>
          <w:i/>
          <w:lang w:val="en-US"/>
        </w:rPr>
        <w:t>n</w:t>
      </w:r>
      <w:r w:rsidR="00F13559" w:rsidRPr="008376FC">
        <w:rPr>
          <w:rFonts w:asciiTheme="majorHAnsi" w:hAnsiTheme="majorHAnsi" w:cstheme="majorHAnsi"/>
          <w:i/>
          <w:lang w:val="en-US"/>
        </w:rPr>
        <w:t>u au fost stabilite criterii clare de finanţare</w:t>
      </w:r>
      <w:r w:rsidR="002437F8" w:rsidRPr="008376FC">
        <w:rPr>
          <w:rFonts w:asciiTheme="majorHAnsi" w:hAnsiTheme="majorHAnsi" w:cstheme="majorHAnsi"/>
          <w:i/>
          <w:lang w:val="en-US"/>
        </w:rPr>
        <w:t xml:space="preserve"> a proiectelor </w:t>
      </w:r>
      <w:r w:rsidR="00F13559" w:rsidRPr="008376FC">
        <w:rPr>
          <w:rFonts w:asciiTheme="majorHAnsi" w:hAnsiTheme="majorHAnsi" w:cstheme="majorHAnsi"/>
          <w:i/>
          <w:lang w:val="en-US"/>
        </w:rPr>
        <w:t>din sursele FEN</w:t>
      </w:r>
      <w:r w:rsidR="002437F8" w:rsidRPr="008376FC">
        <w:rPr>
          <w:rFonts w:asciiTheme="majorHAnsi" w:hAnsiTheme="majorHAnsi" w:cstheme="majorHAnsi"/>
          <w:i/>
          <w:lang w:val="en-US"/>
        </w:rPr>
        <w:t xml:space="preserve">, </w:t>
      </w:r>
      <w:r w:rsidR="00A172E4" w:rsidRPr="008376FC">
        <w:rPr>
          <w:rFonts w:asciiTheme="majorHAnsi" w:hAnsiTheme="majorHAnsi" w:cstheme="majorHAnsi"/>
          <w:i/>
          <w:lang w:val="en-US"/>
        </w:rPr>
        <w:t xml:space="preserve">astfel încât </w:t>
      </w:r>
      <w:r w:rsidR="002437F8" w:rsidRPr="008376FC">
        <w:rPr>
          <w:rFonts w:asciiTheme="majorHAnsi" w:hAnsiTheme="majorHAnsi" w:cstheme="majorHAnsi"/>
          <w:i/>
          <w:lang w:val="en-US"/>
        </w:rPr>
        <w:t>finanțarea etapizată a prioiectelor, unele proiecte fiind finanțate în 11 etape și nefiind finalizate, a</w:t>
      </w:r>
      <w:r w:rsidR="00F13559" w:rsidRPr="008376FC">
        <w:rPr>
          <w:rFonts w:asciiTheme="majorHAnsi" w:hAnsiTheme="majorHAnsi" w:cstheme="majorHAnsi"/>
          <w:i/>
          <w:lang w:val="en-US"/>
        </w:rPr>
        <w:t xml:space="preserve"> dus la </w:t>
      </w:r>
      <w:r w:rsidR="002437F8" w:rsidRPr="008376FC">
        <w:rPr>
          <w:rFonts w:asciiTheme="majorHAnsi" w:hAnsiTheme="majorHAnsi" w:cstheme="majorHAnsi"/>
          <w:i/>
          <w:lang w:val="en-US"/>
        </w:rPr>
        <w:t>extinderea temen</w:t>
      </w:r>
      <w:r>
        <w:rPr>
          <w:rFonts w:asciiTheme="majorHAnsi" w:hAnsiTheme="majorHAnsi" w:cstheme="majorHAnsi"/>
          <w:i/>
          <w:lang w:val="en-US"/>
        </w:rPr>
        <w:t>e</w:t>
      </w:r>
      <w:r w:rsidR="002437F8" w:rsidRPr="008376FC">
        <w:rPr>
          <w:rFonts w:asciiTheme="majorHAnsi" w:hAnsiTheme="majorHAnsi" w:cstheme="majorHAnsi"/>
          <w:i/>
          <w:lang w:val="en-US"/>
        </w:rPr>
        <w:t xml:space="preserve">lor de realizare a contractelor de antrepriză, </w:t>
      </w:r>
      <w:r w:rsidR="00F13559" w:rsidRPr="008376FC">
        <w:rPr>
          <w:rFonts w:asciiTheme="majorHAnsi" w:hAnsiTheme="majorHAnsi" w:cstheme="majorHAnsi"/>
          <w:i/>
          <w:lang w:val="en-US"/>
        </w:rPr>
        <w:t xml:space="preserve">tergiversarea executării lucrărilor, </w:t>
      </w:r>
      <w:r w:rsidR="00BE3B68" w:rsidRPr="008376FC">
        <w:rPr>
          <w:rFonts w:asciiTheme="majorHAnsi" w:hAnsiTheme="majorHAnsi" w:cstheme="majorHAnsi"/>
          <w:i/>
          <w:lang w:val="en-US"/>
        </w:rPr>
        <w:t>proiecte</w:t>
      </w:r>
      <w:r w:rsidR="00A172E4" w:rsidRPr="008376FC">
        <w:rPr>
          <w:rFonts w:asciiTheme="majorHAnsi" w:hAnsiTheme="majorHAnsi" w:cstheme="majorHAnsi"/>
          <w:i/>
          <w:lang w:val="en-US"/>
        </w:rPr>
        <w:t>le</w:t>
      </w:r>
      <w:r w:rsidR="00BE3B68" w:rsidRPr="008376FC">
        <w:rPr>
          <w:rFonts w:asciiTheme="majorHAnsi" w:hAnsiTheme="majorHAnsi" w:cstheme="majorHAnsi"/>
          <w:i/>
          <w:lang w:val="en-US"/>
        </w:rPr>
        <w:t xml:space="preserve"> </w:t>
      </w:r>
      <w:r w:rsidR="002437F8" w:rsidRPr="008376FC">
        <w:rPr>
          <w:rFonts w:asciiTheme="majorHAnsi" w:hAnsiTheme="majorHAnsi" w:cstheme="majorHAnsi"/>
          <w:i/>
          <w:lang w:val="en-US"/>
        </w:rPr>
        <w:t xml:space="preserve">inițiate în anii 2013-2016 sunt </w:t>
      </w:r>
      <w:r w:rsidR="00BE3B68" w:rsidRPr="008376FC">
        <w:rPr>
          <w:rFonts w:asciiTheme="majorHAnsi" w:hAnsiTheme="majorHAnsi" w:cstheme="majorHAnsi"/>
          <w:i/>
          <w:lang w:val="en-US"/>
        </w:rPr>
        <w:t>în derulare p</w:t>
      </w:r>
      <w:r>
        <w:rPr>
          <w:rFonts w:asciiTheme="majorHAnsi" w:hAnsiTheme="majorHAnsi" w:cstheme="majorHAnsi"/>
          <w:i/>
          <w:lang w:val="en-US"/>
        </w:rPr>
        <w:t>â</w:t>
      </w:r>
      <w:r w:rsidR="00BE3B68" w:rsidRPr="008376FC">
        <w:rPr>
          <w:rFonts w:asciiTheme="majorHAnsi" w:hAnsiTheme="majorHAnsi" w:cstheme="majorHAnsi"/>
          <w:i/>
          <w:lang w:val="en-US"/>
        </w:rPr>
        <w:t xml:space="preserve">nă </w:t>
      </w:r>
      <w:r w:rsidR="002437F8" w:rsidRPr="008376FC">
        <w:rPr>
          <w:rFonts w:asciiTheme="majorHAnsi" w:hAnsiTheme="majorHAnsi" w:cstheme="majorHAnsi"/>
          <w:i/>
          <w:lang w:val="en-US"/>
        </w:rPr>
        <w:t>în prezent</w:t>
      </w:r>
      <w:r w:rsidR="00BE3B68" w:rsidRPr="008376FC">
        <w:rPr>
          <w:rFonts w:asciiTheme="majorHAnsi" w:hAnsiTheme="majorHAnsi" w:cstheme="majorHAnsi"/>
          <w:i/>
          <w:lang w:val="en-US"/>
        </w:rPr>
        <w:t>,</w:t>
      </w:r>
      <w:r w:rsidR="002437F8" w:rsidRPr="008376FC">
        <w:rPr>
          <w:rFonts w:asciiTheme="majorHAnsi" w:hAnsiTheme="majorHAnsi" w:cstheme="majorHAnsi"/>
          <w:i/>
          <w:lang w:val="en-US"/>
        </w:rPr>
        <w:t xml:space="preserve"> între timp, </w:t>
      </w:r>
      <w:r w:rsidR="00F13559" w:rsidRPr="008376FC">
        <w:rPr>
          <w:rFonts w:asciiTheme="majorHAnsi" w:hAnsiTheme="majorHAnsi" w:cstheme="majorHAnsi"/>
          <w:i/>
          <w:lang w:val="en-US"/>
        </w:rPr>
        <w:t>valor</w:t>
      </w:r>
      <w:r w:rsidR="002437F8" w:rsidRPr="008376FC">
        <w:rPr>
          <w:rFonts w:asciiTheme="majorHAnsi" w:hAnsiTheme="majorHAnsi" w:cstheme="majorHAnsi"/>
          <w:i/>
          <w:lang w:val="en-US"/>
        </w:rPr>
        <w:t>ea cotractelor de antrepriză fiind majorată</w:t>
      </w:r>
      <w:r w:rsidR="00BE3B68" w:rsidRPr="008376FC">
        <w:rPr>
          <w:rFonts w:asciiTheme="majorHAnsi" w:hAnsiTheme="majorHAnsi" w:cstheme="majorHAnsi"/>
          <w:i/>
          <w:lang w:val="en-US"/>
        </w:rPr>
        <w:t xml:space="preserve"> cu 338,8 mil.lei </w:t>
      </w:r>
      <w:r w:rsidR="00F13559" w:rsidRPr="008376FC">
        <w:rPr>
          <w:rFonts w:asciiTheme="majorHAnsi" w:hAnsiTheme="majorHAnsi" w:cstheme="majorHAnsi"/>
          <w:i/>
          <w:lang w:val="en-US"/>
        </w:rPr>
        <w:t>(pct.4.2.1);</w:t>
      </w:r>
    </w:p>
    <w:p w:rsidR="00BE3B68" w:rsidRPr="008376FC" w:rsidRDefault="00126790" w:rsidP="00F61756">
      <w:pPr>
        <w:pStyle w:val="a3"/>
        <w:numPr>
          <w:ilvl w:val="0"/>
          <w:numId w:val="53"/>
        </w:numPr>
        <w:tabs>
          <w:tab w:val="left" w:pos="426"/>
        </w:tabs>
        <w:spacing w:line="276" w:lineRule="auto"/>
        <w:jc w:val="both"/>
        <w:rPr>
          <w:rFonts w:asciiTheme="majorHAnsi" w:hAnsiTheme="majorHAnsi" w:cstheme="majorHAnsi"/>
          <w:i/>
          <w:lang w:val="en-US"/>
        </w:rPr>
      </w:pPr>
      <w:r>
        <w:rPr>
          <w:rFonts w:asciiTheme="majorHAnsi" w:hAnsiTheme="majorHAnsi" w:cstheme="majorHAnsi"/>
          <w:i/>
          <w:lang w:val="en-US"/>
        </w:rPr>
        <w:t>i</w:t>
      </w:r>
      <w:r w:rsidR="00BE3B68" w:rsidRPr="008376FC">
        <w:rPr>
          <w:rFonts w:asciiTheme="majorHAnsi" w:hAnsiTheme="majorHAnsi" w:cstheme="majorHAnsi"/>
          <w:i/>
          <w:lang w:val="en-US"/>
        </w:rPr>
        <w:t>mplementarea etapizată a proiectelor finanțate din FEN a condiționat extinderea termen</w:t>
      </w:r>
      <w:r>
        <w:rPr>
          <w:rFonts w:asciiTheme="majorHAnsi" w:hAnsiTheme="majorHAnsi" w:cstheme="majorHAnsi"/>
          <w:i/>
          <w:lang w:val="en-US"/>
        </w:rPr>
        <w:t>e</w:t>
      </w:r>
      <w:r w:rsidR="00BE3B68" w:rsidRPr="008376FC">
        <w:rPr>
          <w:rFonts w:asciiTheme="majorHAnsi" w:hAnsiTheme="majorHAnsi" w:cstheme="majorHAnsi"/>
          <w:i/>
          <w:lang w:val="en-US"/>
        </w:rPr>
        <w:t>lor de realiza</w:t>
      </w:r>
      <w:r w:rsidR="00DD3D86" w:rsidRPr="008376FC">
        <w:rPr>
          <w:rFonts w:asciiTheme="majorHAnsi" w:hAnsiTheme="majorHAnsi" w:cstheme="majorHAnsi"/>
          <w:i/>
          <w:lang w:val="en-US"/>
        </w:rPr>
        <w:t>re</w:t>
      </w:r>
      <w:r w:rsidR="00256A47" w:rsidRPr="008376FC">
        <w:rPr>
          <w:rFonts w:asciiTheme="majorHAnsi" w:hAnsiTheme="majorHAnsi" w:cstheme="majorHAnsi"/>
          <w:i/>
          <w:lang w:val="en-US"/>
        </w:rPr>
        <w:t xml:space="preserve"> </w:t>
      </w:r>
      <w:r>
        <w:rPr>
          <w:rFonts w:asciiTheme="majorHAnsi" w:hAnsiTheme="majorHAnsi" w:cstheme="majorHAnsi"/>
          <w:i/>
          <w:lang w:val="en-US"/>
        </w:rPr>
        <w:t xml:space="preserve">a lor </w:t>
      </w:r>
      <w:r w:rsidR="00256A47" w:rsidRPr="008376FC">
        <w:rPr>
          <w:rFonts w:asciiTheme="majorHAnsi" w:hAnsiTheme="majorHAnsi" w:cstheme="majorHAnsi"/>
          <w:i/>
          <w:lang w:val="en-US"/>
        </w:rPr>
        <w:t>(pct.4.2.1);</w:t>
      </w:r>
    </w:p>
    <w:p w:rsidR="00BE3B68" w:rsidRPr="008376FC" w:rsidRDefault="00126790" w:rsidP="00F61756">
      <w:pPr>
        <w:pStyle w:val="a3"/>
        <w:numPr>
          <w:ilvl w:val="0"/>
          <w:numId w:val="53"/>
        </w:numPr>
        <w:tabs>
          <w:tab w:val="left" w:pos="426"/>
        </w:tabs>
        <w:spacing w:line="276" w:lineRule="auto"/>
        <w:jc w:val="both"/>
        <w:rPr>
          <w:rFonts w:asciiTheme="majorHAnsi" w:hAnsiTheme="majorHAnsi" w:cstheme="majorHAnsi"/>
          <w:i/>
          <w:lang w:val="en-US"/>
        </w:rPr>
      </w:pPr>
      <w:r>
        <w:rPr>
          <w:rFonts w:asciiTheme="majorHAnsi" w:hAnsiTheme="majorHAnsi" w:cstheme="majorHAnsi"/>
          <w:i/>
          <w:lang w:val="en-US"/>
        </w:rPr>
        <w:t>n</w:t>
      </w:r>
      <w:r w:rsidR="0076775D" w:rsidRPr="008376FC">
        <w:rPr>
          <w:rFonts w:asciiTheme="majorHAnsi" w:hAnsiTheme="majorHAnsi" w:cstheme="majorHAnsi"/>
          <w:i/>
          <w:lang w:val="en-US"/>
        </w:rPr>
        <w:t>u a fost asigurată durabilitatea investiţiilor efectuate din FNDR</w:t>
      </w:r>
      <w:r>
        <w:rPr>
          <w:rFonts w:asciiTheme="majorHAnsi" w:hAnsiTheme="majorHAnsi" w:cstheme="majorHAnsi"/>
          <w:i/>
          <w:lang w:val="en-US"/>
        </w:rPr>
        <w:t>,</w:t>
      </w:r>
      <w:r w:rsidR="0076775D" w:rsidRPr="008376FC">
        <w:rPr>
          <w:rFonts w:asciiTheme="majorHAnsi" w:hAnsiTheme="majorHAnsi" w:cstheme="majorHAnsi"/>
          <w:i/>
          <w:lang w:val="en-US"/>
        </w:rPr>
        <w:t xml:space="preserve"> astfel rețelele construite în cadrul a 3 proiecte</w:t>
      </w:r>
      <w:r>
        <w:rPr>
          <w:rFonts w:asciiTheme="majorHAnsi" w:hAnsiTheme="majorHAnsi" w:cstheme="majorHAnsi"/>
          <w:i/>
          <w:lang w:val="en-US"/>
        </w:rPr>
        <w:t>,</w:t>
      </w:r>
      <w:r w:rsidR="0076775D" w:rsidRPr="008376FC">
        <w:rPr>
          <w:rFonts w:asciiTheme="majorHAnsi" w:hAnsiTheme="majorHAnsi" w:cstheme="majorHAnsi"/>
          <w:i/>
          <w:lang w:val="en-US"/>
        </w:rPr>
        <w:t xml:space="preserve"> în valoare totală de 87,4 mil.lei</w:t>
      </w:r>
      <w:r>
        <w:rPr>
          <w:rFonts w:asciiTheme="majorHAnsi" w:hAnsiTheme="majorHAnsi" w:cstheme="majorHAnsi"/>
          <w:i/>
          <w:lang w:val="en-US"/>
        </w:rPr>
        <w:t>,</w:t>
      </w:r>
      <w:r w:rsidR="0076775D" w:rsidRPr="008376FC">
        <w:rPr>
          <w:rFonts w:asciiTheme="majorHAnsi" w:hAnsiTheme="majorHAnsi" w:cstheme="majorHAnsi"/>
          <w:i/>
          <w:lang w:val="en-US"/>
        </w:rPr>
        <w:t xml:space="preserve"> rămân neexploatate (pct.4.2.6);</w:t>
      </w:r>
    </w:p>
    <w:p w:rsidR="00BE3B68" w:rsidRPr="00F9738C" w:rsidRDefault="00126790" w:rsidP="00F61756">
      <w:pPr>
        <w:pStyle w:val="a3"/>
        <w:numPr>
          <w:ilvl w:val="0"/>
          <w:numId w:val="53"/>
        </w:numPr>
        <w:tabs>
          <w:tab w:val="left" w:pos="426"/>
        </w:tabs>
        <w:spacing w:line="276" w:lineRule="auto"/>
        <w:jc w:val="both"/>
        <w:rPr>
          <w:rFonts w:asciiTheme="majorHAnsi" w:hAnsiTheme="majorHAnsi" w:cstheme="majorHAnsi"/>
          <w:i/>
          <w:lang w:val="en-US"/>
        </w:rPr>
      </w:pPr>
      <w:r w:rsidRPr="00F9738C">
        <w:rPr>
          <w:rFonts w:asciiTheme="majorHAnsi" w:hAnsiTheme="majorHAnsi" w:cstheme="majorHAnsi"/>
          <w:i/>
          <w:lang w:val="en-US"/>
        </w:rPr>
        <w:t>m</w:t>
      </w:r>
      <w:r w:rsidR="008C1769" w:rsidRPr="00F9738C">
        <w:rPr>
          <w:rFonts w:asciiTheme="majorHAnsi" w:hAnsiTheme="majorHAnsi" w:cstheme="majorHAnsi"/>
          <w:i/>
          <w:lang w:val="en-US"/>
        </w:rPr>
        <w:t xml:space="preserve">ecanismul de achitare a ultimei tranşe pentru proiectele finanţate din contul FNDAMR, </w:t>
      </w:r>
      <w:r w:rsidR="00AA444B" w:rsidRPr="00F9738C">
        <w:rPr>
          <w:rFonts w:asciiTheme="majorHAnsi" w:hAnsiTheme="majorHAnsi" w:cstheme="majorHAnsi"/>
          <w:i/>
          <w:lang w:val="en-US"/>
        </w:rPr>
        <w:t xml:space="preserve">conform căruia </w:t>
      </w:r>
      <w:r w:rsidR="004B2806" w:rsidRPr="00F9738C">
        <w:rPr>
          <w:rFonts w:asciiTheme="majorHAnsi" w:hAnsiTheme="majorHAnsi" w:cstheme="majorHAnsi"/>
          <w:i/>
          <w:lang w:val="en-US"/>
        </w:rPr>
        <w:t xml:space="preserve">este </w:t>
      </w:r>
      <w:r w:rsidR="008C1769" w:rsidRPr="00F9738C">
        <w:rPr>
          <w:rFonts w:asciiTheme="majorHAnsi" w:hAnsiTheme="majorHAnsi" w:cstheme="majorHAnsi"/>
          <w:i/>
          <w:lang w:val="en-US"/>
        </w:rPr>
        <w:t>necesară prezentarea Procesului</w:t>
      </w:r>
      <w:r w:rsidR="004B2806" w:rsidRPr="00F9738C">
        <w:rPr>
          <w:rFonts w:asciiTheme="majorHAnsi" w:hAnsiTheme="majorHAnsi" w:cstheme="majorHAnsi"/>
          <w:i/>
          <w:lang w:val="en-US"/>
        </w:rPr>
        <w:t>-</w:t>
      </w:r>
      <w:r w:rsidR="008C1769" w:rsidRPr="00F9738C">
        <w:rPr>
          <w:rFonts w:asciiTheme="majorHAnsi" w:hAnsiTheme="majorHAnsi" w:cstheme="majorHAnsi"/>
          <w:i/>
          <w:lang w:val="en-US"/>
        </w:rPr>
        <w:t>verbal de recepţie finală, generează riscul de a pierde dreptul la perioada de garanție stabilită în contract</w:t>
      </w:r>
      <w:r w:rsidR="005F7AA4" w:rsidRPr="00F9738C">
        <w:rPr>
          <w:rFonts w:asciiTheme="majorHAnsi" w:hAnsiTheme="majorHAnsi" w:cstheme="majorHAnsi"/>
          <w:i/>
          <w:lang w:val="en-US"/>
        </w:rPr>
        <w:t>ul de antrepriză</w:t>
      </w:r>
      <w:r w:rsidR="008C1769" w:rsidRPr="00F9738C">
        <w:rPr>
          <w:rFonts w:asciiTheme="majorHAnsi" w:hAnsiTheme="majorHAnsi" w:cstheme="majorHAnsi"/>
          <w:i/>
          <w:lang w:val="en-US"/>
        </w:rPr>
        <w:t xml:space="preserve"> (pct.4.2.7)</w:t>
      </w:r>
      <w:r w:rsidR="00C62615" w:rsidRPr="00F9738C">
        <w:rPr>
          <w:rFonts w:asciiTheme="majorHAnsi" w:hAnsiTheme="majorHAnsi" w:cstheme="majorHAnsi"/>
          <w:i/>
          <w:lang w:val="en-US"/>
        </w:rPr>
        <w:t>;</w:t>
      </w:r>
    </w:p>
    <w:p w:rsidR="00BE3B68" w:rsidRPr="008376FC" w:rsidRDefault="00AF6C53" w:rsidP="00F61756">
      <w:pPr>
        <w:pStyle w:val="a3"/>
        <w:numPr>
          <w:ilvl w:val="0"/>
          <w:numId w:val="53"/>
        </w:numPr>
        <w:spacing w:line="276" w:lineRule="auto"/>
        <w:jc w:val="both"/>
        <w:rPr>
          <w:rFonts w:asciiTheme="majorHAnsi" w:hAnsiTheme="majorHAnsi" w:cstheme="majorHAnsi"/>
          <w:i/>
          <w:lang w:val="en-US"/>
        </w:rPr>
      </w:pPr>
      <w:r w:rsidRPr="00510CDB">
        <w:rPr>
          <w:rFonts w:asciiTheme="majorHAnsi" w:hAnsiTheme="majorHAnsi" w:cstheme="majorHAnsi"/>
          <w:i/>
          <w:lang w:val="en-US"/>
        </w:rPr>
        <w:t xml:space="preserve">lungimea </w:t>
      </w:r>
      <w:r w:rsidR="00C62615" w:rsidRPr="00510CDB">
        <w:rPr>
          <w:rFonts w:asciiTheme="majorHAnsi" w:hAnsiTheme="majorHAnsi" w:cstheme="majorHAnsi"/>
          <w:i/>
          <w:lang w:val="en-US"/>
        </w:rPr>
        <w:t>sistemelor de canalizare a crescut nesemnificativ</w:t>
      </w:r>
      <w:r w:rsidR="00AA444B" w:rsidRPr="00510CDB">
        <w:rPr>
          <w:rFonts w:asciiTheme="majorHAnsi" w:hAnsiTheme="majorHAnsi" w:cstheme="majorHAnsi"/>
          <w:i/>
          <w:lang w:val="en-US"/>
        </w:rPr>
        <w:t xml:space="preserve"> (+</w:t>
      </w:r>
      <w:r w:rsidR="0094197F" w:rsidRPr="00510CDB">
        <w:rPr>
          <w:rFonts w:asciiTheme="majorHAnsi" w:hAnsiTheme="majorHAnsi" w:cstheme="majorHAnsi"/>
          <w:i/>
          <w:lang w:val="en-US"/>
        </w:rPr>
        <w:t>0,2 mii km</w:t>
      </w:r>
      <w:r w:rsidR="00AA444B" w:rsidRPr="00510CDB">
        <w:rPr>
          <w:rFonts w:asciiTheme="majorHAnsi" w:hAnsiTheme="majorHAnsi" w:cstheme="majorHAnsi"/>
          <w:i/>
          <w:lang w:val="en-US"/>
        </w:rPr>
        <w:t>)</w:t>
      </w:r>
      <w:r w:rsidR="004B2806" w:rsidRPr="00510CDB">
        <w:rPr>
          <w:rFonts w:asciiTheme="majorHAnsi" w:hAnsiTheme="majorHAnsi" w:cstheme="majorHAnsi"/>
          <w:i/>
          <w:lang w:val="en-US"/>
        </w:rPr>
        <w:t>,</w:t>
      </w:r>
      <w:r w:rsidR="00AA444B" w:rsidRPr="00510CDB">
        <w:rPr>
          <w:rFonts w:asciiTheme="majorHAnsi" w:hAnsiTheme="majorHAnsi" w:cstheme="majorHAnsi"/>
          <w:i/>
          <w:lang w:val="en-US"/>
        </w:rPr>
        <w:t xml:space="preserve"> </w:t>
      </w:r>
      <w:r w:rsidR="00C62615" w:rsidRPr="00510CDB">
        <w:rPr>
          <w:rFonts w:asciiTheme="majorHAnsi" w:hAnsiTheme="majorHAnsi" w:cstheme="majorHAnsi"/>
          <w:i/>
          <w:lang w:val="en-US"/>
        </w:rPr>
        <w:t xml:space="preserve">comparativ cu </w:t>
      </w:r>
      <w:r w:rsidRPr="00510CDB">
        <w:rPr>
          <w:rFonts w:asciiTheme="majorHAnsi" w:hAnsiTheme="majorHAnsi" w:cstheme="majorHAnsi"/>
          <w:i/>
          <w:lang w:val="en-US"/>
        </w:rPr>
        <w:t>lungimea</w:t>
      </w:r>
      <w:r w:rsidRPr="008376FC">
        <w:rPr>
          <w:rFonts w:asciiTheme="majorHAnsi" w:hAnsiTheme="majorHAnsi" w:cstheme="majorHAnsi"/>
          <w:i/>
          <w:lang w:val="en-US"/>
        </w:rPr>
        <w:t xml:space="preserve"> </w:t>
      </w:r>
      <w:r w:rsidR="00C62615" w:rsidRPr="008376FC">
        <w:rPr>
          <w:rFonts w:asciiTheme="majorHAnsi" w:hAnsiTheme="majorHAnsi" w:cstheme="majorHAnsi"/>
          <w:i/>
          <w:lang w:val="en-US"/>
        </w:rPr>
        <w:t>sistemelor de alimentare cu apă</w:t>
      </w:r>
      <w:r w:rsidR="00AA444B" w:rsidRPr="008376FC">
        <w:rPr>
          <w:rFonts w:asciiTheme="majorHAnsi" w:hAnsiTheme="majorHAnsi" w:cstheme="majorHAnsi"/>
          <w:i/>
          <w:lang w:val="en-US"/>
        </w:rPr>
        <w:t xml:space="preserve"> (+</w:t>
      </w:r>
      <w:r w:rsidR="0094197F" w:rsidRPr="008376FC">
        <w:rPr>
          <w:rFonts w:asciiTheme="majorHAnsi" w:hAnsiTheme="majorHAnsi" w:cstheme="majorHAnsi"/>
          <w:i/>
          <w:lang w:val="en-US"/>
        </w:rPr>
        <w:t>3,1 mii km</w:t>
      </w:r>
      <w:r w:rsidR="00AA444B" w:rsidRPr="008376FC">
        <w:rPr>
          <w:rFonts w:asciiTheme="majorHAnsi" w:hAnsiTheme="majorHAnsi" w:cstheme="majorHAnsi"/>
          <w:i/>
          <w:lang w:val="en-US"/>
        </w:rPr>
        <w:t>)</w:t>
      </w:r>
      <w:r w:rsidR="00C62615" w:rsidRPr="008376FC">
        <w:rPr>
          <w:rFonts w:asciiTheme="majorHAnsi" w:hAnsiTheme="majorHAnsi" w:cstheme="majorHAnsi"/>
          <w:i/>
          <w:lang w:val="en-US"/>
        </w:rPr>
        <w:t>, fapt ce contribuie la creşterea gradului de poluare a resurselor de apă (pct.4.3.8);</w:t>
      </w:r>
    </w:p>
    <w:p w:rsidR="00BE3B68" w:rsidRPr="008376FC" w:rsidRDefault="004B2806" w:rsidP="00F61756">
      <w:pPr>
        <w:pStyle w:val="a3"/>
        <w:numPr>
          <w:ilvl w:val="0"/>
          <w:numId w:val="53"/>
        </w:numPr>
        <w:tabs>
          <w:tab w:val="left" w:pos="426"/>
        </w:tabs>
        <w:spacing w:line="276" w:lineRule="auto"/>
        <w:jc w:val="both"/>
        <w:rPr>
          <w:rFonts w:asciiTheme="majorHAnsi" w:hAnsiTheme="majorHAnsi" w:cstheme="majorHAnsi"/>
          <w:i/>
          <w:lang w:val="en-US"/>
        </w:rPr>
      </w:pPr>
      <w:r>
        <w:rPr>
          <w:rFonts w:asciiTheme="majorHAnsi" w:hAnsiTheme="majorHAnsi" w:cstheme="majorHAnsi"/>
          <w:i/>
          <w:lang w:val="en-US"/>
        </w:rPr>
        <w:t>n</w:t>
      </w:r>
      <w:r w:rsidR="001824B4" w:rsidRPr="008376FC">
        <w:rPr>
          <w:rFonts w:asciiTheme="majorHAnsi" w:hAnsiTheme="majorHAnsi" w:cstheme="majorHAnsi"/>
          <w:i/>
          <w:lang w:val="en-US"/>
        </w:rPr>
        <w:t>icio structură statală din țară nu deține date reale privind numărul stațiilor de epurare a apelor uzate (pct.4.3.11);</w:t>
      </w:r>
    </w:p>
    <w:p w:rsidR="00BE3B68" w:rsidRPr="008376FC" w:rsidRDefault="004B2806" w:rsidP="00F61756">
      <w:pPr>
        <w:pStyle w:val="a3"/>
        <w:numPr>
          <w:ilvl w:val="0"/>
          <w:numId w:val="53"/>
        </w:numPr>
        <w:tabs>
          <w:tab w:val="left" w:pos="426"/>
        </w:tabs>
        <w:spacing w:line="276" w:lineRule="auto"/>
        <w:jc w:val="both"/>
        <w:rPr>
          <w:rFonts w:asciiTheme="majorHAnsi" w:hAnsiTheme="majorHAnsi" w:cstheme="majorHAnsi"/>
          <w:i/>
          <w:lang w:val="en-US"/>
        </w:rPr>
      </w:pPr>
      <w:r>
        <w:rPr>
          <w:rFonts w:asciiTheme="majorHAnsi" w:hAnsiTheme="majorHAnsi" w:cstheme="majorHAnsi"/>
          <w:i/>
          <w:lang w:val="en-US"/>
        </w:rPr>
        <w:t>m</w:t>
      </w:r>
      <w:r w:rsidR="001824B4" w:rsidRPr="008376FC">
        <w:rPr>
          <w:rFonts w:asciiTheme="majorHAnsi" w:hAnsiTheme="majorHAnsi" w:cstheme="majorHAnsi"/>
          <w:i/>
          <w:lang w:val="en-US"/>
        </w:rPr>
        <w:t>are</w:t>
      </w:r>
      <w:r>
        <w:rPr>
          <w:rFonts w:asciiTheme="majorHAnsi" w:hAnsiTheme="majorHAnsi" w:cstheme="majorHAnsi"/>
          <w:i/>
          <w:lang w:val="en-US"/>
        </w:rPr>
        <w:t>a</w:t>
      </w:r>
      <w:r w:rsidR="001824B4" w:rsidRPr="008376FC">
        <w:rPr>
          <w:rFonts w:asciiTheme="majorHAnsi" w:hAnsiTheme="majorHAnsi" w:cstheme="majorHAnsi"/>
          <w:i/>
          <w:lang w:val="en-US"/>
        </w:rPr>
        <w:t xml:space="preserve"> parte a stațiilor de epurare a apelor uzate nu corespund</w:t>
      </w:r>
      <w:r>
        <w:rPr>
          <w:rFonts w:asciiTheme="majorHAnsi" w:hAnsiTheme="majorHAnsi" w:cstheme="majorHAnsi"/>
          <w:i/>
          <w:lang w:val="en-US"/>
        </w:rPr>
        <w:t>e</w:t>
      </w:r>
      <w:r w:rsidR="001824B4" w:rsidRPr="008376FC">
        <w:rPr>
          <w:rFonts w:asciiTheme="majorHAnsi" w:hAnsiTheme="majorHAnsi" w:cstheme="majorHAnsi"/>
          <w:i/>
          <w:lang w:val="en-US"/>
        </w:rPr>
        <w:t xml:space="preserve"> normativelor în vigoare şi nu asigură epurarea la nivel n</w:t>
      </w:r>
      <w:r w:rsidR="00AE644C" w:rsidRPr="008376FC">
        <w:rPr>
          <w:rFonts w:asciiTheme="majorHAnsi" w:hAnsiTheme="majorHAnsi" w:cstheme="majorHAnsi"/>
          <w:i/>
          <w:lang w:val="en-US"/>
        </w:rPr>
        <w:t>ecesar a</w:t>
      </w:r>
      <w:r w:rsidR="001824B4" w:rsidRPr="008376FC">
        <w:rPr>
          <w:rFonts w:asciiTheme="majorHAnsi" w:hAnsiTheme="majorHAnsi" w:cstheme="majorHAnsi"/>
          <w:i/>
          <w:lang w:val="en-US"/>
        </w:rPr>
        <w:t xml:space="preserve"> apelor uzate (pct.4.3.12 şi pct.4.3.13); </w:t>
      </w:r>
    </w:p>
    <w:p w:rsidR="00BE3B68" w:rsidRPr="008376FC" w:rsidRDefault="004B2806" w:rsidP="00F61756">
      <w:pPr>
        <w:pStyle w:val="a3"/>
        <w:numPr>
          <w:ilvl w:val="0"/>
          <w:numId w:val="53"/>
        </w:numPr>
        <w:tabs>
          <w:tab w:val="left" w:pos="426"/>
        </w:tabs>
        <w:spacing w:line="276" w:lineRule="auto"/>
        <w:jc w:val="both"/>
        <w:rPr>
          <w:rFonts w:asciiTheme="majorHAnsi" w:hAnsiTheme="majorHAnsi" w:cstheme="majorHAnsi"/>
          <w:i/>
          <w:lang w:val="en-US"/>
        </w:rPr>
      </w:pPr>
      <w:r>
        <w:rPr>
          <w:rFonts w:asciiTheme="majorHAnsi" w:hAnsiTheme="majorHAnsi" w:cstheme="majorHAnsi"/>
          <w:i/>
          <w:lang w:val="en-US"/>
        </w:rPr>
        <w:t>f</w:t>
      </w:r>
      <w:r w:rsidR="00AA444B" w:rsidRPr="008376FC">
        <w:rPr>
          <w:rFonts w:asciiTheme="majorHAnsi" w:hAnsiTheme="majorHAnsi" w:cstheme="majorHAnsi"/>
          <w:i/>
          <w:lang w:val="en-US"/>
        </w:rPr>
        <w:t>actorii de decizie responsabil</w:t>
      </w:r>
      <w:r w:rsidR="00A172E4" w:rsidRPr="008376FC">
        <w:rPr>
          <w:rFonts w:asciiTheme="majorHAnsi" w:hAnsiTheme="majorHAnsi" w:cstheme="majorHAnsi"/>
          <w:i/>
          <w:lang w:val="en-US"/>
        </w:rPr>
        <w:t>i</w:t>
      </w:r>
      <w:r w:rsidR="00AA444B" w:rsidRPr="008376FC">
        <w:rPr>
          <w:rFonts w:asciiTheme="majorHAnsi" w:hAnsiTheme="majorHAnsi" w:cstheme="majorHAnsi"/>
          <w:i/>
          <w:lang w:val="en-US"/>
        </w:rPr>
        <w:t xml:space="preserve"> de emiterea </w:t>
      </w:r>
      <w:r w:rsidR="009728E2" w:rsidRPr="008376FC">
        <w:rPr>
          <w:rFonts w:asciiTheme="majorHAnsi" w:hAnsiTheme="majorHAnsi" w:cstheme="majorHAnsi"/>
          <w:i/>
          <w:lang w:val="en-US"/>
        </w:rPr>
        <w:t>autorizaţii</w:t>
      </w:r>
      <w:r w:rsidR="00AA444B" w:rsidRPr="008376FC">
        <w:rPr>
          <w:rFonts w:asciiTheme="majorHAnsi" w:hAnsiTheme="majorHAnsi" w:cstheme="majorHAnsi"/>
          <w:i/>
          <w:lang w:val="en-US"/>
        </w:rPr>
        <w:t>lor</w:t>
      </w:r>
      <w:r w:rsidR="000056B2" w:rsidRPr="008376FC">
        <w:rPr>
          <w:lang w:val="en-US"/>
        </w:rPr>
        <w:t xml:space="preserve"> </w:t>
      </w:r>
      <w:r w:rsidR="009728E2" w:rsidRPr="008376FC">
        <w:rPr>
          <w:rFonts w:asciiTheme="majorHAnsi" w:hAnsiTheme="majorHAnsi" w:cstheme="majorHAnsi"/>
          <w:i/>
          <w:lang w:val="en-US"/>
        </w:rPr>
        <w:t>de mediu pentru folosință specială a apei</w:t>
      </w:r>
      <w:r w:rsidR="002D15A4" w:rsidRPr="008376FC">
        <w:rPr>
          <w:rFonts w:asciiTheme="majorHAnsi" w:hAnsiTheme="majorHAnsi" w:cstheme="majorHAnsi"/>
          <w:i/>
          <w:lang w:val="en-US"/>
        </w:rPr>
        <w:t xml:space="preserve"> </w:t>
      </w:r>
      <w:r w:rsidR="00AA444B" w:rsidRPr="008376FC">
        <w:rPr>
          <w:rFonts w:asciiTheme="majorHAnsi" w:hAnsiTheme="majorHAnsi" w:cstheme="majorHAnsi"/>
          <w:i/>
          <w:lang w:val="en-US"/>
        </w:rPr>
        <w:t xml:space="preserve">nu cunosc numărul acestora </w:t>
      </w:r>
      <w:r w:rsidR="009728E2" w:rsidRPr="008376FC">
        <w:rPr>
          <w:rFonts w:asciiTheme="majorHAnsi" w:hAnsiTheme="majorHAnsi" w:cstheme="majorHAnsi"/>
          <w:i/>
          <w:lang w:val="en-US"/>
        </w:rPr>
        <w:t>la zi (pct.4.3.15)</w:t>
      </w:r>
      <w:r w:rsidR="005D08E5" w:rsidRPr="008376FC">
        <w:rPr>
          <w:rFonts w:asciiTheme="majorHAnsi" w:hAnsiTheme="majorHAnsi" w:cstheme="majorHAnsi"/>
          <w:i/>
          <w:lang w:val="en-US"/>
        </w:rPr>
        <w:t>;</w:t>
      </w:r>
    </w:p>
    <w:p w:rsidR="00BE3B68" w:rsidRPr="008376FC" w:rsidRDefault="005D08E5" w:rsidP="00F61756">
      <w:pPr>
        <w:pStyle w:val="a3"/>
        <w:numPr>
          <w:ilvl w:val="0"/>
          <w:numId w:val="53"/>
        </w:numPr>
        <w:tabs>
          <w:tab w:val="left" w:pos="426"/>
        </w:tabs>
        <w:spacing w:line="276" w:lineRule="auto"/>
        <w:jc w:val="both"/>
        <w:rPr>
          <w:rFonts w:asciiTheme="majorHAnsi" w:hAnsiTheme="majorHAnsi" w:cstheme="majorHAnsi"/>
          <w:i/>
          <w:lang w:val="en-US"/>
        </w:rPr>
      </w:pPr>
      <w:r w:rsidRPr="008376FC">
        <w:rPr>
          <w:rFonts w:asciiTheme="majorHAnsi" w:hAnsiTheme="majorHAnsi" w:cstheme="majorHAnsi"/>
          <w:i/>
          <w:lang w:val="en-US"/>
        </w:rPr>
        <w:t>plenitudinea datelor aferente domeniul</w:t>
      </w:r>
      <w:r w:rsidR="004B2806">
        <w:rPr>
          <w:rFonts w:asciiTheme="majorHAnsi" w:hAnsiTheme="majorHAnsi" w:cstheme="majorHAnsi"/>
          <w:i/>
          <w:lang w:val="en-US"/>
        </w:rPr>
        <w:t>ui</w:t>
      </w:r>
      <w:r w:rsidRPr="008376FC">
        <w:rPr>
          <w:rFonts w:asciiTheme="majorHAnsi" w:hAnsiTheme="majorHAnsi" w:cstheme="majorHAnsi"/>
          <w:i/>
          <w:lang w:val="en-US"/>
        </w:rPr>
        <w:t xml:space="preserve"> alimentării cu apă şi sanitație</w:t>
      </w:r>
      <w:r w:rsidR="004B2806">
        <w:rPr>
          <w:rFonts w:asciiTheme="majorHAnsi" w:hAnsiTheme="majorHAnsi" w:cstheme="majorHAnsi"/>
          <w:i/>
          <w:lang w:val="en-US"/>
        </w:rPr>
        <w:t>i</w:t>
      </w:r>
      <w:r w:rsidRPr="008376FC">
        <w:rPr>
          <w:rFonts w:asciiTheme="majorHAnsi" w:hAnsiTheme="majorHAnsi" w:cstheme="majorHAnsi"/>
          <w:i/>
          <w:lang w:val="en-US"/>
        </w:rPr>
        <w:t xml:space="preserve"> colectat</w:t>
      </w:r>
      <w:r w:rsidR="00CF2632" w:rsidRPr="008376FC">
        <w:rPr>
          <w:rFonts w:asciiTheme="majorHAnsi" w:hAnsiTheme="majorHAnsi" w:cstheme="majorHAnsi"/>
          <w:i/>
          <w:lang w:val="en-US"/>
        </w:rPr>
        <w:t>e</w:t>
      </w:r>
      <w:r w:rsidRPr="008376FC">
        <w:rPr>
          <w:rFonts w:asciiTheme="majorHAnsi" w:hAnsiTheme="majorHAnsi" w:cstheme="majorHAnsi"/>
          <w:i/>
          <w:lang w:val="en-US"/>
        </w:rPr>
        <w:t xml:space="preserve"> de BNS</w:t>
      </w:r>
      <w:r w:rsidR="00AE644C" w:rsidRPr="008376FC">
        <w:rPr>
          <w:rFonts w:asciiTheme="majorHAnsi" w:hAnsiTheme="majorHAnsi" w:cstheme="majorHAnsi"/>
          <w:i/>
          <w:lang w:val="en-US"/>
        </w:rPr>
        <w:t>, ANRE şi IPM</w:t>
      </w:r>
      <w:r w:rsidRPr="008376FC">
        <w:rPr>
          <w:rFonts w:asciiTheme="majorHAnsi" w:hAnsiTheme="majorHAnsi" w:cstheme="majorHAnsi"/>
          <w:i/>
          <w:lang w:val="en-US"/>
        </w:rPr>
        <w:t xml:space="preserve"> </w:t>
      </w:r>
      <w:r w:rsidR="00CF2632" w:rsidRPr="008376FC">
        <w:rPr>
          <w:rFonts w:asciiTheme="majorHAnsi" w:hAnsiTheme="majorHAnsi" w:cstheme="majorHAnsi"/>
          <w:i/>
          <w:lang w:val="en-US"/>
        </w:rPr>
        <w:t>nu relevă s</w:t>
      </w:r>
      <w:r w:rsidR="002D15A4" w:rsidRPr="008376FC">
        <w:rPr>
          <w:rFonts w:asciiTheme="majorHAnsi" w:hAnsiTheme="majorHAnsi" w:cstheme="majorHAnsi"/>
          <w:i/>
          <w:lang w:val="en-US"/>
        </w:rPr>
        <w:t>it</w:t>
      </w:r>
      <w:r w:rsidR="00CF2632" w:rsidRPr="008376FC">
        <w:rPr>
          <w:rFonts w:asciiTheme="majorHAnsi" w:hAnsiTheme="majorHAnsi" w:cstheme="majorHAnsi"/>
          <w:i/>
          <w:lang w:val="en-US"/>
        </w:rPr>
        <w:t>uația reală în d</w:t>
      </w:r>
      <w:r w:rsidR="004B2806">
        <w:rPr>
          <w:rFonts w:asciiTheme="majorHAnsi" w:hAnsiTheme="majorHAnsi" w:cstheme="majorHAnsi"/>
          <w:i/>
          <w:lang w:val="en-US"/>
        </w:rPr>
        <w:t>o</w:t>
      </w:r>
      <w:r w:rsidR="00CF2632" w:rsidRPr="008376FC">
        <w:rPr>
          <w:rFonts w:asciiTheme="majorHAnsi" w:hAnsiTheme="majorHAnsi" w:cstheme="majorHAnsi"/>
          <w:i/>
          <w:lang w:val="en-US"/>
        </w:rPr>
        <w:t>meniu</w:t>
      </w:r>
      <w:r w:rsidR="002D15A4" w:rsidRPr="008376FC">
        <w:rPr>
          <w:rFonts w:asciiTheme="majorHAnsi" w:hAnsiTheme="majorHAnsi" w:cstheme="majorHAnsi"/>
          <w:i/>
          <w:lang w:val="en-US"/>
        </w:rPr>
        <w:t xml:space="preserve"> </w:t>
      </w:r>
      <w:r w:rsidRPr="008376FC">
        <w:rPr>
          <w:rFonts w:asciiTheme="majorHAnsi" w:hAnsiTheme="majorHAnsi" w:cstheme="majorHAnsi"/>
          <w:i/>
          <w:lang w:val="en-US"/>
        </w:rPr>
        <w:t>(pct.4.3.20)</w:t>
      </w:r>
      <w:r w:rsidR="009728E2" w:rsidRPr="008376FC">
        <w:rPr>
          <w:rFonts w:asciiTheme="majorHAnsi" w:hAnsiTheme="majorHAnsi" w:cstheme="majorHAnsi"/>
          <w:i/>
          <w:lang w:val="en-US"/>
        </w:rPr>
        <w:t>;</w:t>
      </w:r>
    </w:p>
    <w:p w:rsidR="00BE3B68" w:rsidRPr="008376FC" w:rsidRDefault="005107F5" w:rsidP="00F61756">
      <w:pPr>
        <w:pStyle w:val="a3"/>
        <w:numPr>
          <w:ilvl w:val="0"/>
          <w:numId w:val="53"/>
        </w:numPr>
        <w:tabs>
          <w:tab w:val="left" w:pos="426"/>
        </w:tabs>
        <w:spacing w:line="276" w:lineRule="auto"/>
        <w:jc w:val="both"/>
        <w:rPr>
          <w:rFonts w:asciiTheme="majorHAnsi" w:hAnsiTheme="majorHAnsi" w:cstheme="majorHAnsi"/>
          <w:i/>
          <w:lang w:val="en-US"/>
        </w:rPr>
      </w:pPr>
      <w:r w:rsidRPr="008376FC">
        <w:rPr>
          <w:rFonts w:asciiTheme="majorHAnsi" w:hAnsiTheme="majorHAnsi" w:cstheme="majorHAnsi"/>
          <w:i/>
          <w:lang w:val="en-US"/>
        </w:rPr>
        <w:t>la moment nu există un SIA funcţional care să asigure plenitudinea evidenţei OITE, deși conceptul SIA ROITE a fost aprobat în anul 2014 (4.3.21)</w:t>
      </w:r>
      <w:r w:rsidR="00F33DFC" w:rsidRPr="008376FC">
        <w:rPr>
          <w:rFonts w:asciiTheme="majorHAnsi" w:hAnsiTheme="majorHAnsi" w:cstheme="majorHAnsi"/>
          <w:i/>
          <w:lang w:val="en-US"/>
        </w:rPr>
        <w:t>;</w:t>
      </w:r>
    </w:p>
    <w:p w:rsidR="00BE3B68" w:rsidRPr="008376FC" w:rsidRDefault="004B2806" w:rsidP="00F61756">
      <w:pPr>
        <w:pStyle w:val="a3"/>
        <w:numPr>
          <w:ilvl w:val="0"/>
          <w:numId w:val="53"/>
        </w:numPr>
        <w:tabs>
          <w:tab w:val="left" w:pos="426"/>
        </w:tabs>
        <w:spacing w:line="276" w:lineRule="auto"/>
        <w:jc w:val="both"/>
        <w:rPr>
          <w:rFonts w:asciiTheme="majorHAnsi" w:hAnsiTheme="majorHAnsi" w:cstheme="majorHAnsi"/>
          <w:i/>
          <w:lang w:val="en-US"/>
        </w:rPr>
      </w:pPr>
      <w:r>
        <w:rPr>
          <w:rFonts w:asciiTheme="majorHAnsi" w:hAnsiTheme="majorHAnsi" w:cstheme="majorHAnsi"/>
          <w:i/>
          <w:lang w:val="en-US"/>
        </w:rPr>
        <w:t>c</w:t>
      </w:r>
      <w:r w:rsidR="0082204E" w:rsidRPr="008376FC">
        <w:rPr>
          <w:rFonts w:asciiTheme="majorHAnsi" w:hAnsiTheme="majorHAnsi" w:cstheme="majorHAnsi"/>
          <w:i/>
          <w:lang w:val="en-US"/>
        </w:rPr>
        <w:t>adrul normativ național privind asig</w:t>
      </w:r>
      <w:r w:rsidR="00AE644C" w:rsidRPr="008376FC">
        <w:rPr>
          <w:rFonts w:asciiTheme="majorHAnsi" w:hAnsiTheme="majorHAnsi" w:cstheme="majorHAnsi"/>
          <w:i/>
          <w:lang w:val="en-US"/>
        </w:rPr>
        <w:t xml:space="preserve">urarea calității apei potabile </w:t>
      </w:r>
      <w:r w:rsidR="0082204E" w:rsidRPr="008376FC">
        <w:rPr>
          <w:rFonts w:asciiTheme="majorHAnsi" w:hAnsiTheme="majorHAnsi" w:cstheme="majorHAnsi"/>
          <w:i/>
          <w:lang w:val="en-US"/>
        </w:rPr>
        <w:t xml:space="preserve">este în </w:t>
      </w:r>
      <w:r>
        <w:rPr>
          <w:rFonts w:asciiTheme="majorHAnsi" w:hAnsiTheme="majorHAnsi" w:cstheme="majorHAnsi"/>
          <w:i/>
          <w:lang w:val="en-US"/>
        </w:rPr>
        <w:t xml:space="preserve">etapa de </w:t>
      </w:r>
      <w:r w:rsidR="0082204E" w:rsidRPr="008376FC">
        <w:rPr>
          <w:rFonts w:asciiTheme="majorHAnsi" w:hAnsiTheme="majorHAnsi" w:cstheme="majorHAnsi"/>
          <w:i/>
          <w:lang w:val="en-US"/>
        </w:rPr>
        <w:t>elaborare (4.4.1);</w:t>
      </w:r>
    </w:p>
    <w:p w:rsidR="000D4D5B" w:rsidRPr="008376FC" w:rsidRDefault="004B2806" w:rsidP="00F61756">
      <w:pPr>
        <w:pStyle w:val="a3"/>
        <w:numPr>
          <w:ilvl w:val="0"/>
          <w:numId w:val="53"/>
        </w:numPr>
        <w:tabs>
          <w:tab w:val="left" w:pos="426"/>
        </w:tabs>
        <w:spacing w:line="276" w:lineRule="auto"/>
        <w:jc w:val="both"/>
        <w:rPr>
          <w:rFonts w:asciiTheme="majorHAnsi" w:hAnsiTheme="majorHAnsi" w:cstheme="majorHAnsi"/>
          <w:i/>
          <w:lang w:val="en-US"/>
        </w:rPr>
      </w:pPr>
      <w:r>
        <w:rPr>
          <w:rFonts w:asciiTheme="majorHAnsi" w:hAnsiTheme="majorHAnsi" w:cstheme="majorHAnsi"/>
          <w:i/>
          <w:lang w:val="en-US"/>
        </w:rPr>
        <w:t>m</w:t>
      </w:r>
      <w:r w:rsidR="00F33DFC" w:rsidRPr="008376FC">
        <w:rPr>
          <w:rFonts w:asciiTheme="majorHAnsi" w:hAnsiTheme="majorHAnsi" w:cstheme="majorHAnsi"/>
          <w:i/>
          <w:lang w:val="en-US"/>
        </w:rPr>
        <w:t xml:space="preserve">ecanismul </w:t>
      </w:r>
      <w:r w:rsidR="000D4D5B" w:rsidRPr="008376FC">
        <w:rPr>
          <w:rFonts w:asciiTheme="majorHAnsi" w:hAnsiTheme="majorHAnsi" w:cstheme="majorHAnsi"/>
          <w:i/>
          <w:lang w:val="en-US"/>
        </w:rPr>
        <w:t>de monitorizare</w:t>
      </w:r>
      <w:r w:rsidR="00CF2632" w:rsidRPr="008376FC">
        <w:rPr>
          <w:rFonts w:asciiTheme="majorHAnsi" w:hAnsiTheme="majorHAnsi" w:cstheme="majorHAnsi"/>
          <w:i/>
          <w:lang w:val="en-US"/>
        </w:rPr>
        <w:t xml:space="preserve"> a</w:t>
      </w:r>
      <w:r w:rsidR="000D4D5B" w:rsidRPr="008376FC">
        <w:rPr>
          <w:rFonts w:asciiTheme="majorHAnsi" w:hAnsiTheme="majorHAnsi" w:cstheme="majorHAnsi"/>
          <w:i/>
          <w:lang w:val="en-US"/>
        </w:rPr>
        <w:t xml:space="preserve"> calității apei potabile necesită consolidare, în special în privința garantării calității investigațiilor de laborator (4.4.3);</w:t>
      </w:r>
    </w:p>
    <w:p w:rsidR="00BE3B68" w:rsidRPr="008376FC" w:rsidRDefault="004B2806" w:rsidP="00F61756">
      <w:pPr>
        <w:pStyle w:val="a3"/>
        <w:numPr>
          <w:ilvl w:val="0"/>
          <w:numId w:val="53"/>
        </w:numPr>
        <w:tabs>
          <w:tab w:val="left" w:pos="426"/>
        </w:tabs>
        <w:spacing w:line="276" w:lineRule="auto"/>
        <w:jc w:val="both"/>
        <w:rPr>
          <w:rFonts w:asciiTheme="majorHAnsi" w:hAnsiTheme="majorHAnsi" w:cstheme="majorHAnsi"/>
          <w:i/>
          <w:lang w:val="en-US"/>
        </w:rPr>
      </w:pPr>
      <w:r>
        <w:rPr>
          <w:rFonts w:asciiTheme="majorHAnsi" w:hAnsiTheme="majorHAnsi" w:cstheme="majorHAnsi"/>
          <w:i/>
          <w:lang w:val="en-US"/>
        </w:rPr>
        <w:t>t</w:t>
      </w:r>
      <w:r w:rsidR="00BF0843" w:rsidRPr="008376FC">
        <w:rPr>
          <w:rFonts w:asciiTheme="majorHAnsi" w:hAnsiTheme="majorHAnsi" w:cstheme="majorHAnsi"/>
          <w:i/>
          <w:lang w:val="en-US"/>
        </w:rPr>
        <w:t xml:space="preserve">arifele pentru prestarea serviciilor de aprovizionare cu apă și sanitație la </w:t>
      </w:r>
      <w:r w:rsidR="00AE644C" w:rsidRPr="008376FC">
        <w:rPr>
          <w:rFonts w:asciiTheme="majorHAnsi" w:hAnsiTheme="majorHAnsi" w:cstheme="majorHAnsi"/>
          <w:i/>
          <w:lang w:val="en-US"/>
        </w:rPr>
        <w:t>mai mulţi</w:t>
      </w:r>
      <w:r w:rsidR="00BF0843" w:rsidRPr="008376FC">
        <w:rPr>
          <w:rFonts w:asciiTheme="majorHAnsi" w:hAnsiTheme="majorHAnsi" w:cstheme="majorHAnsi"/>
          <w:i/>
          <w:lang w:val="en-US"/>
        </w:rPr>
        <w:t xml:space="preserve"> operatori nu au fost modificate pe parcursul mai multor ani, ceea ce a dus la cumularea pierderilor de către întreprinderile gestionare a infrastructurii de apeduct și canalizare (4.5.1);</w:t>
      </w:r>
    </w:p>
    <w:p w:rsidR="00BE3B68" w:rsidRPr="008376FC" w:rsidRDefault="004B2806" w:rsidP="00F61756">
      <w:pPr>
        <w:pStyle w:val="a3"/>
        <w:numPr>
          <w:ilvl w:val="0"/>
          <w:numId w:val="53"/>
        </w:numPr>
        <w:tabs>
          <w:tab w:val="left" w:pos="426"/>
        </w:tabs>
        <w:spacing w:line="276" w:lineRule="auto"/>
        <w:jc w:val="both"/>
        <w:rPr>
          <w:rFonts w:asciiTheme="majorHAnsi" w:hAnsiTheme="majorHAnsi" w:cstheme="majorHAnsi"/>
          <w:i/>
          <w:lang w:val="en-US"/>
        </w:rPr>
      </w:pPr>
      <w:r>
        <w:rPr>
          <w:rFonts w:asciiTheme="majorHAnsi" w:hAnsiTheme="majorHAnsi" w:cstheme="majorHAnsi"/>
          <w:i/>
          <w:lang w:val="en-US"/>
        </w:rPr>
        <w:t>s</w:t>
      </w:r>
      <w:r w:rsidR="005E1662" w:rsidRPr="008376FC">
        <w:rPr>
          <w:rFonts w:asciiTheme="majorHAnsi" w:hAnsiTheme="majorHAnsi" w:cstheme="majorHAnsi"/>
          <w:i/>
          <w:lang w:val="en-US"/>
        </w:rPr>
        <w:t>ituaţia financiară a unor operatori apă</w:t>
      </w:r>
      <w:r>
        <w:rPr>
          <w:rFonts w:asciiTheme="majorHAnsi" w:hAnsiTheme="majorHAnsi" w:cstheme="majorHAnsi"/>
          <w:i/>
          <w:lang w:val="en-US"/>
        </w:rPr>
        <w:t>-</w:t>
      </w:r>
      <w:r w:rsidR="005E1662" w:rsidRPr="008376FC">
        <w:rPr>
          <w:rFonts w:asciiTheme="majorHAnsi" w:hAnsiTheme="majorHAnsi" w:cstheme="majorHAnsi"/>
          <w:i/>
          <w:lang w:val="en-US"/>
        </w:rPr>
        <w:t>canal este una precară</w:t>
      </w:r>
      <w:r>
        <w:rPr>
          <w:rFonts w:asciiTheme="majorHAnsi" w:hAnsiTheme="majorHAnsi" w:cstheme="majorHAnsi"/>
          <w:i/>
          <w:lang w:val="en-US"/>
        </w:rPr>
        <w:t>,</w:t>
      </w:r>
      <w:r w:rsidR="005E1662" w:rsidRPr="008376FC">
        <w:rPr>
          <w:rFonts w:asciiTheme="majorHAnsi" w:hAnsiTheme="majorHAnsi" w:cstheme="majorHAnsi"/>
          <w:i/>
          <w:lang w:val="en-US"/>
        </w:rPr>
        <w:t xml:space="preserve"> fiind înregistrate p</w:t>
      </w:r>
      <w:r>
        <w:rPr>
          <w:rFonts w:asciiTheme="majorHAnsi" w:hAnsiTheme="majorHAnsi" w:cstheme="majorHAnsi"/>
          <w:i/>
          <w:lang w:val="en-US"/>
        </w:rPr>
        <w:t>i</w:t>
      </w:r>
      <w:r w:rsidR="005E1662" w:rsidRPr="008376FC">
        <w:rPr>
          <w:rFonts w:asciiTheme="majorHAnsi" w:hAnsiTheme="majorHAnsi" w:cstheme="majorHAnsi"/>
          <w:i/>
          <w:lang w:val="en-US"/>
        </w:rPr>
        <w:t xml:space="preserve">erderi </w:t>
      </w:r>
      <w:r w:rsidR="00AE644C" w:rsidRPr="008376FC">
        <w:rPr>
          <w:rFonts w:asciiTheme="majorHAnsi" w:hAnsiTheme="majorHAnsi" w:cstheme="majorHAnsi"/>
          <w:i/>
          <w:lang w:val="en-US"/>
        </w:rPr>
        <w:t xml:space="preserve">ale exerciţiului financiar </w:t>
      </w:r>
      <w:r w:rsidR="005E1662" w:rsidRPr="008376FC">
        <w:rPr>
          <w:rFonts w:asciiTheme="majorHAnsi" w:hAnsiTheme="majorHAnsi" w:cstheme="majorHAnsi"/>
          <w:i/>
          <w:lang w:val="en-US"/>
        </w:rPr>
        <w:t>(4.5.2), valori negative ale capitalului propriu (4.5.3)</w:t>
      </w:r>
      <w:r w:rsidR="00AC0138" w:rsidRPr="008376FC">
        <w:rPr>
          <w:rFonts w:asciiTheme="majorHAnsi" w:hAnsiTheme="majorHAnsi" w:cstheme="majorHAnsi"/>
          <w:i/>
          <w:lang w:val="en-US"/>
        </w:rPr>
        <w:t xml:space="preserve">, grad </w:t>
      </w:r>
      <w:r w:rsidR="00AE644C" w:rsidRPr="008376FC">
        <w:rPr>
          <w:rFonts w:asciiTheme="majorHAnsi" w:hAnsiTheme="majorHAnsi" w:cstheme="majorHAnsi"/>
          <w:i/>
          <w:lang w:val="en-US"/>
        </w:rPr>
        <w:t xml:space="preserve">înalt </w:t>
      </w:r>
      <w:r w:rsidR="00AC0138" w:rsidRPr="008376FC">
        <w:rPr>
          <w:rFonts w:asciiTheme="majorHAnsi" w:hAnsiTheme="majorHAnsi" w:cstheme="majorHAnsi"/>
          <w:i/>
          <w:lang w:val="en-US"/>
        </w:rPr>
        <w:t>de îndatorare (4.5.5)</w:t>
      </w:r>
      <w:r w:rsidR="00AE644C" w:rsidRPr="008376FC">
        <w:rPr>
          <w:rFonts w:asciiTheme="majorHAnsi" w:hAnsiTheme="majorHAnsi" w:cstheme="majorHAnsi"/>
          <w:i/>
          <w:lang w:val="en-US"/>
        </w:rPr>
        <w:t>;</w:t>
      </w:r>
      <w:r w:rsidR="00A847A8" w:rsidRPr="008376FC">
        <w:rPr>
          <w:rFonts w:asciiTheme="majorHAnsi" w:hAnsiTheme="majorHAnsi" w:cstheme="majorHAnsi"/>
          <w:i/>
          <w:lang w:val="en-US"/>
        </w:rPr>
        <w:t xml:space="preserve"> 8 operatori fiind în procedur</w:t>
      </w:r>
      <w:r>
        <w:rPr>
          <w:rFonts w:asciiTheme="majorHAnsi" w:hAnsiTheme="majorHAnsi" w:cstheme="majorHAnsi"/>
          <w:i/>
          <w:lang w:val="en-US"/>
        </w:rPr>
        <w:t>ă</w:t>
      </w:r>
      <w:r w:rsidR="00A847A8" w:rsidRPr="008376FC">
        <w:rPr>
          <w:rFonts w:asciiTheme="majorHAnsi" w:hAnsiTheme="majorHAnsi" w:cstheme="majorHAnsi"/>
          <w:i/>
          <w:lang w:val="en-US"/>
        </w:rPr>
        <w:t xml:space="preserve"> de insolvabilitate (4.5.6)</w:t>
      </w:r>
      <w:r w:rsidR="005E1662" w:rsidRPr="008376FC">
        <w:rPr>
          <w:rFonts w:asciiTheme="majorHAnsi" w:hAnsiTheme="majorHAnsi" w:cstheme="majorHAnsi"/>
          <w:i/>
          <w:lang w:val="en-US"/>
        </w:rPr>
        <w:t xml:space="preserve">; </w:t>
      </w:r>
    </w:p>
    <w:p w:rsidR="00BE3B68" w:rsidRPr="00F9738C" w:rsidRDefault="004B2806" w:rsidP="00F61756">
      <w:pPr>
        <w:pStyle w:val="a3"/>
        <w:numPr>
          <w:ilvl w:val="0"/>
          <w:numId w:val="53"/>
        </w:numPr>
        <w:spacing w:line="276" w:lineRule="auto"/>
        <w:jc w:val="both"/>
        <w:rPr>
          <w:rFonts w:asciiTheme="majorHAnsi" w:hAnsiTheme="majorHAnsi" w:cstheme="majorHAnsi"/>
          <w:i/>
          <w:lang w:val="en-US"/>
        </w:rPr>
      </w:pPr>
      <w:r>
        <w:rPr>
          <w:rFonts w:asciiTheme="majorHAnsi" w:hAnsiTheme="majorHAnsi" w:cstheme="majorHAnsi"/>
          <w:i/>
          <w:lang w:val="en-US"/>
        </w:rPr>
        <w:t>f</w:t>
      </w:r>
      <w:r w:rsidR="00554AEF" w:rsidRPr="008376FC">
        <w:rPr>
          <w:rFonts w:asciiTheme="majorHAnsi" w:hAnsiTheme="majorHAnsi" w:cstheme="majorHAnsi"/>
          <w:i/>
          <w:lang w:val="en-US"/>
        </w:rPr>
        <w:t>ondurile de dezvolta</w:t>
      </w:r>
      <w:r>
        <w:rPr>
          <w:rFonts w:asciiTheme="majorHAnsi" w:hAnsiTheme="majorHAnsi" w:cstheme="majorHAnsi"/>
          <w:i/>
          <w:lang w:val="en-US"/>
        </w:rPr>
        <w:t>r</w:t>
      </w:r>
      <w:r w:rsidR="00554AEF" w:rsidRPr="008376FC">
        <w:rPr>
          <w:rFonts w:asciiTheme="majorHAnsi" w:hAnsiTheme="majorHAnsi" w:cstheme="majorHAnsi"/>
          <w:i/>
          <w:lang w:val="en-US"/>
        </w:rPr>
        <w:t>e prevăzute de cadrul regulator nu au fost create de toți operatori</w:t>
      </w:r>
      <w:r>
        <w:rPr>
          <w:rFonts w:asciiTheme="majorHAnsi" w:hAnsiTheme="majorHAnsi" w:cstheme="majorHAnsi"/>
          <w:i/>
          <w:lang w:val="en-US"/>
        </w:rPr>
        <w:t>i</w:t>
      </w:r>
      <w:r w:rsidR="00554AEF" w:rsidRPr="008376FC">
        <w:rPr>
          <w:rFonts w:asciiTheme="majorHAnsi" w:hAnsiTheme="majorHAnsi" w:cstheme="majorHAnsi"/>
          <w:i/>
          <w:lang w:val="en-US"/>
        </w:rPr>
        <w:t xml:space="preserve"> de servicii de alimentare cu apă și canalizare</w:t>
      </w:r>
      <w:r w:rsidR="00B40316" w:rsidRPr="008376FC">
        <w:rPr>
          <w:rFonts w:asciiTheme="majorHAnsi" w:hAnsiTheme="majorHAnsi" w:cstheme="majorHAnsi"/>
          <w:i/>
          <w:lang w:val="en-US"/>
        </w:rPr>
        <w:t>, fap</w:t>
      </w:r>
      <w:r w:rsidR="00FD3191" w:rsidRPr="008376FC">
        <w:rPr>
          <w:rFonts w:asciiTheme="majorHAnsi" w:hAnsiTheme="majorHAnsi" w:cstheme="majorHAnsi"/>
          <w:i/>
          <w:lang w:val="en-US"/>
        </w:rPr>
        <w:t>t</w:t>
      </w:r>
      <w:r w:rsidR="00B40316" w:rsidRPr="008376FC">
        <w:rPr>
          <w:rFonts w:asciiTheme="majorHAnsi" w:hAnsiTheme="majorHAnsi" w:cstheme="majorHAnsi"/>
          <w:i/>
          <w:lang w:val="en-US"/>
        </w:rPr>
        <w:t xml:space="preserve"> ce periclitează capacitatea acestora de a</w:t>
      </w:r>
      <w:r>
        <w:rPr>
          <w:rFonts w:asciiTheme="majorHAnsi" w:hAnsiTheme="majorHAnsi" w:cstheme="majorHAnsi"/>
          <w:i/>
          <w:lang w:val="en-US"/>
        </w:rPr>
        <w:t>-și</w:t>
      </w:r>
      <w:r w:rsidR="00B40316" w:rsidRPr="008376FC">
        <w:rPr>
          <w:rFonts w:asciiTheme="majorHAnsi" w:hAnsiTheme="majorHAnsi" w:cstheme="majorHAnsi"/>
          <w:i/>
          <w:lang w:val="en-US"/>
        </w:rPr>
        <w:t xml:space="preserve"> onora obligaţiile </w:t>
      </w:r>
      <w:r w:rsidR="00B40316" w:rsidRPr="00F9738C">
        <w:rPr>
          <w:rFonts w:asciiTheme="majorHAnsi" w:hAnsiTheme="majorHAnsi" w:cstheme="majorHAnsi"/>
          <w:i/>
          <w:lang w:val="en-US"/>
        </w:rPr>
        <w:t xml:space="preserve">de plată pentru credite/împrumuturi şi dezvoltarea/modernizarea obiectelor de infrastructură </w:t>
      </w:r>
      <w:r w:rsidR="00BC28D6" w:rsidRPr="00F9738C">
        <w:rPr>
          <w:rFonts w:asciiTheme="majorHAnsi" w:hAnsiTheme="majorHAnsi" w:cstheme="majorHAnsi"/>
          <w:i/>
          <w:lang w:val="en-US"/>
        </w:rPr>
        <w:t>din resursele proprii</w:t>
      </w:r>
      <w:r w:rsidR="00554AEF" w:rsidRPr="00F9738C">
        <w:rPr>
          <w:rFonts w:asciiTheme="majorHAnsi" w:hAnsiTheme="majorHAnsi" w:cstheme="majorHAnsi"/>
          <w:i/>
          <w:lang w:val="en-US"/>
        </w:rPr>
        <w:t xml:space="preserve"> (4.5.10);</w:t>
      </w:r>
    </w:p>
    <w:p w:rsidR="008D7075" w:rsidRPr="00F9738C" w:rsidRDefault="008D7075" w:rsidP="00F61756">
      <w:pPr>
        <w:pStyle w:val="a3"/>
        <w:numPr>
          <w:ilvl w:val="0"/>
          <w:numId w:val="53"/>
        </w:numPr>
        <w:spacing w:line="276" w:lineRule="auto"/>
        <w:rPr>
          <w:rFonts w:asciiTheme="majorHAnsi" w:hAnsiTheme="majorHAnsi" w:cstheme="majorHAnsi"/>
          <w:i/>
          <w:lang w:val="en-US"/>
        </w:rPr>
      </w:pPr>
      <w:r w:rsidRPr="00F9738C">
        <w:rPr>
          <w:rFonts w:asciiTheme="majorHAnsi" w:hAnsiTheme="majorHAnsi" w:cstheme="majorHAnsi"/>
          <w:i/>
          <w:lang w:val="en-US"/>
        </w:rPr>
        <w:t>APL, pe parcursul mai multor ani</w:t>
      </w:r>
      <w:r w:rsidR="004B2806" w:rsidRPr="00F9738C">
        <w:rPr>
          <w:rFonts w:asciiTheme="majorHAnsi" w:hAnsiTheme="majorHAnsi" w:cstheme="majorHAnsi"/>
          <w:i/>
          <w:lang w:val="en-US"/>
        </w:rPr>
        <w:t>,</w:t>
      </w:r>
      <w:r w:rsidRPr="00F9738C">
        <w:rPr>
          <w:rFonts w:asciiTheme="majorHAnsi" w:hAnsiTheme="majorHAnsi" w:cstheme="majorHAnsi"/>
          <w:i/>
          <w:lang w:val="en-US"/>
        </w:rPr>
        <w:t xml:space="preserve"> nu au întreprins măsuri pentru aprobarea indicatorilor de performanță ai serviciului public de alimentare cu apă şi de canalizare (4.5.11);</w:t>
      </w:r>
    </w:p>
    <w:p w:rsidR="00BE3B68" w:rsidRPr="008376FC" w:rsidRDefault="004B2806" w:rsidP="00F61756">
      <w:pPr>
        <w:pStyle w:val="a3"/>
        <w:numPr>
          <w:ilvl w:val="0"/>
          <w:numId w:val="53"/>
        </w:numPr>
        <w:tabs>
          <w:tab w:val="left" w:pos="426"/>
        </w:tabs>
        <w:spacing w:line="276" w:lineRule="auto"/>
        <w:jc w:val="both"/>
        <w:rPr>
          <w:rFonts w:asciiTheme="majorHAnsi" w:hAnsiTheme="majorHAnsi" w:cstheme="majorHAnsi"/>
          <w:b/>
          <w:bCs/>
          <w:i/>
          <w:lang w:val="en-US"/>
        </w:rPr>
      </w:pPr>
      <w:r w:rsidRPr="00F9738C">
        <w:rPr>
          <w:rFonts w:asciiTheme="majorHAnsi" w:hAnsiTheme="majorHAnsi" w:cstheme="majorHAnsi"/>
          <w:i/>
          <w:lang w:val="en-US"/>
        </w:rPr>
        <w:t>o</w:t>
      </w:r>
      <w:r w:rsidR="00530D3D" w:rsidRPr="00F9738C">
        <w:rPr>
          <w:rFonts w:asciiTheme="majorHAnsi" w:hAnsiTheme="majorHAnsi" w:cstheme="majorHAnsi"/>
          <w:i/>
          <w:lang w:val="en-US"/>
        </w:rPr>
        <w:t>rganizarea necorespunzătoare de către IPM a</w:t>
      </w:r>
      <w:r w:rsidR="00CF2632" w:rsidRPr="00F9738C">
        <w:rPr>
          <w:rFonts w:asciiTheme="majorHAnsi" w:hAnsiTheme="majorHAnsi" w:cstheme="majorHAnsi"/>
          <w:i/>
          <w:lang w:val="en-US"/>
        </w:rPr>
        <w:t xml:space="preserve"> </w:t>
      </w:r>
      <w:r w:rsidR="00B40316" w:rsidRPr="00F9738C">
        <w:rPr>
          <w:rFonts w:asciiTheme="majorHAnsi" w:hAnsiTheme="majorHAnsi" w:cstheme="majorHAnsi"/>
          <w:i/>
          <w:lang w:val="en-US"/>
        </w:rPr>
        <w:t>evidenț</w:t>
      </w:r>
      <w:r w:rsidR="00CF2632" w:rsidRPr="00F9738C">
        <w:rPr>
          <w:rFonts w:asciiTheme="majorHAnsi" w:hAnsiTheme="majorHAnsi" w:cstheme="majorHAnsi"/>
          <w:i/>
          <w:lang w:val="en-US"/>
        </w:rPr>
        <w:t>e</w:t>
      </w:r>
      <w:r w:rsidR="00530D3D" w:rsidRPr="00F9738C">
        <w:rPr>
          <w:rFonts w:asciiTheme="majorHAnsi" w:hAnsiTheme="majorHAnsi" w:cstheme="majorHAnsi"/>
          <w:i/>
          <w:lang w:val="en-US"/>
        </w:rPr>
        <w:t>i</w:t>
      </w:r>
      <w:r w:rsidR="00096308" w:rsidRPr="00F9738C">
        <w:rPr>
          <w:rFonts w:asciiTheme="majorHAnsi" w:hAnsiTheme="majorHAnsi" w:cstheme="majorHAnsi"/>
          <w:i/>
          <w:lang w:val="en-US"/>
        </w:rPr>
        <w:t xml:space="preserve"> </w:t>
      </w:r>
      <w:r w:rsidR="00B01A00" w:rsidRPr="00F9738C">
        <w:rPr>
          <w:rFonts w:asciiTheme="majorHAnsi" w:hAnsiTheme="majorHAnsi" w:cstheme="majorHAnsi"/>
          <w:i/>
          <w:lang w:val="en-US"/>
        </w:rPr>
        <w:t>amenzilor și prejudiciilor calculate</w:t>
      </w:r>
      <w:r w:rsidR="00CF2632" w:rsidRPr="00F9738C">
        <w:rPr>
          <w:rFonts w:asciiTheme="majorHAnsi" w:hAnsiTheme="majorHAnsi" w:cstheme="majorHAnsi"/>
          <w:i/>
          <w:lang w:val="en-US"/>
        </w:rPr>
        <w:t xml:space="preserve">, </w:t>
      </w:r>
      <w:r w:rsidR="00BC28D6" w:rsidRPr="00F9738C">
        <w:rPr>
          <w:rFonts w:asciiTheme="majorHAnsi" w:hAnsiTheme="majorHAnsi" w:cstheme="majorHAnsi"/>
          <w:i/>
          <w:lang w:val="en-US"/>
        </w:rPr>
        <w:t>achitate și anulate</w:t>
      </w:r>
      <w:r w:rsidRPr="00F9738C">
        <w:rPr>
          <w:rFonts w:asciiTheme="majorHAnsi" w:hAnsiTheme="majorHAnsi" w:cstheme="majorHAnsi"/>
          <w:i/>
          <w:lang w:val="en-US"/>
        </w:rPr>
        <w:t>,</w:t>
      </w:r>
      <w:r w:rsidR="00B01A00" w:rsidRPr="00F9738C">
        <w:rPr>
          <w:rFonts w:asciiTheme="majorHAnsi" w:hAnsiTheme="majorHAnsi" w:cstheme="majorHAnsi"/>
          <w:i/>
          <w:lang w:val="en-US"/>
        </w:rPr>
        <w:t xml:space="preserve"> nu </w:t>
      </w:r>
      <w:r w:rsidR="00530D3D" w:rsidRPr="00F9738C">
        <w:rPr>
          <w:rFonts w:asciiTheme="majorHAnsi" w:hAnsiTheme="majorHAnsi" w:cstheme="majorHAnsi"/>
          <w:i/>
          <w:lang w:val="en-US"/>
        </w:rPr>
        <w:t xml:space="preserve">permite evaluarea obigațiunilor </w:t>
      </w:r>
      <w:r w:rsidR="006B7512" w:rsidRPr="00F9738C">
        <w:rPr>
          <w:rFonts w:asciiTheme="majorHAnsi" w:hAnsiTheme="majorHAnsi" w:cstheme="majorHAnsi"/>
          <w:i/>
          <w:lang w:val="en-US"/>
        </w:rPr>
        <w:t xml:space="preserve">de plată </w:t>
      </w:r>
      <w:r w:rsidR="00530D3D" w:rsidRPr="00F9738C">
        <w:rPr>
          <w:rFonts w:asciiTheme="majorHAnsi" w:hAnsiTheme="majorHAnsi" w:cstheme="majorHAnsi"/>
          <w:i/>
          <w:lang w:val="en-US"/>
        </w:rPr>
        <w:t>față de buget și</w:t>
      </w:r>
      <w:r w:rsidR="006B7512" w:rsidRPr="00F9738C">
        <w:rPr>
          <w:rFonts w:asciiTheme="majorHAnsi" w:hAnsiTheme="majorHAnsi" w:cstheme="majorHAnsi"/>
          <w:i/>
          <w:lang w:val="en-US"/>
        </w:rPr>
        <w:t>,</w:t>
      </w:r>
      <w:r w:rsidR="00530D3D" w:rsidRPr="00F9738C">
        <w:rPr>
          <w:rFonts w:asciiTheme="majorHAnsi" w:hAnsiTheme="majorHAnsi" w:cstheme="majorHAnsi"/>
          <w:i/>
          <w:lang w:val="en-US"/>
        </w:rPr>
        <w:t xml:space="preserve"> respectiv</w:t>
      </w:r>
      <w:r w:rsidR="006B7512" w:rsidRPr="00F9738C">
        <w:rPr>
          <w:rFonts w:asciiTheme="majorHAnsi" w:hAnsiTheme="majorHAnsi" w:cstheme="majorHAnsi"/>
          <w:i/>
          <w:lang w:val="en-US"/>
        </w:rPr>
        <w:t>,</w:t>
      </w:r>
      <w:r w:rsidR="00530D3D" w:rsidRPr="00F9738C">
        <w:rPr>
          <w:rFonts w:asciiTheme="majorHAnsi" w:hAnsiTheme="majorHAnsi" w:cstheme="majorHAnsi"/>
          <w:i/>
          <w:lang w:val="en-US"/>
        </w:rPr>
        <w:t xml:space="preserve"> </w:t>
      </w:r>
      <w:r w:rsidR="006E1E3A" w:rsidRPr="00F9738C">
        <w:rPr>
          <w:rFonts w:asciiTheme="majorHAnsi" w:hAnsiTheme="majorHAnsi" w:cstheme="majorHAnsi"/>
          <w:i/>
          <w:lang w:val="en-US"/>
        </w:rPr>
        <w:t xml:space="preserve">plenitudinea </w:t>
      </w:r>
      <w:r w:rsidR="00530D3D" w:rsidRPr="00F9738C">
        <w:rPr>
          <w:rFonts w:asciiTheme="majorHAnsi" w:hAnsiTheme="majorHAnsi" w:cstheme="majorHAnsi"/>
          <w:i/>
          <w:lang w:val="en-US"/>
        </w:rPr>
        <w:t xml:space="preserve">încasării acestora, </w:t>
      </w:r>
      <w:r w:rsidR="006B7512" w:rsidRPr="00F9738C">
        <w:rPr>
          <w:rFonts w:asciiTheme="majorHAnsi" w:hAnsiTheme="majorHAnsi" w:cstheme="majorHAnsi"/>
          <w:i/>
          <w:lang w:val="en-US"/>
        </w:rPr>
        <w:t xml:space="preserve">o </w:t>
      </w:r>
      <w:r w:rsidR="00530D3D" w:rsidRPr="00F9738C">
        <w:rPr>
          <w:rFonts w:asciiTheme="majorHAnsi" w:hAnsiTheme="majorHAnsi" w:cstheme="majorHAnsi"/>
          <w:i/>
          <w:lang w:val="en-US"/>
        </w:rPr>
        <w:t>mare parte</w:t>
      </w:r>
      <w:r w:rsidR="007A5CC7" w:rsidRPr="00F9738C">
        <w:rPr>
          <w:rFonts w:asciiTheme="majorHAnsi" w:hAnsiTheme="majorHAnsi" w:cstheme="majorHAnsi"/>
          <w:i/>
          <w:lang w:val="en-US"/>
        </w:rPr>
        <w:t xml:space="preserve"> din amenzi </w:t>
      </w:r>
      <w:r w:rsidR="00530D3D" w:rsidRPr="00F9738C">
        <w:rPr>
          <w:rFonts w:asciiTheme="majorHAnsi" w:hAnsiTheme="majorHAnsi" w:cstheme="majorHAnsi"/>
          <w:i/>
          <w:lang w:val="en-US"/>
        </w:rPr>
        <w:t xml:space="preserve"> fiin</w:t>
      </w:r>
      <w:r w:rsidR="00096308" w:rsidRPr="00F9738C">
        <w:rPr>
          <w:rFonts w:asciiTheme="majorHAnsi" w:hAnsiTheme="majorHAnsi" w:cstheme="majorHAnsi"/>
          <w:i/>
          <w:lang w:val="en-US"/>
        </w:rPr>
        <w:t>d</w:t>
      </w:r>
      <w:r w:rsidR="00530D3D" w:rsidRPr="00F9738C">
        <w:rPr>
          <w:rFonts w:asciiTheme="majorHAnsi" w:hAnsiTheme="majorHAnsi" w:cstheme="majorHAnsi"/>
          <w:i/>
          <w:lang w:val="en-US"/>
        </w:rPr>
        <w:t xml:space="preserve"> </w:t>
      </w:r>
      <w:r w:rsidR="00FD3191" w:rsidRPr="00F9738C">
        <w:rPr>
          <w:rFonts w:asciiTheme="majorHAnsi" w:hAnsiTheme="majorHAnsi" w:cstheme="majorHAnsi"/>
          <w:i/>
          <w:lang w:val="en-US"/>
        </w:rPr>
        <w:t xml:space="preserve">compromise </w:t>
      </w:r>
      <w:r w:rsidR="00530D3D" w:rsidRPr="00F9738C">
        <w:rPr>
          <w:rFonts w:asciiTheme="majorHAnsi" w:hAnsiTheme="majorHAnsi" w:cstheme="majorHAnsi"/>
          <w:i/>
          <w:lang w:val="en-US"/>
        </w:rPr>
        <w:t xml:space="preserve">ca urmare a survenirii termenului de prescripție, în bugetul de stat nefiind încasate </w:t>
      </w:r>
      <w:r w:rsidR="00B459E3" w:rsidRPr="00F9738C">
        <w:rPr>
          <w:rFonts w:asciiTheme="majorHAnsi" w:hAnsiTheme="majorHAnsi" w:cstheme="majorHAnsi"/>
          <w:i/>
          <w:lang w:val="en-US"/>
        </w:rPr>
        <w:t>0,</w:t>
      </w:r>
      <w:r w:rsidR="008F3DDA" w:rsidRPr="00F9738C">
        <w:rPr>
          <w:rFonts w:asciiTheme="majorHAnsi" w:hAnsiTheme="majorHAnsi" w:cstheme="majorHAnsi"/>
          <w:i/>
          <w:lang w:val="en-US"/>
        </w:rPr>
        <w:t>7</w:t>
      </w:r>
      <w:r w:rsidR="008F3DDA">
        <w:rPr>
          <w:rFonts w:asciiTheme="majorHAnsi" w:hAnsiTheme="majorHAnsi" w:cstheme="majorHAnsi"/>
          <w:i/>
          <w:lang w:val="en-US"/>
        </w:rPr>
        <w:t xml:space="preserve"> </w:t>
      </w:r>
      <w:r w:rsidR="00530D3D" w:rsidRPr="008376FC">
        <w:rPr>
          <w:rFonts w:asciiTheme="majorHAnsi" w:hAnsiTheme="majorHAnsi" w:cstheme="majorHAnsi"/>
          <w:i/>
          <w:lang w:val="en-US"/>
        </w:rPr>
        <w:t xml:space="preserve">mil.lei și </w:t>
      </w:r>
      <w:r w:rsidR="007A5CC7">
        <w:rPr>
          <w:rFonts w:asciiTheme="majorHAnsi" w:hAnsiTheme="majorHAnsi" w:cstheme="majorHAnsi"/>
          <w:i/>
          <w:lang w:val="en-US"/>
        </w:rPr>
        <w:t xml:space="preserve"> din </w:t>
      </w:r>
      <w:r w:rsidR="00530D3D" w:rsidRPr="008376FC">
        <w:rPr>
          <w:rFonts w:asciiTheme="majorHAnsi" w:hAnsiTheme="majorHAnsi" w:cstheme="majorHAnsi"/>
          <w:i/>
          <w:lang w:val="en-US"/>
        </w:rPr>
        <w:t>prejudicii</w:t>
      </w:r>
      <w:r w:rsidR="006B7512">
        <w:rPr>
          <w:rFonts w:asciiTheme="majorHAnsi" w:hAnsiTheme="majorHAnsi" w:cstheme="majorHAnsi"/>
          <w:i/>
          <w:lang w:val="en-US"/>
        </w:rPr>
        <w:t>le</w:t>
      </w:r>
      <w:r w:rsidR="00530D3D" w:rsidRPr="008376FC">
        <w:rPr>
          <w:rFonts w:asciiTheme="majorHAnsi" w:hAnsiTheme="majorHAnsi" w:cstheme="majorHAnsi"/>
          <w:i/>
          <w:lang w:val="en-US"/>
        </w:rPr>
        <w:t xml:space="preserve"> cauzate mediului </w:t>
      </w:r>
      <w:r w:rsidR="007A5CC7">
        <w:rPr>
          <w:rFonts w:asciiTheme="majorHAnsi" w:hAnsiTheme="majorHAnsi" w:cstheme="majorHAnsi"/>
          <w:i/>
          <w:lang w:val="en-US"/>
        </w:rPr>
        <w:t xml:space="preserve">– </w:t>
      </w:r>
      <w:r w:rsidR="0088086E">
        <w:rPr>
          <w:rFonts w:asciiTheme="majorHAnsi" w:hAnsiTheme="majorHAnsi" w:cstheme="majorHAnsi"/>
          <w:i/>
          <w:lang w:val="en-US"/>
        </w:rPr>
        <w:t>0</w:t>
      </w:r>
      <w:r w:rsidR="007A5CC7">
        <w:rPr>
          <w:rFonts w:asciiTheme="majorHAnsi" w:hAnsiTheme="majorHAnsi" w:cstheme="majorHAnsi"/>
          <w:i/>
          <w:lang w:val="en-US"/>
        </w:rPr>
        <w:t xml:space="preserve">,4 mil.lei </w:t>
      </w:r>
      <w:r w:rsidR="00B01A00" w:rsidRPr="008376FC">
        <w:rPr>
          <w:rFonts w:asciiTheme="majorHAnsi" w:hAnsiTheme="majorHAnsi" w:cstheme="majorHAnsi"/>
          <w:i/>
          <w:lang w:val="en-US"/>
        </w:rPr>
        <w:t>(4.6.2).</w:t>
      </w:r>
    </w:p>
    <w:p w:rsidR="009B3DF0" w:rsidRPr="007A5CC7" w:rsidRDefault="009B3DF0" w:rsidP="00F61756">
      <w:pPr>
        <w:tabs>
          <w:tab w:val="left" w:pos="426"/>
        </w:tabs>
        <w:spacing w:after="0" w:line="276" w:lineRule="auto"/>
        <w:ind w:firstLine="567"/>
        <w:jc w:val="both"/>
        <w:rPr>
          <w:rFonts w:asciiTheme="majorHAnsi" w:hAnsiTheme="majorHAnsi" w:cstheme="majorHAnsi"/>
          <w:b w:val="0"/>
          <w:bCs w:val="0"/>
          <w:iCs/>
          <w:sz w:val="24"/>
          <w:szCs w:val="24"/>
          <w:lang w:val="en-US"/>
        </w:rPr>
      </w:pPr>
    </w:p>
    <w:p w:rsidR="0088086E" w:rsidRDefault="00BC28D6" w:rsidP="00F61756">
      <w:pPr>
        <w:spacing w:after="0" w:line="276" w:lineRule="auto"/>
        <w:jc w:val="both"/>
        <w:rPr>
          <w:rFonts w:ascii="Calibri Light" w:hAnsi="Calibri Light" w:cs="Calibri Light"/>
          <w:b w:val="0"/>
          <w:bCs w:val="0"/>
          <w:sz w:val="24"/>
          <w:szCs w:val="24"/>
        </w:rPr>
      </w:pPr>
      <w:r w:rsidRPr="00510CDB">
        <w:rPr>
          <w:rFonts w:ascii="Calibri Light" w:eastAsia="Calibri" w:hAnsi="Calibri Light" w:cs="Calibri Light"/>
          <w:b w:val="0"/>
          <w:bCs w:val="0"/>
          <w:i/>
          <w:sz w:val="24"/>
          <w:szCs w:val="24"/>
          <w:lang w:eastAsia="ru-RU"/>
        </w:rPr>
        <w:t>Sfera auditului</w:t>
      </w:r>
      <w:r w:rsidRPr="00510CDB">
        <w:rPr>
          <w:rFonts w:ascii="Calibri Light" w:eastAsia="Calibri" w:hAnsi="Calibri Light" w:cs="Calibri Light"/>
          <w:b w:val="0"/>
          <w:bCs w:val="0"/>
          <w:sz w:val="24"/>
          <w:szCs w:val="24"/>
          <w:lang w:eastAsia="ru-RU"/>
        </w:rPr>
        <w:t xml:space="preserve"> </w:t>
      </w:r>
      <w:r w:rsidRPr="00510CDB">
        <w:rPr>
          <w:rFonts w:ascii="Calibri Light" w:hAnsi="Calibri Light" w:cs="Calibri Light"/>
          <w:b w:val="0"/>
          <w:bCs w:val="0"/>
          <w:sz w:val="24"/>
          <w:szCs w:val="24"/>
        </w:rPr>
        <w:t>a cuprins evaluarea impactului Strategiei prin prisma atingerii, în mod eficient și eficace, a rezultatelor scontate, precum şi identificarea, verificarea și analiza deficiențelor care au afectat implementarea acest</w:t>
      </w:r>
      <w:r w:rsidR="0088086E" w:rsidRPr="00510CDB">
        <w:rPr>
          <w:rFonts w:ascii="Calibri Light" w:hAnsi="Calibri Light" w:cs="Calibri Light"/>
          <w:b w:val="0"/>
          <w:bCs w:val="0"/>
          <w:sz w:val="24"/>
          <w:szCs w:val="24"/>
        </w:rPr>
        <w:t>ora</w:t>
      </w:r>
      <w:r w:rsidRPr="00510CDB">
        <w:rPr>
          <w:rFonts w:ascii="Calibri Light" w:hAnsi="Calibri Light" w:cs="Calibri Light"/>
          <w:b w:val="0"/>
          <w:bCs w:val="0"/>
          <w:sz w:val="24"/>
          <w:szCs w:val="24"/>
        </w:rPr>
        <w:t>.</w:t>
      </w:r>
      <w:r w:rsidR="00266C3A" w:rsidRPr="00510CDB">
        <w:rPr>
          <w:rFonts w:ascii="Calibri Light" w:hAnsi="Calibri Light" w:cs="Calibri Light"/>
          <w:b w:val="0"/>
          <w:bCs w:val="0"/>
          <w:sz w:val="24"/>
          <w:szCs w:val="24"/>
        </w:rPr>
        <w:t xml:space="preserve"> </w:t>
      </w:r>
      <w:r w:rsidR="00756DB1" w:rsidRPr="00510CDB">
        <w:rPr>
          <w:rFonts w:asciiTheme="majorHAnsi" w:hAnsiTheme="majorHAnsi" w:cstheme="majorHAnsi"/>
          <w:b w:val="0"/>
          <w:bCs w:val="0"/>
          <w:sz w:val="24"/>
          <w:szCs w:val="24"/>
        </w:rPr>
        <w:t>Abordarea auditului a fost una combinată (mixtă), axată pe rezultate și pe probleme.</w:t>
      </w:r>
    </w:p>
    <w:p w:rsidR="00BC4026" w:rsidRPr="008376FC" w:rsidRDefault="009B3DF0" w:rsidP="00F61756">
      <w:pPr>
        <w:tabs>
          <w:tab w:val="left" w:pos="426"/>
        </w:tabs>
        <w:spacing w:after="0" w:line="276" w:lineRule="auto"/>
        <w:jc w:val="both"/>
        <w:rPr>
          <w:rFonts w:asciiTheme="majorHAnsi" w:hAnsiTheme="majorHAnsi" w:cstheme="majorHAnsi"/>
          <w:b w:val="0"/>
          <w:bCs w:val="0"/>
          <w:iCs/>
          <w:sz w:val="24"/>
          <w:szCs w:val="24"/>
        </w:rPr>
      </w:pPr>
      <w:r w:rsidRPr="008376FC">
        <w:rPr>
          <w:rFonts w:asciiTheme="majorHAnsi" w:hAnsiTheme="majorHAnsi" w:cstheme="majorHAnsi"/>
          <w:b w:val="0"/>
          <w:bCs w:val="0"/>
          <w:iCs/>
          <w:sz w:val="24"/>
          <w:szCs w:val="24"/>
        </w:rPr>
        <w:t>De asemenea, în cadrul misiunii de audit au fost analizate bunele practici interna</w:t>
      </w:r>
      <w:r w:rsidR="006E1E3A" w:rsidRPr="008376FC">
        <w:rPr>
          <w:rFonts w:asciiTheme="majorHAnsi" w:hAnsiTheme="majorHAnsi" w:cstheme="majorHAnsi"/>
          <w:b w:val="0"/>
          <w:bCs w:val="0"/>
          <w:iCs/>
          <w:sz w:val="24"/>
          <w:szCs w:val="24"/>
        </w:rPr>
        <w:t>ţ</w:t>
      </w:r>
      <w:r w:rsidRPr="008376FC">
        <w:rPr>
          <w:rFonts w:asciiTheme="majorHAnsi" w:hAnsiTheme="majorHAnsi" w:cstheme="majorHAnsi"/>
          <w:b w:val="0"/>
          <w:bCs w:val="0"/>
          <w:iCs/>
          <w:sz w:val="24"/>
          <w:szCs w:val="24"/>
        </w:rPr>
        <w:t xml:space="preserve">ionale </w:t>
      </w:r>
      <w:r w:rsidR="006B7512">
        <w:rPr>
          <w:rFonts w:asciiTheme="majorHAnsi" w:hAnsiTheme="majorHAnsi" w:cstheme="majorHAnsi"/>
          <w:b w:val="0"/>
          <w:bCs w:val="0"/>
          <w:iCs/>
          <w:sz w:val="24"/>
          <w:szCs w:val="24"/>
        </w:rPr>
        <w:t>privind</w:t>
      </w:r>
      <w:r w:rsidR="006B7512" w:rsidRPr="008376FC">
        <w:rPr>
          <w:rFonts w:asciiTheme="majorHAnsi" w:hAnsiTheme="majorHAnsi" w:cstheme="majorHAnsi"/>
          <w:b w:val="0"/>
          <w:bCs w:val="0"/>
          <w:iCs/>
          <w:sz w:val="24"/>
          <w:szCs w:val="24"/>
        </w:rPr>
        <w:t xml:space="preserve"> </w:t>
      </w:r>
      <w:r w:rsidRPr="008376FC">
        <w:rPr>
          <w:rFonts w:asciiTheme="majorHAnsi" w:hAnsiTheme="majorHAnsi" w:cstheme="majorHAnsi"/>
          <w:b w:val="0"/>
          <w:bCs w:val="0"/>
          <w:iCs/>
          <w:sz w:val="24"/>
          <w:szCs w:val="24"/>
        </w:rPr>
        <w:t>gestiun</w:t>
      </w:r>
      <w:r w:rsidR="006B7512">
        <w:rPr>
          <w:rFonts w:asciiTheme="majorHAnsi" w:hAnsiTheme="majorHAnsi" w:cstheme="majorHAnsi"/>
          <w:b w:val="0"/>
          <w:bCs w:val="0"/>
          <w:iCs/>
          <w:sz w:val="24"/>
          <w:szCs w:val="24"/>
        </w:rPr>
        <w:t>ea</w:t>
      </w:r>
      <w:r w:rsidRPr="008376FC">
        <w:rPr>
          <w:rFonts w:asciiTheme="majorHAnsi" w:hAnsiTheme="majorHAnsi" w:cstheme="majorHAnsi"/>
          <w:b w:val="0"/>
          <w:bCs w:val="0"/>
          <w:iCs/>
          <w:sz w:val="24"/>
          <w:szCs w:val="24"/>
        </w:rPr>
        <w:t xml:space="preserve"> sectorului</w:t>
      </w:r>
      <w:r w:rsidR="00E6084A" w:rsidRPr="008376FC">
        <w:rPr>
          <w:rFonts w:asciiTheme="majorHAnsi" w:hAnsiTheme="majorHAnsi" w:cstheme="majorHAnsi"/>
          <w:b w:val="0"/>
          <w:bCs w:val="0"/>
          <w:iCs/>
          <w:sz w:val="24"/>
          <w:szCs w:val="24"/>
        </w:rPr>
        <w:t xml:space="preserve"> (experienţa Turciei)</w:t>
      </w:r>
      <w:r w:rsidRPr="008376FC">
        <w:rPr>
          <w:rFonts w:asciiTheme="majorHAnsi" w:hAnsiTheme="majorHAnsi" w:cstheme="majorHAnsi"/>
          <w:b w:val="0"/>
          <w:bCs w:val="0"/>
          <w:iCs/>
          <w:sz w:val="24"/>
          <w:szCs w:val="24"/>
        </w:rPr>
        <w:t>, precum</w:t>
      </w:r>
      <w:r w:rsidR="00E6084A" w:rsidRPr="008376FC">
        <w:rPr>
          <w:rFonts w:asciiTheme="majorHAnsi" w:hAnsiTheme="majorHAnsi" w:cstheme="majorHAnsi"/>
          <w:b w:val="0"/>
          <w:bCs w:val="0"/>
          <w:iCs/>
          <w:sz w:val="24"/>
          <w:szCs w:val="24"/>
        </w:rPr>
        <w:t xml:space="preserve"> şi</w:t>
      </w:r>
      <w:r w:rsidRPr="008376FC">
        <w:rPr>
          <w:rFonts w:asciiTheme="majorHAnsi" w:hAnsiTheme="majorHAnsi" w:cstheme="majorHAnsi"/>
          <w:b w:val="0"/>
          <w:bCs w:val="0"/>
          <w:iCs/>
          <w:sz w:val="24"/>
          <w:szCs w:val="24"/>
        </w:rPr>
        <w:t xml:space="preserve"> Proiectul </w:t>
      </w:r>
      <w:r w:rsidR="00F72A91" w:rsidRPr="008376FC">
        <w:rPr>
          <w:rFonts w:asciiTheme="majorHAnsi" w:hAnsiTheme="majorHAnsi" w:cstheme="majorHAnsi"/>
          <w:b w:val="0"/>
          <w:bCs w:val="0"/>
          <w:iCs/>
          <w:sz w:val="24"/>
          <w:szCs w:val="24"/>
        </w:rPr>
        <w:t xml:space="preserve">de anvergură </w:t>
      </w:r>
      <w:r w:rsidR="00E6084A" w:rsidRPr="008376FC">
        <w:rPr>
          <w:rFonts w:asciiTheme="majorHAnsi" w:hAnsiTheme="majorHAnsi" w:cstheme="majorHAnsi"/>
          <w:b w:val="0"/>
          <w:bCs w:val="0"/>
          <w:iCs/>
          <w:sz w:val="24"/>
          <w:szCs w:val="24"/>
        </w:rPr>
        <w:t xml:space="preserve">de construcţie a apeductului magistral </w:t>
      </w:r>
      <w:r w:rsidRPr="008376FC">
        <w:rPr>
          <w:rFonts w:asciiTheme="majorHAnsi" w:hAnsiTheme="majorHAnsi" w:cstheme="majorHAnsi"/>
          <w:b w:val="0"/>
          <w:bCs w:val="0"/>
          <w:iCs/>
          <w:sz w:val="24"/>
          <w:szCs w:val="24"/>
        </w:rPr>
        <w:t xml:space="preserve">Chişinău-Străşeni-Calăraşi şi </w:t>
      </w:r>
      <w:r w:rsidR="000D2D5E" w:rsidRPr="008376FC">
        <w:rPr>
          <w:rFonts w:asciiTheme="majorHAnsi" w:hAnsiTheme="majorHAnsi" w:cstheme="majorHAnsi"/>
          <w:b w:val="0"/>
          <w:bCs w:val="0"/>
          <w:iCs/>
          <w:sz w:val="24"/>
          <w:szCs w:val="24"/>
        </w:rPr>
        <w:t>Acordul dintre Guvernul Republicii Moldova și Guvernul României privind reglementarea construirii unor apeducte</w:t>
      </w:r>
      <w:r w:rsidR="006B7512">
        <w:rPr>
          <w:rFonts w:asciiTheme="majorHAnsi" w:hAnsiTheme="majorHAnsi" w:cstheme="majorHAnsi"/>
          <w:b w:val="0"/>
          <w:bCs w:val="0"/>
          <w:iCs/>
          <w:sz w:val="24"/>
          <w:szCs w:val="24"/>
        </w:rPr>
        <w:t>,</w:t>
      </w:r>
      <w:r w:rsidR="000D2D5E" w:rsidRPr="008376FC">
        <w:rPr>
          <w:rFonts w:asciiTheme="majorHAnsi" w:hAnsiTheme="majorHAnsi" w:cstheme="majorHAnsi"/>
          <w:b w:val="0"/>
          <w:bCs w:val="0"/>
          <w:iCs/>
          <w:sz w:val="24"/>
          <w:szCs w:val="24"/>
        </w:rPr>
        <w:t xml:space="preserve"> </w:t>
      </w:r>
      <w:r w:rsidR="00E6084A" w:rsidRPr="008376FC">
        <w:rPr>
          <w:rFonts w:asciiTheme="majorHAnsi" w:hAnsiTheme="majorHAnsi" w:cstheme="majorHAnsi"/>
          <w:b w:val="0"/>
          <w:bCs w:val="0"/>
          <w:iCs/>
          <w:sz w:val="24"/>
          <w:szCs w:val="24"/>
        </w:rPr>
        <w:t xml:space="preserve">semnat </w:t>
      </w:r>
      <w:r w:rsidR="000D2D5E" w:rsidRPr="008376FC">
        <w:rPr>
          <w:rFonts w:asciiTheme="majorHAnsi" w:hAnsiTheme="majorHAnsi" w:cstheme="majorHAnsi"/>
          <w:b w:val="0"/>
          <w:bCs w:val="0"/>
          <w:iCs/>
          <w:sz w:val="24"/>
          <w:szCs w:val="24"/>
        </w:rPr>
        <w:t>în 2021.</w:t>
      </w:r>
    </w:p>
    <w:p w:rsidR="005524DE" w:rsidRPr="008376FC" w:rsidRDefault="005524DE" w:rsidP="00F61756">
      <w:pPr>
        <w:tabs>
          <w:tab w:val="left" w:pos="426"/>
        </w:tabs>
        <w:spacing w:after="0" w:line="276" w:lineRule="auto"/>
        <w:jc w:val="both"/>
        <w:rPr>
          <w:rFonts w:asciiTheme="majorHAnsi" w:hAnsiTheme="majorHAnsi" w:cstheme="majorHAnsi"/>
          <w:b w:val="0"/>
          <w:bCs w:val="0"/>
          <w:i/>
          <w:sz w:val="24"/>
          <w:szCs w:val="24"/>
        </w:rPr>
      </w:pPr>
    </w:p>
    <w:p w:rsidR="00275DFA" w:rsidRPr="008376FC" w:rsidRDefault="00275DFA" w:rsidP="00F61756">
      <w:pPr>
        <w:tabs>
          <w:tab w:val="left" w:pos="426"/>
        </w:tabs>
        <w:spacing w:after="0" w:line="276" w:lineRule="auto"/>
        <w:contextualSpacing/>
        <w:jc w:val="both"/>
        <w:rPr>
          <w:rFonts w:asciiTheme="majorHAnsi" w:eastAsia="Calibri" w:hAnsiTheme="majorHAnsi" w:cstheme="majorHAnsi"/>
          <w:b w:val="0"/>
          <w:bCs w:val="0"/>
          <w:sz w:val="24"/>
          <w:szCs w:val="24"/>
        </w:rPr>
      </w:pPr>
      <w:r w:rsidRPr="008376FC">
        <w:rPr>
          <w:rFonts w:asciiTheme="majorHAnsi" w:eastAsia="Calibri" w:hAnsiTheme="majorHAnsi" w:cstheme="majorHAnsi"/>
          <w:b w:val="0"/>
          <w:bCs w:val="0"/>
          <w:sz w:val="24"/>
          <w:szCs w:val="24"/>
        </w:rPr>
        <w:t>Misiunea de audit contează pe faptul că cele menționate în prezentul Raport de audit vor fi utile pentru Parlament, Guvern,</w:t>
      </w:r>
      <w:r w:rsidRPr="008376FC" w:rsidDel="00546D93">
        <w:rPr>
          <w:rFonts w:asciiTheme="majorHAnsi" w:eastAsia="Calibri" w:hAnsiTheme="majorHAnsi" w:cstheme="majorHAnsi"/>
          <w:b w:val="0"/>
          <w:bCs w:val="0"/>
          <w:sz w:val="24"/>
          <w:szCs w:val="24"/>
        </w:rPr>
        <w:t xml:space="preserve"> </w:t>
      </w:r>
      <w:r w:rsidRPr="008376FC">
        <w:rPr>
          <w:rFonts w:asciiTheme="majorHAnsi" w:eastAsia="Calibri" w:hAnsiTheme="majorHAnsi" w:cstheme="majorHAnsi"/>
          <w:b w:val="0"/>
          <w:bCs w:val="0"/>
          <w:sz w:val="24"/>
          <w:szCs w:val="24"/>
        </w:rPr>
        <w:t>Agenția Națională pentru Reglementare în Energetică, autorităţile publice locale, operatorii apă-canal, creditorii externi și societatea civilă</w:t>
      </w:r>
      <w:r w:rsidRPr="00F9738C">
        <w:rPr>
          <w:rFonts w:asciiTheme="majorHAnsi" w:eastAsia="Calibri" w:hAnsiTheme="majorHAnsi" w:cstheme="majorHAnsi"/>
          <w:b w:val="0"/>
          <w:bCs w:val="0"/>
          <w:sz w:val="24"/>
          <w:szCs w:val="24"/>
        </w:rPr>
        <w:t xml:space="preserve">, </w:t>
      </w:r>
      <w:r w:rsidR="00BC28D6" w:rsidRPr="00F9738C">
        <w:rPr>
          <w:rFonts w:asciiTheme="majorHAnsi" w:eastAsia="Calibri" w:hAnsiTheme="majorHAnsi" w:cstheme="majorHAnsi"/>
          <w:b w:val="0"/>
          <w:bCs w:val="0"/>
          <w:sz w:val="24"/>
          <w:szCs w:val="24"/>
        </w:rPr>
        <w:t>având în vedere</w:t>
      </w:r>
      <w:r w:rsidRPr="00F9738C">
        <w:rPr>
          <w:rFonts w:asciiTheme="majorHAnsi" w:eastAsia="Calibri" w:hAnsiTheme="majorHAnsi" w:cstheme="majorHAnsi"/>
          <w:b w:val="0"/>
          <w:bCs w:val="0"/>
          <w:sz w:val="24"/>
          <w:szCs w:val="24"/>
        </w:rPr>
        <w:t xml:space="preserve"> </w:t>
      </w:r>
      <w:r w:rsidR="000056B2" w:rsidRPr="00F9738C">
        <w:rPr>
          <w:rFonts w:asciiTheme="majorHAnsi" w:eastAsia="Calibri" w:hAnsiTheme="majorHAnsi" w:cstheme="majorHAnsi"/>
          <w:b w:val="0"/>
          <w:bCs w:val="0"/>
          <w:sz w:val="24"/>
          <w:szCs w:val="24"/>
        </w:rPr>
        <w:t>cunoașterea situației reale din domeniul aprovizionării cu apă şi sanitaţie</w:t>
      </w:r>
      <w:r w:rsidR="006B7512" w:rsidRPr="00F9738C">
        <w:rPr>
          <w:rFonts w:asciiTheme="majorHAnsi" w:eastAsia="Calibri" w:hAnsiTheme="majorHAnsi" w:cstheme="majorHAnsi"/>
          <w:b w:val="0"/>
          <w:bCs w:val="0"/>
          <w:sz w:val="24"/>
          <w:szCs w:val="24"/>
        </w:rPr>
        <w:t>i</w:t>
      </w:r>
      <w:r w:rsidR="000056B2" w:rsidRPr="00F9738C">
        <w:rPr>
          <w:rFonts w:asciiTheme="majorHAnsi" w:eastAsia="Calibri" w:hAnsiTheme="majorHAnsi" w:cstheme="majorHAnsi"/>
          <w:b w:val="0"/>
          <w:bCs w:val="0"/>
          <w:sz w:val="24"/>
          <w:szCs w:val="24"/>
        </w:rPr>
        <w:t xml:space="preserve"> în contextul</w:t>
      </w:r>
      <w:r w:rsidR="000056B2" w:rsidRPr="008376FC">
        <w:rPr>
          <w:rFonts w:asciiTheme="majorHAnsi" w:eastAsia="Calibri" w:hAnsiTheme="majorHAnsi" w:cstheme="majorHAnsi"/>
          <w:b w:val="0"/>
          <w:bCs w:val="0"/>
          <w:sz w:val="24"/>
          <w:szCs w:val="24"/>
        </w:rPr>
        <w:t xml:space="preserve"> eividenţei obiectelor infrastructurii tehnico-edilitare şi a investiţiilor efectuate în acestea, regionalizării serviciilor de alimentare cu apă şi sanitaţie</w:t>
      </w:r>
      <w:r w:rsidR="00F72A91" w:rsidRPr="008376FC">
        <w:rPr>
          <w:rFonts w:asciiTheme="majorHAnsi" w:eastAsia="Calibri" w:hAnsiTheme="majorHAnsi" w:cstheme="majorHAnsi"/>
          <w:b w:val="0"/>
          <w:bCs w:val="0"/>
          <w:sz w:val="24"/>
          <w:szCs w:val="24"/>
        </w:rPr>
        <w:t xml:space="preserve">, </w:t>
      </w:r>
      <w:r w:rsidR="006B7512">
        <w:rPr>
          <w:rFonts w:asciiTheme="majorHAnsi" w:eastAsia="Calibri" w:hAnsiTheme="majorHAnsi" w:cstheme="majorHAnsi"/>
          <w:b w:val="0"/>
          <w:bCs w:val="0"/>
          <w:sz w:val="24"/>
          <w:szCs w:val="24"/>
        </w:rPr>
        <w:t>inclusiv</w:t>
      </w:r>
      <w:r w:rsidR="000056B2" w:rsidRPr="008376FC">
        <w:rPr>
          <w:rFonts w:asciiTheme="majorHAnsi" w:eastAsia="Calibri" w:hAnsiTheme="majorHAnsi" w:cstheme="majorHAnsi"/>
          <w:b w:val="0"/>
          <w:bCs w:val="0"/>
          <w:sz w:val="24"/>
          <w:szCs w:val="24"/>
        </w:rPr>
        <w:t xml:space="preserve"> gestuinii acestora</w:t>
      </w:r>
      <w:r w:rsidRPr="008376FC">
        <w:rPr>
          <w:rFonts w:asciiTheme="majorHAnsi" w:eastAsia="Calibri" w:hAnsiTheme="majorHAnsi" w:cstheme="majorHAnsi"/>
          <w:b w:val="0"/>
          <w:bCs w:val="0"/>
          <w:sz w:val="24"/>
          <w:szCs w:val="24"/>
        </w:rPr>
        <w:t>.</w:t>
      </w:r>
    </w:p>
    <w:p w:rsidR="004B0AA9" w:rsidRDefault="000056B2" w:rsidP="00F61756">
      <w:pPr>
        <w:tabs>
          <w:tab w:val="left" w:pos="426"/>
        </w:tabs>
        <w:spacing w:after="0" w:line="276" w:lineRule="auto"/>
        <w:contextualSpacing/>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Recomandările de audit sunt orientate spre impulsionarea dezvoltării unui sistem de management eficient în domeniul alimentării cu apă şi sanitaţie</w:t>
      </w:r>
      <w:r w:rsidR="006B7512">
        <w:rPr>
          <w:rFonts w:asciiTheme="majorHAnsi" w:hAnsiTheme="majorHAnsi" w:cstheme="majorHAnsi"/>
          <w:b w:val="0"/>
          <w:bCs w:val="0"/>
          <w:sz w:val="24"/>
          <w:szCs w:val="24"/>
        </w:rPr>
        <w:t>i</w:t>
      </w:r>
      <w:r w:rsidRPr="008376FC">
        <w:rPr>
          <w:rFonts w:asciiTheme="majorHAnsi" w:hAnsiTheme="majorHAnsi" w:cstheme="majorHAnsi"/>
          <w:b w:val="0"/>
          <w:bCs w:val="0"/>
          <w:sz w:val="24"/>
          <w:szCs w:val="24"/>
        </w:rPr>
        <w:t>, bazat pe un cadru normativ calitativ, armonizat cu standardele europene, astfel încât să fie asigurat accesul la sisteme de alimentare cu apă şi sanitaţie de calitate înaltă</w:t>
      </w:r>
      <w:r w:rsidR="006B7512">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 xml:space="preserve"> pentru un număr cât mai mare de populaţie atât din mediul urban</w:t>
      </w:r>
      <w:r w:rsidR="006B7512">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 xml:space="preserve"> cât şi cel rural.</w:t>
      </w:r>
    </w:p>
    <w:p w:rsidR="00987498" w:rsidRDefault="00987498" w:rsidP="00F61756">
      <w:pPr>
        <w:tabs>
          <w:tab w:val="left" w:pos="426"/>
        </w:tabs>
        <w:spacing w:after="0" w:line="276" w:lineRule="auto"/>
        <w:contextualSpacing/>
        <w:jc w:val="both"/>
        <w:rPr>
          <w:rFonts w:asciiTheme="majorHAnsi" w:hAnsiTheme="majorHAnsi" w:cstheme="majorHAnsi"/>
          <w:b w:val="0"/>
          <w:bCs w:val="0"/>
          <w:sz w:val="24"/>
          <w:szCs w:val="24"/>
        </w:rPr>
      </w:pPr>
      <w:r w:rsidRPr="00510CDB">
        <w:rPr>
          <w:rFonts w:asciiTheme="majorHAnsi" w:hAnsiTheme="majorHAnsi" w:cstheme="majorHAnsi"/>
          <w:b w:val="0"/>
          <w:bCs w:val="0"/>
          <w:sz w:val="24"/>
          <w:szCs w:val="24"/>
        </w:rPr>
        <w:t>Constatările și recomandările de audit au fost comunicate și coordinate cu actorii vizați în prezentul Raport de audit.</w:t>
      </w:r>
    </w:p>
    <w:p w:rsidR="00F9738C" w:rsidRDefault="00F9738C" w:rsidP="00F61756">
      <w:pPr>
        <w:tabs>
          <w:tab w:val="left" w:pos="426"/>
        </w:tabs>
        <w:spacing w:after="0" w:line="276" w:lineRule="auto"/>
        <w:contextualSpacing/>
        <w:jc w:val="both"/>
        <w:rPr>
          <w:rFonts w:asciiTheme="majorHAnsi" w:hAnsiTheme="majorHAnsi" w:cstheme="majorHAnsi"/>
          <w:b w:val="0"/>
          <w:bCs w:val="0"/>
          <w:sz w:val="24"/>
          <w:szCs w:val="24"/>
        </w:rPr>
      </w:pPr>
    </w:p>
    <w:p w:rsidR="00F9738C" w:rsidRPr="008376FC" w:rsidRDefault="00F9738C" w:rsidP="00F61756">
      <w:pPr>
        <w:tabs>
          <w:tab w:val="left" w:pos="426"/>
        </w:tabs>
        <w:spacing w:after="0" w:line="276" w:lineRule="auto"/>
        <w:contextualSpacing/>
        <w:jc w:val="both"/>
        <w:rPr>
          <w:rFonts w:asciiTheme="majorHAnsi" w:hAnsiTheme="majorHAnsi" w:cstheme="majorHAnsi"/>
          <w:b w:val="0"/>
          <w:bCs w:val="0"/>
          <w:sz w:val="24"/>
          <w:szCs w:val="24"/>
        </w:rPr>
      </w:pPr>
    </w:p>
    <w:p w:rsidR="0096170B" w:rsidRPr="008376FC" w:rsidRDefault="0096170B" w:rsidP="00F61756">
      <w:pPr>
        <w:pStyle w:val="1"/>
        <w:spacing w:line="276" w:lineRule="auto"/>
        <w:rPr>
          <w:rFonts w:eastAsia="Calibri" w:cstheme="majorHAnsi"/>
          <w:bCs w:val="0"/>
          <w:color w:val="0070C0"/>
          <w:sz w:val="24"/>
          <w:szCs w:val="24"/>
        </w:rPr>
      </w:pPr>
      <w:bookmarkStart w:id="6" w:name="_Toc496855422"/>
      <w:bookmarkStart w:id="7" w:name="_Toc132042779"/>
      <w:bookmarkStart w:id="8" w:name="_Toc132320201"/>
      <w:r w:rsidRPr="008376FC">
        <w:rPr>
          <w:rFonts w:eastAsia="Calibri" w:cstheme="majorHAnsi"/>
          <w:bCs w:val="0"/>
          <w:color w:val="0070C0"/>
          <w:sz w:val="24"/>
          <w:szCs w:val="24"/>
        </w:rPr>
        <w:t>II.</w:t>
      </w:r>
      <w:r w:rsidRPr="008376FC">
        <w:rPr>
          <w:rFonts w:eastAsia="Calibri" w:cstheme="majorHAnsi"/>
          <w:bCs w:val="0"/>
          <w:color w:val="auto"/>
          <w:sz w:val="24"/>
          <w:szCs w:val="24"/>
        </w:rPr>
        <w:t xml:space="preserve"> </w:t>
      </w:r>
      <w:bookmarkEnd w:id="6"/>
      <w:r w:rsidRPr="008376FC">
        <w:rPr>
          <w:rFonts w:eastAsia="Calibri" w:cstheme="majorHAnsi"/>
          <w:bCs w:val="0"/>
          <w:color w:val="0070C0"/>
          <w:sz w:val="24"/>
          <w:szCs w:val="24"/>
        </w:rPr>
        <w:t>PREZENTARE</w:t>
      </w:r>
      <w:r w:rsidR="00C247B3" w:rsidRPr="008376FC">
        <w:rPr>
          <w:rFonts w:eastAsia="Calibri" w:cstheme="majorHAnsi"/>
          <w:bCs w:val="0"/>
          <w:color w:val="0070C0"/>
          <w:sz w:val="24"/>
          <w:szCs w:val="24"/>
        </w:rPr>
        <w:t>A</w:t>
      </w:r>
      <w:r w:rsidRPr="008376FC">
        <w:rPr>
          <w:rFonts w:eastAsia="Calibri" w:cstheme="majorHAnsi"/>
          <w:bCs w:val="0"/>
          <w:color w:val="0070C0"/>
          <w:sz w:val="24"/>
          <w:szCs w:val="24"/>
        </w:rPr>
        <w:t xml:space="preserve"> GENERALĂ</w:t>
      </w:r>
      <w:bookmarkEnd w:id="7"/>
      <w:bookmarkEnd w:id="8"/>
    </w:p>
    <w:p w:rsidR="0096170B" w:rsidRPr="008376FC" w:rsidRDefault="0096170B" w:rsidP="00F61756">
      <w:pPr>
        <w:pStyle w:val="1"/>
        <w:spacing w:line="276" w:lineRule="auto"/>
        <w:rPr>
          <w:rFonts w:eastAsia="Calibri" w:cstheme="majorHAnsi"/>
          <w:bCs w:val="0"/>
          <w:color w:val="0070C0"/>
          <w:sz w:val="24"/>
          <w:szCs w:val="24"/>
        </w:rPr>
      </w:pPr>
      <w:bookmarkStart w:id="9" w:name="_Toc496855423"/>
      <w:bookmarkStart w:id="10" w:name="_Toc132042780"/>
      <w:bookmarkStart w:id="11" w:name="_Toc132320202"/>
      <w:r w:rsidRPr="008376FC">
        <w:rPr>
          <w:rFonts w:eastAsia="Calibri" w:cstheme="majorHAnsi"/>
          <w:bCs w:val="0"/>
          <w:color w:val="0070C0"/>
          <w:sz w:val="24"/>
          <w:szCs w:val="24"/>
        </w:rPr>
        <w:t xml:space="preserve">2.1. Informație generală despre </w:t>
      </w:r>
      <w:bookmarkEnd w:id="9"/>
      <w:r w:rsidR="00812EE7" w:rsidRPr="008376FC">
        <w:rPr>
          <w:rFonts w:eastAsia="Calibri" w:cstheme="majorHAnsi"/>
          <w:bCs w:val="0"/>
          <w:color w:val="0070C0"/>
          <w:sz w:val="24"/>
          <w:szCs w:val="24"/>
        </w:rPr>
        <w:t>SAAS</w:t>
      </w:r>
      <w:bookmarkEnd w:id="10"/>
      <w:bookmarkEnd w:id="11"/>
    </w:p>
    <w:p w:rsidR="00223D1A" w:rsidRPr="008376FC" w:rsidRDefault="00223D1A" w:rsidP="00F61756">
      <w:pPr>
        <w:spacing w:line="276" w:lineRule="auto"/>
        <w:rPr>
          <w:rFonts w:asciiTheme="majorHAnsi" w:eastAsia="Calibri" w:hAnsiTheme="majorHAnsi" w:cstheme="majorHAnsi"/>
          <w:bCs w:val="0"/>
          <w:color w:val="0070C0"/>
          <w:sz w:val="24"/>
          <w:szCs w:val="24"/>
        </w:rPr>
      </w:pPr>
      <w:bookmarkStart w:id="12" w:name="_Toc116982769"/>
      <w:r w:rsidRPr="008376FC">
        <w:rPr>
          <w:rFonts w:asciiTheme="majorHAnsi" w:eastAsia="Calibri" w:hAnsiTheme="majorHAnsi" w:cstheme="majorHAnsi"/>
          <w:bCs w:val="0"/>
          <w:color w:val="0070C0"/>
          <w:sz w:val="24"/>
          <w:szCs w:val="24"/>
        </w:rPr>
        <w:t>2.1.1. Contextul aprobării Strategiei</w:t>
      </w:r>
      <w:bookmarkEnd w:id="12"/>
    </w:p>
    <w:p w:rsidR="00223D1A" w:rsidRPr="008376FC" w:rsidRDefault="00D33A15" w:rsidP="00F61756">
      <w:pPr>
        <w:spacing w:before="120" w:after="0" w:line="276" w:lineRule="auto"/>
        <w:jc w:val="both"/>
        <w:rPr>
          <w:rFonts w:asciiTheme="majorHAnsi" w:eastAsia="Calibri" w:hAnsiTheme="majorHAnsi" w:cstheme="majorHAnsi"/>
          <w:b w:val="0"/>
          <w:bCs w:val="0"/>
          <w:sz w:val="24"/>
          <w:szCs w:val="24"/>
        </w:rPr>
      </w:pPr>
      <w:r w:rsidRPr="008376FC">
        <w:rPr>
          <w:rFonts w:asciiTheme="majorHAnsi" w:eastAsia="Calibri" w:hAnsiTheme="majorHAnsi" w:cstheme="majorHAnsi"/>
          <w:b w:val="0"/>
          <w:bCs w:val="0"/>
          <w:sz w:val="24"/>
          <w:szCs w:val="24"/>
        </w:rPr>
        <w:t xml:space="preserve">Necesitatea elaborării unei </w:t>
      </w:r>
      <w:r w:rsidRPr="00F9738C">
        <w:rPr>
          <w:rFonts w:asciiTheme="majorHAnsi" w:eastAsia="Calibri" w:hAnsiTheme="majorHAnsi" w:cstheme="majorHAnsi"/>
          <w:b w:val="0"/>
          <w:bCs w:val="0"/>
          <w:sz w:val="24"/>
          <w:szCs w:val="24"/>
        </w:rPr>
        <w:t xml:space="preserve">strategii </w:t>
      </w:r>
      <w:r w:rsidR="00BC28D6" w:rsidRPr="00F9738C">
        <w:rPr>
          <w:rFonts w:asciiTheme="majorHAnsi" w:eastAsia="Calibri" w:hAnsiTheme="majorHAnsi" w:cstheme="majorHAnsi"/>
          <w:b w:val="0"/>
          <w:bCs w:val="0"/>
          <w:sz w:val="24"/>
          <w:szCs w:val="24"/>
        </w:rPr>
        <w:t>noi</w:t>
      </w:r>
      <w:r w:rsidRPr="00F9738C">
        <w:rPr>
          <w:rFonts w:asciiTheme="majorHAnsi" w:eastAsia="Calibri" w:hAnsiTheme="majorHAnsi" w:cstheme="majorHAnsi"/>
          <w:b w:val="0"/>
          <w:bCs w:val="0"/>
          <w:sz w:val="24"/>
          <w:szCs w:val="24"/>
        </w:rPr>
        <w:t>,</w:t>
      </w:r>
      <w:r w:rsidRPr="008376FC">
        <w:rPr>
          <w:rFonts w:asciiTheme="majorHAnsi" w:eastAsia="Calibri" w:hAnsiTheme="majorHAnsi" w:cstheme="majorHAnsi"/>
          <w:b w:val="0"/>
          <w:bCs w:val="0"/>
          <w:sz w:val="24"/>
          <w:szCs w:val="24"/>
        </w:rPr>
        <w:t xml:space="preserve"> aliniată la cerinţele actuale ale societăţii şi la legislaţia comunitară, a decurs din analiza şi evaluarea rezultatelor obţinute la implementarea Strategiei privind alimentarea cu apă şi canalizarea localităţilor din Republica Moldova, aprobată prin Hotăr</w:t>
      </w:r>
      <w:r w:rsidR="00787AE4">
        <w:rPr>
          <w:rFonts w:asciiTheme="majorHAnsi" w:eastAsia="Calibri" w:hAnsiTheme="majorHAnsi" w:cstheme="majorHAnsi"/>
          <w:b w:val="0"/>
          <w:bCs w:val="0"/>
          <w:sz w:val="24"/>
          <w:szCs w:val="24"/>
        </w:rPr>
        <w:t>â</w:t>
      </w:r>
      <w:r w:rsidRPr="008376FC">
        <w:rPr>
          <w:rFonts w:asciiTheme="majorHAnsi" w:eastAsia="Calibri" w:hAnsiTheme="majorHAnsi" w:cstheme="majorHAnsi"/>
          <w:b w:val="0"/>
          <w:bCs w:val="0"/>
          <w:sz w:val="24"/>
          <w:szCs w:val="24"/>
        </w:rPr>
        <w:t>rea Guvernului nr.662 din 13 iunie 2007, Programului de alimentare cu apă şi de canalizare a localităţilor din Republica Moldova p</w:t>
      </w:r>
      <w:r w:rsidR="00787AE4">
        <w:rPr>
          <w:rFonts w:asciiTheme="majorHAnsi" w:eastAsia="Calibri" w:hAnsiTheme="majorHAnsi" w:cstheme="majorHAnsi"/>
          <w:b w:val="0"/>
          <w:bCs w:val="0"/>
          <w:sz w:val="24"/>
          <w:szCs w:val="24"/>
        </w:rPr>
        <w:t>â</w:t>
      </w:r>
      <w:r w:rsidRPr="008376FC">
        <w:rPr>
          <w:rFonts w:asciiTheme="majorHAnsi" w:eastAsia="Calibri" w:hAnsiTheme="majorHAnsi" w:cstheme="majorHAnsi"/>
          <w:b w:val="0"/>
          <w:bCs w:val="0"/>
          <w:sz w:val="24"/>
          <w:szCs w:val="24"/>
        </w:rPr>
        <w:t>nă în anul 2015, aprobat prin Hotăr</w:t>
      </w:r>
      <w:r w:rsidR="00787AE4">
        <w:rPr>
          <w:rFonts w:asciiTheme="majorHAnsi" w:eastAsia="Calibri" w:hAnsiTheme="majorHAnsi" w:cstheme="majorHAnsi"/>
          <w:b w:val="0"/>
          <w:bCs w:val="0"/>
          <w:sz w:val="24"/>
          <w:szCs w:val="24"/>
        </w:rPr>
        <w:t>â</w:t>
      </w:r>
      <w:r w:rsidRPr="008376FC">
        <w:rPr>
          <w:rFonts w:asciiTheme="majorHAnsi" w:eastAsia="Calibri" w:hAnsiTheme="majorHAnsi" w:cstheme="majorHAnsi"/>
          <w:b w:val="0"/>
          <w:bCs w:val="0"/>
          <w:sz w:val="24"/>
          <w:szCs w:val="24"/>
        </w:rPr>
        <w:t>rea Guvernului nr.1406 din 30 decembrie 2005, şi Programului Naţional „Satul Moldovenesc”</w:t>
      </w:r>
      <w:r w:rsidR="00257FE6" w:rsidRPr="008376FC">
        <w:rPr>
          <w:rFonts w:asciiTheme="majorHAnsi" w:eastAsia="Calibri" w:hAnsiTheme="majorHAnsi" w:cstheme="majorHAnsi"/>
          <w:b w:val="0"/>
          <w:bCs w:val="0"/>
          <w:sz w:val="24"/>
          <w:szCs w:val="24"/>
        </w:rPr>
        <w:t>, precum și a fost</w:t>
      </w:r>
      <w:r w:rsidR="00257FE6" w:rsidRPr="008376FC">
        <w:rPr>
          <w:rFonts w:asciiTheme="majorHAnsi" w:hAnsiTheme="majorHAnsi"/>
          <w:sz w:val="24"/>
          <w:szCs w:val="24"/>
          <w:shd w:val="clear" w:color="auto" w:fill="FFFFFF"/>
        </w:rPr>
        <w:t xml:space="preserve"> </w:t>
      </w:r>
      <w:r w:rsidR="00223D1A" w:rsidRPr="008376FC">
        <w:rPr>
          <w:rFonts w:asciiTheme="majorHAnsi" w:eastAsia="Calibri" w:hAnsiTheme="majorHAnsi" w:cstheme="majorHAnsi"/>
          <w:b w:val="0"/>
          <w:bCs w:val="0"/>
          <w:sz w:val="24"/>
          <w:szCs w:val="24"/>
        </w:rPr>
        <w:t>dictată de faptul că principalele obiective de dezvoltare a serviciului public de alimentare cu apă şi canalizare, stipulate în Strategia şi în programele precedente, nu au fost executate, iar atragerea şi utilizarea fondurilor nerambursabile şi creditelor a fost ineficientă</w:t>
      </w:r>
      <w:r w:rsidR="00223D1A" w:rsidRPr="008376FC">
        <w:rPr>
          <w:rFonts w:asciiTheme="majorHAnsi" w:eastAsia="Calibri" w:hAnsiTheme="majorHAnsi" w:cstheme="majorHAnsi"/>
          <w:b w:val="0"/>
          <w:bCs w:val="0"/>
          <w:sz w:val="24"/>
          <w:szCs w:val="24"/>
          <w:vertAlign w:val="superscript"/>
        </w:rPr>
        <w:footnoteReference w:id="1"/>
      </w:r>
      <w:r w:rsidR="00223D1A" w:rsidRPr="008376FC">
        <w:rPr>
          <w:rFonts w:asciiTheme="majorHAnsi" w:eastAsia="Calibri" w:hAnsiTheme="majorHAnsi" w:cstheme="majorHAnsi"/>
          <w:b w:val="0"/>
          <w:bCs w:val="0"/>
          <w:sz w:val="24"/>
          <w:szCs w:val="24"/>
        </w:rPr>
        <w:t>. De asemenea, Republica Moldova, aflată</w:t>
      </w:r>
      <w:r w:rsidR="00257FE6" w:rsidRPr="008376FC">
        <w:rPr>
          <w:rFonts w:asciiTheme="majorHAnsi" w:eastAsia="Calibri" w:hAnsiTheme="majorHAnsi" w:cstheme="majorHAnsi"/>
          <w:b w:val="0"/>
          <w:bCs w:val="0"/>
          <w:sz w:val="24"/>
          <w:szCs w:val="24"/>
        </w:rPr>
        <w:t>, la acel moment,</w:t>
      </w:r>
      <w:r w:rsidR="00223D1A" w:rsidRPr="008376FC">
        <w:rPr>
          <w:rFonts w:asciiTheme="majorHAnsi" w:eastAsia="Calibri" w:hAnsiTheme="majorHAnsi" w:cstheme="majorHAnsi"/>
          <w:b w:val="0"/>
          <w:bCs w:val="0"/>
          <w:sz w:val="24"/>
          <w:szCs w:val="24"/>
        </w:rPr>
        <w:t xml:space="preserve"> în proces de negociere a Acordului de Asociere la Uniunea Europeană (UE), şi-a asumat o serie de angajamente în mai multe domenii pe baza alinierii legislaţiei şi standardelor naţionale la legislaţia şi standardele comunitare, inclusiv </w:t>
      </w:r>
      <w:r w:rsidR="00787AE4">
        <w:rPr>
          <w:rFonts w:asciiTheme="majorHAnsi" w:eastAsia="Calibri" w:hAnsiTheme="majorHAnsi" w:cstheme="majorHAnsi"/>
          <w:b w:val="0"/>
          <w:bCs w:val="0"/>
          <w:sz w:val="24"/>
          <w:szCs w:val="24"/>
        </w:rPr>
        <w:t>în</w:t>
      </w:r>
      <w:r w:rsidR="00223D1A" w:rsidRPr="008376FC">
        <w:rPr>
          <w:rFonts w:asciiTheme="majorHAnsi" w:eastAsia="Calibri" w:hAnsiTheme="majorHAnsi" w:cstheme="majorHAnsi"/>
          <w:b w:val="0"/>
          <w:bCs w:val="0"/>
          <w:sz w:val="24"/>
          <w:szCs w:val="24"/>
        </w:rPr>
        <w:t xml:space="preserve"> domeniul de alimentare cu apă şi sanitaţie. În acest context, la data de 20.03.2014, prin Hotărârea Guvernului nr.199 a fost aprobată Strategi</w:t>
      </w:r>
      <w:r w:rsidR="00EC3D29" w:rsidRPr="008376FC">
        <w:rPr>
          <w:rFonts w:asciiTheme="majorHAnsi" w:eastAsia="Calibri" w:hAnsiTheme="majorHAnsi" w:cstheme="majorHAnsi"/>
          <w:b w:val="0"/>
          <w:bCs w:val="0"/>
          <w:sz w:val="24"/>
          <w:szCs w:val="24"/>
        </w:rPr>
        <w:t>a</w:t>
      </w:r>
      <w:r w:rsidR="00223D1A" w:rsidRPr="008376FC">
        <w:rPr>
          <w:rFonts w:asciiTheme="majorHAnsi" w:eastAsia="Calibri" w:hAnsiTheme="majorHAnsi" w:cstheme="majorHAnsi"/>
          <w:b w:val="0"/>
          <w:bCs w:val="0"/>
          <w:sz w:val="24"/>
          <w:szCs w:val="24"/>
        </w:rPr>
        <w:t xml:space="preserve"> de alimentare cu apă şi sanitaţie (2014</w:t>
      </w:r>
      <w:r w:rsidR="00787AE4">
        <w:rPr>
          <w:rFonts w:asciiTheme="majorHAnsi" w:eastAsia="Calibri" w:hAnsiTheme="majorHAnsi" w:cstheme="majorHAnsi"/>
          <w:b w:val="0"/>
          <w:bCs w:val="0"/>
          <w:sz w:val="24"/>
          <w:szCs w:val="24"/>
        </w:rPr>
        <w:t>-</w:t>
      </w:r>
      <w:r w:rsidR="00223D1A" w:rsidRPr="008376FC">
        <w:rPr>
          <w:rFonts w:asciiTheme="majorHAnsi" w:eastAsia="Calibri" w:hAnsiTheme="majorHAnsi" w:cstheme="majorHAnsi"/>
          <w:b w:val="0"/>
          <w:bCs w:val="0"/>
          <w:sz w:val="24"/>
          <w:szCs w:val="24"/>
        </w:rPr>
        <w:t>2030)</w:t>
      </w:r>
      <w:r w:rsidR="00223D1A" w:rsidRPr="008376FC">
        <w:rPr>
          <w:rFonts w:asciiTheme="majorHAnsi" w:eastAsia="Calibri" w:hAnsiTheme="majorHAnsi" w:cstheme="majorHAnsi"/>
          <w:b w:val="0"/>
          <w:bCs w:val="0"/>
          <w:sz w:val="24"/>
          <w:szCs w:val="24"/>
          <w:vertAlign w:val="superscript"/>
        </w:rPr>
        <w:footnoteReference w:id="2"/>
      </w:r>
      <w:r w:rsidR="00223D1A" w:rsidRPr="008376FC">
        <w:rPr>
          <w:rFonts w:asciiTheme="majorHAnsi" w:eastAsia="Calibri" w:hAnsiTheme="majorHAnsi" w:cstheme="majorHAnsi"/>
          <w:b w:val="0"/>
          <w:bCs w:val="0"/>
          <w:sz w:val="24"/>
          <w:szCs w:val="24"/>
        </w:rPr>
        <w:t>.</w:t>
      </w:r>
    </w:p>
    <w:p w:rsidR="00CD1B1E" w:rsidRPr="008376FC" w:rsidRDefault="00CD1B1E" w:rsidP="00F61756">
      <w:pPr>
        <w:spacing w:before="120" w:after="0" w:line="276" w:lineRule="auto"/>
        <w:jc w:val="both"/>
        <w:rPr>
          <w:rFonts w:asciiTheme="majorHAnsi" w:eastAsia="Calibri" w:hAnsiTheme="majorHAnsi" w:cstheme="majorHAnsi"/>
          <w:b w:val="0"/>
          <w:bCs w:val="0"/>
          <w:sz w:val="24"/>
          <w:szCs w:val="24"/>
        </w:rPr>
      </w:pPr>
      <w:r w:rsidRPr="008376FC">
        <w:rPr>
          <w:rFonts w:asciiTheme="majorHAnsi" w:eastAsia="Calibri" w:hAnsiTheme="majorHAnsi" w:cstheme="majorHAnsi"/>
          <w:b w:val="0"/>
          <w:bCs w:val="0"/>
          <w:sz w:val="24"/>
          <w:szCs w:val="24"/>
        </w:rPr>
        <w:t>SAAS este principalul document de politici în domeniul alimentării cu apă și sanitație, având drept scop prezentarea unei foi de parcurs actualizat</w:t>
      </w:r>
      <w:r w:rsidR="00787AE4">
        <w:rPr>
          <w:rFonts w:asciiTheme="majorHAnsi" w:eastAsia="Calibri" w:hAnsiTheme="majorHAnsi" w:cstheme="majorHAnsi"/>
          <w:b w:val="0"/>
          <w:bCs w:val="0"/>
          <w:sz w:val="24"/>
          <w:szCs w:val="24"/>
        </w:rPr>
        <w:t>e</w:t>
      </w:r>
      <w:r w:rsidRPr="008376FC">
        <w:rPr>
          <w:rFonts w:asciiTheme="majorHAnsi" w:eastAsia="Calibri" w:hAnsiTheme="majorHAnsi" w:cstheme="majorHAnsi"/>
          <w:b w:val="0"/>
          <w:bCs w:val="0"/>
          <w:sz w:val="24"/>
          <w:szCs w:val="24"/>
        </w:rPr>
        <w:t xml:space="preserve"> și detaliat</w:t>
      </w:r>
      <w:r w:rsidR="00787AE4">
        <w:rPr>
          <w:rFonts w:asciiTheme="majorHAnsi" w:eastAsia="Calibri" w:hAnsiTheme="majorHAnsi" w:cstheme="majorHAnsi"/>
          <w:b w:val="0"/>
          <w:bCs w:val="0"/>
          <w:sz w:val="24"/>
          <w:szCs w:val="24"/>
        </w:rPr>
        <w:t>e</w:t>
      </w:r>
      <w:r w:rsidRPr="008376FC">
        <w:rPr>
          <w:rFonts w:asciiTheme="majorHAnsi" w:eastAsia="Calibri" w:hAnsiTheme="majorHAnsi" w:cstheme="majorHAnsi"/>
          <w:b w:val="0"/>
          <w:bCs w:val="0"/>
          <w:sz w:val="24"/>
          <w:szCs w:val="24"/>
        </w:rPr>
        <w:t xml:space="preserve"> pentru dezvoltarea sectorului de alimentare cu apă și sanitație atât pe termen mediu (până în anul 2018)</w:t>
      </w:r>
      <w:r w:rsidR="00787AE4">
        <w:rPr>
          <w:rFonts w:asciiTheme="majorHAnsi" w:eastAsia="Calibri" w:hAnsiTheme="majorHAnsi" w:cstheme="majorHAnsi"/>
          <w:b w:val="0"/>
          <w:bCs w:val="0"/>
          <w:sz w:val="24"/>
          <w:szCs w:val="24"/>
        </w:rPr>
        <w:t>,</w:t>
      </w:r>
      <w:r w:rsidRPr="008376FC">
        <w:rPr>
          <w:rFonts w:asciiTheme="majorHAnsi" w:eastAsia="Calibri" w:hAnsiTheme="majorHAnsi" w:cstheme="majorHAnsi"/>
          <w:b w:val="0"/>
          <w:bCs w:val="0"/>
          <w:sz w:val="24"/>
          <w:szCs w:val="24"/>
        </w:rPr>
        <w:t xml:space="preserve"> cât și pe termen lung (până în anul 2030) și pentru asigurarea accesului populației la apă potabilă ca un drept fundamental.</w:t>
      </w:r>
    </w:p>
    <w:p w:rsidR="00CD1B1E" w:rsidRPr="008376FC" w:rsidRDefault="00CD1B1E" w:rsidP="00F61756">
      <w:pPr>
        <w:spacing w:before="120" w:after="0" w:line="276" w:lineRule="auto"/>
        <w:jc w:val="both"/>
        <w:rPr>
          <w:rFonts w:asciiTheme="majorHAnsi" w:eastAsia="Calibri" w:hAnsiTheme="majorHAnsi" w:cstheme="majorHAnsi"/>
          <w:b w:val="0"/>
          <w:bCs w:val="0"/>
          <w:sz w:val="24"/>
          <w:szCs w:val="24"/>
        </w:rPr>
      </w:pPr>
      <w:r w:rsidRPr="008376FC">
        <w:rPr>
          <w:rFonts w:asciiTheme="majorHAnsi" w:eastAsia="Calibri" w:hAnsiTheme="majorHAnsi" w:cstheme="majorHAnsi"/>
          <w:b w:val="0"/>
          <w:bCs w:val="0"/>
          <w:sz w:val="24"/>
          <w:szCs w:val="24"/>
        </w:rPr>
        <w:t>În acest sens, inițial pentru atingerea indicatorilor stabiliți de SAAS a fost aprobat Planul de acţiuni pentru perioada 2014-2018, care includea 30 de acțiuni, iar în anul 2020 a fost aprobat un nou Plan de acţiuni pentru perioada 2020-2024</w:t>
      </w:r>
      <w:r w:rsidRPr="008376FC">
        <w:rPr>
          <w:rFonts w:asciiTheme="majorHAnsi" w:eastAsia="Calibri" w:hAnsiTheme="majorHAnsi" w:cstheme="majorHAnsi"/>
          <w:b w:val="0"/>
          <w:bCs w:val="0"/>
          <w:sz w:val="24"/>
          <w:szCs w:val="24"/>
          <w:vertAlign w:val="superscript"/>
        </w:rPr>
        <w:footnoteReference w:id="3"/>
      </w:r>
      <w:r w:rsidRPr="008376FC">
        <w:rPr>
          <w:rFonts w:asciiTheme="majorHAnsi" w:eastAsia="Calibri" w:hAnsiTheme="majorHAnsi" w:cstheme="majorHAnsi"/>
          <w:b w:val="0"/>
          <w:bCs w:val="0"/>
          <w:sz w:val="24"/>
          <w:szCs w:val="24"/>
        </w:rPr>
        <w:t>, care include 28 de acțiuni.</w:t>
      </w:r>
    </w:p>
    <w:p w:rsidR="00CD1B1E" w:rsidRPr="008376FC" w:rsidRDefault="00CD1B1E" w:rsidP="00F61756">
      <w:pPr>
        <w:spacing w:before="120" w:after="0" w:line="276" w:lineRule="auto"/>
        <w:jc w:val="both"/>
        <w:rPr>
          <w:rFonts w:asciiTheme="majorHAnsi" w:eastAsia="Calibri" w:hAnsiTheme="majorHAnsi" w:cstheme="majorHAnsi"/>
          <w:b w:val="0"/>
          <w:bCs w:val="0"/>
          <w:sz w:val="24"/>
          <w:szCs w:val="24"/>
        </w:rPr>
      </w:pPr>
      <w:r w:rsidRPr="008376FC">
        <w:rPr>
          <w:rFonts w:asciiTheme="majorHAnsi" w:eastAsia="Calibri" w:hAnsiTheme="majorHAnsi" w:cstheme="majorHAnsi"/>
          <w:b w:val="0"/>
          <w:bCs w:val="0"/>
          <w:sz w:val="24"/>
          <w:szCs w:val="24"/>
        </w:rPr>
        <w:t xml:space="preserve">În contextul examinării interconexiunii SAAS cu alte documente de politici s-a atestat că, deşi obiectivul general și cele specifice, precum și majoritatea priorităților SAAS au tangențe cu prevederile mai multor documente strategice naționale, coordonarea şi sinergia cu aceste politici în mare măsură nu sunt asigurate. Astfel, deşi în calitate de direcţii prioritare de finanțare a proiectelor de construcție şi reabilitare a infrastructurii de alimentare cu apă şi sanitaţie sunt incluse în Strategiile de dezvoltare regională şi Strategia națională de dezvoltare agricolă și rurală, se asigură o interconexiune parțială a acțiunilor şi măsurilor acestor documente de politici cu obiectivele şi acţiunile prevăzute de SAAS. </w:t>
      </w:r>
    </w:p>
    <w:p w:rsidR="00CD1B1E" w:rsidRDefault="00CD1B1E" w:rsidP="00F61756">
      <w:pPr>
        <w:spacing w:before="120" w:after="0" w:line="276" w:lineRule="auto"/>
        <w:ind w:firstLine="720"/>
        <w:jc w:val="both"/>
        <w:rPr>
          <w:rFonts w:asciiTheme="majorHAnsi" w:eastAsia="Times New Roman" w:hAnsiTheme="majorHAnsi" w:cstheme="majorHAnsi"/>
          <w:b w:val="0"/>
          <w:bCs w:val="0"/>
          <w:i/>
          <w:iCs/>
          <w:sz w:val="24"/>
          <w:szCs w:val="24"/>
          <w:shd w:val="clear" w:color="auto" w:fill="FFFFFF"/>
        </w:rPr>
      </w:pPr>
      <w:r w:rsidRPr="008376FC">
        <w:rPr>
          <w:rFonts w:asciiTheme="majorHAnsi" w:eastAsia="Times New Roman" w:hAnsiTheme="majorHAnsi" w:cstheme="majorHAnsi"/>
          <w:b w:val="0"/>
          <w:bCs w:val="0"/>
          <w:i/>
          <w:iCs/>
          <w:sz w:val="24"/>
          <w:szCs w:val="24"/>
          <w:shd w:val="clear" w:color="auto" w:fill="FFFFFF"/>
        </w:rPr>
        <w:t xml:space="preserve">Cadrul instituțional aferent implementării SAAS se prezintă în </w:t>
      </w:r>
      <w:r w:rsidR="00787AE4">
        <w:rPr>
          <w:rFonts w:asciiTheme="majorHAnsi" w:eastAsia="Times New Roman" w:hAnsiTheme="majorHAnsi" w:cstheme="majorHAnsi"/>
          <w:b w:val="0"/>
          <w:bCs w:val="0"/>
          <w:i/>
          <w:iCs/>
          <w:sz w:val="24"/>
          <w:szCs w:val="24"/>
          <w:shd w:val="clear" w:color="auto" w:fill="FFFFFF"/>
        </w:rPr>
        <w:t>A</w:t>
      </w:r>
      <w:r w:rsidRPr="008376FC">
        <w:rPr>
          <w:rFonts w:asciiTheme="majorHAnsi" w:eastAsia="Times New Roman" w:hAnsiTheme="majorHAnsi" w:cstheme="majorHAnsi"/>
          <w:b w:val="0"/>
          <w:bCs w:val="0"/>
          <w:i/>
          <w:iCs/>
          <w:sz w:val="24"/>
          <w:szCs w:val="24"/>
          <w:shd w:val="clear" w:color="auto" w:fill="FFFFFF"/>
        </w:rPr>
        <w:t>nexa nr.2 la Raportul de audit.</w:t>
      </w:r>
    </w:p>
    <w:p w:rsidR="00F9738C" w:rsidRDefault="00F9738C" w:rsidP="00F61756">
      <w:pPr>
        <w:spacing w:before="120" w:after="0" w:line="276" w:lineRule="auto"/>
        <w:ind w:firstLine="720"/>
        <w:jc w:val="both"/>
        <w:rPr>
          <w:rFonts w:asciiTheme="majorHAnsi" w:eastAsia="Times New Roman" w:hAnsiTheme="majorHAnsi" w:cstheme="majorHAnsi"/>
          <w:b w:val="0"/>
          <w:bCs w:val="0"/>
          <w:i/>
          <w:iCs/>
          <w:sz w:val="24"/>
          <w:szCs w:val="24"/>
          <w:shd w:val="clear" w:color="auto" w:fill="FFFFFF"/>
        </w:rPr>
      </w:pPr>
    </w:p>
    <w:p w:rsidR="00F9738C" w:rsidRPr="008376FC" w:rsidRDefault="00F9738C" w:rsidP="00F61756">
      <w:pPr>
        <w:spacing w:before="120" w:after="0" w:line="276" w:lineRule="auto"/>
        <w:ind w:firstLine="720"/>
        <w:jc w:val="both"/>
        <w:rPr>
          <w:rFonts w:asciiTheme="majorHAnsi" w:eastAsia="Times New Roman" w:hAnsiTheme="majorHAnsi" w:cstheme="majorHAnsi"/>
          <w:b w:val="0"/>
          <w:bCs w:val="0"/>
          <w:i/>
          <w:iCs/>
          <w:sz w:val="24"/>
          <w:szCs w:val="24"/>
          <w:shd w:val="clear" w:color="auto" w:fill="FFFFFF"/>
        </w:rPr>
      </w:pPr>
    </w:p>
    <w:p w:rsidR="00223D1A" w:rsidRPr="008376FC" w:rsidRDefault="00223D1A" w:rsidP="00F61756">
      <w:pPr>
        <w:spacing w:line="276" w:lineRule="auto"/>
        <w:rPr>
          <w:rFonts w:asciiTheme="majorHAnsi" w:eastAsia="Calibri" w:hAnsiTheme="majorHAnsi" w:cstheme="majorHAnsi"/>
          <w:bCs w:val="0"/>
          <w:color w:val="0070C0"/>
          <w:sz w:val="24"/>
          <w:szCs w:val="24"/>
        </w:rPr>
      </w:pPr>
      <w:bookmarkStart w:id="13" w:name="_Toc116982770"/>
      <w:r w:rsidRPr="008376FC">
        <w:rPr>
          <w:rFonts w:asciiTheme="majorHAnsi" w:eastAsia="Calibri" w:hAnsiTheme="majorHAnsi" w:cstheme="majorHAnsi"/>
          <w:bCs w:val="0"/>
          <w:color w:val="0070C0"/>
          <w:sz w:val="24"/>
          <w:szCs w:val="24"/>
        </w:rPr>
        <w:t>2.1.2. Obiectivele Strategiei</w:t>
      </w:r>
      <w:bookmarkEnd w:id="13"/>
      <w:r w:rsidR="00953F49" w:rsidRPr="008376FC">
        <w:rPr>
          <w:rFonts w:asciiTheme="majorHAnsi" w:eastAsia="Calibri" w:hAnsiTheme="majorHAnsi" w:cstheme="majorHAnsi"/>
          <w:bCs w:val="0"/>
          <w:color w:val="0070C0"/>
          <w:sz w:val="24"/>
          <w:szCs w:val="24"/>
        </w:rPr>
        <w:t xml:space="preserve"> de alimentare cu apă și sanitație </w:t>
      </w:r>
      <w:r w:rsidR="00082F67" w:rsidRPr="008376FC">
        <w:rPr>
          <w:rFonts w:asciiTheme="majorHAnsi" w:eastAsia="Calibri" w:hAnsiTheme="majorHAnsi" w:cstheme="majorHAnsi"/>
          <w:bCs w:val="0"/>
          <w:color w:val="0070C0"/>
          <w:sz w:val="24"/>
          <w:szCs w:val="24"/>
        </w:rPr>
        <w:t>pentru anii 2014-2030</w:t>
      </w:r>
    </w:p>
    <w:p w:rsidR="00223D1A" w:rsidRPr="008376FC" w:rsidRDefault="00223D1A"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sz w:val="24"/>
          <w:szCs w:val="24"/>
          <w:lang w:bidi="he-IL"/>
        </w:rPr>
        <w:t>Obiectivul general</w:t>
      </w:r>
      <w:r w:rsidRPr="008376FC">
        <w:rPr>
          <w:rFonts w:asciiTheme="majorHAnsi" w:eastAsia="Times New Roman" w:hAnsiTheme="majorHAnsi" w:cstheme="majorHAnsi"/>
          <w:b w:val="0"/>
          <w:bCs w:val="0"/>
          <w:sz w:val="24"/>
          <w:szCs w:val="24"/>
          <w:lang w:bidi="he-IL"/>
        </w:rPr>
        <w:t xml:space="preserve"> al Strategiei îl constituie asigurarea graduală a accesului la apă sigură şi sanitaţie adecvată pentru toate localităţile şi populaţia Republicii Moldova, contribuind astfel la îmbunătăţirea sănătăţii, demnităţii şi calităţii vieţii şi la dezvoltarea economică a ţării.</w:t>
      </w:r>
    </w:p>
    <w:p w:rsidR="00CD1B1E" w:rsidRPr="008376FC" w:rsidRDefault="00CD1B1E"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bCs w:val="0"/>
          <w:sz w:val="24"/>
          <w:szCs w:val="24"/>
          <w:lang w:bidi="he-IL"/>
        </w:rPr>
        <w:t>Satisfacerea cerinţelor populaţiei ţării pentru servicii de alimentare cu apă şi sanitaţie îmbunătățite, eficiente şi la costuri realiste va fi realizată prin:</w:t>
      </w:r>
    </w:p>
    <w:p w:rsidR="00CD1B1E" w:rsidRPr="008376FC" w:rsidRDefault="00CD1B1E" w:rsidP="00F61756">
      <w:pPr>
        <w:shd w:val="clear" w:color="auto" w:fill="FFFFFF"/>
        <w:spacing w:after="0" w:line="276" w:lineRule="auto"/>
        <w:ind w:firstLine="426"/>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bCs w:val="0"/>
          <w:sz w:val="24"/>
          <w:szCs w:val="24"/>
          <w:lang w:bidi="he-IL"/>
        </w:rPr>
        <w:t>a)   implementarea planurilor de siguranţă a apei şi conformarea la cerinţele de calitate ale Directivei 98/83/CE privind apa destinată consumului uman;</w:t>
      </w:r>
    </w:p>
    <w:p w:rsidR="00CD1B1E" w:rsidRPr="008376FC" w:rsidRDefault="00CD1B1E" w:rsidP="00F61756">
      <w:pPr>
        <w:shd w:val="clear" w:color="auto" w:fill="FFFFFF"/>
        <w:spacing w:after="0" w:line="276" w:lineRule="auto"/>
        <w:ind w:firstLine="426"/>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bCs w:val="0"/>
          <w:sz w:val="24"/>
          <w:szCs w:val="24"/>
          <w:lang w:bidi="he-IL"/>
        </w:rPr>
        <w:t>b)   reducerea cu 50% a epidemiilor hidrice şi a bolilor posibil asociate apei;</w:t>
      </w:r>
    </w:p>
    <w:p w:rsidR="00CD1B1E" w:rsidRPr="008376FC" w:rsidRDefault="00CD1B1E" w:rsidP="00F61756">
      <w:pPr>
        <w:shd w:val="clear" w:color="auto" w:fill="FFFFFF"/>
        <w:spacing w:after="0" w:line="276" w:lineRule="auto"/>
        <w:ind w:firstLine="426"/>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bCs w:val="0"/>
          <w:sz w:val="24"/>
          <w:szCs w:val="24"/>
          <w:lang w:bidi="he-IL"/>
        </w:rPr>
        <w:t>c) atingerea ţintelor de dezvoltare ale mileniului</w:t>
      </w:r>
      <w:r w:rsidRPr="008376FC">
        <w:rPr>
          <w:rFonts w:asciiTheme="majorHAnsi" w:eastAsia="Times New Roman" w:hAnsiTheme="majorHAnsi" w:cstheme="majorHAnsi"/>
          <w:b w:val="0"/>
          <w:bCs w:val="0"/>
          <w:sz w:val="24"/>
          <w:szCs w:val="24"/>
          <w:vertAlign w:val="superscript"/>
          <w:lang w:bidi="he-IL"/>
        </w:rPr>
        <w:footnoteReference w:id="4"/>
      </w:r>
      <w:r w:rsidRPr="008376FC">
        <w:rPr>
          <w:rFonts w:asciiTheme="majorHAnsi" w:eastAsia="Times New Roman" w:hAnsiTheme="majorHAnsi" w:cstheme="majorHAnsi"/>
          <w:b w:val="0"/>
          <w:bCs w:val="0"/>
          <w:sz w:val="24"/>
          <w:szCs w:val="24"/>
          <w:lang w:bidi="he-IL"/>
        </w:rPr>
        <w:t xml:space="preserve"> de alimentare cu apă potabilă sigură a cel puţin 65% din populaţie, p</w:t>
      </w:r>
      <w:r w:rsidR="00E65882">
        <w:rPr>
          <w:rFonts w:asciiTheme="majorHAnsi" w:eastAsia="Times New Roman" w:hAnsiTheme="majorHAnsi" w:cstheme="majorHAnsi"/>
          <w:b w:val="0"/>
          <w:bCs w:val="0"/>
          <w:sz w:val="24"/>
          <w:szCs w:val="24"/>
          <w:lang w:bidi="he-IL"/>
        </w:rPr>
        <w:t>â</w:t>
      </w:r>
      <w:r w:rsidRPr="008376FC">
        <w:rPr>
          <w:rFonts w:asciiTheme="majorHAnsi" w:eastAsia="Times New Roman" w:hAnsiTheme="majorHAnsi" w:cstheme="majorHAnsi"/>
          <w:b w:val="0"/>
          <w:bCs w:val="0"/>
          <w:sz w:val="24"/>
          <w:szCs w:val="24"/>
          <w:lang w:bidi="he-IL"/>
        </w:rPr>
        <w:t>nă în anul 2020;</w:t>
      </w:r>
    </w:p>
    <w:p w:rsidR="00CD1B1E" w:rsidRPr="008376FC" w:rsidRDefault="00CD1B1E" w:rsidP="00F61756">
      <w:pPr>
        <w:shd w:val="clear" w:color="auto" w:fill="FFFFFF"/>
        <w:spacing w:after="0" w:line="276" w:lineRule="auto"/>
        <w:ind w:firstLine="426"/>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bCs w:val="0"/>
          <w:sz w:val="24"/>
          <w:szCs w:val="24"/>
          <w:lang w:bidi="he-IL"/>
        </w:rPr>
        <w:t>d) atingerea ţintelor de dezvoltare ale mileniului de conectare a 65% din populaţie la sisteme de canalizare, până cel târziu în anul 2025;</w:t>
      </w:r>
    </w:p>
    <w:p w:rsidR="00CD1B1E" w:rsidRPr="008376FC" w:rsidRDefault="00CD1B1E" w:rsidP="00F61756">
      <w:pPr>
        <w:shd w:val="clear" w:color="auto" w:fill="FFFFFF"/>
        <w:spacing w:after="0" w:line="276" w:lineRule="auto"/>
        <w:ind w:firstLine="426"/>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bCs w:val="0"/>
          <w:sz w:val="24"/>
          <w:szCs w:val="24"/>
          <w:lang w:bidi="he-IL"/>
        </w:rPr>
        <w:t>e) progrese în implementarea epurării apei uzate urbane în conformitate cu cerinţele Directivei 91/271/CEE;</w:t>
      </w:r>
    </w:p>
    <w:p w:rsidR="00CD1B1E" w:rsidRPr="008376FC" w:rsidRDefault="00CD1B1E" w:rsidP="00F61756">
      <w:pPr>
        <w:shd w:val="clear" w:color="auto" w:fill="FFFFFF"/>
        <w:spacing w:after="0" w:line="276" w:lineRule="auto"/>
        <w:ind w:firstLine="426"/>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bCs w:val="0"/>
          <w:sz w:val="24"/>
          <w:szCs w:val="24"/>
          <w:lang w:bidi="he-IL"/>
        </w:rPr>
        <w:t>f) atingerea Obiectivelor de Dezvoltare Durabilă (ODD 6.1 și 6.2)</w:t>
      </w:r>
      <w:r w:rsidRPr="008376FC">
        <w:rPr>
          <w:rFonts w:asciiTheme="majorHAnsi" w:eastAsia="Times New Roman" w:hAnsiTheme="majorHAnsi" w:cstheme="majorHAnsi"/>
          <w:b w:val="0"/>
          <w:bCs w:val="0"/>
          <w:sz w:val="24"/>
          <w:szCs w:val="24"/>
          <w:vertAlign w:val="superscript"/>
          <w:lang w:bidi="he-IL"/>
        </w:rPr>
        <w:footnoteReference w:id="5"/>
      </w:r>
      <w:r w:rsidRPr="008376FC">
        <w:rPr>
          <w:rFonts w:asciiTheme="majorHAnsi" w:eastAsia="Times New Roman" w:hAnsiTheme="majorHAnsi" w:cstheme="majorHAnsi"/>
          <w:b w:val="0"/>
          <w:bCs w:val="0"/>
          <w:sz w:val="24"/>
          <w:szCs w:val="24"/>
          <w:lang w:bidi="he-IL"/>
        </w:rPr>
        <w:t xml:space="preserve"> până în anul 2030.</w:t>
      </w:r>
    </w:p>
    <w:p w:rsidR="00CD1B1E" w:rsidRPr="008376FC" w:rsidRDefault="00CD1B1E" w:rsidP="00F61756">
      <w:pPr>
        <w:shd w:val="clear" w:color="auto" w:fill="FFFFFF"/>
        <w:spacing w:after="0" w:line="276" w:lineRule="auto"/>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bCs w:val="0"/>
          <w:sz w:val="24"/>
          <w:szCs w:val="24"/>
          <w:lang w:bidi="he-IL"/>
        </w:rPr>
        <w:t xml:space="preserve">De remarcat faptul că, deşi SAAS stabileşte atât indicatorii de evaluare </w:t>
      </w:r>
      <w:r w:rsidR="00E65882">
        <w:rPr>
          <w:rFonts w:asciiTheme="majorHAnsi" w:eastAsia="Times New Roman" w:hAnsiTheme="majorHAnsi" w:cstheme="majorHAnsi"/>
          <w:b w:val="0"/>
          <w:bCs w:val="0"/>
          <w:sz w:val="24"/>
          <w:szCs w:val="24"/>
          <w:lang w:bidi="he-IL"/>
        </w:rPr>
        <w:t>pe</w:t>
      </w:r>
      <w:r w:rsidRPr="008376FC">
        <w:rPr>
          <w:rFonts w:asciiTheme="majorHAnsi" w:eastAsia="Times New Roman" w:hAnsiTheme="majorHAnsi" w:cstheme="majorHAnsi"/>
          <w:b w:val="0"/>
          <w:bCs w:val="0"/>
          <w:sz w:val="24"/>
          <w:szCs w:val="24"/>
          <w:lang w:bidi="he-IL"/>
        </w:rPr>
        <w:t xml:space="preserve"> termen mediu, cât şi cei finali, MM/MADRM nu a asigurat monitorizarea şi raportarea acestora în cadrul rapoartelor anuale privind procesul de implementare a acesteia, raportarea fiind axată exclusiv pe gradul de implementare a Planurilor de acţiuni.</w:t>
      </w:r>
    </w:p>
    <w:p w:rsidR="00CD1B1E" w:rsidRPr="008376FC" w:rsidRDefault="00CD1B1E" w:rsidP="00F61756">
      <w:pPr>
        <w:shd w:val="clear" w:color="auto" w:fill="FFFFFF"/>
        <w:spacing w:after="0" w:line="276" w:lineRule="auto"/>
        <w:ind w:firstLine="540"/>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sz w:val="24"/>
          <w:szCs w:val="24"/>
          <w:lang w:bidi="he-IL"/>
        </w:rPr>
        <w:t xml:space="preserve">SAAS include 3 obiective specifice: </w:t>
      </w:r>
    </w:p>
    <w:p w:rsidR="00223D1A" w:rsidRPr="008376FC" w:rsidRDefault="00552038" w:rsidP="00F61756">
      <w:pPr>
        <w:shd w:val="clear" w:color="auto" w:fill="FFFFFF"/>
        <w:spacing w:after="0" w:line="276" w:lineRule="auto"/>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iCs/>
          <w:sz w:val="24"/>
          <w:szCs w:val="24"/>
          <w:lang w:bidi="he-IL"/>
        </w:rPr>
        <w:t xml:space="preserve">(i) </w:t>
      </w:r>
      <w:r w:rsidR="00223D1A" w:rsidRPr="008376FC">
        <w:rPr>
          <w:rFonts w:asciiTheme="majorHAnsi" w:eastAsia="Times New Roman" w:hAnsiTheme="majorHAnsi" w:cstheme="majorHAnsi"/>
          <w:b w:val="0"/>
          <w:iCs/>
          <w:sz w:val="24"/>
          <w:szCs w:val="24"/>
          <w:lang w:bidi="he-IL"/>
        </w:rPr>
        <w:t>Îmbunătățirea managementului serviciilor publice de alimentare cu apă și de sanitație</w:t>
      </w:r>
      <w:r w:rsidR="00E65882">
        <w:rPr>
          <w:rFonts w:asciiTheme="majorHAnsi" w:eastAsia="Times New Roman" w:hAnsiTheme="majorHAnsi" w:cstheme="majorHAnsi"/>
          <w:b w:val="0"/>
          <w:iCs/>
          <w:sz w:val="24"/>
          <w:szCs w:val="24"/>
          <w:lang w:bidi="he-IL"/>
        </w:rPr>
        <w:t>;</w:t>
      </w:r>
      <w:r w:rsidR="00223D1A" w:rsidRPr="008376FC">
        <w:rPr>
          <w:rFonts w:asciiTheme="majorHAnsi" w:eastAsia="Times New Roman" w:hAnsiTheme="majorHAnsi" w:cstheme="majorHAnsi"/>
          <w:b w:val="0"/>
          <w:bCs w:val="0"/>
          <w:iCs/>
          <w:sz w:val="24"/>
          <w:szCs w:val="24"/>
          <w:lang w:bidi="he-IL"/>
        </w:rPr>
        <w:t xml:space="preserve"> </w:t>
      </w:r>
    </w:p>
    <w:p w:rsidR="00223D1A" w:rsidRPr="008376FC" w:rsidRDefault="001E4F35" w:rsidP="00F61756">
      <w:pPr>
        <w:shd w:val="clear" w:color="auto" w:fill="FFFFFF"/>
        <w:spacing w:after="0" w:line="276" w:lineRule="auto"/>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bCs w:val="0"/>
          <w:sz w:val="24"/>
          <w:szCs w:val="24"/>
          <w:lang w:bidi="he-IL"/>
        </w:rPr>
        <w:t>(ii)</w:t>
      </w:r>
      <w:r w:rsidR="00223D1A" w:rsidRPr="008376FC">
        <w:rPr>
          <w:rFonts w:asciiTheme="majorHAnsi" w:eastAsia="Times New Roman" w:hAnsiTheme="majorHAnsi" w:cstheme="majorHAnsi"/>
          <w:b w:val="0"/>
          <w:iCs/>
          <w:sz w:val="24"/>
          <w:szCs w:val="24"/>
          <w:lang w:bidi="he-IL"/>
        </w:rPr>
        <w:t xml:space="preserve"> Planificarea și dezvoltarea sistemelor publice de alimentare cu apă și de canalizare în vederea creșterii nivelului accesului populației la servicii de calitate înaltă</w:t>
      </w:r>
      <w:r w:rsidR="00787AE4">
        <w:rPr>
          <w:rFonts w:asciiTheme="majorHAnsi" w:eastAsia="Times New Roman" w:hAnsiTheme="majorHAnsi" w:cstheme="majorHAnsi"/>
          <w:b w:val="0"/>
          <w:iCs/>
          <w:sz w:val="24"/>
          <w:szCs w:val="24"/>
          <w:lang w:bidi="he-IL"/>
        </w:rPr>
        <w:t>;</w:t>
      </w:r>
      <w:r w:rsidRPr="008376FC">
        <w:rPr>
          <w:rFonts w:asciiTheme="majorHAnsi" w:eastAsia="Times New Roman" w:hAnsiTheme="majorHAnsi" w:cstheme="majorHAnsi"/>
          <w:b w:val="0"/>
          <w:bCs w:val="0"/>
          <w:sz w:val="24"/>
          <w:szCs w:val="24"/>
          <w:lang w:bidi="he-IL"/>
        </w:rPr>
        <w:t xml:space="preserve"> </w:t>
      </w:r>
    </w:p>
    <w:p w:rsidR="001E4F35" w:rsidRPr="008376FC" w:rsidRDefault="001E4F35" w:rsidP="00F61756">
      <w:pPr>
        <w:spacing w:after="0" w:line="276" w:lineRule="auto"/>
        <w:jc w:val="both"/>
        <w:rPr>
          <w:rFonts w:asciiTheme="majorHAnsi" w:eastAsia="Times New Roman" w:hAnsiTheme="majorHAnsi" w:cstheme="majorHAnsi"/>
          <w:b w:val="0"/>
          <w:bCs w:val="0"/>
          <w:iCs/>
          <w:sz w:val="24"/>
          <w:szCs w:val="24"/>
        </w:rPr>
      </w:pPr>
      <w:r w:rsidRPr="008376FC">
        <w:rPr>
          <w:rFonts w:asciiTheme="majorHAnsi" w:eastAsia="Times New Roman" w:hAnsiTheme="majorHAnsi" w:cstheme="majorHAnsi"/>
          <w:b w:val="0"/>
          <w:iCs/>
          <w:sz w:val="24"/>
          <w:szCs w:val="24"/>
        </w:rPr>
        <w:t>(iii)</w:t>
      </w:r>
      <w:r w:rsidR="00223D1A" w:rsidRPr="008376FC">
        <w:rPr>
          <w:rFonts w:asciiTheme="majorHAnsi" w:eastAsia="Times New Roman" w:hAnsiTheme="majorHAnsi" w:cstheme="majorHAnsi"/>
          <w:b w:val="0"/>
          <w:iCs/>
          <w:sz w:val="24"/>
          <w:szCs w:val="24"/>
        </w:rPr>
        <w:t xml:space="preserve"> Armonizarea legislației naționale în sectorul de alimentare cu apă și sanitație în conformitate cu standardele comunitare și angajamentele internaționale</w:t>
      </w:r>
      <w:r w:rsidR="00223D1A" w:rsidRPr="008376FC">
        <w:rPr>
          <w:rFonts w:asciiTheme="majorHAnsi" w:eastAsia="Times New Roman" w:hAnsiTheme="majorHAnsi" w:cstheme="majorHAnsi"/>
          <w:b w:val="0"/>
          <w:bCs w:val="0"/>
          <w:iCs/>
          <w:sz w:val="24"/>
          <w:szCs w:val="24"/>
        </w:rPr>
        <w:t xml:space="preserve"> </w:t>
      </w:r>
      <w:r w:rsidRPr="008376FC">
        <w:rPr>
          <w:rFonts w:asciiTheme="majorHAnsi" w:eastAsia="Times New Roman" w:hAnsiTheme="majorHAnsi" w:cstheme="majorHAnsi"/>
          <w:b w:val="0"/>
          <w:bCs w:val="0"/>
          <w:iCs/>
          <w:sz w:val="24"/>
          <w:szCs w:val="24"/>
        </w:rPr>
        <w:t xml:space="preserve">. </w:t>
      </w:r>
    </w:p>
    <w:p w:rsidR="0049371B" w:rsidRPr="008376FC" w:rsidRDefault="0049371B" w:rsidP="00F61756">
      <w:pPr>
        <w:spacing w:after="0" w:line="276" w:lineRule="auto"/>
        <w:jc w:val="both"/>
        <w:rPr>
          <w:rFonts w:asciiTheme="majorHAnsi" w:eastAsia="Times New Roman" w:hAnsiTheme="majorHAnsi" w:cstheme="majorHAnsi"/>
          <w:b w:val="0"/>
          <w:iCs/>
          <w:sz w:val="24"/>
          <w:szCs w:val="24"/>
        </w:rPr>
      </w:pPr>
      <w:r w:rsidRPr="008376FC">
        <w:rPr>
          <w:rFonts w:asciiTheme="majorHAnsi" w:eastAsia="Times New Roman" w:hAnsiTheme="majorHAnsi" w:cstheme="majorHAnsi"/>
          <w:b w:val="0"/>
          <w:iCs/>
          <w:sz w:val="24"/>
          <w:szCs w:val="24"/>
        </w:rPr>
        <w:t xml:space="preserve">Acţiunile planificate pentru atingerea acestor obiective s-au axat pe modificarea cadrului legislativ şi normativ în vederea </w:t>
      </w:r>
      <w:r w:rsidR="008C3A1A">
        <w:rPr>
          <w:rFonts w:asciiTheme="majorHAnsi" w:eastAsia="Times New Roman" w:hAnsiTheme="majorHAnsi" w:cstheme="majorHAnsi"/>
          <w:b w:val="0"/>
          <w:iCs/>
          <w:sz w:val="24"/>
          <w:szCs w:val="24"/>
        </w:rPr>
        <w:t>racordării</w:t>
      </w:r>
      <w:r w:rsidRPr="008376FC">
        <w:rPr>
          <w:rFonts w:asciiTheme="majorHAnsi" w:eastAsia="Times New Roman" w:hAnsiTheme="majorHAnsi" w:cstheme="majorHAnsi"/>
          <w:b w:val="0"/>
          <w:iCs/>
          <w:sz w:val="24"/>
          <w:szCs w:val="24"/>
        </w:rPr>
        <w:t xml:space="preserve"> acestuia la standardele internaţionale şi cele ale UE în domeniul colectării, epurării şi deversării apelor uzate în sistemul de canalizare, asigurării calităţii şi securităţii apei potabile, identificării şi desemnării zonelor vulnerabile la nitranţi şi sensibile la nutrienţi, identificării aglomerărilor, uniformizării standardelor pentru seturile de date ale documentelor tehnice şi a datelor spaţiale referitoare la infrastructura fizică de alimentare cu apă şi sanitaţie. În acelaşi timp</w:t>
      </w:r>
      <w:r w:rsidR="00787AE4">
        <w:rPr>
          <w:rFonts w:asciiTheme="majorHAnsi" w:eastAsia="Times New Roman" w:hAnsiTheme="majorHAnsi" w:cstheme="majorHAnsi"/>
          <w:b w:val="0"/>
          <w:iCs/>
          <w:sz w:val="24"/>
          <w:szCs w:val="24"/>
        </w:rPr>
        <w:t>,</w:t>
      </w:r>
      <w:r w:rsidRPr="008376FC">
        <w:rPr>
          <w:rFonts w:asciiTheme="majorHAnsi" w:eastAsia="Times New Roman" w:hAnsiTheme="majorHAnsi" w:cstheme="majorHAnsi"/>
          <w:b w:val="0"/>
          <w:iCs/>
          <w:sz w:val="24"/>
          <w:szCs w:val="24"/>
        </w:rPr>
        <w:t xml:space="preserve"> au fost prevăzute crearea SI „Cadastrul de stat al apelor” şi elaborarea conceptului SI „Cadastrul funcţional urban”.</w:t>
      </w:r>
    </w:p>
    <w:p w:rsidR="001E4F35" w:rsidRPr="008376FC" w:rsidRDefault="001E4F35" w:rsidP="00F61756">
      <w:pPr>
        <w:spacing w:before="120" w:after="0" w:line="276" w:lineRule="auto"/>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bCs w:val="0"/>
          <w:iCs/>
          <w:sz w:val="24"/>
          <w:szCs w:val="24"/>
        </w:rPr>
        <w:t>Descrierea obiectivelor specifice se prezintă în Anexa nr.</w:t>
      </w:r>
      <w:r w:rsidR="00CD1B1E" w:rsidRPr="008376FC">
        <w:rPr>
          <w:rFonts w:asciiTheme="majorHAnsi" w:eastAsia="Times New Roman" w:hAnsiTheme="majorHAnsi" w:cstheme="majorHAnsi"/>
          <w:b w:val="0"/>
          <w:bCs w:val="0"/>
          <w:iCs/>
          <w:sz w:val="24"/>
          <w:szCs w:val="24"/>
        </w:rPr>
        <w:t xml:space="preserve">2 </w:t>
      </w:r>
      <w:r w:rsidRPr="008376FC">
        <w:rPr>
          <w:rFonts w:asciiTheme="majorHAnsi" w:eastAsia="Times New Roman" w:hAnsiTheme="majorHAnsi" w:cstheme="majorHAnsi"/>
          <w:b w:val="0"/>
          <w:bCs w:val="0"/>
          <w:iCs/>
          <w:sz w:val="24"/>
          <w:szCs w:val="24"/>
        </w:rPr>
        <w:t xml:space="preserve">la prezentul Raport de audit. </w:t>
      </w:r>
    </w:p>
    <w:p w:rsidR="00223D1A" w:rsidRPr="008376FC" w:rsidRDefault="001A35A1" w:rsidP="00F61756">
      <w:pPr>
        <w:pStyle w:val="1"/>
        <w:spacing w:line="276" w:lineRule="auto"/>
        <w:rPr>
          <w:rFonts w:eastAsia="Calibri" w:cstheme="majorHAnsi"/>
          <w:bCs w:val="0"/>
          <w:color w:val="0070C0"/>
          <w:sz w:val="24"/>
          <w:szCs w:val="24"/>
        </w:rPr>
      </w:pPr>
      <w:bookmarkStart w:id="14" w:name="_Toc116982771"/>
      <w:bookmarkStart w:id="15" w:name="_Toc132042781"/>
      <w:bookmarkStart w:id="16" w:name="_Toc132320203"/>
      <w:r w:rsidRPr="008376FC">
        <w:rPr>
          <w:rFonts w:eastAsia="Calibri" w:cstheme="majorHAnsi"/>
          <w:bCs w:val="0"/>
          <w:color w:val="0070C0"/>
          <w:sz w:val="24"/>
          <w:szCs w:val="24"/>
        </w:rPr>
        <w:t xml:space="preserve">2.2. </w:t>
      </w:r>
      <w:r w:rsidR="00223D1A" w:rsidRPr="008376FC">
        <w:rPr>
          <w:rFonts w:eastAsia="Calibri" w:cstheme="majorHAnsi"/>
          <w:bCs w:val="0"/>
          <w:color w:val="0070C0"/>
          <w:sz w:val="24"/>
          <w:szCs w:val="24"/>
        </w:rPr>
        <w:t xml:space="preserve"> </w:t>
      </w:r>
      <w:r w:rsidR="00574037" w:rsidRPr="008376FC">
        <w:rPr>
          <w:rFonts w:eastAsia="Calibri" w:cstheme="majorHAnsi"/>
          <w:bCs w:val="0"/>
          <w:color w:val="0070C0"/>
          <w:sz w:val="24"/>
          <w:szCs w:val="24"/>
        </w:rPr>
        <w:t xml:space="preserve">Valoarea investițiilor efectuate în </w:t>
      </w:r>
      <w:r w:rsidR="00223D1A" w:rsidRPr="008376FC">
        <w:rPr>
          <w:rFonts w:eastAsia="Calibri" w:cstheme="majorHAnsi"/>
          <w:bCs w:val="0"/>
          <w:color w:val="0070C0"/>
          <w:sz w:val="24"/>
          <w:szCs w:val="24"/>
        </w:rPr>
        <w:t>infrastructur</w:t>
      </w:r>
      <w:r w:rsidR="00574037" w:rsidRPr="008376FC">
        <w:rPr>
          <w:rFonts w:eastAsia="Calibri" w:cstheme="majorHAnsi"/>
          <w:bCs w:val="0"/>
          <w:color w:val="0070C0"/>
          <w:sz w:val="24"/>
          <w:szCs w:val="24"/>
        </w:rPr>
        <w:t xml:space="preserve">a </w:t>
      </w:r>
      <w:r w:rsidR="00223D1A" w:rsidRPr="008376FC">
        <w:rPr>
          <w:rFonts w:eastAsia="Calibri" w:cstheme="majorHAnsi"/>
          <w:bCs w:val="0"/>
          <w:color w:val="0070C0"/>
          <w:sz w:val="24"/>
          <w:szCs w:val="24"/>
        </w:rPr>
        <w:t>de alimentare cu apă şi canalizare</w:t>
      </w:r>
      <w:bookmarkEnd w:id="14"/>
      <w:r w:rsidR="00DC5D2B" w:rsidRPr="008376FC">
        <w:rPr>
          <w:rFonts w:eastAsia="Calibri" w:cstheme="majorHAnsi"/>
          <w:bCs w:val="0"/>
          <w:color w:val="0070C0"/>
          <w:sz w:val="24"/>
          <w:szCs w:val="24"/>
        </w:rPr>
        <w:t xml:space="preserve"> în anii 2014-2022</w:t>
      </w:r>
      <w:bookmarkEnd w:id="15"/>
      <w:bookmarkEnd w:id="16"/>
    </w:p>
    <w:p w:rsidR="00CF73A3" w:rsidRDefault="00CF73A3" w:rsidP="00F61756">
      <w:pPr>
        <w:spacing w:after="0" w:line="276" w:lineRule="auto"/>
        <w:jc w:val="both"/>
        <w:rPr>
          <w:rFonts w:asciiTheme="majorHAnsi" w:eastAsia="Times New Roman" w:hAnsiTheme="majorHAnsi" w:cstheme="majorHAnsi"/>
          <w:b w:val="0"/>
          <w:bCs w:val="0"/>
          <w:sz w:val="24"/>
          <w:szCs w:val="24"/>
          <w:shd w:val="clear" w:color="auto" w:fill="FFFFFF"/>
        </w:rPr>
      </w:pPr>
    </w:p>
    <w:p w:rsidR="00416817" w:rsidRDefault="004F11A4" w:rsidP="00F61756">
      <w:pPr>
        <w:spacing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În 2014-2022 implementarea proiectelor s-a efectuat din mai multe fonduri ale bugetului de stat (FEN, FNDR/FNDRL, FNDAMR), precum și din sursele externe, valoarea totală cifrând</w:t>
      </w:r>
      <w:r w:rsidR="00333860">
        <w:rPr>
          <w:rFonts w:asciiTheme="majorHAnsi" w:eastAsia="Times New Roman" w:hAnsiTheme="majorHAnsi" w:cstheme="majorHAnsi"/>
          <w:b w:val="0"/>
          <w:bCs w:val="0"/>
          <w:sz w:val="24"/>
          <w:szCs w:val="24"/>
          <w:shd w:val="clear" w:color="auto" w:fill="FFFFFF"/>
        </w:rPr>
        <w:t>u</w:t>
      </w:r>
      <w:r w:rsidRPr="008376FC">
        <w:rPr>
          <w:rFonts w:asciiTheme="majorHAnsi" w:eastAsia="Times New Roman" w:hAnsiTheme="majorHAnsi" w:cstheme="majorHAnsi"/>
          <w:b w:val="0"/>
          <w:bCs w:val="0"/>
          <w:sz w:val="24"/>
          <w:szCs w:val="24"/>
          <w:shd w:val="clear" w:color="auto" w:fill="FFFFFF"/>
        </w:rPr>
        <w:t>-se la 4</w:t>
      </w:r>
      <w:r w:rsidR="00333860">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678,5 mil. lei. În Figurile de mai jos se prezintă valoarea investițiilor realizate</w:t>
      </w:r>
      <w:r w:rsidR="00333860">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pe surse de finanțare. </w:t>
      </w:r>
    </w:p>
    <w:p w:rsidR="00CF73A3" w:rsidRPr="008376FC" w:rsidRDefault="00CF73A3" w:rsidP="00F61756">
      <w:pPr>
        <w:spacing w:after="0" w:line="276" w:lineRule="auto"/>
        <w:jc w:val="both"/>
        <w:rPr>
          <w:rFonts w:asciiTheme="majorHAnsi" w:eastAsia="Times New Roman" w:hAnsiTheme="majorHAnsi" w:cstheme="majorHAnsi"/>
          <w:b w:val="0"/>
          <w:bCs w:val="0"/>
          <w:sz w:val="24"/>
          <w:szCs w:val="24"/>
          <w:shd w:val="clear" w:color="auto" w:fill="FFFFFF"/>
        </w:rPr>
      </w:pPr>
    </w:p>
    <w:tbl>
      <w:tblPr>
        <w:tblStyle w:val="af2"/>
        <w:tblW w:w="0" w:type="auto"/>
        <w:tblLook w:val="04A0" w:firstRow="1" w:lastRow="0" w:firstColumn="1" w:lastColumn="0" w:noHBand="0" w:noVBand="1"/>
      </w:tblPr>
      <w:tblGrid>
        <w:gridCol w:w="4839"/>
        <w:gridCol w:w="4839"/>
      </w:tblGrid>
      <w:tr w:rsidR="00DE521D" w:rsidRPr="008376FC" w:rsidTr="00416817">
        <w:tc>
          <w:tcPr>
            <w:tcW w:w="4952" w:type="dxa"/>
          </w:tcPr>
          <w:p w:rsidR="00DE521D" w:rsidRPr="005849FA" w:rsidRDefault="00DE521D" w:rsidP="005849FA">
            <w:pPr>
              <w:spacing w:line="276" w:lineRule="auto"/>
              <w:jc w:val="right"/>
              <w:rPr>
                <w:rFonts w:asciiTheme="majorHAnsi" w:eastAsia="Times New Roman" w:hAnsiTheme="majorHAnsi" w:cstheme="majorHAnsi"/>
                <w:b w:val="0"/>
                <w:bCs w:val="0"/>
                <w:sz w:val="20"/>
                <w:szCs w:val="20"/>
                <w:shd w:val="clear" w:color="auto" w:fill="FFFFFF"/>
              </w:rPr>
            </w:pPr>
            <w:r w:rsidRPr="005849FA">
              <w:rPr>
                <w:rFonts w:asciiTheme="majorHAnsi" w:eastAsia="Times New Roman" w:hAnsiTheme="majorHAnsi" w:cstheme="majorHAnsi"/>
                <w:bCs w:val="0"/>
                <w:sz w:val="20"/>
                <w:szCs w:val="20"/>
                <w:shd w:val="clear" w:color="auto" w:fill="FFFFFF"/>
              </w:rPr>
              <w:t>Figura nr.</w:t>
            </w:r>
            <w:r w:rsidRPr="005849FA">
              <w:rPr>
                <w:rFonts w:asciiTheme="majorHAnsi" w:eastAsia="Times New Roman" w:hAnsiTheme="majorHAnsi" w:cstheme="majorHAnsi"/>
                <w:b w:val="0"/>
                <w:bCs w:val="0"/>
                <w:sz w:val="20"/>
                <w:szCs w:val="20"/>
                <w:shd w:val="clear" w:color="auto" w:fill="FFFFFF"/>
              </w:rPr>
              <w:t xml:space="preserve"> </w:t>
            </w:r>
            <w:r w:rsidR="003B4BB6" w:rsidRPr="005849FA">
              <w:rPr>
                <w:rFonts w:asciiTheme="majorHAnsi" w:eastAsia="Times New Roman" w:hAnsiTheme="majorHAnsi" w:cstheme="majorHAnsi"/>
                <w:bCs w:val="0"/>
                <w:sz w:val="20"/>
                <w:szCs w:val="20"/>
                <w:shd w:val="clear" w:color="auto" w:fill="FFFFFF"/>
              </w:rPr>
              <w:t>1</w:t>
            </w:r>
          </w:p>
        </w:tc>
        <w:tc>
          <w:tcPr>
            <w:tcW w:w="4953" w:type="dxa"/>
          </w:tcPr>
          <w:p w:rsidR="00DE521D" w:rsidRPr="005849FA" w:rsidRDefault="00DE521D" w:rsidP="005849FA">
            <w:pPr>
              <w:spacing w:line="276" w:lineRule="auto"/>
              <w:jc w:val="right"/>
              <w:rPr>
                <w:rFonts w:asciiTheme="majorHAnsi" w:eastAsia="Times New Roman" w:hAnsiTheme="majorHAnsi" w:cstheme="majorHAnsi"/>
                <w:b w:val="0"/>
                <w:bCs w:val="0"/>
                <w:sz w:val="20"/>
                <w:szCs w:val="20"/>
                <w:shd w:val="clear" w:color="auto" w:fill="FFFFFF"/>
              </w:rPr>
            </w:pPr>
            <w:r w:rsidRPr="005849FA">
              <w:rPr>
                <w:rFonts w:asciiTheme="majorHAnsi" w:eastAsia="Times New Roman" w:hAnsiTheme="majorHAnsi" w:cstheme="majorHAnsi"/>
                <w:bCs w:val="0"/>
                <w:sz w:val="20"/>
                <w:szCs w:val="20"/>
                <w:shd w:val="clear" w:color="auto" w:fill="FFFFFF"/>
              </w:rPr>
              <w:t>Figura nr.</w:t>
            </w:r>
            <w:r w:rsidRPr="005849FA">
              <w:rPr>
                <w:rFonts w:asciiTheme="majorHAnsi" w:eastAsia="Times New Roman" w:hAnsiTheme="majorHAnsi" w:cstheme="majorHAnsi"/>
                <w:b w:val="0"/>
                <w:bCs w:val="0"/>
                <w:sz w:val="20"/>
                <w:szCs w:val="20"/>
                <w:shd w:val="clear" w:color="auto" w:fill="FFFFFF"/>
              </w:rPr>
              <w:t xml:space="preserve"> </w:t>
            </w:r>
            <w:r w:rsidR="003B4BB6" w:rsidRPr="005849FA">
              <w:rPr>
                <w:rFonts w:asciiTheme="majorHAnsi" w:eastAsia="Times New Roman" w:hAnsiTheme="majorHAnsi" w:cstheme="majorHAnsi"/>
                <w:bCs w:val="0"/>
                <w:sz w:val="20"/>
                <w:szCs w:val="20"/>
                <w:shd w:val="clear" w:color="auto" w:fill="FFFFFF"/>
              </w:rPr>
              <w:t>2</w:t>
            </w:r>
          </w:p>
        </w:tc>
      </w:tr>
      <w:tr w:rsidR="00416817" w:rsidRPr="008376FC" w:rsidTr="00416817">
        <w:tc>
          <w:tcPr>
            <w:tcW w:w="4952" w:type="dxa"/>
          </w:tcPr>
          <w:p w:rsidR="00416817" w:rsidRPr="008376FC" w:rsidRDefault="00DB30ED" w:rsidP="00F61756">
            <w:pPr>
              <w:spacing w:line="276" w:lineRule="auto"/>
              <w:jc w:val="right"/>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noProof/>
                <w:sz w:val="24"/>
                <w:szCs w:val="24"/>
                <w:shd w:val="clear" w:color="auto" w:fill="FFFFFF"/>
                <w:lang w:val="ru-RU" w:eastAsia="ru-RU"/>
              </w:rPr>
              <w:drawing>
                <wp:inline distT="0" distB="0" distL="0" distR="0">
                  <wp:extent cx="3068295" cy="1884782"/>
                  <wp:effectExtent l="19050" t="0" r="17805" b="1168"/>
                  <wp:docPr id="51"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4953" w:type="dxa"/>
          </w:tcPr>
          <w:p w:rsidR="00416817" w:rsidRPr="008376FC" w:rsidRDefault="00DE521D" w:rsidP="00F61756">
            <w:pPr>
              <w:spacing w:line="276" w:lineRule="auto"/>
              <w:jc w:val="right"/>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noProof/>
                <w:sz w:val="24"/>
                <w:szCs w:val="24"/>
                <w:shd w:val="clear" w:color="auto" w:fill="FFFFFF"/>
                <w:lang w:val="ru-RU" w:eastAsia="ru-RU"/>
              </w:rPr>
              <w:drawing>
                <wp:inline distT="0" distB="0" distL="0" distR="0">
                  <wp:extent cx="3068295" cy="1884782"/>
                  <wp:effectExtent l="19050" t="0" r="17805" b="1168"/>
                  <wp:docPr id="52" name="Диаграмма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bl>
    <w:p w:rsidR="00416817" w:rsidRPr="004D5CE3" w:rsidRDefault="00D219F4" w:rsidP="00F61756">
      <w:pPr>
        <w:spacing w:after="0" w:line="276" w:lineRule="auto"/>
        <w:ind w:firstLine="720"/>
        <w:rPr>
          <w:rFonts w:asciiTheme="majorHAnsi" w:eastAsia="Times New Roman" w:hAnsiTheme="majorHAnsi" w:cstheme="majorHAnsi"/>
          <w:b w:val="0"/>
          <w:bCs w:val="0"/>
          <w:i/>
          <w:sz w:val="20"/>
          <w:szCs w:val="20"/>
          <w:shd w:val="clear" w:color="auto" w:fill="FFFFFF"/>
        </w:rPr>
      </w:pPr>
      <w:r w:rsidRPr="004D5CE3">
        <w:rPr>
          <w:rFonts w:asciiTheme="majorHAnsi" w:eastAsia="Times New Roman" w:hAnsiTheme="majorHAnsi" w:cstheme="majorHAnsi"/>
          <w:bCs w:val="0"/>
          <w:i/>
          <w:sz w:val="20"/>
          <w:szCs w:val="20"/>
          <w:shd w:val="clear" w:color="auto" w:fill="FFFFFF"/>
        </w:rPr>
        <w:t>Sursa:</w:t>
      </w:r>
      <w:r w:rsidRPr="004D5CE3">
        <w:rPr>
          <w:rFonts w:asciiTheme="majorHAnsi" w:eastAsia="Times New Roman" w:hAnsiTheme="majorHAnsi" w:cstheme="majorHAnsi"/>
          <w:b w:val="0"/>
          <w:bCs w:val="0"/>
          <w:i/>
          <w:sz w:val="20"/>
          <w:szCs w:val="20"/>
          <w:shd w:val="clear" w:color="auto" w:fill="FFFFFF"/>
        </w:rPr>
        <w:t xml:space="preserve"> Date generate de echipa de audit.</w:t>
      </w:r>
    </w:p>
    <w:p w:rsidR="00B25071" w:rsidRPr="008376FC" w:rsidRDefault="00B25071" w:rsidP="00F61756">
      <w:pPr>
        <w:spacing w:before="120"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Ponderea majoră a investițiilor în infrastructura de AAS revine resurselor alocate din FEN (2</w:t>
      </w:r>
      <w:r w:rsidR="00333860">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350,5 mil.lei)</w:t>
      </w:r>
      <w:r w:rsidR="00333860">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constituind 50% din valoarea investițiilor realizate în anii 2014-2022, urmată de surse</w:t>
      </w:r>
      <w:r w:rsidR="00333860">
        <w:rPr>
          <w:rFonts w:asciiTheme="majorHAnsi" w:eastAsia="Times New Roman" w:hAnsiTheme="majorHAnsi" w:cstheme="majorHAnsi"/>
          <w:b w:val="0"/>
          <w:bCs w:val="0"/>
          <w:sz w:val="24"/>
          <w:szCs w:val="24"/>
          <w:shd w:val="clear" w:color="auto" w:fill="FFFFFF"/>
        </w:rPr>
        <w:t>le</w:t>
      </w:r>
      <w:r w:rsidRPr="008376FC">
        <w:rPr>
          <w:rFonts w:asciiTheme="majorHAnsi" w:eastAsia="Times New Roman" w:hAnsiTheme="majorHAnsi" w:cstheme="majorHAnsi"/>
          <w:b w:val="0"/>
          <w:bCs w:val="0"/>
          <w:sz w:val="24"/>
          <w:szCs w:val="24"/>
          <w:shd w:val="clear" w:color="auto" w:fill="FFFFFF"/>
        </w:rPr>
        <w:t xml:space="preserve"> externe (1</w:t>
      </w:r>
      <w:r w:rsidR="00333860">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405,9 mil.lei), ponderea cărora constituie 30%, din FNDR</w:t>
      </w:r>
      <w:r w:rsidRPr="008376FC">
        <w:rPr>
          <w:rStyle w:val="ab"/>
          <w:rFonts w:asciiTheme="majorHAnsi" w:eastAsia="Times New Roman" w:hAnsiTheme="majorHAnsi" w:cstheme="majorHAnsi"/>
          <w:b w:val="0"/>
          <w:bCs w:val="0"/>
          <w:sz w:val="24"/>
          <w:szCs w:val="24"/>
          <w:shd w:val="clear" w:color="auto" w:fill="FFFFFF"/>
        </w:rPr>
        <w:footnoteReference w:id="6"/>
      </w:r>
      <w:r w:rsidRPr="008376FC">
        <w:rPr>
          <w:rFonts w:asciiTheme="majorHAnsi" w:eastAsia="Times New Roman" w:hAnsiTheme="majorHAnsi" w:cstheme="majorHAnsi"/>
          <w:b w:val="0"/>
          <w:bCs w:val="0"/>
          <w:sz w:val="24"/>
          <w:szCs w:val="24"/>
          <w:shd w:val="clear" w:color="auto" w:fill="FFFFFF"/>
        </w:rPr>
        <w:t xml:space="preserve"> fiind alocate 716,5 mil.lei</w:t>
      </w:r>
      <w:r w:rsidR="00333860">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sau 15%, din FNDAMR </w:t>
      </w:r>
      <w:r w:rsidR="00333860">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27,0 mil.lei</w:t>
      </w:r>
      <w:r w:rsidR="00333860">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sau 1%</w:t>
      </w:r>
      <w:r w:rsidR="00333860">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și din FNDRL, componenta locală – 1</w:t>
      </w:r>
      <w:r w:rsidR="00333860">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78,9 mil.lei</w:t>
      </w:r>
      <w:r w:rsidR="00333860">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sau 4%.  </w:t>
      </w:r>
    </w:p>
    <w:p w:rsidR="00B25071" w:rsidRPr="008376FC" w:rsidRDefault="00B25071" w:rsidP="00F61756">
      <w:pPr>
        <w:spacing w:before="120"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 xml:space="preserve">Cele mai mari investiții în infrastructura de alimentație cu apă s-au efectuat în raioanele Leova (336,1 mil.lei), Florești (260,2 mil.lei), Fălești (247,2 mil.lei), Ungheni (282,9 mil.lei), Edineţ (247,2 mil.lei), Căușeni (234,2 mil.lei) etc. Situația </w:t>
      </w:r>
      <w:r w:rsidR="00333860">
        <w:rPr>
          <w:rFonts w:asciiTheme="majorHAnsi" w:eastAsia="Times New Roman" w:hAnsiTheme="majorHAnsi" w:cstheme="majorHAnsi"/>
          <w:b w:val="0"/>
          <w:bCs w:val="0"/>
          <w:sz w:val="24"/>
          <w:szCs w:val="24"/>
          <w:shd w:val="clear" w:color="auto" w:fill="FFFFFF"/>
        </w:rPr>
        <w:t xml:space="preserve">generală </w:t>
      </w:r>
      <w:r w:rsidRPr="008376FC">
        <w:rPr>
          <w:rFonts w:asciiTheme="majorHAnsi" w:eastAsia="Times New Roman" w:hAnsiTheme="majorHAnsi" w:cstheme="majorHAnsi"/>
          <w:b w:val="0"/>
          <w:bCs w:val="0"/>
          <w:sz w:val="24"/>
          <w:szCs w:val="24"/>
          <w:shd w:val="clear" w:color="auto" w:fill="FFFFFF"/>
        </w:rPr>
        <w:t>se prezintă în Figura de mai jos.</w:t>
      </w:r>
    </w:p>
    <w:p w:rsidR="003B4BB6" w:rsidRPr="005849FA" w:rsidRDefault="003B4BB6" w:rsidP="00F61756">
      <w:pPr>
        <w:spacing w:before="120" w:after="0" w:line="276" w:lineRule="auto"/>
        <w:ind w:firstLine="720"/>
        <w:jc w:val="right"/>
        <w:rPr>
          <w:rFonts w:asciiTheme="majorHAnsi" w:eastAsia="Times New Roman" w:hAnsiTheme="majorHAnsi" w:cstheme="majorHAnsi"/>
          <w:bCs w:val="0"/>
          <w:sz w:val="20"/>
          <w:szCs w:val="20"/>
          <w:shd w:val="clear" w:color="auto" w:fill="FFFFFF"/>
        </w:rPr>
      </w:pPr>
      <w:r w:rsidRPr="005849FA">
        <w:rPr>
          <w:rFonts w:asciiTheme="majorHAnsi" w:eastAsia="Times New Roman" w:hAnsiTheme="majorHAnsi" w:cstheme="majorHAnsi"/>
          <w:bCs w:val="0"/>
          <w:sz w:val="20"/>
          <w:szCs w:val="20"/>
          <w:shd w:val="clear" w:color="auto" w:fill="FFFFFF"/>
        </w:rPr>
        <w:t>Figura nr.3</w:t>
      </w:r>
    </w:p>
    <w:p w:rsidR="003236C8" w:rsidRPr="008376FC" w:rsidRDefault="00D219F4" w:rsidP="00F61756">
      <w:pPr>
        <w:spacing w:after="0" w:line="276" w:lineRule="auto"/>
        <w:jc w:val="both"/>
        <w:rPr>
          <w:rFonts w:asciiTheme="majorHAnsi" w:eastAsia="Times New Roman" w:hAnsiTheme="majorHAnsi" w:cstheme="majorHAnsi"/>
          <w:sz w:val="24"/>
          <w:szCs w:val="24"/>
          <w:shd w:val="clear" w:color="auto" w:fill="FFFFFF"/>
        </w:rPr>
      </w:pPr>
      <w:r w:rsidRPr="008376FC">
        <w:rPr>
          <w:rFonts w:asciiTheme="majorHAnsi" w:eastAsia="Times New Roman" w:hAnsiTheme="majorHAnsi" w:cstheme="majorHAnsi"/>
          <w:noProof/>
          <w:sz w:val="24"/>
          <w:szCs w:val="24"/>
          <w:shd w:val="clear" w:color="auto" w:fill="FFFFFF"/>
          <w:lang w:val="ru-RU" w:eastAsia="ru-RU"/>
        </w:rPr>
        <w:drawing>
          <wp:inline distT="0" distB="0" distL="0" distR="0">
            <wp:extent cx="6221095" cy="2581275"/>
            <wp:effectExtent l="19050" t="0" r="27305" b="0"/>
            <wp:docPr id="53"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219F4" w:rsidRPr="004D5CE3" w:rsidRDefault="00615AFD" w:rsidP="00F61756">
      <w:pPr>
        <w:spacing w:after="0" w:line="276" w:lineRule="auto"/>
        <w:ind w:firstLine="567"/>
        <w:jc w:val="both"/>
        <w:rPr>
          <w:rFonts w:asciiTheme="majorHAnsi" w:eastAsia="Times New Roman" w:hAnsiTheme="majorHAnsi" w:cstheme="majorHAnsi"/>
          <w:i/>
          <w:sz w:val="20"/>
          <w:szCs w:val="20"/>
          <w:shd w:val="clear" w:color="auto" w:fill="FFFFFF"/>
        </w:rPr>
      </w:pPr>
      <w:r w:rsidRPr="004D5CE3">
        <w:rPr>
          <w:rFonts w:asciiTheme="majorHAnsi" w:eastAsia="Times New Roman" w:hAnsiTheme="majorHAnsi" w:cstheme="majorHAnsi"/>
          <w:i/>
          <w:sz w:val="20"/>
          <w:szCs w:val="20"/>
          <w:shd w:val="clear" w:color="auto" w:fill="FFFFFF"/>
        </w:rPr>
        <w:t>Sursa:</w:t>
      </w:r>
      <w:r w:rsidRPr="004D5CE3">
        <w:rPr>
          <w:rFonts w:asciiTheme="majorHAnsi" w:eastAsia="Times New Roman" w:hAnsiTheme="majorHAnsi" w:cstheme="majorHAnsi"/>
          <w:b w:val="0"/>
          <w:i/>
          <w:sz w:val="20"/>
          <w:szCs w:val="20"/>
          <w:shd w:val="clear" w:color="auto" w:fill="FFFFFF"/>
        </w:rPr>
        <w:t xml:space="preserve"> Da</w:t>
      </w:r>
      <w:r w:rsidR="00333860" w:rsidRPr="004D5CE3">
        <w:rPr>
          <w:rFonts w:asciiTheme="majorHAnsi" w:eastAsia="Times New Roman" w:hAnsiTheme="majorHAnsi" w:cstheme="majorHAnsi"/>
          <w:b w:val="0"/>
          <w:i/>
          <w:sz w:val="20"/>
          <w:szCs w:val="20"/>
          <w:shd w:val="clear" w:color="auto" w:fill="FFFFFF"/>
        </w:rPr>
        <w:t>t</w:t>
      </w:r>
      <w:r w:rsidRPr="004D5CE3">
        <w:rPr>
          <w:rFonts w:asciiTheme="majorHAnsi" w:eastAsia="Times New Roman" w:hAnsiTheme="majorHAnsi" w:cstheme="majorHAnsi"/>
          <w:b w:val="0"/>
          <w:i/>
          <w:sz w:val="20"/>
          <w:szCs w:val="20"/>
          <w:shd w:val="clear" w:color="auto" w:fill="FFFFFF"/>
        </w:rPr>
        <w:t>e generate de echipa de audit.</w:t>
      </w:r>
    </w:p>
    <w:p w:rsidR="00E10532" w:rsidRPr="008376FC" w:rsidRDefault="00E10532" w:rsidP="00F61756">
      <w:pPr>
        <w:spacing w:before="120"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Donatorii și instituțiile financiare internaționale constituie o sursă importantă de finanțare a sectorului. Principalii investitori în sectorul AAS în Republica Moldova sunt: Agenția de Cooperare Internațională a Germaniei (GIZ), Agenția Elvețiană pentru Dezvoltare și Cooperare, Agenția Austriei pentru Dezvoltare, Banca Mondială, Banca Europeană pentru Reconstrucție și Dezvoltare, Banca Europeană pentru Investiții, Uniunea Europeană (UE) etc.</w:t>
      </w:r>
    </w:p>
    <w:p w:rsidR="00372DA1" w:rsidRPr="008376FC" w:rsidRDefault="000056B2" w:rsidP="00F61756">
      <w:pPr>
        <w:pStyle w:val="1"/>
        <w:spacing w:line="276" w:lineRule="auto"/>
        <w:rPr>
          <w:rFonts w:eastAsia="Calibri" w:cstheme="majorHAnsi"/>
          <w:bCs w:val="0"/>
          <w:color w:val="0070C0"/>
          <w:sz w:val="24"/>
          <w:szCs w:val="24"/>
        </w:rPr>
      </w:pPr>
      <w:bookmarkStart w:id="17" w:name="_Toc132320204"/>
      <w:bookmarkStart w:id="18" w:name="_Toc107850376"/>
      <w:r w:rsidRPr="008376FC">
        <w:rPr>
          <w:rFonts w:eastAsia="Calibri" w:cstheme="majorHAnsi"/>
          <w:bCs w:val="0"/>
          <w:color w:val="0070C0"/>
          <w:sz w:val="24"/>
          <w:szCs w:val="24"/>
        </w:rPr>
        <w:t>2.3. Actorii implicați în implementarea SAAS 2014-2030</w:t>
      </w:r>
      <w:bookmarkEnd w:id="17"/>
      <w:r w:rsidRPr="008376FC">
        <w:rPr>
          <w:rFonts w:eastAsia="Calibri" w:cstheme="majorHAnsi"/>
          <w:bCs w:val="0"/>
          <w:color w:val="0070C0"/>
          <w:sz w:val="24"/>
          <w:szCs w:val="24"/>
        </w:rPr>
        <w:t xml:space="preserve"> </w:t>
      </w:r>
    </w:p>
    <w:p w:rsidR="00E10532" w:rsidRPr="008376FC" w:rsidRDefault="00E10532" w:rsidP="00F61756">
      <w:pPr>
        <w:spacing w:before="120"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Pe parcursul anilor 2014-2022, în contextul a două reforme</w:t>
      </w:r>
      <w:r w:rsidR="00333860">
        <w:rPr>
          <w:rFonts w:asciiTheme="majorHAnsi" w:eastAsia="Times New Roman" w:hAnsiTheme="majorHAnsi" w:cstheme="majorHAnsi"/>
          <w:b w:val="0"/>
          <w:bCs w:val="0"/>
          <w:sz w:val="24"/>
          <w:szCs w:val="24"/>
          <w:shd w:val="clear" w:color="auto" w:fill="FFFFFF"/>
        </w:rPr>
        <w:t xml:space="preserve"> ale</w:t>
      </w:r>
      <w:r w:rsidRPr="008376FC">
        <w:rPr>
          <w:rFonts w:asciiTheme="majorHAnsi" w:eastAsia="Times New Roman" w:hAnsiTheme="majorHAnsi" w:cstheme="majorHAnsi"/>
          <w:b w:val="0"/>
          <w:bCs w:val="0"/>
          <w:sz w:val="24"/>
          <w:szCs w:val="24"/>
          <w:shd w:val="clear" w:color="auto" w:fill="FFFFFF"/>
        </w:rPr>
        <w:t xml:space="preserve"> APC, principalele autorități responsabile de implementarea SAAS au fost:</w:t>
      </w:r>
    </w:p>
    <w:p w:rsidR="00E10532" w:rsidRPr="00D46657" w:rsidRDefault="000056B2" w:rsidP="00F61756">
      <w:pPr>
        <w:pStyle w:val="a3"/>
        <w:numPr>
          <w:ilvl w:val="0"/>
          <w:numId w:val="36"/>
        </w:numPr>
        <w:tabs>
          <w:tab w:val="left" w:pos="993"/>
        </w:tabs>
        <w:spacing w:before="120" w:line="276" w:lineRule="auto"/>
        <w:ind w:left="0" w:firstLine="709"/>
        <w:jc w:val="both"/>
        <w:rPr>
          <w:rFonts w:asciiTheme="majorHAnsi" w:hAnsiTheme="majorHAnsi" w:cstheme="majorHAnsi"/>
          <w:shd w:val="clear" w:color="auto" w:fill="FFFFFF"/>
          <w:lang w:val="en-US"/>
        </w:rPr>
      </w:pPr>
      <w:r w:rsidRPr="008376FC">
        <w:rPr>
          <w:rFonts w:asciiTheme="majorHAnsi" w:hAnsiTheme="majorHAnsi" w:cstheme="majorHAnsi"/>
          <w:b/>
          <w:shd w:val="clear" w:color="auto" w:fill="FFFFFF"/>
          <w:lang w:val="en-US"/>
        </w:rPr>
        <w:t>anii 2014-2017</w:t>
      </w:r>
      <w:r w:rsidRPr="00D46657">
        <w:rPr>
          <w:rFonts w:asciiTheme="majorHAnsi" w:hAnsiTheme="majorHAnsi" w:cstheme="majorHAnsi"/>
          <w:b/>
          <w:shd w:val="clear" w:color="auto" w:fill="FFFFFF"/>
          <w:lang w:val="en-US"/>
        </w:rPr>
        <w:t>:</w:t>
      </w:r>
      <w:r w:rsidRPr="00D46657">
        <w:rPr>
          <w:rFonts w:asciiTheme="majorHAnsi" w:hAnsiTheme="majorHAnsi" w:cstheme="majorHAnsi"/>
          <w:shd w:val="clear" w:color="auto" w:fill="FFFFFF"/>
          <w:lang w:val="en-US"/>
        </w:rPr>
        <w:t xml:space="preserve"> </w:t>
      </w:r>
      <w:r w:rsidRPr="00D46657">
        <w:rPr>
          <w:rFonts w:asciiTheme="majorHAnsi" w:hAnsiTheme="majorHAnsi" w:cstheme="majorHAnsi"/>
          <w:bCs/>
          <w:shd w:val="clear" w:color="auto" w:fill="FFFFFF"/>
          <w:lang w:val="en-US"/>
        </w:rPr>
        <w:t>Ministerul Mediului</w:t>
      </w:r>
      <w:r w:rsidR="00D46657" w:rsidRPr="00D46657">
        <w:rPr>
          <w:rFonts w:asciiTheme="majorHAnsi" w:hAnsiTheme="majorHAnsi" w:cstheme="majorHAnsi"/>
          <w:bCs/>
          <w:shd w:val="clear" w:color="auto" w:fill="FFFFFF"/>
          <w:lang w:val="en-US"/>
        </w:rPr>
        <w:t xml:space="preserve"> și </w:t>
      </w:r>
      <w:r w:rsidRPr="00D46657">
        <w:rPr>
          <w:rFonts w:asciiTheme="majorHAnsi" w:hAnsiTheme="majorHAnsi" w:cstheme="majorHAnsi"/>
          <w:shd w:val="clear" w:color="auto" w:fill="FFFFFF"/>
          <w:lang w:val="en-US"/>
        </w:rPr>
        <w:t>Ministerul Dezvoltării Regionale și Construcțiilor</w:t>
      </w:r>
      <w:r w:rsidR="00D46657" w:rsidRPr="00D46657">
        <w:rPr>
          <w:rFonts w:asciiTheme="majorHAnsi" w:hAnsiTheme="majorHAnsi" w:cstheme="majorHAnsi"/>
          <w:shd w:val="clear" w:color="auto" w:fill="FFFFFF"/>
          <w:lang w:val="en-US"/>
        </w:rPr>
        <w:t>.</w:t>
      </w:r>
    </w:p>
    <w:p w:rsidR="00E10532" w:rsidRPr="008376FC" w:rsidRDefault="000056B2" w:rsidP="00F61756">
      <w:pPr>
        <w:pStyle w:val="a3"/>
        <w:numPr>
          <w:ilvl w:val="0"/>
          <w:numId w:val="36"/>
        </w:numPr>
        <w:tabs>
          <w:tab w:val="left" w:pos="993"/>
        </w:tabs>
        <w:spacing w:before="120" w:line="276" w:lineRule="auto"/>
        <w:ind w:left="0" w:firstLine="709"/>
        <w:jc w:val="both"/>
        <w:rPr>
          <w:rFonts w:asciiTheme="majorHAnsi" w:hAnsiTheme="majorHAnsi" w:cstheme="majorHAnsi"/>
          <w:b/>
          <w:shd w:val="clear" w:color="auto" w:fill="FFFFFF"/>
          <w:lang w:val="en-US"/>
        </w:rPr>
      </w:pPr>
      <w:r w:rsidRPr="008376FC">
        <w:rPr>
          <w:rFonts w:asciiTheme="majorHAnsi" w:hAnsiTheme="majorHAnsi" w:cstheme="majorHAnsi"/>
          <w:b/>
          <w:shd w:val="clear" w:color="auto" w:fill="FFFFFF"/>
          <w:lang w:val="en-US"/>
        </w:rPr>
        <w:t xml:space="preserve">anii 2017-2021:  </w:t>
      </w:r>
      <w:r w:rsidRPr="008376FC">
        <w:rPr>
          <w:rFonts w:asciiTheme="majorHAnsi" w:hAnsiTheme="majorHAnsi" w:cstheme="majorHAnsi"/>
          <w:shd w:val="clear" w:color="auto" w:fill="FFFFFF"/>
          <w:lang w:val="en-US"/>
        </w:rPr>
        <w:t>Ministerul Agriculturii, Dezvoltării Regionale și Mediului;</w:t>
      </w:r>
    </w:p>
    <w:p w:rsidR="00E10532" w:rsidRPr="008376FC" w:rsidRDefault="000056B2" w:rsidP="00F61756">
      <w:pPr>
        <w:pStyle w:val="a3"/>
        <w:numPr>
          <w:ilvl w:val="0"/>
          <w:numId w:val="36"/>
        </w:numPr>
        <w:tabs>
          <w:tab w:val="left" w:pos="993"/>
        </w:tabs>
        <w:spacing w:before="120" w:line="276" w:lineRule="auto"/>
        <w:ind w:left="0" w:firstLine="709"/>
        <w:jc w:val="both"/>
        <w:rPr>
          <w:rFonts w:asciiTheme="majorHAnsi" w:hAnsiTheme="majorHAnsi" w:cstheme="majorHAnsi"/>
          <w:b/>
          <w:shd w:val="clear" w:color="auto" w:fill="FFFFFF"/>
          <w:lang w:val="en-US"/>
        </w:rPr>
      </w:pPr>
      <w:r w:rsidRPr="008376FC">
        <w:rPr>
          <w:rFonts w:asciiTheme="majorHAnsi" w:hAnsiTheme="majorHAnsi" w:cstheme="majorHAnsi"/>
          <w:b/>
          <w:shd w:val="clear" w:color="auto" w:fill="FFFFFF"/>
          <w:lang w:val="en-US"/>
        </w:rPr>
        <w:t xml:space="preserve">anul 2021 – prezent: </w:t>
      </w:r>
      <w:r w:rsidRPr="008376FC">
        <w:rPr>
          <w:rFonts w:asciiTheme="majorHAnsi" w:hAnsiTheme="majorHAnsi" w:cstheme="majorHAnsi"/>
          <w:shd w:val="clear" w:color="auto" w:fill="FFFFFF"/>
          <w:lang w:val="en-US"/>
        </w:rPr>
        <w:t>Ministerul Mediului, iar din 08.12.2022</w:t>
      </w:r>
      <w:r w:rsidRPr="008376FC">
        <w:rPr>
          <w:rStyle w:val="ab"/>
          <w:rFonts w:asciiTheme="majorHAnsi" w:hAnsiTheme="majorHAnsi" w:cstheme="majorHAnsi"/>
          <w:shd w:val="clear" w:color="auto" w:fill="FFFFFF"/>
        </w:rPr>
        <w:footnoteReference w:id="7"/>
      </w:r>
      <w:r w:rsidRPr="008376FC">
        <w:rPr>
          <w:rFonts w:asciiTheme="majorHAnsi" w:hAnsiTheme="majorHAnsi" w:cstheme="majorHAnsi"/>
          <w:shd w:val="clear" w:color="auto" w:fill="FFFFFF"/>
          <w:lang w:val="en-US"/>
        </w:rPr>
        <w:t xml:space="preserve">, domeniul infrastructurii de apă şi sanitaţie fiind atribuit </w:t>
      </w:r>
      <w:r w:rsidRPr="00D46657">
        <w:rPr>
          <w:rFonts w:asciiTheme="majorHAnsi" w:hAnsiTheme="majorHAnsi" w:cstheme="majorHAnsi"/>
          <w:bCs/>
          <w:shd w:val="clear" w:color="auto" w:fill="FFFFFF"/>
          <w:lang w:val="en-US"/>
        </w:rPr>
        <w:t>Ministerului Infrastructurii și Dezvoltării Regionale</w:t>
      </w:r>
      <w:r w:rsidRPr="00D46657">
        <w:rPr>
          <w:rFonts w:asciiTheme="majorHAnsi" w:hAnsiTheme="majorHAnsi" w:cstheme="majorHAnsi"/>
          <w:shd w:val="clear" w:color="auto" w:fill="FFFFFF"/>
          <w:lang w:val="en-US"/>
        </w:rPr>
        <w:t>.</w:t>
      </w:r>
    </w:p>
    <w:p w:rsidR="00E10532" w:rsidRPr="008376FC" w:rsidRDefault="00E10532" w:rsidP="00F61756">
      <w:pPr>
        <w:spacing w:before="120" w:line="276" w:lineRule="auto"/>
        <w:jc w:val="both"/>
        <w:rPr>
          <w:rFonts w:asciiTheme="majorHAnsi" w:hAnsiTheme="majorHAnsi" w:cstheme="majorHAnsi"/>
          <w:b w:val="0"/>
          <w:shd w:val="clear" w:color="auto" w:fill="FFFFFF"/>
        </w:rPr>
      </w:pPr>
      <w:r w:rsidRPr="008376FC">
        <w:rPr>
          <w:rFonts w:asciiTheme="majorHAnsi" w:eastAsia="Times New Roman" w:hAnsiTheme="majorHAnsi" w:cstheme="majorHAnsi"/>
          <w:b w:val="0"/>
          <w:bCs w:val="0"/>
          <w:sz w:val="24"/>
          <w:szCs w:val="24"/>
          <w:shd w:val="clear" w:color="auto" w:fill="FFFFFF"/>
        </w:rPr>
        <w:t>De asemenea,</w:t>
      </w:r>
      <w:r w:rsidRPr="008376FC">
        <w:rPr>
          <w:rFonts w:asciiTheme="majorHAnsi" w:hAnsiTheme="majorHAnsi" w:cstheme="majorHAnsi"/>
          <w:shd w:val="clear" w:color="auto" w:fill="FFFFFF"/>
          <w:lang w:val="en-US"/>
        </w:rPr>
        <w:t xml:space="preserve"> </w:t>
      </w:r>
      <w:r w:rsidRPr="008376FC">
        <w:rPr>
          <w:rFonts w:asciiTheme="majorHAnsi" w:eastAsia="Times New Roman" w:hAnsiTheme="majorHAnsi" w:cstheme="majorHAnsi"/>
          <w:b w:val="0"/>
          <w:bCs w:val="0"/>
          <w:sz w:val="24"/>
          <w:szCs w:val="24"/>
          <w:shd w:val="clear" w:color="auto" w:fill="FFFFFF"/>
        </w:rPr>
        <w:t>la nivel național</w:t>
      </w:r>
      <w:r w:rsidR="00F9566B">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actorii</w:t>
      </w:r>
      <w:r w:rsidR="00F9566B">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cheie </w:t>
      </w:r>
      <w:r w:rsidRPr="00CF73A3">
        <w:rPr>
          <w:rFonts w:asciiTheme="majorHAnsi" w:eastAsia="Times New Roman" w:hAnsiTheme="majorHAnsi" w:cstheme="majorHAnsi"/>
          <w:b w:val="0"/>
          <w:bCs w:val="0"/>
          <w:sz w:val="24"/>
          <w:szCs w:val="24"/>
          <w:shd w:val="clear" w:color="auto" w:fill="FFFFFF"/>
        </w:rPr>
        <w:t xml:space="preserve">implicați </w:t>
      </w:r>
      <w:r w:rsidR="00BC28D6" w:rsidRPr="00CF73A3">
        <w:rPr>
          <w:rFonts w:asciiTheme="majorHAnsi" w:eastAsia="Times New Roman" w:hAnsiTheme="majorHAnsi" w:cstheme="majorHAnsi"/>
          <w:b w:val="0"/>
          <w:bCs w:val="0"/>
          <w:sz w:val="24"/>
          <w:szCs w:val="24"/>
          <w:shd w:val="clear" w:color="auto" w:fill="FFFFFF"/>
        </w:rPr>
        <w:t>în procesul de reglementare și dezvoltare</w:t>
      </w:r>
      <w:r w:rsidRPr="008376FC">
        <w:rPr>
          <w:rFonts w:asciiTheme="majorHAnsi" w:eastAsia="Times New Roman" w:hAnsiTheme="majorHAnsi" w:cstheme="majorHAnsi"/>
          <w:b w:val="0"/>
          <w:bCs w:val="0"/>
          <w:sz w:val="24"/>
          <w:szCs w:val="24"/>
          <w:shd w:val="clear" w:color="auto" w:fill="FFFFFF"/>
        </w:rPr>
        <w:t xml:space="preserve"> a sectorului de alimentare cu apă și sanitație sunt:</w:t>
      </w:r>
      <w:r w:rsidRPr="008376FC">
        <w:rPr>
          <w:rFonts w:asciiTheme="majorHAnsi" w:hAnsiTheme="majorHAnsi" w:cstheme="majorHAnsi"/>
          <w:shd w:val="clear" w:color="auto" w:fill="FFFFFF"/>
          <w:lang w:val="en-US"/>
        </w:rPr>
        <w:t xml:space="preserve"> </w:t>
      </w:r>
      <w:r w:rsidRPr="008376FC">
        <w:rPr>
          <w:rFonts w:asciiTheme="majorHAnsi" w:eastAsia="Times New Roman" w:hAnsiTheme="majorHAnsi" w:cstheme="majorHAnsi"/>
          <w:b w:val="0"/>
          <w:bCs w:val="0"/>
          <w:sz w:val="24"/>
          <w:szCs w:val="24"/>
          <w:shd w:val="clear" w:color="auto" w:fill="FFFFFF"/>
        </w:rPr>
        <w:t>Agenția Națională de Reglementare în Energetică, Agenţia „Apele Moldovei”, Agenția de Mediu, Inspectoratul pentru Protecția Mediului, Agenţia pentru Geologie şi Resurse Minerale, Cancelaria de Stat, Ministerului Finanțelor, Ministerul Sănătăţii, Biroul Național de Statistică, organizațiile neguvernamentale și donatorii externi.</w:t>
      </w:r>
    </w:p>
    <w:p w:rsidR="00BE3B68" w:rsidRPr="008376FC" w:rsidRDefault="00E10532" w:rsidP="00F61756">
      <w:pPr>
        <w:spacing w:line="276" w:lineRule="auto"/>
        <w:jc w:val="both"/>
        <w:rPr>
          <w:rFonts w:eastAsia="Times New Roman" w:cstheme="majorHAnsi"/>
          <w:b w:val="0"/>
          <w:sz w:val="24"/>
          <w:szCs w:val="24"/>
          <w:lang w:eastAsia="ru-RU"/>
        </w:rPr>
      </w:pPr>
      <w:r w:rsidRPr="008376FC">
        <w:rPr>
          <w:rFonts w:asciiTheme="majorHAnsi" w:eastAsia="Times New Roman" w:hAnsiTheme="majorHAnsi" w:cstheme="majorHAnsi"/>
          <w:b w:val="0"/>
          <w:sz w:val="24"/>
          <w:szCs w:val="24"/>
          <w:lang w:eastAsia="ru-RU"/>
        </w:rPr>
        <w:t>Responsabilit</w:t>
      </w:r>
      <w:r w:rsidR="00F9566B">
        <w:rPr>
          <w:rFonts w:asciiTheme="majorHAnsi" w:eastAsia="Times New Roman" w:hAnsiTheme="majorHAnsi" w:cstheme="majorHAnsi"/>
          <w:b w:val="0"/>
          <w:sz w:val="24"/>
          <w:szCs w:val="24"/>
          <w:lang w:eastAsia="ru-RU"/>
        </w:rPr>
        <w:t>ățile</w:t>
      </w:r>
      <w:r w:rsidRPr="008376FC">
        <w:rPr>
          <w:rFonts w:asciiTheme="majorHAnsi" w:eastAsia="Times New Roman" w:hAnsiTheme="majorHAnsi" w:cstheme="majorHAnsi"/>
          <w:b w:val="0"/>
          <w:sz w:val="24"/>
          <w:szCs w:val="24"/>
          <w:lang w:eastAsia="ru-RU"/>
        </w:rPr>
        <w:t xml:space="preserve"> părților implicate în domeniul auditat sunt expuse în Anexa nr. 4 la prezentul Raport de audit.</w:t>
      </w:r>
    </w:p>
    <w:p w:rsidR="0096170B" w:rsidRPr="008376FC" w:rsidRDefault="0096170B" w:rsidP="00F61756">
      <w:pPr>
        <w:pStyle w:val="1"/>
        <w:spacing w:line="276" w:lineRule="auto"/>
        <w:rPr>
          <w:rFonts w:eastAsia="Calibri" w:cstheme="majorHAnsi"/>
          <w:bCs w:val="0"/>
          <w:color w:val="0070C0"/>
          <w:sz w:val="24"/>
          <w:szCs w:val="24"/>
        </w:rPr>
      </w:pPr>
      <w:bookmarkStart w:id="19" w:name="_Toc132042782"/>
      <w:bookmarkStart w:id="20" w:name="_Toc132320205"/>
      <w:bookmarkEnd w:id="18"/>
      <w:r w:rsidRPr="008376FC">
        <w:rPr>
          <w:rFonts w:eastAsia="Calibri" w:cstheme="majorHAnsi"/>
          <w:bCs w:val="0"/>
          <w:color w:val="0070C0"/>
          <w:sz w:val="24"/>
          <w:szCs w:val="24"/>
        </w:rPr>
        <w:t xml:space="preserve">III. </w:t>
      </w:r>
      <w:bookmarkStart w:id="21" w:name="_Toc496855431"/>
      <w:r w:rsidRPr="008376FC">
        <w:rPr>
          <w:rFonts w:eastAsia="Calibri" w:cstheme="majorHAnsi"/>
          <w:bCs w:val="0"/>
          <w:color w:val="0070C0"/>
          <w:sz w:val="24"/>
          <w:szCs w:val="24"/>
        </w:rPr>
        <w:t>SFERA ȘI ABORDAREA AUDITULUI</w:t>
      </w:r>
      <w:bookmarkEnd w:id="19"/>
      <w:bookmarkEnd w:id="20"/>
      <w:bookmarkEnd w:id="21"/>
    </w:p>
    <w:p w:rsidR="00395355" w:rsidRPr="008376FC" w:rsidRDefault="0096170B" w:rsidP="00F61756">
      <w:pPr>
        <w:spacing w:after="0" w:line="276" w:lineRule="auto"/>
        <w:jc w:val="both"/>
        <w:rPr>
          <w:rFonts w:asciiTheme="majorHAnsi" w:hAnsiTheme="majorHAnsi" w:cs="Times New Roman"/>
          <w:b w:val="0"/>
          <w:sz w:val="24"/>
          <w:szCs w:val="24"/>
        </w:rPr>
      </w:pPr>
      <w:r w:rsidRPr="008376FC">
        <w:rPr>
          <w:rFonts w:asciiTheme="majorHAnsi" w:hAnsiTheme="majorHAnsi" w:cstheme="majorHAnsi"/>
          <w:b w:val="0"/>
          <w:sz w:val="24"/>
          <w:szCs w:val="24"/>
        </w:rPr>
        <w:t>Misiunea de audit public extern a fost desfășurată în temeiul prevederilor art.3 alin.(1), art.5 alin.(1) lit.a) și art.31 alin.(1) lit.b) din Legea privind organizarea și funcționarea Curții de Conturi a Republicii Moldova</w:t>
      </w:r>
      <w:r w:rsidRPr="008376FC">
        <w:rPr>
          <w:rStyle w:val="ab"/>
          <w:rFonts w:asciiTheme="majorHAnsi" w:hAnsiTheme="majorHAnsi" w:cstheme="majorHAnsi"/>
          <w:b w:val="0"/>
          <w:sz w:val="24"/>
          <w:szCs w:val="24"/>
        </w:rPr>
        <w:footnoteReference w:id="8"/>
      </w:r>
      <w:r w:rsidRPr="008376FC">
        <w:rPr>
          <w:rFonts w:asciiTheme="majorHAnsi" w:hAnsiTheme="majorHAnsi" w:cstheme="majorHAnsi"/>
          <w:b w:val="0"/>
          <w:sz w:val="24"/>
          <w:szCs w:val="24"/>
        </w:rPr>
        <w:t xml:space="preserve">, în conformitate cu </w:t>
      </w:r>
      <w:r w:rsidR="002421EC" w:rsidRPr="008376FC">
        <w:rPr>
          <w:rFonts w:asciiTheme="majorHAnsi" w:hAnsiTheme="majorHAnsi" w:cstheme="majorHAnsi"/>
          <w:b w:val="0"/>
          <w:bCs w:val="0"/>
          <w:sz w:val="24"/>
          <w:szCs w:val="24"/>
        </w:rPr>
        <w:t>Programele activității de audit ale Curţii de Conturi pe anii 2022 şi 2023</w:t>
      </w:r>
      <w:r w:rsidR="002421EC" w:rsidRPr="008376FC">
        <w:rPr>
          <w:rStyle w:val="ab"/>
          <w:rFonts w:asciiTheme="majorHAnsi" w:hAnsiTheme="majorHAnsi" w:cstheme="majorHAnsi"/>
          <w:b w:val="0"/>
          <w:bCs w:val="0"/>
          <w:sz w:val="24"/>
          <w:szCs w:val="24"/>
        </w:rPr>
        <w:footnoteReference w:id="9"/>
      </w:r>
      <w:r w:rsidRPr="008376FC">
        <w:rPr>
          <w:rFonts w:asciiTheme="majorHAnsi" w:hAnsiTheme="majorHAnsi" w:cstheme="majorHAnsi"/>
          <w:b w:val="0"/>
          <w:sz w:val="24"/>
          <w:szCs w:val="24"/>
        </w:rPr>
        <w:t xml:space="preserve">, având </w:t>
      </w:r>
      <w:r w:rsidR="00866FB9" w:rsidRPr="008376FC">
        <w:rPr>
          <w:rFonts w:asciiTheme="majorHAnsi" w:hAnsiTheme="majorHAnsi" w:cstheme="majorHAnsi"/>
          <w:b w:val="0"/>
          <w:sz w:val="24"/>
          <w:szCs w:val="24"/>
        </w:rPr>
        <w:t xml:space="preserve">drept </w:t>
      </w:r>
      <w:r w:rsidR="007971DD">
        <w:rPr>
          <w:rFonts w:asciiTheme="majorHAnsi" w:hAnsiTheme="majorHAnsi" w:cstheme="majorHAnsi"/>
          <w:b w:val="0"/>
          <w:sz w:val="24"/>
          <w:szCs w:val="24"/>
        </w:rPr>
        <w:t>obiectiv</w:t>
      </w:r>
      <w:r w:rsidR="007971DD" w:rsidRPr="008376FC">
        <w:rPr>
          <w:rFonts w:asciiTheme="majorHAnsi" w:hAnsiTheme="majorHAnsi" w:cstheme="majorHAnsi"/>
          <w:b w:val="0"/>
          <w:sz w:val="24"/>
          <w:szCs w:val="24"/>
        </w:rPr>
        <w:t xml:space="preserve"> </w:t>
      </w:r>
      <w:r w:rsidR="00395355" w:rsidRPr="008376FC">
        <w:rPr>
          <w:rFonts w:asciiTheme="majorHAnsi" w:hAnsiTheme="majorHAnsi" w:cs="Times New Roman"/>
          <w:b w:val="0"/>
          <w:sz w:val="24"/>
          <w:szCs w:val="24"/>
        </w:rPr>
        <w:t>evaluarea dacă factorii de decizie au întreprins măsuri suficiente pentru implementarea cu succes a acțiunilor incluse în Strategia de alimentare cu apă şi sanitație (2014-2030) şi dacă acţiunile incluse în Strategie s-au axat pe cele mai stringente probleme ale domeniului de alimentare cu apă şi sanitaţie</w:t>
      </w:r>
      <w:r w:rsidR="00F9566B">
        <w:rPr>
          <w:rFonts w:asciiTheme="majorHAnsi" w:hAnsiTheme="majorHAnsi" w:cs="Times New Roman"/>
          <w:b w:val="0"/>
          <w:sz w:val="24"/>
          <w:szCs w:val="24"/>
        </w:rPr>
        <w:t>,</w:t>
      </w:r>
      <w:r w:rsidR="00395355" w:rsidRPr="008376FC">
        <w:rPr>
          <w:rFonts w:asciiTheme="majorHAnsi" w:hAnsiTheme="majorHAnsi" w:cs="Times New Roman"/>
          <w:b w:val="0"/>
          <w:sz w:val="24"/>
          <w:szCs w:val="24"/>
        </w:rPr>
        <w:t xml:space="preserve"> astfel încât să fie asigurată dezvoltarea durabilă şi sustenabilă a acestui sector.</w:t>
      </w:r>
    </w:p>
    <w:p w:rsidR="00BD4C73" w:rsidRPr="00510CDB" w:rsidRDefault="00395355" w:rsidP="00F61756">
      <w:pPr>
        <w:spacing w:after="0" w:line="276" w:lineRule="auto"/>
        <w:jc w:val="both"/>
        <w:rPr>
          <w:rFonts w:asciiTheme="majorHAnsi" w:hAnsiTheme="majorHAnsi" w:cs="Times New Roman"/>
          <w:b w:val="0"/>
          <w:sz w:val="24"/>
          <w:szCs w:val="24"/>
        </w:rPr>
      </w:pPr>
      <w:r w:rsidRPr="00510CDB">
        <w:rPr>
          <w:rFonts w:asciiTheme="majorHAnsi" w:hAnsiTheme="majorHAnsi" w:cs="Times New Roman"/>
          <w:b w:val="0"/>
          <w:sz w:val="24"/>
          <w:szCs w:val="24"/>
        </w:rPr>
        <w:t xml:space="preserve">În contextul realizării </w:t>
      </w:r>
      <w:r w:rsidR="007971DD" w:rsidRPr="00510CDB">
        <w:rPr>
          <w:rFonts w:asciiTheme="majorHAnsi" w:hAnsiTheme="majorHAnsi" w:cs="Times New Roman"/>
          <w:b w:val="0"/>
          <w:sz w:val="24"/>
          <w:szCs w:val="24"/>
        </w:rPr>
        <w:t xml:space="preserve">obiectivului </w:t>
      </w:r>
      <w:r w:rsidRPr="00510CDB">
        <w:rPr>
          <w:rFonts w:asciiTheme="majorHAnsi" w:hAnsiTheme="majorHAnsi" w:cs="Times New Roman"/>
          <w:b w:val="0"/>
          <w:sz w:val="24"/>
          <w:szCs w:val="24"/>
        </w:rPr>
        <w:t xml:space="preserve">propus, </w:t>
      </w:r>
      <w:r w:rsidR="00AB1E36" w:rsidRPr="00510CDB">
        <w:rPr>
          <w:rFonts w:asciiTheme="majorHAnsi" w:hAnsiTheme="majorHAnsi" w:cs="Times New Roman"/>
          <w:b w:val="0"/>
          <w:sz w:val="24"/>
          <w:szCs w:val="24"/>
        </w:rPr>
        <w:t>a fost formulată</w:t>
      </w:r>
      <w:r w:rsidR="00951864" w:rsidRPr="00510CDB">
        <w:rPr>
          <w:rFonts w:asciiTheme="majorHAnsi" w:hAnsiTheme="majorHAnsi" w:cs="Times New Roman"/>
          <w:b w:val="0"/>
          <w:sz w:val="24"/>
          <w:szCs w:val="24"/>
        </w:rPr>
        <w:t xml:space="preserve"> </w:t>
      </w:r>
      <w:r w:rsidR="00BC28D6" w:rsidRPr="00510CDB">
        <w:rPr>
          <w:rFonts w:asciiTheme="majorHAnsi" w:hAnsiTheme="majorHAnsi" w:cs="Times New Roman"/>
          <w:bCs w:val="0"/>
          <w:sz w:val="24"/>
          <w:szCs w:val="24"/>
        </w:rPr>
        <w:t>întrebare</w:t>
      </w:r>
      <w:r w:rsidR="00AB1E36" w:rsidRPr="00510CDB">
        <w:rPr>
          <w:rFonts w:asciiTheme="majorHAnsi" w:hAnsiTheme="majorHAnsi" w:cs="Times New Roman"/>
          <w:bCs w:val="0"/>
          <w:sz w:val="24"/>
          <w:szCs w:val="24"/>
        </w:rPr>
        <w:t>a</w:t>
      </w:r>
      <w:r w:rsidR="00BC28D6" w:rsidRPr="00510CDB">
        <w:rPr>
          <w:rFonts w:asciiTheme="majorHAnsi" w:hAnsiTheme="majorHAnsi" w:cs="Times New Roman"/>
          <w:bCs w:val="0"/>
          <w:sz w:val="24"/>
          <w:szCs w:val="24"/>
        </w:rPr>
        <w:t xml:space="preserve"> generală de audit</w:t>
      </w:r>
      <w:r w:rsidR="00FC62DE" w:rsidRPr="00510CDB">
        <w:rPr>
          <w:rFonts w:asciiTheme="majorHAnsi" w:hAnsiTheme="majorHAnsi" w:cs="Times New Roman"/>
          <w:bCs w:val="0"/>
          <w:sz w:val="24"/>
          <w:szCs w:val="24"/>
        </w:rPr>
        <w:t>:</w:t>
      </w:r>
    </w:p>
    <w:p w:rsidR="0088086E" w:rsidRPr="00510CDB" w:rsidRDefault="00BC28D6" w:rsidP="00F61756">
      <w:pPr>
        <w:spacing w:after="0" w:line="276" w:lineRule="auto"/>
        <w:ind w:firstLine="709"/>
        <w:jc w:val="both"/>
        <w:rPr>
          <w:rFonts w:asciiTheme="majorHAnsi" w:hAnsiTheme="majorHAnsi" w:cs="Times New Roman"/>
          <w:bCs w:val="0"/>
          <w:iCs/>
          <w:sz w:val="24"/>
          <w:szCs w:val="24"/>
        </w:rPr>
      </w:pPr>
      <w:r w:rsidRPr="00510CDB">
        <w:rPr>
          <w:rFonts w:asciiTheme="majorHAnsi" w:hAnsiTheme="majorHAnsi" w:cs="Times New Roman"/>
          <w:bCs w:val="0"/>
          <w:iCs/>
          <w:sz w:val="24"/>
          <w:szCs w:val="24"/>
        </w:rPr>
        <w:t>Strategia de alimentare cu apă şi sanitație (2014-2030) a contribut la soluţionarea tuturor problemelor aferente dezvoltării şi funcţionării stabile</w:t>
      </w:r>
      <w:r w:rsidR="00A9221C" w:rsidRPr="00510CDB">
        <w:rPr>
          <w:rFonts w:asciiTheme="majorHAnsi" w:hAnsiTheme="majorHAnsi" w:cs="Times New Roman"/>
          <w:bCs w:val="0"/>
          <w:iCs/>
          <w:sz w:val="24"/>
          <w:szCs w:val="24"/>
        </w:rPr>
        <w:t xml:space="preserve"> </w:t>
      </w:r>
      <w:r w:rsidR="00206852" w:rsidRPr="00510CDB">
        <w:rPr>
          <w:rFonts w:asciiTheme="majorHAnsi" w:hAnsiTheme="majorHAnsi" w:cs="Times New Roman"/>
          <w:bCs w:val="0"/>
          <w:iCs/>
          <w:sz w:val="24"/>
          <w:szCs w:val="24"/>
        </w:rPr>
        <w:t>si</w:t>
      </w:r>
      <w:r w:rsidR="00A9221C" w:rsidRPr="00510CDB">
        <w:rPr>
          <w:rFonts w:asciiTheme="majorHAnsi" w:hAnsiTheme="majorHAnsi" w:cs="Times New Roman"/>
          <w:bCs w:val="0"/>
          <w:iCs/>
          <w:sz w:val="24"/>
          <w:szCs w:val="24"/>
        </w:rPr>
        <w:t xml:space="preserve"> durabile</w:t>
      </w:r>
      <w:r w:rsidRPr="00510CDB">
        <w:rPr>
          <w:rFonts w:asciiTheme="majorHAnsi" w:hAnsiTheme="majorHAnsi" w:cs="Times New Roman"/>
          <w:bCs w:val="0"/>
          <w:iCs/>
          <w:sz w:val="24"/>
          <w:szCs w:val="24"/>
        </w:rPr>
        <w:t xml:space="preserve"> a sectorului de alimentare cu apă şi sanitaţie?</w:t>
      </w:r>
    </w:p>
    <w:p w:rsidR="00162F6B" w:rsidRPr="00510CDB" w:rsidRDefault="00162F6B" w:rsidP="00F61756">
      <w:pPr>
        <w:spacing w:after="0" w:line="276" w:lineRule="auto"/>
        <w:jc w:val="both"/>
        <w:rPr>
          <w:rFonts w:asciiTheme="majorHAnsi" w:hAnsiTheme="majorHAnsi" w:cs="Times New Roman"/>
          <w:b w:val="0"/>
          <w:sz w:val="24"/>
          <w:szCs w:val="24"/>
        </w:rPr>
      </w:pPr>
    </w:p>
    <w:p w:rsidR="00395355" w:rsidRPr="008376FC" w:rsidRDefault="00AB1E36" w:rsidP="00F61756">
      <w:pPr>
        <w:spacing w:after="0" w:line="276" w:lineRule="auto"/>
        <w:jc w:val="both"/>
        <w:rPr>
          <w:rFonts w:asciiTheme="majorHAnsi" w:hAnsiTheme="majorHAnsi" w:cs="Times New Roman"/>
          <w:b w:val="0"/>
          <w:sz w:val="24"/>
          <w:szCs w:val="24"/>
        </w:rPr>
      </w:pPr>
      <w:r w:rsidRPr="00510CDB">
        <w:rPr>
          <w:rFonts w:asciiTheme="majorHAnsi" w:hAnsiTheme="majorHAnsi" w:cs="Times New Roman"/>
          <w:b w:val="0"/>
          <w:sz w:val="24"/>
          <w:szCs w:val="24"/>
        </w:rPr>
        <w:t xml:space="preserve">şi </w:t>
      </w:r>
      <w:r w:rsidR="00706A8D" w:rsidRPr="00510CDB">
        <w:rPr>
          <w:rFonts w:asciiTheme="majorHAnsi" w:hAnsiTheme="majorHAnsi" w:cs="Times New Roman"/>
          <w:sz w:val="24"/>
          <w:szCs w:val="24"/>
        </w:rPr>
        <w:t xml:space="preserve">6 </w:t>
      </w:r>
      <w:r w:rsidR="00951864" w:rsidRPr="00510CDB">
        <w:rPr>
          <w:rFonts w:asciiTheme="majorHAnsi" w:hAnsiTheme="majorHAnsi" w:cs="Times New Roman"/>
          <w:b w:val="0"/>
          <w:sz w:val="24"/>
          <w:szCs w:val="24"/>
        </w:rPr>
        <w:t xml:space="preserve"> </w:t>
      </w:r>
      <w:r w:rsidR="007971DD" w:rsidRPr="00510CDB">
        <w:rPr>
          <w:rFonts w:asciiTheme="majorHAnsi" w:hAnsiTheme="majorHAnsi" w:cs="Times New Roman"/>
          <w:sz w:val="24"/>
          <w:szCs w:val="24"/>
        </w:rPr>
        <w:t xml:space="preserve">întrebări </w:t>
      </w:r>
      <w:r w:rsidR="00395355" w:rsidRPr="00510CDB">
        <w:rPr>
          <w:rFonts w:asciiTheme="majorHAnsi" w:hAnsiTheme="majorHAnsi" w:cs="Times New Roman"/>
          <w:sz w:val="24"/>
          <w:szCs w:val="24"/>
        </w:rPr>
        <w:t>specifice</w:t>
      </w:r>
      <w:r w:rsidR="00395355" w:rsidRPr="00510CDB">
        <w:rPr>
          <w:rFonts w:asciiTheme="majorHAnsi" w:hAnsiTheme="majorHAnsi" w:cs="Times New Roman"/>
          <w:b w:val="0"/>
          <w:sz w:val="24"/>
          <w:szCs w:val="24"/>
        </w:rPr>
        <w:t xml:space="preserve"> de audit:</w:t>
      </w:r>
      <w:r w:rsidR="00395355" w:rsidRPr="008376FC">
        <w:rPr>
          <w:rFonts w:asciiTheme="majorHAnsi" w:hAnsiTheme="majorHAnsi" w:cs="Times New Roman"/>
          <w:b w:val="0"/>
          <w:sz w:val="24"/>
          <w:szCs w:val="24"/>
        </w:rPr>
        <w:t xml:space="preserve"> </w:t>
      </w:r>
    </w:p>
    <w:p w:rsidR="00BE3B68" w:rsidRPr="008376FC" w:rsidRDefault="00706A8D" w:rsidP="00F61756">
      <w:pPr>
        <w:spacing w:after="0" w:line="276" w:lineRule="auto"/>
        <w:ind w:firstLine="709"/>
        <w:jc w:val="both"/>
        <w:rPr>
          <w:rFonts w:asciiTheme="majorHAnsi" w:eastAsia="Calibri" w:hAnsiTheme="majorHAnsi"/>
          <w:b w:val="0"/>
          <w:i/>
          <w:sz w:val="24"/>
          <w:szCs w:val="24"/>
        </w:rPr>
      </w:pPr>
      <w:r>
        <w:rPr>
          <w:rFonts w:asciiTheme="majorHAnsi" w:eastAsia="Calibri" w:hAnsiTheme="majorHAnsi"/>
          <w:b w:val="0"/>
          <w:i/>
          <w:sz w:val="24"/>
          <w:szCs w:val="24"/>
        </w:rPr>
        <w:t xml:space="preserve">1. </w:t>
      </w:r>
      <w:r w:rsidR="000056B2" w:rsidRPr="008376FC">
        <w:rPr>
          <w:rFonts w:asciiTheme="majorHAnsi" w:eastAsia="Calibri" w:hAnsiTheme="majorHAnsi"/>
          <w:b w:val="0"/>
          <w:i/>
          <w:sz w:val="24"/>
          <w:szCs w:val="24"/>
        </w:rPr>
        <w:t xml:space="preserve"> Factorii de decizie au întreprins măsuri de rigoare pentru realizarea integrală a acțiunilor incluse în Planurile de acțiuni SAAS?</w:t>
      </w:r>
    </w:p>
    <w:p w:rsidR="00BE3B68" w:rsidRPr="008376FC" w:rsidRDefault="00706A8D" w:rsidP="00F61756">
      <w:pPr>
        <w:spacing w:after="0" w:line="276" w:lineRule="auto"/>
        <w:ind w:firstLine="709"/>
        <w:jc w:val="both"/>
        <w:rPr>
          <w:rFonts w:asciiTheme="majorHAnsi" w:eastAsia="Calibri" w:hAnsiTheme="majorHAnsi"/>
          <w:b w:val="0"/>
          <w:i/>
          <w:sz w:val="24"/>
          <w:szCs w:val="24"/>
        </w:rPr>
      </w:pPr>
      <w:r>
        <w:rPr>
          <w:rFonts w:asciiTheme="majorHAnsi" w:eastAsia="Calibri" w:hAnsiTheme="majorHAnsi"/>
          <w:b w:val="0"/>
          <w:i/>
          <w:sz w:val="24"/>
          <w:szCs w:val="24"/>
        </w:rPr>
        <w:t>2.</w:t>
      </w:r>
      <w:r w:rsidR="000056B2" w:rsidRPr="008376FC">
        <w:rPr>
          <w:rFonts w:asciiTheme="majorHAnsi" w:eastAsia="Calibri" w:hAnsiTheme="majorHAnsi"/>
          <w:b w:val="0"/>
          <w:i/>
          <w:sz w:val="24"/>
          <w:szCs w:val="24"/>
        </w:rPr>
        <w:t xml:space="preserve"> Investițiile efectuate din </w:t>
      </w:r>
      <w:r w:rsidR="00AB0E34">
        <w:rPr>
          <w:rFonts w:asciiTheme="majorHAnsi" w:eastAsia="Calibri" w:hAnsiTheme="majorHAnsi"/>
          <w:b w:val="0"/>
          <w:i/>
          <w:sz w:val="24"/>
          <w:szCs w:val="24"/>
        </w:rPr>
        <w:t xml:space="preserve">mijloacele </w:t>
      </w:r>
      <w:r w:rsidR="000056B2" w:rsidRPr="008376FC">
        <w:rPr>
          <w:rFonts w:asciiTheme="majorHAnsi" w:eastAsia="Calibri" w:hAnsiTheme="majorHAnsi"/>
          <w:b w:val="0"/>
          <w:i/>
          <w:sz w:val="24"/>
          <w:szCs w:val="24"/>
        </w:rPr>
        <w:t>FEN, FNRD şi FNDAMR au întrunit criteriile de eficiență, durabilitate și sustenabilitate?</w:t>
      </w:r>
    </w:p>
    <w:p w:rsidR="00BE3B68" w:rsidRPr="008376FC" w:rsidRDefault="00706A8D" w:rsidP="00F61756">
      <w:pPr>
        <w:spacing w:after="0" w:line="276" w:lineRule="auto"/>
        <w:ind w:firstLine="709"/>
        <w:jc w:val="both"/>
        <w:rPr>
          <w:rFonts w:asciiTheme="majorHAnsi" w:eastAsia="Calibri" w:hAnsiTheme="majorHAnsi"/>
          <w:b w:val="0"/>
          <w:i/>
          <w:sz w:val="24"/>
          <w:szCs w:val="24"/>
        </w:rPr>
      </w:pPr>
      <w:r>
        <w:rPr>
          <w:rFonts w:asciiTheme="majorHAnsi" w:eastAsia="Calibri" w:hAnsiTheme="majorHAnsi"/>
          <w:b w:val="0"/>
          <w:i/>
          <w:sz w:val="24"/>
          <w:szCs w:val="24"/>
        </w:rPr>
        <w:t>3.</w:t>
      </w:r>
      <w:r w:rsidR="000056B2" w:rsidRPr="008376FC">
        <w:rPr>
          <w:rFonts w:asciiTheme="majorHAnsi" w:eastAsia="Calibri" w:hAnsiTheme="majorHAnsi"/>
          <w:b w:val="0"/>
          <w:i/>
          <w:sz w:val="24"/>
          <w:szCs w:val="24"/>
        </w:rPr>
        <w:t xml:space="preserve"> Există un sistem centralizat de date care să permită evaluarea și monitorizarea situației în domeniul aprovizionării cu apă și sanitație</w:t>
      </w:r>
      <w:r w:rsidR="00CF52F9">
        <w:rPr>
          <w:rFonts w:asciiTheme="majorHAnsi" w:eastAsia="Calibri" w:hAnsiTheme="majorHAnsi"/>
          <w:b w:val="0"/>
          <w:i/>
          <w:sz w:val="24"/>
          <w:szCs w:val="24"/>
        </w:rPr>
        <w:t>i</w:t>
      </w:r>
      <w:r w:rsidR="000056B2" w:rsidRPr="008376FC">
        <w:rPr>
          <w:rFonts w:asciiTheme="majorHAnsi" w:eastAsia="Calibri" w:hAnsiTheme="majorHAnsi"/>
          <w:b w:val="0"/>
          <w:i/>
          <w:sz w:val="24"/>
          <w:szCs w:val="24"/>
        </w:rPr>
        <w:t xml:space="preserve"> a populației </w:t>
      </w:r>
      <w:r w:rsidR="000056B2" w:rsidRPr="00BD4C73">
        <w:rPr>
          <w:rFonts w:asciiTheme="majorHAnsi" w:eastAsia="Calibri" w:hAnsiTheme="majorHAnsi"/>
          <w:b w:val="0"/>
          <w:i/>
          <w:sz w:val="24"/>
          <w:szCs w:val="24"/>
        </w:rPr>
        <w:t>și</w:t>
      </w:r>
      <w:r w:rsidR="00F64216">
        <w:rPr>
          <w:rFonts w:asciiTheme="majorHAnsi" w:eastAsia="Calibri" w:hAnsiTheme="majorHAnsi"/>
          <w:b w:val="0"/>
          <w:i/>
          <w:sz w:val="24"/>
          <w:szCs w:val="24"/>
        </w:rPr>
        <w:t xml:space="preserve"> a</w:t>
      </w:r>
      <w:r w:rsidR="000056B2" w:rsidRPr="008376FC">
        <w:rPr>
          <w:rFonts w:asciiTheme="majorHAnsi" w:eastAsia="Calibri" w:hAnsiTheme="majorHAnsi"/>
          <w:b w:val="0"/>
          <w:i/>
          <w:sz w:val="24"/>
          <w:szCs w:val="24"/>
        </w:rPr>
        <w:t xml:space="preserve"> localităților din republică?</w:t>
      </w:r>
    </w:p>
    <w:p w:rsidR="00BE3B68" w:rsidRPr="008376FC" w:rsidRDefault="00706A8D" w:rsidP="00F61756">
      <w:pPr>
        <w:spacing w:after="0" w:line="276" w:lineRule="auto"/>
        <w:ind w:firstLine="709"/>
        <w:jc w:val="both"/>
        <w:rPr>
          <w:rFonts w:asciiTheme="majorHAnsi" w:eastAsia="Calibri" w:hAnsiTheme="majorHAnsi"/>
          <w:b w:val="0"/>
          <w:i/>
          <w:sz w:val="24"/>
          <w:szCs w:val="24"/>
        </w:rPr>
      </w:pPr>
      <w:r>
        <w:rPr>
          <w:rFonts w:asciiTheme="majorHAnsi" w:eastAsia="Calibri" w:hAnsiTheme="majorHAnsi"/>
          <w:b w:val="0"/>
          <w:i/>
          <w:sz w:val="24"/>
          <w:szCs w:val="24"/>
        </w:rPr>
        <w:t>4.</w:t>
      </w:r>
      <w:r w:rsidR="000056B2" w:rsidRPr="008376FC">
        <w:rPr>
          <w:rFonts w:asciiTheme="majorHAnsi" w:eastAsia="Calibri" w:hAnsiTheme="majorHAnsi"/>
          <w:b w:val="0"/>
          <w:i/>
          <w:sz w:val="24"/>
          <w:szCs w:val="24"/>
        </w:rPr>
        <w:t xml:space="preserve"> Calitatea apei potabile</w:t>
      </w:r>
      <w:r w:rsidR="00CF52F9">
        <w:rPr>
          <w:rFonts w:asciiTheme="majorHAnsi" w:eastAsia="Calibri" w:hAnsiTheme="majorHAnsi"/>
          <w:b w:val="0"/>
          <w:i/>
          <w:sz w:val="24"/>
          <w:szCs w:val="24"/>
        </w:rPr>
        <w:t>,</w:t>
      </w:r>
      <w:r w:rsidR="000056B2" w:rsidRPr="008376FC">
        <w:rPr>
          <w:rFonts w:asciiTheme="majorHAnsi" w:eastAsia="Calibri" w:hAnsiTheme="majorHAnsi"/>
          <w:b w:val="0"/>
          <w:i/>
          <w:sz w:val="24"/>
          <w:szCs w:val="24"/>
        </w:rPr>
        <w:t xml:space="preserve"> ca factor determinant al sănătății</w:t>
      </w:r>
      <w:r w:rsidR="00CF52F9">
        <w:rPr>
          <w:rFonts w:asciiTheme="majorHAnsi" w:eastAsia="Calibri" w:hAnsiTheme="majorHAnsi"/>
          <w:b w:val="0"/>
          <w:i/>
          <w:sz w:val="24"/>
          <w:szCs w:val="24"/>
        </w:rPr>
        <w:t>,</w:t>
      </w:r>
      <w:r w:rsidR="000056B2" w:rsidRPr="008376FC">
        <w:rPr>
          <w:rFonts w:asciiTheme="majorHAnsi" w:eastAsia="Calibri" w:hAnsiTheme="majorHAnsi"/>
          <w:b w:val="0"/>
          <w:i/>
          <w:sz w:val="24"/>
          <w:szCs w:val="24"/>
        </w:rPr>
        <w:t xml:space="preserve"> corespunde normativelor sanitare? </w:t>
      </w:r>
    </w:p>
    <w:p w:rsidR="00BE3B68" w:rsidRPr="008376FC" w:rsidRDefault="00706A8D" w:rsidP="00F61756">
      <w:pPr>
        <w:spacing w:after="0" w:line="276" w:lineRule="auto"/>
        <w:ind w:firstLine="709"/>
        <w:jc w:val="both"/>
        <w:rPr>
          <w:rFonts w:asciiTheme="majorHAnsi" w:eastAsia="Calibri" w:hAnsiTheme="majorHAnsi"/>
          <w:b w:val="0"/>
          <w:i/>
          <w:sz w:val="24"/>
          <w:szCs w:val="24"/>
        </w:rPr>
      </w:pPr>
      <w:r>
        <w:rPr>
          <w:rFonts w:asciiTheme="majorHAnsi" w:eastAsia="Calibri" w:hAnsiTheme="majorHAnsi"/>
          <w:b w:val="0"/>
          <w:i/>
          <w:sz w:val="24"/>
          <w:szCs w:val="24"/>
        </w:rPr>
        <w:t xml:space="preserve">5. </w:t>
      </w:r>
      <w:r w:rsidR="000056B2" w:rsidRPr="008376FC">
        <w:rPr>
          <w:rFonts w:asciiTheme="majorHAnsi" w:eastAsia="Calibri" w:hAnsiTheme="majorHAnsi"/>
          <w:b w:val="0"/>
          <w:i/>
          <w:sz w:val="24"/>
          <w:szCs w:val="24"/>
        </w:rPr>
        <w:t xml:space="preserve"> Tarifele aprobate pentru serviciile prestate de alimentare cu apă și sanitație sunt adecvate pentru a acoperi costurile aferente prestării serviciului public respectiv?  </w:t>
      </w:r>
    </w:p>
    <w:p w:rsidR="00BE3B68" w:rsidRPr="008376FC" w:rsidRDefault="00706A8D" w:rsidP="00F61756">
      <w:pPr>
        <w:tabs>
          <w:tab w:val="left" w:pos="851"/>
        </w:tabs>
        <w:spacing w:line="276" w:lineRule="auto"/>
        <w:ind w:firstLine="709"/>
        <w:jc w:val="both"/>
        <w:rPr>
          <w:rFonts w:asciiTheme="majorHAnsi" w:eastAsia="Calibri" w:hAnsiTheme="majorHAnsi"/>
          <w:b w:val="0"/>
          <w:i/>
        </w:rPr>
      </w:pPr>
      <w:r>
        <w:rPr>
          <w:rFonts w:asciiTheme="majorHAnsi" w:eastAsia="Calibri" w:hAnsiTheme="majorHAnsi"/>
          <w:b w:val="0"/>
          <w:i/>
          <w:sz w:val="24"/>
          <w:szCs w:val="24"/>
        </w:rPr>
        <w:t xml:space="preserve">6. </w:t>
      </w:r>
      <w:r w:rsidR="000056B2" w:rsidRPr="008376FC">
        <w:rPr>
          <w:rFonts w:asciiTheme="majorHAnsi" w:eastAsia="Calibri" w:hAnsiTheme="majorHAnsi"/>
          <w:b w:val="0"/>
          <w:i/>
          <w:sz w:val="24"/>
          <w:szCs w:val="24"/>
        </w:rPr>
        <w:t xml:space="preserve"> Amenzile și prejudiciile aplicate de IPM contribuie la prevenirea cazurilor de încălcare a legislației privind protecția mediului în domeniul alimentării cu apă și sanitație</w:t>
      </w:r>
      <w:r w:rsidR="00CF52F9">
        <w:rPr>
          <w:rFonts w:asciiTheme="majorHAnsi" w:eastAsia="Calibri" w:hAnsiTheme="majorHAnsi"/>
          <w:b w:val="0"/>
          <w:i/>
          <w:sz w:val="24"/>
          <w:szCs w:val="24"/>
        </w:rPr>
        <w:t>i</w:t>
      </w:r>
      <w:r w:rsidR="000056B2" w:rsidRPr="008376FC">
        <w:rPr>
          <w:rFonts w:asciiTheme="majorHAnsi" w:eastAsia="Calibri" w:hAnsiTheme="majorHAnsi"/>
          <w:b w:val="0"/>
          <w:i/>
          <w:sz w:val="24"/>
          <w:szCs w:val="24"/>
        </w:rPr>
        <w:t xml:space="preserve">? </w:t>
      </w:r>
    </w:p>
    <w:p w:rsidR="00BE3B68" w:rsidRPr="008376FC" w:rsidRDefault="000056B2" w:rsidP="00F61756">
      <w:pPr>
        <w:tabs>
          <w:tab w:val="left" w:pos="851"/>
        </w:tabs>
        <w:spacing w:line="276" w:lineRule="auto"/>
        <w:jc w:val="both"/>
        <w:rPr>
          <w:rFonts w:asciiTheme="majorHAnsi" w:hAnsiTheme="majorHAnsi" w:cstheme="majorHAnsi"/>
          <w:bCs w:val="0"/>
        </w:rPr>
      </w:pPr>
      <w:r w:rsidRPr="008376FC">
        <w:rPr>
          <w:rFonts w:asciiTheme="majorHAnsi" w:hAnsiTheme="majorHAnsi" w:cstheme="majorHAnsi"/>
          <w:b w:val="0"/>
          <w:bCs w:val="0"/>
          <w:sz w:val="24"/>
          <w:szCs w:val="24"/>
        </w:rPr>
        <w:t>Abordarea auditului a fost una combinată (mixtă), axată pe rezultate (evaluarea impactului prin prisma atingerii, în mod eficient și eficace, a rezultatelor scontate) și pe probleme (identificarea, verificarea și analiza deficiențelor care au afectat implementarea Strategiei, precum şi a întregului sector de alimentare cu apă şi sanitaţie), acordând</w:t>
      </w:r>
      <w:r w:rsidR="00CF52F9">
        <w:rPr>
          <w:rFonts w:asciiTheme="majorHAnsi" w:hAnsiTheme="majorHAnsi" w:cstheme="majorHAnsi"/>
          <w:b w:val="0"/>
          <w:bCs w:val="0"/>
          <w:sz w:val="24"/>
          <w:szCs w:val="24"/>
        </w:rPr>
        <w:t>u</w:t>
      </w:r>
      <w:r w:rsidRPr="008376FC">
        <w:rPr>
          <w:rFonts w:asciiTheme="majorHAnsi" w:hAnsiTheme="majorHAnsi" w:cstheme="majorHAnsi"/>
          <w:b w:val="0"/>
          <w:bCs w:val="0"/>
          <w:sz w:val="24"/>
          <w:szCs w:val="24"/>
        </w:rPr>
        <w:t xml:space="preserve">-se o atenție sporită modului de alocare şi utilizare a resurselor financiare conform priorităților stabilite, modului de gestionare a sectorului de alimentare cu apă şi sanitaţie şi stabilirea tarifelor pentru serviciile prestate. </w:t>
      </w:r>
    </w:p>
    <w:p w:rsidR="0096170B" w:rsidRPr="008376FC" w:rsidRDefault="0096170B" w:rsidP="00F61756">
      <w:pPr>
        <w:tabs>
          <w:tab w:val="left" w:pos="426"/>
        </w:tabs>
        <w:spacing w:before="120"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i/>
          <w:sz w:val="24"/>
          <w:szCs w:val="24"/>
        </w:rPr>
        <w:t xml:space="preserve">Domeniul de aplicare și metodologia de audit sunt </w:t>
      </w:r>
      <w:r w:rsidR="00866FB9" w:rsidRPr="008376FC">
        <w:rPr>
          <w:rFonts w:asciiTheme="majorHAnsi" w:hAnsiTheme="majorHAnsi" w:cstheme="majorHAnsi"/>
          <w:b w:val="0"/>
          <w:bCs w:val="0"/>
          <w:i/>
          <w:sz w:val="24"/>
          <w:szCs w:val="24"/>
        </w:rPr>
        <w:t>reflec</w:t>
      </w:r>
      <w:r w:rsidRPr="008376FC">
        <w:rPr>
          <w:rFonts w:asciiTheme="majorHAnsi" w:hAnsiTheme="majorHAnsi" w:cstheme="majorHAnsi"/>
          <w:b w:val="0"/>
          <w:bCs w:val="0"/>
          <w:i/>
          <w:sz w:val="24"/>
          <w:szCs w:val="24"/>
        </w:rPr>
        <w:t xml:space="preserve">tate în Anexa nr. </w:t>
      </w:r>
      <w:r w:rsidR="00383082" w:rsidRPr="008376FC">
        <w:rPr>
          <w:rFonts w:asciiTheme="majorHAnsi" w:hAnsiTheme="majorHAnsi" w:cstheme="majorHAnsi"/>
          <w:b w:val="0"/>
          <w:bCs w:val="0"/>
          <w:i/>
          <w:sz w:val="24"/>
          <w:szCs w:val="24"/>
        </w:rPr>
        <w:t xml:space="preserve">1 </w:t>
      </w:r>
      <w:r w:rsidRPr="008376FC">
        <w:rPr>
          <w:rFonts w:asciiTheme="majorHAnsi" w:hAnsiTheme="majorHAnsi" w:cstheme="majorHAnsi"/>
          <w:b w:val="0"/>
          <w:bCs w:val="0"/>
          <w:i/>
          <w:sz w:val="24"/>
          <w:szCs w:val="24"/>
        </w:rPr>
        <w:t>la prezentul Raport de audit</w:t>
      </w:r>
      <w:r w:rsidRPr="008376FC">
        <w:rPr>
          <w:rFonts w:asciiTheme="majorHAnsi" w:hAnsiTheme="majorHAnsi" w:cstheme="majorHAnsi"/>
          <w:b w:val="0"/>
          <w:bCs w:val="0"/>
          <w:sz w:val="24"/>
          <w:szCs w:val="24"/>
        </w:rPr>
        <w:t>.</w:t>
      </w:r>
    </w:p>
    <w:p w:rsidR="0096170B" w:rsidRPr="008376FC" w:rsidRDefault="0096170B" w:rsidP="00F61756">
      <w:pPr>
        <w:pStyle w:val="1"/>
        <w:spacing w:line="276" w:lineRule="auto"/>
        <w:rPr>
          <w:rFonts w:eastAsia="Calibri" w:cstheme="majorHAnsi"/>
          <w:bCs w:val="0"/>
          <w:color w:val="0070C0"/>
          <w:sz w:val="24"/>
          <w:szCs w:val="24"/>
        </w:rPr>
      </w:pPr>
      <w:bookmarkStart w:id="22" w:name="_Toc132042783"/>
      <w:bookmarkStart w:id="23" w:name="_Toc132320206"/>
      <w:r w:rsidRPr="008376FC">
        <w:rPr>
          <w:rFonts w:eastAsia="Calibri" w:cstheme="majorHAnsi"/>
          <w:bCs w:val="0"/>
          <w:color w:val="0070C0"/>
          <w:sz w:val="24"/>
          <w:szCs w:val="24"/>
        </w:rPr>
        <w:t>IV. CONSTATĂRI</w:t>
      </w:r>
      <w:bookmarkEnd w:id="22"/>
      <w:bookmarkEnd w:id="23"/>
    </w:p>
    <w:p w:rsidR="001A5B24" w:rsidRPr="008376FC" w:rsidRDefault="009520AB" w:rsidP="00F61756">
      <w:pPr>
        <w:pStyle w:val="1"/>
        <w:spacing w:line="276" w:lineRule="auto"/>
        <w:jc w:val="both"/>
        <w:rPr>
          <w:rFonts w:eastAsia="Calibri" w:cstheme="majorHAnsi"/>
          <w:bCs w:val="0"/>
          <w:color w:val="0070C0"/>
          <w:sz w:val="24"/>
          <w:szCs w:val="24"/>
        </w:rPr>
      </w:pPr>
      <w:bookmarkStart w:id="24" w:name="_Toc132042784"/>
      <w:bookmarkStart w:id="25" w:name="_Toc132320207"/>
      <w:r w:rsidRPr="008376FC">
        <w:rPr>
          <w:rFonts w:eastAsia="Calibri" w:cstheme="majorHAnsi"/>
          <w:bCs w:val="0"/>
          <w:color w:val="0070C0"/>
          <w:sz w:val="24"/>
          <w:szCs w:val="24"/>
        </w:rPr>
        <w:t>4.1.</w:t>
      </w:r>
      <w:r w:rsidR="005E0DC1" w:rsidRPr="008376FC">
        <w:rPr>
          <w:rFonts w:eastAsia="Calibri" w:cstheme="majorHAnsi"/>
          <w:bCs w:val="0"/>
          <w:color w:val="0070C0"/>
          <w:sz w:val="24"/>
          <w:szCs w:val="24"/>
        </w:rPr>
        <w:t xml:space="preserve"> </w:t>
      </w:r>
      <w:r w:rsidR="001A5B24" w:rsidRPr="008376FC">
        <w:rPr>
          <w:rFonts w:eastAsia="Calibri" w:cstheme="majorHAnsi"/>
          <w:bCs w:val="0"/>
          <w:color w:val="0070C0"/>
          <w:sz w:val="24"/>
          <w:szCs w:val="24"/>
        </w:rPr>
        <w:t>Factorii de decizie au întreprins măsuri de rigoare pentru realizarea integrală a acţiunilor incluse în Planurile de acțiuni SAAS</w:t>
      </w:r>
      <w:r w:rsidRPr="008376FC">
        <w:rPr>
          <w:rFonts w:eastAsia="Calibri" w:cstheme="majorHAnsi"/>
          <w:bCs w:val="0"/>
          <w:color w:val="0070C0"/>
          <w:sz w:val="24"/>
          <w:szCs w:val="24"/>
        </w:rPr>
        <w:t>?</w:t>
      </w:r>
      <w:bookmarkEnd w:id="24"/>
      <w:bookmarkEnd w:id="25"/>
      <w:r w:rsidR="001A5B24" w:rsidRPr="008376FC" w:rsidDel="00BF4D70">
        <w:rPr>
          <w:rFonts w:eastAsia="Calibri" w:cstheme="majorHAnsi"/>
          <w:bCs w:val="0"/>
          <w:color w:val="0070C0"/>
          <w:sz w:val="24"/>
          <w:szCs w:val="24"/>
        </w:rPr>
        <w:t xml:space="preserve"> </w:t>
      </w:r>
    </w:p>
    <w:tbl>
      <w:tblPr>
        <w:tblStyle w:val="af2"/>
        <w:tblW w:w="0" w:type="auto"/>
        <w:shd w:val="clear" w:color="auto" w:fill="BDD6EE" w:themeFill="accent1" w:themeFillTint="66"/>
        <w:tblLook w:val="04A0" w:firstRow="1" w:lastRow="0" w:firstColumn="1" w:lastColumn="0" w:noHBand="0" w:noVBand="1"/>
      </w:tblPr>
      <w:tblGrid>
        <w:gridCol w:w="9678"/>
      </w:tblGrid>
      <w:tr w:rsidR="00B869A2" w:rsidRPr="008376FC" w:rsidTr="00082F67">
        <w:tc>
          <w:tcPr>
            <w:tcW w:w="10103" w:type="dxa"/>
            <w:shd w:val="clear" w:color="auto" w:fill="BDD6EE" w:themeFill="accent1" w:themeFillTint="66"/>
          </w:tcPr>
          <w:p w:rsidR="00B869A2" w:rsidRPr="008376FC" w:rsidRDefault="000056B2" w:rsidP="00F61756">
            <w:pPr>
              <w:pStyle w:val="a3"/>
              <w:tabs>
                <w:tab w:val="left" w:pos="810"/>
              </w:tabs>
              <w:spacing w:line="276" w:lineRule="auto"/>
              <w:ind w:left="0"/>
              <w:jc w:val="both"/>
              <w:rPr>
                <w:rFonts w:asciiTheme="majorHAnsi" w:eastAsiaTheme="minorHAnsi" w:hAnsiTheme="majorHAnsi" w:cstheme="majorHAnsi"/>
                <w:bCs/>
                <w:i/>
                <w:iCs/>
                <w:lang w:val="ro-RO" w:eastAsia="en-US"/>
              </w:rPr>
            </w:pPr>
            <w:bookmarkStart w:id="26" w:name="_Toc131005347"/>
            <w:r w:rsidRPr="008376FC">
              <w:rPr>
                <w:rFonts w:asciiTheme="majorHAnsi" w:eastAsiaTheme="minorHAnsi" w:hAnsiTheme="majorHAnsi" w:cstheme="majorHAnsi"/>
                <w:bCs/>
                <w:i/>
                <w:iCs/>
                <w:lang w:val="ro-RO" w:eastAsia="en-US"/>
              </w:rPr>
              <w:t>SAAS a avut o eficienţă redusă,</w:t>
            </w:r>
            <w:r w:rsidR="00101841" w:rsidRPr="008376FC">
              <w:rPr>
                <w:rFonts w:asciiTheme="majorHAnsi" w:eastAsiaTheme="minorHAnsi" w:hAnsiTheme="majorHAnsi" w:cstheme="majorHAnsi"/>
                <w:bCs/>
                <w:i/>
                <w:iCs/>
                <w:lang w:val="ro-RO" w:eastAsia="en-US"/>
              </w:rPr>
              <w:t xml:space="preserve"> </w:t>
            </w:r>
            <w:r w:rsidR="007128F9" w:rsidRPr="008376FC">
              <w:rPr>
                <w:rFonts w:asciiTheme="majorHAnsi" w:eastAsiaTheme="minorHAnsi" w:hAnsiTheme="majorHAnsi" w:cstheme="majorHAnsi"/>
                <w:bCs/>
                <w:i/>
                <w:iCs/>
                <w:lang w:val="ro-RO" w:eastAsia="en-US"/>
              </w:rPr>
              <w:t>Planurile de acțiuni fiind implementate la nivel de 68,3% și</w:t>
            </w:r>
            <w:r w:rsidR="00CF52F9">
              <w:rPr>
                <w:rFonts w:asciiTheme="majorHAnsi" w:eastAsiaTheme="minorHAnsi" w:hAnsiTheme="majorHAnsi" w:cstheme="majorHAnsi"/>
                <w:bCs/>
                <w:i/>
                <w:iCs/>
                <w:lang w:val="ro-RO" w:eastAsia="en-US"/>
              </w:rPr>
              <w:t>,</w:t>
            </w:r>
            <w:r w:rsidR="007128F9" w:rsidRPr="008376FC">
              <w:rPr>
                <w:rFonts w:asciiTheme="majorHAnsi" w:eastAsiaTheme="minorHAnsi" w:hAnsiTheme="majorHAnsi" w:cstheme="majorHAnsi"/>
                <w:bCs/>
                <w:i/>
                <w:iCs/>
                <w:lang w:val="ro-RO" w:eastAsia="en-US"/>
              </w:rPr>
              <w:t xml:space="preserve"> respectiv</w:t>
            </w:r>
            <w:r w:rsidR="00CF52F9">
              <w:rPr>
                <w:rFonts w:asciiTheme="majorHAnsi" w:eastAsiaTheme="minorHAnsi" w:hAnsiTheme="majorHAnsi" w:cstheme="majorHAnsi"/>
                <w:bCs/>
                <w:i/>
                <w:iCs/>
                <w:lang w:val="ro-RO" w:eastAsia="en-US"/>
              </w:rPr>
              <w:t>,</w:t>
            </w:r>
            <w:r w:rsidR="007128F9" w:rsidRPr="008376FC">
              <w:rPr>
                <w:rFonts w:asciiTheme="majorHAnsi" w:eastAsiaTheme="minorHAnsi" w:hAnsiTheme="majorHAnsi" w:cstheme="majorHAnsi"/>
                <w:bCs/>
                <w:i/>
                <w:iCs/>
                <w:lang w:val="ro-RO" w:eastAsia="en-US"/>
              </w:rPr>
              <w:t xml:space="preserve"> 58,9%</w:t>
            </w:r>
            <w:r w:rsidR="0037384A" w:rsidRPr="008376FC">
              <w:rPr>
                <w:rFonts w:asciiTheme="majorHAnsi" w:eastAsiaTheme="minorHAnsi" w:hAnsiTheme="majorHAnsi" w:cstheme="majorHAnsi"/>
                <w:bCs/>
                <w:i/>
                <w:iCs/>
                <w:lang w:val="ro-RO" w:eastAsia="en-US"/>
              </w:rPr>
              <w:t>,</w:t>
            </w:r>
            <w:r w:rsidR="00101841" w:rsidRPr="008376FC">
              <w:rPr>
                <w:rFonts w:asciiTheme="majorHAnsi" w:eastAsiaTheme="minorHAnsi" w:hAnsiTheme="majorHAnsi" w:cstheme="majorHAnsi"/>
                <w:bCs/>
                <w:i/>
                <w:iCs/>
                <w:lang w:val="ro-RO" w:eastAsia="en-US"/>
              </w:rPr>
              <w:t xml:space="preserve"> </w:t>
            </w:r>
            <w:r w:rsidRPr="008376FC">
              <w:rPr>
                <w:rFonts w:asciiTheme="majorHAnsi" w:eastAsiaTheme="minorHAnsi" w:hAnsiTheme="majorHAnsi" w:cstheme="majorHAnsi"/>
                <w:bCs/>
                <w:i/>
                <w:iCs/>
                <w:lang w:val="ro-RO" w:eastAsia="en-US"/>
              </w:rPr>
              <w:t>nefiind elaborate și aprobate mecanisme corespunzătoare pentru supravegherea, gestionarea şi monitorizarea domeniului alimentării cu apă şi sanitaţie</w:t>
            </w:r>
            <w:r w:rsidR="00CF52F9">
              <w:rPr>
                <w:rFonts w:asciiTheme="majorHAnsi" w:eastAsiaTheme="minorHAnsi" w:hAnsiTheme="majorHAnsi" w:cstheme="majorHAnsi"/>
                <w:bCs/>
                <w:i/>
                <w:iCs/>
                <w:lang w:val="ro-RO" w:eastAsia="en-US"/>
              </w:rPr>
              <w:t>i</w:t>
            </w:r>
            <w:r w:rsidRPr="008376FC">
              <w:rPr>
                <w:rFonts w:asciiTheme="majorHAnsi" w:eastAsiaTheme="minorHAnsi" w:hAnsiTheme="majorHAnsi" w:cstheme="majorHAnsi"/>
                <w:bCs/>
                <w:i/>
                <w:iCs/>
                <w:lang w:val="ro-RO" w:eastAsia="en-US"/>
              </w:rPr>
              <w:t xml:space="preserve">. Totodată, deși conform actelor normative </w:t>
            </w:r>
            <w:r w:rsidR="00CF52F9">
              <w:rPr>
                <w:rFonts w:asciiTheme="majorHAnsi" w:eastAsiaTheme="minorHAnsi" w:hAnsiTheme="majorHAnsi" w:cstheme="majorHAnsi"/>
                <w:bCs/>
                <w:i/>
                <w:iCs/>
                <w:lang w:val="ro-RO" w:eastAsia="en-US"/>
              </w:rPr>
              <w:t>privind</w:t>
            </w:r>
            <w:r w:rsidR="00CF52F9" w:rsidRPr="008376FC">
              <w:rPr>
                <w:rFonts w:asciiTheme="majorHAnsi" w:eastAsiaTheme="minorHAnsi" w:hAnsiTheme="majorHAnsi" w:cstheme="majorHAnsi"/>
                <w:bCs/>
                <w:i/>
                <w:iCs/>
                <w:lang w:val="ro-RO" w:eastAsia="en-US"/>
              </w:rPr>
              <w:t xml:space="preserve"> </w:t>
            </w:r>
            <w:r w:rsidRPr="008376FC">
              <w:rPr>
                <w:rFonts w:asciiTheme="majorHAnsi" w:eastAsiaTheme="minorHAnsi" w:hAnsiTheme="majorHAnsi" w:cstheme="majorHAnsi"/>
                <w:bCs/>
                <w:i/>
                <w:iCs/>
                <w:lang w:val="ro-RO" w:eastAsia="en-US"/>
              </w:rPr>
              <w:t>politici</w:t>
            </w:r>
            <w:r w:rsidR="00CF52F9">
              <w:rPr>
                <w:rFonts w:asciiTheme="majorHAnsi" w:eastAsiaTheme="minorHAnsi" w:hAnsiTheme="majorHAnsi" w:cstheme="majorHAnsi"/>
                <w:bCs/>
                <w:i/>
                <w:iCs/>
                <w:lang w:val="ro-RO" w:eastAsia="en-US"/>
              </w:rPr>
              <w:t xml:space="preserve">le, </w:t>
            </w:r>
            <w:r w:rsidR="00CF52F9" w:rsidRPr="008376FC">
              <w:rPr>
                <w:rFonts w:asciiTheme="majorHAnsi" w:eastAsiaTheme="minorHAnsi" w:hAnsiTheme="majorHAnsi" w:cstheme="majorHAnsi"/>
                <w:bCs/>
                <w:i/>
                <w:iCs/>
                <w:lang w:val="ro-RO" w:eastAsia="en-US"/>
              </w:rPr>
              <w:t>MM/MADRM</w:t>
            </w:r>
            <w:r w:rsidRPr="008376FC">
              <w:rPr>
                <w:rFonts w:asciiTheme="majorHAnsi" w:eastAsiaTheme="minorHAnsi" w:hAnsiTheme="majorHAnsi" w:cstheme="majorHAnsi"/>
                <w:bCs/>
                <w:i/>
                <w:iCs/>
                <w:lang w:val="ro-RO" w:eastAsia="en-US"/>
              </w:rPr>
              <w:t xml:space="preserve"> </w:t>
            </w:r>
            <w:r w:rsidR="00CF52F9">
              <w:rPr>
                <w:rFonts w:asciiTheme="majorHAnsi" w:eastAsiaTheme="minorHAnsi" w:hAnsiTheme="majorHAnsi" w:cstheme="majorHAnsi"/>
                <w:bCs/>
                <w:i/>
                <w:iCs/>
                <w:lang w:val="ro-RO" w:eastAsia="en-US"/>
              </w:rPr>
              <w:t>era responsabil de</w:t>
            </w:r>
            <w:r w:rsidRPr="008376FC">
              <w:rPr>
                <w:rFonts w:asciiTheme="majorHAnsi" w:eastAsiaTheme="minorHAnsi" w:hAnsiTheme="majorHAnsi" w:cstheme="majorHAnsi"/>
                <w:bCs/>
                <w:i/>
                <w:iCs/>
                <w:lang w:val="ro-RO" w:eastAsia="en-US"/>
              </w:rPr>
              <w:t xml:space="preserve"> domeniul infrastructurii de apă și sanitație, în realitate, responsabilitatea pentru acest domeniu este una fragmentată, insuficient definită </w:t>
            </w:r>
            <w:r w:rsidR="0073192A" w:rsidRPr="008376FC">
              <w:rPr>
                <w:rFonts w:asciiTheme="majorHAnsi" w:eastAsiaTheme="minorHAnsi" w:hAnsiTheme="majorHAnsi" w:cstheme="majorHAnsi"/>
                <w:bCs/>
                <w:i/>
                <w:iCs/>
                <w:lang w:val="ro-RO" w:eastAsia="en-US"/>
              </w:rPr>
              <w:t xml:space="preserve">şi cu suprapuneri de atribuţii </w:t>
            </w:r>
            <w:r w:rsidRPr="008376FC">
              <w:rPr>
                <w:rFonts w:asciiTheme="majorHAnsi" w:eastAsiaTheme="minorHAnsi" w:hAnsiTheme="majorHAnsi" w:cstheme="majorHAnsi"/>
                <w:bCs/>
                <w:i/>
                <w:iCs/>
                <w:lang w:val="ro-RO" w:eastAsia="en-US"/>
              </w:rPr>
              <w:t>între instituţii.</w:t>
            </w:r>
            <w:bookmarkEnd w:id="26"/>
          </w:p>
        </w:tc>
      </w:tr>
    </w:tbl>
    <w:p w:rsidR="0053166E" w:rsidRPr="008376FC" w:rsidRDefault="00214863" w:rsidP="00F61756">
      <w:pPr>
        <w:spacing w:line="276" w:lineRule="auto"/>
        <w:rPr>
          <w:rFonts w:asciiTheme="majorHAnsi" w:eastAsia="Calibri" w:hAnsiTheme="majorHAnsi" w:cstheme="majorHAnsi"/>
          <w:bCs w:val="0"/>
          <w:color w:val="0070C0"/>
          <w:sz w:val="24"/>
          <w:szCs w:val="24"/>
        </w:rPr>
      </w:pPr>
      <w:r w:rsidRPr="008376FC">
        <w:rPr>
          <w:rFonts w:asciiTheme="majorHAnsi" w:eastAsia="Calibri" w:hAnsiTheme="majorHAnsi" w:cstheme="majorHAnsi"/>
          <w:bCs w:val="0"/>
          <w:color w:val="0070C0"/>
          <w:sz w:val="24"/>
          <w:szCs w:val="24"/>
        </w:rPr>
        <w:t>4</w:t>
      </w:r>
      <w:r w:rsidR="0053166E" w:rsidRPr="008376FC">
        <w:rPr>
          <w:rFonts w:asciiTheme="majorHAnsi" w:eastAsia="Calibri" w:hAnsiTheme="majorHAnsi" w:cstheme="majorHAnsi"/>
          <w:bCs w:val="0"/>
          <w:color w:val="0070C0"/>
          <w:sz w:val="24"/>
          <w:szCs w:val="24"/>
        </w:rPr>
        <w:t>.1.</w:t>
      </w:r>
      <w:r w:rsidRPr="008376FC">
        <w:rPr>
          <w:rFonts w:asciiTheme="majorHAnsi" w:eastAsia="Calibri" w:hAnsiTheme="majorHAnsi" w:cstheme="majorHAnsi"/>
          <w:bCs w:val="0"/>
          <w:color w:val="0070C0"/>
          <w:sz w:val="24"/>
          <w:szCs w:val="24"/>
        </w:rPr>
        <w:t>1.</w:t>
      </w:r>
      <w:r w:rsidR="00F9566B">
        <w:rPr>
          <w:rFonts w:asciiTheme="majorHAnsi" w:eastAsia="Calibri" w:hAnsiTheme="majorHAnsi" w:cstheme="majorHAnsi"/>
          <w:bCs w:val="0"/>
          <w:color w:val="0070C0"/>
          <w:sz w:val="24"/>
          <w:szCs w:val="24"/>
        </w:rPr>
        <w:t xml:space="preserve"> </w:t>
      </w:r>
      <w:r w:rsidRPr="008376FC">
        <w:rPr>
          <w:rFonts w:asciiTheme="majorHAnsi" w:eastAsia="Calibri" w:hAnsiTheme="majorHAnsi" w:cstheme="majorHAnsi"/>
          <w:bCs w:val="0"/>
          <w:color w:val="0070C0"/>
          <w:sz w:val="24"/>
          <w:szCs w:val="24"/>
        </w:rPr>
        <w:t xml:space="preserve"> </w:t>
      </w:r>
      <w:r w:rsidR="0053166E" w:rsidRPr="008376FC">
        <w:rPr>
          <w:rFonts w:asciiTheme="majorHAnsi" w:eastAsia="Calibri" w:hAnsiTheme="majorHAnsi" w:cstheme="majorHAnsi"/>
          <w:bCs w:val="0"/>
          <w:color w:val="0070C0"/>
          <w:sz w:val="24"/>
          <w:szCs w:val="24"/>
        </w:rPr>
        <w:t xml:space="preserve"> </w:t>
      </w:r>
      <w:r w:rsidR="00DC2AA9" w:rsidRPr="008376FC">
        <w:rPr>
          <w:rFonts w:asciiTheme="majorHAnsi" w:eastAsia="Calibri" w:hAnsiTheme="majorHAnsi" w:cstheme="majorHAnsi"/>
          <w:bCs w:val="0"/>
          <w:color w:val="0070C0"/>
          <w:sz w:val="24"/>
          <w:szCs w:val="24"/>
        </w:rPr>
        <w:t>Măsurile din Planu</w:t>
      </w:r>
      <w:r w:rsidR="00A414E5" w:rsidRPr="008376FC">
        <w:rPr>
          <w:rFonts w:asciiTheme="majorHAnsi" w:eastAsia="Calibri" w:hAnsiTheme="majorHAnsi" w:cstheme="majorHAnsi"/>
          <w:bCs w:val="0"/>
          <w:color w:val="0070C0"/>
          <w:sz w:val="24"/>
          <w:szCs w:val="24"/>
        </w:rPr>
        <w:t>rile</w:t>
      </w:r>
      <w:r w:rsidR="00DC2AA9" w:rsidRPr="008376FC">
        <w:rPr>
          <w:rFonts w:asciiTheme="majorHAnsi" w:eastAsia="Calibri" w:hAnsiTheme="majorHAnsi" w:cstheme="majorHAnsi"/>
          <w:bCs w:val="0"/>
          <w:color w:val="0070C0"/>
          <w:sz w:val="24"/>
          <w:szCs w:val="24"/>
        </w:rPr>
        <w:t xml:space="preserve"> de acțiuni privind implementarea SAAS sunt implementate parțial</w:t>
      </w:r>
      <w:r w:rsidR="00CF52F9">
        <w:rPr>
          <w:rFonts w:asciiTheme="majorHAnsi" w:eastAsia="Calibri" w:hAnsiTheme="majorHAnsi" w:cstheme="majorHAnsi"/>
          <w:bCs w:val="0"/>
          <w:color w:val="0070C0"/>
          <w:sz w:val="24"/>
          <w:szCs w:val="24"/>
        </w:rPr>
        <w:t>.</w:t>
      </w:r>
    </w:p>
    <w:p w:rsidR="0053166E" w:rsidRPr="008376FC" w:rsidRDefault="00A414E5" w:rsidP="00F61756">
      <w:pPr>
        <w:spacing w:after="0" w:line="276" w:lineRule="auto"/>
        <w:jc w:val="both"/>
        <w:rPr>
          <w:rFonts w:asciiTheme="majorHAnsi" w:eastAsia="Calibri" w:hAnsiTheme="majorHAnsi" w:cstheme="majorHAnsi"/>
          <w:b w:val="0"/>
          <w:bCs w:val="0"/>
          <w:sz w:val="24"/>
          <w:szCs w:val="24"/>
        </w:rPr>
      </w:pPr>
      <w:r w:rsidRPr="008376FC">
        <w:rPr>
          <w:rFonts w:asciiTheme="majorHAnsi" w:eastAsia="Calibri" w:hAnsiTheme="majorHAnsi" w:cstheme="majorHAnsi"/>
          <w:b w:val="0"/>
          <w:bCs w:val="0"/>
          <w:sz w:val="24"/>
          <w:szCs w:val="24"/>
        </w:rPr>
        <w:t>În scopul implementării SAAS 2014-2030</w:t>
      </w:r>
      <w:r w:rsidR="005970E7">
        <w:rPr>
          <w:rFonts w:asciiTheme="majorHAnsi" w:eastAsia="Calibri" w:hAnsiTheme="majorHAnsi" w:cstheme="majorHAnsi"/>
          <w:b w:val="0"/>
          <w:bCs w:val="0"/>
          <w:sz w:val="24"/>
          <w:szCs w:val="24"/>
        </w:rPr>
        <w:t>,</w:t>
      </w:r>
      <w:r w:rsidRPr="008376FC">
        <w:rPr>
          <w:rFonts w:asciiTheme="majorHAnsi" w:eastAsia="Calibri" w:hAnsiTheme="majorHAnsi" w:cstheme="majorHAnsi"/>
          <w:b w:val="0"/>
          <w:bCs w:val="0"/>
          <w:sz w:val="24"/>
          <w:szCs w:val="24"/>
        </w:rPr>
        <w:t xml:space="preserve"> au fost aprobate </w:t>
      </w:r>
      <w:r w:rsidR="0053166E" w:rsidRPr="008376FC">
        <w:rPr>
          <w:rFonts w:asciiTheme="majorHAnsi" w:eastAsia="Calibri" w:hAnsiTheme="majorHAnsi" w:cstheme="majorHAnsi"/>
          <w:b w:val="0"/>
          <w:bCs w:val="0"/>
          <w:sz w:val="24"/>
          <w:szCs w:val="24"/>
        </w:rPr>
        <w:t>Planul de acţiuni</w:t>
      </w:r>
      <w:r w:rsidRPr="008376FC">
        <w:rPr>
          <w:rFonts w:asciiTheme="majorHAnsi" w:eastAsia="Calibri" w:hAnsiTheme="majorHAnsi" w:cstheme="majorHAnsi"/>
          <w:b w:val="0"/>
          <w:bCs w:val="0"/>
          <w:sz w:val="24"/>
          <w:szCs w:val="24"/>
        </w:rPr>
        <w:t xml:space="preserve"> </w:t>
      </w:r>
      <w:r w:rsidR="0053166E" w:rsidRPr="008376FC">
        <w:rPr>
          <w:rFonts w:asciiTheme="majorHAnsi" w:eastAsia="Calibri" w:hAnsiTheme="majorHAnsi" w:cstheme="majorHAnsi"/>
          <w:b w:val="0"/>
          <w:bCs w:val="0"/>
          <w:sz w:val="24"/>
          <w:szCs w:val="24"/>
        </w:rPr>
        <w:t xml:space="preserve">pentru perioada 2014-2018, </w:t>
      </w:r>
      <w:r w:rsidRPr="008376FC">
        <w:rPr>
          <w:rFonts w:asciiTheme="majorHAnsi" w:eastAsia="Calibri" w:hAnsiTheme="majorHAnsi" w:cstheme="majorHAnsi"/>
          <w:b w:val="0"/>
          <w:bCs w:val="0"/>
          <w:sz w:val="24"/>
          <w:szCs w:val="24"/>
        </w:rPr>
        <w:t xml:space="preserve">care include </w:t>
      </w:r>
      <w:r w:rsidR="000954B2" w:rsidRPr="008376FC">
        <w:rPr>
          <w:rFonts w:asciiTheme="majorHAnsi" w:eastAsia="Calibri" w:hAnsiTheme="majorHAnsi" w:cstheme="majorHAnsi"/>
          <w:b w:val="0"/>
          <w:bCs w:val="0"/>
          <w:sz w:val="24"/>
          <w:szCs w:val="24"/>
        </w:rPr>
        <w:t>30</w:t>
      </w:r>
      <w:r w:rsidRPr="008376FC">
        <w:rPr>
          <w:rFonts w:asciiTheme="majorHAnsi" w:eastAsia="Calibri" w:hAnsiTheme="majorHAnsi" w:cstheme="majorHAnsi"/>
          <w:b w:val="0"/>
          <w:bCs w:val="0"/>
          <w:sz w:val="24"/>
          <w:szCs w:val="24"/>
        </w:rPr>
        <w:t xml:space="preserve"> de activități</w:t>
      </w:r>
      <w:r w:rsidR="005970E7">
        <w:rPr>
          <w:rFonts w:asciiTheme="majorHAnsi" w:eastAsia="Calibri" w:hAnsiTheme="majorHAnsi" w:cstheme="majorHAnsi"/>
          <w:b w:val="0"/>
          <w:bCs w:val="0"/>
          <w:sz w:val="24"/>
          <w:szCs w:val="24"/>
        </w:rPr>
        <w:t>,</w:t>
      </w:r>
      <w:r w:rsidRPr="008376FC">
        <w:rPr>
          <w:rFonts w:asciiTheme="majorHAnsi" w:eastAsia="Calibri" w:hAnsiTheme="majorHAnsi" w:cstheme="majorHAnsi"/>
          <w:b w:val="0"/>
          <w:bCs w:val="0"/>
          <w:sz w:val="24"/>
          <w:szCs w:val="24"/>
        </w:rPr>
        <w:t xml:space="preserve"> i</w:t>
      </w:r>
      <w:r w:rsidR="001E59C1">
        <w:rPr>
          <w:rFonts w:asciiTheme="majorHAnsi" w:eastAsia="Calibri" w:hAnsiTheme="majorHAnsi" w:cstheme="majorHAnsi"/>
          <w:b w:val="0"/>
          <w:bCs w:val="0"/>
          <w:sz w:val="24"/>
          <w:szCs w:val="24"/>
        </w:rPr>
        <w:t>ar</w:t>
      </w:r>
      <w:r w:rsidRPr="008376FC">
        <w:rPr>
          <w:rFonts w:asciiTheme="majorHAnsi" w:eastAsia="Calibri" w:hAnsiTheme="majorHAnsi" w:cstheme="majorHAnsi"/>
          <w:b w:val="0"/>
          <w:bCs w:val="0"/>
          <w:sz w:val="24"/>
          <w:szCs w:val="24"/>
        </w:rPr>
        <w:t xml:space="preserve"> </w:t>
      </w:r>
      <w:r w:rsidR="0053166E" w:rsidRPr="008376FC">
        <w:rPr>
          <w:rFonts w:asciiTheme="majorHAnsi" w:eastAsia="Calibri" w:hAnsiTheme="majorHAnsi" w:cstheme="majorHAnsi"/>
          <w:b w:val="0"/>
          <w:bCs w:val="0"/>
          <w:sz w:val="24"/>
          <w:szCs w:val="24"/>
        </w:rPr>
        <w:t>în anul 2020 a fost aprobat un nou Plan de acţiuni pentru perioada 2020-2024</w:t>
      </w:r>
      <w:r w:rsidR="000056B2" w:rsidRPr="008376FC">
        <w:rPr>
          <w:rStyle w:val="ab"/>
          <w:rFonts w:asciiTheme="majorHAnsi" w:eastAsia="Calibri" w:hAnsiTheme="majorHAnsi" w:cstheme="majorHAnsi"/>
          <w:b w:val="0"/>
          <w:bCs w:val="0"/>
          <w:sz w:val="24"/>
          <w:szCs w:val="24"/>
        </w:rPr>
        <w:footnoteReference w:id="10"/>
      </w:r>
      <w:r w:rsidRPr="008376FC">
        <w:rPr>
          <w:rFonts w:asciiTheme="majorHAnsi" w:eastAsia="Calibri" w:hAnsiTheme="majorHAnsi" w:cstheme="majorHAnsi"/>
          <w:b w:val="0"/>
          <w:bCs w:val="0"/>
          <w:sz w:val="24"/>
          <w:szCs w:val="24"/>
        </w:rPr>
        <w:t xml:space="preserve">, care include </w:t>
      </w:r>
      <w:r w:rsidR="000954B2" w:rsidRPr="008376FC">
        <w:rPr>
          <w:rFonts w:asciiTheme="majorHAnsi" w:eastAsia="Calibri" w:hAnsiTheme="majorHAnsi" w:cstheme="majorHAnsi"/>
          <w:b w:val="0"/>
          <w:bCs w:val="0"/>
          <w:sz w:val="24"/>
          <w:szCs w:val="24"/>
        </w:rPr>
        <w:t>28</w:t>
      </w:r>
      <w:r w:rsidRPr="008376FC">
        <w:rPr>
          <w:rFonts w:asciiTheme="majorHAnsi" w:eastAsia="Calibri" w:hAnsiTheme="majorHAnsi" w:cstheme="majorHAnsi"/>
          <w:b w:val="0"/>
          <w:bCs w:val="0"/>
          <w:sz w:val="24"/>
          <w:szCs w:val="24"/>
        </w:rPr>
        <w:t xml:space="preserve"> de activități. </w:t>
      </w:r>
    </w:p>
    <w:p w:rsidR="00D62905" w:rsidRPr="008376FC" w:rsidRDefault="00856316" w:rsidP="00F61756">
      <w:pPr>
        <w:spacing w:after="0" w:line="276" w:lineRule="auto"/>
        <w:jc w:val="both"/>
        <w:rPr>
          <w:rFonts w:asciiTheme="majorHAnsi" w:eastAsia="MS Mincho" w:hAnsiTheme="majorHAnsi" w:cstheme="majorHAnsi"/>
          <w:b w:val="0"/>
          <w:bCs w:val="0"/>
          <w:kern w:val="2"/>
          <w:sz w:val="24"/>
          <w:szCs w:val="24"/>
        </w:rPr>
      </w:pPr>
      <w:r w:rsidRPr="008376FC">
        <w:rPr>
          <w:rFonts w:asciiTheme="majorHAnsi" w:eastAsia="MS Mincho" w:hAnsiTheme="majorHAnsi" w:cstheme="majorHAnsi"/>
          <w:b w:val="0"/>
          <w:bCs w:val="0"/>
          <w:kern w:val="2"/>
          <w:sz w:val="24"/>
          <w:szCs w:val="24"/>
        </w:rPr>
        <w:t xml:space="preserve">Din 30 de acțiuni incluse în </w:t>
      </w:r>
      <w:r w:rsidR="00534E75" w:rsidRPr="008376FC">
        <w:rPr>
          <w:rFonts w:asciiTheme="majorHAnsi" w:eastAsia="MS Mincho" w:hAnsiTheme="majorHAnsi" w:cstheme="majorHAnsi"/>
          <w:b w:val="0"/>
          <w:bCs w:val="0"/>
          <w:kern w:val="2"/>
          <w:sz w:val="24"/>
          <w:szCs w:val="24"/>
        </w:rPr>
        <w:t>Planul de acțiuni pentru anii 2014-2018</w:t>
      </w:r>
      <w:r w:rsidRPr="008376FC">
        <w:rPr>
          <w:rFonts w:asciiTheme="majorHAnsi" w:eastAsia="MS Mincho" w:hAnsiTheme="majorHAnsi" w:cstheme="majorHAnsi"/>
          <w:b w:val="0"/>
          <w:bCs w:val="0"/>
          <w:kern w:val="2"/>
          <w:sz w:val="24"/>
          <w:szCs w:val="24"/>
        </w:rPr>
        <w:t xml:space="preserve"> au fost implementate integral 18 acțiuni, din care 15 acțiuni în termen și 3 acțiuni cu</w:t>
      </w:r>
      <w:r w:rsidR="00D62905" w:rsidRPr="008376FC">
        <w:rPr>
          <w:rFonts w:asciiTheme="majorHAnsi" w:eastAsia="MS Mincho" w:hAnsiTheme="majorHAnsi" w:cstheme="majorHAnsi"/>
          <w:b w:val="0"/>
          <w:bCs w:val="0"/>
          <w:kern w:val="2"/>
          <w:sz w:val="24"/>
          <w:szCs w:val="24"/>
        </w:rPr>
        <w:t xml:space="preserve"> </w:t>
      </w:r>
      <w:r w:rsidRPr="008376FC">
        <w:rPr>
          <w:rFonts w:asciiTheme="majorHAnsi" w:eastAsia="MS Mincho" w:hAnsiTheme="majorHAnsi" w:cstheme="majorHAnsi"/>
          <w:b w:val="0"/>
          <w:bCs w:val="0"/>
          <w:kern w:val="2"/>
          <w:sz w:val="24"/>
          <w:szCs w:val="24"/>
        </w:rPr>
        <w:t xml:space="preserve">depășirea termenului, </w:t>
      </w:r>
      <w:r w:rsidR="00D62905" w:rsidRPr="008376FC">
        <w:rPr>
          <w:rFonts w:asciiTheme="majorHAnsi" w:eastAsia="MS Mincho" w:hAnsiTheme="majorHAnsi" w:cstheme="majorHAnsi"/>
          <w:b w:val="0"/>
          <w:bCs w:val="0"/>
          <w:kern w:val="2"/>
          <w:sz w:val="24"/>
          <w:szCs w:val="24"/>
        </w:rPr>
        <w:t xml:space="preserve">parțial implementate </w:t>
      </w:r>
      <w:r w:rsidR="001E59C1">
        <w:rPr>
          <w:rFonts w:asciiTheme="majorHAnsi" w:eastAsia="MS Mincho" w:hAnsiTheme="majorHAnsi" w:cstheme="majorHAnsi"/>
          <w:b w:val="0"/>
          <w:bCs w:val="0"/>
          <w:kern w:val="2"/>
          <w:sz w:val="24"/>
          <w:szCs w:val="24"/>
        </w:rPr>
        <w:t xml:space="preserve">– </w:t>
      </w:r>
      <w:r w:rsidR="00D62905" w:rsidRPr="008376FC">
        <w:rPr>
          <w:rFonts w:asciiTheme="majorHAnsi" w:eastAsia="MS Mincho" w:hAnsiTheme="majorHAnsi" w:cstheme="majorHAnsi"/>
          <w:b w:val="0"/>
          <w:bCs w:val="0"/>
          <w:kern w:val="2"/>
          <w:sz w:val="24"/>
          <w:szCs w:val="24"/>
        </w:rPr>
        <w:t>5 acțiuni</w:t>
      </w:r>
      <w:r w:rsidR="001E59C1">
        <w:rPr>
          <w:rFonts w:asciiTheme="majorHAnsi" w:eastAsia="MS Mincho" w:hAnsiTheme="majorHAnsi" w:cstheme="majorHAnsi"/>
          <w:b w:val="0"/>
          <w:bCs w:val="0"/>
          <w:kern w:val="2"/>
          <w:sz w:val="24"/>
          <w:szCs w:val="24"/>
        </w:rPr>
        <w:t>,</w:t>
      </w:r>
      <w:r w:rsidR="00D62905" w:rsidRPr="008376FC">
        <w:rPr>
          <w:rFonts w:asciiTheme="majorHAnsi" w:eastAsia="MS Mincho" w:hAnsiTheme="majorHAnsi" w:cstheme="majorHAnsi"/>
          <w:b w:val="0"/>
          <w:bCs w:val="0"/>
          <w:kern w:val="2"/>
          <w:sz w:val="24"/>
          <w:szCs w:val="24"/>
        </w:rPr>
        <w:t xml:space="preserve"> și neimplementate </w:t>
      </w:r>
      <w:r w:rsidR="001E59C1">
        <w:rPr>
          <w:rFonts w:asciiTheme="majorHAnsi" w:eastAsia="MS Mincho" w:hAnsiTheme="majorHAnsi" w:cstheme="majorHAnsi"/>
          <w:b w:val="0"/>
          <w:bCs w:val="0"/>
          <w:kern w:val="2"/>
          <w:sz w:val="24"/>
          <w:szCs w:val="24"/>
        </w:rPr>
        <w:t xml:space="preserve">– </w:t>
      </w:r>
      <w:r w:rsidR="00D62905" w:rsidRPr="008376FC">
        <w:rPr>
          <w:rFonts w:asciiTheme="majorHAnsi" w:eastAsia="MS Mincho" w:hAnsiTheme="majorHAnsi" w:cstheme="majorHAnsi"/>
          <w:b w:val="0"/>
          <w:bCs w:val="0"/>
          <w:kern w:val="2"/>
          <w:sz w:val="24"/>
          <w:szCs w:val="24"/>
        </w:rPr>
        <w:t xml:space="preserve">7 acțiuni, </w:t>
      </w:r>
      <w:r w:rsidR="00534E75" w:rsidRPr="008376FC">
        <w:rPr>
          <w:rFonts w:asciiTheme="majorHAnsi" w:eastAsia="MS Mincho" w:hAnsiTheme="majorHAnsi" w:cstheme="majorHAnsi"/>
          <w:b w:val="0"/>
          <w:bCs w:val="0"/>
          <w:kern w:val="2"/>
          <w:sz w:val="24"/>
          <w:szCs w:val="24"/>
        </w:rPr>
        <w:t>nivel</w:t>
      </w:r>
      <w:r w:rsidR="00D62905" w:rsidRPr="008376FC">
        <w:rPr>
          <w:rFonts w:asciiTheme="majorHAnsi" w:eastAsia="MS Mincho" w:hAnsiTheme="majorHAnsi" w:cstheme="majorHAnsi"/>
          <w:b w:val="0"/>
          <w:bCs w:val="0"/>
          <w:kern w:val="2"/>
          <w:sz w:val="24"/>
          <w:szCs w:val="24"/>
        </w:rPr>
        <w:t>ul</w:t>
      </w:r>
      <w:r w:rsidR="00534E75" w:rsidRPr="008376FC">
        <w:rPr>
          <w:rFonts w:asciiTheme="majorHAnsi" w:eastAsia="MS Mincho" w:hAnsiTheme="majorHAnsi" w:cstheme="majorHAnsi"/>
          <w:b w:val="0"/>
          <w:bCs w:val="0"/>
          <w:kern w:val="2"/>
          <w:sz w:val="24"/>
          <w:szCs w:val="24"/>
        </w:rPr>
        <w:t xml:space="preserve"> de</w:t>
      </w:r>
      <w:r w:rsidR="00D62905" w:rsidRPr="008376FC">
        <w:rPr>
          <w:rFonts w:asciiTheme="majorHAnsi" w:eastAsia="MS Mincho" w:hAnsiTheme="majorHAnsi" w:cstheme="majorHAnsi"/>
          <w:b w:val="0"/>
          <w:bCs w:val="0"/>
          <w:kern w:val="2"/>
          <w:sz w:val="24"/>
          <w:szCs w:val="24"/>
        </w:rPr>
        <w:t xml:space="preserve"> implementare constituind</w:t>
      </w:r>
      <w:r w:rsidR="00534E75" w:rsidRPr="008376FC">
        <w:rPr>
          <w:rFonts w:asciiTheme="majorHAnsi" w:eastAsia="MS Mincho" w:hAnsiTheme="majorHAnsi" w:cstheme="majorHAnsi"/>
          <w:b w:val="0"/>
          <w:bCs w:val="0"/>
          <w:kern w:val="2"/>
          <w:sz w:val="24"/>
          <w:szCs w:val="24"/>
        </w:rPr>
        <w:t xml:space="preserve"> 68,3%</w:t>
      </w:r>
      <w:r w:rsidR="00D62905" w:rsidRPr="008376FC">
        <w:rPr>
          <w:rFonts w:asciiTheme="majorHAnsi" w:eastAsia="MS Mincho" w:hAnsiTheme="majorHAnsi" w:cstheme="majorHAnsi"/>
          <w:b w:val="0"/>
          <w:bCs w:val="0"/>
          <w:kern w:val="2"/>
          <w:sz w:val="24"/>
          <w:szCs w:val="24"/>
        </w:rPr>
        <w:t xml:space="preserve">. </w:t>
      </w:r>
    </w:p>
    <w:p w:rsidR="00526D0C" w:rsidRPr="008376FC" w:rsidRDefault="005970E7" w:rsidP="00F61756">
      <w:pPr>
        <w:spacing w:after="0" w:line="276" w:lineRule="auto"/>
        <w:jc w:val="both"/>
        <w:rPr>
          <w:rFonts w:asciiTheme="majorHAnsi" w:eastAsia="MS Mincho" w:hAnsiTheme="majorHAnsi" w:cstheme="majorHAnsi"/>
          <w:b w:val="0"/>
          <w:bCs w:val="0"/>
          <w:kern w:val="2"/>
          <w:sz w:val="24"/>
          <w:szCs w:val="24"/>
        </w:rPr>
      </w:pPr>
      <w:r>
        <w:rPr>
          <w:rFonts w:asciiTheme="majorHAnsi" w:eastAsia="MS Mincho" w:hAnsiTheme="majorHAnsi" w:cstheme="majorHAnsi"/>
          <w:b w:val="0"/>
          <w:bCs w:val="0"/>
          <w:kern w:val="2"/>
          <w:sz w:val="24"/>
          <w:szCs w:val="24"/>
        </w:rPr>
        <w:t>Cu referire la</w:t>
      </w:r>
      <w:r w:rsidR="00534E75" w:rsidRPr="008376FC">
        <w:rPr>
          <w:rFonts w:asciiTheme="majorHAnsi" w:eastAsia="MS Mincho" w:hAnsiTheme="majorHAnsi" w:cstheme="majorHAnsi"/>
          <w:b w:val="0"/>
          <w:bCs w:val="0"/>
          <w:kern w:val="2"/>
          <w:sz w:val="24"/>
          <w:szCs w:val="24"/>
        </w:rPr>
        <w:t xml:space="preserve"> Planul de acțiuni pentru anii 2020-2024</w:t>
      </w:r>
      <w:r w:rsidR="00D62905" w:rsidRPr="008376FC">
        <w:rPr>
          <w:rFonts w:asciiTheme="majorHAnsi" w:eastAsia="MS Mincho" w:hAnsiTheme="majorHAnsi" w:cstheme="majorHAnsi"/>
          <w:b w:val="0"/>
          <w:bCs w:val="0"/>
          <w:kern w:val="2"/>
          <w:sz w:val="24"/>
          <w:szCs w:val="24"/>
        </w:rPr>
        <w:t>, au fost implementate integral 16</w:t>
      </w:r>
      <w:r>
        <w:rPr>
          <w:rFonts w:asciiTheme="majorHAnsi" w:eastAsia="MS Mincho" w:hAnsiTheme="majorHAnsi" w:cstheme="majorHAnsi"/>
          <w:b w:val="0"/>
          <w:bCs w:val="0"/>
          <w:kern w:val="2"/>
          <w:sz w:val="24"/>
          <w:szCs w:val="24"/>
        </w:rPr>
        <w:t xml:space="preserve"> acțiuni</w:t>
      </w:r>
      <w:r w:rsidR="00526D0C" w:rsidRPr="008376FC">
        <w:rPr>
          <w:rFonts w:asciiTheme="majorHAnsi" w:eastAsia="MS Mincho" w:hAnsiTheme="majorHAnsi" w:cstheme="majorHAnsi"/>
          <w:b w:val="0"/>
          <w:bCs w:val="0"/>
          <w:kern w:val="2"/>
          <w:sz w:val="24"/>
          <w:szCs w:val="24"/>
        </w:rPr>
        <w:t xml:space="preserve">, toate fiind implementate în termen, parțial implementată </w:t>
      </w:r>
      <w:r w:rsidR="001E59C1">
        <w:rPr>
          <w:rFonts w:asciiTheme="majorHAnsi" w:eastAsia="MS Mincho" w:hAnsiTheme="majorHAnsi" w:cstheme="majorHAnsi"/>
          <w:b w:val="0"/>
          <w:bCs w:val="0"/>
          <w:kern w:val="2"/>
          <w:sz w:val="24"/>
          <w:szCs w:val="24"/>
        </w:rPr>
        <w:t>– 1</w:t>
      </w:r>
      <w:r w:rsidR="00526D0C" w:rsidRPr="008376FC">
        <w:rPr>
          <w:rFonts w:asciiTheme="majorHAnsi" w:eastAsia="MS Mincho" w:hAnsiTheme="majorHAnsi" w:cstheme="majorHAnsi"/>
          <w:b w:val="0"/>
          <w:bCs w:val="0"/>
          <w:kern w:val="2"/>
          <w:sz w:val="24"/>
          <w:szCs w:val="24"/>
        </w:rPr>
        <w:t xml:space="preserve"> acțiune</w:t>
      </w:r>
      <w:r w:rsidR="001E59C1">
        <w:rPr>
          <w:rFonts w:asciiTheme="majorHAnsi" w:eastAsia="MS Mincho" w:hAnsiTheme="majorHAnsi" w:cstheme="majorHAnsi"/>
          <w:b w:val="0"/>
          <w:bCs w:val="0"/>
          <w:kern w:val="2"/>
          <w:sz w:val="24"/>
          <w:szCs w:val="24"/>
        </w:rPr>
        <w:t>,</w:t>
      </w:r>
      <w:r w:rsidR="00526D0C" w:rsidRPr="008376FC">
        <w:rPr>
          <w:rFonts w:asciiTheme="majorHAnsi" w:eastAsia="MS Mincho" w:hAnsiTheme="majorHAnsi" w:cstheme="majorHAnsi"/>
          <w:b w:val="0"/>
          <w:bCs w:val="0"/>
          <w:kern w:val="2"/>
          <w:sz w:val="24"/>
          <w:szCs w:val="24"/>
        </w:rPr>
        <w:t xml:space="preserve"> și 6 acțiuni nu au </w:t>
      </w:r>
      <w:r w:rsidR="00BC28D6" w:rsidRPr="00481FDE">
        <w:rPr>
          <w:rFonts w:asciiTheme="majorHAnsi" w:eastAsia="MS Mincho" w:hAnsiTheme="majorHAnsi" w:cstheme="majorHAnsi"/>
          <w:b w:val="0"/>
          <w:bCs w:val="0"/>
          <w:kern w:val="2"/>
          <w:sz w:val="24"/>
          <w:szCs w:val="24"/>
        </w:rPr>
        <w:t>fost implementate</w:t>
      </w:r>
      <w:r w:rsidR="00526D0C" w:rsidRPr="00481FDE">
        <w:rPr>
          <w:rFonts w:asciiTheme="majorHAnsi" w:eastAsia="MS Mincho" w:hAnsiTheme="majorHAnsi" w:cstheme="majorHAnsi"/>
          <w:b w:val="0"/>
          <w:bCs w:val="0"/>
          <w:kern w:val="2"/>
          <w:sz w:val="24"/>
          <w:szCs w:val="24"/>
        </w:rPr>
        <w:t xml:space="preserve">, nivelul de implementare constituind </w:t>
      </w:r>
      <w:r w:rsidR="00534E75" w:rsidRPr="00481FDE">
        <w:rPr>
          <w:rFonts w:asciiTheme="majorHAnsi" w:eastAsia="MS Mincho" w:hAnsiTheme="majorHAnsi" w:cstheme="majorHAnsi"/>
          <w:b w:val="0"/>
          <w:bCs w:val="0"/>
          <w:kern w:val="2"/>
          <w:sz w:val="24"/>
          <w:szCs w:val="24"/>
        </w:rPr>
        <w:t>58,9%.</w:t>
      </w:r>
      <w:r w:rsidR="00534E75" w:rsidRPr="008376FC">
        <w:rPr>
          <w:rFonts w:asciiTheme="majorHAnsi" w:eastAsia="MS Mincho" w:hAnsiTheme="majorHAnsi" w:cstheme="majorHAnsi"/>
          <w:b w:val="0"/>
          <w:bCs w:val="0"/>
          <w:kern w:val="2"/>
          <w:sz w:val="24"/>
          <w:szCs w:val="24"/>
        </w:rPr>
        <w:t xml:space="preserve"> </w:t>
      </w:r>
    </w:p>
    <w:p w:rsidR="00D46657" w:rsidRPr="008376FC" w:rsidRDefault="00534E75" w:rsidP="00F61756">
      <w:pPr>
        <w:spacing w:after="0" w:line="276" w:lineRule="auto"/>
        <w:jc w:val="both"/>
        <w:rPr>
          <w:rFonts w:asciiTheme="majorHAnsi" w:eastAsia="MS Mincho" w:hAnsiTheme="majorHAnsi" w:cstheme="majorHAnsi"/>
          <w:b w:val="0"/>
          <w:bCs w:val="0"/>
          <w:kern w:val="2"/>
          <w:sz w:val="24"/>
          <w:szCs w:val="24"/>
        </w:rPr>
      </w:pPr>
      <w:r w:rsidRPr="008376FC">
        <w:rPr>
          <w:rFonts w:asciiTheme="majorHAnsi" w:eastAsia="MS Mincho" w:hAnsiTheme="majorHAnsi" w:cstheme="majorHAnsi"/>
          <w:b w:val="0"/>
          <w:bCs w:val="0"/>
          <w:kern w:val="2"/>
          <w:sz w:val="24"/>
          <w:szCs w:val="24"/>
        </w:rPr>
        <w:t>Analiza implementării Planurilor de acțiuni 2014-2019 și 2020-2024 denotă c</w:t>
      </w:r>
      <w:r w:rsidR="005970E7">
        <w:rPr>
          <w:rFonts w:asciiTheme="majorHAnsi" w:eastAsia="MS Mincho" w:hAnsiTheme="majorHAnsi" w:cstheme="majorHAnsi"/>
          <w:b w:val="0"/>
          <w:bCs w:val="0"/>
          <w:kern w:val="2"/>
          <w:sz w:val="24"/>
          <w:szCs w:val="24"/>
        </w:rPr>
        <w:t>ă</w:t>
      </w:r>
      <w:r w:rsidRPr="008376FC">
        <w:rPr>
          <w:rFonts w:asciiTheme="majorHAnsi" w:eastAsia="MS Mincho" w:hAnsiTheme="majorHAnsi" w:cstheme="majorHAnsi"/>
          <w:b w:val="0"/>
          <w:bCs w:val="0"/>
          <w:kern w:val="2"/>
          <w:sz w:val="24"/>
          <w:szCs w:val="24"/>
        </w:rPr>
        <w:t xml:space="preserve"> factorii de decizie (în anii 2014-2017 </w:t>
      </w:r>
      <w:r w:rsidR="005970E7">
        <w:rPr>
          <w:rFonts w:asciiTheme="majorHAnsi" w:eastAsia="MS Mincho" w:hAnsiTheme="majorHAnsi" w:cstheme="majorHAnsi"/>
          <w:b w:val="0"/>
          <w:bCs w:val="0"/>
          <w:kern w:val="2"/>
          <w:sz w:val="24"/>
          <w:szCs w:val="24"/>
        </w:rPr>
        <w:t xml:space="preserve">– </w:t>
      </w:r>
      <w:r w:rsidRPr="008376FC">
        <w:rPr>
          <w:rFonts w:asciiTheme="majorHAnsi" w:eastAsia="MS Mincho" w:hAnsiTheme="majorHAnsi" w:cstheme="majorHAnsi"/>
          <w:b w:val="0"/>
          <w:bCs w:val="0"/>
          <w:kern w:val="2"/>
          <w:sz w:val="24"/>
          <w:szCs w:val="24"/>
        </w:rPr>
        <w:t>MDRC, 2017</w:t>
      </w:r>
      <w:r w:rsidR="005970E7">
        <w:rPr>
          <w:rFonts w:asciiTheme="majorHAnsi" w:eastAsia="MS Mincho" w:hAnsiTheme="majorHAnsi" w:cstheme="majorHAnsi"/>
          <w:b w:val="0"/>
          <w:bCs w:val="0"/>
          <w:kern w:val="2"/>
          <w:sz w:val="24"/>
          <w:szCs w:val="24"/>
        </w:rPr>
        <w:t>-</w:t>
      </w:r>
      <w:r w:rsidRPr="008376FC">
        <w:rPr>
          <w:rFonts w:asciiTheme="majorHAnsi" w:eastAsia="MS Mincho" w:hAnsiTheme="majorHAnsi" w:cstheme="majorHAnsi"/>
          <w:b w:val="0"/>
          <w:bCs w:val="0"/>
          <w:kern w:val="2"/>
          <w:sz w:val="24"/>
          <w:szCs w:val="24"/>
        </w:rPr>
        <w:t xml:space="preserve">2021 </w:t>
      </w:r>
      <w:r w:rsidR="005970E7">
        <w:rPr>
          <w:rFonts w:asciiTheme="majorHAnsi" w:eastAsia="MS Mincho" w:hAnsiTheme="majorHAnsi" w:cstheme="majorHAnsi"/>
          <w:b w:val="0"/>
          <w:bCs w:val="0"/>
          <w:kern w:val="2"/>
          <w:sz w:val="24"/>
          <w:szCs w:val="24"/>
        </w:rPr>
        <w:t xml:space="preserve">– </w:t>
      </w:r>
      <w:r w:rsidRPr="008376FC">
        <w:rPr>
          <w:rFonts w:asciiTheme="majorHAnsi" w:eastAsia="MS Mincho" w:hAnsiTheme="majorHAnsi" w:cstheme="majorHAnsi"/>
          <w:b w:val="0"/>
          <w:bCs w:val="0"/>
          <w:kern w:val="2"/>
          <w:sz w:val="24"/>
          <w:szCs w:val="24"/>
        </w:rPr>
        <w:t>MADRM, 2022</w:t>
      </w:r>
      <w:r w:rsidR="005970E7">
        <w:rPr>
          <w:rFonts w:asciiTheme="majorHAnsi" w:eastAsia="MS Mincho" w:hAnsiTheme="majorHAnsi" w:cstheme="majorHAnsi"/>
          <w:b w:val="0"/>
          <w:bCs w:val="0"/>
          <w:kern w:val="2"/>
          <w:sz w:val="24"/>
          <w:szCs w:val="24"/>
        </w:rPr>
        <w:t xml:space="preserve"> –</w:t>
      </w:r>
      <w:r w:rsidRPr="008376FC">
        <w:rPr>
          <w:rFonts w:asciiTheme="majorHAnsi" w:eastAsia="MS Mincho" w:hAnsiTheme="majorHAnsi" w:cstheme="majorHAnsi"/>
          <w:b w:val="0"/>
          <w:bCs w:val="0"/>
          <w:kern w:val="2"/>
          <w:sz w:val="24"/>
          <w:szCs w:val="24"/>
        </w:rPr>
        <w:t xml:space="preserve"> MM și MIDR) nu au întreprins măsuri de rigoare suficiente și corespunzătoare pentru realizarea integrală a măsurilor incluse în Planurile de acţiuni.</w:t>
      </w:r>
    </w:p>
    <w:p w:rsidR="00BC39A5" w:rsidRPr="008376FC" w:rsidRDefault="00AB70FC" w:rsidP="00F61756">
      <w:pPr>
        <w:spacing w:after="0" w:line="276" w:lineRule="auto"/>
        <w:jc w:val="right"/>
        <w:rPr>
          <w:rFonts w:asciiTheme="majorHAnsi" w:hAnsiTheme="majorHAnsi" w:cstheme="majorHAnsi"/>
          <w:sz w:val="20"/>
          <w:szCs w:val="20"/>
        </w:rPr>
      </w:pPr>
      <w:r w:rsidRPr="008376FC">
        <w:rPr>
          <w:rFonts w:asciiTheme="majorHAnsi" w:hAnsiTheme="majorHAnsi" w:cstheme="majorHAnsi"/>
          <w:sz w:val="20"/>
          <w:szCs w:val="20"/>
        </w:rPr>
        <w:t>Tab</w:t>
      </w:r>
      <w:r w:rsidR="00BC39A5" w:rsidRPr="008376FC">
        <w:rPr>
          <w:rFonts w:asciiTheme="majorHAnsi" w:hAnsiTheme="majorHAnsi" w:cstheme="majorHAnsi"/>
          <w:sz w:val="20"/>
          <w:szCs w:val="20"/>
        </w:rPr>
        <w:t xml:space="preserve">elul nr. </w:t>
      </w:r>
      <w:r w:rsidR="00422529" w:rsidRPr="008376FC">
        <w:rPr>
          <w:rFonts w:asciiTheme="majorHAnsi" w:hAnsiTheme="majorHAnsi" w:cstheme="majorHAnsi"/>
          <w:sz w:val="20"/>
          <w:szCs w:val="20"/>
        </w:rPr>
        <w:t>1</w:t>
      </w:r>
    </w:p>
    <w:p w:rsidR="006833B0" w:rsidRPr="008376FC" w:rsidRDefault="006833B0" w:rsidP="00F61756">
      <w:pPr>
        <w:spacing w:after="0" w:line="276" w:lineRule="auto"/>
        <w:jc w:val="center"/>
        <w:rPr>
          <w:rFonts w:asciiTheme="majorHAnsi" w:hAnsiTheme="majorHAnsi" w:cstheme="majorHAnsi"/>
          <w:sz w:val="20"/>
          <w:szCs w:val="20"/>
        </w:rPr>
      </w:pPr>
      <w:r w:rsidRPr="008376FC">
        <w:rPr>
          <w:rFonts w:asciiTheme="majorHAnsi" w:hAnsiTheme="majorHAnsi" w:cstheme="majorHAnsi"/>
          <w:sz w:val="20"/>
          <w:szCs w:val="20"/>
        </w:rPr>
        <w:t>Indica</w:t>
      </w:r>
      <w:r w:rsidR="005970E7">
        <w:rPr>
          <w:rFonts w:asciiTheme="majorHAnsi" w:hAnsiTheme="majorHAnsi" w:cstheme="majorHAnsi"/>
          <w:sz w:val="20"/>
          <w:szCs w:val="20"/>
        </w:rPr>
        <w:t>to</w:t>
      </w:r>
      <w:r w:rsidRPr="008376FC">
        <w:rPr>
          <w:rFonts w:asciiTheme="majorHAnsi" w:hAnsiTheme="majorHAnsi" w:cstheme="majorHAnsi"/>
          <w:sz w:val="20"/>
          <w:szCs w:val="20"/>
        </w:rPr>
        <w:t>rii aferenți Planului de acțiuni 214-2018 și Planului de acțiuni 2020-2024</w:t>
      </w:r>
    </w:p>
    <w:tbl>
      <w:tblPr>
        <w:tblStyle w:val="af2"/>
        <w:tblW w:w="9863" w:type="dxa"/>
        <w:tblLayout w:type="fixed"/>
        <w:tblLook w:val="04A0" w:firstRow="1" w:lastRow="0" w:firstColumn="1" w:lastColumn="0" w:noHBand="0" w:noVBand="1"/>
      </w:tblPr>
      <w:tblGrid>
        <w:gridCol w:w="1929"/>
        <w:gridCol w:w="908"/>
        <w:gridCol w:w="605"/>
        <w:gridCol w:w="907"/>
        <w:gridCol w:w="1146"/>
        <w:gridCol w:w="934"/>
        <w:gridCol w:w="1006"/>
        <w:gridCol w:w="1192"/>
        <w:gridCol w:w="1236"/>
      </w:tblGrid>
      <w:tr w:rsidR="00D62905" w:rsidRPr="008376FC" w:rsidTr="00082F67">
        <w:trPr>
          <w:trHeight w:val="217"/>
        </w:trPr>
        <w:tc>
          <w:tcPr>
            <w:tcW w:w="1929"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b w:val="0"/>
                <w:sz w:val="20"/>
                <w:szCs w:val="20"/>
              </w:rPr>
            </w:pPr>
            <w:r w:rsidRPr="008376FC">
              <w:rPr>
                <w:rFonts w:asciiTheme="majorHAnsi" w:hAnsiTheme="majorHAnsi" w:cstheme="majorHAnsi"/>
                <w:sz w:val="20"/>
                <w:szCs w:val="20"/>
              </w:rPr>
              <w:t>Indicatori incluşi în Planul de acţiuni</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b w:val="0"/>
                <w:sz w:val="20"/>
                <w:szCs w:val="20"/>
              </w:rPr>
            </w:pPr>
            <w:r w:rsidRPr="008376FC">
              <w:rPr>
                <w:rFonts w:asciiTheme="majorHAnsi" w:hAnsiTheme="majorHAnsi" w:cstheme="majorHAnsi"/>
                <w:sz w:val="20"/>
                <w:szCs w:val="20"/>
              </w:rPr>
              <w:t>Nr. de acțiuni</w:t>
            </w:r>
            <w:r w:rsidR="005970E7">
              <w:rPr>
                <w:rFonts w:asciiTheme="majorHAnsi" w:hAnsiTheme="majorHAnsi" w:cstheme="majorHAnsi"/>
                <w:sz w:val="20"/>
                <w:szCs w:val="20"/>
              </w:rPr>
              <w:t>,</w:t>
            </w:r>
            <w:r w:rsidRPr="008376FC">
              <w:rPr>
                <w:rFonts w:asciiTheme="majorHAnsi" w:hAnsiTheme="majorHAnsi" w:cstheme="majorHAnsi"/>
                <w:sz w:val="20"/>
                <w:szCs w:val="20"/>
              </w:rPr>
              <w:t xml:space="preserve"> total</w:t>
            </w:r>
          </w:p>
        </w:tc>
        <w:tc>
          <w:tcPr>
            <w:tcW w:w="2658" w:type="dxa"/>
            <w:gridSpan w:val="3"/>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b w:val="0"/>
                <w:sz w:val="20"/>
                <w:szCs w:val="20"/>
              </w:rPr>
            </w:pPr>
            <w:r w:rsidRPr="008376FC">
              <w:rPr>
                <w:rFonts w:asciiTheme="majorHAnsi" w:hAnsiTheme="majorHAnsi" w:cstheme="majorHAnsi"/>
                <w:sz w:val="20"/>
                <w:szCs w:val="20"/>
              </w:rPr>
              <w:t>Implementate</w:t>
            </w:r>
          </w:p>
        </w:tc>
        <w:tc>
          <w:tcPr>
            <w:tcW w:w="934" w:type="dxa"/>
            <w:vMerge w:val="restart"/>
            <w:tcBorders>
              <w:top w:val="single" w:sz="4" w:space="0" w:color="auto"/>
              <w:left w:val="single" w:sz="4" w:space="0" w:color="auto"/>
              <w:right w:val="single" w:sz="4" w:space="0" w:color="auto"/>
            </w:tcBorders>
            <w:shd w:val="clear" w:color="auto" w:fill="BDD6EE" w:themeFill="accent1" w:themeFillTint="66"/>
          </w:tcPr>
          <w:p w:rsidR="00D62905" w:rsidRPr="008376FC" w:rsidRDefault="002473C0"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S</w:t>
            </w:r>
            <w:r w:rsidR="00FB6AA5" w:rsidRPr="008376FC">
              <w:rPr>
                <w:rFonts w:asciiTheme="majorHAnsi" w:hAnsiTheme="majorHAnsi" w:cstheme="majorHAnsi"/>
                <w:sz w:val="20"/>
                <w:szCs w:val="20"/>
              </w:rPr>
              <w:t>topate</w:t>
            </w:r>
          </w:p>
        </w:tc>
        <w:tc>
          <w:tcPr>
            <w:tcW w:w="1006" w:type="dxa"/>
            <w:vMerge w:val="restart"/>
            <w:tcBorders>
              <w:top w:val="single" w:sz="4" w:space="0" w:color="auto"/>
              <w:left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implementate parțial</w:t>
            </w:r>
          </w:p>
        </w:tc>
        <w:tc>
          <w:tcPr>
            <w:tcW w:w="1192" w:type="dxa"/>
            <w:vMerge w:val="restart"/>
            <w:tcBorders>
              <w:top w:val="single" w:sz="4" w:space="0" w:color="auto"/>
              <w:left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 xml:space="preserve">termenul de implementare încă nu </w:t>
            </w:r>
            <w:r w:rsidR="005970E7">
              <w:rPr>
                <w:rFonts w:asciiTheme="majorHAnsi" w:hAnsiTheme="majorHAnsi" w:cstheme="majorHAnsi"/>
                <w:sz w:val="20"/>
                <w:szCs w:val="20"/>
              </w:rPr>
              <w:t xml:space="preserve">a </w:t>
            </w:r>
            <w:r w:rsidRPr="008376FC">
              <w:rPr>
                <w:rFonts w:asciiTheme="majorHAnsi" w:hAnsiTheme="majorHAnsi" w:cstheme="majorHAnsi"/>
                <w:sz w:val="20"/>
                <w:szCs w:val="20"/>
              </w:rPr>
              <w:t>survenit</w:t>
            </w:r>
          </w:p>
        </w:tc>
        <w:tc>
          <w:tcPr>
            <w:tcW w:w="1236" w:type="dxa"/>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b w:val="0"/>
                <w:sz w:val="20"/>
                <w:szCs w:val="20"/>
              </w:rPr>
            </w:pPr>
            <w:r w:rsidRPr="008376FC">
              <w:rPr>
                <w:rFonts w:asciiTheme="majorHAnsi" w:hAnsiTheme="majorHAnsi" w:cstheme="majorHAnsi"/>
                <w:sz w:val="20"/>
                <w:szCs w:val="20"/>
              </w:rPr>
              <w:t>Nivelul mediu de implementare, %</w:t>
            </w:r>
          </w:p>
        </w:tc>
      </w:tr>
      <w:tr w:rsidR="00D62905" w:rsidRPr="008376FC" w:rsidTr="00082F67">
        <w:trPr>
          <w:trHeight w:val="138"/>
        </w:trPr>
        <w:tc>
          <w:tcPr>
            <w:tcW w:w="1929" w:type="dxa"/>
            <w:vMerge/>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sz w:val="20"/>
                <w:szCs w:val="20"/>
              </w:rPr>
            </w:pPr>
          </w:p>
        </w:tc>
        <w:tc>
          <w:tcPr>
            <w:tcW w:w="908" w:type="dxa"/>
            <w:vMerge/>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sz w:val="20"/>
                <w:szCs w:val="20"/>
              </w:rPr>
            </w:pPr>
          </w:p>
        </w:tc>
        <w:tc>
          <w:tcPr>
            <w:tcW w:w="6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b w:val="0"/>
                <w:sz w:val="20"/>
                <w:szCs w:val="20"/>
              </w:rPr>
            </w:pPr>
            <w:r w:rsidRPr="008376FC">
              <w:rPr>
                <w:rFonts w:asciiTheme="majorHAnsi" w:hAnsiTheme="majorHAnsi" w:cstheme="majorHAnsi"/>
                <w:sz w:val="20"/>
                <w:szCs w:val="20"/>
              </w:rPr>
              <w:t>total</w:t>
            </w:r>
          </w:p>
        </w:tc>
        <w:tc>
          <w:tcPr>
            <w:tcW w:w="90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b w:val="0"/>
                <w:sz w:val="20"/>
                <w:szCs w:val="20"/>
              </w:rPr>
            </w:pPr>
            <w:r w:rsidRPr="008376FC">
              <w:rPr>
                <w:rFonts w:asciiTheme="majorHAnsi" w:hAnsiTheme="majorHAnsi" w:cstheme="majorHAnsi"/>
                <w:sz w:val="20"/>
                <w:szCs w:val="20"/>
              </w:rPr>
              <w:t>în termen</w:t>
            </w:r>
          </w:p>
        </w:tc>
        <w:tc>
          <w:tcPr>
            <w:tcW w:w="114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b w:val="0"/>
                <w:sz w:val="20"/>
                <w:szCs w:val="20"/>
              </w:rPr>
            </w:pPr>
            <w:r w:rsidRPr="008376FC">
              <w:rPr>
                <w:rFonts w:asciiTheme="majorHAnsi" w:hAnsiTheme="majorHAnsi" w:cstheme="majorHAnsi"/>
                <w:sz w:val="20"/>
                <w:szCs w:val="20"/>
              </w:rPr>
              <w:t>cu depășirea termenului</w:t>
            </w:r>
          </w:p>
        </w:tc>
        <w:tc>
          <w:tcPr>
            <w:tcW w:w="934" w:type="dxa"/>
            <w:vMerge/>
            <w:tcBorders>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b w:val="0"/>
                <w:sz w:val="20"/>
                <w:szCs w:val="20"/>
              </w:rPr>
            </w:pPr>
          </w:p>
        </w:tc>
        <w:tc>
          <w:tcPr>
            <w:tcW w:w="1006" w:type="dxa"/>
            <w:vMerge/>
            <w:tcBorders>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sz w:val="20"/>
                <w:szCs w:val="20"/>
              </w:rPr>
            </w:pPr>
          </w:p>
        </w:tc>
        <w:tc>
          <w:tcPr>
            <w:tcW w:w="1192" w:type="dxa"/>
            <w:vMerge/>
            <w:tcBorders>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sz w:val="20"/>
                <w:szCs w:val="20"/>
              </w:rPr>
            </w:pPr>
          </w:p>
        </w:tc>
        <w:tc>
          <w:tcPr>
            <w:tcW w:w="1236" w:type="dxa"/>
            <w:vMerge/>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sz w:val="20"/>
                <w:szCs w:val="20"/>
              </w:rPr>
            </w:pPr>
          </w:p>
        </w:tc>
      </w:tr>
      <w:tr w:rsidR="00D62905" w:rsidRPr="008376FC" w:rsidTr="00082F67">
        <w:trPr>
          <w:trHeight w:val="206"/>
        </w:trPr>
        <w:tc>
          <w:tcPr>
            <w:tcW w:w="1929"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 xml:space="preserve">PA 2014-2018 </w:t>
            </w:r>
          </w:p>
        </w:tc>
        <w:tc>
          <w:tcPr>
            <w:tcW w:w="908" w:type="dxa"/>
            <w:tcBorders>
              <w:top w:val="single" w:sz="4" w:space="0" w:color="auto"/>
              <w:left w:val="single" w:sz="4" w:space="0" w:color="auto"/>
              <w:bottom w:val="single" w:sz="4" w:space="0" w:color="auto"/>
              <w:right w:val="single" w:sz="4" w:space="0" w:color="auto"/>
            </w:tcBorders>
          </w:tcPr>
          <w:p w:rsidR="00D62905" w:rsidRPr="008376FC" w:rsidRDefault="000056B2"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30</w:t>
            </w:r>
          </w:p>
        </w:tc>
        <w:tc>
          <w:tcPr>
            <w:tcW w:w="605"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18</w:t>
            </w:r>
          </w:p>
        </w:tc>
        <w:tc>
          <w:tcPr>
            <w:tcW w:w="907"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15</w:t>
            </w:r>
          </w:p>
        </w:tc>
        <w:tc>
          <w:tcPr>
            <w:tcW w:w="1146"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3</w:t>
            </w:r>
          </w:p>
        </w:tc>
        <w:tc>
          <w:tcPr>
            <w:tcW w:w="934" w:type="dxa"/>
            <w:tcBorders>
              <w:top w:val="single" w:sz="4" w:space="0" w:color="auto"/>
              <w:left w:val="single" w:sz="4" w:space="0" w:color="auto"/>
              <w:bottom w:val="single" w:sz="4" w:space="0" w:color="auto"/>
              <w:right w:val="single" w:sz="4" w:space="0" w:color="auto"/>
            </w:tcBorders>
          </w:tcPr>
          <w:p w:rsidR="00D62905" w:rsidRPr="008376FC" w:rsidRDefault="000056B2"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5</w:t>
            </w:r>
          </w:p>
        </w:tc>
        <w:tc>
          <w:tcPr>
            <w:tcW w:w="1006"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5</w:t>
            </w:r>
          </w:p>
        </w:tc>
        <w:tc>
          <w:tcPr>
            <w:tcW w:w="1192"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w:t>
            </w:r>
          </w:p>
        </w:tc>
        <w:tc>
          <w:tcPr>
            <w:tcW w:w="1236"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68,3</w:t>
            </w:r>
          </w:p>
        </w:tc>
      </w:tr>
      <w:tr w:rsidR="00D62905" w:rsidRPr="008376FC" w:rsidTr="00082F67">
        <w:trPr>
          <w:trHeight w:val="217"/>
        </w:trPr>
        <w:tc>
          <w:tcPr>
            <w:tcW w:w="1929"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PA 2020-2024</w:t>
            </w:r>
          </w:p>
        </w:tc>
        <w:tc>
          <w:tcPr>
            <w:tcW w:w="908" w:type="dxa"/>
            <w:tcBorders>
              <w:top w:val="single" w:sz="4" w:space="0" w:color="auto"/>
              <w:left w:val="single" w:sz="4" w:space="0" w:color="auto"/>
              <w:bottom w:val="single" w:sz="4" w:space="0" w:color="auto"/>
              <w:right w:val="single" w:sz="4" w:space="0" w:color="auto"/>
            </w:tcBorders>
          </w:tcPr>
          <w:p w:rsidR="00D62905" w:rsidRPr="008376FC" w:rsidRDefault="000056B2"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28</w:t>
            </w:r>
          </w:p>
        </w:tc>
        <w:tc>
          <w:tcPr>
            <w:tcW w:w="605"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16</w:t>
            </w:r>
          </w:p>
        </w:tc>
        <w:tc>
          <w:tcPr>
            <w:tcW w:w="907"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16</w:t>
            </w:r>
          </w:p>
        </w:tc>
        <w:tc>
          <w:tcPr>
            <w:tcW w:w="1146"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0</w:t>
            </w:r>
          </w:p>
        </w:tc>
        <w:tc>
          <w:tcPr>
            <w:tcW w:w="934"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6</w:t>
            </w:r>
          </w:p>
        </w:tc>
        <w:tc>
          <w:tcPr>
            <w:tcW w:w="1006"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w:t>
            </w:r>
          </w:p>
        </w:tc>
        <w:tc>
          <w:tcPr>
            <w:tcW w:w="1192"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5</w:t>
            </w:r>
          </w:p>
        </w:tc>
        <w:tc>
          <w:tcPr>
            <w:tcW w:w="1236" w:type="dxa"/>
            <w:tcBorders>
              <w:top w:val="single" w:sz="4" w:space="0" w:color="auto"/>
              <w:left w:val="single" w:sz="4" w:space="0" w:color="auto"/>
              <w:bottom w:val="single" w:sz="4" w:space="0" w:color="auto"/>
              <w:right w:val="single" w:sz="4" w:space="0" w:color="auto"/>
            </w:tcBorders>
          </w:tcPr>
          <w:p w:rsidR="00D62905" w:rsidRPr="008376FC" w:rsidRDefault="00D62905"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58,9</w:t>
            </w:r>
          </w:p>
        </w:tc>
      </w:tr>
      <w:tr w:rsidR="00D62905" w:rsidRPr="008376FC" w:rsidTr="00082F67">
        <w:trPr>
          <w:trHeight w:val="217"/>
        </w:trPr>
        <w:tc>
          <w:tcPr>
            <w:tcW w:w="1929"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b w:val="0"/>
                <w:sz w:val="20"/>
                <w:szCs w:val="20"/>
              </w:rPr>
            </w:pPr>
            <w:r w:rsidRPr="008376FC">
              <w:rPr>
                <w:rFonts w:asciiTheme="majorHAnsi" w:hAnsiTheme="majorHAnsi" w:cstheme="majorHAnsi"/>
                <w:sz w:val="20"/>
                <w:szCs w:val="20"/>
              </w:rPr>
              <w:t>Total</w:t>
            </w:r>
          </w:p>
        </w:tc>
        <w:tc>
          <w:tcPr>
            <w:tcW w:w="908"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b w:val="0"/>
                <w:sz w:val="20"/>
                <w:szCs w:val="20"/>
              </w:rPr>
            </w:pPr>
            <w:r w:rsidRPr="008376FC">
              <w:rPr>
                <w:rFonts w:asciiTheme="majorHAnsi" w:hAnsiTheme="majorHAnsi" w:cstheme="majorHAnsi"/>
                <w:sz w:val="20"/>
                <w:szCs w:val="20"/>
              </w:rPr>
              <w:t>58</w:t>
            </w:r>
          </w:p>
        </w:tc>
        <w:tc>
          <w:tcPr>
            <w:tcW w:w="60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b w:val="0"/>
                <w:sz w:val="20"/>
                <w:szCs w:val="20"/>
              </w:rPr>
            </w:pPr>
            <w:r w:rsidRPr="008376FC">
              <w:rPr>
                <w:rFonts w:asciiTheme="majorHAnsi" w:hAnsiTheme="majorHAnsi" w:cstheme="majorHAnsi"/>
                <w:sz w:val="20"/>
                <w:szCs w:val="20"/>
              </w:rPr>
              <w:t>34</w:t>
            </w:r>
          </w:p>
        </w:tc>
        <w:tc>
          <w:tcPr>
            <w:tcW w:w="907"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b w:val="0"/>
                <w:sz w:val="20"/>
                <w:szCs w:val="20"/>
              </w:rPr>
            </w:pPr>
            <w:r w:rsidRPr="008376FC">
              <w:rPr>
                <w:rFonts w:asciiTheme="majorHAnsi" w:hAnsiTheme="majorHAnsi" w:cstheme="majorHAnsi"/>
                <w:sz w:val="20"/>
                <w:szCs w:val="20"/>
              </w:rPr>
              <w:t>31</w:t>
            </w:r>
          </w:p>
        </w:tc>
        <w:tc>
          <w:tcPr>
            <w:tcW w:w="114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b w:val="0"/>
                <w:sz w:val="20"/>
                <w:szCs w:val="20"/>
              </w:rPr>
            </w:pPr>
            <w:r w:rsidRPr="008376FC">
              <w:rPr>
                <w:rFonts w:asciiTheme="majorHAnsi" w:hAnsiTheme="majorHAnsi" w:cstheme="majorHAnsi"/>
                <w:sz w:val="20"/>
                <w:szCs w:val="20"/>
              </w:rPr>
              <w:t>3</w:t>
            </w:r>
          </w:p>
        </w:tc>
        <w:tc>
          <w:tcPr>
            <w:tcW w:w="93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0056B2" w:rsidP="00F61756">
            <w:pPr>
              <w:spacing w:line="276" w:lineRule="auto"/>
              <w:jc w:val="both"/>
              <w:rPr>
                <w:rFonts w:asciiTheme="majorHAnsi" w:hAnsiTheme="majorHAnsi" w:cstheme="majorHAnsi"/>
                <w:b w:val="0"/>
                <w:sz w:val="20"/>
                <w:szCs w:val="20"/>
              </w:rPr>
            </w:pPr>
            <w:r w:rsidRPr="008376FC">
              <w:rPr>
                <w:rFonts w:asciiTheme="majorHAnsi" w:hAnsiTheme="majorHAnsi" w:cstheme="majorHAnsi"/>
                <w:sz w:val="20"/>
                <w:szCs w:val="20"/>
              </w:rPr>
              <w:t>11</w:t>
            </w:r>
          </w:p>
        </w:tc>
        <w:tc>
          <w:tcPr>
            <w:tcW w:w="100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b w:val="0"/>
                <w:sz w:val="20"/>
                <w:szCs w:val="20"/>
              </w:rPr>
            </w:pPr>
            <w:r w:rsidRPr="008376FC">
              <w:rPr>
                <w:rFonts w:asciiTheme="majorHAnsi" w:hAnsiTheme="majorHAnsi" w:cstheme="majorHAnsi"/>
                <w:sz w:val="20"/>
                <w:szCs w:val="20"/>
              </w:rPr>
              <w:t>6</w:t>
            </w:r>
          </w:p>
        </w:tc>
        <w:tc>
          <w:tcPr>
            <w:tcW w:w="1192"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5</w:t>
            </w:r>
          </w:p>
        </w:tc>
        <w:tc>
          <w:tcPr>
            <w:tcW w:w="1236"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rsidR="00D62905" w:rsidRPr="008376FC" w:rsidRDefault="00D62905" w:rsidP="00F61756">
            <w:pPr>
              <w:spacing w:line="276" w:lineRule="auto"/>
              <w:jc w:val="both"/>
              <w:rPr>
                <w:rFonts w:asciiTheme="majorHAnsi" w:hAnsiTheme="majorHAnsi" w:cstheme="majorHAnsi"/>
                <w:b w:val="0"/>
                <w:sz w:val="20"/>
                <w:szCs w:val="20"/>
              </w:rPr>
            </w:pPr>
            <w:r w:rsidRPr="008376FC">
              <w:rPr>
                <w:rFonts w:asciiTheme="majorHAnsi" w:hAnsiTheme="majorHAnsi" w:cstheme="majorHAnsi"/>
                <w:sz w:val="20"/>
                <w:szCs w:val="20"/>
              </w:rPr>
              <w:t>63,8</w:t>
            </w:r>
          </w:p>
        </w:tc>
      </w:tr>
    </w:tbl>
    <w:p w:rsidR="00D62905" w:rsidRPr="002655A6" w:rsidRDefault="00D62905" w:rsidP="00F61756">
      <w:pPr>
        <w:spacing w:before="120" w:after="0" w:line="276" w:lineRule="auto"/>
        <w:ind w:firstLine="709"/>
        <w:rPr>
          <w:rFonts w:asciiTheme="majorHAnsi" w:eastAsia="MS Mincho" w:hAnsiTheme="majorHAnsi" w:cstheme="majorHAnsi"/>
          <w:b w:val="0"/>
          <w:bCs w:val="0"/>
          <w:i/>
          <w:kern w:val="2"/>
          <w:sz w:val="20"/>
          <w:szCs w:val="20"/>
        </w:rPr>
      </w:pPr>
      <w:r w:rsidRPr="002655A6">
        <w:rPr>
          <w:rFonts w:asciiTheme="majorHAnsi" w:eastAsia="MS Mincho" w:hAnsiTheme="majorHAnsi" w:cstheme="majorHAnsi"/>
          <w:bCs w:val="0"/>
          <w:i/>
          <w:kern w:val="2"/>
          <w:sz w:val="20"/>
          <w:szCs w:val="20"/>
        </w:rPr>
        <w:t>Sursa:</w:t>
      </w:r>
      <w:r w:rsidRPr="002655A6">
        <w:rPr>
          <w:rFonts w:asciiTheme="majorHAnsi" w:eastAsia="MS Mincho" w:hAnsiTheme="majorHAnsi" w:cstheme="majorHAnsi"/>
          <w:b w:val="0"/>
          <w:bCs w:val="0"/>
          <w:i/>
          <w:kern w:val="2"/>
          <w:sz w:val="20"/>
          <w:szCs w:val="20"/>
        </w:rPr>
        <w:t xml:space="preserve"> Date </w:t>
      </w:r>
      <w:r w:rsidR="00C96A8B">
        <w:rPr>
          <w:rFonts w:asciiTheme="majorHAnsi" w:eastAsia="MS Mincho" w:hAnsiTheme="majorHAnsi" w:cstheme="majorHAnsi"/>
          <w:b w:val="0"/>
          <w:bCs w:val="0"/>
          <w:i/>
          <w:kern w:val="2"/>
          <w:sz w:val="20"/>
          <w:szCs w:val="20"/>
        </w:rPr>
        <w:t>g</w:t>
      </w:r>
      <w:r w:rsidRPr="002655A6">
        <w:rPr>
          <w:rFonts w:asciiTheme="majorHAnsi" w:eastAsia="MS Mincho" w:hAnsiTheme="majorHAnsi" w:cstheme="majorHAnsi"/>
          <w:b w:val="0"/>
          <w:bCs w:val="0"/>
          <w:i/>
          <w:kern w:val="2"/>
          <w:sz w:val="20"/>
          <w:szCs w:val="20"/>
        </w:rPr>
        <w:t>enerate de aud</w:t>
      </w:r>
      <w:r w:rsidR="005970E7" w:rsidRPr="002655A6">
        <w:rPr>
          <w:rFonts w:asciiTheme="majorHAnsi" w:eastAsia="MS Mincho" w:hAnsiTheme="majorHAnsi" w:cstheme="majorHAnsi"/>
          <w:b w:val="0"/>
          <w:bCs w:val="0"/>
          <w:i/>
          <w:kern w:val="2"/>
          <w:sz w:val="20"/>
          <w:szCs w:val="20"/>
        </w:rPr>
        <w:t>i</w:t>
      </w:r>
      <w:r w:rsidRPr="002655A6">
        <w:rPr>
          <w:rFonts w:asciiTheme="majorHAnsi" w:eastAsia="MS Mincho" w:hAnsiTheme="majorHAnsi" w:cstheme="majorHAnsi"/>
          <w:b w:val="0"/>
          <w:bCs w:val="0"/>
          <w:i/>
          <w:kern w:val="2"/>
          <w:sz w:val="20"/>
          <w:szCs w:val="20"/>
        </w:rPr>
        <w:t>t.</w:t>
      </w:r>
    </w:p>
    <w:p w:rsidR="00FD0EC9" w:rsidRPr="008376FC" w:rsidRDefault="00526D0C" w:rsidP="00F61756">
      <w:pPr>
        <w:spacing w:before="120" w:after="0" w:line="276" w:lineRule="auto"/>
        <w:ind w:firstLine="709"/>
        <w:jc w:val="both"/>
        <w:rPr>
          <w:rFonts w:asciiTheme="majorHAnsi" w:eastAsia="MS Mincho" w:hAnsiTheme="majorHAnsi" w:cstheme="majorHAnsi"/>
          <w:b w:val="0"/>
          <w:bCs w:val="0"/>
          <w:kern w:val="2"/>
          <w:sz w:val="24"/>
          <w:szCs w:val="24"/>
        </w:rPr>
      </w:pPr>
      <w:r w:rsidRPr="008376FC">
        <w:rPr>
          <w:rFonts w:asciiTheme="majorHAnsi" w:eastAsia="MS Mincho" w:hAnsiTheme="majorHAnsi" w:cstheme="majorHAnsi"/>
          <w:b w:val="0"/>
          <w:bCs w:val="0"/>
          <w:kern w:val="2"/>
          <w:sz w:val="24"/>
          <w:szCs w:val="24"/>
        </w:rPr>
        <w:t>Astfel</w:t>
      </w:r>
      <w:r w:rsidR="005970E7">
        <w:rPr>
          <w:rFonts w:asciiTheme="majorHAnsi" w:eastAsia="MS Mincho" w:hAnsiTheme="majorHAnsi" w:cstheme="majorHAnsi"/>
          <w:b w:val="0"/>
          <w:bCs w:val="0"/>
          <w:kern w:val="2"/>
          <w:sz w:val="24"/>
          <w:szCs w:val="24"/>
        </w:rPr>
        <w:t>,</w:t>
      </w:r>
    </w:p>
    <w:p w:rsidR="003857E7" w:rsidRPr="007907C4" w:rsidRDefault="005970E7" w:rsidP="00F61756">
      <w:pPr>
        <w:spacing w:before="120" w:after="0" w:line="276" w:lineRule="auto"/>
        <w:jc w:val="both"/>
        <w:rPr>
          <w:rFonts w:asciiTheme="majorHAnsi" w:eastAsia="MS Mincho" w:hAnsiTheme="majorHAnsi" w:cstheme="majorHAnsi"/>
          <w:b w:val="0"/>
          <w:bCs w:val="0"/>
          <w:kern w:val="2"/>
          <w:sz w:val="24"/>
          <w:szCs w:val="24"/>
        </w:rPr>
      </w:pPr>
      <w:r>
        <w:rPr>
          <w:rFonts w:asciiTheme="majorHAnsi" w:eastAsia="MS Mincho" w:hAnsiTheme="majorHAnsi" w:cstheme="majorHAnsi"/>
          <w:bCs w:val="0"/>
          <w:kern w:val="2"/>
          <w:sz w:val="24"/>
          <w:szCs w:val="24"/>
        </w:rPr>
        <w:t>î</w:t>
      </w:r>
      <w:r w:rsidR="000954B2" w:rsidRPr="008376FC">
        <w:rPr>
          <w:rFonts w:asciiTheme="majorHAnsi" w:eastAsia="MS Mincho" w:hAnsiTheme="majorHAnsi" w:cstheme="majorHAnsi"/>
          <w:bCs w:val="0"/>
          <w:kern w:val="2"/>
          <w:sz w:val="24"/>
          <w:szCs w:val="24"/>
        </w:rPr>
        <w:t xml:space="preserve">n </w:t>
      </w:r>
      <w:r w:rsidR="000954B2" w:rsidRPr="007907C4">
        <w:rPr>
          <w:rFonts w:asciiTheme="majorHAnsi" w:eastAsia="MS Mincho" w:hAnsiTheme="majorHAnsi" w:cstheme="majorHAnsi"/>
          <w:bCs w:val="0"/>
          <w:kern w:val="2"/>
          <w:sz w:val="24"/>
          <w:szCs w:val="24"/>
        </w:rPr>
        <w:t xml:space="preserve">cadrul implementării </w:t>
      </w:r>
      <w:r w:rsidR="003857E7" w:rsidRPr="007907C4">
        <w:rPr>
          <w:rFonts w:asciiTheme="majorHAnsi" w:eastAsia="MS Mincho" w:hAnsiTheme="majorHAnsi" w:cstheme="majorHAnsi"/>
          <w:bCs w:val="0"/>
          <w:kern w:val="2"/>
          <w:sz w:val="24"/>
          <w:szCs w:val="24"/>
        </w:rPr>
        <w:t>Planul</w:t>
      </w:r>
      <w:r w:rsidR="000954B2" w:rsidRPr="007907C4">
        <w:rPr>
          <w:rFonts w:asciiTheme="majorHAnsi" w:eastAsia="MS Mincho" w:hAnsiTheme="majorHAnsi" w:cstheme="majorHAnsi"/>
          <w:bCs w:val="0"/>
          <w:kern w:val="2"/>
          <w:sz w:val="24"/>
          <w:szCs w:val="24"/>
        </w:rPr>
        <w:t>ui</w:t>
      </w:r>
      <w:r w:rsidR="003857E7" w:rsidRPr="007907C4">
        <w:rPr>
          <w:rFonts w:asciiTheme="majorHAnsi" w:eastAsia="MS Mincho" w:hAnsiTheme="majorHAnsi" w:cstheme="majorHAnsi"/>
          <w:bCs w:val="0"/>
          <w:kern w:val="2"/>
          <w:sz w:val="24"/>
          <w:szCs w:val="24"/>
        </w:rPr>
        <w:t xml:space="preserve"> de acțiuni pentru anii 2014-2018</w:t>
      </w:r>
      <w:r w:rsidR="00526D0C" w:rsidRPr="007907C4">
        <w:rPr>
          <w:rFonts w:asciiTheme="majorHAnsi" w:eastAsia="MS Mincho" w:hAnsiTheme="majorHAnsi" w:cstheme="majorHAnsi"/>
          <w:b w:val="0"/>
          <w:bCs w:val="0"/>
          <w:kern w:val="2"/>
          <w:sz w:val="24"/>
          <w:szCs w:val="24"/>
        </w:rPr>
        <w:t>:</w:t>
      </w:r>
    </w:p>
    <w:p w:rsidR="0053166E" w:rsidRPr="00481FDE" w:rsidRDefault="00F71D79" w:rsidP="00F61756">
      <w:pPr>
        <w:pStyle w:val="a3"/>
        <w:numPr>
          <w:ilvl w:val="0"/>
          <w:numId w:val="7"/>
        </w:numPr>
        <w:tabs>
          <w:tab w:val="left" w:pos="993"/>
        </w:tabs>
        <w:spacing w:line="276" w:lineRule="auto"/>
        <w:ind w:left="0" w:firstLine="709"/>
        <w:jc w:val="both"/>
        <w:rPr>
          <w:rFonts w:asciiTheme="majorHAnsi" w:eastAsia="MS Mincho" w:hAnsiTheme="majorHAnsi" w:cstheme="majorHAnsi"/>
          <w:b/>
          <w:bCs/>
          <w:kern w:val="2"/>
          <w:lang w:val="ro-RO"/>
        </w:rPr>
      </w:pPr>
      <w:r w:rsidRPr="00481FDE">
        <w:rPr>
          <w:rFonts w:asciiTheme="majorHAnsi" w:eastAsia="MS Mincho" w:hAnsiTheme="majorHAnsi" w:cstheme="majorHAnsi"/>
          <w:kern w:val="2"/>
          <w:lang w:val="ro-RO"/>
        </w:rPr>
        <w:t>n</w:t>
      </w:r>
      <w:r w:rsidR="0053166E" w:rsidRPr="00481FDE">
        <w:rPr>
          <w:rFonts w:asciiTheme="majorHAnsi" w:eastAsia="MS Mincho" w:hAnsiTheme="majorHAnsi" w:cstheme="majorHAnsi"/>
          <w:kern w:val="2"/>
          <w:lang w:val="ro-RO"/>
        </w:rPr>
        <w:t>u a fost elaborat documentul de politici privind de</w:t>
      </w:r>
      <w:r w:rsidR="007907C4" w:rsidRPr="00481FDE">
        <w:rPr>
          <w:rFonts w:asciiTheme="majorHAnsi" w:eastAsia="MS Mincho" w:hAnsiTheme="majorHAnsi" w:cstheme="majorHAnsi"/>
          <w:kern w:val="2"/>
          <w:lang w:val="ro-RO"/>
        </w:rPr>
        <w:t>s</w:t>
      </w:r>
      <w:r w:rsidR="0053166E" w:rsidRPr="00481FDE">
        <w:rPr>
          <w:rFonts w:asciiTheme="majorHAnsi" w:eastAsia="MS Mincho" w:hAnsiTheme="majorHAnsi" w:cstheme="majorHAnsi"/>
          <w:kern w:val="2"/>
          <w:lang w:val="ro-RO"/>
        </w:rPr>
        <w:t xml:space="preserve">centralizarea în domeniul serviciilor de AAS în cadrul Programului comun de dezvoltare locală integrată (pct. 1.1 din Plan), </w:t>
      </w:r>
      <w:r w:rsidR="00BC28D6" w:rsidRPr="00481FDE">
        <w:rPr>
          <w:rFonts w:asciiTheme="majorHAnsi" w:eastAsia="MS Mincho" w:hAnsiTheme="majorHAnsi" w:cstheme="majorHAnsi"/>
          <w:kern w:val="2"/>
          <w:lang w:val="ro-RO"/>
        </w:rPr>
        <w:t>nefiind asigurată finanţarea Studiului pentru elaborarea strategiilor sectoriale în domeniul serviciilor AAS şi celor de gestionare a deşeurilor, din cauză că această acţiune este una comună cu Strategia națională de descentralizare 2012-2018</w:t>
      </w:r>
      <w:r w:rsidR="00BC28D6" w:rsidRPr="00481FDE">
        <w:rPr>
          <w:rStyle w:val="ab"/>
          <w:rFonts w:asciiTheme="majorHAnsi" w:eastAsia="MS Mincho" w:hAnsiTheme="majorHAnsi" w:cstheme="majorHAnsi"/>
          <w:bCs/>
          <w:kern w:val="2"/>
          <w:lang w:val="ro-RO"/>
        </w:rPr>
        <w:footnoteReference w:id="11"/>
      </w:r>
      <w:r w:rsidR="00BC28D6" w:rsidRPr="00481FDE">
        <w:rPr>
          <w:rFonts w:asciiTheme="majorHAnsi" w:eastAsia="MS Mincho" w:hAnsiTheme="majorHAnsi" w:cstheme="majorHAnsi"/>
          <w:kern w:val="2"/>
          <w:lang w:val="ro-RO"/>
        </w:rPr>
        <w:t xml:space="preserve">, care face parte din strategia sectorială; </w:t>
      </w:r>
    </w:p>
    <w:p w:rsidR="0053166E" w:rsidRPr="002655A6" w:rsidRDefault="007907C4" w:rsidP="00F61756">
      <w:pPr>
        <w:pStyle w:val="a3"/>
        <w:numPr>
          <w:ilvl w:val="0"/>
          <w:numId w:val="7"/>
        </w:numPr>
        <w:tabs>
          <w:tab w:val="left" w:pos="993"/>
        </w:tabs>
        <w:spacing w:line="276" w:lineRule="auto"/>
        <w:ind w:left="0" w:firstLine="709"/>
        <w:jc w:val="both"/>
        <w:rPr>
          <w:rFonts w:asciiTheme="majorHAnsi" w:eastAsia="MS Mincho" w:hAnsiTheme="majorHAnsi" w:cstheme="majorHAnsi"/>
          <w:b/>
          <w:bCs/>
          <w:kern w:val="2"/>
          <w:lang w:val="ro-RO"/>
        </w:rPr>
      </w:pPr>
      <w:r w:rsidRPr="002655A6">
        <w:rPr>
          <w:rFonts w:asciiTheme="majorHAnsi" w:eastAsia="MS Mincho" w:hAnsiTheme="majorHAnsi" w:cstheme="majorHAnsi"/>
          <w:kern w:val="2"/>
          <w:lang w:val="ro-RO"/>
        </w:rPr>
        <w:t>n</w:t>
      </w:r>
      <w:r w:rsidR="0053166E" w:rsidRPr="002655A6">
        <w:rPr>
          <w:rFonts w:asciiTheme="majorHAnsi" w:eastAsia="MS Mincho" w:hAnsiTheme="majorHAnsi" w:cstheme="majorHAnsi"/>
          <w:kern w:val="2"/>
          <w:lang w:val="ro-RO"/>
        </w:rPr>
        <w:t xml:space="preserve">u a fost creată baza de date </w:t>
      </w:r>
      <w:r w:rsidRPr="002655A6">
        <w:rPr>
          <w:rFonts w:asciiTheme="majorHAnsi" w:eastAsia="MS Mincho" w:hAnsiTheme="majorHAnsi" w:cstheme="majorHAnsi"/>
          <w:kern w:val="2"/>
          <w:lang w:val="ro-RO"/>
        </w:rPr>
        <w:t xml:space="preserve">privind </w:t>
      </w:r>
      <w:r w:rsidR="0053166E" w:rsidRPr="002655A6">
        <w:rPr>
          <w:rFonts w:asciiTheme="majorHAnsi" w:eastAsia="MS Mincho" w:hAnsiTheme="majorHAnsi" w:cstheme="majorHAnsi"/>
          <w:kern w:val="2"/>
          <w:lang w:val="ro-RO"/>
        </w:rPr>
        <w:t>management</w:t>
      </w:r>
      <w:r w:rsidRPr="002655A6">
        <w:rPr>
          <w:rFonts w:asciiTheme="majorHAnsi" w:eastAsia="MS Mincho" w:hAnsiTheme="majorHAnsi" w:cstheme="majorHAnsi"/>
          <w:kern w:val="2"/>
          <w:lang w:val="ro-RO"/>
        </w:rPr>
        <w:t>ul</w:t>
      </w:r>
      <w:r w:rsidR="0053166E" w:rsidRPr="002655A6">
        <w:rPr>
          <w:rFonts w:asciiTheme="majorHAnsi" w:eastAsia="MS Mincho" w:hAnsiTheme="majorHAnsi" w:cstheme="majorHAnsi"/>
          <w:kern w:val="2"/>
          <w:lang w:val="ro-RO"/>
        </w:rPr>
        <w:t xml:space="preserve"> sistemului informaţional pentru sectorul de alimentare cu apă și sanitație (pct. 1.11 din Plan), din cauza că</w:t>
      </w:r>
      <w:r w:rsidRPr="002655A6">
        <w:rPr>
          <w:rFonts w:asciiTheme="majorHAnsi" w:eastAsia="MS Mincho" w:hAnsiTheme="majorHAnsi" w:cstheme="majorHAnsi"/>
          <w:kern w:val="2"/>
          <w:lang w:val="ro-RO"/>
        </w:rPr>
        <w:t>,</w:t>
      </w:r>
      <w:r w:rsidR="0053166E" w:rsidRPr="002655A6">
        <w:rPr>
          <w:rFonts w:asciiTheme="majorHAnsi" w:eastAsia="MS Mincho" w:hAnsiTheme="majorHAnsi" w:cstheme="majorHAnsi"/>
          <w:kern w:val="2"/>
          <w:lang w:val="ro-RO"/>
        </w:rPr>
        <w:t xml:space="preserve"> pe parcurs, finanțarea de către donatorii externi a acestei acțiuni a fost suspendată, informațiile relevante aferente Sistemelor de AAS urmând a fi integrate în SIA „Cadastrul apelor”</w:t>
      </w:r>
      <w:r w:rsidRPr="002655A6">
        <w:rPr>
          <w:rFonts w:asciiTheme="majorHAnsi" w:eastAsia="MS Mincho" w:hAnsiTheme="majorHAnsi" w:cstheme="majorHAnsi"/>
          <w:kern w:val="2"/>
          <w:lang w:val="ro-RO"/>
        </w:rPr>
        <w:t>;</w:t>
      </w:r>
    </w:p>
    <w:p w:rsidR="00481FDE" w:rsidRPr="00481FDE" w:rsidRDefault="007907C4" w:rsidP="00F61756">
      <w:pPr>
        <w:pStyle w:val="a3"/>
        <w:numPr>
          <w:ilvl w:val="0"/>
          <w:numId w:val="7"/>
        </w:numPr>
        <w:tabs>
          <w:tab w:val="left" w:pos="993"/>
        </w:tabs>
        <w:spacing w:line="276" w:lineRule="auto"/>
        <w:ind w:left="0" w:firstLine="709"/>
        <w:jc w:val="both"/>
        <w:rPr>
          <w:rFonts w:asciiTheme="majorHAnsi" w:eastAsia="MS Mincho" w:hAnsiTheme="majorHAnsi" w:cstheme="majorHAnsi"/>
          <w:b/>
          <w:bCs/>
          <w:kern w:val="2"/>
          <w:lang w:val="ro-RO"/>
        </w:rPr>
      </w:pPr>
      <w:r w:rsidRPr="002655A6">
        <w:rPr>
          <w:rFonts w:asciiTheme="majorHAnsi" w:eastAsia="MS Mincho" w:hAnsiTheme="majorHAnsi" w:cstheme="majorHAnsi"/>
          <w:kern w:val="2"/>
          <w:lang w:val="ro-RO"/>
        </w:rPr>
        <w:t>n</w:t>
      </w:r>
      <w:r w:rsidR="0053166E" w:rsidRPr="002655A6">
        <w:rPr>
          <w:rFonts w:asciiTheme="majorHAnsi" w:eastAsia="MS Mincho" w:hAnsiTheme="majorHAnsi" w:cstheme="majorHAnsi"/>
          <w:kern w:val="2"/>
          <w:lang w:val="ro-RO"/>
        </w:rPr>
        <w:t xml:space="preserve">u a fost efectuată </w:t>
      </w:r>
      <w:r w:rsidRPr="002655A6">
        <w:rPr>
          <w:rFonts w:asciiTheme="majorHAnsi" w:eastAsia="MS Mincho" w:hAnsiTheme="majorHAnsi" w:cstheme="majorHAnsi"/>
          <w:kern w:val="2"/>
          <w:lang w:val="ro-RO"/>
        </w:rPr>
        <w:t xml:space="preserve">consolidarea </w:t>
      </w:r>
      <w:r w:rsidR="0053166E" w:rsidRPr="002655A6">
        <w:rPr>
          <w:rFonts w:asciiTheme="majorHAnsi" w:eastAsia="MS Mincho" w:hAnsiTheme="majorHAnsi" w:cstheme="majorHAnsi"/>
          <w:kern w:val="2"/>
          <w:lang w:val="ro-RO"/>
        </w:rPr>
        <w:t>capacități</w:t>
      </w:r>
      <w:r w:rsidRPr="002655A6">
        <w:rPr>
          <w:rFonts w:asciiTheme="majorHAnsi" w:eastAsia="MS Mincho" w:hAnsiTheme="majorHAnsi" w:cstheme="majorHAnsi"/>
          <w:kern w:val="2"/>
          <w:lang w:val="ro-RO"/>
        </w:rPr>
        <w:t>lor</w:t>
      </w:r>
      <w:r w:rsidR="0053166E" w:rsidRPr="002655A6">
        <w:rPr>
          <w:rFonts w:asciiTheme="majorHAnsi" w:eastAsia="MS Mincho" w:hAnsiTheme="majorHAnsi" w:cstheme="majorHAnsi"/>
          <w:kern w:val="2"/>
          <w:lang w:val="ro-RO"/>
        </w:rPr>
        <w:t xml:space="preserve"> autorităților competente și instruirea personalului pentru toate etapele ciclului unui proiect de AAS (pct.1.13 din Plan)</w:t>
      </w:r>
      <w:r w:rsidR="00FB6AA5" w:rsidRPr="002655A6">
        <w:rPr>
          <w:rFonts w:asciiTheme="majorHAnsi" w:eastAsia="MS Mincho" w:hAnsiTheme="majorHAnsi" w:cstheme="majorHAnsi"/>
          <w:kern w:val="2"/>
          <w:lang w:val="ro-RO"/>
        </w:rPr>
        <w:t>. C</w:t>
      </w:r>
      <w:r w:rsidR="0053166E" w:rsidRPr="002655A6">
        <w:rPr>
          <w:rFonts w:asciiTheme="majorHAnsi" w:eastAsia="MS Mincho" w:hAnsiTheme="majorHAnsi" w:cstheme="majorHAnsi"/>
          <w:kern w:val="2"/>
          <w:lang w:val="ro-RO"/>
        </w:rPr>
        <w:t>onform explicațiilor factorilor de decizie din cadrul MM (fostul MADRM), cauza neimplementării acțiunii a fost lipsa finanțării externe</w:t>
      </w:r>
      <w:r w:rsidR="00F3174F" w:rsidRPr="002655A6">
        <w:rPr>
          <w:rFonts w:asciiTheme="majorHAnsi" w:eastAsia="MS Mincho" w:hAnsiTheme="majorHAnsi" w:cstheme="majorHAnsi"/>
          <w:kern w:val="2"/>
          <w:lang w:val="ro-RO"/>
        </w:rPr>
        <w:t>, totodată, unele instruiri au fost efectuate prin intermediul proiectelor de asistență tehnică. În cadrul proiectului susținut de SDC/ADA „Consolidarea capacităților instituționale”</w:t>
      </w:r>
      <w:r w:rsidRPr="002655A6">
        <w:rPr>
          <w:rFonts w:asciiTheme="majorHAnsi" w:eastAsia="MS Mincho" w:hAnsiTheme="majorHAnsi" w:cstheme="majorHAnsi"/>
          <w:kern w:val="2"/>
          <w:lang w:val="ro-RO"/>
        </w:rPr>
        <w:t>,</w:t>
      </w:r>
      <w:r w:rsidR="00F3174F" w:rsidRPr="002655A6">
        <w:rPr>
          <w:rFonts w:asciiTheme="majorHAnsi" w:eastAsia="MS Mincho" w:hAnsiTheme="majorHAnsi" w:cstheme="majorHAnsi"/>
          <w:kern w:val="2"/>
          <w:lang w:val="ro-RO"/>
        </w:rPr>
        <w:t xml:space="preserve"> a fost stabilită o platformă de colaborare cu Universitatea Tehnică din Moldova și au fost efectuate mai multe runde de instruiri. La fel</w:t>
      </w:r>
      <w:r w:rsidRPr="002655A6">
        <w:rPr>
          <w:rFonts w:asciiTheme="majorHAnsi" w:eastAsia="MS Mincho" w:hAnsiTheme="majorHAnsi" w:cstheme="majorHAnsi"/>
          <w:kern w:val="2"/>
          <w:lang w:val="ro-RO"/>
        </w:rPr>
        <w:t>,</w:t>
      </w:r>
      <w:r w:rsidR="00F3174F" w:rsidRPr="002655A6">
        <w:rPr>
          <w:rFonts w:asciiTheme="majorHAnsi" w:eastAsia="MS Mincho" w:hAnsiTheme="majorHAnsi" w:cstheme="majorHAnsi"/>
          <w:kern w:val="2"/>
          <w:lang w:val="ro-RO"/>
        </w:rPr>
        <w:t xml:space="preserve"> și GIZ în cadrul proiectului „Modernizarea serviciilor publice locale” au desfășurat </w:t>
      </w:r>
      <w:r w:rsidR="000056B2" w:rsidRPr="002655A6">
        <w:rPr>
          <w:rFonts w:asciiTheme="majorHAnsi" w:eastAsia="MS Mincho" w:hAnsiTheme="majorHAnsi" w:cstheme="majorHAnsi"/>
          <w:kern w:val="2"/>
          <w:lang w:val="ro-RO"/>
        </w:rPr>
        <w:t>instruiri, inclusiv cu implicarea Asociaţi</w:t>
      </w:r>
      <w:r w:rsidRPr="002655A6">
        <w:rPr>
          <w:rFonts w:asciiTheme="majorHAnsi" w:eastAsia="MS Mincho" w:hAnsiTheme="majorHAnsi" w:cstheme="majorHAnsi"/>
          <w:kern w:val="2"/>
          <w:lang w:val="ro-RO"/>
        </w:rPr>
        <w:t>ei</w:t>
      </w:r>
      <w:r w:rsidR="000056B2" w:rsidRPr="002655A6">
        <w:rPr>
          <w:rFonts w:asciiTheme="majorHAnsi" w:eastAsia="MS Mincho" w:hAnsiTheme="majorHAnsi" w:cstheme="majorHAnsi"/>
          <w:kern w:val="2"/>
          <w:lang w:val="ro-RO"/>
        </w:rPr>
        <w:t xml:space="preserve"> </w:t>
      </w:r>
      <w:r w:rsidR="004B6519" w:rsidRPr="002655A6">
        <w:rPr>
          <w:rFonts w:asciiTheme="majorHAnsi" w:eastAsia="MS Mincho" w:hAnsiTheme="majorHAnsi" w:cstheme="majorHAnsi"/>
          <w:kern w:val="2"/>
          <w:lang w:val="ro-RO"/>
        </w:rPr>
        <w:t>„</w:t>
      </w:r>
      <w:r w:rsidR="000056B2" w:rsidRPr="002655A6">
        <w:rPr>
          <w:rFonts w:asciiTheme="majorHAnsi" w:eastAsia="MS Mincho" w:hAnsiTheme="majorHAnsi" w:cstheme="majorHAnsi"/>
          <w:kern w:val="2"/>
          <w:lang w:val="ro-RO"/>
        </w:rPr>
        <w:t>M</w:t>
      </w:r>
      <w:r w:rsidR="004B6519" w:rsidRPr="002655A6">
        <w:rPr>
          <w:rFonts w:asciiTheme="majorHAnsi" w:eastAsia="MS Mincho" w:hAnsiTheme="majorHAnsi" w:cstheme="majorHAnsi"/>
          <w:kern w:val="2"/>
          <w:lang w:val="ro-RO"/>
        </w:rPr>
        <w:t xml:space="preserve">oldova </w:t>
      </w:r>
      <w:r w:rsidR="000056B2" w:rsidRPr="002655A6">
        <w:rPr>
          <w:rFonts w:asciiTheme="majorHAnsi" w:eastAsia="MS Mincho" w:hAnsiTheme="majorHAnsi" w:cstheme="majorHAnsi"/>
          <w:kern w:val="2"/>
          <w:lang w:val="ro-RO"/>
        </w:rPr>
        <w:t>A</w:t>
      </w:r>
      <w:r w:rsidR="004B6519" w:rsidRPr="002655A6">
        <w:rPr>
          <w:rFonts w:asciiTheme="majorHAnsi" w:eastAsia="MS Mincho" w:hAnsiTheme="majorHAnsi" w:cstheme="majorHAnsi"/>
          <w:kern w:val="2"/>
          <w:lang w:val="ro-RO"/>
        </w:rPr>
        <w:t>pă-</w:t>
      </w:r>
      <w:r w:rsidR="000056B2" w:rsidRPr="002655A6">
        <w:rPr>
          <w:rFonts w:asciiTheme="majorHAnsi" w:eastAsia="MS Mincho" w:hAnsiTheme="majorHAnsi" w:cstheme="majorHAnsi"/>
          <w:kern w:val="2"/>
          <w:lang w:val="ro-RO"/>
        </w:rPr>
        <w:t>C</w:t>
      </w:r>
      <w:r w:rsidR="004B6519" w:rsidRPr="002655A6">
        <w:rPr>
          <w:rFonts w:asciiTheme="majorHAnsi" w:eastAsia="MS Mincho" w:hAnsiTheme="majorHAnsi" w:cstheme="majorHAnsi"/>
          <w:kern w:val="2"/>
          <w:lang w:val="ro-RO"/>
        </w:rPr>
        <w:t>anal”</w:t>
      </w:r>
      <w:r w:rsidRPr="002655A6">
        <w:rPr>
          <w:rFonts w:asciiTheme="majorHAnsi" w:eastAsia="MS Mincho" w:hAnsiTheme="majorHAnsi" w:cstheme="majorHAnsi"/>
          <w:kern w:val="2"/>
          <w:lang w:val="ro-RO"/>
        </w:rPr>
        <w:t>;</w:t>
      </w:r>
    </w:p>
    <w:p w:rsidR="0053166E" w:rsidRPr="00481FDE" w:rsidRDefault="007907C4" w:rsidP="00F61756">
      <w:pPr>
        <w:pStyle w:val="a3"/>
        <w:numPr>
          <w:ilvl w:val="0"/>
          <w:numId w:val="7"/>
        </w:numPr>
        <w:tabs>
          <w:tab w:val="left" w:pos="993"/>
        </w:tabs>
        <w:spacing w:line="276" w:lineRule="auto"/>
        <w:ind w:left="0" w:firstLine="709"/>
        <w:jc w:val="both"/>
        <w:rPr>
          <w:rFonts w:asciiTheme="majorHAnsi" w:eastAsia="MS Mincho" w:hAnsiTheme="majorHAnsi" w:cstheme="majorHAnsi"/>
          <w:b/>
          <w:bCs/>
          <w:kern w:val="2"/>
          <w:lang w:val="ro-RO"/>
        </w:rPr>
      </w:pPr>
      <w:r w:rsidRPr="00481FDE">
        <w:rPr>
          <w:rFonts w:asciiTheme="majorHAnsi" w:eastAsia="MS Mincho" w:hAnsiTheme="majorHAnsi" w:cstheme="majorHAnsi"/>
          <w:kern w:val="2"/>
          <w:lang w:val="ro-RO"/>
        </w:rPr>
        <w:t>n</w:t>
      </w:r>
      <w:r w:rsidR="0053166E" w:rsidRPr="00481FDE">
        <w:rPr>
          <w:rFonts w:asciiTheme="majorHAnsi" w:eastAsia="MS Mincho" w:hAnsiTheme="majorHAnsi" w:cstheme="majorHAnsi"/>
          <w:kern w:val="2"/>
          <w:lang w:val="ro-RO"/>
        </w:rPr>
        <w:t>u a fost elaborată documentația tehnică a proiectului de parteneriat public</w:t>
      </w:r>
      <w:r w:rsidRPr="00481FDE">
        <w:rPr>
          <w:rFonts w:asciiTheme="majorHAnsi" w:eastAsia="MS Mincho" w:hAnsiTheme="majorHAnsi" w:cstheme="majorHAnsi"/>
          <w:kern w:val="2"/>
          <w:lang w:val="ro-RO"/>
        </w:rPr>
        <w:t>-</w:t>
      </w:r>
      <w:r w:rsidR="0053166E" w:rsidRPr="00481FDE">
        <w:rPr>
          <w:rFonts w:asciiTheme="majorHAnsi" w:eastAsia="MS Mincho" w:hAnsiTheme="majorHAnsi" w:cstheme="majorHAnsi"/>
          <w:kern w:val="2"/>
          <w:lang w:val="ro-RO"/>
        </w:rPr>
        <w:t xml:space="preserve">privat pentru regiunile Nord și Centru (pct.2.2 din Plan), cauza fiind stoparea finanțării externe </w:t>
      </w:r>
      <w:r w:rsidR="00331DE4" w:rsidRPr="00481FDE">
        <w:rPr>
          <w:rFonts w:asciiTheme="majorHAnsi" w:eastAsia="MS Mincho" w:hAnsiTheme="majorHAnsi" w:cstheme="majorHAnsi"/>
          <w:kern w:val="2"/>
          <w:lang w:val="ro-RO"/>
        </w:rPr>
        <w:t>a</w:t>
      </w:r>
      <w:r w:rsidR="0053166E" w:rsidRPr="00481FDE">
        <w:rPr>
          <w:rFonts w:asciiTheme="majorHAnsi" w:eastAsia="MS Mincho" w:hAnsiTheme="majorHAnsi" w:cstheme="majorHAnsi"/>
          <w:kern w:val="2"/>
          <w:lang w:val="ro-RO"/>
        </w:rPr>
        <w:t xml:space="preserve"> Proiectul</w:t>
      </w:r>
      <w:r w:rsidR="00331DE4" w:rsidRPr="00481FDE">
        <w:rPr>
          <w:rFonts w:asciiTheme="majorHAnsi" w:eastAsia="MS Mincho" w:hAnsiTheme="majorHAnsi" w:cstheme="majorHAnsi"/>
          <w:kern w:val="2"/>
          <w:lang w:val="ro-RO"/>
        </w:rPr>
        <w:t>ui</w:t>
      </w:r>
      <w:r w:rsidR="0053166E" w:rsidRPr="00481FDE">
        <w:rPr>
          <w:rFonts w:asciiTheme="majorHAnsi" w:eastAsia="MS Mincho" w:hAnsiTheme="majorHAnsi" w:cstheme="majorHAnsi"/>
          <w:kern w:val="2"/>
          <w:lang w:val="ro-RO"/>
        </w:rPr>
        <w:t xml:space="preserve"> „Apa nord Moldova”, cu acordul Guvernului, ca urmare a neexecutării unor condiționalități</w:t>
      </w:r>
      <w:r w:rsidRPr="00481FDE">
        <w:rPr>
          <w:rFonts w:asciiTheme="majorHAnsi" w:eastAsia="MS Mincho" w:hAnsiTheme="majorHAnsi" w:cstheme="majorHAnsi"/>
          <w:kern w:val="2"/>
          <w:lang w:val="ro-RO"/>
        </w:rPr>
        <w:t>;</w:t>
      </w:r>
    </w:p>
    <w:p w:rsidR="0053166E" w:rsidRPr="00481FDE" w:rsidRDefault="007907C4" w:rsidP="00F61756">
      <w:pPr>
        <w:pStyle w:val="a3"/>
        <w:numPr>
          <w:ilvl w:val="0"/>
          <w:numId w:val="7"/>
        </w:numPr>
        <w:tabs>
          <w:tab w:val="left" w:pos="993"/>
        </w:tabs>
        <w:spacing w:line="276" w:lineRule="auto"/>
        <w:ind w:left="0" w:firstLine="709"/>
        <w:jc w:val="both"/>
        <w:rPr>
          <w:rFonts w:asciiTheme="majorHAnsi" w:eastAsia="MS Mincho" w:hAnsiTheme="majorHAnsi" w:cstheme="majorHAnsi"/>
          <w:b/>
          <w:bCs/>
          <w:kern w:val="2"/>
          <w:lang w:val="ro-RO"/>
        </w:rPr>
      </w:pPr>
      <w:r w:rsidRPr="00481FDE">
        <w:rPr>
          <w:rFonts w:asciiTheme="majorHAnsi" w:eastAsia="MS Mincho" w:hAnsiTheme="majorHAnsi" w:cstheme="majorHAnsi"/>
          <w:kern w:val="2"/>
          <w:lang w:val="ro-RO"/>
        </w:rPr>
        <w:t>n</w:t>
      </w:r>
      <w:r w:rsidR="0053166E" w:rsidRPr="00481FDE">
        <w:rPr>
          <w:rFonts w:asciiTheme="majorHAnsi" w:eastAsia="MS Mincho" w:hAnsiTheme="majorHAnsi" w:cstheme="majorHAnsi"/>
          <w:kern w:val="2"/>
          <w:lang w:val="ro-RO"/>
        </w:rPr>
        <w:t>u a fost efectuată îmbunătățirea sistemelor de alimentare cu apă în 6 localități: or. Str</w:t>
      </w:r>
      <w:r w:rsidRPr="00481FDE">
        <w:rPr>
          <w:rFonts w:asciiTheme="majorHAnsi" w:eastAsia="MS Mincho" w:hAnsiTheme="majorHAnsi" w:cstheme="majorHAnsi"/>
          <w:kern w:val="2"/>
          <w:lang w:val="ro-RO"/>
        </w:rPr>
        <w:t>ă</w:t>
      </w:r>
      <w:r w:rsidR="0053166E" w:rsidRPr="00481FDE">
        <w:rPr>
          <w:rFonts w:asciiTheme="majorHAnsi" w:eastAsia="MS Mincho" w:hAnsiTheme="majorHAnsi" w:cstheme="majorHAnsi"/>
          <w:kern w:val="2"/>
          <w:lang w:val="ro-RO"/>
        </w:rPr>
        <w:t>șeni, or.</w:t>
      </w:r>
      <w:r w:rsidRPr="00481FDE">
        <w:rPr>
          <w:rFonts w:asciiTheme="majorHAnsi" w:eastAsia="MS Mincho" w:hAnsiTheme="majorHAnsi" w:cstheme="majorHAnsi"/>
          <w:kern w:val="2"/>
          <w:lang w:val="ro-RO"/>
        </w:rPr>
        <w:t xml:space="preserve"> </w:t>
      </w:r>
      <w:r w:rsidR="0053166E" w:rsidRPr="00481FDE">
        <w:rPr>
          <w:rFonts w:asciiTheme="majorHAnsi" w:eastAsia="MS Mincho" w:hAnsiTheme="majorHAnsi" w:cstheme="majorHAnsi"/>
          <w:kern w:val="2"/>
          <w:lang w:val="ro-RO"/>
        </w:rPr>
        <w:t>H</w:t>
      </w:r>
      <w:r w:rsidRPr="00481FDE">
        <w:rPr>
          <w:rFonts w:asciiTheme="majorHAnsi" w:eastAsia="MS Mincho" w:hAnsiTheme="majorHAnsi" w:cstheme="majorHAnsi"/>
          <w:kern w:val="2"/>
          <w:lang w:val="ro-RO"/>
        </w:rPr>
        <w:t>â</w:t>
      </w:r>
      <w:r w:rsidR="0053166E" w:rsidRPr="00481FDE">
        <w:rPr>
          <w:rFonts w:asciiTheme="majorHAnsi" w:eastAsia="MS Mincho" w:hAnsiTheme="majorHAnsi" w:cstheme="majorHAnsi"/>
          <w:kern w:val="2"/>
          <w:lang w:val="ro-RO"/>
        </w:rPr>
        <w:t>n</w:t>
      </w:r>
      <w:r w:rsidRPr="00481FDE">
        <w:rPr>
          <w:rFonts w:asciiTheme="majorHAnsi" w:eastAsia="MS Mincho" w:hAnsiTheme="majorHAnsi" w:cstheme="majorHAnsi"/>
          <w:kern w:val="2"/>
          <w:lang w:val="ro-RO"/>
        </w:rPr>
        <w:t>c</w:t>
      </w:r>
      <w:r w:rsidR="0053166E" w:rsidRPr="00481FDE">
        <w:rPr>
          <w:rFonts w:asciiTheme="majorHAnsi" w:eastAsia="MS Mincho" w:hAnsiTheme="majorHAnsi" w:cstheme="majorHAnsi"/>
          <w:kern w:val="2"/>
          <w:lang w:val="ro-RO"/>
        </w:rPr>
        <w:t>ești, or. Taraclia, s.</w:t>
      </w:r>
      <w:r w:rsidR="002655A6" w:rsidRPr="00481FDE">
        <w:rPr>
          <w:rFonts w:asciiTheme="majorHAnsi" w:eastAsia="MS Mincho" w:hAnsiTheme="majorHAnsi" w:cstheme="majorHAnsi"/>
          <w:kern w:val="2"/>
          <w:lang w:val="ro-RO"/>
        </w:rPr>
        <w:t xml:space="preserve">Carbalia </w:t>
      </w:r>
      <w:r w:rsidR="0053166E" w:rsidRPr="00481FDE">
        <w:rPr>
          <w:rFonts w:asciiTheme="majorHAnsi" w:eastAsia="MS Mincho" w:hAnsiTheme="majorHAnsi" w:cstheme="majorHAnsi"/>
          <w:kern w:val="2"/>
          <w:lang w:val="ro-RO"/>
        </w:rPr>
        <w:t>(UTA G</w:t>
      </w:r>
      <w:r w:rsidRPr="00481FDE">
        <w:rPr>
          <w:rFonts w:asciiTheme="majorHAnsi" w:eastAsia="MS Mincho" w:hAnsiTheme="majorHAnsi" w:cstheme="majorHAnsi"/>
          <w:kern w:val="2"/>
          <w:lang w:val="ro-RO"/>
        </w:rPr>
        <w:t>ă</w:t>
      </w:r>
      <w:r w:rsidR="0053166E" w:rsidRPr="00481FDE">
        <w:rPr>
          <w:rFonts w:asciiTheme="majorHAnsi" w:eastAsia="MS Mincho" w:hAnsiTheme="majorHAnsi" w:cstheme="majorHAnsi"/>
          <w:kern w:val="2"/>
          <w:lang w:val="ro-RO"/>
        </w:rPr>
        <w:t>g</w:t>
      </w:r>
      <w:r w:rsidRPr="00481FDE">
        <w:rPr>
          <w:rFonts w:asciiTheme="majorHAnsi" w:eastAsia="MS Mincho" w:hAnsiTheme="majorHAnsi" w:cstheme="majorHAnsi"/>
          <w:kern w:val="2"/>
          <w:lang w:val="ro-RO"/>
        </w:rPr>
        <w:t>ă</w:t>
      </w:r>
      <w:r w:rsidR="0053166E" w:rsidRPr="00481FDE">
        <w:rPr>
          <w:rFonts w:asciiTheme="majorHAnsi" w:eastAsia="MS Mincho" w:hAnsiTheme="majorHAnsi" w:cstheme="majorHAnsi"/>
          <w:kern w:val="2"/>
          <w:lang w:val="ro-RO"/>
        </w:rPr>
        <w:t>uzia), s.</w:t>
      </w:r>
      <w:r w:rsidRPr="00481FDE">
        <w:rPr>
          <w:rFonts w:asciiTheme="majorHAnsi" w:eastAsia="MS Mincho" w:hAnsiTheme="majorHAnsi" w:cstheme="majorHAnsi"/>
          <w:kern w:val="2"/>
          <w:lang w:val="ro-RO"/>
        </w:rPr>
        <w:t xml:space="preserve"> </w:t>
      </w:r>
      <w:r w:rsidR="0053166E" w:rsidRPr="00481FDE">
        <w:rPr>
          <w:rFonts w:asciiTheme="majorHAnsi" w:eastAsia="MS Mincho" w:hAnsiTheme="majorHAnsi" w:cstheme="majorHAnsi"/>
          <w:kern w:val="2"/>
          <w:lang w:val="ro-RO"/>
        </w:rPr>
        <w:t>Sărata Veche (r</w:t>
      </w:r>
      <w:r w:rsidRPr="00481FDE">
        <w:rPr>
          <w:rFonts w:asciiTheme="majorHAnsi" w:eastAsia="MS Mincho" w:hAnsiTheme="majorHAnsi" w:cstheme="majorHAnsi"/>
          <w:kern w:val="2"/>
          <w:lang w:val="ro-RO"/>
        </w:rPr>
        <w:t>-</w:t>
      </w:r>
      <w:r w:rsidR="0053166E" w:rsidRPr="00481FDE">
        <w:rPr>
          <w:rFonts w:asciiTheme="majorHAnsi" w:eastAsia="MS Mincho" w:hAnsiTheme="majorHAnsi" w:cstheme="majorHAnsi"/>
          <w:kern w:val="2"/>
          <w:lang w:val="ro-RO"/>
        </w:rPr>
        <w:t>nul Fălești), s.</w:t>
      </w:r>
      <w:r w:rsidRPr="00481FDE">
        <w:rPr>
          <w:rFonts w:asciiTheme="majorHAnsi" w:eastAsia="MS Mincho" w:hAnsiTheme="majorHAnsi" w:cstheme="majorHAnsi"/>
          <w:kern w:val="2"/>
          <w:lang w:val="ro-RO"/>
        </w:rPr>
        <w:t xml:space="preserve"> </w:t>
      </w:r>
      <w:r w:rsidR="0053166E" w:rsidRPr="00481FDE">
        <w:rPr>
          <w:rFonts w:asciiTheme="majorHAnsi" w:eastAsia="MS Mincho" w:hAnsiTheme="majorHAnsi" w:cstheme="majorHAnsi"/>
          <w:kern w:val="2"/>
          <w:lang w:val="ro-RO"/>
        </w:rPr>
        <w:t>Risipeni (r</w:t>
      </w:r>
      <w:r w:rsidRPr="00481FDE">
        <w:rPr>
          <w:rFonts w:asciiTheme="majorHAnsi" w:eastAsia="MS Mincho" w:hAnsiTheme="majorHAnsi" w:cstheme="majorHAnsi"/>
          <w:kern w:val="2"/>
          <w:lang w:val="ro-RO"/>
        </w:rPr>
        <w:t>-</w:t>
      </w:r>
      <w:r w:rsidR="0053166E" w:rsidRPr="00481FDE">
        <w:rPr>
          <w:rFonts w:asciiTheme="majorHAnsi" w:eastAsia="MS Mincho" w:hAnsiTheme="majorHAnsi" w:cstheme="majorHAnsi"/>
          <w:kern w:val="2"/>
          <w:lang w:val="ro-RO"/>
        </w:rPr>
        <w:t>nul Fălești) (pct.2.8 din Plan), cauza fiind sto</w:t>
      </w:r>
      <w:r w:rsidR="00070C1E" w:rsidRPr="00481FDE">
        <w:rPr>
          <w:rFonts w:asciiTheme="majorHAnsi" w:eastAsia="MS Mincho" w:hAnsiTheme="majorHAnsi" w:cstheme="majorHAnsi"/>
          <w:kern w:val="2"/>
          <w:lang w:val="ro-RO"/>
        </w:rPr>
        <w:t>p</w:t>
      </w:r>
      <w:r w:rsidR="0053166E" w:rsidRPr="00481FDE">
        <w:rPr>
          <w:rFonts w:asciiTheme="majorHAnsi" w:eastAsia="MS Mincho" w:hAnsiTheme="majorHAnsi" w:cstheme="majorHAnsi"/>
          <w:kern w:val="2"/>
          <w:lang w:val="ro-RO"/>
        </w:rPr>
        <w:t xml:space="preserve">area finanțării externe ca urmare a neexecutării de către APL a angajamentelor asumate. </w:t>
      </w:r>
    </w:p>
    <w:p w:rsidR="00AC205F" w:rsidRPr="00481FDE" w:rsidRDefault="00AC205F" w:rsidP="00F61756">
      <w:pPr>
        <w:spacing w:before="120" w:after="0" w:line="276" w:lineRule="auto"/>
        <w:jc w:val="both"/>
        <w:rPr>
          <w:rFonts w:asciiTheme="majorHAnsi" w:eastAsia="MS Mincho" w:hAnsiTheme="majorHAnsi" w:cstheme="majorHAnsi"/>
          <w:b w:val="0"/>
          <w:bCs w:val="0"/>
          <w:kern w:val="2"/>
          <w:sz w:val="24"/>
          <w:szCs w:val="24"/>
        </w:rPr>
      </w:pPr>
      <w:r w:rsidRPr="00481FDE">
        <w:rPr>
          <w:rFonts w:asciiTheme="majorHAnsi" w:eastAsia="MS Mincho" w:hAnsiTheme="majorHAnsi" w:cstheme="majorHAnsi"/>
          <w:b w:val="0"/>
          <w:bCs w:val="0"/>
          <w:kern w:val="2"/>
          <w:sz w:val="24"/>
          <w:szCs w:val="24"/>
        </w:rPr>
        <w:t xml:space="preserve">De remarcat faptul că 7 acţiuni neimplmentate în cadrul Planului de acțiuni pentru anii 2014-2018 au fost stopate, nefiind </w:t>
      </w:r>
      <w:r w:rsidR="00070C1E" w:rsidRPr="00481FDE">
        <w:rPr>
          <w:rFonts w:asciiTheme="majorHAnsi" w:eastAsia="MS Mincho" w:hAnsiTheme="majorHAnsi" w:cstheme="majorHAnsi"/>
          <w:b w:val="0"/>
          <w:bCs w:val="0"/>
          <w:kern w:val="2"/>
          <w:sz w:val="24"/>
          <w:szCs w:val="24"/>
        </w:rPr>
        <w:t>prelungite</w:t>
      </w:r>
      <w:r w:rsidRPr="00481FDE">
        <w:rPr>
          <w:rFonts w:asciiTheme="majorHAnsi" w:eastAsia="MS Mincho" w:hAnsiTheme="majorHAnsi" w:cstheme="majorHAnsi"/>
          <w:b w:val="0"/>
          <w:bCs w:val="0"/>
          <w:kern w:val="2"/>
          <w:sz w:val="24"/>
          <w:szCs w:val="24"/>
        </w:rPr>
        <w:t xml:space="preserve"> pentru etapa ulterioară 2020-2024. </w:t>
      </w:r>
    </w:p>
    <w:p w:rsidR="0053166E" w:rsidRPr="00481FDE" w:rsidRDefault="0053166E" w:rsidP="00F61756">
      <w:pPr>
        <w:spacing w:before="120" w:after="0" w:line="276" w:lineRule="auto"/>
        <w:jc w:val="both"/>
        <w:rPr>
          <w:rFonts w:asciiTheme="majorHAnsi" w:eastAsia="MS Mincho" w:hAnsiTheme="majorHAnsi" w:cstheme="majorHAnsi"/>
          <w:bCs w:val="0"/>
          <w:kern w:val="2"/>
          <w:sz w:val="24"/>
          <w:szCs w:val="24"/>
        </w:rPr>
      </w:pPr>
      <w:r w:rsidRPr="00481FDE">
        <w:rPr>
          <w:rFonts w:asciiTheme="majorHAnsi" w:eastAsia="MS Mincho" w:hAnsiTheme="majorHAnsi" w:cstheme="majorHAnsi"/>
          <w:bCs w:val="0"/>
          <w:kern w:val="2"/>
          <w:sz w:val="24"/>
          <w:szCs w:val="24"/>
        </w:rPr>
        <w:t xml:space="preserve">În </w:t>
      </w:r>
      <w:r w:rsidR="00FD0EC9" w:rsidRPr="00481FDE">
        <w:rPr>
          <w:rFonts w:asciiTheme="majorHAnsi" w:eastAsia="MS Mincho" w:hAnsiTheme="majorHAnsi" w:cstheme="majorHAnsi"/>
          <w:bCs w:val="0"/>
          <w:kern w:val="2"/>
          <w:sz w:val="24"/>
          <w:szCs w:val="24"/>
        </w:rPr>
        <w:t xml:space="preserve">cadrul </w:t>
      </w:r>
      <w:r w:rsidRPr="00481FDE">
        <w:rPr>
          <w:rFonts w:asciiTheme="majorHAnsi" w:eastAsia="MS Mincho" w:hAnsiTheme="majorHAnsi" w:cstheme="majorHAnsi"/>
          <w:bCs w:val="0"/>
          <w:kern w:val="2"/>
          <w:sz w:val="24"/>
          <w:szCs w:val="24"/>
        </w:rPr>
        <w:t>Planul</w:t>
      </w:r>
      <w:r w:rsidR="00070C1E" w:rsidRPr="00481FDE">
        <w:rPr>
          <w:rFonts w:asciiTheme="majorHAnsi" w:eastAsia="MS Mincho" w:hAnsiTheme="majorHAnsi" w:cstheme="majorHAnsi"/>
          <w:bCs w:val="0"/>
          <w:kern w:val="2"/>
          <w:sz w:val="24"/>
          <w:szCs w:val="24"/>
        </w:rPr>
        <w:t>ui</w:t>
      </w:r>
      <w:r w:rsidRPr="00481FDE">
        <w:rPr>
          <w:rFonts w:asciiTheme="majorHAnsi" w:eastAsia="MS Mincho" w:hAnsiTheme="majorHAnsi" w:cstheme="majorHAnsi"/>
          <w:bCs w:val="0"/>
          <w:kern w:val="2"/>
          <w:sz w:val="24"/>
          <w:szCs w:val="24"/>
        </w:rPr>
        <w:t xml:space="preserve"> de acțiuni pentru anii 2020-2024:</w:t>
      </w:r>
    </w:p>
    <w:p w:rsidR="0053166E" w:rsidRPr="002841CC" w:rsidRDefault="00070C1E" w:rsidP="00F61756">
      <w:pPr>
        <w:pStyle w:val="a3"/>
        <w:numPr>
          <w:ilvl w:val="0"/>
          <w:numId w:val="8"/>
        </w:numPr>
        <w:tabs>
          <w:tab w:val="left" w:pos="993"/>
        </w:tabs>
        <w:spacing w:line="276" w:lineRule="auto"/>
        <w:ind w:left="0" w:firstLine="709"/>
        <w:jc w:val="both"/>
        <w:rPr>
          <w:rFonts w:asciiTheme="majorHAnsi" w:eastAsia="MS Mincho" w:hAnsiTheme="majorHAnsi" w:cstheme="majorHAnsi"/>
          <w:b/>
          <w:bCs/>
          <w:kern w:val="2"/>
          <w:lang w:val="ro-RO"/>
        </w:rPr>
      </w:pPr>
      <w:r w:rsidRPr="00481FDE">
        <w:rPr>
          <w:rFonts w:asciiTheme="majorHAnsi" w:eastAsia="MS Mincho" w:hAnsiTheme="majorHAnsi" w:cstheme="majorHAnsi"/>
          <w:kern w:val="2"/>
          <w:lang w:val="ro-RO"/>
        </w:rPr>
        <w:t>n</w:t>
      </w:r>
      <w:r w:rsidR="0053166E" w:rsidRPr="00481FDE">
        <w:rPr>
          <w:rFonts w:asciiTheme="majorHAnsi" w:eastAsia="MS Mincho" w:hAnsiTheme="majorHAnsi" w:cstheme="majorHAnsi"/>
          <w:kern w:val="2"/>
          <w:lang w:val="ro-RO"/>
        </w:rPr>
        <w:t xml:space="preserve">u au fost elaborate o serie de documente tehnice de referinţă pentru funcţionarea şi întreținerea sistemului de alimentare cu apă şi canalizare (pct.1.2 din Plan), cauza fiind </w:t>
      </w:r>
      <w:r w:rsidR="00331DE4" w:rsidRPr="00481FDE">
        <w:rPr>
          <w:rFonts w:asciiTheme="majorHAnsi" w:eastAsia="MS Mincho" w:hAnsiTheme="majorHAnsi" w:cstheme="majorHAnsi"/>
          <w:kern w:val="2"/>
          <w:lang w:val="ro-RO"/>
        </w:rPr>
        <w:t>lipsa participanților</w:t>
      </w:r>
      <w:r w:rsidR="00260CDF" w:rsidRPr="00481FDE">
        <w:rPr>
          <w:rFonts w:asciiTheme="majorHAnsi" w:eastAsia="MS Mincho" w:hAnsiTheme="majorHAnsi" w:cstheme="majorHAnsi"/>
          <w:kern w:val="2"/>
          <w:lang w:val="ro-RO"/>
        </w:rPr>
        <w:t xml:space="preserve"> la concursul lansa</w:t>
      </w:r>
      <w:r w:rsidR="00260CDF" w:rsidRPr="00481FDE">
        <w:rPr>
          <w:rFonts w:asciiTheme="majorHAnsi" w:eastAsia="MS Mincho" w:hAnsiTheme="majorHAnsi" w:cstheme="majorHAnsi"/>
          <w:b/>
          <w:bCs/>
          <w:kern w:val="2"/>
          <w:lang w:val="ro-RO"/>
        </w:rPr>
        <w:t>t</w:t>
      </w:r>
      <w:r w:rsidR="00260CDF" w:rsidRPr="002841CC">
        <w:rPr>
          <w:rFonts w:asciiTheme="majorHAnsi" w:eastAsia="MS Mincho" w:hAnsiTheme="majorHAnsi" w:cstheme="majorHAnsi"/>
          <w:kern w:val="2"/>
          <w:lang w:val="ro-RO"/>
        </w:rPr>
        <w:t xml:space="preserve"> în vederea contractării serviciilor de elaborare a acestor documente</w:t>
      </w:r>
      <w:r>
        <w:rPr>
          <w:rFonts w:asciiTheme="majorHAnsi" w:eastAsia="MS Mincho" w:hAnsiTheme="majorHAnsi" w:cstheme="majorHAnsi"/>
          <w:kern w:val="2"/>
          <w:lang w:val="ro-RO"/>
        </w:rPr>
        <w:t>;</w:t>
      </w:r>
    </w:p>
    <w:p w:rsidR="0053166E" w:rsidRPr="002841CC" w:rsidRDefault="0053166E" w:rsidP="00F61756">
      <w:pPr>
        <w:pStyle w:val="a3"/>
        <w:numPr>
          <w:ilvl w:val="0"/>
          <w:numId w:val="8"/>
        </w:numPr>
        <w:tabs>
          <w:tab w:val="left" w:pos="993"/>
        </w:tabs>
        <w:spacing w:line="276" w:lineRule="auto"/>
        <w:ind w:left="0" w:firstLine="709"/>
        <w:jc w:val="both"/>
        <w:rPr>
          <w:rFonts w:asciiTheme="majorHAnsi" w:eastAsia="MS Mincho" w:hAnsiTheme="majorHAnsi" w:cstheme="majorHAnsi"/>
          <w:b/>
          <w:bCs/>
          <w:kern w:val="2"/>
          <w:lang w:val="ro-RO"/>
        </w:rPr>
      </w:pPr>
      <w:r w:rsidRPr="002841CC">
        <w:rPr>
          <w:rFonts w:asciiTheme="majorHAnsi" w:eastAsia="MS Mincho" w:hAnsiTheme="majorHAnsi" w:cstheme="majorHAnsi"/>
          <w:kern w:val="2"/>
          <w:lang w:val="ro-RO"/>
        </w:rPr>
        <w:t>pe parcursul anului 2021 nu a fost elaborat cadrul normativ</w:t>
      </w:r>
      <w:r w:rsidR="002841CC">
        <w:rPr>
          <w:rFonts w:asciiTheme="majorHAnsi" w:eastAsia="MS Mincho" w:hAnsiTheme="majorHAnsi" w:cstheme="majorHAnsi"/>
          <w:kern w:val="2"/>
          <w:lang w:val="ro-RO"/>
        </w:rPr>
        <w:t xml:space="preserve">, precum și </w:t>
      </w:r>
      <w:r w:rsidR="00070C1E">
        <w:rPr>
          <w:rFonts w:asciiTheme="majorHAnsi" w:eastAsia="MS Mincho" w:hAnsiTheme="majorHAnsi" w:cstheme="majorHAnsi"/>
          <w:kern w:val="2"/>
          <w:lang w:val="ro-RO"/>
        </w:rPr>
        <w:t xml:space="preserve">nu au fost </w:t>
      </w:r>
      <w:r w:rsidRPr="002841CC">
        <w:rPr>
          <w:rFonts w:asciiTheme="majorHAnsi" w:eastAsia="MS Mincho" w:hAnsiTheme="majorHAnsi" w:cstheme="majorHAnsi"/>
          <w:kern w:val="2"/>
          <w:lang w:val="ro-RO"/>
        </w:rPr>
        <w:t>operate modificări la cadrul normativ existent în ceea ce priveşte:</w:t>
      </w:r>
    </w:p>
    <w:p w:rsidR="0053166E" w:rsidRPr="002841CC" w:rsidRDefault="00070C1E" w:rsidP="00F61756">
      <w:pPr>
        <w:pStyle w:val="a3"/>
        <w:numPr>
          <w:ilvl w:val="0"/>
          <w:numId w:val="6"/>
        </w:numPr>
        <w:spacing w:line="276" w:lineRule="auto"/>
        <w:jc w:val="both"/>
        <w:rPr>
          <w:rFonts w:asciiTheme="majorHAnsi" w:eastAsia="MS Mincho" w:hAnsiTheme="majorHAnsi" w:cstheme="majorHAnsi"/>
          <w:b/>
          <w:bCs/>
          <w:kern w:val="2"/>
          <w:lang w:val="ro-RO"/>
        </w:rPr>
      </w:pPr>
      <w:r>
        <w:rPr>
          <w:rFonts w:asciiTheme="majorHAnsi" w:eastAsia="MS Mincho" w:hAnsiTheme="majorHAnsi" w:cstheme="majorHAnsi"/>
          <w:kern w:val="2"/>
          <w:lang w:val="ro-RO"/>
        </w:rPr>
        <w:t>r</w:t>
      </w:r>
      <w:r w:rsidR="0053166E" w:rsidRPr="002841CC">
        <w:rPr>
          <w:rFonts w:asciiTheme="majorHAnsi" w:eastAsia="MS Mincho" w:hAnsiTheme="majorHAnsi" w:cstheme="majorHAnsi"/>
          <w:kern w:val="2"/>
          <w:lang w:val="ro-RO"/>
        </w:rPr>
        <w:t xml:space="preserve">evizuirea cadrului normativ privind eliberarea/retragerea actelor permisive pentru desfășurarea activității de elaborare a documentației tehnice în sectorul </w:t>
      </w:r>
      <w:r w:rsidR="00331DE4">
        <w:rPr>
          <w:rFonts w:asciiTheme="majorHAnsi" w:eastAsia="MS Mincho" w:hAnsiTheme="majorHAnsi" w:cstheme="majorHAnsi"/>
          <w:kern w:val="2"/>
          <w:lang w:val="ro-RO"/>
        </w:rPr>
        <w:t xml:space="preserve">de </w:t>
      </w:r>
      <w:r w:rsidR="0053166E" w:rsidRPr="002841CC">
        <w:rPr>
          <w:rFonts w:asciiTheme="majorHAnsi" w:eastAsia="MS Mincho" w:hAnsiTheme="majorHAnsi" w:cstheme="majorHAnsi"/>
          <w:kern w:val="2"/>
          <w:lang w:val="ro-RO"/>
        </w:rPr>
        <w:t>alimentare cu apă și sanitație (pct.3.7 din Plan);</w:t>
      </w:r>
    </w:p>
    <w:p w:rsidR="0053166E" w:rsidRPr="002841CC" w:rsidRDefault="00070C1E" w:rsidP="00F61756">
      <w:pPr>
        <w:pStyle w:val="a3"/>
        <w:numPr>
          <w:ilvl w:val="0"/>
          <w:numId w:val="6"/>
        </w:numPr>
        <w:spacing w:line="276" w:lineRule="auto"/>
        <w:jc w:val="both"/>
        <w:rPr>
          <w:rFonts w:asciiTheme="majorHAnsi" w:eastAsia="MS Mincho" w:hAnsiTheme="majorHAnsi" w:cstheme="majorHAnsi"/>
          <w:b/>
          <w:bCs/>
          <w:kern w:val="2"/>
          <w:lang w:val="ro-RO"/>
        </w:rPr>
      </w:pPr>
      <w:r>
        <w:rPr>
          <w:rFonts w:asciiTheme="majorHAnsi" w:eastAsia="MS Mincho" w:hAnsiTheme="majorHAnsi" w:cstheme="majorHAnsi"/>
          <w:kern w:val="2"/>
          <w:lang w:val="ro-RO"/>
        </w:rPr>
        <w:t>u</w:t>
      </w:r>
      <w:r w:rsidR="0053166E" w:rsidRPr="002841CC">
        <w:rPr>
          <w:rFonts w:asciiTheme="majorHAnsi" w:eastAsia="MS Mincho" w:hAnsiTheme="majorHAnsi" w:cstheme="majorHAnsi"/>
          <w:kern w:val="2"/>
          <w:lang w:val="ro-RO"/>
        </w:rPr>
        <w:t>niformizarea standardelor pentru seturile de date a</w:t>
      </w:r>
      <w:r>
        <w:rPr>
          <w:rFonts w:asciiTheme="majorHAnsi" w:eastAsia="MS Mincho" w:hAnsiTheme="majorHAnsi" w:cstheme="majorHAnsi"/>
          <w:kern w:val="2"/>
          <w:lang w:val="ro-RO"/>
        </w:rPr>
        <w:t>le</w:t>
      </w:r>
      <w:r w:rsidR="0053166E" w:rsidRPr="002841CC">
        <w:rPr>
          <w:rFonts w:asciiTheme="majorHAnsi" w:eastAsia="MS Mincho" w:hAnsiTheme="majorHAnsi" w:cstheme="majorHAnsi"/>
          <w:kern w:val="2"/>
          <w:lang w:val="ro-RO"/>
        </w:rPr>
        <w:t xml:space="preserve"> documentelor tehnice (în format digital și analogic) în sectorul </w:t>
      </w:r>
      <w:r w:rsidR="00331DE4">
        <w:rPr>
          <w:rFonts w:asciiTheme="majorHAnsi" w:eastAsia="MS Mincho" w:hAnsiTheme="majorHAnsi" w:cstheme="majorHAnsi"/>
          <w:kern w:val="2"/>
          <w:lang w:val="ro-RO"/>
        </w:rPr>
        <w:t xml:space="preserve">de </w:t>
      </w:r>
      <w:r w:rsidR="0053166E" w:rsidRPr="002841CC">
        <w:rPr>
          <w:rFonts w:asciiTheme="majorHAnsi" w:eastAsia="MS Mincho" w:hAnsiTheme="majorHAnsi" w:cstheme="majorHAnsi"/>
          <w:kern w:val="2"/>
          <w:lang w:val="ro-RO"/>
        </w:rPr>
        <w:t>alimentare cu apă și sanitație (pct.3.8 din Plan);</w:t>
      </w:r>
    </w:p>
    <w:p w:rsidR="0053166E" w:rsidRPr="002841CC" w:rsidRDefault="00070C1E" w:rsidP="00F61756">
      <w:pPr>
        <w:pStyle w:val="a3"/>
        <w:numPr>
          <w:ilvl w:val="0"/>
          <w:numId w:val="6"/>
        </w:numPr>
        <w:spacing w:line="276" w:lineRule="auto"/>
        <w:jc w:val="both"/>
        <w:rPr>
          <w:rFonts w:asciiTheme="majorHAnsi" w:eastAsia="MS Mincho" w:hAnsiTheme="majorHAnsi" w:cstheme="majorHAnsi"/>
          <w:b/>
          <w:bCs/>
          <w:kern w:val="2"/>
          <w:lang w:val="ro-RO"/>
        </w:rPr>
      </w:pPr>
      <w:r>
        <w:rPr>
          <w:rFonts w:asciiTheme="majorHAnsi" w:eastAsia="MS Mincho" w:hAnsiTheme="majorHAnsi" w:cstheme="majorHAnsi"/>
          <w:kern w:val="2"/>
          <w:lang w:val="ro-RO"/>
        </w:rPr>
        <w:t>e</w:t>
      </w:r>
      <w:r w:rsidR="0053166E" w:rsidRPr="002841CC">
        <w:rPr>
          <w:rFonts w:asciiTheme="majorHAnsi" w:eastAsia="MS Mincho" w:hAnsiTheme="majorHAnsi" w:cstheme="majorHAnsi"/>
          <w:kern w:val="2"/>
          <w:lang w:val="ro-RO"/>
        </w:rPr>
        <w:t xml:space="preserve">laborarea și aprobarea standardelor pentru seturile de date spațiale referitoare la infrastructura fizică </w:t>
      </w:r>
      <w:r>
        <w:rPr>
          <w:rFonts w:asciiTheme="majorHAnsi" w:eastAsia="MS Mincho" w:hAnsiTheme="majorHAnsi" w:cstheme="majorHAnsi"/>
          <w:kern w:val="2"/>
          <w:lang w:val="ro-RO"/>
        </w:rPr>
        <w:t xml:space="preserve">de </w:t>
      </w:r>
      <w:r w:rsidR="0053166E" w:rsidRPr="002841CC">
        <w:rPr>
          <w:rFonts w:asciiTheme="majorHAnsi" w:eastAsia="MS Mincho" w:hAnsiTheme="majorHAnsi" w:cstheme="majorHAnsi"/>
          <w:kern w:val="2"/>
          <w:lang w:val="ro-RO"/>
        </w:rPr>
        <w:t>alimentare cu apă și sanitație (pct.3.9 din Plan).</w:t>
      </w:r>
    </w:p>
    <w:p w:rsidR="0053166E" w:rsidRPr="008376FC" w:rsidRDefault="0053166E" w:rsidP="00F61756">
      <w:pPr>
        <w:spacing w:before="120" w:after="0" w:line="276" w:lineRule="auto"/>
        <w:jc w:val="both"/>
        <w:rPr>
          <w:rFonts w:asciiTheme="majorHAnsi" w:eastAsia="MS Mincho" w:hAnsiTheme="majorHAnsi" w:cstheme="majorHAnsi"/>
          <w:b w:val="0"/>
          <w:bCs w:val="0"/>
          <w:kern w:val="2"/>
          <w:sz w:val="24"/>
          <w:szCs w:val="24"/>
        </w:rPr>
      </w:pPr>
      <w:r w:rsidRPr="008376FC">
        <w:rPr>
          <w:rFonts w:asciiTheme="majorHAnsi" w:eastAsia="MS Mincho" w:hAnsiTheme="majorHAnsi" w:cstheme="majorHAnsi"/>
          <w:b w:val="0"/>
          <w:bCs w:val="0"/>
          <w:kern w:val="2"/>
          <w:sz w:val="24"/>
          <w:szCs w:val="24"/>
        </w:rPr>
        <w:t xml:space="preserve">Neasigurarea elaborării actelor enumerate mai sus </w:t>
      </w:r>
      <w:r w:rsidR="00CF2A02">
        <w:rPr>
          <w:rFonts w:asciiTheme="majorHAnsi" w:eastAsia="MS Mincho" w:hAnsiTheme="majorHAnsi" w:cstheme="majorHAnsi"/>
          <w:b w:val="0"/>
          <w:bCs w:val="0"/>
          <w:kern w:val="2"/>
          <w:sz w:val="24"/>
          <w:szCs w:val="24"/>
        </w:rPr>
        <w:t>a fost cauzată de</w:t>
      </w:r>
      <w:r w:rsidRPr="008376FC">
        <w:rPr>
          <w:rFonts w:asciiTheme="majorHAnsi" w:eastAsia="MS Mincho" w:hAnsiTheme="majorHAnsi" w:cstheme="majorHAnsi"/>
          <w:b w:val="0"/>
          <w:bCs w:val="0"/>
          <w:kern w:val="2"/>
          <w:sz w:val="24"/>
          <w:szCs w:val="24"/>
        </w:rPr>
        <w:t xml:space="preserve"> restructur</w:t>
      </w:r>
      <w:r w:rsidR="00CF2A02">
        <w:rPr>
          <w:rFonts w:asciiTheme="majorHAnsi" w:eastAsia="MS Mincho" w:hAnsiTheme="majorHAnsi" w:cstheme="majorHAnsi"/>
          <w:b w:val="0"/>
          <w:bCs w:val="0"/>
          <w:kern w:val="2"/>
          <w:sz w:val="24"/>
          <w:szCs w:val="24"/>
        </w:rPr>
        <w:t>area</w:t>
      </w:r>
      <w:r w:rsidRPr="008376FC">
        <w:rPr>
          <w:rFonts w:asciiTheme="majorHAnsi" w:eastAsia="MS Mincho" w:hAnsiTheme="majorHAnsi" w:cstheme="majorHAnsi"/>
          <w:b w:val="0"/>
          <w:bCs w:val="0"/>
          <w:kern w:val="2"/>
          <w:sz w:val="24"/>
          <w:szCs w:val="24"/>
        </w:rPr>
        <w:t xml:space="preserve">, în anul 2021, a MADRM în MAIA şi MM şi </w:t>
      </w:r>
      <w:r w:rsidR="00331DE4">
        <w:rPr>
          <w:rFonts w:asciiTheme="majorHAnsi" w:eastAsia="MS Mincho" w:hAnsiTheme="majorHAnsi" w:cstheme="majorHAnsi"/>
          <w:b w:val="0"/>
          <w:bCs w:val="0"/>
          <w:kern w:val="2"/>
          <w:sz w:val="24"/>
          <w:szCs w:val="24"/>
        </w:rPr>
        <w:t xml:space="preserve">de </w:t>
      </w:r>
      <w:r w:rsidRPr="008376FC">
        <w:rPr>
          <w:rFonts w:asciiTheme="majorHAnsi" w:eastAsia="MS Mincho" w:hAnsiTheme="majorHAnsi" w:cstheme="majorHAnsi"/>
          <w:b w:val="0"/>
          <w:bCs w:val="0"/>
          <w:kern w:val="2"/>
          <w:sz w:val="24"/>
          <w:szCs w:val="24"/>
        </w:rPr>
        <w:t>transmiter</w:t>
      </w:r>
      <w:r w:rsidR="00331DE4">
        <w:rPr>
          <w:rFonts w:asciiTheme="majorHAnsi" w:eastAsia="MS Mincho" w:hAnsiTheme="majorHAnsi" w:cstheme="majorHAnsi"/>
          <w:b w:val="0"/>
          <w:bCs w:val="0"/>
          <w:kern w:val="2"/>
          <w:sz w:val="24"/>
          <w:szCs w:val="24"/>
        </w:rPr>
        <w:t>ea</w:t>
      </w:r>
      <w:r w:rsidRPr="008376FC">
        <w:rPr>
          <w:rFonts w:asciiTheme="majorHAnsi" w:eastAsia="MS Mincho" w:hAnsiTheme="majorHAnsi" w:cstheme="majorHAnsi"/>
          <w:b w:val="0"/>
          <w:bCs w:val="0"/>
          <w:kern w:val="2"/>
          <w:sz w:val="24"/>
          <w:szCs w:val="24"/>
        </w:rPr>
        <w:t xml:space="preserve"> MIDR a competențelor de gestionare a domeniului infrastructurii de apă și sanitație.</w:t>
      </w:r>
    </w:p>
    <w:p w:rsidR="0053166E" w:rsidRPr="008376FC" w:rsidRDefault="0053166E" w:rsidP="00F61756">
      <w:pPr>
        <w:spacing w:before="120" w:after="0" w:line="276" w:lineRule="auto"/>
        <w:jc w:val="both"/>
        <w:rPr>
          <w:rFonts w:asciiTheme="majorHAnsi" w:eastAsia="MS Mincho" w:hAnsiTheme="majorHAnsi" w:cstheme="majorHAnsi"/>
          <w:bCs w:val="0"/>
          <w:kern w:val="2"/>
          <w:sz w:val="24"/>
          <w:szCs w:val="24"/>
        </w:rPr>
      </w:pPr>
      <w:r w:rsidRPr="008376FC">
        <w:rPr>
          <w:rFonts w:asciiTheme="majorHAnsi" w:eastAsia="MS Mincho" w:hAnsiTheme="majorHAnsi" w:cstheme="majorHAnsi"/>
          <w:bCs w:val="0"/>
          <w:kern w:val="2"/>
          <w:sz w:val="24"/>
          <w:szCs w:val="24"/>
        </w:rPr>
        <w:t>Totodată, în urma analizei măsurilor incluse în Planurile de acţiuni</w:t>
      </w:r>
      <w:r w:rsidR="00CF2A02">
        <w:rPr>
          <w:rFonts w:asciiTheme="majorHAnsi" w:eastAsia="MS Mincho" w:hAnsiTheme="majorHAnsi" w:cstheme="majorHAnsi"/>
          <w:bCs w:val="0"/>
          <w:kern w:val="2"/>
          <w:sz w:val="24"/>
          <w:szCs w:val="24"/>
        </w:rPr>
        <w:t>,</w:t>
      </w:r>
      <w:r w:rsidRPr="008376FC">
        <w:rPr>
          <w:rFonts w:asciiTheme="majorHAnsi" w:eastAsia="MS Mincho" w:hAnsiTheme="majorHAnsi" w:cstheme="majorHAnsi"/>
          <w:bCs w:val="0"/>
          <w:kern w:val="2"/>
          <w:sz w:val="24"/>
          <w:szCs w:val="24"/>
        </w:rPr>
        <w:t xml:space="preserve"> </w:t>
      </w:r>
      <w:r w:rsidRPr="008376FC">
        <w:rPr>
          <w:rFonts w:asciiTheme="majorHAnsi" w:eastAsia="MS Mincho" w:hAnsiTheme="majorHAnsi" w:cstheme="majorHAnsi"/>
          <w:kern w:val="2"/>
          <w:sz w:val="24"/>
          <w:szCs w:val="24"/>
        </w:rPr>
        <w:t xml:space="preserve">au fost identificate următoarele deficiențe care duc la imposibilitatea determinării impactului </w:t>
      </w:r>
      <w:r w:rsidR="00EC3FEB">
        <w:rPr>
          <w:rFonts w:asciiTheme="majorHAnsi" w:eastAsia="MS Mincho" w:hAnsiTheme="majorHAnsi" w:cstheme="majorHAnsi"/>
          <w:kern w:val="2"/>
          <w:sz w:val="24"/>
          <w:szCs w:val="24"/>
        </w:rPr>
        <w:t xml:space="preserve">privind </w:t>
      </w:r>
      <w:r w:rsidRPr="008376FC">
        <w:rPr>
          <w:rFonts w:asciiTheme="majorHAnsi" w:eastAsia="MS Mincho" w:hAnsiTheme="majorHAnsi" w:cstheme="majorHAnsi"/>
          <w:kern w:val="2"/>
          <w:sz w:val="24"/>
          <w:szCs w:val="24"/>
        </w:rPr>
        <w:t>implement</w:t>
      </w:r>
      <w:r w:rsidR="00EC3FEB">
        <w:rPr>
          <w:rFonts w:asciiTheme="majorHAnsi" w:eastAsia="MS Mincho" w:hAnsiTheme="majorHAnsi" w:cstheme="majorHAnsi"/>
          <w:kern w:val="2"/>
          <w:sz w:val="24"/>
          <w:szCs w:val="24"/>
        </w:rPr>
        <w:t>area</w:t>
      </w:r>
      <w:r w:rsidRPr="008376FC">
        <w:rPr>
          <w:rFonts w:asciiTheme="majorHAnsi" w:eastAsia="MS Mincho" w:hAnsiTheme="majorHAnsi" w:cstheme="majorHAnsi"/>
          <w:kern w:val="2"/>
          <w:sz w:val="24"/>
          <w:szCs w:val="24"/>
        </w:rPr>
        <w:t xml:space="preserve"> acestora</w:t>
      </w:r>
      <w:r w:rsidRPr="008376FC">
        <w:rPr>
          <w:rFonts w:asciiTheme="majorHAnsi" w:eastAsia="MS Mincho" w:hAnsiTheme="majorHAnsi" w:cstheme="majorHAnsi"/>
          <w:bCs w:val="0"/>
          <w:kern w:val="2"/>
          <w:sz w:val="24"/>
          <w:szCs w:val="24"/>
        </w:rPr>
        <w:t>:</w:t>
      </w:r>
    </w:p>
    <w:p w:rsidR="0053166E" w:rsidRPr="008376FC" w:rsidRDefault="00EC3FEB" w:rsidP="00F61756">
      <w:pPr>
        <w:pStyle w:val="a3"/>
        <w:numPr>
          <w:ilvl w:val="0"/>
          <w:numId w:val="9"/>
        </w:numPr>
        <w:tabs>
          <w:tab w:val="left" w:pos="851"/>
        </w:tabs>
        <w:spacing w:line="276" w:lineRule="auto"/>
        <w:ind w:left="0" w:firstLine="709"/>
        <w:jc w:val="both"/>
        <w:rPr>
          <w:rFonts w:asciiTheme="majorHAnsi" w:eastAsia="MS Mincho" w:hAnsiTheme="majorHAnsi" w:cstheme="majorHAnsi"/>
          <w:b/>
          <w:bCs/>
          <w:kern w:val="2"/>
          <w:lang w:val="en-US"/>
        </w:rPr>
      </w:pPr>
      <w:r>
        <w:rPr>
          <w:rFonts w:asciiTheme="majorHAnsi" w:eastAsia="MS Mincho" w:hAnsiTheme="majorHAnsi" w:cstheme="majorHAnsi"/>
          <w:kern w:val="2"/>
          <w:lang w:val="en-US"/>
        </w:rPr>
        <w:t>a</w:t>
      </w:r>
      <w:r w:rsidR="0053166E" w:rsidRPr="008376FC">
        <w:rPr>
          <w:rFonts w:asciiTheme="majorHAnsi" w:eastAsia="MS Mincho" w:hAnsiTheme="majorHAnsi" w:cstheme="majorHAnsi"/>
          <w:kern w:val="2"/>
          <w:lang w:val="en-US"/>
        </w:rPr>
        <w:t>u fost incluse unele activități care au fost începute şi realizate preponderent înainte de aprobarea Strategiei, nemijlocit activităţile privind construcţia şi extinderea sistemelor de alimentare cu apă şi sanitaţie în raioanele Soroca, Floreşti, H</w:t>
      </w:r>
      <w:r>
        <w:rPr>
          <w:rFonts w:asciiTheme="majorHAnsi" w:eastAsia="MS Mincho" w:hAnsiTheme="majorHAnsi" w:cstheme="majorHAnsi"/>
          <w:kern w:val="2"/>
          <w:lang w:val="en-US"/>
        </w:rPr>
        <w:t>â</w:t>
      </w:r>
      <w:r w:rsidR="0053166E" w:rsidRPr="008376FC">
        <w:rPr>
          <w:rFonts w:asciiTheme="majorHAnsi" w:eastAsia="MS Mincho" w:hAnsiTheme="majorHAnsi" w:cstheme="majorHAnsi"/>
          <w:kern w:val="2"/>
          <w:lang w:val="en-US"/>
        </w:rPr>
        <w:t>nceşti, Orhei, Leova şi Cead</w:t>
      </w:r>
      <w:r>
        <w:rPr>
          <w:rFonts w:asciiTheme="majorHAnsi" w:eastAsia="MS Mincho" w:hAnsiTheme="majorHAnsi" w:cstheme="majorHAnsi"/>
          <w:kern w:val="2"/>
          <w:lang w:val="en-US"/>
        </w:rPr>
        <w:t>â</w:t>
      </w:r>
      <w:r w:rsidR="0053166E" w:rsidRPr="008376FC">
        <w:rPr>
          <w:rFonts w:asciiTheme="majorHAnsi" w:eastAsia="MS Mincho" w:hAnsiTheme="majorHAnsi" w:cstheme="majorHAnsi"/>
          <w:kern w:val="2"/>
          <w:lang w:val="en-US"/>
        </w:rPr>
        <w:t xml:space="preserve">r-Lunga şi în 30 </w:t>
      </w:r>
      <w:r>
        <w:rPr>
          <w:rFonts w:asciiTheme="majorHAnsi" w:eastAsia="MS Mincho" w:hAnsiTheme="majorHAnsi" w:cstheme="majorHAnsi"/>
          <w:kern w:val="2"/>
          <w:lang w:val="en-US"/>
        </w:rPr>
        <w:t xml:space="preserve">de </w:t>
      </w:r>
      <w:r w:rsidR="0053166E" w:rsidRPr="008376FC">
        <w:rPr>
          <w:rFonts w:asciiTheme="majorHAnsi" w:eastAsia="MS Mincho" w:hAnsiTheme="majorHAnsi" w:cstheme="majorHAnsi"/>
          <w:kern w:val="2"/>
          <w:lang w:val="en-US"/>
        </w:rPr>
        <w:t>localităţi rurale</w:t>
      </w:r>
      <w:r w:rsidR="00331DE4">
        <w:rPr>
          <w:rFonts w:asciiTheme="majorHAnsi" w:eastAsia="MS Mincho" w:hAnsiTheme="majorHAnsi" w:cstheme="majorHAnsi"/>
          <w:kern w:val="2"/>
          <w:lang w:val="en-US"/>
        </w:rPr>
        <w:t>,</w:t>
      </w:r>
      <w:r w:rsidR="0053166E" w:rsidRPr="008376FC">
        <w:rPr>
          <w:rFonts w:asciiTheme="majorHAnsi" w:eastAsia="MS Mincho" w:hAnsiTheme="majorHAnsi" w:cstheme="majorHAnsi"/>
          <w:kern w:val="2"/>
          <w:lang w:val="en-US"/>
        </w:rPr>
        <w:t xml:space="preserve"> fiind demarate în anul 2011 şi finalizate în anul 2015 (acţiunea 2.7 din Planul de acţiuni 2014-2018)</w:t>
      </w:r>
      <w:r>
        <w:rPr>
          <w:rFonts w:asciiTheme="majorHAnsi" w:eastAsia="MS Mincho" w:hAnsiTheme="majorHAnsi" w:cstheme="majorHAnsi"/>
          <w:kern w:val="2"/>
          <w:lang w:val="en-US"/>
        </w:rPr>
        <w:t>;</w:t>
      </w:r>
    </w:p>
    <w:p w:rsidR="0053166E" w:rsidRPr="008376FC" w:rsidRDefault="00EC3FEB" w:rsidP="00F61756">
      <w:pPr>
        <w:pStyle w:val="a3"/>
        <w:numPr>
          <w:ilvl w:val="0"/>
          <w:numId w:val="9"/>
        </w:numPr>
        <w:tabs>
          <w:tab w:val="left" w:pos="851"/>
        </w:tabs>
        <w:spacing w:line="276" w:lineRule="auto"/>
        <w:ind w:left="0" w:firstLine="709"/>
        <w:jc w:val="both"/>
        <w:rPr>
          <w:rFonts w:asciiTheme="majorHAnsi" w:eastAsia="MS Mincho" w:hAnsiTheme="majorHAnsi" w:cstheme="majorHAnsi"/>
          <w:b/>
          <w:bCs/>
          <w:kern w:val="2"/>
          <w:lang w:val="en-US"/>
        </w:rPr>
      </w:pPr>
      <w:r>
        <w:rPr>
          <w:rFonts w:asciiTheme="majorHAnsi" w:eastAsia="MS Mincho" w:hAnsiTheme="majorHAnsi" w:cstheme="majorHAnsi"/>
          <w:kern w:val="2"/>
          <w:lang w:val="en-US"/>
        </w:rPr>
        <w:t>n</w:t>
      </w:r>
      <w:r w:rsidR="0053166E" w:rsidRPr="008376FC">
        <w:rPr>
          <w:rFonts w:asciiTheme="majorHAnsi" w:eastAsia="MS Mincho" w:hAnsiTheme="majorHAnsi" w:cstheme="majorHAnsi"/>
          <w:kern w:val="2"/>
          <w:lang w:val="en-US"/>
        </w:rPr>
        <w:t>ecoordonarea termen</w:t>
      </w:r>
      <w:r>
        <w:rPr>
          <w:rFonts w:asciiTheme="majorHAnsi" w:eastAsia="MS Mincho" w:hAnsiTheme="majorHAnsi" w:cstheme="majorHAnsi"/>
          <w:kern w:val="2"/>
          <w:lang w:val="en-US"/>
        </w:rPr>
        <w:t>e</w:t>
      </w:r>
      <w:r w:rsidR="0053166E" w:rsidRPr="008376FC">
        <w:rPr>
          <w:rFonts w:asciiTheme="majorHAnsi" w:eastAsia="MS Mincho" w:hAnsiTheme="majorHAnsi" w:cstheme="majorHAnsi"/>
          <w:kern w:val="2"/>
          <w:lang w:val="en-US"/>
        </w:rPr>
        <w:t>lor de implementare, astfel încât:</w:t>
      </w:r>
    </w:p>
    <w:p w:rsidR="0053166E" w:rsidRPr="008376FC" w:rsidRDefault="0053166E" w:rsidP="00F61756">
      <w:pPr>
        <w:pStyle w:val="a3"/>
        <w:numPr>
          <w:ilvl w:val="0"/>
          <w:numId w:val="10"/>
        </w:numPr>
        <w:tabs>
          <w:tab w:val="left" w:pos="993"/>
        </w:tabs>
        <w:spacing w:line="276" w:lineRule="auto"/>
        <w:ind w:left="0" w:firstLine="709"/>
        <w:jc w:val="both"/>
        <w:rPr>
          <w:rFonts w:asciiTheme="majorHAnsi" w:eastAsia="MS Mincho" w:hAnsiTheme="majorHAnsi" w:cstheme="majorHAnsi"/>
          <w:b/>
          <w:bCs/>
          <w:kern w:val="2"/>
          <w:lang w:val="en-US"/>
        </w:rPr>
      </w:pPr>
      <w:r w:rsidRPr="008376FC">
        <w:rPr>
          <w:rFonts w:asciiTheme="majorHAnsi" w:eastAsia="MS Mincho" w:hAnsiTheme="majorHAnsi" w:cstheme="majorHAnsi"/>
          <w:kern w:val="2"/>
          <w:lang w:val="en-US"/>
        </w:rPr>
        <w:t>activităţile de coordonare a elaborării Studiului de fezabilitate pentru extinderea apeductului Chişinău</w:t>
      </w:r>
      <w:r w:rsidR="00EC3FEB">
        <w:rPr>
          <w:rFonts w:asciiTheme="majorHAnsi" w:eastAsia="MS Mincho" w:hAnsiTheme="majorHAnsi" w:cstheme="majorHAnsi"/>
          <w:kern w:val="2"/>
          <w:lang w:val="en-US"/>
        </w:rPr>
        <w:t>-</w:t>
      </w:r>
      <w:r w:rsidRPr="008376FC">
        <w:rPr>
          <w:rFonts w:asciiTheme="majorHAnsi" w:eastAsia="MS Mincho" w:hAnsiTheme="majorHAnsi" w:cstheme="majorHAnsi"/>
          <w:kern w:val="2"/>
          <w:lang w:val="en-US"/>
        </w:rPr>
        <w:t>Străşeni-Călăraşi au fost stabilite pentru anul 2018 (acțiunea 1.9 din Planul de acţiuni 2014-2018), pe când elaborarea nemijlocită a fost stabilită pentru anul 2014 (acțiunea 2.3 din Planul de acţiuni 2014-2018)</w:t>
      </w:r>
      <w:r w:rsidR="00EC3FEB">
        <w:rPr>
          <w:rFonts w:asciiTheme="majorHAnsi" w:eastAsia="MS Mincho" w:hAnsiTheme="majorHAnsi" w:cstheme="majorHAnsi"/>
          <w:kern w:val="2"/>
          <w:lang w:val="en-US"/>
        </w:rPr>
        <w:t>;</w:t>
      </w:r>
    </w:p>
    <w:p w:rsidR="0053166E" w:rsidRPr="008376FC" w:rsidRDefault="0053166E" w:rsidP="00F61756">
      <w:pPr>
        <w:pStyle w:val="a3"/>
        <w:numPr>
          <w:ilvl w:val="0"/>
          <w:numId w:val="10"/>
        </w:numPr>
        <w:tabs>
          <w:tab w:val="left" w:pos="993"/>
        </w:tabs>
        <w:spacing w:line="276" w:lineRule="auto"/>
        <w:ind w:left="0" w:firstLine="709"/>
        <w:jc w:val="both"/>
        <w:rPr>
          <w:rFonts w:asciiTheme="majorHAnsi" w:eastAsia="MS Mincho" w:hAnsiTheme="majorHAnsi" w:cstheme="majorHAnsi"/>
          <w:b/>
          <w:bCs/>
          <w:kern w:val="2"/>
          <w:lang w:val="en-US"/>
        </w:rPr>
      </w:pPr>
      <w:r w:rsidRPr="008376FC">
        <w:rPr>
          <w:rFonts w:asciiTheme="majorHAnsi" w:eastAsia="MS Mincho" w:hAnsiTheme="majorHAnsi" w:cstheme="majorHAnsi"/>
          <w:kern w:val="2"/>
          <w:lang w:val="en-US"/>
        </w:rPr>
        <w:t>activităţile de coordonare a elaborării Planului de alimentare cu apă şi de canalizare a raionului Ialoveni</w:t>
      </w:r>
      <w:r w:rsidRPr="008376FC">
        <w:rPr>
          <w:rFonts w:asciiTheme="majorHAnsi" w:hAnsiTheme="majorHAnsi" w:cstheme="majorHAnsi"/>
          <w:lang w:val="en-US"/>
        </w:rPr>
        <w:t xml:space="preserve"> </w:t>
      </w:r>
      <w:r w:rsidRPr="008376FC">
        <w:rPr>
          <w:rFonts w:asciiTheme="majorHAnsi" w:eastAsia="MS Mincho" w:hAnsiTheme="majorHAnsi" w:cstheme="majorHAnsi"/>
          <w:kern w:val="2"/>
          <w:lang w:val="en-US"/>
        </w:rPr>
        <w:t>au fost stabilite pentru anul 2017 (acțiunea 1.8 din Planul de acţiuni 2014-2018), pe când elaborarea nemijlocită a fost stabilită pentru anul 2014 (acțiunea 2.5 din Planul de acţiuni 2014-2018)</w:t>
      </w:r>
      <w:r w:rsidR="00EC3FEB">
        <w:rPr>
          <w:rFonts w:asciiTheme="majorHAnsi" w:eastAsia="MS Mincho" w:hAnsiTheme="majorHAnsi" w:cstheme="majorHAnsi"/>
          <w:kern w:val="2"/>
          <w:lang w:val="en-US"/>
        </w:rPr>
        <w:t>;</w:t>
      </w:r>
    </w:p>
    <w:p w:rsidR="0053166E" w:rsidRPr="008376FC" w:rsidRDefault="00EC3FEB" w:rsidP="00F61756">
      <w:pPr>
        <w:pStyle w:val="a3"/>
        <w:numPr>
          <w:ilvl w:val="0"/>
          <w:numId w:val="9"/>
        </w:numPr>
        <w:tabs>
          <w:tab w:val="left" w:pos="993"/>
        </w:tabs>
        <w:spacing w:line="276" w:lineRule="auto"/>
        <w:ind w:left="0" w:firstLine="709"/>
        <w:jc w:val="both"/>
        <w:rPr>
          <w:rFonts w:asciiTheme="majorHAnsi" w:eastAsia="MS Mincho" w:hAnsiTheme="majorHAnsi" w:cstheme="majorHAnsi"/>
          <w:b/>
          <w:bCs/>
          <w:kern w:val="2"/>
          <w:lang w:val="en-US"/>
        </w:rPr>
      </w:pPr>
      <w:r>
        <w:rPr>
          <w:rFonts w:asciiTheme="majorHAnsi" w:eastAsia="MS Mincho" w:hAnsiTheme="majorHAnsi" w:cstheme="majorHAnsi"/>
          <w:kern w:val="2"/>
          <w:lang w:val="en-US"/>
        </w:rPr>
        <w:t>i</w:t>
      </w:r>
      <w:r w:rsidR="0053166E" w:rsidRPr="008376FC">
        <w:rPr>
          <w:rFonts w:asciiTheme="majorHAnsi" w:eastAsia="MS Mincho" w:hAnsiTheme="majorHAnsi" w:cstheme="majorHAnsi"/>
          <w:kern w:val="2"/>
          <w:lang w:val="en-US"/>
        </w:rPr>
        <w:t>ndicatorii de rezultat pentru unele acțiuni nu pot fi cuantificați corespunzător</w:t>
      </w:r>
      <w:r>
        <w:rPr>
          <w:rFonts w:asciiTheme="majorHAnsi" w:eastAsia="MS Mincho" w:hAnsiTheme="majorHAnsi" w:cstheme="majorHAnsi"/>
          <w:kern w:val="2"/>
          <w:lang w:val="en-US"/>
        </w:rPr>
        <w:t>.</w:t>
      </w:r>
      <w:r w:rsidR="0053166E" w:rsidRPr="008376FC">
        <w:rPr>
          <w:rFonts w:asciiTheme="majorHAnsi" w:eastAsia="MS Mincho" w:hAnsiTheme="majorHAnsi" w:cstheme="majorHAnsi"/>
          <w:kern w:val="2"/>
          <w:lang w:val="en-US"/>
        </w:rPr>
        <w:t xml:space="preserve"> </w:t>
      </w:r>
      <w:r>
        <w:rPr>
          <w:rFonts w:asciiTheme="majorHAnsi" w:eastAsia="MS Mincho" w:hAnsiTheme="majorHAnsi" w:cstheme="majorHAnsi"/>
          <w:kern w:val="2"/>
          <w:lang w:val="en-US"/>
        </w:rPr>
        <w:t>A</w:t>
      </w:r>
      <w:r w:rsidR="0053166E" w:rsidRPr="008376FC">
        <w:rPr>
          <w:rFonts w:asciiTheme="majorHAnsi" w:eastAsia="MS Mincho" w:hAnsiTheme="majorHAnsi" w:cstheme="majorHAnsi"/>
          <w:kern w:val="2"/>
          <w:lang w:val="en-US"/>
        </w:rPr>
        <w:t>stfel, la acţiunea 1.8</w:t>
      </w:r>
      <w:r w:rsidR="000056B2" w:rsidRPr="008376FC">
        <w:rPr>
          <w:rStyle w:val="ab"/>
          <w:rFonts w:asciiTheme="majorHAnsi" w:eastAsia="MS Mincho" w:hAnsiTheme="majorHAnsi" w:cstheme="majorHAnsi"/>
          <w:kern w:val="2"/>
        </w:rPr>
        <w:footnoteReference w:id="12"/>
      </w:r>
      <w:r w:rsidR="0053166E" w:rsidRPr="008376FC">
        <w:rPr>
          <w:rFonts w:asciiTheme="majorHAnsi" w:eastAsia="MS Mincho" w:hAnsiTheme="majorHAnsi" w:cstheme="majorHAnsi"/>
          <w:kern w:val="2"/>
          <w:lang w:val="en-US"/>
        </w:rPr>
        <w:t xml:space="preserve"> din Planul de acţiuni 2014-2018</w:t>
      </w:r>
      <w:r>
        <w:rPr>
          <w:rFonts w:asciiTheme="majorHAnsi" w:eastAsia="MS Mincho" w:hAnsiTheme="majorHAnsi" w:cstheme="majorHAnsi"/>
          <w:kern w:val="2"/>
          <w:lang w:val="en-US"/>
        </w:rPr>
        <w:t>,</w:t>
      </w:r>
      <w:r w:rsidR="0053166E" w:rsidRPr="008376FC">
        <w:rPr>
          <w:rFonts w:asciiTheme="majorHAnsi" w:eastAsia="MS Mincho" w:hAnsiTheme="majorHAnsi" w:cstheme="majorHAnsi"/>
          <w:kern w:val="2"/>
          <w:lang w:val="en-US"/>
        </w:rPr>
        <w:t xml:space="preserve"> nu este indicat numărul exact de Planuri de alimentare cu apă şi sanitaţie pentru raioanele republicii, fiind raportată elaborarea Planului de alimentare cu apă şi sanitaţie doar pentru raionul Ialoveni, la fel </w:t>
      </w:r>
      <w:r>
        <w:rPr>
          <w:rFonts w:asciiTheme="majorHAnsi" w:eastAsia="MS Mincho" w:hAnsiTheme="majorHAnsi" w:cstheme="majorHAnsi"/>
          <w:kern w:val="2"/>
          <w:lang w:val="en-US"/>
        </w:rPr>
        <w:t>ca și</w:t>
      </w:r>
      <w:r w:rsidR="0053166E" w:rsidRPr="008376FC">
        <w:rPr>
          <w:rFonts w:asciiTheme="majorHAnsi" w:eastAsia="MS Mincho" w:hAnsiTheme="majorHAnsi" w:cstheme="majorHAnsi"/>
          <w:kern w:val="2"/>
          <w:lang w:val="en-US"/>
        </w:rPr>
        <w:t xml:space="preserve"> pentru acţiunea 1.9</w:t>
      </w:r>
      <w:r w:rsidR="000056B2" w:rsidRPr="008376FC">
        <w:rPr>
          <w:rStyle w:val="ab"/>
          <w:rFonts w:asciiTheme="majorHAnsi" w:eastAsia="MS Mincho" w:hAnsiTheme="majorHAnsi" w:cstheme="majorHAnsi"/>
          <w:kern w:val="2"/>
        </w:rPr>
        <w:footnoteReference w:id="13"/>
      </w:r>
      <w:r w:rsidR="0053166E" w:rsidRPr="008376FC">
        <w:rPr>
          <w:rFonts w:asciiTheme="majorHAnsi" w:eastAsia="MS Mincho" w:hAnsiTheme="majorHAnsi" w:cstheme="majorHAnsi"/>
          <w:kern w:val="2"/>
          <w:lang w:val="en-US"/>
        </w:rPr>
        <w:t xml:space="preserve"> din acelaşi Plan nu este indicat numărul studiilor de fezabilitate pentru proiectele de infrastructură a</w:t>
      </w:r>
      <w:r w:rsidR="001E59C1">
        <w:rPr>
          <w:rFonts w:asciiTheme="majorHAnsi" w:eastAsia="MS Mincho" w:hAnsiTheme="majorHAnsi" w:cstheme="majorHAnsi"/>
          <w:kern w:val="2"/>
          <w:lang w:val="en-US"/>
        </w:rPr>
        <w:t>le</w:t>
      </w:r>
      <w:r w:rsidR="0053166E" w:rsidRPr="008376FC">
        <w:rPr>
          <w:rFonts w:asciiTheme="majorHAnsi" w:eastAsia="MS Mincho" w:hAnsiTheme="majorHAnsi" w:cstheme="majorHAnsi"/>
          <w:kern w:val="2"/>
          <w:lang w:val="en-US"/>
        </w:rPr>
        <w:t xml:space="preserve"> sectorului alimentare cu apă şi sanitaţie, care urmau a fi elaborate pentru raioanele în care au fost aprobate planuri de alimentare cu apă şi sanitaţie, în acest caz fiind raportate două Studii de fezabilitate: (i) </w:t>
      </w:r>
      <w:r>
        <w:rPr>
          <w:rFonts w:asciiTheme="majorHAnsi" w:eastAsia="MS Mincho" w:hAnsiTheme="majorHAnsi" w:cstheme="majorHAnsi"/>
          <w:kern w:val="2"/>
          <w:lang w:val="en-US"/>
        </w:rPr>
        <w:t>e</w:t>
      </w:r>
      <w:r w:rsidR="0053166E" w:rsidRPr="008376FC">
        <w:rPr>
          <w:rFonts w:asciiTheme="majorHAnsi" w:eastAsia="MS Mincho" w:hAnsiTheme="majorHAnsi" w:cstheme="majorHAnsi"/>
          <w:kern w:val="2"/>
          <w:lang w:val="en-US"/>
        </w:rPr>
        <w:t>xtinderea apeductului Soroca-Bălţi şi (ii) construcţia apeductului Chişinău-Străşeni-Călăraşi;</w:t>
      </w:r>
    </w:p>
    <w:p w:rsidR="0053166E" w:rsidRPr="008376FC" w:rsidRDefault="00EC3FEB" w:rsidP="00F61756">
      <w:pPr>
        <w:pStyle w:val="a3"/>
        <w:numPr>
          <w:ilvl w:val="0"/>
          <w:numId w:val="9"/>
        </w:numPr>
        <w:tabs>
          <w:tab w:val="left" w:pos="993"/>
        </w:tabs>
        <w:spacing w:line="276" w:lineRule="auto"/>
        <w:ind w:left="0" w:firstLine="709"/>
        <w:jc w:val="both"/>
        <w:rPr>
          <w:rFonts w:asciiTheme="majorHAnsi" w:eastAsia="MS Mincho" w:hAnsiTheme="majorHAnsi" w:cstheme="majorHAnsi"/>
          <w:b/>
          <w:bCs/>
          <w:kern w:val="2"/>
          <w:lang w:val="en-US"/>
        </w:rPr>
      </w:pPr>
      <w:r>
        <w:rPr>
          <w:rFonts w:asciiTheme="majorHAnsi" w:eastAsia="MS Mincho" w:hAnsiTheme="majorHAnsi" w:cstheme="majorHAnsi"/>
          <w:kern w:val="2"/>
          <w:lang w:val="en-US"/>
        </w:rPr>
        <w:t>a</w:t>
      </w:r>
      <w:r w:rsidR="0053166E" w:rsidRPr="008376FC">
        <w:rPr>
          <w:rFonts w:asciiTheme="majorHAnsi" w:eastAsia="MS Mincho" w:hAnsiTheme="majorHAnsi" w:cstheme="majorHAnsi"/>
          <w:kern w:val="2"/>
          <w:lang w:val="en-US"/>
        </w:rPr>
        <w:t>cţiunile s-au bazat în mare parte pe activităţile incluse în proiectele internaţionale, majoritatea actelor normative, ghidurilor, studiilor fiind elaborate de experţi naţionali şi internaţionali</w:t>
      </w:r>
      <w:r>
        <w:rPr>
          <w:rFonts w:asciiTheme="majorHAnsi" w:eastAsia="MS Mincho" w:hAnsiTheme="majorHAnsi" w:cstheme="majorHAnsi"/>
          <w:kern w:val="2"/>
          <w:lang w:val="en-US"/>
        </w:rPr>
        <w:t>.</w:t>
      </w:r>
      <w:r w:rsidR="0053166E" w:rsidRPr="008376FC">
        <w:rPr>
          <w:rFonts w:asciiTheme="majorHAnsi" w:eastAsia="MS Mincho" w:hAnsiTheme="majorHAnsi" w:cstheme="majorHAnsi"/>
          <w:kern w:val="2"/>
          <w:lang w:val="en-US"/>
        </w:rPr>
        <w:t xml:space="preserve"> </w:t>
      </w:r>
      <w:r>
        <w:rPr>
          <w:rFonts w:asciiTheme="majorHAnsi" w:eastAsia="MS Mincho" w:hAnsiTheme="majorHAnsi" w:cstheme="majorHAnsi"/>
          <w:kern w:val="2"/>
          <w:lang w:val="en-US"/>
        </w:rPr>
        <w:t>A</w:t>
      </w:r>
      <w:r w:rsidR="0053166E" w:rsidRPr="008376FC">
        <w:rPr>
          <w:rFonts w:asciiTheme="majorHAnsi" w:eastAsia="MS Mincho" w:hAnsiTheme="majorHAnsi" w:cstheme="majorHAnsi"/>
          <w:kern w:val="2"/>
          <w:lang w:val="en-US"/>
        </w:rPr>
        <w:t>stfel, deşi Planul de acţiuni prevedea MADRM în calitate de instituţie responsabilă de elaborarea studiilor menţionate la acţiunile 1.3 şi 1.6 din Planul de acțiuni 2020-2024, aceste studii au fost elaborate de OECD şi Banca Mondială</w:t>
      </w:r>
      <w:r>
        <w:rPr>
          <w:rFonts w:asciiTheme="majorHAnsi" w:eastAsia="MS Mincho" w:hAnsiTheme="majorHAnsi" w:cstheme="majorHAnsi"/>
          <w:kern w:val="2"/>
          <w:lang w:val="en-US"/>
        </w:rPr>
        <w:t>;</w:t>
      </w:r>
    </w:p>
    <w:p w:rsidR="0053166E" w:rsidRPr="008376FC" w:rsidRDefault="00EC3FEB" w:rsidP="00F61756">
      <w:pPr>
        <w:pStyle w:val="a3"/>
        <w:numPr>
          <w:ilvl w:val="0"/>
          <w:numId w:val="9"/>
        </w:numPr>
        <w:tabs>
          <w:tab w:val="left" w:pos="993"/>
        </w:tabs>
        <w:spacing w:line="276" w:lineRule="auto"/>
        <w:ind w:left="0" w:firstLine="709"/>
        <w:contextualSpacing w:val="0"/>
        <w:jc w:val="both"/>
        <w:rPr>
          <w:rFonts w:asciiTheme="majorHAnsi" w:eastAsia="MS Mincho" w:hAnsiTheme="majorHAnsi" w:cstheme="majorHAnsi"/>
          <w:kern w:val="2"/>
          <w:lang w:val="en-US"/>
        </w:rPr>
      </w:pPr>
      <w:r>
        <w:rPr>
          <w:rFonts w:asciiTheme="majorHAnsi" w:eastAsia="MS Mincho" w:hAnsiTheme="majorHAnsi" w:cstheme="majorHAnsi"/>
          <w:kern w:val="2"/>
          <w:lang w:val="en-US"/>
        </w:rPr>
        <w:t>a</w:t>
      </w:r>
      <w:r w:rsidR="0053166E" w:rsidRPr="008376FC">
        <w:rPr>
          <w:rFonts w:asciiTheme="majorHAnsi" w:eastAsia="MS Mincho" w:hAnsiTheme="majorHAnsi" w:cstheme="majorHAnsi"/>
          <w:kern w:val="2"/>
          <w:lang w:val="en-US"/>
        </w:rPr>
        <w:t xml:space="preserve">cţiunea 3.4 din Planul de acţiuni 2014-2018 privind asigurarea </w:t>
      </w:r>
      <w:r w:rsidR="009D70E2" w:rsidRPr="008376FC">
        <w:rPr>
          <w:rFonts w:asciiTheme="majorHAnsi" w:eastAsia="MS Mincho" w:hAnsiTheme="majorHAnsi" w:cstheme="majorHAnsi"/>
          <w:kern w:val="2"/>
          <w:lang w:val="en-US"/>
        </w:rPr>
        <w:t xml:space="preserve">de către ANRE a </w:t>
      </w:r>
      <w:r w:rsidR="0053166E" w:rsidRPr="008376FC">
        <w:rPr>
          <w:rFonts w:asciiTheme="majorHAnsi" w:eastAsia="MS Mincho" w:hAnsiTheme="majorHAnsi" w:cstheme="majorHAnsi"/>
          <w:kern w:val="2"/>
          <w:lang w:val="en-US"/>
        </w:rPr>
        <w:t xml:space="preserve">unui control riguros privind tarifele, nu poate fi realizată integral deoarece legislația în domeniu limitează competențele ANRE în domeniul aprobării şi avizării tarifelor, astfel încât </w:t>
      </w:r>
      <w:r w:rsidR="00BC687E">
        <w:rPr>
          <w:rFonts w:asciiTheme="majorHAnsi" w:eastAsia="MS Mincho" w:hAnsiTheme="majorHAnsi" w:cstheme="majorHAnsi"/>
          <w:kern w:val="2"/>
          <w:lang w:val="en-US"/>
        </w:rPr>
        <w:t>Agenția</w:t>
      </w:r>
      <w:r w:rsidR="00BC687E" w:rsidRPr="008376FC">
        <w:rPr>
          <w:rFonts w:asciiTheme="majorHAnsi" w:eastAsia="MS Mincho" w:hAnsiTheme="majorHAnsi" w:cstheme="majorHAnsi"/>
          <w:kern w:val="2"/>
          <w:lang w:val="en-US"/>
        </w:rPr>
        <w:t xml:space="preserve"> </w:t>
      </w:r>
      <w:r w:rsidR="0053166E" w:rsidRPr="008376FC">
        <w:rPr>
          <w:rFonts w:asciiTheme="majorHAnsi" w:eastAsia="MS Mincho" w:hAnsiTheme="majorHAnsi" w:cstheme="majorHAnsi"/>
          <w:kern w:val="2"/>
          <w:lang w:val="en-US"/>
        </w:rPr>
        <w:t>aprobă tarifele (i) pentru serviciul public de alimentare cu apă potabilă, pentru serviciul public de canalizare şi de epurare a apelor uzate prestate de operatori la nivel de raion, municipiu şi oraş şi care activează în condiţiile unor acorduri sau contracte încheiate cu organismele financiare internaţionale, ratificate sau aprobate de Parlament, Guvern sau de consiliile locale</w:t>
      </w:r>
      <w:r w:rsidR="0053166E" w:rsidRPr="008376FC">
        <w:rPr>
          <w:rStyle w:val="ab"/>
          <w:rFonts w:asciiTheme="majorHAnsi" w:eastAsia="MS Mincho" w:hAnsiTheme="majorHAnsi" w:cstheme="majorHAnsi"/>
          <w:kern w:val="2"/>
        </w:rPr>
        <w:footnoteReference w:id="14"/>
      </w:r>
      <w:r w:rsidR="0053166E" w:rsidRPr="008376FC">
        <w:rPr>
          <w:rFonts w:asciiTheme="majorHAnsi" w:eastAsia="MS Mincho" w:hAnsiTheme="majorHAnsi" w:cstheme="majorHAnsi"/>
          <w:kern w:val="2"/>
          <w:lang w:val="en-US"/>
        </w:rPr>
        <w:t>, (ii) şi în situaţia în care consiliul local a delegat ANRE funcţiile de aprobare a tarifelor</w:t>
      </w:r>
      <w:r w:rsidR="0053166E" w:rsidRPr="008376FC">
        <w:rPr>
          <w:rStyle w:val="ab"/>
          <w:rFonts w:asciiTheme="majorHAnsi" w:eastAsia="MS Mincho" w:hAnsiTheme="majorHAnsi" w:cstheme="majorHAnsi"/>
          <w:kern w:val="2"/>
        </w:rPr>
        <w:footnoteReference w:id="15"/>
      </w:r>
      <w:r w:rsidR="0053166E" w:rsidRPr="008376FC">
        <w:rPr>
          <w:rFonts w:asciiTheme="majorHAnsi" w:eastAsia="MS Mincho" w:hAnsiTheme="majorHAnsi" w:cstheme="majorHAnsi"/>
          <w:kern w:val="2"/>
          <w:lang w:val="en-US"/>
        </w:rPr>
        <w:t>. În acelaşi timp</w:t>
      </w:r>
      <w:r w:rsidR="00BC687E">
        <w:rPr>
          <w:rFonts w:asciiTheme="majorHAnsi" w:eastAsia="MS Mincho" w:hAnsiTheme="majorHAnsi" w:cstheme="majorHAnsi"/>
          <w:kern w:val="2"/>
          <w:lang w:val="en-US"/>
        </w:rPr>
        <w:t>,</w:t>
      </w:r>
      <w:r w:rsidR="0053166E" w:rsidRPr="008376FC">
        <w:rPr>
          <w:rFonts w:asciiTheme="majorHAnsi" w:eastAsia="MS Mincho" w:hAnsiTheme="majorHAnsi" w:cstheme="majorHAnsi"/>
          <w:kern w:val="2"/>
          <w:lang w:val="en-US"/>
        </w:rPr>
        <w:t xml:space="preserve"> ANRE avizează tarifele pentru serviciul public de alimentare cu apă potabilă, pentru serviciul public de canalizare şi de epurare a apelor uzate, furnizate la nivel de raion, municipiu şi oraş</w:t>
      </w:r>
      <w:r w:rsidR="0053166E" w:rsidRPr="008376FC">
        <w:rPr>
          <w:rStyle w:val="ab"/>
          <w:rFonts w:asciiTheme="majorHAnsi" w:eastAsia="MS Mincho" w:hAnsiTheme="majorHAnsi" w:cstheme="majorHAnsi"/>
          <w:kern w:val="2"/>
        </w:rPr>
        <w:footnoteReference w:id="16"/>
      </w:r>
      <w:r w:rsidR="0053166E" w:rsidRPr="008376FC">
        <w:rPr>
          <w:rFonts w:asciiTheme="majorHAnsi" w:eastAsia="MS Mincho" w:hAnsiTheme="majorHAnsi" w:cstheme="majorHAnsi"/>
          <w:kern w:val="2"/>
          <w:lang w:val="en-US"/>
        </w:rPr>
        <w:t>, Consiliul local fiind organul care le aprobă. Tarifele pentru serviciile AAS prestate la nivel de sat sau comună se aprobă fără participarea ANRE</w:t>
      </w:r>
      <w:r w:rsidR="0053166E" w:rsidRPr="008376FC">
        <w:rPr>
          <w:rStyle w:val="ab"/>
          <w:rFonts w:asciiTheme="majorHAnsi" w:eastAsia="MS Mincho" w:hAnsiTheme="majorHAnsi" w:cstheme="majorHAnsi"/>
          <w:kern w:val="2"/>
        </w:rPr>
        <w:footnoteReference w:id="17"/>
      </w:r>
      <w:r w:rsidR="0053166E" w:rsidRPr="008376FC">
        <w:rPr>
          <w:rFonts w:asciiTheme="majorHAnsi" w:eastAsia="MS Mincho" w:hAnsiTheme="majorHAnsi" w:cstheme="majorHAnsi"/>
          <w:kern w:val="2"/>
          <w:lang w:val="en-US"/>
        </w:rPr>
        <w:t>.</w:t>
      </w:r>
    </w:p>
    <w:p w:rsidR="0053166E" w:rsidRPr="008376FC" w:rsidRDefault="0053166E" w:rsidP="00F61756">
      <w:pPr>
        <w:pStyle w:val="a3"/>
        <w:tabs>
          <w:tab w:val="left" w:pos="993"/>
        </w:tabs>
        <w:spacing w:before="120" w:line="276" w:lineRule="auto"/>
        <w:ind w:left="0"/>
        <w:contextualSpacing w:val="0"/>
        <w:jc w:val="both"/>
        <w:rPr>
          <w:rFonts w:asciiTheme="majorHAnsi" w:eastAsia="MS Mincho" w:hAnsiTheme="majorHAnsi" w:cstheme="majorHAnsi"/>
          <w:kern w:val="2"/>
          <w:lang w:val="en-US"/>
        </w:rPr>
      </w:pPr>
      <w:r w:rsidRPr="008376FC">
        <w:rPr>
          <w:rFonts w:asciiTheme="majorHAnsi" w:eastAsia="MS Mincho" w:hAnsiTheme="majorHAnsi" w:cstheme="majorHAnsi"/>
          <w:kern w:val="2"/>
          <w:lang w:val="en-US"/>
        </w:rPr>
        <w:t>Totodată, se atestă că</w:t>
      </w:r>
      <w:r w:rsidR="00BC687E">
        <w:rPr>
          <w:rFonts w:asciiTheme="majorHAnsi" w:eastAsia="MS Mincho" w:hAnsiTheme="majorHAnsi" w:cstheme="majorHAnsi"/>
          <w:kern w:val="2"/>
          <w:lang w:val="en-US"/>
        </w:rPr>
        <w:t>,</w:t>
      </w:r>
      <w:r w:rsidRPr="008376FC">
        <w:rPr>
          <w:rFonts w:asciiTheme="majorHAnsi" w:eastAsia="MS Mincho" w:hAnsiTheme="majorHAnsi" w:cstheme="majorHAnsi"/>
          <w:kern w:val="2"/>
          <w:lang w:val="en-US"/>
        </w:rPr>
        <w:t xml:space="preserve"> contrar prevederilor capitolului IX „Monitorizarea, evaluarea şi raportarea implementării Strategiei”</w:t>
      </w:r>
      <w:r w:rsidRPr="008376FC">
        <w:rPr>
          <w:rStyle w:val="ab"/>
          <w:rFonts w:asciiTheme="majorHAnsi" w:eastAsia="MS Mincho" w:hAnsiTheme="majorHAnsi" w:cstheme="majorHAnsi"/>
          <w:kern w:val="2"/>
        </w:rPr>
        <w:footnoteReference w:id="18"/>
      </w:r>
      <w:r w:rsidRPr="008376FC">
        <w:rPr>
          <w:rFonts w:asciiTheme="majorHAnsi" w:eastAsia="MS Mincho" w:hAnsiTheme="majorHAnsi" w:cstheme="majorHAnsi"/>
          <w:kern w:val="2"/>
          <w:lang w:val="en-US"/>
        </w:rPr>
        <w:t xml:space="preserve">, la fiecare 3 ani </w:t>
      </w:r>
      <w:r w:rsidR="001C7EB1">
        <w:rPr>
          <w:rFonts w:asciiTheme="majorHAnsi" w:eastAsia="MS Mincho" w:hAnsiTheme="majorHAnsi" w:cstheme="majorHAnsi"/>
          <w:kern w:val="2"/>
          <w:lang w:val="en-US"/>
        </w:rPr>
        <w:t>trebuiau:</w:t>
      </w:r>
      <w:r w:rsidRPr="008376FC">
        <w:rPr>
          <w:rFonts w:asciiTheme="majorHAnsi" w:eastAsia="MS Mincho" w:hAnsiTheme="majorHAnsi" w:cstheme="majorHAnsi"/>
          <w:kern w:val="2"/>
          <w:lang w:val="en-US"/>
        </w:rPr>
        <w:t xml:space="preserve"> elaborate rapoarte de evaluare şi progres, determina</w:t>
      </w:r>
      <w:r w:rsidR="001C7EB1">
        <w:rPr>
          <w:rFonts w:asciiTheme="majorHAnsi" w:eastAsia="MS Mincho" w:hAnsiTheme="majorHAnsi" w:cstheme="majorHAnsi"/>
          <w:kern w:val="2"/>
          <w:lang w:val="en-US"/>
        </w:rPr>
        <w:t>te</w:t>
      </w:r>
      <w:r w:rsidRPr="008376FC">
        <w:rPr>
          <w:rFonts w:asciiTheme="majorHAnsi" w:eastAsia="MS Mincho" w:hAnsiTheme="majorHAnsi" w:cstheme="majorHAnsi"/>
          <w:kern w:val="2"/>
          <w:lang w:val="en-US"/>
        </w:rPr>
        <w:t xml:space="preserve"> impactul activităților realizate într-un anumit timp şi nivelul de implementare a obiectivelor stabilite, respectiv, în perioada supusă auditului, 2015-2022, urmând a fi elaborate 2 rapoarte de evaluare intermediară</w:t>
      </w:r>
      <w:r w:rsidRPr="008376FC">
        <w:rPr>
          <w:rStyle w:val="ab"/>
          <w:rFonts w:asciiTheme="majorHAnsi" w:eastAsia="MS Mincho" w:hAnsiTheme="majorHAnsi" w:cstheme="majorHAnsi"/>
          <w:kern w:val="2"/>
        </w:rPr>
        <w:footnoteReference w:id="19"/>
      </w:r>
      <w:r w:rsidRPr="008376FC">
        <w:rPr>
          <w:rFonts w:asciiTheme="majorHAnsi" w:eastAsia="MS Mincho" w:hAnsiTheme="majorHAnsi" w:cstheme="majorHAnsi"/>
          <w:kern w:val="2"/>
          <w:lang w:val="en-US"/>
        </w:rPr>
        <w:t>. Rapoartele de evaluare urmau a fi elaborate de grupul de coordonare şi prezentate Guvernului pentru generalizare, însă deoarece grupul interministerial de coordonare a implementării Strategiei nu a fost instituit, nu au fost elaborate rapoartele sus-menţionate.</w:t>
      </w:r>
    </w:p>
    <w:p w:rsidR="0053166E" w:rsidRPr="008376FC" w:rsidRDefault="00D42E3E" w:rsidP="00F61756">
      <w:pPr>
        <w:spacing w:line="276" w:lineRule="auto"/>
        <w:jc w:val="both"/>
        <w:rPr>
          <w:rFonts w:asciiTheme="majorHAnsi" w:eastAsia="Times New Roman" w:hAnsiTheme="majorHAnsi" w:cstheme="majorHAnsi"/>
          <w:b w:val="0"/>
          <w:bCs w:val="0"/>
          <w:color w:val="0070C0"/>
          <w:sz w:val="24"/>
          <w:szCs w:val="24"/>
          <w:lang w:bidi="he-IL"/>
        </w:rPr>
      </w:pPr>
      <w:r w:rsidRPr="008376FC">
        <w:rPr>
          <w:rFonts w:asciiTheme="majorHAnsi" w:eastAsia="Times New Roman" w:hAnsiTheme="majorHAnsi" w:cstheme="majorHAnsi"/>
          <w:color w:val="0070C0"/>
          <w:sz w:val="24"/>
          <w:szCs w:val="24"/>
          <w:lang w:bidi="he-IL"/>
        </w:rPr>
        <w:t>4.1.2</w:t>
      </w:r>
      <w:r w:rsidR="0053166E" w:rsidRPr="008376FC">
        <w:rPr>
          <w:rFonts w:asciiTheme="majorHAnsi" w:eastAsia="Times New Roman" w:hAnsiTheme="majorHAnsi" w:cstheme="majorHAnsi"/>
          <w:color w:val="0070C0"/>
          <w:sz w:val="24"/>
          <w:szCs w:val="24"/>
          <w:lang w:bidi="he-IL"/>
        </w:rPr>
        <w:t>. Indicatorii de evaluare a accesului populației la apeducte şi sisteme de sanitație sigure</w:t>
      </w:r>
      <w:r w:rsidR="00BE44A4">
        <w:rPr>
          <w:rFonts w:asciiTheme="majorHAnsi" w:eastAsia="Times New Roman" w:hAnsiTheme="majorHAnsi" w:cstheme="majorHAnsi"/>
          <w:color w:val="0070C0"/>
          <w:sz w:val="24"/>
          <w:szCs w:val="24"/>
          <w:lang w:bidi="he-IL"/>
        </w:rPr>
        <w:t>,</w:t>
      </w:r>
      <w:r w:rsidR="0053166E" w:rsidRPr="008376FC">
        <w:rPr>
          <w:rFonts w:asciiTheme="majorHAnsi" w:eastAsia="Times New Roman" w:hAnsiTheme="majorHAnsi" w:cstheme="majorHAnsi"/>
          <w:color w:val="0070C0"/>
          <w:sz w:val="24"/>
          <w:szCs w:val="24"/>
          <w:lang w:bidi="he-IL"/>
        </w:rPr>
        <w:t xml:space="preserve"> stabiliţi de SAAS</w:t>
      </w:r>
      <w:r w:rsidR="00BE44A4">
        <w:rPr>
          <w:rFonts w:asciiTheme="majorHAnsi" w:eastAsia="Times New Roman" w:hAnsiTheme="majorHAnsi" w:cstheme="majorHAnsi"/>
          <w:color w:val="0070C0"/>
          <w:sz w:val="24"/>
          <w:szCs w:val="24"/>
          <w:lang w:bidi="he-IL"/>
        </w:rPr>
        <w:t>,</w:t>
      </w:r>
      <w:r w:rsidR="0053166E" w:rsidRPr="008376FC">
        <w:rPr>
          <w:rFonts w:asciiTheme="majorHAnsi" w:eastAsia="Times New Roman" w:hAnsiTheme="majorHAnsi" w:cstheme="majorHAnsi"/>
          <w:color w:val="0070C0"/>
          <w:sz w:val="24"/>
          <w:szCs w:val="24"/>
          <w:lang w:bidi="he-IL"/>
        </w:rPr>
        <w:t xml:space="preserve"> diferă de cei aprobaţi de SND „Moldova Europeană 203</w:t>
      </w:r>
      <w:r w:rsidR="000F3A61" w:rsidRPr="008376FC">
        <w:rPr>
          <w:rFonts w:asciiTheme="majorHAnsi" w:eastAsia="Times New Roman" w:hAnsiTheme="majorHAnsi" w:cstheme="majorHAnsi"/>
          <w:color w:val="0070C0"/>
          <w:sz w:val="24"/>
          <w:szCs w:val="24"/>
          <w:lang w:bidi="he-IL"/>
        </w:rPr>
        <w:t>0</w:t>
      </w:r>
      <w:r w:rsidR="0053166E" w:rsidRPr="008376FC">
        <w:rPr>
          <w:rFonts w:asciiTheme="majorHAnsi" w:eastAsia="Times New Roman" w:hAnsiTheme="majorHAnsi" w:cstheme="majorHAnsi"/>
          <w:color w:val="0070C0"/>
          <w:sz w:val="24"/>
          <w:szCs w:val="24"/>
          <w:lang w:bidi="he-IL"/>
        </w:rPr>
        <w:t>”</w:t>
      </w:r>
      <w:r w:rsidR="00BE44A4">
        <w:rPr>
          <w:rFonts w:asciiTheme="majorHAnsi" w:eastAsia="Times New Roman" w:hAnsiTheme="majorHAnsi" w:cstheme="majorHAnsi"/>
          <w:color w:val="0070C0"/>
          <w:sz w:val="24"/>
          <w:szCs w:val="24"/>
          <w:lang w:bidi="he-IL"/>
        </w:rPr>
        <w:t>.</w:t>
      </w:r>
    </w:p>
    <w:p w:rsidR="0053166E" w:rsidRPr="008376FC" w:rsidRDefault="0053166E"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sz w:val="24"/>
          <w:szCs w:val="24"/>
          <w:lang w:bidi="he-IL"/>
        </w:rPr>
        <w:t xml:space="preserve">Obiectivul general al </w:t>
      </w:r>
      <w:r w:rsidR="009D70E2" w:rsidRPr="008376FC">
        <w:rPr>
          <w:rFonts w:asciiTheme="majorHAnsi" w:eastAsia="Times New Roman" w:hAnsiTheme="majorHAnsi" w:cstheme="majorHAnsi"/>
          <w:b w:val="0"/>
          <w:sz w:val="24"/>
          <w:szCs w:val="24"/>
          <w:lang w:bidi="he-IL"/>
        </w:rPr>
        <w:t>SAAS</w:t>
      </w:r>
      <w:r w:rsidRPr="008376FC">
        <w:rPr>
          <w:rFonts w:asciiTheme="majorHAnsi" w:eastAsia="Times New Roman" w:hAnsiTheme="majorHAnsi" w:cstheme="majorHAnsi"/>
          <w:b w:val="0"/>
          <w:bCs w:val="0"/>
          <w:sz w:val="24"/>
          <w:szCs w:val="24"/>
          <w:lang w:bidi="he-IL"/>
        </w:rPr>
        <w:t xml:space="preserve"> îl constituie asigurarea graduală a accesului la apă sigură şi sanitaţie adecvată pentru toate localităţile şi populaţia Republicii</w:t>
      </w:r>
      <w:r w:rsidR="00F6575F" w:rsidRPr="008376FC">
        <w:rPr>
          <w:rFonts w:asciiTheme="majorHAnsi" w:eastAsia="Times New Roman" w:hAnsiTheme="majorHAnsi" w:cstheme="majorHAnsi"/>
          <w:b w:val="0"/>
          <w:bCs w:val="0"/>
          <w:sz w:val="24"/>
          <w:szCs w:val="24"/>
          <w:lang w:bidi="he-IL"/>
        </w:rPr>
        <w:t xml:space="preserve"> </w:t>
      </w:r>
      <w:r w:rsidRPr="008376FC">
        <w:rPr>
          <w:rFonts w:asciiTheme="majorHAnsi" w:eastAsia="Times New Roman" w:hAnsiTheme="majorHAnsi" w:cstheme="majorHAnsi"/>
          <w:b w:val="0"/>
          <w:bCs w:val="0"/>
          <w:sz w:val="24"/>
          <w:szCs w:val="24"/>
          <w:lang w:bidi="he-IL"/>
        </w:rPr>
        <w:t>Moldova,</w:t>
      </w:r>
      <w:r w:rsidR="00F6575F" w:rsidRPr="008376FC">
        <w:rPr>
          <w:rFonts w:asciiTheme="majorHAnsi" w:eastAsia="Times New Roman" w:hAnsiTheme="majorHAnsi" w:cstheme="majorHAnsi"/>
          <w:b w:val="0"/>
          <w:bCs w:val="0"/>
          <w:sz w:val="24"/>
          <w:szCs w:val="24"/>
          <w:lang w:bidi="he-IL"/>
        </w:rPr>
        <w:t xml:space="preserve"> </w:t>
      </w:r>
      <w:r w:rsidRPr="008376FC">
        <w:rPr>
          <w:rFonts w:asciiTheme="majorHAnsi" w:eastAsia="Times New Roman" w:hAnsiTheme="majorHAnsi" w:cstheme="majorHAnsi"/>
          <w:b w:val="0"/>
          <w:bCs w:val="0"/>
          <w:sz w:val="24"/>
          <w:szCs w:val="24"/>
          <w:lang w:bidi="he-IL"/>
        </w:rPr>
        <w:t>contribuind astfel la îmbunătăţirea sănătăţii, demnităţii şi calităţii vieţii şi la dezvoltarea economică a ţării.</w:t>
      </w:r>
    </w:p>
    <w:p w:rsidR="0053166E" w:rsidRPr="008376FC" w:rsidRDefault="0053166E"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bCs w:val="0"/>
          <w:sz w:val="24"/>
          <w:szCs w:val="24"/>
          <w:lang w:bidi="he-IL"/>
        </w:rPr>
        <w:t xml:space="preserve">De remarcat faptul că, deşi SAAS stabileşte atât indicatorii de evaluare </w:t>
      </w:r>
      <w:r w:rsidR="00BE44A4">
        <w:rPr>
          <w:rFonts w:asciiTheme="majorHAnsi" w:eastAsia="Times New Roman" w:hAnsiTheme="majorHAnsi" w:cstheme="majorHAnsi"/>
          <w:b w:val="0"/>
          <w:bCs w:val="0"/>
          <w:sz w:val="24"/>
          <w:szCs w:val="24"/>
          <w:lang w:bidi="he-IL"/>
        </w:rPr>
        <w:t>pe</w:t>
      </w:r>
      <w:r w:rsidRPr="008376FC">
        <w:rPr>
          <w:rFonts w:asciiTheme="majorHAnsi" w:eastAsia="Times New Roman" w:hAnsiTheme="majorHAnsi" w:cstheme="majorHAnsi"/>
          <w:b w:val="0"/>
          <w:bCs w:val="0"/>
          <w:sz w:val="24"/>
          <w:szCs w:val="24"/>
          <w:lang w:bidi="he-IL"/>
        </w:rPr>
        <w:t xml:space="preserve"> termen mediu, cât şi cei finali, MM/MADRM nu a asigurat monitorizarea şi raportarea acestora în cadrul rapoartelor anuale privind procesul de implementare a </w:t>
      </w:r>
      <w:r w:rsidR="00BE44A4">
        <w:rPr>
          <w:rFonts w:asciiTheme="majorHAnsi" w:eastAsia="Times New Roman" w:hAnsiTheme="majorHAnsi" w:cstheme="majorHAnsi"/>
          <w:b w:val="0"/>
          <w:bCs w:val="0"/>
          <w:sz w:val="24"/>
          <w:szCs w:val="24"/>
          <w:lang w:bidi="he-IL"/>
        </w:rPr>
        <w:t>Strategiei</w:t>
      </w:r>
      <w:r w:rsidRPr="008376FC">
        <w:rPr>
          <w:rFonts w:asciiTheme="majorHAnsi" w:eastAsia="Times New Roman" w:hAnsiTheme="majorHAnsi" w:cstheme="majorHAnsi"/>
          <w:b w:val="0"/>
          <w:bCs w:val="0"/>
          <w:sz w:val="24"/>
          <w:szCs w:val="24"/>
          <w:lang w:bidi="he-IL"/>
        </w:rPr>
        <w:t>, raportarea fiind axată exclusiv pe gradul de implementare a Planurilor de acţiuni.</w:t>
      </w:r>
    </w:p>
    <w:p w:rsidR="0053166E" w:rsidRPr="008376FC" w:rsidRDefault="0053166E"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BE44A4">
        <w:rPr>
          <w:rFonts w:asciiTheme="majorHAnsi" w:eastAsia="Times New Roman" w:hAnsiTheme="majorHAnsi" w:cstheme="majorHAnsi"/>
          <w:b w:val="0"/>
          <w:bCs w:val="0"/>
          <w:sz w:val="24"/>
          <w:szCs w:val="24"/>
          <w:lang w:bidi="he-IL"/>
        </w:rPr>
        <w:t>Totodată, în contextul aprobării Strategiei Naţionale de Dezvoltare „Moldova Europeană 2030”</w:t>
      </w:r>
      <w:r w:rsidRPr="002841CC">
        <w:rPr>
          <w:rStyle w:val="ab"/>
          <w:rFonts w:asciiTheme="majorHAnsi" w:eastAsia="Times New Roman" w:hAnsiTheme="majorHAnsi" w:cstheme="majorHAnsi"/>
          <w:b w:val="0"/>
          <w:sz w:val="24"/>
          <w:szCs w:val="24"/>
          <w:lang w:bidi="he-IL"/>
        </w:rPr>
        <w:footnoteReference w:id="20"/>
      </w:r>
      <w:r w:rsidRPr="00BE44A4">
        <w:rPr>
          <w:rFonts w:asciiTheme="majorHAnsi" w:eastAsia="Times New Roman" w:hAnsiTheme="majorHAnsi" w:cstheme="majorHAnsi"/>
          <w:b w:val="0"/>
          <w:bCs w:val="0"/>
          <w:sz w:val="24"/>
          <w:szCs w:val="24"/>
          <w:lang w:bidi="he-IL"/>
        </w:rPr>
        <w:t xml:space="preserve">, au fost </w:t>
      </w:r>
      <w:r w:rsidR="00BE44A4">
        <w:rPr>
          <w:rFonts w:asciiTheme="majorHAnsi" w:eastAsia="Times New Roman" w:hAnsiTheme="majorHAnsi" w:cstheme="majorHAnsi"/>
          <w:b w:val="0"/>
          <w:bCs w:val="0"/>
          <w:sz w:val="24"/>
          <w:szCs w:val="24"/>
          <w:lang w:bidi="he-IL"/>
        </w:rPr>
        <w:t>stabiliți</w:t>
      </w:r>
      <w:r w:rsidR="00BE44A4" w:rsidRPr="00BE44A4">
        <w:rPr>
          <w:rFonts w:asciiTheme="majorHAnsi" w:eastAsia="Times New Roman" w:hAnsiTheme="majorHAnsi" w:cstheme="majorHAnsi"/>
          <w:b w:val="0"/>
          <w:bCs w:val="0"/>
          <w:sz w:val="24"/>
          <w:szCs w:val="24"/>
          <w:lang w:bidi="he-IL"/>
        </w:rPr>
        <w:t xml:space="preserve"> </w:t>
      </w:r>
      <w:r w:rsidRPr="00BE44A4">
        <w:rPr>
          <w:rFonts w:asciiTheme="majorHAnsi" w:eastAsia="Times New Roman" w:hAnsiTheme="majorHAnsi" w:cstheme="majorHAnsi"/>
          <w:b w:val="0"/>
          <w:bCs w:val="0"/>
          <w:sz w:val="24"/>
          <w:szCs w:val="24"/>
          <w:lang w:bidi="he-IL"/>
        </w:rPr>
        <w:t>noi indicatori de progres</w:t>
      </w:r>
      <w:r w:rsidRPr="002841CC">
        <w:rPr>
          <w:rStyle w:val="ab"/>
          <w:rFonts w:asciiTheme="majorHAnsi" w:eastAsia="Times New Roman" w:hAnsiTheme="majorHAnsi" w:cstheme="majorHAnsi"/>
          <w:b w:val="0"/>
          <w:sz w:val="24"/>
          <w:szCs w:val="24"/>
          <w:lang w:bidi="he-IL"/>
        </w:rPr>
        <w:footnoteReference w:id="21"/>
      </w:r>
      <w:r w:rsidRPr="00BE44A4">
        <w:rPr>
          <w:rFonts w:asciiTheme="majorHAnsi" w:eastAsia="Times New Roman" w:hAnsiTheme="majorHAnsi" w:cstheme="majorHAnsi"/>
          <w:b w:val="0"/>
          <w:bCs w:val="0"/>
          <w:sz w:val="24"/>
          <w:szCs w:val="24"/>
          <w:lang w:bidi="he-IL"/>
        </w:rPr>
        <w:t xml:space="preserve"> atât intermediari, cât şi finali</w:t>
      </w:r>
      <w:r w:rsidR="00BE44A4">
        <w:rPr>
          <w:rFonts w:asciiTheme="majorHAnsi" w:eastAsia="Times New Roman" w:hAnsiTheme="majorHAnsi" w:cstheme="majorHAnsi"/>
          <w:b w:val="0"/>
          <w:bCs w:val="0"/>
          <w:sz w:val="24"/>
          <w:szCs w:val="24"/>
          <w:lang w:bidi="he-IL"/>
        </w:rPr>
        <w:t>,</w:t>
      </w:r>
      <w:r w:rsidRPr="00BE44A4">
        <w:rPr>
          <w:rFonts w:asciiTheme="majorHAnsi" w:eastAsia="Times New Roman" w:hAnsiTheme="majorHAnsi" w:cstheme="majorHAnsi"/>
          <w:b w:val="0"/>
          <w:bCs w:val="0"/>
          <w:sz w:val="24"/>
          <w:szCs w:val="24"/>
          <w:lang w:bidi="he-IL"/>
        </w:rPr>
        <w:t xml:space="preserve"> comparativ cu cei stabiliţi de SAAS. Compara</w:t>
      </w:r>
      <w:r w:rsidR="00BE44A4">
        <w:rPr>
          <w:rFonts w:asciiTheme="majorHAnsi" w:eastAsia="Times New Roman" w:hAnsiTheme="majorHAnsi" w:cstheme="majorHAnsi"/>
          <w:b w:val="0"/>
          <w:bCs w:val="0"/>
          <w:sz w:val="24"/>
          <w:szCs w:val="24"/>
          <w:lang w:bidi="he-IL"/>
        </w:rPr>
        <w:t>re</w:t>
      </w:r>
      <w:r w:rsidRPr="00BE44A4">
        <w:rPr>
          <w:rFonts w:asciiTheme="majorHAnsi" w:eastAsia="Times New Roman" w:hAnsiTheme="majorHAnsi" w:cstheme="majorHAnsi"/>
          <w:b w:val="0"/>
          <w:bCs w:val="0"/>
          <w:sz w:val="24"/>
          <w:szCs w:val="24"/>
          <w:lang w:bidi="he-IL"/>
        </w:rPr>
        <w:t xml:space="preserve">a indicatorilor de rezultat </w:t>
      </w:r>
      <w:r w:rsidR="00BE44A4">
        <w:rPr>
          <w:rFonts w:asciiTheme="majorHAnsi" w:eastAsia="Times New Roman" w:hAnsiTheme="majorHAnsi" w:cstheme="majorHAnsi"/>
          <w:b w:val="0"/>
          <w:bCs w:val="0"/>
          <w:sz w:val="24"/>
          <w:szCs w:val="24"/>
          <w:lang w:bidi="he-IL"/>
        </w:rPr>
        <w:t>din</w:t>
      </w:r>
      <w:r w:rsidR="009D70E2" w:rsidRPr="00BE44A4">
        <w:rPr>
          <w:rFonts w:asciiTheme="majorHAnsi" w:eastAsia="Times New Roman" w:hAnsiTheme="majorHAnsi" w:cstheme="majorHAnsi"/>
          <w:b w:val="0"/>
          <w:bCs w:val="0"/>
          <w:sz w:val="24"/>
          <w:szCs w:val="24"/>
          <w:lang w:bidi="he-IL"/>
        </w:rPr>
        <w:t xml:space="preserve"> </w:t>
      </w:r>
      <w:r w:rsidRPr="00BE44A4">
        <w:rPr>
          <w:rFonts w:asciiTheme="majorHAnsi" w:eastAsia="Times New Roman" w:hAnsiTheme="majorHAnsi" w:cstheme="majorHAnsi"/>
          <w:b w:val="0"/>
          <w:bCs w:val="0"/>
          <w:sz w:val="24"/>
          <w:szCs w:val="24"/>
          <w:lang w:bidi="he-IL"/>
        </w:rPr>
        <w:t xml:space="preserve">SAAS </w:t>
      </w:r>
      <w:r w:rsidR="00BE44A4">
        <w:rPr>
          <w:rFonts w:asciiTheme="majorHAnsi" w:eastAsia="Times New Roman" w:hAnsiTheme="majorHAnsi" w:cstheme="majorHAnsi"/>
          <w:b w:val="0"/>
          <w:bCs w:val="0"/>
          <w:sz w:val="24"/>
          <w:szCs w:val="24"/>
          <w:lang w:bidi="he-IL"/>
        </w:rPr>
        <w:t>cu cei din</w:t>
      </w:r>
      <w:r w:rsidR="009D70E2" w:rsidRPr="00BE44A4">
        <w:rPr>
          <w:rFonts w:asciiTheme="majorHAnsi" w:eastAsia="Times New Roman" w:hAnsiTheme="majorHAnsi" w:cstheme="majorHAnsi"/>
          <w:b w:val="0"/>
          <w:bCs w:val="0"/>
          <w:sz w:val="24"/>
          <w:szCs w:val="24"/>
          <w:lang w:bidi="he-IL"/>
        </w:rPr>
        <w:t xml:space="preserve"> </w:t>
      </w:r>
      <w:r w:rsidRPr="00BE44A4">
        <w:rPr>
          <w:rFonts w:asciiTheme="majorHAnsi" w:eastAsia="Times New Roman" w:hAnsiTheme="majorHAnsi" w:cstheme="majorHAnsi"/>
          <w:b w:val="0"/>
          <w:bCs w:val="0"/>
          <w:sz w:val="24"/>
          <w:szCs w:val="24"/>
          <w:lang w:bidi="he-IL"/>
        </w:rPr>
        <w:t>SND „Moldova Europeană 2023”</w:t>
      </w:r>
      <w:r w:rsidR="006833B0" w:rsidRPr="00BE44A4">
        <w:rPr>
          <w:rFonts w:asciiTheme="majorHAnsi" w:eastAsia="Times New Roman" w:hAnsiTheme="majorHAnsi" w:cstheme="majorHAnsi"/>
          <w:b w:val="0"/>
          <w:bCs w:val="0"/>
          <w:sz w:val="24"/>
          <w:szCs w:val="24"/>
          <w:lang w:bidi="he-IL"/>
        </w:rPr>
        <w:t xml:space="preserve"> </w:t>
      </w:r>
      <w:r w:rsidR="00BE44A4">
        <w:rPr>
          <w:rFonts w:asciiTheme="majorHAnsi" w:eastAsia="Times New Roman" w:hAnsiTheme="majorHAnsi" w:cstheme="majorHAnsi"/>
          <w:b w:val="0"/>
          <w:bCs w:val="0"/>
          <w:sz w:val="24"/>
          <w:szCs w:val="24"/>
          <w:lang w:bidi="he-IL"/>
        </w:rPr>
        <w:t>relevă</w:t>
      </w:r>
      <w:r w:rsidR="006833B0" w:rsidRPr="00BE44A4">
        <w:rPr>
          <w:rFonts w:asciiTheme="majorHAnsi" w:eastAsia="Times New Roman" w:hAnsiTheme="majorHAnsi" w:cstheme="majorHAnsi"/>
          <w:b w:val="0"/>
          <w:bCs w:val="0"/>
          <w:sz w:val="24"/>
          <w:szCs w:val="24"/>
          <w:lang w:bidi="he-IL"/>
        </w:rPr>
        <w:t xml:space="preserve"> </w:t>
      </w:r>
      <w:r w:rsidR="00BE44A4">
        <w:rPr>
          <w:rFonts w:asciiTheme="majorHAnsi" w:eastAsia="Times New Roman" w:hAnsiTheme="majorHAnsi" w:cstheme="majorHAnsi"/>
          <w:b w:val="0"/>
          <w:bCs w:val="0"/>
          <w:sz w:val="24"/>
          <w:szCs w:val="24"/>
          <w:lang w:bidi="he-IL"/>
        </w:rPr>
        <w:t xml:space="preserve">faptul </w:t>
      </w:r>
      <w:r w:rsidR="006833B0" w:rsidRPr="00BE44A4">
        <w:rPr>
          <w:rFonts w:asciiTheme="majorHAnsi" w:eastAsia="Times New Roman" w:hAnsiTheme="majorHAnsi" w:cstheme="majorHAnsi"/>
          <w:b w:val="0"/>
          <w:bCs w:val="0"/>
          <w:sz w:val="24"/>
          <w:szCs w:val="24"/>
          <w:lang w:bidi="he-IL"/>
        </w:rPr>
        <w:t>că, deoarece Strategia națională de dezvoltare este documentul național de planificare care stabilește viziunea, prioritățile și obiectivele</w:t>
      </w:r>
      <w:r w:rsidR="00BE44A4">
        <w:rPr>
          <w:rFonts w:asciiTheme="majorHAnsi" w:eastAsia="Times New Roman" w:hAnsiTheme="majorHAnsi" w:cstheme="majorHAnsi"/>
          <w:b w:val="0"/>
          <w:bCs w:val="0"/>
          <w:sz w:val="24"/>
          <w:szCs w:val="24"/>
          <w:lang w:bidi="he-IL"/>
        </w:rPr>
        <w:t xml:space="preserve"> de</w:t>
      </w:r>
      <w:r w:rsidR="006833B0" w:rsidRPr="00BE44A4">
        <w:rPr>
          <w:rFonts w:asciiTheme="majorHAnsi" w:eastAsia="Times New Roman" w:hAnsiTheme="majorHAnsi" w:cstheme="majorHAnsi"/>
          <w:b w:val="0"/>
          <w:bCs w:val="0"/>
          <w:sz w:val="24"/>
          <w:szCs w:val="24"/>
          <w:lang w:bidi="he-IL"/>
        </w:rPr>
        <w:t xml:space="preserve"> dezvoltare</w:t>
      </w:r>
      <w:r w:rsidR="00BE44A4">
        <w:rPr>
          <w:rFonts w:asciiTheme="majorHAnsi" w:eastAsia="Times New Roman" w:hAnsiTheme="majorHAnsi" w:cstheme="majorHAnsi"/>
          <w:b w:val="0"/>
          <w:bCs w:val="0"/>
          <w:sz w:val="24"/>
          <w:szCs w:val="24"/>
          <w:lang w:bidi="he-IL"/>
        </w:rPr>
        <w:t xml:space="preserve"> </w:t>
      </w:r>
      <w:r w:rsidR="006833B0" w:rsidRPr="00BE44A4">
        <w:rPr>
          <w:rFonts w:asciiTheme="majorHAnsi" w:eastAsia="Times New Roman" w:hAnsiTheme="majorHAnsi" w:cstheme="majorHAnsi"/>
          <w:b w:val="0"/>
          <w:bCs w:val="0"/>
          <w:sz w:val="24"/>
          <w:szCs w:val="24"/>
          <w:lang w:bidi="he-IL"/>
        </w:rPr>
        <w:t>a țării pe termen</w:t>
      </w:r>
      <w:r w:rsidR="006833B0" w:rsidRPr="008376FC">
        <w:rPr>
          <w:rFonts w:asciiTheme="majorHAnsi" w:eastAsia="Times New Roman" w:hAnsiTheme="majorHAnsi" w:cstheme="majorHAnsi"/>
          <w:b w:val="0"/>
          <w:bCs w:val="0"/>
          <w:sz w:val="24"/>
          <w:szCs w:val="24"/>
          <w:lang w:bidi="he-IL"/>
        </w:rPr>
        <w:t xml:space="preserve"> lun</w:t>
      </w:r>
      <w:r w:rsidR="006833B0" w:rsidRPr="00BE44A4">
        <w:rPr>
          <w:rFonts w:asciiTheme="majorHAnsi" w:eastAsia="Times New Roman" w:hAnsiTheme="majorHAnsi" w:cstheme="majorHAnsi"/>
          <w:b w:val="0"/>
          <w:bCs w:val="0"/>
          <w:sz w:val="24"/>
          <w:szCs w:val="24"/>
          <w:lang w:bidi="he-IL"/>
        </w:rPr>
        <w:t>g</w:t>
      </w:r>
      <w:r w:rsidR="006833B0" w:rsidRPr="002841CC">
        <w:rPr>
          <w:rStyle w:val="ab"/>
          <w:rFonts w:asciiTheme="majorHAnsi" w:eastAsia="Times New Roman" w:hAnsiTheme="majorHAnsi" w:cstheme="majorHAnsi"/>
          <w:b w:val="0"/>
          <w:sz w:val="24"/>
          <w:szCs w:val="24"/>
          <w:lang w:bidi="he-IL"/>
        </w:rPr>
        <w:footnoteReference w:id="22"/>
      </w:r>
      <w:r w:rsidR="006833B0" w:rsidRPr="00BE44A4">
        <w:rPr>
          <w:rFonts w:asciiTheme="majorHAnsi" w:eastAsia="Times New Roman" w:hAnsiTheme="majorHAnsi" w:cstheme="majorHAnsi"/>
          <w:b w:val="0"/>
          <w:bCs w:val="0"/>
          <w:sz w:val="24"/>
          <w:szCs w:val="24"/>
          <w:lang w:bidi="he-IL"/>
        </w:rPr>
        <w:t>,</w:t>
      </w:r>
      <w:r w:rsidR="006833B0" w:rsidRPr="008376FC">
        <w:rPr>
          <w:rFonts w:asciiTheme="majorHAnsi" w:eastAsia="Times New Roman" w:hAnsiTheme="majorHAnsi" w:cstheme="majorHAnsi"/>
          <w:b w:val="0"/>
          <w:bCs w:val="0"/>
          <w:sz w:val="24"/>
          <w:szCs w:val="24"/>
          <w:lang w:bidi="he-IL"/>
        </w:rPr>
        <w:t xml:space="preserve"> iar SAAS reprezintă o politică sectorială, indicatorii SAAS urmează să fie modificați astfel încât să corespundă SND actuale. Sinteza </w:t>
      </w:r>
      <w:r w:rsidR="00C96A8B">
        <w:rPr>
          <w:rFonts w:asciiTheme="majorHAnsi" w:eastAsia="Times New Roman" w:hAnsiTheme="majorHAnsi" w:cstheme="majorHAnsi"/>
          <w:b w:val="0"/>
          <w:bCs w:val="0"/>
          <w:sz w:val="24"/>
          <w:szCs w:val="24"/>
          <w:lang w:bidi="he-IL"/>
        </w:rPr>
        <w:t xml:space="preserve">la acest aspect </w:t>
      </w:r>
      <w:r w:rsidRPr="008376FC">
        <w:rPr>
          <w:rFonts w:asciiTheme="majorHAnsi" w:eastAsia="Times New Roman" w:hAnsiTheme="majorHAnsi" w:cstheme="majorHAnsi"/>
          <w:b w:val="0"/>
          <w:bCs w:val="0"/>
          <w:sz w:val="24"/>
          <w:szCs w:val="24"/>
          <w:lang w:bidi="he-IL"/>
        </w:rPr>
        <w:t xml:space="preserve">se prezintă în </w:t>
      </w:r>
      <w:r w:rsidR="00E46A2D" w:rsidRPr="008376FC">
        <w:rPr>
          <w:rFonts w:asciiTheme="majorHAnsi" w:eastAsia="Times New Roman" w:hAnsiTheme="majorHAnsi" w:cstheme="majorHAnsi"/>
          <w:b w:val="0"/>
          <w:bCs w:val="0"/>
          <w:sz w:val="24"/>
          <w:szCs w:val="24"/>
          <w:lang w:bidi="he-IL"/>
        </w:rPr>
        <w:t>T</w:t>
      </w:r>
      <w:r w:rsidRPr="008376FC">
        <w:rPr>
          <w:rFonts w:asciiTheme="majorHAnsi" w:eastAsia="Times New Roman" w:hAnsiTheme="majorHAnsi" w:cstheme="majorHAnsi"/>
          <w:b w:val="0"/>
          <w:bCs w:val="0"/>
          <w:sz w:val="24"/>
          <w:szCs w:val="24"/>
          <w:lang w:bidi="he-IL"/>
        </w:rPr>
        <w:t xml:space="preserve">abelul </w:t>
      </w:r>
      <w:r w:rsidR="002841CC">
        <w:rPr>
          <w:rFonts w:asciiTheme="majorHAnsi" w:eastAsia="Times New Roman" w:hAnsiTheme="majorHAnsi" w:cstheme="majorHAnsi"/>
          <w:b w:val="0"/>
          <w:bCs w:val="0"/>
          <w:sz w:val="24"/>
          <w:szCs w:val="24"/>
          <w:lang w:bidi="he-IL"/>
        </w:rPr>
        <w:t>de mai jos.</w:t>
      </w:r>
    </w:p>
    <w:p w:rsidR="00E46A2D" w:rsidRPr="008376FC" w:rsidRDefault="00E46A2D" w:rsidP="00F61756">
      <w:pPr>
        <w:shd w:val="clear" w:color="auto" w:fill="FFFFFF"/>
        <w:spacing w:after="0" w:line="276" w:lineRule="auto"/>
        <w:ind w:firstLine="540"/>
        <w:jc w:val="right"/>
        <w:rPr>
          <w:rFonts w:asciiTheme="majorHAnsi" w:eastAsia="Times New Roman" w:hAnsiTheme="majorHAnsi" w:cstheme="majorHAnsi"/>
          <w:sz w:val="20"/>
          <w:szCs w:val="20"/>
          <w:lang w:bidi="he-IL"/>
        </w:rPr>
      </w:pPr>
      <w:r w:rsidRPr="008376FC">
        <w:rPr>
          <w:rFonts w:asciiTheme="majorHAnsi" w:eastAsia="Times New Roman" w:hAnsiTheme="majorHAnsi" w:cstheme="majorHAnsi"/>
          <w:sz w:val="20"/>
          <w:szCs w:val="20"/>
          <w:lang w:bidi="he-IL"/>
        </w:rPr>
        <w:t>Tabelul nr</w:t>
      </w:r>
      <w:r w:rsidRPr="002841CC">
        <w:rPr>
          <w:rFonts w:asciiTheme="majorHAnsi" w:eastAsia="Times New Roman" w:hAnsiTheme="majorHAnsi" w:cstheme="majorHAnsi"/>
          <w:sz w:val="20"/>
          <w:szCs w:val="20"/>
          <w:lang w:bidi="he-IL"/>
        </w:rPr>
        <w:t xml:space="preserve">. </w:t>
      </w:r>
      <w:r w:rsidR="00F42FF4" w:rsidRPr="002841CC">
        <w:rPr>
          <w:rFonts w:asciiTheme="majorHAnsi" w:eastAsia="Times New Roman" w:hAnsiTheme="majorHAnsi" w:cstheme="majorHAnsi"/>
          <w:sz w:val="20"/>
          <w:szCs w:val="20"/>
          <w:lang w:bidi="he-IL"/>
        </w:rPr>
        <w:t>2</w:t>
      </w:r>
    </w:p>
    <w:p w:rsidR="00E46A2D" w:rsidRPr="008376FC" w:rsidRDefault="00E46A2D" w:rsidP="00F61756">
      <w:pPr>
        <w:shd w:val="clear" w:color="auto" w:fill="FFFFFF"/>
        <w:spacing w:after="0" w:line="276" w:lineRule="auto"/>
        <w:ind w:firstLine="540"/>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sz w:val="20"/>
          <w:szCs w:val="20"/>
          <w:lang w:bidi="he-IL"/>
        </w:rPr>
        <w:t>Indicatorii de evaluare a accesului populaţiei la apeducte şi sisteme de sanitaţie sigure</w:t>
      </w:r>
    </w:p>
    <w:tbl>
      <w:tblPr>
        <w:tblStyle w:val="af2"/>
        <w:tblW w:w="9779" w:type="dxa"/>
        <w:tblLook w:val="04A0" w:firstRow="1" w:lastRow="0" w:firstColumn="1" w:lastColumn="0" w:noHBand="0" w:noVBand="1"/>
      </w:tblPr>
      <w:tblGrid>
        <w:gridCol w:w="5750"/>
        <w:gridCol w:w="1128"/>
        <w:gridCol w:w="845"/>
        <w:gridCol w:w="988"/>
        <w:gridCol w:w="1068"/>
      </w:tblGrid>
      <w:tr w:rsidR="00E46A2D" w:rsidRPr="008376FC" w:rsidTr="00F42FF4">
        <w:trPr>
          <w:trHeight w:val="307"/>
        </w:trPr>
        <w:tc>
          <w:tcPr>
            <w:tcW w:w="5750" w:type="dxa"/>
            <w:shd w:val="clear" w:color="auto" w:fill="BDD6EE" w:themeFill="accent1" w:themeFillTint="66"/>
          </w:tcPr>
          <w:p w:rsidR="00E46A2D" w:rsidRPr="008376FC" w:rsidRDefault="00E46A2D" w:rsidP="00F61756">
            <w:pPr>
              <w:spacing w:line="276" w:lineRule="auto"/>
              <w:jc w:val="both"/>
              <w:rPr>
                <w:rFonts w:asciiTheme="majorHAnsi" w:eastAsia="Times New Roman" w:hAnsiTheme="majorHAnsi" w:cstheme="majorHAnsi"/>
                <w:bCs w:val="0"/>
                <w:sz w:val="20"/>
                <w:szCs w:val="20"/>
                <w:lang w:bidi="he-IL"/>
              </w:rPr>
            </w:pPr>
            <w:r w:rsidRPr="008376FC">
              <w:rPr>
                <w:rFonts w:asciiTheme="majorHAnsi" w:eastAsia="Times New Roman" w:hAnsiTheme="majorHAnsi" w:cstheme="majorHAnsi"/>
                <w:sz w:val="20"/>
                <w:szCs w:val="20"/>
                <w:lang w:bidi="he-IL"/>
              </w:rPr>
              <w:t>Strategia</w:t>
            </w:r>
          </w:p>
        </w:tc>
        <w:tc>
          <w:tcPr>
            <w:tcW w:w="1128" w:type="dxa"/>
            <w:shd w:val="clear" w:color="auto" w:fill="BDD6EE" w:themeFill="accent1" w:themeFillTint="66"/>
          </w:tcPr>
          <w:p w:rsidR="00E46A2D" w:rsidRPr="008376FC" w:rsidRDefault="00E46A2D" w:rsidP="00F61756">
            <w:pPr>
              <w:spacing w:line="276" w:lineRule="auto"/>
              <w:jc w:val="both"/>
              <w:rPr>
                <w:rFonts w:asciiTheme="majorHAnsi" w:eastAsia="Times New Roman" w:hAnsiTheme="majorHAnsi" w:cstheme="majorHAnsi"/>
                <w:bCs w:val="0"/>
                <w:sz w:val="20"/>
                <w:szCs w:val="20"/>
                <w:lang w:bidi="he-IL"/>
              </w:rPr>
            </w:pPr>
            <w:r w:rsidRPr="008376FC">
              <w:rPr>
                <w:rFonts w:asciiTheme="majorHAnsi" w:eastAsia="Times New Roman" w:hAnsiTheme="majorHAnsi" w:cstheme="majorHAnsi"/>
                <w:sz w:val="20"/>
                <w:szCs w:val="20"/>
                <w:lang w:bidi="he-IL"/>
              </w:rPr>
              <w:t>2020</w:t>
            </w:r>
          </w:p>
        </w:tc>
        <w:tc>
          <w:tcPr>
            <w:tcW w:w="845" w:type="dxa"/>
            <w:shd w:val="clear" w:color="auto" w:fill="BDD6EE" w:themeFill="accent1" w:themeFillTint="66"/>
          </w:tcPr>
          <w:p w:rsidR="00E46A2D" w:rsidRPr="008376FC" w:rsidRDefault="00E46A2D" w:rsidP="00F61756">
            <w:pPr>
              <w:spacing w:line="276" w:lineRule="auto"/>
              <w:jc w:val="both"/>
              <w:rPr>
                <w:rFonts w:asciiTheme="majorHAnsi" w:eastAsia="Times New Roman" w:hAnsiTheme="majorHAnsi" w:cstheme="majorHAnsi"/>
                <w:bCs w:val="0"/>
                <w:sz w:val="20"/>
                <w:szCs w:val="20"/>
                <w:lang w:bidi="he-IL"/>
              </w:rPr>
            </w:pPr>
            <w:r w:rsidRPr="008376FC">
              <w:rPr>
                <w:rFonts w:asciiTheme="majorHAnsi" w:eastAsia="Times New Roman" w:hAnsiTheme="majorHAnsi" w:cstheme="majorHAnsi"/>
                <w:sz w:val="20"/>
                <w:szCs w:val="20"/>
                <w:lang w:bidi="he-IL"/>
              </w:rPr>
              <w:t>2021</w:t>
            </w:r>
            <w:r w:rsidRPr="008376FC">
              <w:rPr>
                <w:rFonts w:asciiTheme="majorHAnsi" w:eastAsia="Times New Roman" w:hAnsiTheme="majorHAnsi" w:cstheme="majorHAnsi"/>
                <w:sz w:val="20"/>
                <w:szCs w:val="20"/>
                <w:vertAlign w:val="superscript"/>
                <w:lang w:bidi="he-IL"/>
              </w:rPr>
              <w:footnoteReference w:id="23"/>
            </w:r>
          </w:p>
        </w:tc>
        <w:tc>
          <w:tcPr>
            <w:tcW w:w="988" w:type="dxa"/>
            <w:shd w:val="clear" w:color="auto" w:fill="BDD6EE" w:themeFill="accent1" w:themeFillTint="66"/>
          </w:tcPr>
          <w:p w:rsidR="00E46A2D" w:rsidRPr="008376FC" w:rsidRDefault="00E46A2D" w:rsidP="00F61756">
            <w:pPr>
              <w:spacing w:line="276" w:lineRule="auto"/>
              <w:jc w:val="both"/>
              <w:rPr>
                <w:rFonts w:asciiTheme="majorHAnsi" w:eastAsia="Times New Roman" w:hAnsiTheme="majorHAnsi" w:cstheme="majorHAnsi"/>
                <w:bCs w:val="0"/>
                <w:sz w:val="20"/>
                <w:szCs w:val="20"/>
                <w:lang w:bidi="he-IL"/>
              </w:rPr>
            </w:pPr>
            <w:r w:rsidRPr="008376FC">
              <w:rPr>
                <w:rFonts w:asciiTheme="majorHAnsi" w:eastAsia="Times New Roman" w:hAnsiTheme="majorHAnsi" w:cstheme="majorHAnsi"/>
                <w:sz w:val="20"/>
                <w:szCs w:val="20"/>
                <w:lang w:bidi="he-IL"/>
              </w:rPr>
              <w:t>2025</w:t>
            </w:r>
          </w:p>
        </w:tc>
        <w:tc>
          <w:tcPr>
            <w:tcW w:w="1065" w:type="dxa"/>
            <w:shd w:val="clear" w:color="auto" w:fill="BDD6EE" w:themeFill="accent1" w:themeFillTint="66"/>
          </w:tcPr>
          <w:p w:rsidR="00E46A2D" w:rsidRPr="008376FC" w:rsidRDefault="00E46A2D" w:rsidP="00F61756">
            <w:pPr>
              <w:spacing w:line="276" w:lineRule="auto"/>
              <w:jc w:val="both"/>
              <w:rPr>
                <w:rFonts w:asciiTheme="majorHAnsi" w:eastAsia="Times New Roman" w:hAnsiTheme="majorHAnsi" w:cstheme="majorHAnsi"/>
                <w:bCs w:val="0"/>
                <w:sz w:val="20"/>
                <w:szCs w:val="20"/>
                <w:lang w:bidi="he-IL"/>
              </w:rPr>
            </w:pPr>
            <w:r w:rsidRPr="008376FC">
              <w:rPr>
                <w:rFonts w:asciiTheme="majorHAnsi" w:eastAsia="Times New Roman" w:hAnsiTheme="majorHAnsi" w:cstheme="majorHAnsi"/>
                <w:sz w:val="20"/>
                <w:szCs w:val="20"/>
                <w:lang w:bidi="he-IL"/>
              </w:rPr>
              <w:t>2030</w:t>
            </w:r>
          </w:p>
        </w:tc>
      </w:tr>
      <w:tr w:rsidR="00E46A2D" w:rsidRPr="008376FC" w:rsidTr="00F42FF4">
        <w:trPr>
          <w:trHeight w:val="171"/>
        </w:trPr>
        <w:tc>
          <w:tcPr>
            <w:tcW w:w="9779" w:type="dxa"/>
            <w:gridSpan w:val="5"/>
          </w:tcPr>
          <w:p w:rsidR="00E46A2D" w:rsidRPr="008376FC" w:rsidRDefault="00E46A2D" w:rsidP="00F61756">
            <w:pPr>
              <w:spacing w:line="276" w:lineRule="auto"/>
              <w:jc w:val="center"/>
              <w:rPr>
                <w:rFonts w:asciiTheme="majorHAnsi" w:eastAsia="Times New Roman" w:hAnsiTheme="majorHAnsi" w:cstheme="majorHAnsi"/>
                <w:bCs w:val="0"/>
                <w:sz w:val="20"/>
                <w:szCs w:val="20"/>
                <w:lang w:bidi="he-IL"/>
              </w:rPr>
            </w:pPr>
            <w:r w:rsidRPr="008376FC">
              <w:rPr>
                <w:rFonts w:asciiTheme="majorHAnsi" w:eastAsia="Times New Roman" w:hAnsiTheme="majorHAnsi" w:cstheme="majorHAnsi"/>
                <w:sz w:val="20"/>
                <w:szCs w:val="20"/>
                <w:lang w:bidi="he-IL"/>
              </w:rPr>
              <w:t>Ponderea populaţiei cu acces la surse sigure de alimentare cu apă, % din total</w:t>
            </w:r>
          </w:p>
        </w:tc>
      </w:tr>
      <w:tr w:rsidR="00E46A2D" w:rsidRPr="008376FC" w:rsidTr="00F42FF4">
        <w:trPr>
          <w:trHeight w:val="161"/>
        </w:trPr>
        <w:tc>
          <w:tcPr>
            <w:tcW w:w="5750" w:type="dxa"/>
          </w:tcPr>
          <w:p w:rsidR="00E46A2D" w:rsidRPr="008376FC" w:rsidRDefault="00E46A2D" w:rsidP="00F61756">
            <w:pPr>
              <w:spacing w:line="276" w:lineRule="auto"/>
              <w:jc w:val="both"/>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SAAS</w:t>
            </w:r>
          </w:p>
        </w:tc>
        <w:tc>
          <w:tcPr>
            <w:tcW w:w="1128" w:type="dxa"/>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65</w:t>
            </w:r>
          </w:p>
        </w:tc>
        <w:tc>
          <w:tcPr>
            <w:tcW w:w="845" w:type="dxa"/>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w:t>
            </w:r>
          </w:p>
        </w:tc>
        <w:tc>
          <w:tcPr>
            <w:tcW w:w="988" w:type="dxa"/>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w:t>
            </w:r>
          </w:p>
        </w:tc>
        <w:tc>
          <w:tcPr>
            <w:tcW w:w="1065" w:type="dxa"/>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100</w:t>
            </w:r>
          </w:p>
        </w:tc>
      </w:tr>
      <w:tr w:rsidR="00E46A2D" w:rsidRPr="008376FC" w:rsidTr="00F42FF4">
        <w:trPr>
          <w:trHeight w:val="55"/>
        </w:trPr>
        <w:tc>
          <w:tcPr>
            <w:tcW w:w="5750" w:type="dxa"/>
          </w:tcPr>
          <w:p w:rsidR="00E46A2D" w:rsidRPr="008376FC" w:rsidRDefault="00E46A2D" w:rsidP="00F61756">
            <w:pPr>
              <w:spacing w:line="276" w:lineRule="auto"/>
              <w:jc w:val="both"/>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SND „Moldova Europeană 2030”</w:t>
            </w:r>
          </w:p>
        </w:tc>
        <w:tc>
          <w:tcPr>
            <w:tcW w:w="1128" w:type="dxa"/>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w:t>
            </w:r>
          </w:p>
        </w:tc>
        <w:tc>
          <w:tcPr>
            <w:tcW w:w="845" w:type="dxa"/>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86,4</w:t>
            </w:r>
          </w:p>
        </w:tc>
        <w:tc>
          <w:tcPr>
            <w:tcW w:w="988" w:type="dxa"/>
          </w:tcPr>
          <w:p w:rsidR="00E46A2D" w:rsidRPr="008376FC" w:rsidRDefault="00E46A2D" w:rsidP="00F61756">
            <w:pPr>
              <w:spacing w:line="276" w:lineRule="auto"/>
              <w:ind w:hanging="40"/>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90</w:t>
            </w:r>
          </w:p>
        </w:tc>
        <w:tc>
          <w:tcPr>
            <w:tcW w:w="1065" w:type="dxa"/>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95</w:t>
            </w:r>
          </w:p>
        </w:tc>
      </w:tr>
      <w:tr w:rsidR="00E46A2D" w:rsidRPr="008376FC" w:rsidTr="00F42FF4">
        <w:trPr>
          <w:trHeight w:val="140"/>
        </w:trPr>
        <w:tc>
          <w:tcPr>
            <w:tcW w:w="9779" w:type="dxa"/>
            <w:gridSpan w:val="5"/>
          </w:tcPr>
          <w:p w:rsidR="00E46A2D" w:rsidRPr="008376FC" w:rsidRDefault="00E46A2D" w:rsidP="00F61756">
            <w:pPr>
              <w:spacing w:line="276" w:lineRule="auto"/>
              <w:jc w:val="center"/>
              <w:rPr>
                <w:rFonts w:asciiTheme="majorHAnsi" w:eastAsia="Times New Roman" w:hAnsiTheme="majorHAnsi" w:cstheme="majorHAnsi"/>
                <w:bCs w:val="0"/>
                <w:sz w:val="20"/>
                <w:szCs w:val="20"/>
                <w:lang w:bidi="he-IL"/>
              </w:rPr>
            </w:pPr>
            <w:r w:rsidRPr="008376FC">
              <w:rPr>
                <w:rFonts w:asciiTheme="majorHAnsi" w:eastAsia="Times New Roman" w:hAnsiTheme="majorHAnsi" w:cstheme="majorHAnsi"/>
                <w:sz w:val="20"/>
                <w:szCs w:val="20"/>
                <w:lang w:bidi="he-IL"/>
              </w:rPr>
              <w:t>Ponderea populaţiei conectat</w:t>
            </w:r>
            <w:r w:rsidR="00C96A8B">
              <w:rPr>
                <w:rFonts w:asciiTheme="majorHAnsi" w:eastAsia="Times New Roman" w:hAnsiTheme="majorHAnsi" w:cstheme="majorHAnsi"/>
                <w:sz w:val="20"/>
                <w:szCs w:val="20"/>
                <w:lang w:bidi="he-IL"/>
              </w:rPr>
              <w:t>e</w:t>
            </w:r>
            <w:r w:rsidRPr="008376FC">
              <w:rPr>
                <w:rFonts w:asciiTheme="majorHAnsi" w:eastAsia="Times New Roman" w:hAnsiTheme="majorHAnsi" w:cstheme="majorHAnsi"/>
                <w:sz w:val="20"/>
                <w:szCs w:val="20"/>
                <w:lang w:bidi="he-IL"/>
              </w:rPr>
              <w:t xml:space="preserve"> la sistemul public de canalizare, % din total</w:t>
            </w:r>
          </w:p>
        </w:tc>
      </w:tr>
      <w:tr w:rsidR="00E46A2D" w:rsidRPr="008376FC" w:rsidTr="00F42FF4">
        <w:trPr>
          <w:trHeight w:val="233"/>
        </w:trPr>
        <w:tc>
          <w:tcPr>
            <w:tcW w:w="5750" w:type="dxa"/>
            <w:tcBorders>
              <w:bottom w:val="single" w:sz="4" w:space="0" w:color="auto"/>
            </w:tcBorders>
          </w:tcPr>
          <w:p w:rsidR="00E46A2D" w:rsidRPr="008376FC" w:rsidRDefault="00E46A2D" w:rsidP="00F61756">
            <w:pPr>
              <w:spacing w:line="276" w:lineRule="auto"/>
              <w:jc w:val="both"/>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SAAS</w:t>
            </w:r>
          </w:p>
        </w:tc>
        <w:tc>
          <w:tcPr>
            <w:tcW w:w="1128" w:type="dxa"/>
            <w:tcBorders>
              <w:bottom w:val="single" w:sz="4" w:space="0" w:color="auto"/>
            </w:tcBorders>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w:t>
            </w:r>
          </w:p>
        </w:tc>
        <w:tc>
          <w:tcPr>
            <w:tcW w:w="845" w:type="dxa"/>
            <w:tcBorders>
              <w:bottom w:val="single" w:sz="4" w:space="0" w:color="auto"/>
            </w:tcBorders>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w:t>
            </w:r>
          </w:p>
        </w:tc>
        <w:tc>
          <w:tcPr>
            <w:tcW w:w="988" w:type="dxa"/>
            <w:tcBorders>
              <w:bottom w:val="single" w:sz="4" w:space="0" w:color="auto"/>
            </w:tcBorders>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65</w:t>
            </w:r>
          </w:p>
        </w:tc>
        <w:tc>
          <w:tcPr>
            <w:tcW w:w="1065" w:type="dxa"/>
            <w:tcBorders>
              <w:bottom w:val="single" w:sz="4" w:space="0" w:color="auto"/>
            </w:tcBorders>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100</w:t>
            </w:r>
          </w:p>
        </w:tc>
      </w:tr>
      <w:tr w:rsidR="00E46A2D" w:rsidRPr="008376FC" w:rsidTr="00F42FF4">
        <w:trPr>
          <w:trHeight w:val="237"/>
        </w:trPr>
        <w:tc>
          <w:tcPr>
            <w:tcW w:w="5750" w:type="dxa"/>
            <w:tcBorders>
              <w:bottom w:val="single" w:sz="4" w:space="0" w:color="auto"/>
            </w:tcBorders>
          </w:tcPr>
          <w:p w:rsidR="00E46A2D" w:rsidRPr="008376FC" w:rsidRDefault="00E46A2D" w:rsidP="00F61756">
            <w:pPr>
              <w:spacing w:line="276" w:lineRule="auto"/>
              <w:jc w:val="both"/>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SND „Moldova Europeană 2030”</w:t>
            </w:r>
          </w:p>
        </w:tc>
        <w:tc>
          <w:tcPr>
            <w:tcW w:w="1128" w:type="dxa"/>
            <w:tcBorders>
              <w:bottom w:val="single" w:sz="4" w:space="0" w:color="auto"/>
            </w:tcBorders>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w:t>
            </w:r>
          </w:p>
        </w:tc>
        <w:tc>
          <w:tcPr>
            <w:tcW w:w="845" w:type="dxa"/>
            <w:tcBorders>
              <w:bottom w:val="single" w:sz="4" w:space="0" w:color="auto"/>
            </w:tcBorders>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33,2</w:t>
            </w:r>
          </w:p>
        </w:tc>
        <w:tc>
          <w:tcPr>
            <w:tcW w:w="988" w:type="dxa"/>
            <w:tcBorders>
              <w:bottom w:val="single" w:sz="4" w:space="0" w:color="auto"/>
            </w:tcBorders>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50</w:t>
            </w:r>
          </w:p>
        </w:tc>
        <w:tc>
          <w:tcPr>
            <w:tcW w:w="1065" w:type="dxa"/>
            <w:tcBorders>
              <w:bottom w:val="single" w:sz="4" w:space="0" w:color="auto"/>
            </w:tcBorders>
          </w:tcPr>
          <w:p w:rsidR="00E46A2D" w:rsidRPr="008376FC" w:rsidRDefault="00E46A2D" w:rsidP="00F61756">
            <w:pPr>
              <w:spacing w:line="276" w:lineRule="auto"/>
              <w:jc w:val="center"/>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sz w:val="20"/>
                <w:szCs w:val="20"/>
                <w:lang w:bidi="he-IL"/>
              </w:rPr>
              <w:t>65</w:t>
            </w:r>
          </w:p>
        </w:tc>
      </w:tr>
      <w:tr w:rsidR="00E46A2D" w:rsidRPr="008376FC" w:rsidTr="00F42FF4">
        <w:trPr>
          <w:trHeight w:val="249"/>
        </w:trPr>
        <w:tc>
          <w:tcPr>
            <w:tcW w:w="9779" w:type="dxa"/>
            <w:gridSpan w:val="5"/>
            <w:tcBorders>
              <w:top w:val="single" w:sz="4" w:space="0" w:color="auto"/>
              <w:left w:val="nil"/>
              <w:bottom w:val="nil"/>
              <w:right w:val="nil"/>
            </w:tcBorders>
          </w:tcPr>
          <w:p w:rsidR="00E46A2D" w:rsidRPr="008376FC" w:rsidRDefault="00E46A2D" w:rsidP="00F61756">
            <w:pPr>
              <w:spacing w:line="276" w:lineRule="auto"/>
              <w:jc w:val="both"/>
              <w:rPr>
                <w:rFonts w:asciiTheme="majorHAnsi" w:eastAsia="Times New Roman" w:hAnsiTheme="majorHAnsi" w:cstheme="majorHAnsi"/>
                <w:b w:val="0"/>
                <w:bCs w:val="0"/>
                <w:i/>
                <w:sz w:val="20"/>
                <w:szCs w:val="20"/>
                <w:lang w:bidi="he-IL"/>
              </w:rPr>
            </w:pPr>
            <w:r w:rsidRPr="008376FC">
              <w:rPr>
                <w:rFonts w:asciiTheme="majorHAnsi" w:eastAsia="Times New Roman" w:hAnsiTheme="majorHAnsi" w:cstheme="majorHAnsi"/>
                <w:i/>
                <w:sz w:val="20"/>
                <w:szCs w:val="20"/>
                <w:lang w:bidi="he-IL"/>
              </w:rPr>
              <w:t>Sursă:</w:t>
            </w:r>
            <w:r w:rsidRPr="008376FC">
              <w:rPr>
                <w:rFonts w:asciiTheme="majorHAnsi" w:eastAsia="Times New Roman" w:hAnsiTheme="majorHAnsi" w:cstheme="majorHAnsi"/>
                <w:b w:val="0"/>
                <w:bCs w:val="0"/>
                <w:i/>
                <w:sz w:val="20"/>
                <w:szCs w:val="20"/>
                <w:lang w:bidi="he-IL"/>
              </w:rPr>
              <w:t xml:space="preserve"> SAAS şi SND „Moldova Europeană 2030”.</w:t>
            </w:r>
          </w:p>
          <w:p w:rsidR="007C7F3E" w:rsidRPr="008376FC" w:rsidRDefault="007C7F3E" w:rsidP="00F61756">
            <w:pPr>
              <w:spacing w:line="276" w:lineRule="auto"/>
              <w:jc w:val="both"/>
              <w:rPr>
                <w:rFonts w:asciiTheme="majorHAnsi" w:eastAsia="Times New Roman" w:hAnsiTheme="majorHAnsi" w:cstheme="majorHAnsi"/>
                <w:b w:val="0"/>
                <w:bCs w:val="0"/>
                <w:sz w:val="20"/>
                <w:szCs w:val="20"/>
                <w:lang w:bidi="he-IL"/>
              </w:rPr>
            </w:pPr>
          </w:p>
        </w:tc>
      </w:tr>
    </w:tbl>
    <w:p w:rsidR="0053166E" w:rsidRPr="008376FC" w:rsidRDefault="00D42E3E" w:rsidP="00F61756">
      <w:pPr>
        <w:spacing w:line="276" w:lineRule="auto"/>
        <w:jc w:val="both"/>
        <w:rPr>
          <w:rFonts w:asciiTheme="majorHAnsi" w:eastAsia="Times New Roman" w:hAnsiTheme="majorHAnsi" w:cstheme="majorHAnsi"/>
          <w:color w:val="0070C0"/>
          <w:sz w:val="24"/>
          <w:szCs w:val="24"/>
          <w:lang w:bidi="he-IL"/>
        </w:rPr>
      </w:pPr>
      <w:r w:rsidRPr="008376FC">
        <w:rPr>
          <w:rFonts w:asciiTheme="majorHAnsi" w:eastAsia="Times New Roman" w:hAnsiTheme="majorHAnsi" w:cstheme="majorHAnsi"/>
          <w:color w:val="0070C0"/>
          <w:sz w:val="24"/>
          <w:szCs w:val="24"/>
          <w:lang w:bidi="he-IL"/>
        </w:rPr>
        <w:t>4.1.3</w:t>
      </w:r>
      <w:r w:rsidR="0053166E" w:rsidRPr="008376FC">
        <w:rPr>
          <w:rFonts w:asciiTheme="majorHAnsi" w:eastAsia="Times New Roman" w:hAnsiTheme="majorHAnsi" w:cstheme="majorHAnsi"/>
          <w:color w:val="0070C0"/>
          <w:sz w:val="24"/>
          <w:szCs w:val="24"/>
          <w:lang w:bidi="he-IL"/>
        </w:rPr>
        <w:t xml:space="preserve">. Nu există o certitudine în privința continuării implementării măsurilor incluse în SAAS </w:t>
      </w:r>
      <w:r w:rsidR="00090D64">
        <w:rPr>
          <w:rFonts w:asciiTheme="majorHAnsi" w:eastAsia="Times New Roman" w:hAnsiTheme="majorHAnsi" w:cstheme="majorHAnsi"/>
          <w:color w:val="0070C0"/>
          <w:sz w:val="24"/>
          <w:szCs w:val="24"/>
          <w:lang w:bidi="he-IL"/>
        </w:rPr>
        <w:t xml:space="preserve">din cauza </w:t>
      </w:r>
      <w:r w:rsidR="0053166E" w:rsidRPr="008376FC">
        <w:rPr>
          <w:rFonts w:asciiTheme="majorHAnsi" w:eastAsia="Times New Roman" w:hAnsiTheme="majorHAnsi" w:cstheme="majorHAnsi"/>
          <w:color w:val="0070C0"/>
          <w:sz w:val="24"/>
          <w:szCs w:val="24"/>
          <w:lang w:bidi="he-IL"/>
        </w:rPr>
        <w:t>faptul</w:t>
      </w:r>
      <w:r w:rsidR="00090D64">
        <w:rPr>
          <w:rFonts w:asciiTheme="majorHAnsi" w:eastAsia="Times New Roman" w:hAnsiTheme="majorHAnsi" w:cstheme="majorHAnsi"/>
          <w:color w:val="0070C0"/>
          <w:sz w:val="24"/>
          <w:szCs w:val="24"/>
          <w:lang w:bidi="he-IL"/>
        </w:rPr>
        <w:t>ui</w:t>
      </w:r>
      <w:r w:rsidR="0053166E" w:rsidRPr="008376FC">
        <w:rPr>
          <w:rFonts w:asciiTheme="majorHAnsi" w:eastAsia="Times New Roman" w:hAnsiTheme="majorHAnsi" w:cstheme="majorHAnsi"/>
          <w:color w:val="0070C0"/>
          <w:sz w:val="24"/>
          <w:szCs w:val="24"/>
          <w:lang w:bidi="he-IL"/>
        </w:rPr>
        <w:t xml:space="preserve"> că Strategia nu mai corespunde noului cadru normativ, introdus în anul 2020, care reglementează politicile publice</w:t>
      </w:r>
      <w:r w:rsidR="00090D64">
        <w:rPr>
          <w:rFonts w:asciiTheme="majorHAnsi" w:eastAsia="Times New Roman" w:hAnsiTheme="majorHAnsi" w:cstheme="majorHAnsi"/>
          <w:color w:val="0070C0"/>
          <w:sz w:val="24"/>
          <w:szCs w:val="24"/>
          <w:lang w:bidi="he-IL"/>
        </w:rPr>
        <w:t>.</w:t>
      </w:r>
      <w:r w:rsidR="0053166E" w:rsidRPr="008376FC">
        <w:rPr>
          <w:rFonts w:asciiTheme="majorHAnsi" w:eastAsia="Times New Roman" w:hAnsiTheme="majorHAnsi" w:cstheme="majorHAnsi"/>
          <w:color w:val="0070C0"/>
          <w:sz w:val="24"/>
          <w:szCs w:val="24"/>
          <w:lang w:bidi="he-IL"/>
        </w:rPr>
        <w:t xml:space="preserve"> </w:t>
      </w:r>
    </w:p>
    <w:p w:rsidR="0053166E" w:rsidRPr="008376FC" w:rsidRDefault="0053166E" w:rsidP="00F61756">
      <w:pPr>
        <w:spacing w:before="120"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În anul 2020 a fost modificat cadrul normativ care reglementează planificarea, elaborarea, aprobarea, implementarea, monitorizarea și evaluarea documentelor de politici publice, în acest context, reieșind din noile prevederi</w:t>
      </w:r>
      <w:r w:rsidR="00452509" w:rsidRPr="008376FC">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 xml:space="preserve"> SAAS nu corespunde nici structural, nici sub aspectul monitoriz</w:t>
      </w:r>
      <w:r w:rsidR="00CF2A02">
        <w:rPr>
          <w:rFonts w:asciiTheme="majorHAnsi" w:hAnsiTheme="majorHAnsi" w:cstheme="majorHAnsi"/>
          <w:b w:val="0"/>
          <w:bCs w:val="0"/>
          <w:sz w:val="24"/>
          <w:szCs w:val="24"/>
        </w:rPr>
        <w:t>ării</w:t>
      </w:r>
      <w:r w:rsidRPr="008376FC">
        <w:rPr>
          <w:rFonts w:asciiTheme="majorHAnsi" w:hAnsiTheme="majorHAnsi" w:cstheme="majorHAnsi"/>
          <w:b w:val="0"/>
          <w:bCs w:val="0"/>
          <w:sz w:val="24"/>
          <w:szCs w:val="24"/>
        </w:rPr>
        <w:t xml:space="preserve"> şi raport</w:t>
      </w:r>
      <w:r w:rsidR="00CF2A02">
        <w:rPr>
          <w:rFonts w:asciiTheme="majorHAnsi" w:hAnsiTheme="majorHAnsi" w:cstheme="majorHAnsi"/>
          <w:b w:val="0"/>
          <w:bCs w:val="0"/>
          <w:sz w:val="24"/>
          <w:szCs w:val="24"/>
        </w:rPr>
        <w:t>ării</w:t>
      </w:r>
      <w:r w:rsidRPr="008376FC">
        <w:rPr>
          <w:rFonts w:asciiTheme="majorHAnsi" w:hAnsiTheme="majorHAnsi" w:cstheme="majorHAnsi"/>
          <w:b w:val="0"/>
          <w:bCs w:val="0"/>
          <w:sz w:val="24"/>
          <w:szCs w:val="24"/>
        </w:rPr>
        <w:t xml:space="preserve"> noilor cerințe normative. Astfel, conform noilor reglementări</w:t>
      </w:r>
      <w:r w:rsidR="00CF2A02">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 xml:space="preserve"> Strategia este un document de politici publice care definește și planifică politica publică a Guvernului pe termen lung (6-10 ani)</w:t>
      </w:r>
      <w:r w:rsidRPr="008376FC">
        <w:rPr>
          <w:rStyle w:val="ab"/>
          <w:rFonts w:asciiTheme="majorHAnsi" w:hAnsiTheme="majorHAnsi" w:cstheme="majorHAnsi"/>
          <w:b w:val="0"/>
          <w:bCs w:val="0"/>
          <w:sz w:val="24"/>
          <w:szCs w:val="24"/>
        </w:rPr>
        <w:footnoteReference w:id="24"/>
      </w:r>
      <w:r w:rsidRPr="008376FC">
        <w:rPr>
          <w:rFonts w:asciiTheme="majorHAnsi" w:hAnsiTheme="majorHAnsi" w:cstheme="majorHAnsi"/>
          <w:b w:val="0"/>
          <w:bCs w:val="0"/>
          <w:sz w:val="24"/>
          <w:szCs w:val="24"/>
        </w:rPr>
        <w:t xml:space="preserve">, în structura acesteia urmând să se regăsească: </w:t>
      </w:r>
      <w:r w:rsidR="00077ADC">
        <w:rPr>
          <w:rFonts w:asciiTheme="majorHAnsi" w:hAnsiTheme="majorHAnsi" w:cstheme="majorHAnsi"/>
          <w:b w:val="0"/>
          <w:bCs w:val="0"/>
          <w:sz w:val="24"/>
          <w:szCs w:val="24"/>
        </w:rPr>
        <w:t xml:space="preserve">partea </w:t>
      </w:r>
      <w:r w:rsidR="00077ADC" w:rsidRPr="00077ADC">
        <w:rPr>
          <w:rFonts w:asciiTheme="majorHAnsi" w:hAnsiTheme="majorHAnsi" w:cstheme="majorHAnsi"/>
          <w:b w:val="0"/>
          <w:bCs w:val="0"/>
          <w:sz w:val="24"/>
          <w:szCs w:val="24"/>
        </w:rPr>
        <w:t>introduc</w:t>
      </w:r>
      <w:r w:rsidR="00077ADC">
        <w:rPr>
          <w:rFonts w:asciiTheme="majorHAnsi" w:hAnsiTheme="majorHAnsi" w:cstheme="majorHAnsi"/>
          <w:b w:val="0"/>
          <w:bCs w:val="0"/>
          <w:sz w:val="24"/>
          <w:szCs w:val="24"/>
        </w:rPr>
        <w:t>tivă</w:t>
      </w:r>
      <w:r w:rsidRPr="008376FC">
        <w:rPr>
          <w:rFonts w:asciiTheme="majorHAnsi" w:hAnsiTheme="majorHAnsi" w:cstheme="majorHAnsi"/>
          <w:b w:val="0"/>
          <w:bCs w:val="0"/>
          <w:sz w:val="24"/>
          <w:szCs w:val="24"/>
        </w:rPr>
        <w:t>, analiza situației, obiective</w:t>
      </w:r>
      <w:r w:rsidR="00C96A8B">
        <w:rPr>
          <w:rFonts w:asciiTheme="majorHAnsi" w:hAnsiTheme="majorHAnsi" w:cstheme="majorHAnsi"/>
          <w:b w:val="0"/>
          <w:bCs w:val="0"/>
          <w:sz w:val="24"/>
          <w:szCs w:val="24"/>
        </w:rPr>
        <w:t>le</w:t>
      </w:r>
      <w:r w:rsidRPr="008376FC">
        <w:rPr>
          <w:rFonts w:asciiTheme="majorHAnsi" w:hAnsiTheme="majorHAnsi" w:cstheme="majorHAnsi"/>
          <w:b w:val="0"/>
          <w:bCs w:val="0"/>
          <w:sz w:val="24"/>
          <w:szCs w:val="24"/>
        </w:rPr>
        <w:t>, direcții</w:t>
      </w:r>
      <w:r w:rsidR="00C96A8B">
        <w:rPr>
          <w:rFonts w:asciiTheme="majorHAnsi" w:hAnsiTheme="majorHAnsi" w:cstheme="majorHAnsi"/>
          <w:b w:val="0"/>
          <w:bCs w:val="0"/>
          <w:sz w:val="24"/>
          <w:szCs w:val="24"/>
        </w:rPr>
        <w:t>le</w:t>
      </w:r>
      <w:r w:rsidRPr="008376FC">
        <w:rPr>
          <w:rFonts w:asciiTheme="majorHAnsi" w:hAnsiTheme="majorHAnsi" w:cstheme="majorHAnsi"/>
          <w:b w:val="0"/>
          <w:bCs w:val="0"/>
          <w:sz w:val="24"/>
          <w:szCs w:val="24"/>
        </w:rPr>
        <w:t xml:space="preserve"> prioritare, impact</w:t>
      </w:r>
      <w:r w:rsidR="00C96A8B">
        <w:rPr>
          <w:rFonts w:asciiTheme="majorHAnsi" w:hAnsiTheme="majorHAnsi" w:cstheme="majorHAnsi"/>
          <w:b w:val="0"/>
          <w:bCs w:val="0"/>
          <w:sz w:val="24"/>
          <w:szCs w:val="24"/>
        </w:rPr>
        <w:t>ul</w:t>
      </w:r>
      <w:r w:rsidRPr="008376FC">
        <w:rPr>
          <w:rFonts w:asciiTheme="majorHAnsi" w:hAnsiTheme="majorHAnsi" w:cstheme="majorHAnsi"/>
          <w:b w:val="0"/>
          <w:bCs w:val="0"/>
          <w:sz w:val="24"/>
          <w:szCs w:val="24"/>
        </w:rPr>
        <w:t>, indicatori</w:t>
      </w:r>
      <w:r w:rsidR="00C96A8B">
        <w:rPr>
          <w:rFonts w:asciiTheme="majorHAnsi" w:hAnsiTheme="majorHAnsi" w:cstheme="majorHAnsi"/>
          <w:b w:val="0"/>
          <w:bCs w:val="0"/>
          <w:sz w:val="24"/>
          <w:szCs w:val="24"/>
        </w:rPr>
        <w:t>i</w:t>
      </w:r>
      <w:r w:rsidRPr="008376FC">
        <w:rPr>
          <w:rFonts w:asciiTheme="majorHAnsi" w:hAnsiTheme="majorHAnsi" w:cstheme="majorHAnsi"/>
          <w:b w:val="0"/>
          <w:bCs w:val="0"/>
          <w:sz w:val="24"/>
          <w:szCs w:val="24"/>
        </w:rPr>
        <w:t xml:space="preserve"> de monitorizare și evaluare, riscuri</w:t>
      </w:r>
      <w:r w:rsidR="00C96A8B">
        <w:rPr>
          <w:rFonts w:asciiTheme="majorHAnsi" w:hAnsiTheme="majorHAnsi" w:cstheme="majorHAnsi"/>
          <w:b w:val="0"/>
          <w:bCs w:val="0"/>
          <w:sz w:val="24"/>
          <w:szCs w:val="24"/>
        </w:rPr>
        <w:t>le</w:t>
      </w:r>
      <w:r w:rsidRPr="008376FC">
        <w:rPr>
          <w:rFonts w:asciiTheme="majorHAnsi" w:hAnsiTheme="majorHAnsi" w:cstheme="majorHAnsi"/>
          <w:b w:val="0"/>
          <w:bCs w:val="0"/>
          <w:sz w:val="24"/>
          <w:szCs w:val="24"/>
        </w:rPr>
        <w:t xml:space="preserve"> de implementare, autorități</w:t>
      </w:r>
      <w:r w:rsidR="00C96A8B">
        <w:rPr>
          <w:rFonts w:asciiTheme="majorHAnsi" w:hAnsiTheme="majorHAnsi" w:cstheme="majorHAnsi"/>
          <w:b w:val="0"/>
          <w:bCs w:val="0"/>
          <w:sz w:val="24"/>
          <w:szCs w:val="24"/>
        </w:rPr>
        <w:t>le</w:t>
      </w:r>
      <w:r w:rsidRPr="008376FC">
        <w:rPr>
          <w:rFonts w:asciiTheme="majorHAnsi" w:hAnsiTheme="majorHAnsi" w:cstheme="majorHAnsi"/>
          <w:b w:val="0"/>
          <w:bCs w:val="0"/>
          <w:sz w:val="24"/>
          <w:szCs w:val="24"/>
        </w:rPr>
        <w:t>/instituții</w:t>
      </w:r>
      <w:r w:rsidR="00C96A8B">
        <w:rPr>
          <w:rFonts w:asciiTheme="majorHAnsi" w:hAnsiTheme="majorHAnsi" w:cstheme="majorHAnsi"/>
          <w:b w:val="0"/>
          <w:bCs w:val="0"/>
          <w:sz w:val="24"/>
          <w:szCs w:val="24"/>
        </w:rPr>
        <w:t>le</w:t>
      </w:r>
      <w:r w:rsidRPr="008376FC">
        <w:rPr>
          <w:rFonts w:asciiTheme="majorHAnsi" w:hAnsiTheme="majorHAnsi" w:cstheme="majorHAnsi"/>
          <w:b w:val="0"/>
          <w:bCs w:val="0"/>
          <w:sz w:val="24"/>
          <w:szCs w:val="24"/>
        </w:rPr>
        <w:t xml:space="preserve"> responsabile şi procedurile de raportare. Strategia urm</w:t>
      </w:r>
      <w:r w:rsidR="00C96A8B">
        <w:rPr>
          <w:rFonts w:asciiTheme="majorHAnsi" w:hAnsiTheme="majorHAnsi" w:cstheme="majorHAnsi"/>
          <w:b w:val="0"/>
          <w:bCs w:val="0"/>
          <w:sz w:val="24"/>
          <w:szCs w:val="24"/>
        </w:rPr>
        <w:t>ează</w:t>
      </w:r>
      <w:r w:rsidRPr="008376FC">
        <w:rPr>
          <w:rFonts w:asciiTheme="majorHAnsi" w:hAnsiTheme="majorHAnsi" w:cstheme="majorHAnsi"/>
          <w:b w:val="0"/>
          <w:bCs w:val="0"/>
          <w:sz w:val="24"/>
          <w:szCs w:val="24"/>
        </w:rPr>
        <w:t xml:space="preserve"> să fie însoţită de un program, acesta fiind un document de politici publice pe termen mediu (3-5 ani), care derivă din strategie și, respectiv, contribuie la implementarea acesteia prin detalierea și concretizarea acțiunilor ce urmează a fi realizate într-un domeniu sau subdomeniu de activitate</w:t>
      </w:r>
      <w:r w:rsidRPr="008376FC">
        <w:rPr>
          <w:rStyle w:val="ab"/>
          <w:rFonts w:asciiTheme="majorHAnsi" w:hAnsiTheme="majorHAnsi" w:cstheme="majorHAnsi"/>
          <w:b w:val="0"/>
          <w:bCs w:val="0"/>
          <w:sz w:val="24"/>
          <w:szCs w:val="24"/>
        </w:rPr>
        <w:footnoteReference w:id="25"/>
      </w:r>
      <w:r w:rsidRPr="008376FC">
        <w:rPr>
          <w:rFonts w:asciiTheme="majorHAnsi" w:hAnsiTheme="majorHAnsi" w:cstheme="majorHAnsi"/>
          <w:b w:val="0"/>
          <w:bCs w:val="0"/>
          <w:sz w:val="24"/>
          <w:szCs w:val="24"/>
        </w:rPr>
        <w:t>, fiind constituit din partea descriptivă și planul de acțiuni.</w:t>
      </w:r>
    </w:p>
    <w:p w:rsidR="0053166E" w:rsidRPr="008376FC" w:rsidRDefault="0053166E" w:rsidP="00F61756">
      <w:pPr>
        <w:spacing w:before="120"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Noul cadru normativ</w:t>
      </w:r>
      <w:r w:rsidRPr="008376FC">
        <w:rPr>
          <w:rStyle w:val="ab"/>
          <w:rFonts w:asciiTheme="majorHAnsi" w:hAnsiTheme="majorHAnsi" w:cstheme="majorHAnsi"/>
          <w:b w:val="0"/>
          <w:bCs w:val="0"/>
          <w:sz w:val="24"/>
          <w:szCs w:val="24"/>
        </w:rPr>
        <w:footnoteReference w:id="26"/>
      </w:r>
      <w:r w:rsidRPr="008376FC">
        <w:rPr>
          <w:rFonts w:asciiTheme="majorHAnsi" w:hAnsiTheme="majorHAnsi" w:cstheme="majorHAnsi"/>
          <w:b w:val="0"/>
          <w:bCs w:val="0"/>
          <w:sz w:val="24"/>
          <w:szCs w:val="24"/>
        </w:rPr>
        <w:t xml:space="preserve"> stabil</w:t>
      </w:r>
      <w:r w:rsidR="00C96A8B">
        <w:rPr>
          <w:rFonts w:asciiTheme="majorHAnsi" w:hAnsiTheme="majorHAnsi" w:cstheme="majorHAnsi"/>
          <w:b w:val="0"/>
          <w:bCs w:val="0"/>
          <w:sz w:val="24"/>
          <w:szCs w:val="24"/>
        </w:rPr>
        <w:t>ește</w:t>
      </w:r>
      <w:r w:rsidRPr="008376FC">
        <w:rPr>
          <w:rFonts w:asciiTheme="majorHAnsi" w:hAnsiTheme="majorHAnsi" w:cstheme="majorHAnsi"/>
          <w:b w:val="0"/>
          <w:bCs w:val="0"/>
          <w:sz w:val="24"/>
          <w:szCs w:val="24"/>
        </w:rPr>
        <w:t xml:space="preserve"> că documentele de politici publice în vigoare care nu se conformează noilor prevederi rămân executabile până la finalizarea termenului prevăzut de implementare, dar nu mai mult de 2 ani de la intrarea în vigoare a HG</w:t>
      </w:r>
      <w:r w:rsidR="00B83E6B">
        <w:rPr>
          <w:rFonts w:asciiTheme="majorHAnsi" w:hAnsiTheme="majorHAnsi" w:cstheme="majorHAnsi"/>
          <w:b w:val="0"/>
          <w:bCs w:val="0"/>
          <w:sz w:val="24"/>
          <w:szCs w:val="24"/>
        </w:rPr>
        <w:t xml:space="preserve"> nr.</w:t>
      </w:r>
      <w:r w:rsidRPr="008376FC">
        <w:rPr>
          <w:rFonts w:asciiTheme="majorHAnsi" w:hAnsiTheme="majorHAnsi" w:cstheme="majorHAnsi"/>
          <w:b w:val="0"/>
          <w:bCs w:val="0"/>
          <w:sz w:val="24"/>
          <w:szCs w:val="24"/>
        </w:rPr>
        <w:t xml:space="preserve">386/2020 </w:t>
      </w:r>
      <w:r w:rsidR="00B83E6B">
        <w:rPr>
          <w:rFonts w:asciiTheme="majorHAnsi" w:hAnsiTheme="majorHAnsi" w:cstheme="majorHAnsi"/>
          <w:b w:val="0"/>
          <w:bCs w:val="0"/>
          <w:sz w:val="24"/>
          <w:szCs w:val="24"/>
        </w:rPr>
        <w:t>„C</w:t>
      </w:r>
      <w:r w:rsidRPr="008376FC">
        <w:rPr>
          <w:rFonts w:asciiTheme="majorHAnsi" w:hAnsiTheme="majorHAnsi" w:cstheme="majorHAnsi"/>
          <w:b w:val="0"/>
          <w:bCs w:val="0"/>
          <w:sz w:val="24"/>
          <w:szCs w:val="24"/>
        </w:rPr>
        <w:t>u privire la planificarea, elaborarea, aprobarea, implementarea, monitorizarea și evaluarea documentelor de politici publice</w:t>
      </w:r>
      <w:r w:rsidR="00B83E6B">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 xml:space="preserve">. În acest sens, deşi termenul limită de </w:t>
      </w:r>
      <w:r w:rsidR="00B83E6B">
        <w:rPr>
          <w:rFonts w:asciiTheme="majorHAnsi" w:hAnsiTheme="majorHAnsi" w:cstheme="majorHAnsi"/>
          <w:b w:val="0"/>
          <w:bCs w:val="0"/>
          <w:sz w:val="24"/>
          <w:szCs w:val="24"/>
        </w:rPr>
        <w:t>ajustare</w:t>
      </w:r>
      <w:r w:rsidR="00B83E6B" w:rsidRPr="008376FC">
        <w:rPr>
          <w:rFonts w:asciiTheme="majorHAnsi" w:hAnsiTheme="majorHAnsi" w:cstheme="majorHAnsi"/>
          <w:b w:val="0"/>
          <w:bCs w:val="0"/>
          <w:sz w:val="24"/>
          <w:szCs w:val="24"/>
        </w:rPr>
        <w:t xml:space="preserve"> </w:t>
      </w:r>
      <w:r w:rsidRPr="008376FC">
        <w:rPr>
          <w:rFonts w:asciiTheme="majorHAnsi" w:hAnsiTheme="majorHAnsi" w:cstheme="majorHAnsi"/>
          <w:b w:val="0"/>
          <w:bCs w:val="0"/>
          <w:sz w:val="24"/>
          <w:szCs w:val="24"/>
        </w:rPr>
        <w:t>a SAAS la cerințe</w:t>
      </w:r>
      <w:r w:rsidR="00B83E6B">
        <w:rPr>
          <w:rFonts w:asciiTheme="majorHAnsi" w:hAnsiTheme="majorHAnsi" w:cstheme="majorHAnsi"/>
          <w:b w:val="0"/>
          <w:bCs w:val="0"/>
          <w:sz w:val="24"/>
          <w:szCs w:val="24"/>
        </w:rPr>
        <w:t>le</w:t>
      </w:r>
      <w:r w:rsidRPr="008376FC">
        <w:rPr>
          <w:rFonts w:asciiTheme="majorHAnsi" w:hAnsiTheme="majorHAnsi" w:cstheme="majorHAnsi"/>
          <w:b w:val="0"/>
          <w:bCs w:val="0"/>
          <w:sz w:val="24"/>
          <w:szCs w:val="24"/>
        </w:rPr>
        <w:t xml:space="preserve"> noi aplicabile documentelor de politici a expirat la 26.06.2022, de facto Strategia nu este abrogată, iar măsurile incluse în acesta urmează a fi realizate în termenele stabilite.</w:t>
      </w:r>
      <w:r w:rsidRPr="008376FC">
        <w:rPr>
          <w:rFonts w:asciiTheme="majorHAnsi" w:eastAsia="Times New Roman" w:hAnsiTheme="majorHAnsi" w:cstheme="majorHAnsi"/>
          <w:sz w:val="24"/>
          <w:szCs w:val="24"/>
          <w:lang w:bidi="he-IL"/>
        </w:rPr>
        <w:t xml:space="preserve"> </w:t>
      </w:r>
    </w:p>
    <w:p w:rsidR="0053166E" w:rsidRPr="008376FC" w:rsidRDefault="0053166E" w:rsidP="00F61756">
      <w:pPr>
        <w:spacing w:before="120" w:after="12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 xml:space="preserve">Totodată, nu </w:t>
      </w:r>
      <w:r w:rsidR="00A92DE1">
        <w:rPr>
          <w:rFonts w:asciiTheme="majorHAnsi" w:hAnsiTheme="majorHAnsi" w:cstheme="majorHAnsi"/>
          <w:b w:val="0"/>
          <w:bCs w:val="0"/>
          <w:sz w:val="24"/>
          <w:szCs w:val="24"/>
        </w:rPr>
        <w:t>există</w:t>
      </w:r>
      <w:r w:rsidR="00A92DE1" w:rsidRPr="008376FC">
        <w:rPr>
          <w:rFonts w:asciiTheme="majorHAnsi" w:hAnsiTheme="majorHAnsi" w:cstheme="majorHAnsi"/>
          <w:b w:val="0"/>
          <w:bCs w:val="0"/>
          <w:sz w:val="24"/>
          <w:szCs w:val="24"/>
        </w:rPr>
        <w:t xml:space="preserve"> </w:t>
      </w:r>
      <w:r w:rsidRPr="008376FC">
        <w:rPr>
          <w:rFonts w:asciiTheme="majorHAnsi" w:hAnsiTheme="majorHAnsi" w:cstheme="majorHAnsi"/>
          <w:b w:val="0"/>
          <w:bCs w:val="0"/>
          <w:sz w:val="24"/>
          <w:szCs w:val="24"/>
        </w:rPr>
        <w:t xml:space="preserve">o certitudine în privința autorităţii care va asigura implementarea SAAS în continuare </w:t>
      </w:r>
      <w:r w:rsidR="00A92DE1">
        <w:rPr>
          <w:rFonts w:asciiTheme="majorHAnsi" w:hAnsiTheme="majorHAnsi" w:cstheme="majorHAnsi"/>
          <w:b w:val="0"/>
          <w:bCs w:val="0"/>
          <w:sz w:val="24"/>
          <w:szCs w:val="24"/>
        </w:rPr>
        <w:t>întrucât,</w:t>
      </w:r>
      <w:r w:rsidR="00A92DE1" w:rsidRPr="008376FC">
        <w:rPr>
          <w:rFonts w:asciiTheme="majorHAnsi" w:hAnsiTheme="majorHAnsi" w:cstheme="majorHAnsi"/>
          <w:b w:val="0"/>
          <w:bCs w:val="0"/>
          <w:sz w:val="24"/>
          <w:szCs w:val="24"/>
        </w:rPr>
        <w:t xml:space="preserve"> </w:t>
      </w:r>
      <w:r w:rsidR="00A92DE1">
        <w:rPr>
          <w:rFonts w:asciiTheme="majorHAnsi" w:hAnsiTheme="majorHAnsi" w:cstheme="majorHAnsi"/>
          <w:b w:val="0"/>
          <w:bCs w:val="0"/>
          <w:sz w:val="24"/>
          <w:szCs w:val="24"/>
        </w:rPr>
        <w:t xml:space="preserve">ca </w:t>
      </w:r>
      <w:r w:rsidRPr="008376FC">
        <w:rPr>
          <w:rFonts w:asciiTheme="majorHAnsi" w:hAnsiTheme="majorHAnsi" w:cstheme="majorHAnsi"/>
          <w:b w:val="0"/>
          <w:bCs w:val="0"/>
          <w:sz w:val="24"/>
          <w:szCs w:val="24"/>
        </w:rPr>
        <w:t xml:space="preserve">urmare a reformei administrative a unor ministere din anul 2021, competențele privind implementarea politicilor în domeniul infrastructurii de apă și sanitație au trecut de la </w:t>
      </w:r>
      <w:r w:rsidR="00017C3B" w:rsidRPr="008376FC">
        <w:rPr>
          <w:rFonts w:asciiTheme="majorHAnsi" w:hAnsiTheme="majorHAnsi" w:cstheme="majorHAnsi"/>
          <w:b w:val="0"/>
          <w:bCs w:val="0"/>
          <w:sz w:val="24"/>
          <w:szCs w:val="24"/>
        </w:rPr>
        <w:t>MA</w:t>
      </w:r>
      <w:r w:rsidR="00017C3B">
        <w:rPr>
          <w:rFonts w:asciiTheme="majorHAnsi" w:hAnsiTheme="majorHAnsi" w:cstheme="majorHAnsi"/>
          <w:b w:val="0"/>
          <w:bCs w:val="0"/>
          <w:sz w:val="24"/>
          <w:szCs w:val="24"/>
        </w:rPr>
        <w:t>DR</w:t>
      </w:r>
      <w:r w:rsidR="00017C3B" w:rsidRPr="008376FC">
        <w:rPr>
          <w:rFonts w:asciiTheme="majorHAnsi" w:hAnsiTheme="majorHAnsi" w:cstheme="majorHAnsi"/>
          <w:b w:val="0"/>
          <w:bCs w:val="0"/>
          <w:sz w:val="24"/>
          <w:szCs w:val="24"/>
        </w:rPr>
        <w:t xml:space="preserve">M </w:t>
      </w:r>
      <w:r w:rsidRPr="008376FC">
        <w:rPr>
          <w:rFonts w:asciiTheme="majorHAnsi" w:hAnsiTheme="majorHAnsi" w:cstheme="majorHAnsi"/>
          <w:b w:val="0"/>
          <w:bCs w:val="0"/>
          <w:sz w:val="24"/>
          <w:szCs w:val="24"/>
        </w:rPr>
        <w:t>la MIDR, iar responsabil de implementarea SAAS a rămas MM.</w:t>
      </w:r>
      <w:r w:rsidR="00452509" w:rsidRPr="008376FC">
        <w:rPr>
          <w:rFonts w:asciiTheme="majorHAnsi" w:hAnsiTheme="majorHAnsi" w:cstheme="majorHAnsi"/>
          <w:b w:val="0"/>
          <w:bCs w:val="0"/>
          <w:sz w:val="24"/>
          <w:szCs w:val="24"/>
        </w:rPr>
        <w:t xml:space="preserve"> </w:t>
      </w:r>
      <w:r w:rsidR="00C85C6D" w:rsidRPr="008376FC">
        <w:rPr>
          <w:rFonts w:asciiTheme="majorHAnsi" w:hAnsiTheme="majorHAnsi" w:cstheme="majorHAnsi"/>
          <w:b w:val="0"/>
          <w:bCs w:val="0"/>
          <w:sz w:val="24"/>
          <w:szCs w:val="24"/>
        </w:rPr>
        <w:t xml:space="preserve">În </w:t>
      </w:r>
      <w:r w:rsidR="00452509" w:rsidRPr="008376FC">
        <w:rPr>
          <w:rFonts w:asciiTheme="majorHAnsi" w:hAnsiTheme="majorHAnsi" w:cstheme="majorHAnsi"/>
          <w:b w:val="0"/>
          <w:bCs w:val="0"/>
          <w:sz w:val="24"/>
          <w:szCs w:val="24"/>
        </w:rPr>
        <w:t>acest sens urm</w:t>
      </w:r>
      <w:r w:rsidR="00A92DE1">
        <w:rPr>
          <w:rFonts w:asciiTheme="majorHAnsi" w:hAnsiTheme="majorHAnsi" w:cstheme="majorHAnsi"/>
          <w:b w:val="0"/>
          <w:bCs w:val="0"/>
          <w:sz w:val="24"/>
          <w:szCs w:val="24"/>
        </w:rPr>
        <w:t>ează</w:t>
      </w:r>
      <w:r w:rsidR="00452509" w:rsidRPr="008376FC">
        <w:rPr>
          <w:rFonts w:asciiTheme="majorHAnsi" w:hAnsiTheme="majorHAnsi" w:cstheme="majorHAnsi"/>
          <w:b w:val="0"/>
          <w:bCs w:val="0"/>
          <w:sz w:val="24"/>
          <w:szCs w:val="24"/>
        </w:rPr>
        <w:t xml:space="preserve"> a fi </w:t>
      </w:r>
      <w:r w:rsidR="00BB0075" w:rsidRPr="008376FC">
        <w:rPr>
          <w:rFonts w:asciiTheme="majorHAnsi" w:hAnsiTheme="majorHAnsi" w:cstheme="majorHAnsi"/>
          <w:b w:val="0"/>
          <w:bCs w:val="0"/>
          <w:sz w:val="24"/>
          <w:szCs w:val="24"/>
        </w:rPr>
        <w:t xml:space="preserve">întreprinse </w:t>
      </w:r>
      <w:r w:rsidR="00452509" w:rsidRPr="008376FC">
        <w:rPr>
          <w:rFonts w:asciiTheme="majorHAnsi" w:hAnsiTheme="majorHAnsi" w:cstheme="majorHAnsi"/>
          <w:b w:val="0"/>
          <w:bCs w:val="0"/>
          <w:sz w:val="24"/>
          <w:szCs w:val="24"/>
        </w:rPr>
        <w:t>măsu</w:t>
      </w:r>
      <w:r w:rsidR="00EC3D29" w:rsidRPr="008376FC">
        <w:rPr>
          <w:rFonts w:asciiTheme="majorHAnsi" w:hAnsiTheme="majorHAnsi" w:cstheme="majorHAnsi"/>
          <w:b w:val="0"/>
          <w:bCs w:val="0"/>
          <w:sz w:val="24"/>
          <w:szCs w:val="24"/>
        </w:rPr>
        <w:t>r</w:t>
      </w:r>
      <w:r w:rsidR="00452509" w:rsidRPr="008376FC">
        <w:rPr>
          <w:rFonts w:asciiTheme="majorHAnsi" w:hAnsiTheme="majorHAnsi" w:cstheme="majorHAnsi"/>
          <w:b w:val="0"/>
          <w:bCs w:val="0"/>
          <w:sz w:val="24"/>
          <w:szCs w:val="24"/>
        </w:rPr>
        <w:t xml:space="preserve">i pentru aducerea în concordanță a prevederilor SAAS </w:t>
      </w:r>
      <w:r w:rsidR="00EC3D29" w:rsidRPr="008376FC">
        <w:rPr>
          <w:rFonts w:asciiTheme="majorHAnsi" w:hAnsiTheme="majorHAnsi" w:cstheme="majorHAnsi"/>
          <w:b w:val="0"/>
          <w:bCs w:val="0"/>
          <w:sz w:val="24"/>
          <w:szCs w:val="24"/>
        </w:rPr>
        <w:t xml:space="preserve">cu </w:t>
      </w:r>
      <w:r w:rsidR="00452509" w:rsidRPr="008376FC">
        <w:rPr>
          <w:rFonts w:asciiTheme="majorHAnsi" w:hAnsiTheme="majorHAnsi" w:cstheme="majorHAnsi"/>
          <w:b w:val="0"/>
          <w:bCs w:val="0"/>
          <w:sz w:val="24"/>
          <w:szCs w:val="24"/>
        </w:rPr>
        <w:t>rigorile la zi.</w:t>
      </w:r>
    </w:p>
    <w:tbl>
      <w:tblPr>
        <w:tblStyle w:val="af2"/>
        <w:tblW w:w="0" w:type="auto"/>
        <w:shd w:val="clear" w:color="auto" w:fill="BDD6EE" w:themeFill="accent1" w:themeFillTint="66"/>
        <w:tblLook w:val="04A0" w:firstRow="1" w:lastRow="0" w:firstColumn="1" w:lastColumn="0" w:noHBand="0" w:noVBand="1"/>
      </w:tblPr>
      <w:tblGrid>
        <w:gridCol w:w="9678"/>
      </w:tblGrid>
      <w:tr w:rsidR="00452509" w:rsidRPr="008376FC" w:rsidTr="002C1F8B">
        <w:tc>
          <w:tcPr>
            <w:tcW w:w="10329" w:type="dxa"/>
            <w:shd w:val="clear" w:color="auto" w:fill="auto"/>
          </w:tcPr>
          <w:p w:rsidR="00452509" w:rsidRPr="008376FC" w:rsidRDefault="00452509" w:rsidP="00F61756">
            <w:pPr>
              <w:spacing w:before="120" w:after="120" w:line="276" w:lineRule="auto"/>
              <w:jc w:val="both"/>
              <w:rPr>
                <w:rFonts w:asciiTheme="majorHAnsi" w:hAnsiTheme="majorHAnsi" w:cstheme="majorHAnsi"/>
                <w:b w:val="0"/>
                <w:bCs w:val="0"/>
                <w:sz w:val="24"/>
                <w:szCs w:val="24"/>
              </w:rPr>
            </w:pPr>
            <w:r w:rsidRPr="008376FC">
              <w:rPr>
                <w:rFonts w:asciiTheme="majorHAnsi" w:hAnsiTheme="majorHAnsi" w:cstheme="majorHAnsi"/>
                <w:bCs w:val="0"/>
                <w:sz w:val="24"/>
                <w:szCs w:val="24"/>
              </w:rPr>
              <w:t>Nota nr.1:</w:t>
            </w:r>
            <w:r w:rsidRPr="008376FC">
              <w:rPr>
                <w:rFonts w:asciiTheme="majorHAnsi" w:hAnsiTheme="majorHAnsi" w:cstheme="majorHAnsi"/>
                <w:b w:val="0"/>
                <w:bCs w:val="0"/>
                <w:sz w:val="24"/>
                <w:szCs w:val="24"/>
              </w:rPr>
              <w:t xml:space="preserve"> Conform explicațiilor MM</w:t>
            </w:r>
            <w:r w:rsidR="004A11A5">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 xml:space="preserve"> odată cu preluarea atribuțiilor în domeniul politicilor de alimentare cu apă și sanitație, MIDR a preluat și actele normative ce reglementează acest domeniu. Astfel, în cadrul discuțiilor cu </w:t>
            </w:r>
            <w:r w:rsidR="004A11A5">
              <w:rPr>
                <w:rFonts w:asciiTheme="majorHAnsi" w:hAnsiTheme="majorHAnsi" w:cstheme="majorHAnsi"/>
                <w:b w:val="0"/>
                <w:bCs w:val="0"/>
                <w:sz w:val="24"/>
                <w:szCs w:val="24"/>
              </w:rPr>
              <w:t>reprezentanții</w:t>
            </w:r>
            <w:r w:rsidRPr="008376FC">
              <w:rPr>
                <w:rFonts w:asciiTheme="majorHAnsi" w:hAnsiTheme="majorHAnsi" w:cstheme="majorHAnsi"/>
                <w:b w:val="0"/>
                <w:bCs w:val="0"/>
                <w:sz w:val="24"/>
                <w:szCs w:val="24"/>
              </w:rPr>
              <w:t xml:space="preserve"> MIDR, MM a informat că este necesar să ajusteze SAAS conform prevederilor HG </w:t>
            </w:r>
            <w:r w:rsidR="004A11A5">
              <w:rPr>
                <w:rFonts w:asciiTheme="majorHAnsi" w:hAnsiTheme="majorHAnsi" w:cstheme="majorHAnsi"/>
                <w:b w:val="0"/>
                <w:bCs w:val="0"/>
                <w:sz w:val="24"/>
                <w:szCs w:val="24"/>
              </w:rPr>
              <w:t>nr.</w:t>
            </w:r>
            <w:r w:rsidRPr="008376FC">
              <w:rPr>
                <w:rFonts w:asciiTheme="majorHAnsi" w:hAnsiTheme="majorHAnsi" w:cstheme="majorHAnsi"/>
                <w:b w:val="0"/>
                <w:bCs w:val="0"/>
                <w:sz w:val="24"/>
                <w:szCs w:val="24"/>
              </w:rPr>
              <w:t>386/2020 și să preia responsabilitatea de implementare a acesteia, or, aceste atribuții îi revin conform competențelor funcționale aprobate prin HG.</w:t>
            </w:r>
          </w:p>
        </w:tc>
      </w:tr>
    </w:tbl>
    <w:p w:rsidR="00452509" w:rsidRPr="008376FC" w:rsidRDefault="00355C46" w:rsidP="00F61756">
      <w:pPr>
        <w:spacing w:before="120" w:after="120" w:line="276" w:lineRule="auto"/>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sz w:val="24"/>
          <w:szCs w:val="24"/>
          <w:lang w:bidi="he-IL"/>
        </w:rPr>
        <w:t>De asemenea,</w:t>
      </w:r>
      <w:r w:rsidRPr="008376FC">
        <w:rPr>
          <w:rFonts w:asciiTheme="majorHAnsi" w:eastAsia="Times New Roman" w:hAnsiTheme="majorHAnsi" w:cstheme="majorHAnsi"/>
          <w:sz w:val="24"/>
          <w:szCs w:val="24"/>
          <w:lang w:bidi="he-IL"/>
        </w:rPr>
        <w:t xml:space="preserve"> </w:t>
      </w:r>
      <w:r w:rsidRPr="008376FC">
        <w:rPr>
          <w:rFonts w:asciiTheme="majorHAnsi" w:eastAsia="Times New Roman" w:hAnsiTheme="majorHAnsi" w:cstheme="majorHAnsi"/>
          <w:b w:val="0"/>
          <w:bCs w:val="0"/>
          <w:sz w:val="24"/>
          <w:szCs w:val="24"/>
          <w:lang w:bidi="he-IL"/>
        </w:rPr>
        <w:t xml:space="preserve"> MM a comunicat că, în contextul reformei instituționale din 2021, politicile în domeniul alimentării cu apă și sanitație</w:t>
      </w:r>
      <w:r w:rsidR="004A11A5">
        <w:rPr>
          <w:rFonts w:asciiTheme="majorHAnsi" w:eastAsia="Times New Roman" w:hAnsiTheme="majorHAnsi" w:cstheme="majorHAnsi"/>
          <w:b w:val="0"/>
          <w:bCs w:val="0"/>
          <w:sz w:val="24"/>
          <w:szCs w:val="24"/>
          <w:lang w:bidi="he-IL"/>
        </w:rPr>
        <w:t>i</w:t>
      </w:r>
      <w:r w:rsidRPr="008376FC">
        <w:rPr>
          <w:rFonts w:asciiTheme="majorHAnsi" w:eastAsia="Times New Roman" w:hAnsiTheme="majorHAnsi" w:cstheme="majorHAnsi"/>
          <w:b w:val="0"/>
          <w:bCs w:val="0"/>
          <w:sz w:val="24"/>
          <w:szCs w:val="24"/>
          <w:lang w:bidi="he-IL"/>
        </w:rPr>
        <w:t xml:space="preserve"> țin de competența MIDR, raportul anual privind implementarea SAAS pentru anul 2022 nefiind elaborat nici de MM, nici de MIDR. În acest sens, MIDR este instituția responsabilă de elaborarea raportului menționat, iar MM este dispusă să acorde suportul informațional necesar. Tot în contextul reformei APC din 2021, au fost organizate mai multe ședințe de lucru cu participarea ambelor ministere, iar MM a comunicat </w:t>
      </w:r>
      <w:r w:rsidR="001F6EB7">
        <w:rPr>
          <w:rFonts w:asciiTheme="majorHAnsi" w:eastAsia="Times New Roman" w:hAnsiTheme="majorHAnsi" w:cstheme="majorHAnsi"/>
          <w:b w:val="0"/>
          <w:bCs w:val="0"/>
          <w:sz w:val="24"/>
          <w:szCs w:val="24"/>
          <w:lang w:bidi="he-IL"/>
        </w:rPr>
        <w:t xml:space="preserve">reprezentanților </w:t>
      </w:r>
      <w:r w:rsidRPr="008376FC">
        <w:rPr>
          <w:rFonts w:asciiTheme="majorHAnsi" w:eastAsia="Times New Roman" w:hAnsiTheme="majorHAnsi" w:cstheme="majorHAnsi"/>
          <w:b w:val="0"/>
          <w:bCs w:val="0"/>
          <w:sz w:val="24"/>
          <w:szCs w:val="24"/>
          <w:lang w:bidi="he-IL"/>
        </w:rPr>
        <w:t>din cadrul MIDR despre necesitatea preluării materialelor în domeniul politicilor cu privire la alimentarea cu apă și sanitație, pentru a iniția activitățile specifice conform domeniilor de competență atribuite, însă aceștia nu au dat curs acestor solicitări.</w:t>
      </w:r>
    </w:p>
    <w:tbl>
      <w:tblPr>
        <w:tblStyle w:val="af2"/>
        <w:tblW w:w="0" w:type="auto"/>
        <w:tblLook w:val="04A0" w:firstRow="1" w:lastRow="0" w:firstColumn="1" w:lastColumn="0" w:noHBand="0" w:noVBand="1"/>
      </w:tblPr>
      <w:tblGrid>
        <w:gridCol w:w="9678"/>
      </w:tblGrid>
      <w:tr w:rsidR="000F3A61" w:rsidRPr="008376FC" w:rsidTr="002C1F8B">
        <w:tc>
          <w:tcPr>
            <w:tcW w:w="9905" w:type="dxa"/>
            <w:shd w:val="clear" w:color="auto" w:fill="auto"/>
          </w:tcPr>
          <w:p w:rsidR="00BE3B68" w:rsidRPr="008376FC" w:rsidRDefault="000056B2" w:rsidP="00F61756">
            <w:pPr>
              <w:spacing w:before="120" w:after="120" w:line="276" w:lineRule="auto"/>
              <w:jc w:val="both"/>
              <w:rPr>
                <w:rFonts w:asciiTheme="majorHAnsi" w:hAnsiTheme="majorHAnsi" w:cstheme="majorHAnsi"/>
                <w:b w:val="0"/>
                <w:bCs w:val="0"/>
                <w:sz w:val="24"/>
                <w:szCs w:val="24"/>
              </w:rPr>
            </w:pPr>
            <w:r w:rsidRPr="008376FC">
              <w:rPr>
                <w:rFonts w:asciiTheme="majorHAnsi" w:hAnsiTheme="majorHAnsi" w:cstheme="majorHAnsi"/>
                <w:sz w:val="24"/>
                <w:szCs w:val="24"/>
              </w:rPr>
              <w:t>Nota nr.2:</w:t>
            </w:r>
            <w:r w:rsidR="000F3A61" w:rsidRPr="008376FC">
              <w:rPr>
                <w:rFonts w:asciiTheme="majorHAnsi" w:hAnsiTheme="majorHAnsi" w:cstheme="majorHAnsi"/>
                <w:b w:val="0"/>
                <w:bCs w:val="0"/>
                <w:sz w:val="24"/>
                <w:szCs w:val="24"/>
              </w:rPr>
              <w:t xml:space="preserve"> MIDR a comunicat că</w:t>
            </w:r>
            <w:r w:rsidR="001F6EB7">
              <w:rPr>
                <w:rFonts w:asciiTheme="majorHAnsi" w:hAnsiTheme="majorHAnsi" w:cstheme="majorHAnsi"/>
                <w:b w:val="0"/>
                <w:bCs w:val="0"/>
                <w:sz w:val="24"/>
                <w:szCs w:val="24"/>
              </w:rPr>
              <w:t>,</w:t>
            </w:r>
            <w:r w:rsidR="000F3A61" w:rsidRPr="008376FC">
              <w:rPr>
                <w:rFonts w:asciiTheme="majorHAnsi" w:hAnsiTheme="majorHAnsi" w:cstheme="majorHAnsi"/>
                <w:b w:val="0"/>
                <w:bCs w:val="0"/>
                <w:sz w:val="24"/>
                <w:szCs w:val="24"/>
              </w:rPr>
              <w:t xml:space="preserve"> în cadrul ședinței din data de 24.03.2023, reprezentantul MM a comunicat că MM va elabora Raportul privind implementarea SAAS în anul 2022, iar pentru perioadele următoare anului 2022, rapoarte</w:t>
            </w:r>
            <w:r w:rsidR="001F6EB7">
              <w:rPr>
                <w:rFonts w:asciiTheme="majorHAnsi" w:hAnsiTheme="majorHAnsi" w:cstheme="majorHAnsi"/>
                <w:b w:val="0"/>
                <w:bCs w:val="0"/>
                <w:sz w:val="24"/>
                <w:szCs w:val="24"/>
              </w:rPr>
              <w:t>le</w:t>
            </w:r>
            <w:r w:rsidR="000F3A61" w:rsidRPr="008376FC">
              <w:rPr>
                <w:rFonts w:asciiTheme="majorHAnsi" w:hAnsiTheme="majorHAnsi" w:cstheme="majorHAnsi"/>
                <w:b w:val="0"/>
                <w:bCs w:val="0"/>
                <w:sz w:val="24"/>
                <w:szCs w:val="24"/>
              </w:rPr>
              <w:t xml:space="preserve"> anuale respective vor fi elaborate de MIDR.</w:t>
            </w:r>
          </w:p>
          <w:p w:rsidR="000F3A61" w:rsidRPr="008376FC" w:rsidRDefault="000F3A61" w:rsidP="00F61756">
            <w:pPr>
              <w:spacing w:before="120" w:after="12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Suplimentar, cu referire la textul „însă aceștia nu au dat curs acestor solicitări”</w:t>
            </w:r>
            <w:r w:rsidR="001F6EB7">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 xml:space="preserve"> comunicăm că au avut </w:t>
            </w:r>
            <w:r w:rsidR="001F6EB7">
              <w:rPr>
                <w:rFonts w:asciiTheme="majorHAnsi" w:hAnsiTheme="majorHAnsi" w:cstheme="majorHAnsi"/>
                <w:b w:val="0"/>
                <w:bCs w:val="0"/>
                <w:sz w:val="24"/>
                <w:szCs w:val="24"/>
              </w:rPr>
              <w:t xml:space="preserve">loc </w:t>
            </w:r>
            <w:r w:rsidRPr="008376FC">
              <w:rPr>
                <w:rFonts w:asciiTheme="majorHAnsi" w:hAnsiTheme="majorHAnsi" w:cstheme="majorHAnsi"/>
                <w:b w:val="0"/>
                <w:bCs w:val="0"/>
                <w:sz w:val="24"/>
                <w:szCs w:val="24"/>
              </w:rPr>
              <w:t xml:space="preserve">câteva întâlniri la nivel tehnic la subiectul dat, doar că urmează să fie desfășurată o ședință la nivel de conducere a ministerelor respective în vederea preluării materialelor în domeniul politicilor cu privire la alimentarea cu apă și sanitație, pentru a iniția activitățile specifice conform domeniilor de competență atribuite. </w:t>
            </w:r>
          </w:p>
        </w:tc>
      </w:tr>
    </w:tbl>
    <w:p w:rsidR="00F61756" w:rsidRDefault="00F61756" w:rsidP="00F61756">
      <w:pPr>
        <w:spacing w:line="276" w:lineRule="auto"/>
        <w:jc w:val="both"/>
        <w:rPr>
          <w:rFonts w:asciiTheme="majorHAnsi" w:eastAsia="MS Mincho" w:hAnsiTheme="majorHAnsi" w:cstheme="majorHAnsi"/>
          <w:color w:val="0070C0"/>
          <w:kern w:val="2"/>
          <w:sz w:val="24"/>
          <w:szCs w:val="24"/>
        </w:rPr>
      </w:pPr>
    </w:p>
    <w:p w:rsidR="00BE3B68" w:rsidRPr="008376FC" w:rsidRDefault="00D7692F" w:rsidP="00F61756">
      <w:pPr>
        <w:spacing w:line="276" w:lineRule="auto"/>
        <w:jc w:val="both"/>
        <w:rPr>
          <w:rFonts w:asciiTheme="majorHAnsi" w:eastAsia="MS Mincho" w:hAnsiTheme="majorHAnsi" w:cstheme="majorHAnsi"/>
          <w:color w:val="0070C0"/>
          <w:kern w:val="2"/>
          <w:sz w:val="24"/>
          <w:szCs w:val="24"/>
        </w:rPr>
      </w:pPr>
      <w:r w:rsidRPr="008376FC">
        <w:rPr>
          <w:rFonts w:asciiTheme="majorHAnsi" w:eastAsia="MS Mincho" w:hAnsiTheme="majorHAnsi" w:cstheme="majorHAnsi"/>
          <w:color w:val="0070C0"/>
          <w:kern w:val="2"/>
          <w:sz w:val="24"/>
          <w:szCs w:val="24"/>
        </w:rPr>
        <w:t>4.</w:t>
      </w:r>
      <w:r w:rsidR="0053166E" w:rsidRPr="008376FC">
        <w:rPr>
          <w:rFonts w:asciiTheme="majorHAnsi" w:eastAsia="MS Mincho" w:hAnsiTheme="majorHAnsi" w:cstheme="majorHAnsi"/>
          <w:color w:val="0070C0"/>
          <w:kern w:val="2"/>
          <w:sz w:val="24"/>
          <w:szCs w:val="24"/>
        </w:rPr>
        <w:t>1.4. MADRM/MM</w:t>
      </w:r>
      <w:r w:rsidR="00A33395">
        <w:rPr>
          <w:rFonts w:asciiTheme="majorHAnsi" w:eastAsia="MS Mincho" w:hAnsiTheme="majorHAnsi" w:cstheme="majorHAnsi"/>
          <w:color w:val="0070C0"/>
          <w:kern w:val="2"/>
          <w:sz w:val="24"/>
          <w:szCs w:val="24"/>
        </w:rPr>
        <w:t>,</w:t>
      </w:r>
      <w:r w:rsidR="0053166E" w:rsidRPr="008376FC">
        <w:rPr>
          <w:rFonts w:asciiTheme="majorHAnsi" w:eastAsia="MS Mincho" w:hAnsiTheme="majorHAnsi" w:cstheme="majorHAnsi"/>
          <w:color w:val="0070C0"/>
          <w:kern w:val="2"/>
          <w:sz w:val="24"/>
          <w:szCs w:val="24"/>
        </w:rPr>
        <w:t xml:space="preserve"> </w:t>
      </w:r>
      <w:r w:rsidR="009F063B" w:rsidRPr="008376FC">
        <w:rPr>
          <w:rFonts w:asciiTheme="majorHAnsi" w:eastAsia="MS Mincho" w:hAnsiTheme="majorHAnsi" w:cstheme="majorHAnsi"/>
          <w:color w:val="0070C0"/>
          <w:kern w:val="2"/>
          <w:sz w:val="24"/>
          <w:szCs w:val="24"/>
        </w:rPr>
        <w:t>în calitate de organ responsabil de implementarea SAAS</w:t>
      </w:r>
      <w:r w:rsidR="00A33395">
        <w:rPr>
          <w:rFonts w:asciiTheme="majorHAnsi" w:eastAsia="MS Mincho" w:hAnsiTheme="majorHAnsi" w:cstheme="majorHAnsi"/>
          <w:color w:val="0070C0"/>
          <w:kern w:val="2"/>
          <w:sz w:val="24"/>
          <w:szCs w:val="24"/>
        </w:rPr>
        <w:t>,</w:t>
      </w:r>
      <w:r w:rsidR="009F063B" w:rsidRPr="008376FC">
        <w:rPr>
          <w:rFonts w:asciiTheme="majorHAnsi" w:eastAsia="MS Mincho" w:hAnsiTheme="majorHAnsi" w:cstheme="majorHAnsi"/>
          <w:color w:val="0070C0"/>
          <w:kern w:val="2"/>
          <w:sz w:val="24"/>
          <w:szCs w:val="24"/>
        </w:rPr>
        <w:t xml:space="preserve"> </w:t>
      </w:r>
      <w:r w:rsidR="0053166E" w:rsidRPr="008376FC">
        <w:rPr>
          <w:rFonts w:asciiTheme="majorHAnsi" w:eastAsia="MS Mincho" w:hAnsiTheme="majorHAnsi" w:cstheme="majorHAnsi"/>
          <w:color w:val="0070C0"/>
          <w:kern w:val="2"/>
          <w:sz w:val="24"/>
          <w:szCs w:val="24"/>
        </w:rPr>
        <w:t>nu dispune de date complete privind resursele alocate pentru implementarea Strategiei</w:t>
      </w:r>
      <w:r w:rsidR="00A33395">
        <w:rPr>
          <w:rFonts w:asciiTheme="majorHAnsi" w:eastAsia="MS Mincho" w:hAnsiTheme="majorHAnsi" w:cstheme="majorHAnsi"/>
          <w:color w:val="0070C0"/>
          <w:kern w:val="2"/>
          <w:sz w:val="24"/>
          <w:szCs w:val="24"/>
        </w:rPr>
        <w:t>.</w:t>
      </w:r>
    </w:p>
    <w:p w:rsidR="0053166E" w:rsidRPr="008376FC" w:rsidRDefault="009F063B" w:rsidP="00F61756">
      <w:pPr>
        <w:spacing w:before="120" w:after="0" w:line="276" w:lineRule="auto"/>
        <w:jc w:val="both"/>
        <w:rPr>
          <w:rFonts w:asciiTheme="majorHAnsi" w:eastAsia="MS Mincho" w:hAnsiTheme="majorHAnsi" w:cstheme="majorHAnsi"/>
          <w:b w:val="0"/>
          <w:bCs w:val="0"/>
          <w:kern w:val="2"/>
          <w:sz w:val="24"/>
          <w:szCs w:val="24"/>
        </w:rPr>
      </w:pPr>
      <w:r w:rsidRPr="008376FC">
        <w:rPr>
          <w:rFonts w:asciiTheme="majorHAnsi" w:eastAsia="MS Mincho" w:hAnsiTheme="majorHAnsi" w:cstheme="majorHAnsi"/>
          <w:b w:val="0"/>
          <w:bCs w:val="0"/>
          <w:kern w:val="2"/>
          <w:sz w:val="24"/>
          <w:szCs w:val="24"/>
        </w:rPr>
        <w:t>Pe parcursul mai mulror ani</w:t>
      </w:r>
      <w:r w:rsidR="00A33395">
        <w:rPr>
          <w:rFonts w:asciiTheme="majorHAnsi" w:eastAsia="MS Mincho" w:hAnsiTheme="majorHAnsi" w:cstheme="majorHAnsi"/>
          <w:b w:val="0"/>
          <w:bCs w:val="0"/>
          <w:kern w:val="2"/>
          <w:sz w:val="24"/>
          <w:szCs w:val="24"/>
        </w:rPr>
        <w:t>,</w:t>
      </w:r>
      <w:r w:rsidRPr="008376FC">
        <w:rPr>
          <w:rFonts w:asciiTheme="majorHAnsi" w:eastAsia="MS Mincho" w:hAnsiTheme="majorHAnsi" w:cstheme="majorHAnsi"/>
          <w:b w:val="0"/>
          <w:bCs w:val="0"/>
          <w:kern w:val="2"/>
          <w:sz w:val="24"/>
          <w:szCs w:val="24"/>
        </w:rPr>
        <w:t xml:space="preserve"> </w:t>
      </w:r>
      <w:r w:rsidR="0053166E" w:rsidRPr="008376FC">
        <w:rPr>
          <w:rFonts w:asciiTheme="majorHAnsi" w:eastAsia="MS Mincho" w:hAnsiTheme="majorHAnsi" w:cstheme="majorHAnsi"/>
          <w:b w:val="0"/>
          <w:bCs w:val="0"/>
          <w:kern w:val="2"/>
          <w:sz w:val="24"/>
          <w:szCs w:val="24"/>
        </w:rPr>
        <w:t xml:space="preserve">MADRM/MM nu a asigurat o evidență fiabilă și exhaustivă privind valoarea și natura asistenței acordate pentru implementarea SAAS de către partenerii externi, ceea ce face deficitară estimarea aportului surselor externe la finanţarea acţiunilor incluse în Planurile de acţiuni şi nemijlocit a costurilor totale aferente realizării acesteia. </w:t>
      </w:r>
    </w:p>
    <w:p w:rsidR="0053166E" w:rsidRDefault="0053166E" w:rsidP="00F61756">
      <w:pPr>
        <w:spacing w:before="120" w:after="0" w:line="276" w:lineRule="auto"/>
        <w:jc w:val="both"/>
        <w:rPr>
          <w:rFonts w:asciiTheme="majorHAnsi" w:eastAsia="MS Mincho" w:hAnsiTheme="majorHAnsi" w:cstheme="majorHAnsi"/>
          <w:b w:val="0"/>
          <w:bCs w:val="0"/>
          <w:kern w:val="2"/>
          <w:sz w:val="24"/>
          <w:szCs w:val="24"/>
        </w:rPr>
      </w:pPr>
      <w:r w:rsidRPr="008376FC">
        <w:rPr>
          <w:rFonts w:asciiTheme="majorHAnsi" w:eastAsia="MS Mincho" w:hAnsiTheme="majorHAnsi" w:cstheme="majorHAnsi"/>
          <w:b w:val="0"/>
          <w:bCs w:val="0"/>
          <w:kern w:val="2"/>
          <w:sz w:val="24"/>
          <w:szCs w:val="24"/>
        </w:rPr>
        <w:t>Conform informaţii</w:t>
      </w:r>
      <w:r w:rsidR="00E22385">
        <w:rPr>
          <w:rFonts w:asciiTheme="majorHAnsi" w:eastAsia="MS Mincho" w:hAnsiTheme="majorHAnsi" w:cstheme="majorHAnsi"/>
          <w:b w:val="0"/>
          <w:bCs w:val="0"/>
          <w:kern w:val="2"/>
          <w:sz w:val="24"/>
          <w:szCs w:val="24"/>
        </w:rPr>
        <w:t>lor</w:t>
      </w:r>
      <w:r w:rsidRPr="008376FC">
        <w:rPr>
          <w:rFonts w:asciiTheme="majorHAnsi" w:eastAsia="MS Mincho" w:hAnsiTheme="majorHAnsi" w:cstheme="majorHAnsi"/>
          <w:b w:val="0"/>
          <w:bCs w:val="0"/>
          <w:kern w:val="2"/>
          <w:sz w:val="24"/>
          <w:szCs w:val="24"/>
        </w:rPr>
        <w:t xml:space="preserve"> prezentate de MM</w:t>
      </w:r>
      <w:r w:rsidRPr="008376FC">
        <w:rPr>
          <w:rStyle w:val="ab"/>
          <w:rFonts w:asciiTheme="majorHAnsi" w:eastAsia="MS Mincho" w:hAnsiTheme="majorHAnsi" w:cstheme="majorHAnsi"/>
          <w:b w:val="0"/>
          <w:bCs w:val="0"/>
          <w:kern w:val="2"/>
          <w:sz w:val="24"/>
          <w:szCs w:val="24"/>
        </w:rPr>
        <w:footnoteReference w:id="27"/>
      </w:r>
      <w:r w:rsidRPr="008376FC">
        <w:rPr>
          <w:rFonts w:asciiTheme="majorHAnsi" w:eastAsia="MS Mincho" w:hAnsiTheme="majorHAnsi" w:cstheme="majorHAnsi"/>
          <w:b w:val="0"/>
          <w:bCs w:val="0"/>
          <w:kern w:val="2"/>
          <w:sz w:val="24"/>
          <w:szCs w:val="24"/>
        </w:rPr>
        <w:t xml:space="preserve">, cheltuielile realizate de instituţiile internaţionale pentru finanţarea activităţilor din Planul de acţiuni au fost calculate </w:t>
      </w:r>
      <w:r w:rsidR="00BC28D6" w:rsidRPr="00481FDE">
        <w:rPr>
          <w:rFonts w:asciiTheme="majorHAnsi" w:eastAsia="MS Mincho" w:hAnsiTheme="majorHAnsi" w:cstheme="majorHAnsi"/>
          <w:b w:val="0"/>
          <w:bCs w:val="0"/>
          <w:kern w:val="2"/>
          <w:sz w:val="24"/>
          <w:szCs w:val="24"/>
        </w:rPr>
        <w:t>în cadrul proiectelor investiționale de asistenţă externă,</w:t>
      </w:r>
      <w:r w:rsidRPr="00481FDE">
        <w:rPr>
          <w:rFonts w:asciiTheme="majorHAnsi" w:eastAsia="MS Mincho" w:hAnsiTheme="majorHAnsi" w:cstheme="majorHAnsi"/>
          <w:b w:val="0"/>
          <w:bCs w:val="0"/>
          <w:kern w:val="2"/>
          <w:sz w:val="24"/>
          <w:szCs w:val="24"/>
        </w:rPr>
        <w:t xml:space="preserve"> iar rapoartele financiare ale donatorilor privind</w:t>
      </w:r>
      <w:r w:rsidRPr="008376FC">
        <w:rPr>
          <w:rFonts w:asciiTheme="majorHAnsi" w:eastAsia="MS Mincho" w:hAnsiTheme="majorHAnsi" w:cstheme="majorHAnsi"/>
          <w:b w:val="0"/>
          <w:bCs w:val="0"/>
          <w:kern w:val="2"/>
          <w:sz w:val="24"/>
          <w:szCs w:val="24"/>
        </w:rPr>
        <w:t xml:space="preserve"> sumele financiare alocate pentru acţiunile stabilite în Strategie nu au fost prezentate ministerului. Această situaţie a fost condiţionată şi de procesul de r</w:t>
      </w:r>
      <w:r w:rsidR="009F063B" w:rsidRPr="008376FC">
        <w:rPr>
          <w:rFonts w:asciiTheme="majorHAnsi" w:eastAsia="MS Mincho" w:hAnsiTheme="majorHAnsi" w:cstheme="majorHAnsi"/>
          <w:b w:val="0"/>
          <w:bCs w:val="0"/>
          <w:kern w:val="2"/>
          <w:sz w:val="24"/>
          <w:szCs w:val="24"/>
        </w:rPr>
        <w:t>eformă instituțională, conform căreia în anul</w:t>
      </w:r>
      <w:r w:rsidR="00C702C6" w:rsidRPr="008376FC">
        <w:rPr>
          <w:rFonts w:asciiTheme="majorHAnsi" w:eastAsia="MS Mincho" w:hAnsiTheme="majorHAnsi" w:cstheme="majorHAnsi"/>
          <w:b w:val="0"/>
          <w:bCs w:val="0"/>
          <w:kern w:val="2"/>
          <w:sz w:val="24"/>
          <w:szCs w:val="24"/>
        </w:rPr>
        <w:t xml:space="preserve"> 2017 au fost reorganizate </w:t>
      </w:r>
      <w:r w:rsidRPr="008376FC">
        <w:rPr>
          <w:rFonts w:asciiTheme="majorHAnsi" w:eastAsia="MS Mincho" w:hAnsiTheme="majorHAnsi" w:cstheme="majorHAnsi"/>
          <w:b w:val="0"/>
          <w:bCs w:val="0"/>
          <w:kern w:val="2"/>
          <w:sz w:val="24"/>
          <w:szCs w:val="24"/>
        </w:rPr>
        <w:t>3 ministere (MDRC, MM, MAIA) într-un singur minister (MADRM), iar ulterior, în anul 2021 a avut loc procesul invers de separare a MADRM în două ministere (MAIA şi MM), componenta de dezvoltare regional</w:t>
      </w:r>
      <w:r w:rsidR="00A33395">
        <w:rPr>
          <w:rFonts w:asciiTheme="majorHAnsi" w:eastAsia="MS Mincho" w:hAnsiTheme="majorHAnsi" w:cstheme="majorHAnsi"/>
          <w:b w:val="0"/>
          <w:bCs w:val="0"/>
          <w:kern w:val="2"/>
          <w:sz w:val="24"/>
          <w:szCs w:val="24"/>
        </w:rPr>
        <w:t>ă</w:t>
      </w:r>
      <w:r w:rsidRPr="008376FC">
        <w:rPr>
          <w:rFonts w:asciiTheme="majorHAnsi" w:eastAsia="MS Mincho" w:hAnsiTheme="majorHAnsi" w:cstheme="majorHAnsi"/>
          <w:b w:val="0"/>
          <w:bCs w:val="0"/>
          <w:kern w:val="2"/>
          <w:sz w:val="24"/>
          <w:szCs w:val="24"/>
        </w:rPr>
        <w:t xml:space="preserve"> fiind transferată MIDR.  </w:t>
      </w:r>
    </w:p>
    <w:p w:rsidR="00BE3B68" w:rsidRPr="008376FC" w:rsidRDefault="00D7692F" w:rsidP="00F61756">
      <w:pPr>
        <w:spacing w:line="276" w:lineRule="auto"/>
        <w:jc w:val="both"/>
        <w:rPr>
          <w:rFonts w:asciiTheme="majorHAnsi" w:eastAsia="MS Mincho" w:hAnsiTheme="majorHAnsi" w:cstheme="majorHAnsi"/>
          <w:color w:val="0070C0"/>
          <w:kern w:val="2"/>
          <w:sz w:val="24"/>
          <w:szCs w:val="24"/>
        </w:rPr>
      </w:pPr>
      <w:r w:rsidRPr="008376FC">
        <w:rPr>
          <w:rFonts w:asciiTheme="majorHAnsi" w:eastAsia="MS Mincho" w:hAnsiTheme="majorHAnsi" w:cstheme="majorHAnsi"/>
          <w:color w:val="0070C0"/>
          <w:kern w:val="2"/>
          <w:sz w:val="24"/>
          <w:szCs w:val="24"/>
        </w:rPr>
        <w:t>4.1.</w:t>
      </w:r>
      <w:r w:rsidR="0053166E" w:rsidRPr="008376FC">
        <w:rPr>
          <w:rFonts w:asciiTheme="majorHAnsi" w:eastAsia="MS Mincho" w:hAnsiTheme="majorHAnsi" w:cstheme="majorHAnsi"/>
          <w:color w:val="0070C0"/>
          <w:kern w:val="2"/>
          <w:sz w:val="24"/>
          <w:szCs w:val="24"/>
        </w:rPr>
        <w:t xml:space="preserve">5. </w:t>
      </w:r>
      <w:r w:rsidR="009C5371" w:rsidRPr="008376FC">
        <w:rPr>
          <w:rFonts w:asciiTheme="majorHAnsi" w:eastAsia="MS Mincho" w:hAnsiTheme="majorHAnsi" w:cstheme="majorHAnsi"/>
          <w:color w:val="0070C0"/>
          <w:kern w:val="2"/>
          <w:sz w:val="24"/>
          <w:szCs w:val="24"/>
        </w:rPr>
        <w:t xml:space="preserve">Aprobarea Ghidului pentru întocmirea Studiului de fezabilitate pentru proiectele de apă şi canalizare </w:t>
      </w:r>
      <w:r w:rsidR="00F969A9" w:rsidRPr="008376FC">
        <w:rPr>
          <w:rFonts w:asciiTheme="majorHAnsi" w:eastAsia="MS Mincho" w:hAnsiTheme="majorHAnsi" w:cstheme="majorHAnsi"/>
          <w:color w:val="0070C0"/>
          <w:kern w:val="2"/>
          <w:sz w:val="24"/>
          <w:szCs w:val="24"/>
        </w:rPr>
        <w:t xml:space="preserve">a fost o acţiune formală, finanțarea proiectelor de infrastructură din fondurile gestionate de MM/MADRM fiind aprobată şi alocată în lipsa </w:t>
      </w:r>
      <w:r w:rsidR="00C85C6D" w:rsidRPr="008376FC">
        <w:rPr>
          <w:rFonts w:asciiTheme="majorHAnsi" w:eastAsia="MS Mincho" w:hAnsiTheme="majorHAnsi" w:cstheme="majorHAnsi"/>
          <w:color w:val="0070C0"/>
          <w:kern w:val="2"/>
          <w:sz w:val="24"/>
          <w:szCs w:val="24"/>
        </w:rPr>
        <w:t>acest</w:t>
      </w:r>
      <w:r w:rsidR="00EE2590">
        <w:rPr>
          <w:rFonts w:asciiTheme="majorHAnsi" w:eastAsia="MS Mincho" w:hAnsiTheme="majorHAnsi" w:cstheme="majorHAnsi"/>
          <w:color w:val="0070C0"/>
          <w:kern w:val="2"/>
          <w:sz w:val="24"/>
          <w:szCs w:val="24"/>
        </w:rPr>
        <w:t>uia</w:t>
      </w:r>
      <w:r w:rsidR="00A1439E">
        <w:rPr>
          <w:rFonts w:asciiTheme="majorHAnsi" w:eastAsia="MS Mincho" w:hAnsiTheme="majorHAnsi" w:cstheme="majorHAnsi"/>
          <w:color w:val="0070C0"/>
          <w:kern w:val="2"/>
          <w:sz w:val="24"/>
          <w:szCs w:val="24"/>
        </w:rPr>
        <w:t>.</w:t>
      </w:r>
    </w:p>
    <w:p w:rsidR="0053166E" w:rsidRPr="008376FC" w:rsidRDefault="0053166E" w:rsidP="00F61756">
      <w:pPr>
        <w:tabs>
          <w:tab w:val="left" w:pos="993"/>
        </w:tabs>
        <w:spacing w:before="120" w:after="0" w:line="276" w:lineRule="auto"/>
        <w:jc w:val="both"/>
        <w:rPr>
          <w:rFonts w:asciiTheme="majorHAnsi" w:eastAsia="MS Mincho" w:hAnsiTheme="majorHAnsi" w:cstheme="majorHAnsi"/>
          <w:b w:val="0"/>
          <w:bCs w:val="0"/>
          <w:kern w:val="2"/>
          <w:sz w:val="24"/>
          <w:szCs w:val="24"/>
        </w:rPr>
      </w:pPr>
      <w:r w:rsidRPr="008376FC">
        <w:rPr>
          <w:rFonts w:asciiTheme="majorHAnsi" w:eastAsia="MS Mincho" w:hAnsiTheme="majorHAnsi" w:cstheme="majorHAnsi"/>
          <w:b w:val="0"/>
          <w:bCs w:val="0"/>
          <w:kern w:val="2"/>
          <w:sz w:val="24"/>
          <w:szCs w:val="24"/>
        </w:rPr>
        <w:t>În scopul eficientizării planificării şi îmbunătățirii infrastructurii de alimentare cu apă şi sanitaţie, în conformitate cu prevederile Hotăr</w:t>
      </w:r>
      <w:r w:rsidR="00EE2590">
        <w:rPr>
          <w:rFonts w:asciiTheme="majorHAnsi" w:eastAsia="MS Mincho" w:hAnsiTheme="majorHAnsi" w:cstheme="majorHAnsi"/>
          <w:b w:val="0"/>
          <w:bCs w:val="0"/>
          <w:kern w:val="2"/>
          <w:sz w:val="24"/>
          <w:szCs w:val="24"/>
        </w:rPr>
        <w:t>â</w:t>
      </w:r>
      <w:r w:rsidRPr="008376FC">
        <w:rPr>
          <w:rFonts w:asciiTheme="majorHAnsi" w:eastAsia="MS Mincho" w:hAnsiTheme="majorHAnsi" w:cstheme="majorHAnsi"/>
          <w:b w:val="0"/>
          <w:bCs w:val="0"/>
          <w:kern w:val="2"/>
          <w:sz w:val="24"/>
          <w:szCs w:val="24"/>
        </w:rPr>
        <w:t xml:space="preserve">rii Guvernului nr.199 din 20.03.2014 </w:t>
      </w:r>
      <w:r w:rsidR="00EE2590">
        <w:rPr>
          <w:rFonts w:asciiTheme="majorHAnsi" w:eastAsia="MS Mincho" w:hAnsiTheme="majorHAnsi" w:cstheme="majorHAnsi"/>
          <w:b w:val="0"/>
          <w:bCs w:val="0"/>
          <w:kern w:val="2"/>
          <w:sz w:val="24"/>
          <w:szCs w:val="24"/>
        </w:rPr>
        <w:t>„C</w:t>
      </w:r>
      <w:r w:rsidRPr="008376FC">
        <w:rPr>
          <w:rFonts w:asciiTheme="majorHAnsi" w:eastAsia="MS Mincho" w:hAnsiTheme="majorHAnsi" w:cstheme="majorHAnsi"/>
          <w:b w:val="0"/>
          <w:bCs w:val="0"/>
          <w:kern w:val="2"/>
          <w:sz w:val="24"/>
          <w:szCs w:val="24"/>
        </w:rPr>
        <w:t>u privire la aprobarea Strategiei de alimentare cu apă şi sanitaţie (2014</w:t>
      </w:r>
      <w:r w:rsidR="00EE2590">
        <w:rPr>
          <w:rFonts w:asciiTheme="majorHAnsi" w:eastAsia="MS Mincho" w:hAnsiTheme="majorHAnsi" w:cstheme="majorHAnsi"/>
          <w:b w:val="0"/>
          <w:bCs w:val="0"/>
          <w:kern w:val="2"/>
          <w:sz w:val="24"/>
          <w:szCs w:val="24"/>
        </w:rPr>
        <w:t>-</w:t>
      </w:r>
      <w:r w:rsidRPr="008376FC">
        <w:rPr>
          <w:rFonts w:asciiTheme="majorHAnsi" w:eastAsia="MS Mincho" w:hAnsiTheme="majorHAnsi" w:cstheme="majorHAnsi"/>
          <w:b w:val="0"/>
          <w:bCs w:val="0"/>
          <w:kern w:val="2"/>
          <w:sz w:val="24"/>
          <w:szCs w:val="24"/>
        </w:rPr>
        <w:t>2030)</w:t>
      </w:r>
      <w:r w:rsidR="00EE2590">
        <w:rPr>
          <w:rFonts w:asciiTheme="majorHAnsi" w:eastAsia="MS Mincho" w:hAnsiTheme="majorHAnsi" w:cstheme="majorHAnsi"/>
          <w:b w:val="0"/>
          <w:bCs w:val="0"/>
          <w:kern w:val="2"/>
          <w:sz w:val="24"/>
          <w:szCs w:val="24"/>
        </w:rPr>
        <w:t>”</w:t>
      </w:r>
      <w:r w:rsidRPr="008376FC">
        <w:rPr>
          <w:rStyle w:val="ab"/>
          <w:rFonts w:asciiTheme="majorHAnsi" w:eastAsia="MS Mincho" w:hAnsiTheme="majorHAnsi" w:cstheme="majorHAnsi"/>
          <w:b w:val="0"/>
          <w:bCs w:val="0"/>
          <w:kern w:val="2"/>
          <w:sz w:val="24"/>
          <w:szCs w:val="24"/>
        </w:rPr>
        <w:footnoteReference w:id="28"/>
      </w:r>
      <w:r w:rsidRPr="008376FC">
        <w:rPr>
          <w:rFonts w:asciiTheme="majorHAnsi" w:eastAsia="MS Mincho" w:hAnsiTheme="majorHAnsi" w:cstheme="majorHAnsi"/>
          <w:b w:val="0"/>
          <w:bCs w:val="0"/>
          <w:kern w:val="2"/>
          <w:sz w:val="24"/>
          <w:szCs w:val="24"/>
        </w:rPr>
        <w:t xml:space="preserve"> prin Ordinul MM nr.98 din 20.12.2014 a fost elaborat şi aprobat Ghidul pentru întocmirea Studiului de fezabilitate pentru proiectele de apă şi apă uzată, care stabilea că proiectarea şi construcţia oricărei infrastructuri de alimentare cu apă şi sanitaţie urma a fi precedată de un Studiu de fezabilitate (SF), care documentează aspectele tehnice, financiare, economice, instituţionale, urbanistice, impactul asupra mediului şi viabilitatea investiţiei propuse. Studiul de fezabilitate </w:t>
      </w:r>
      <w:r w:rsidR="00EE2590">
        <w:rPr>
          <w:rFonts w:asciiTheme="majorHAnsi" w:eastAsia="MS Mincho" w:hAnsiTheme="majorHAnsi" w:cstheme="majorHAnsi"/>
          <w:b w:val="0"/>
          <w:bCs w:val="0"/>
          <w:kern w:val="2"/>
          <w:sz w:val="24"/>
          <w:szCs w:val="24"/>
        </w:rPr>
        <w:t>este</w:t>
      </w:r>
      <w:r w:rsidR="00EE2590" w:rsidRPr="008376FC">
        <w:rPr>
          <w:rFonts w:asciiTheme="majorHAnsi" w:eastAsia="MS Mincho" w:hAnsiTheme="majorHAnsi" w:cstheme="majorHAnsi"/>
          <w:b w:val="0"/>
          <w:bCs w:val="0"/>
          <w:kern w:val="2"/>
          <w:sz w:val="24"/>
          <w:szCs w:val="24"/>
        </w:rPr>
        <w:t xml:space="preserve"> </w:t>
      </w:r>
      <w:r w:rsidRPr="008376FC">
        <w:rPr>
          <w:rFonts w:asciiTheme="majorHAnsi" w:eastAsia="MS Mincho" w:hAnsiTheme="majorHAnsi" w:cstheme="majorHAnsi"/>
          <w:b w:val="0"/>
          <w:bCs w:val="0"/>
          <w:kern w:val="2"/>
          <w:sz w:val="24"/>
          <w:szCs w:val="24"/>
        </w:rPr>
        <w:t>un document în baza căruia se elaborează documentaţia de proiect, care include şi furnizează informaţi</w:t>
      </w:r>
      <w:r w:rsidR="00EE2590">
        <w:rPr>
          <w:rFonts w:asciiTheme="majorHAnsi" w:eastAsia="MS Mincho" w:hAnsiTheme="majorHAnsi" w:cstheme="majorHAnsi"/>
          <w:b w:val="0"/>
          <w:bCs w:val="0"/>
          <w:kern w:val="2"/>
          <w:sz w:val="24"/>
          <w:szCs w:val="24"/>
        </w:rPr>
        <w:t>i</w:t>
      </w:r>
      <w:r w:rsidRPr="008376FC">
        <w:rPr>
          <w:rFonts w:asciiTheme="majorHAnsi" w:eastAsia="MS Mincho" w:hAnsiTheme="majorHAnsi" w:cstheme="majorHAnsi"/>
          <w:b w:val="0"/>
          <w:bCs w:val="0"/>
          <w:kern w:val="2"/>
          <w:sz w:val="24"/>
          <w:szCs w:val="24"/>
        </w:rPr>
        <w:t xml:space="preserve"> privind impactul multidimensional al proiectului, precum şi viabilitatea economică şi durabilitatea financiară a proiectului de investiţii capitale.</w:t>
      </w:r>
    </w:p>
    <w:p w:rsidR="0053166E" w:rsidRPr="008376FC" w:rsidRDefault="0053166E" w:rsidP="00F61756">
      <w:pPr>
        <w:tabs>
          <w:tab w:val="left" w:pos="993"/>
        </w:tabs>
        <w:spacing w:before="120" w:after="0" w:line="276" w:lineRule="auto"/>
        <w:jc w:val="both"/>
        <w:rPr>
          <w:rFonts w:asciiTheme="majorHAnsi" w:eastAsia="MS Mincho" w:hAnsiTheme="majorHAnsi" w:cstheme="majorHAnsi"/>
          <w:b w:val="0"/>
          <w:bCs w:val="0"/>
          <w:kern w:val="2"/>
          <w:sz w:val="24"/>
          <w:szCs w:val="24"/>
        </w:rPr>
      </w:pPr>
      <w:r w:rsidRPr="008376FC">
        <w:rPr>
          <w:rFonts w:asciiTheme="majorHAnsi" w:eastAsia="MS Mincho" w:hAnsiTheme="majorHAnsi" w:cstheme="majorHAnsi"/>
          <w:b w:val="0"/>
          <w:bCs w:val="0"/>
          <w:kern w:val="2"/>
          <w:sz w:val="24"/>
          <w:szCs w:val="24"/>
        </w:rPr>
        <w:t xml:space="preserve">Prin elaborarea Studiului de fezabilitate urma a fi identificată soluţia optimă din punct de vedere tehnico-economic pentru asigurarea îndeplinirii obiectivelor propuse prin activitatea preconizată. Fiind un element de bază în documentaţia de finanţare, Studiul de fezabilitate </w:t>
      </w:r>
      <w:r w:rsidR="00EE2590">
        <w:rPr>
          <w:rFonts w:asciiTheme="majorHAnsi" w:eastAsia="MS Mincho" w:hAnsiTheme="majorHAnsi" w:cstheme="majorHAnsi"/>
          <w:b w:val="0"/>
          <w:bCs w:val="0"/>
          <w:kern w:val="2"/>
          <w:sz w:val="24"/>
          <w:szCs w:val="24"/>
        </w:rPr>
        <w:t>este</w:t>
      </w:r>
      <w:r w:rsidRPr="008376FC">
        <w:rPr>
          <w:rFonts w:asciiTheme="majorHAnsi" w:eastAsia="MS Mincho" w:hAnsiTheme="majorHAnsi" w:cstheme="majorHAnsi"/>
          <w:b w:val="0"/>
          <w:bCs w:val="0"/>
          <w:kern w:val="2"/>
          <w:sz w:val="24"/>
          <w:szCs w:val="24"/>
        </w:rPr>
        <w:t xml:space="preserve"> instrumentul care permite investitorului să decidă fundamentat, bazând-se pe informaţii exhaustive, dacă este rezonabilă/fezabilă sau nu investiţia respectivă şi când sau cum anume să se efectueze finanțarea/implementarea proiectului.</w:t>
      </w:r>
    </w:p>
    <w:p w:rsidR="0053166E" w:rsidRDefault="0053166E" w:rsidP="00F61756">
      <w:pPr>
        <w:tabs>
          <w:tab w:val="left" w:pos="993"/>
        </w:tabs>
        <w:spacing w:after="0" w:line="276" w:lineRule="auto"/>
        <w:jc w:val="both"/>
        <w:rPr>
          <w:rFonts w:asciiTheme="majorHAnsi" w:eastAsia="MS Mincho" w:hAnsiTheme="majorHAnsi" w:cstheme="majorHAnsi"/>
          <w:b w:val="0"/>
          <w:bCs w:val="0"/>
          <w:kern w:val="2"/>
          <w:sz w:val="24"/>
          <w:szCs w:val="24"/>
        </w:rPr>
      </w:pPr>
      <w:r w:rsidRPr="008376FC">
        <w:rPr>
          <w:rFonts w:asciiTheme="majorHAnsi" w:eastAsia="MS Mincho" w:hAnsiTheme="majorHAnsi" w:cstheme="majorHAnsi"/>
          <w:b w:val="0"/>
          <w:bCs w:val="0"/>
          <w:kern w:val="2"/>
          <w:sz w:val="24"/>
          <w:szCs w:val="24"/>
        </w:rPr>
        <w:t>MM/MADRM</w:t>
      </w:r>
      <w:r w:rsidR="00BB4FB0">
        <w:rPr>
          <w:rFonts w:asciiTheme="majorHAnsi" w:eastAsia="MS Mincho" w:hAnsiTheme="majorHAnsi" w:cstheme="majorHAnsi"/>
          <w:b w:val="0"/>
          <w:bCs w:val="0"/>
          <w:kern w:val="2"/>
          <w:sz w:val="24"/>
          <w:szCs w:val="24"/>
        </w:rPr>
        <w:t>,</w:t>
      </w:r>
      <w:r w:rsidRPr="008376FC">
        <w:rPr>
          <w:rFonts w:asciiTheme="majorHAnsi" w:eastAsia="MS Mincho" w:hAnsiTheme="majorHAnsi" w:cstheme="majorHAnsi"/>
          <w:b w:val="0"/>
          <w:bCs w:val="0"/>
          <w:kern w:val="2"/>
          <w:sz w:val="24"/>
          <w:szCs w:val="24"/>
        </w:rPr>
        <w:t xml:space="preserve"> fiind responsabil pentru monitorizarea implementării SAAS</w:t>
      </w:r>
      <w:r w:rsidR="00BB4FB0">
        <w:rPr>
          <w:rFonts w:asciiTheme="majorHAnsi" w:eastAsia="MS Mincho" w:hAnsiTheme="majorHAnsi" w:cstheme="majorHAnsi"/>
          <w:b w:val="0"/>
          <w:bCs w:val="0"/>
          <w:kern w:val="2"/>
          <w:sz w:val="24"/>
          <w:szCs w:val="24"/>
        </w:rPr>
        <w:t>,</w:t>
      </w:r>
      <w:r w:rsidRPr="008376FC">
        <w:rPr>
          <w:rFonts w:asciiTheme="majorHAnsi" w:eastAsia="MS Mincho" w:hAnsiTheme="majorHAnsi" w:cstheme="majorHAnsi"/>
          <w:b w:val="0"/>
          <w:bCs w:val="0"/>
          <w:kern w:val="2"/>
          <w:sz w:val="24"/>
          <w:szCs w:val="24"/>
        </w:rPr>
        <w:t xml:space="preserve"> urma să coordoneze, </w:t>
      </w:r>
      <w:r w:rsidR="00BB4FB0">
        <w:rPr>
          <w:rFonts w:asciiTheme="majorHAnsi" w:eastAsia="MS Mincho" w:hAnsiTheme="majorHAnsi" w:cstheme="majorHAnsi"/>
          <w:b w:val="0"/>
          <w:bCs w:val="0"/>
          <w:kern w:val="2"/>
          <w:sz w:val="24"/>
          <w:szCs w:val="24"/>
        </w:rPr>
        <w:t xml:space="preserve">să </w:t>
      </w:r>
      <w:r w:rsidRPr="008376FC">
        <w:rPr>
          <w:rFonts w:asciiTheme="majorHAnsi" w:eastAsia="MS Mincho" w:hAnsiTheme="majorHAnsi" w:cstheme="majorHAnsi"/>
          <w:b w:val="0"/>
          <w:bCs w:val="0"/>
          <w:kern w:val="2"/>
          <w:sz w:val="24"/>
          <w:szCs w:val="24"/>
        </w:rPr>
        <w:t xml:space="preserve">monitorizeze şi </w:t>
      </w:r>
      <w:r w:rsidR="00BB4FB0">
        <w:rPr>
          <w:rFonts w:asciiTheme="majorHAnsi" w:eastAsia="MS Mincho" w:hAnsiTheme="majorHAnsi" w:cstheme="majorHAnsi"/>
          <w:b w:val="0"/>
          <w:bCs w:val="0"/>
          <w:kern w:val="2"/>
          <w:sz w:val="24"/>
          <w:szCs w:val="24"/>
        </w:rPr>
        <w:t xml:space="preserve">să </w:t>
      </w:r>
      <w:r w:rsidRPr="008376FC">
        <w:rPr>
          <w:rFonts w:asciiTheme="majorHAnsi" w:eastAsia="MS Mincho" w:hAnsiTheme="majorHAnsi" w:cstheme="majorHAnsi"/>
          <w:b w:val="0"/>
          <w:bCs w:val="0"/>
          <w:kern w:val="2"/>
          <w:sz w:val="24"/>
          <w:szCs w:val="24"/>
        </w:rPr>
        <w:t xml:space="preserve">evalueze progresul în realizarea proiectelor de infrastructură AAS pentru localitățile de pe întreg teritoriul ţării, implementate cu finanţare din bugetul naţional şi cu suportul financiar al comunității donatorilor. Însă, deşi Ghidul pentru întocmirea Studiului de fezabilitate a fost aprobat, criteriile aferente alocării finanţării proiectelor AAS din </w:t>
      </w:r>
      <w:r w:rsidR="00F60121">
        <w:rPr>
          <w:rFonts w:asciiTheme="majorHAnsi" w:eastAsia="MS Mincho" w:hAnsiTheme="majorHAnsi" w:cstheme="majorHAnsi"/>
          <w:b w:val="0"/>
          <w:bCs w:val="0"/>
          <w:kern w:val="2"/>
          <w:sz w:val="24"/>
          <w:szCs w:val="24"/>
        </w:rPr>
        <w:t>re</w:t>
      </w:r>
      <w:r w:rsidR="00FA33AE" w:rsidRPr="008376FC">
        <w:rPr>
          <w:rFonts w:asciiTheme="majorHAnsi" w:eastAsia="MS Mincho" w:hAnsiTheme="majorHAnsi" w:cstheme="majorHAnsi"/>
          <w:b w:val="0"/>
          <w:bCs w:val="0"/>
          <w:kern w:val="2"/>
          <w:sz w:val="24"/>
          <w:szCs w:val="24"/>
        </w:rPr>
        <w:t>sursele FEN şi FNDAMR</w:t>
      </w:r>
      <w:r w:rsidRPr="008376FC">
        <w:rPr>
          <w:rFonts w:asciiTheme="majorHAnsi" w:eastAsia="MS Mincho" w:hAnsiTheme="majorHAnsi" w:cstheme="majorHAnsi"/>
          <w:b w:val="0"/>
          <w:bCs w:val="0"/>
          <w:kern w:val="2"/>
          <w:sz w:val="24"/>
          <w:szCs w:val="24"/>
        </w:rPr>
        <w:t xml:space="preserve"> nu au fost suplimentate cu cerinţe privind prezentarea unor asemenea Studii, </w:t>
      </w:r>
      <w:r w:rsidR="00F60121">
        <w:rPr>
          <w:rFonts w:asciiTheme="majorHAnsi" w:eastAsia="MS Mincho" w:hAnsiTheme="majorHAnsi" w:cstheme="majorHAnsi"/>
          <w:b w:val="0"/>
          <w:bCs w:val="0"/>
          <w:kern w:val="2"/>
          <w:sz w:val="24"/>
          <w:szCs w:val="24"/>
        </w:rPr>
        <w:t>ca</w:t>
      </w:r>
      <w:r w:rsidRPr="008376FC">
        <w:rPr>
          <w:rFonts w:asciiTheme="majorHAnsi" w:eastAsia="MS Mincho" w:hAnsiTheme="majorHAnsi" w:cstheme="majorHAnsi"/>
          <w:b w:val="0"/>
          <w:bCs w:val="0"/>
          <w:kern w:val="2"/>
          <w:sz w:val="24"/>
          <w:szCs w:val="24"/>
        </w:rPr>
        <w:t xml:space="preserve"> rezultat </w:t>
      </w:r>
      <w:r w:rsidR="00FA33AE" w:rsidRPr="008376FC">
        <w:rPr>
          <w:rFonts w:asciiTheme="majorHAnsi" w:eastAsia="MS Mincho" w:hAnsiTheme="majorHAnsi" w:cstheme="majorHAnsi"/>
          <w:b w:val="0"/>
          <w:bCs w:val="0"/>
          <w:kern w:val="2"/>
          <w:sz w:val="24"/>
          <w:szCs w:val="24"/>
        </w:rPr>
        <w:t>sumele</w:t>
      </w:r>
      <w:r w:rsidRPr="008376FC">
        <w:rPr>
          <w:rFonts w:asciiTheme="majorHAnsi" w:eastAsia="MS Mincho" w:hAnsiTheme="majorHAnsi" w:cstheme="majorHAnsi"/>
          <w:b w:val="0"/>
          <w:bCs w:val="0"/>
          <w:kern w:val="2"/>
          <w:sz w:val="24"/>
          <w:szCs w:val="24"/>
        </w:rPr>
        <w:t xml:space="preserve"> alocate din FEN</w:t>
      </w:r>
      <w:r w:rsidR="00FA33AE" w:rsidRPr="008376FC">
        <w:rPr>
          <w:rFonts w:asciiTheme="majorHAnsi" w:eastAsia="MS Mincho" w:hAnsiTheme="majorHAnsi" w:cstheme="majorHAnsi"/>
          <w:b w:val="0"/>
          <w:bCs w:val="0"/>
          <w:kern w:val="2"/>
          <w:sz w:val="24"/>
          <w:szCs w:val="24"/>
        </w:rPr>
        <w:t xml:space="preserve"> şi FNDAMR</w:t>
      </w:r>
      <w:r w:rsidRPr="008376FC">
        <w:rPr>
          <w:rFonts w:asciiTheme="majorHAnsi" w:eastAsia="MS Mincho" w:hAnsiTheme="majorHAnsi" w:cstheme="majorHAnsi"/>
          <w:b w:val="0"/>
          <w:bCs w:val="0"/>
          <w:kern w:val="2"/>
          <w:sz w:val="24"/>
          <w:szCs w:val="24"/>
        </w:rPr>
        <w:t xml:space="preserve"> în perioada 2014-2022 au fost aprobate fără elaborarea Studiilor de fezabilitate.</w:t>
      </w:r>
    </w:p>
    <w:p w:rsidR="00B379A6" w:rsidRPr="008376FC" w:rsidRDefault="00B379A6" w:rsidP="00F61756">
      <w:pPr>
        <w:tabs>
          <w:tab w:val="left" w:pos="993"/>
        </w:tabs>
        <w:spacing w:after="0" w:line="276" w:lineRule="auto"/>
        <w:jc w:val="both"/>
        <w:rPr>
          <w:rFonts w:asciiTheme="majorHAnsi" w:eastAsia="MS Mincho" w:hAnsiTheme="majorHAnsi" w:cstheme="majorHAnsi"/>
          <w:b w:val="0"/>
          <w:bCs w:val="0"/>
          <w:kern w:val="2"/>
          <w:sz w:val="24"/>
          <w:szCs w:val="24"/>
        </w:rPr>
      </w:pPr>
    </w:p>
    <w:p w:rsidR="00BE3B68" w:rsidRPr="008376FC" w:rsidRDefault="00D7692F" w:rsidP="00F61756">
      <w:pPr>
        <w:spacing w:line="276" w:lineRule="auto"/>
        <w:jc w:val="both"/>
        <w:rPr>
          <w:rFonts w:asciiTheme="majorHAnsi" w:eastAsia="MS Mincho" w:hAnsiTheme="majorHAnsi" w:cstheme="majorHAnsi"/>
          <w:color w:val="0070C0"/>
          <w:kern w:val="2"/>
          <w:sz w:val="24"/>
          <w:szCs w:val="24"/>
        </w:rPr>
      </w:pPr>
      <w:r w:rsidRPr="008376FC">
        <w:rPr>
          <w:rFonts w:asciiTheme="majorHAnsi" w:eastAsia="MS Mincho" w:hAnsiTheme="majorHAnsi" w:cstheme="majorHAnsi"/>
          <w:color w:val="0070C0"/>
          <w:kern w:val="2"/>
          <w:sz w:val="24"/>
          <w:szCs w:val="24"/>
        </w:rPr>
        <w:t>4.</w:t>
      </w:r>
      <w:r w:rsidR="0053166E" w:rsidRPr="008376FC">
        <w:rPr>
          <w:rFonts w:asciiTheme="majorHAnsi" w:eastAsia="MS Mincho" w:hAnsiTheme="majorHAnsi" w:cstheme="majorHAnsi"/>
          <w:color w:val="0070C0"/>
          <w:kern w:val="2"/>
          <w:sz w:val="24"/>
          <w:szCs w:val="24"/>
        </w:rPr>
        <w:t>1.6. Măsurile incluse în Planurile de acțiuni ale SAAS nu au contribuit la creșterea numărului de operatori regionali care prestează servicii publice de alimentare cu apă şi sanitație</w:t>
      </w:r>
    </w:p>
    <w:p w:rsidR="00881F15" w:rsidRPr="008376FC" w:rsidRDefault="00881F15" w:rsidP="00F61756">
      <w:pPr>
        <w:spacing w:before="120"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Regionalizarea serviciului de alimentare cu apă și canalizare este un element</w:t>
      </w:r>
      <w:r w:rsidR="00F60121">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cheie al politicii de dezvoltare a sec</w:t>
      </w:r>
      <w:r w:rsidR="00F60121">
        <w:rPr>
          <w:rFonts w:asciiTheme="majorHAnsi" w:hAnsiTheme="majorHAnsi" w:cstheme="majorHAnsi"/>
          <w:b w:val="0"/>
          <w:bCs w:val="0"/>
          <w:sz w:val="24"/>
          <w:szCs w:val="24"/>
        </w:rPr>
        <w:t>t</w:t>
      </w:r>
      <w:r w:rsidRPr="008376FC">
        <w:rPr>
          <w:rFonts w:asciiTheme="majorHAnsi" w:hAnsiTheme="majorHAnsi" w:cstheme="majorHAnsi"/>
          <w:b w:val="0"/>
          <w:bCs w:val="0"/>
          <w:sz w:val="24"/>
          <w:szCs w:val="24"/>
        </w:rPr>
        <w:t>o</w:t>
      </w:r>
      <w:r w:rsidR="00F60121">
        <w:rPr>
          <w:rFonts w:asciiTheme="majorHAnsi" w:hAnsiTheme="majorHAnsi" w:cstheme="majorHAnsi"/>
          <w:b w:val="0"/>
          <w:bCs w:val="0"/>
          <w:sz w:val="24"/>
          <w:szCs w:val="24"/>
        </w:rPr>
        <w:t>r</w:t>
      </w:r>
      <w:r w:rsidRPr="008376FC">
        <w:rPr>
          <w:rFonts w:asciiTheme="majorHAnsi" w:hAnsiTheme="majorHAnsi" w:cstheme="majorHAnsi"/>
          <w:b w:val="0"/>
          <w:bCs w:val="0"/>
          <w:sz w:val="24"/>
          <w:szCs w:val="24"/>
        </w:rPr>
        <w:t>ului.</w:t>
      </w:r>
      <w:r w:rsidR="00EA083D" w:rsidRPr="008376FC">
        <w:rPr>
          <w:rFonts w:asciiTheme="majorHAnsi" w:hAnsiTheme="majorHAnsi" w:cstheme="majorHAnsi"/>
          <w:b w:val="0"/>
          <w:bCs w:val="0"/>
          <w:sz w:val="24"/>
          <w:szCs w:val="24"/>
        </w:rPr>
        <w:t xml:space="preserve"> </w:t>
      </w:r>
      <w:r w:rsidRPr="008376FC">
        <w:rPr>
          <w:rFonts w:asciiTheme="majorHAnsi" w:hAnsiTheme="majorHAnsi" w:cstheme="majorHAnsi"/>
          <w:b w:val="0"/>
          <w:bCs w:val="0"/>
          <w:sz w:val="24"/>
          <w:szCs w:val="24"/>
        </w:rPr>
        <w:t xml:space="preserve">Realizarea acestui proces va conduce la îmbunătățirea eficienței infrastructurii și serviciilor locale de </w:t>
      </w:r>
      <w:r w:rsidR="00462D28">
        <w:rPr>
          <w:rFonts w:asciiTheme="majorHAnsi" w:hAnsiTheme="majorHAnsi" w:cstheme="majorHAnsi"/>
          <w:b w:val="0"/>
          <w:bCs w:val="0"/>
          <w:sz w:val="24"/>
          <w:szCs w:val="24"/>
        </w:rPr>
        <w:t xml:space="preserve">alimentare </w:t>
      </w:r>
      <w:r w:rsidR="009166A4">
        <w:rPr>
          <w:rFonts w:asciiTheme="majorHAnsi" w:hAnsiTheme="majorHAnsi" w:cstheme="majorHAnsi"/>
          <w:b w:val="0"/>
          <w:bCs w:val="0"/>
          <w:sz w:val="24"/>
          <w:szCs w:val="24"/>
        </w:rPr>
        <w:t xml:space="preserve">cu </w:t>
      </w:r>
      <w:r w:rsidRPr="008376FC">
        <w:rPr>
          <w:rFonts w:asciiTheme="majorHAnsi" w:hAnsiTheme="majorHAnsi" w:cstheme="majorHAnsi"/>
          <w:b w:val="0"/>
          <w:bCs w:val="0"/>
          <w:sz w:val="24"/>
          <w:szCs w:val="24"/>
        </w:rPr>
        <w:t xml:space="preserve">apă și canalizare, care sunt fragmentate și dispersate, a calității și costurilor accesibile, </w:t>
      </w:r>
      <w:r w:rsidR="009166A4">
        <w:rPr>
          <w:rFonts w:asciiTheme="majorHAnsi" w:hAnsiTheme="majorHAnsi" w:cstheme="majorHAnsi"/>
          <w:b w:val="0"/>
          <w:bCs w:val="0"/>
          <w:sz w:val="24"/>
          <w:szCs w:val="24"/>
        </w:rPr>
        <w:t xml:space="preserve">la  </w:t>
      </w:r>
      <w:r w:rsidRPr="008376FC">
        <w:rPr>
          <w:rFonts w:asciiTheme="majorHAnsi" w:hAnsiTheme="majorHAnsi" w:cstheme="majorHAnsi"/>
          <w:b w:val="0"/>
          <w:bCs w:val="0"/>
          <w:sz w:val="24"/>
          <w:szCs w:val="24"/>
        </w:rPr>
        <w:t>atragerea investițiilor etc.</w:t>
      </w:r>
    </w:p>
    <w:p w:rsidR="00881F15" w:rsidRPr="008376FC" w:rsidRDefault="00881F15" w:rsidP="00F61756">
      <w:pPr>
        <w:spacing w:before="120"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Odată cu semnarea Acordului de asociere</w:t>
      </w:r>
      <w:r w:rsidR="00711A93" w:rsidRPr="008376FC">
        <w:rPr>
          <w:rFonts w:asciiTheme="majorHAnsi" w:hAnsiTheme="majorHAnsi" w:cstheme="majorHAnsi"/>
          <w:b w:val="0"/>
          <w:bCs w:val="0"/>
          <w:sz w:val="24"/>
          <w:szCs w:val="24"/>
        </w:rPr>
        <w:t xml:space="preserve"> cu UE, RM și-a as</w:t>
      </w:r>
      <w:r w:rsidR="00C95AC7" w:rsidRPr="008376FC">
        <w:rPr>
          <w:rFonts w:asciiTheme="majorHAnsi" w:hAnsiTheme="majorHAnsi" w:cstheme="majorHAnsi"/>
          <w:b w:val="0"/>
          <w:bCs w:val="0"/>
          <w:sz w:val="24"/>
          <w:szCs w:val="24"/>
        </w:rPr>
        <w:t>u</w:t>
      </w:r>
      <w:r w:rsidR="00711A93" w:rsidRPr="008376FC">
        <w:rPr>
          <w:rFonts w:asciiTheme="majorHAnsi" w:hAnsiTheme="majorHAnsi" w:cstheme="majorHAnsi"/>
          <w:b w:val="0"/>
          <w:bCs w:val="0"/>
          <w:sz w:val="24"/>
          <w:szCs w:val="24"/>
        </w:rPr>
        <w:t>mat obli</w:t>
      </w:r>
      <w:r w:rsidR="0023767C">
        <w:rPr>
          <w:rFonts w:asciiTheme="majorHAnsi" w:hAnsiTheme="majorHAnsi" w:cstheme="majorHAnsi"/>
          <w:b w:val="0"/>
          <w:bCs w:val="0"/>
          <w:sz w:val="24"/>
          <w:szCs w:val="24"/>
        </w:rPr>
        <w:t>g</w:t>
      </w:r>
      <w:r w:rsidR="00711A93" w:rsidRPr="008376FC">
        <w:rPr>
          <w:rFonts w:asciiTheme="majorHAnsi" w:hAnsiTheme="majorHAnsi" w:cstheme="majorHAnsi"/>
          <w:b w:val="0"/>
          <w:bCs w:val="0"/>
          <w:sz w:val="24"/>
          <w:szCs w:val="24"/>
        </w:rPr>
        <w:t>ații care implică investiții importante în servicii</w:t>
      </w:r>
      <w:r w:rsidR="009166A4">
        <w:rPr>
          <w:rFonts w:asciiTheme="majorHAnsi" w:hAnsiTheme="majorHAnsi" w:cstheme="majorHAnsi"/>
          <w:b w:val="0"/>
          <w:bCs w:val="0"/>
          <w:sz w:val="24"/>
          <w:szCs w:val="24"/>
        </w:rPr>
        <w:t>le</w:t>
      </w:r>
      <w:r w:rsidR="00711A93" w:rsidRPr="008376FC">
        <w:rPr>
          <w:rFonts w:asciiTheme="majorHAnsi" w:hAnsiTheme="majorHAnsi" w:cstheme="majorHAnsi"/>
          <w:b w:val="0"/>
          <w:bCs w:val="0"/>
          <w:sz w:val="24"/>
          <w:szCs w:val="24"/>
        </w:rPr>
        <w:t xml:space="preserve"> de alimentare cu apă și canalizare</w:t>
      </w:r>
      <w:r w:rsidR="009166A4">
        <w:rPr>
          <w:rFonts w:asciiTheme="majorHAnsi" w:hAnsiTheme="majorHAnsi" w:cstheme="majorHAnsi"/>
          <w:b w:val="0"/>
          <w:bCs w:val="0"/>
          <w:sz w:val="24"/>
          <w:szCs w:val="24"/>
        </w:rPr>
        <w:t>,</w:t>
      </w:r>
      <w:r w:rsidR="00711A93" w:rsidRPr="008376FC">
        <w:rPr>
          <w:rFonts w:asciiTheme="majorHAnsi" w:hAnsiTheme="majorHAnsi" w:cstheme="majorHAnsi"/>
          <w:b w:val="0"/>
          <w:bCs w:val="0"/>
          <w:sz w:val="24"/>
          <w:szCs w:val="24"/>
        </w:rPr>
        <w:t xml:space="preserve"> în vederea îmbunătățirii condițiilor de trai și de activitate </w:t>
      </w:r>
      <w:r w:rsidR="0023767C" w:rsidRPr="008376FC">
        <w:rPr>
          <w:rFonts w:asciiTheme="majorHAnsi" w:hAnsiTheme="majorHAnsi" w:cstheme="majorHAnsi"/>
          <w:b w:val="0"/>
          <w:bCs w:val="0"/>
          <w:sz w:val="24"/>
          <w:szCs w:val="24"/>
        </w:rPr>
        <w:t>ale populației</w:t>
      </w:r>
      <w:r w:rsidR="0023767C">
        <w:rPr>
          <w:rFonts w:asciiTheme="majorHAnsi" w:hAnsiTheme="majorHAnsi" w:cstheme="majorHAnsi"/>
          <w:b w:val="0"/>
          <w:bCs w:val="0"/>
          <w:sz w:val="24"/>
          <w:szCs w:val="24"/>
        </w:rPr>
        <w:t>,</w:t>
      </w:r>
      <w:r w:rsidR="0023767C" w:rsidRPr="008376FC">
        <w:rPr>
          <w:rFonts w:asciiTheme="majorHAnsi" w:hAnsiTheme="majorHAnsi" w:cstheme="majorHAnsi"/>
          <w:b w:val="0"/>
          <w:bCs w:val="0"/>
          <w:sz w:val="24"/>
          <w:szCs w:val="24"/>
        </w:rPr>
        <w:t xml:space="preserve"> </w:t>
      </w:r>
      <w:r w:rsidR="00711A93" w:rsidRPr="008376FC">
        <w:rPr>
          <w:rFonts w:asciiTheme="majorHAnsi" w:hAnsiTheme="majorHAnsi" w:cstheme="majorHAnsi"/>
          <w:b w:val="0"/>
          <w:bCs w:val="0"/>
          <w:sz w:val="24"/>
          <w:szCs w:val="24"/>
        </w:rPr>
        <w:t>prin asigurarea accesului la serviciul public de alimentare cu apă și canalizare și conformării cu standardele de mediu ale UE. Crearea operatorilor regionali și, implicit</w:t>
      </w:r>
      <w:r w:rsidR="0023767C">
        <w:rPr>
          <w:rFonts w:asciiTheme="majorHAnsi" w:hAnsiTheme="majorHAnsi" w:cstheme="majorHAnsi"/>
          <w:b w:val="0"/>
          <w:bCs w:val="0"/>
          <w:sz w:val="24"/>
          <w:szCs w:val="24"/>
        </w:rPr>
        <w:t>,</w:t>
      </w:r>
      <w:r w:rsidR="00711A93" w:rsidRPr="008376FC">
        <w:rPr>
          <w:rFonts w:asciiTheme="majorHAnsi" w:hAnsiTheme="majorHAnsi" w:cstheme="majorHAnsi"/>
          <w:b w:val="0"/>
          <w:bCs w:val="0"/>
          <w:sz w:val="24"/>
          <w:szCs w:val="24"/>
        </w:rPr>
        <w:t xml:space="preserve"> delegarea gestiunii serviciilor de alimentare cu apă și canalizare către acestea, constituie un pr</w:t>
      </w:r>
      <w:r w:rsidR="0023767C">
        <w:rPr>
          <w:rFonts w:asciiTheme="majorHAnsi" w:hAnsiTheme="majorHAnsi" w:cstheme="majorHAnsi"/>
          <w:b w:val="0"/>
          <w:bCs w:val="0"/>
          <w:sz w:val="24"/>
          <w:szCs w:val="24"/>
        </w:rPr>
        <w:t>o</w:t>
      </w:r>
      <w:r w:rsidR="00711A93" w:rsidRPr="008376FC">
        <w:rPr>
          <w:rFonts w:asciiTheme="majorHAnsi" w:hAnsiTheme="majorHAnsi" w:cstheme="majorHAnsi"/>
          <w:b w:val="0"/>
          <w:bCs w:val="0"/>
          <w:sz w:val="24"/>
          <w:szCs w:val="24"/>
        </w:rPr>
        <w:t xml:space="preserve">ces esențial pentru asigurarea respectării în termenele stabilite a </w:t>
      </w:r>
      <w:r w:rsidR="00E94817" w:rsidRPr="008376FC">
        <w:rPr>
          <w:rFonts w:asciiTheme="majorHAnsi" w:hAnsiTheme="majorHAnsi" w:cstheme="majorHAnsi"/>
          <w:b w:val="0"/>
          <w:bCs w:val="0"/>
          <w:sz w:val="24"/>
          <w:szCs w:val="24"/>
        </w:rPr>
        <w:t>acquis</w:t>
      </w:r>
      <w:r w:rsidR="00711A93" w:rsidRPr="008376FC">
        <w:rPr>
          <w:rFonts w:asciiTheme="majorHAnsi" w:hAnsiTheme="majorHAnsi" w:cstheme="majorHAnsi"/>
          <w:b w:val="0"/>
          <w:bCs w:val="0"/>
          <w:sz w:val="24"/>
          <w:szCs w:val="24"/>
        </w:rPr>
        <w:t>-ului</w:t>
      </w:r>
      <w:r w:rsidR="00ED7DFB" w:rsidRPr="008376FC">
        <w:rPr>
          <w:rFonts w:asciiTheme="majorHAnsi" w:hAnsiTheme="majorHAnsi" w:cstheme="majorHAnsi"/>
          <w:b w:val="0"/>
          <w:bCs w:val="0"/>
          <w:sz w:val="24"/>
          <w:szCs w:val="24"/>
        </w:rPr>
        <w:t xml:space="preserve"> comunitar și</w:t>
      </w:r>
      <w:r w:rsidR="0023767C">
        <w:rPr>
          <w:rFonts w:asciiTheme="majorHAnsi" w:hAnsiTheme="majorHAnsi" w:cstheme="majorHAnsi"/>
          <w:b w:val="0"/>
          <w:bCs w:val="0"/>
          <w:sz w:val="24"/>
          <w:szCs w:val="24"/>
        </w:rPr>
        <w:t>,</w:t>
      </w:r>
      <w:r w:rsidR="00ED7DFB" w:rsidRPr="008376FC">
        <w:rPr>
          <w:rFonts w:asciiTheme="majorHAnsi" w:hAnsiTheme="majorHAnsi" w:cstheme="majorHAnsi"/>
          <w:b w:val="0"/>
          <w:bCs w:val="0"/>
          <w:sz w:val="24"/>
          <w:szCs w:val="24"/>
        </w:rPr>
        <w:t xml:space="preserve"> de asemenea</w:t>
      </w:r>
      <w:r w:rsidR="0023767C">
        <w:rPr>
          <w:rFonts w:asciiTheme="majorHAnsi" w:hAnsiTheme="majorHAnsi" w:cstheme="majorHAnsi"/>
          <w:b w:val="0"/>
          <w:bCs w:val="0"/>
          <w:sz w:val="24"/>
          <w:szCs w:val="24"/>
        </w:rPr>
        <w:t>,</w:t>
      </w:r>
      <w:r w:rsidR="00ED7DFB" w:rsidRPr="008376FC">
        <w:rPr>
          <w:rFonts w:asciiTheme="majorHAnsi" w:hAnsiTheme="majorHAnsi" w:cstheme="majorHAnsi"/>
          <w:b w:val="0"/>
          <w:bCs w:val="0"/>
          <w:sz w:val="24"/>
          <w:szCs w:val="24"/>
        </w:rPr>
        <w:t xml:space="preserve"> pentru dezvoltarea capacităților de absorbție a fondurilor externe și de implementare a viitoarelor proiecte de investiții.</w:t>
      </w:r>
    </w:p>
    <w:p w:rsidR="0053166E" w:rsidRPr="008376FC" w:rsidRDefault="0053166E" w:rsidP="00F61756">
      <w:pPr>
        <w:spacing w:before="120"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Regionalizarea serviciului de AAS a fost unul din obiectivele SAAS</w:t>
      </w:r>
      <w:r w:rsidR="0023767C">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 xml:space="preserve"> prin care s-a urmărit trecerea de la un număr mare de furnizori de servicii la un număr limitat de operatori, capabili să furnizeze servicii durabile la tarife acceptabile, care vor asigura recuperarea costurilor de investiții și dezvoltarea ulterioară a sistemelor de alimentare cu apă și de canalizare.</w:t>
      </w:r>
    </w:p>
    <w:p w:rsidR="0053166E" w:rsidRPr="008376FC" w:rsidRDefault="0053166E" w:rsidP="00F61756">
      <w:pPr>
        <w:spacing w:before="120"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În acest sens, MM, prin Ordinul nr.122 din 04.12.2015, a aprobat Conceptul de regionalizare a serviciului public de alimentare cu apă și de canalizare și Ghidul privind regionalizarea, fiind recomandată utilizarea acestora de către toate entitățile de resort implicate în planificarea strategică a sectorului, precum și aprobarea și implementarea proiectelor de infrastructură. Totuşi, atât Conceptul</w:t>
      </w:r>
      <w:r w:rsidR="0023767C">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 xml:space="preserve"> cât şi Ghidul </w:t>
      </w:r>
      <w:r w:rsidR="0023767C">
        <w:rPr>
          <w:rFonts w:asciiTheme="majorHAnsi" w:hAnsiTheme="majorHAnsi" w:cstheme="majorHAnsi"/>
          <w:b w:val="0"/>
          <w:bCs w:val="0"/>
          <w:sz w:val="24"/>
          <w:szCs w:val="24"/>
        </w:rPr>
        <w:t>nu sunt</w:t>
      </w:r>
      <w:r w:rsidRPr="008376FC">
        <w:rPr>
          <w:rFonts w:asciiTheme="majorHAnsi" w:hAnsiTheme="majorHAnsi" w:cstheme="majorHAnsi"/>
          <w:b w:val="0"/>
          <w:bCs w:val="0"/>
          <w:sz w:val="24"/>
          <w:szCs w:val="24"/>
        </w:rPr>
        <w:t xml:space="preserve"> documente obligatorii pentru ghidare</w:t>
      </w:r>
      <w:r w:rsidRPr="008376FC">
        <w:rPr>
          <w:rStyle w:val="ab"/>
          <w:rFonts w:asciiTheme="majorHAnsi" w:hAnsiTheme="majorHAnsi" w:cstheme="majorHAnsi"/>
          <w:b w:val="0"/>
          <w:bCs w:val="0"/>
          <w:sz w:val="24"/>
          <w:szCs w:val="24"/>
        </w:rPr>
        <w:footnoteReference w:id="29"/>
      </w:r>
      <w:r w:rsidRPr="008376FC">
        <w:rPr>
          <w:rFonts w:asciiTheme="majorHAnsi" w:hAnsiTheme="majorHAnsi" w:cstheme="majorHAnsi"/>
          <w:b w:val="0"/>
          <w:bCs w:val="0"/>
          <w:sz w:val="24"/>
          <w:szCs w:val="24"/>
        </w:rPr>
        <w:t xml:space="preserve">, </w:t>
      </w:r>
      <w:r w:rsidR="0023767C">
        <w:rPr>
          <w:rFonts w:asciiTheme="majorHAnsi" w:hAnsiTheme="majorHAnsi" w:cstheme="majorHAnsi"/>
          <w:b w:val="0"/>
          <w:bCs w:val="0"/>
          <w:sz w:val="24"/>
          <w:szCs w:val="24"/>
        </w:rPr>
        <w:t>nefiind</w:t>
      </w:r>
      <w:r w:rsidRPr="008376FC">
        <w:rPr>
          <w:rFonts w:asciiTheme="majorHAnsi" w:hAnsiTheme="majorHAnsi" w:cstheme="majorHAnsi"/>
          <w:b w:val="0"/>
          <w:bCs w:val="0"/>
          <w:sz w:val="24"/>
          <w:szCs w:val="24"/>
        </w:rPr>
        <w:t xml:space="preserve"> utilizate la implementarea proiectelor de infrastructură în perioada 2014-2022. Prevederile acestui act normativ veneau să transpună practica României în domeniu</w:t>
      </w:r>
      <w:r w:rsidR="0023767C">
        <w:rPr>
          <w:rFonts w:asciiTheme="majorHAnsi" w:hAnsiTheme="majorHAnsi" w:cstheme="majorHAnsi"/>
          <w:b w:val="0"/>
          <w:bCs w:val="0"/>
          <w:sz w:val="24"/>
          <w:szCs w:val="24"/>
        </w:rPr>
        <w:t>l</w:t>
      </w:r>
      <w:r w:rsidRPr="008376FC">
        <w:rPr>
          <w:rFonts w:asciiTheme="majorHAnsi" w:hAnsiTheme="majorHAnsi" w:cstheme="majorHAnsi"/>
          <w:b w:val="0"/>
          <w:bCs w:val="0"/>
          <w:sz w:val="24"/>
          <w:szCs w:val="24"/>
        </w:rPr>
        <w:t xml:space="preserve"> regionalizării serviciului AAS, astfel încât </w:t>
      </w:r>
      <w:r w:rsidR="00EE22C8">
        <w:rPr>
          <w:rFonts w:asciiTheme="majorHAnsi" w:hAnsiTheme="majorHAnsi" w:cstheme="majorHAnsi"/>
          <w:b w:val="0"/>
          <w:bCs w:val="0"/>
          <w:sz w:val="24"/>
          <w:szCs w:val="24"/>
        </w:rPr>
        <w:t>procesul de r</w:t>
      </w:r>
      <w:r w:rsidRPr="008376FC">
        <w:rPr>
          <w:rFonts w:asciiTheme="majorHAnsi" w:hAnsiTheme="majorHAnsi" w:cstheme="majorHAnsi"/>
          <w:b w:val="0"/>
          <w:bCs w:val="0"/>
          <w:sz w:val="24"/>
          <w:szCs w:val="24"/>
        </w:rPr>
        <w:t>egionalizare urma a fi realizat prin intermediul a trei elemente instituţionale:</w:t>
      </w:r>
    </w:p>
    <w:p w:rsidR="0053166E" w:rsidRPr="008376FC" w:rsidRDefault="0053166E" w:rsidP="00F61756">
      <w:pPr>
        <w:spacing w:after="0" w:line="276" w:lineRule="auto"/>
        <w:ind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 xml:space="preserve">• </w:t>
      </w:r>
      <w:r w:rsidRPr="008376FC">
        <w:rPr>
          <w:rFonts w:asciiTheme="majorHAnsi" w:hAnsiTheme="majorHAnsi" w:cstheme="majorHAnsi"/>
          <w:sz w:val="24"/>
          <w:szCs w:val="24"/>
        </w:rPr>
        <w:t>Asociația de Dezvoltare Intercomunitară (ADI)</w:t>
      </w:r>
      <w:r w:rsidRPr="008376FC">
        <w:rPr>
          <w:rFonts w:asciiTheme="majorHAnsi" w:hAnsiTheme="majorHAnsi" w:cstheme="majorHAnsi"/>
          <w:b w:val="0"/>
          <w:bCs w:val="0"/>
          <w:sz w:val="24"/>
          <w:szCs w:val="24"/>
        </w:rPr>
        <w:t xml:space="preserve"> – structură de cooperare cu statut de persoană juridică, înființată, în condițiile legii, de autoritățile administrației publice locale pentru realizarea în comun a unor proiecte de dezvoltare regională;</w:t>
      </w:r>
    </w:p>
    <w:p w:rsidR="0053166E" w:rsidRPr="008376FC" w:rsidRDefault="0053166E" w:rsidP="00F61756">
      <w:pPr>
        <w:spacing w:after="0" w:line="276" w:lineRule="auto"/>
        <w:ind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 xml:space="preserve">• </w:t>
      </w:r>
      <w:r w:rsidRPr="008376FC">
        <w:rPr>
          <w:rFonts w:asciiTheme="majorHAnsi" w:hAnsiTheme="majorHAnsi" w:cstheme="majorHAnsi"/>
          <w:sz w:val="24"/>
          <w:szCs w:val="24"/>
        </w:rPr>
        <w:t>Operatorul Regional</w:t>
      </w:r>
      <w:r w:rsidRPr="008376FC">
        <w:rPr>
          <w:rFonts w:asciiTheme="majorHAnsi" w:hAnsiTheme="majorHAnsi" w:cstheme="majorHAnsi"/>
          <w:b w:val="0"/>
          <w:bCs w:val="0"/>
          <w:sz w:val="24"/>
          <w:szCs w:val="24"/>
        </w:rPr>
        <w:t xml:space="preserve"> </w:t>
      </w:r>
      <w:r w:rsidR="00EE22C8">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 xml:space="preserve"> societate comercială cu capital social public, înfiinţată de toți sau de o parte din membrii asociației de dezvoltare intercomunitară, căruia i se atribuie în mod direct contractul de delegare a gestiunii;</w:t>
      </w:r>
    </w:p>
    <w:p w:rsidR="0053166E" w:rsidRPr="008376FC" w:rsidRDefault="0053166E" w:rsidP="00F61756">
      <w:pPr>
        <w:spacing w:after="0" w:line="276" w:lineRule="auto"/>
        <w:ind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 xml:space="preserve">• </w:t>
      </w:r>
      <w:r w:rsidRPr="008376FC">
        <w:rPr>
          <w:rFonts w:asciiTheme="majorHAnsi" w:hAnsiTheme="majorHAnsi" w:cstheme="majorHAnsi"/>
          <w:sz w:val="24"/>
          <w:szCs w:val="24"/>
        </w:rPr>
        <w:t xml:space="preserve">Contractul de </w:t>
      </w:r>
      <w:r w:rsidR="00EE22C8">
        <w:rPr>
          <w:rFonts w:asciiTheme="majorHAnsi" w:hAnsiTheme="majorHAnsi" w:cstheme="majorHAnsi"/>
          <w:sz w:val="24"/>
          <w:szCs w:val="24"/>
        </w:rPr>
        <w:t>d</w:t>
      </w:r>
      <w:r w:rsidRPr="008376FC">
        <w:rPr>
          <w:rFonts w:asciiTheme="majorHAnsi" w:hAnsiTheme="majorHAnsi" w:cstheme="majorHAnsi"/>
          <w:sz w:val="24"/>
          <w:szCs w:val="24"/>
        </w:rPr>
        <w:t>elegare</w:t>
      </w:r>
      <w:r w:rsidRPr="008376FC">
        <w:rPr>
          <w:rFonts w:asciiTheme="majorHAnsi" w:hAnsiTheme="majorHAnsi" w:cstheme="majorHAnsi"/>
          <w:b w:val="0"/>
          <w:bCs w:val="0"/>
          <w:sz w:val="24"/>
          <w:szCs w:val="24"/>
        </w:rPr>
        <w:t xml:space="preserve"> </w:t>
      </w:r>
      <w:r w:rsidRPr="008376FC">
        <w:rPr>
          <w:rFonts w:asciiTheme="majorHAnsi" w:hAnsiTheme="majorHAnsi" w:cstheme="majorHAnsi"/>
          <w:bCs w:val="0"/>
          <w:sz w:val="24"/>
          <w:szCs w:val="24"/>
        </w:rPr>
        <w:t>a gestiunii serviciilor</w:t>
      </w:r>
      <w:r w:rsidRPr="008376FC">
        <w:rPr>
          <w:rFonts w:asciiTheme="majorHAnsi" w:hAnsiTheme="majorHAnsi" w:cstheme="majorHAnsi"/>
          <w:b w:val="0"/>
          <w:bCs w:val="0"/>
          <w:sz w:val="24"/>
          <w:szCs w:val="24"/>
        </w:rPr>
        <w:t>. Autoritățile administrației publice locale, membre a</w:t>
      </w:r>
      <w:r w:rsidR="00EE22C8">
        <w:rPr>
          <w:rFonts w:asciiTheme="majorHAnsi" w:hAnsiTheme="majorHAnsi" w:cstheme="majorHAnsi"/>
          <w:b w:val="0"/>
          <w:bCs w:val="0"/>
          <w:sz w:val="24"/>
          <w:szCs w:val="24"/>
        </w:rPr>
        <w:t>le</w:t>
      </w:r>
      <w:r w:rsidRPr="008376FC">
        <w:rPr>
          <w:rFonts w:asciiTheme="majorHAnsi" w:hAnsiTheme="majorHAnsi" w:cstheme="majorHAnsi"/>
          <w:b w:val="0"/>
          <w:bCs w:val="0"/>
          <w:sz w:val="24"/>
          <w:szCs w:val="24"/>
        </w:rPr>
        <w:t xml:space="preserve"> asociației de dezvoltare intercomunitară</w:t>
      </w:r>
      <w:r w:rsidR="00EE22C8">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 xml:space="preserve"> deleagă împreună gestiunea serviciului public de alimentare cu apă şi de canalizare către Operatorul Regional, printr-un contract unic de delegare a gestiunii serviciului public.</w:t>
      </w:r>
    </w:p>
    <w:p w:rsidR="0053166E" w:rsidRPr="008376FC" w:rsidRDefault="0053166E" w:rsidP="00F61756">
      <w:pPr>
        <w:spacing w:before="120"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Totodată, deşi prevederile aferente Asociației de Dezvoltare Intercomunitară nu au fost transpuse în cadrul legislativ al RM, reglementări aferente operatorilor regionali şi contractului de delegare a gestiunii serviciilor AAS au fost transpuse în Legea nr.303/2013 privind serviciul public de alimentare cu apă şi de canalizare.</w:t>
      </w:r>
    </w:p>
    <w:p w:rsidR="0053166E" w:rsidRPr="008376FC" w:rsidRDefault="0053166E" w:rsidP="00F61756">
      <w:pPr>
        <w:spacing w:before="120"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 xml:space="preserve">Analiza de audit a stabilit că </w:t>
      </w:r>
      <w:r w:rsidR="001F33A4" w:rsidRPr="008376FC">
        <w:rPr>
          <w:rFonts w:asciiTheme="majorHAnsi" w:hAnsiTheme="majorHAnsi" w:cstheme="majorHAnsi"/>
          <w:b w:val="0"/>
          <w:bCs w:val="0"/>
          <w:sz w:val="24"/>
          <w:szCs w:val="24"/>
        </w:rPr>
        <w:t>procesul de regionalizare a serviciilor de alimentare cu apă şi de canalizare în raioanele RM este destul de anevoios și lent. L</w:t>
      </w:r>
      <w:r w:rsidRPr="008376FC">
        <w:rPr>
          <w:rFonts w:asciiTheme="majorHAnsi" w:hAnsiTheme="majorHAnsi" w:cstheme="majorHAnsi"/>
          <w:b w:val="0"/>
          <w:bCs w:val="0"/>
          <w:sz w:val="24"/>
          <w:szCs w:val="24"/>
        </w:rPr>
        <w:t xml:space="preserve">a momentul de faţă, în RM activează 9 operatori regionali care deservesc de la 3 </w:t>
      </w:r>
      <w:r w:rsidR="00B1447A" w:rsidRPr="008376FC">
        <w:rPr>
          <w:rFonts w:asciiTheme="majorHAnsi" w:hAnsiTheme="majorHAnsi" w:cstheme="majorHAnsi"/>
          <w:b w:val="0"/>
          <w:bCs w:val="0"/>
          <w:sz w:val="24"/>
          <w:szCs w:val="24"/>
        </w:rPr>
        <w:t>p</w:t>
      </w:r>
      <w:r w:rsidR="00EE22C8">
        <w:rPr>
          <w:rFonts w:asciiTheme="majorHAnsi" w:hAnsiTheme="majorHAnsi" w:cstheme="majorHAnsi"/>
          <w:b w:val="0"/>
          <w:bCs w:val="0"/>
          <w:sz w:val="24"/>
          <w:szCs w:val="24"/>
        </w:rPr>
        <w:t>â</w:t>
      </w:r>
      <w:r w:rsidR="00B1447A" w:rsidRPr="008376FC">
        <w:rPr>
          <w:rFonts w:asciiTheme="majorHAnsi" w:hAnsiTheme="majorHAnsi" w:cstheme="majorHAnsi"/>
          <w:b w:val="0"/>
          <w:bCs w:val="0"/>
          <w:sz w:val="24"/>
          <w:szCs w:val="24"/>
        </w:rPr>
        <w:t xml:space="preserve">nă </w:t>
      </w:r>
      <w:r w:rsidRPr="008376FC">
        <w:rPr>
          <w:rFonts w:asciiTheme="majorHAnsi" w:hAnsiTheme="majorHAnsi" w:cstheme="majorHAnsi"/>
          <w:b w:val="0"/>
          <w:bCs w:val="0"/>
          <w:sz w:val="24"/>
          <w:szCs w:val="24"/>
        </w:rPr>
        <w:t xml:space="preserve">la 38 </w:t>
      </w:r>
      <w:r w:rsidR="00EE22C8">
        <w:rPr>
          <w:rFonts w:asciiTheme="majorHAnsi" w:hAnsiTheme="majorHAnsi" w:cstheme="majorHAnsi"/>
          <w:b w:val="0"/>
          <w:bCs w:val="0"/>
          <w:sz w:val="24"/>
          <w:szCs w:val="24"/>
        </w:rPr>
        <w:t xml:space="preserve">de </w:t>
      </w:r>
      <w:r w:rsidRPr="008376FC">
        <w:rPr>
          <w:rFonts w:asciiTheme="majorHAnsi" w:hAnsiTheme="majorHAnsi" w:cstheme="majorHAnsi"/>
          <w:b w:val="0"/>
          <w:bCs w:val="0"/>
          <w:sz w:val="24"/>
          <w:szCs w:val="24"/>
        </w:rPr>
        <w:t xml:space="preserve">localități, </w:t>
      </w:r>
      <w:r w:rsidR="00EE22C8">
        <w:rPr>
          <w:rFonts w:asciiTheme="majorHAnsi" w:hAnsiTheme="majorHAnsi" w:cstheme="majorHAnsi"/>
          <w:b w:val="0"/>
          <w:bCs w:val="0"/>
          <w:sz w:val="24"/>
          <w:szCs w:val="24"/>
        </w:rPr>
        <w:t xml:space="preserve">cu un </w:t>
      </w:r>
      <w:r w:rsidRPr="008376FC">
        <w:rPr>
          <w:rFonts w:asciiTheme="majorHAnsi" w:hAnsiTheme="majorHAnsi" w:cstheme="majorHAnsi"/>
          <w:b w:val="0"/>
          <w:bCs w:val="0"/>
          <w:sz w:val="24"/>
          <w:szCs w:val="24"/>
        </w:rPr>
        <w:t xml:space="preserve">capital social </w:t>
      </w:r>
      <w:r w:rsidR="00EE22C8">
        <w:rPr>
          <w:rFonts w:asciiTheme="majorHAnsi" w:hAnsiTheme="majorHAnsi" w:cstheme="majorHAnsi"/>
          <w:b w:val="0"/>
          <w:bCs w:val="0"/>
          <w:sz w:val="24"/>
          <w:szCs w:val="24"/>
        </w:rPr>
        <w:t>care</w:t>
      </w:r>
      <w:r w:rsidRPr="008376FC">
        <w:rPr>
          <w:rFonts w:asciiTheme="majorHAnsi" w:hAnsiTheme="majorHAnsi" w:cstheme="majorHAnsi"/>
          <w:b w:val="0"/>
          <w:bCs w:val="0"/>
          <w:sz w:val="24"/>
          <w:szCs w:val="24"/>
        </w:rPr>
        <w:t xml:space="preserve"> variază de la 0,02 mil. lei la 611,9 mil. lei</w:t>
      </w:r>
      <w:r w:rsidR="001F33A4" w:rsidRPr="008376FC">
        <w:rPr>
          <w:rFonts w:asciiTheme="majorHAnsi" w:hAnsiTheme="majorHAnsi" w:cstheme="majorHAnsi"/>
          <w:b w:val="0"/>
          <w:bCs w:val="0"/>
          <w:sz w:val="24"/>
          <w:szCs w:val="24"/>
        </w:rPr>
        <w:t xml:space="preserve">, </w:t>
      </w:r>
      <w:r w:rsidR="000056B2" w:rsidRPr="008376FC">
        <w:rPr>
          <w:rFonts w:asciiTheme="majorHAnsi" w:hAnsiTheme="majorHAnsi" w:cstheme="majorHAnsi"/>
          <w:b w:val="0"/>
          <w:bCs w:val="0"/>
          <w:sz w:val="24"/>
          <w:szCs w:val="24"/>
        </w:rPr>
        <w:t>din care 8 au fost crea</w:t>
      </w:r>
      <w:r w:rsidR="00EE22C8">
        <w:rPr>
          <w:rFonts w:asciiTheme="majorHAnsi" w:hAnsiTheme="majorHAnsi" w:cstheme="majorHAnsi"/>
          <w:b w:val="0"/>
          <w:bCs w:val="0"/>
          <w:sz w:val="24"/>
          <w:szCs w:val="24"/>
        </w:rPr>
        <w:t>ți</w:t>
      </w:r>
      <w:r w:rsidR="000056B2" w:rsidRPr="008376FC">
        <w:rPr>
          <w:rFonts w:asciiTheme="majorHAnsi" w:hAnsiTheme="majorHAnsi" w:cstheme="majorHAnsi"/>
          <w:b w:val="0"/>
          <w:bCs w:val="0"/>
          <w:sz w:val="24"/>
          <w:szCs w:val="24"/>
        </w:rPr>
        <w:t xml:space="preserve"> până la aprobarea SAAS. Astfel, în anii 2014-2021 a fost cr</w:t>
      </w:r>
      <w:r w:rsidR="0016090C">
        <w:rPr>
          <w:rFonts w:asciiTheme="majorHAnsi" w:hAnsiTheme="majorHAnsi" w:cstheme="majorHAnsi"/>
          <w:b w:val="0"/>
          <w:bCs w:val="0"/>
          <w:sz w:val="24"/>
          <w:szCs w:val="24"/>
        </w:rPr>
        <w:t>e</w:t>
      </w:r>
      <w:r w:rsidR="000056B2" w:rsidRPr="008376FC">
        <w:rPr>
          <w:rFonts w:asciiTheme="majorHAnsi" w:hAnsiTheme="majorHAnsi" w:cstheme="majorHAnsi"/>
          <w:b w:val="0"/>
          <w:bCs w:val="0"/>
          <w:sz w:val="24"/>
          <w:szCs w:val="24"/>
        </w:rPr>
        <w:t>at doar un operator regional.</w:t>
      </w:r>
      <w:r w:rsidR="001F33A4" w:rsidRPr="008376FC">
        <w:rPr>
          <w:rFonts w:asciiTheme="majorHAnsi" w:hAnsiTheme="majorHAnsi" w:cstheme="majorHAnsi"/>
          <w:b w:val="0"/>
          <w:bCs w:val="0"/>
          <w:sz w:val="24"/>
          <w:szCs w:val="24"/>
        </w:rPr>
        <w:t xml:space="preserve">  </w:t>
      </w:r>
      <w:r w:rsidRPr="008376FC">
        <w:rPr>
          <w:rFonts w:asciiTheme="majorHAnsi" w:hAnsiTheme="majorHAnsi" w:cstheme="majorHAnsi"/>
          <w:b w:val="0"/>
          <w:bCs w:val="0"/>
          <w:sz w:val="24"/>
          <w:szCs w:val="24"/>
        </w:rPr>
        <w:t>De asemenea, 2</w:t>
      </w:r>
      <w:r w:rsidR="00B1447A" w:rsidRPr="008376FC">
        <w:rPr>
          <w:rStyle w:val="ab"/>
          <w:rFonts w:asciiTheme="majorHAnsi" w:hAnsiTheme="majorHAnsi" w:cstheme="majorHAnsi"/>
          <w:b w:val="0"/>
          <w:bCs w:val="0"/>
          <w:sz w:val="24"/>
          <w:szCs w:val="24"/>
        </w:rPr>
        <w:footnoteReference w:id="30"/>
      </w:r>
      <w:r w:rsidRPr="008376FC">
        <w:rPr>
          <w:rFonts w:asciiTheme="majorHAnsi" w:hAnsiTheme="majorHAnsi" w:cstheme="majorHAnsi"/>
          <w:b w:val="0"/>
          <w:bCs w:val="0"/>
          <w:sz w:val="24"/>
          <w:szCs w:val="24"/>
        </w:rPr>
        <w:t xml:space="preserve"> din 9 operatori prestează servicii pentru localitățile situate în alte raioane dec</w:t>
      </w:r>
      <w:r w:rsidR="00EE22C8">
        <w:rPr>
          <w:rFonts w:asciiTheme="majorHAnsi" w:hAnsiTheme="majorHAnsi" w:cstheme="majorHAnsi"/>
          <w:b w:val="0"/>
          <w:bCs w:val="0"/>
          <w:sz w:val="24"/>
          <w:szCs w:val="24"/>
        </w:rPr>
        <w:t>â</w:t>
      </w:r>
      <w:r w:rsidRPr="008376FC">
        <w:rPr>
          <w:rFonts w:asciiTheme="majorHAnsi" w:hAnsiTheme="majorHAnsi" w:cstheme="majorHAnsi"/>
          <w:b w:val="0"/>
          <w:bCs w:val="0"/>
          <w:sz w:val="24"/>
          <w:szCs w:val="24"/>
        </w:rPr>
        <w:t xml:space="preserve">t cel de </w:t>
      </w:r>
      <w:r w:rsidR="007762FB" w:rsidRPr="008376FC">
        <w:rPr>
          <w:rFonts w:asciiTheme="majorHAnsi" w:hAnsiTheme="majorHAnsi" w:cstheme="majorHAnsi"/>
          <w:b w:val="0"/>
          <w:bCs w:val="0"/>
          <w:sz w:val="24"/>
          <w:szCs w:val="24"/>
        </w:rPr>
        <w:t>rez</w:t>
      </w:r>
      <w:r w:rsidR="00EE22C8">
        <w:rPr>
          <w:rFonts w:asciiTheme="majorHAnsi" w:hAnsiTheme="majorHAnsi" w:cstheme="majorHAnsi"/>
          <w:b w:val="0"/>
          <w:bCs w:val="0"/>
          <w:sz w:val="24"/>
          <w:szCs w:val="24"/>
        </w:rPr>
        <w:t>i</w:t>
      </w:r>
      <w:r w:rsidR="007762FB" w:rsidRPr="008376FC">
        <w:rPr>
          <w:rFonts w:asciiTheme="majorHAnsi" w:hAnsiTheme="majorHAnsi" w:cstheme="majorHAnsi"/>
          <w:b w:val="0"/>
          <w:bCs w:val="0"/>
          <w:sz w:val="24"/>
          <w:szCs w:val="24"/>
        </w:rPr>
        <w:t xml:space="preserve">denţă </w:t>
      </w:r>
      <w:r w:rsidRPr="008376FC">
        <w:rPr>
          <w:rFonts w:asciiTheme="majorHAnsi" w:hAnsiTheme="majorHAnsi" w:cstheme="majorHAnsi"/>
          <w:b w:val="0"/>
          <w:bCs w:val="0"/>
          <w:sz w:val="24"/>
          <w:szCs w:val="24"/>
        </w:rPr>
        <w:t>al operatorului apă</w:t>
      </w:r>
      <w:r w:rsidR="00EE22C8">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 xml:space="preserve">canal. </w:t>
      </w:r>
    </w:p>
    <w:p w:rsidR="0053166E" w:rsidRPr="008376FC" w:rsidRDefault="0053166E" w:rsidP="00F61756">
      <w:pPr>
        <w:spacing w:before="120"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Informați</w:t>
      </w:r>
      <w:r w:rsidR="00601827">
        <w:rPr>
          <w:rFonts w:asciiTheme="majorHAnsi" w:hAnsiTheme="majorHAnsi" w:cstheme="majorHAnsi"/>
          <w:b w:val="0"/>
          <w:bCs w:val="0"/>
          <w:sz w:val="24"/>
          <w:szCs w:val="24"/>
        </w:rPr>
        <w:t>i</w:t>
      </w:r>
      <w:r w:rsidRPr="008376FC">
        <w:rPr>
          <w:rFonts w:asciiTheme="majorHAnsi" w:hAnsiTheme="majorHAnsi" w:cstheme="majorHAnsi"/>
          <w:b w:val="0"/>
          <w:bCs w:val="0"/>
          <w:sz w:val="24"/>
          <w:szCs w:val="24"/>
        </w:rPr>
        <w:t xml:space="preserve"> privind aria de deservire, valoarea capitalului social şi proprietarul operatorilor regionali se prezintă în Anexa nr.</w:t>
      </w:r>
      <w:r w:rsidR="00DF15BE" w:rsidRPr="008376FC">
        <w:rPr>
          <w:rFonts w:asciiTheme="majorHAnsi" w:hAnsiTheme="majorHAnsi" w:cstheme="majorHAnsi"/>
          <w:b w:val="0"/>
          <w:bCs w:val="0"/>
          <w:sz w:val="24"/>
          <w:szCs w:val="24"/>
        </w:rPr>
        <w:t>5</w:t>
      </w:r>
      <w:r w:rsidR="00B1447A" w:rsidRPr="008376FC">
        <w:rPr>
          <w:rFonts w:asciiTheme="majorHAnsi" w:hAnsiTheme="majorHAnsi" w:cstheme="majorHAnsi"/>
          <w:b w:val="0"/>
          <w:bCs w:val="0"/>
          <w:sz w:val="24"/>
          <w:szCs w:val="24"/>
        </w:rPr>
        <w:t xml:space="preserve"> la prezentul Raport de audit.</w:t>
      </w:r>
    </w:p>
    <w:p w:rsidR="0053166E" w:rsidRPr="008376FC" w:rsidRDefault="003A6F95" w:rsidP="00F61756">
      <w:pPr>
        <w:spacing w:before="120" w:after="0" w:line="276" w:lineRule="auto"/>
        <w:jc w:val="both"/>
        <w:rPr>
          <w:rFonts w:asciiTheme="majorHAnsi" w:eastAsia="MS Mincho" w:hAnsiTheme="majorHAnsi" w:cstheme="majorHAnsi"/>
          <w:b w:val="0"/>
          <w:bCs w:val="0"/>
          <w:kern w:val="2"/>
          <w:sz w:val="24"/>
          <w:szCs w:val="24"/>
        </w:rPr>
      </w:pPr>
      <w:r w:rsidRPr="008376FC">
        <w:rPr>
          <w:rFonts w:asciiTheme="majorHAnsi" w:eastAsia="MS Mincho" w:hAnsiTheme="majorHAnsi" w:cstheme="majorHAnsi"/>
          <w:b w:val="0"/>
          <w:bCs w:val="0"/>
          <w:kern w:val="2"/>
          <w:sz w:val="24"/>
          <w:szCs w:val="24"/>
        </w:rPr>
        <w:t>De menționat că</w:t>
      </w:r>
      <w:r w:rsidR="0053166E" w:rsidRPr="008376FC">
        <w:rPr>
          <w:rFonts w:asciiTheme="majorHAnsi" w:eastAsia="MS Mincho" w:hAnsiTheme="majorHAnsi" w:cstheme="majorHAnsi"/>
          <w:b w:val="0"/>
          <w:bCs w:val="0"/>
          <w:kern w:val="2"/>
          <w:sz w:val="24"/>
          <w:szCs w:val="24"/>
        </w:rPr>
        <w:t xml:space="preserve"> toți operatorii regionali sunt </w:t>
      </w:r>
      <w:r w:rsidRPr="008376FC">
        <w:rPr>
          <w:rFonts w:asciiTheme="majorHAnsi" w:eastAsia="MS Mincho" w:hAnsiTheme="majorHAnsi" w:cstheme="majorHAnsi"/>
          <w:b w:val="0"/>
          <w:bCs w:val="0"/>
          <w:kern w:val="2"/>
          <w:sz w:val="24"/>
          <w:szCs w:val="24"/>
        </w:rPr>
        <w:t>înregistrați sub</w:t>
      </w:r>
      <w:r w:rsidR="0053166E" w:rsidRPr="008376FC">
        <w:rPr>
          <w:rFonts w:asciiTheme="majorHAnsi" w:eastAsia="MS Mincho" w:hAnsiTheme="majorHAnsi" w:cstheme="majorHAnsi"/>
          <w:b w:val="0"/>
          <w:bCs w:val="0"/>
          <w:kern w:val="2"/>
          <w:sz w:val="24"/>
          <w:szCs w:val="24"/>
        </w:rPr>
        <w:t xml:space="preserve"> forma </w:t>
      </w:r>
      <w:r w:rsidRPr="008376FC">
        <w:rPr>
          <w:rFonts w:asciiTheme="majorHAnsi" w:eastAsia="MS Mincho" w:hAnsiTheme="majorHAnsi" w:cstheme="majorHAnsi"/>
          <w:b w:val="0"/>
          <w:bCs w:val="0"/>
          <w:kern w:val="2"/>
          <w:sz w:val="24"/>
          <w:szCs w:val="24"/>
        </w:rPr>
        <w:t xml:space="preserve">organizatorico-juridică </w:t>
      </w:r>
      <w:r w:rsidR="0053166E" w:rsidRPr="008376FC">
        <w:rPr>
          <w:rFonts w:asciiTheme="majorHAnsi" w:eastAsia="MS Mincho" w:hAnsiTheme="majorHAnsi" w:cstheme="majorHAnsi"/>
          <w:b w:val="0"/>
          <w:bCs w:val="0"/>
          <w:kern w:val="2"/>
          <w:sz w:val="24"/>
          <w:szCs w:val="24"/>
        </w:rPr>
        <w:t xml:space="preserve">de societăți pe acțiuni, </w:t>
      </w:r>
      <w:r w:rsidRPr="008376FC">
        <w:rPr>
          <w:rFonts w:asciiTheme="majorHAnsi" w:eastAsia="MS Mincho" w:hAnsiTheme="majorHAnsi" w:cstheme="majorHAnsi"/>
          <w:b w:val="0"/>
          <w:bCs w:val="0"/>
          <w:kern w:val="2"/>
          <w:sz w:val="24"/>
          <w:szCs w:val="24"/>
        </w:rPr>
        <w:t xml:space="preserve">fondator al acestora fiind </w:t>
      </w:r>
      <w:r w:rsidR="000056B2" w:rsidRPr="008376FC">
        <w:rPr>
          <w:rFonts w:asciiTheme="majorHAnsi" w:eastAsia="MS Mincho" w:hAnsiTheme="majorHAnsi" w:cstheme="majorHAnsi"/>
          <w:b w:val="0"/>
          <w:bCs w:val="0"/>
          <w:kern w:val="2"/>
          <w:sz w:val="24"/>
          <w:szCs w:val="24"/>
        </w:rPr>
        <w:t>consiliile locale ale orașelor de reședință a raioanelor</w:t>
      </w:r>
      <w:r w:rsidR="0053166E" w:rsidRPr="008376FC">
        <w:rPr>
          <w:rFonts w:asciiTheme="majorHAnsi" w:eastAsia="MS Mincho" w:hAnsiTheme="majorHAnsi" w:cstheme="majorHAnsi"/>
          <w:b w:val="0"/>
          <w:bCs w:val="0"/>
          <w:kern w:val="2"/>
          <w:sz w:val="24"/>
          <w:szCs w:val="24"/>
        </w:rPr>
        <w:t>. Doar un singur operator regional, S.A. „Apă Canal Nisporeni”</w:t>
      </w:r>
      <w:r w:rsidR="00BF5B06">
        <w:rPr>
          <w:rFonts w:asciiTheme="majorHAnsi" w:eastAsia="MS Mincho" w:hAnsiTheme="majorHAnsi" w:cstheme="majorHAnsi"/>
          <w:b w:val="0"/>
          <w:bCs w:val="0"/>
          <w:kern w:val="2"/>
          <w:sz w:val="24"/>
          <w:szCs w:val="24"/>
        </w:rPr>
        <w:t>,</w:t>
      </w:r>
      <w:r w:rsidR="0053166E" w:rsidRPr="008376FC">
        <w:rPr>
          <w:rFonts w:asciiTheme="majorHAnsi" w:eastAsia="MS Mincho" w:hAnsiTheme="majorHAnsi" w:cstheme="majorHAnsi"/>
          <w:b w:val="0"/>
          <w:bCs w:val="0"/>
          <w:kern w:val="2"/>
          <w:sz w:val="24"/>
          <w:szCs w:val="24"/>
        </w:rPr>
        <w:t xml:space="preserve"> a fost regionalizat respectând cerințele impuse de Legea nr.303/2013 privind serviciul public de alimentare cu apă şi de canalizare, astfel încât </w:t>
      </w:r>
      <w:r w:rsidR="009629FE" w:rsidRPr="008376FC">
        <w:rPr>
          <w:rFonts w:asciiTheme="majorHAnsi" w:eastAsia="MS Mincho" w:hAnsiTheme="majorHAnsi" w:cstheme="majorHAnsi"/>
          <w:b w:val="0"/>
          <w:bCs w:val="0"/>
          <w:kern w:val="2"/>
          <w:sz w:val="24"/>
          <w:szCs w:val="24"/>
        </w:rPr>
        <w:t xml:space="preserve">fondatorii Sociețății </w:t>
      </w:r>
      <w:r w:rsidR="00601827">
        <w:rPr>
          <w:rFonts w:asciiTheme="majorHAnsi" w:eastAsia="MS Mincho" w:hAnsiTheme="majorHAnsi" w:cstheme="majorHAnsi"/>
          <w:b w:val="0"/>
          <w:bCs w:val="0"/>
          <w:kern w:val="2"/>
          <w:sz w:val="24"/>
          <w:szCs w:val="24"/>
        </w:rPr>
        <w:t>p</w:t>
      </w:r>
      <w:r w:rsidR="009629FE" w:rsidRPr="008376FC">
        <w:rPr>
          <w:rFonts w:asciiTheme="majorHAnsi" w:eastAsia="MS Mincho" w:hAnsiTheme="majorHAnsi" w:cstheme="majorHAnsi"/>
          <w:b w:val="0"/>
          <w:bCs w:val="0"/>
          <w:kern w:val="2"/>
          <w:sz w:val="24"/>
          <w:szCs w:val="24"/>
        </w:rPr>
        <w:t xml:space="preserve">e Acțiuni </w:t>
      </w:r>
      <w:r w:rsidR="0053166E" w:rsidRPr="008376FC">
        <w:rPr>
          <w:rFonts w:asciiTheme="majorHAnsi" w:eastAsia="MS Mincho" w:hAnsiTheme="majorHAnsi" w:cstheme="majorHAnsi"/>
          <w:b w:val="0"/>
          <w:bCs w:val="0"/>
          <w:kern w:val="2"/>
          <w:sz w:val="24"/>
          <w:szCs w:val="24"/>
        </w:rPr>
        <w:t>sunt Consiliile locale din toate localitățile deservite, iar operatorul este unul nou format după ce Proiectul de regionalizare a serviciilor de alimentare cu apă, implementat de Agenţia pentru Dezvoltare a Austriei cu suportul Uniunii Europene</w:t>
      </w:r>
      <w:r w:rsidR="00BF5B06">
        <w:rPr>
          <w:rFonts w:asciiTheme="majorHAnsi" w:eastAsia="MS Mincho" w:hAnsiTheme="majorHAnsi" w:cstheme="majorHAnsi"/>
          <w:b w:val="0"/>
          <w:bCs w:val="0"/>
          <w:kern w:val="2"/>
          <w:sz w:val="24"/>
          <w:szCs w:val="24"/>
        </w:rPr>
        <w:t>,</w:t>
      </w:r>
      <w:r w:rsidR="0053166E" w:rsidRPr="008376FC">
        <w:rPr>
          <w:rFonts w:asciiTheme="majorHAnsi" w:eastAsia="MS Mincho" w:hAnsiTheme="majorHAnsi" w:cstheme="majorHAnsi"/>
          <w:b w:val="0"/>
          <w:bCs w:val="0"/>
          <w:kern w:val="2"/>
          <w:sz w:val="24"/>
          <w:szCs w:val="24"/>
        </w:rPr>
        <w:t xml:space="preserve"> a fost finalizat, ceilalți 8 operatori </w:t>
      </w:r>
      <w:r w:rsidR="00BF5B06">
        <w:rPr>
          <w:rFonts w:asciiTheme="majorHAnsi" w:eastAsia="MS Mincho" w:hAnsiTheme="majorHAnsi" w:cstheme="majorHAnsi"/>
          <w:b w:val="0"/>
          <w:bCs w:val="0"/>
          <w:kern w:val="2"/>
          <w:sz w:val="24"/>
          <w:szCs w:val="24"/>
        </w:rPr>
        <w:t>fiind</w:t>
      </w:r>
      <w:r w:rsidR="0053166E" w:rsidRPr="008376FC">
        <w:rPr>
          <w:rFonts w:asciiTheme="majorHAnsi" w:eastAsia="MS Mincho" w:hAnsiTheme="majorHAnsi" w:cstheme="majorHAnsi"/>
          <w:b w:val="0"/>
          <w:bCs w:val="0"/>
          <w:kern w:val="2"/>
          <w:sz w:val="24"/>
          <w:szCs w:val="24"/>
        </w:rPr>
        <w:t xml:space="preserve"> reorganizați prin transformare din întreprinderi municipale în operatori apă-canal. </w:t>
      </w:r>
    </w:p>
    <w:p w:rsidR="0053166E" w:rsidRPr="008376FC" w:rsidRDefault="0053166E" w:rsidP="00F61756">
      <w:pPr>
        <w:spacing w:before="120" w:after="0" w:line="276" w:lineRule="auto"/>
        <w:jc w:val="both"/>
        <w:rPr>
          <w:rFonts w:asciiTheme="majorHAnsi" w:eastAsia="MS Mincho" w:hAnsiTheme="majorHAnsi" w:cstheme="majorHAnsi"/>
          <w:b w:val="0"/>
          <w:bCs w:val="0"/>
          <w:kern w:val="2"/>
          <w:sz w:val="24"/>
          <w:szCs w:val="24"/>
        </w:rPr>
      </w:pPr>
      <w:r w:rsidRPr="008376FC">
        <w:rPr>
          <w:rFonts w:asciiTheme="majorHAnsi" w:eastAsia="MS Mincho" w:hAnsiTheme="majorHAnsi" w:cstheme="majorHAnsi"/>
          <w:b w:val="0"/>
          <w:bCs w:val="0"/>
          <w:kern w:val="2"/>
          <w:sz w:val="24"/>
          <w:szCs w:val="24"/>
        </w:rPr>
        <w:t>Totodată, se atestă că 8 operatori apă</w:t>
      </w:r>
      <w:r w:rsidR="00BF5B06">
        <w:rPr>
          <w:rFonts w:asciiTheme="majorHAnsi" w:eastAsia="MS Mincho" w:hAnsiTheme="majorHAnsi" w:cstheme="majorHAnsi"/>
          <w:b w:val="0"/>
          <w:bCs w:val="0"/>
          <w:kern w:val="2"/>
          <w:sz w:val="24"/>
          <w:szCs w:val="24"/>
        </w:rPr>
        <w:t>-</w:t>
      </w:r>
      <w:r w:rsidRPr="008376FC">
        <w:rPr>
          <w:rFonts w:asciiTheme="majorHAnsi" w:eastAsia="MS Mincho" w:hAnsiTheme="majorHAnsi" w:cstheme="majorHAnsi"/>
          <w:b w:val="0"/>
          <w:bCs w:val="0"/>
          <w:kern w:val="2"/>
          <w:sz w:val="24"/>
          <w:szCs w:val="24"/>
        </w:rPr>
        <w:t xml:space="preserve">canal au fost formaţi ca urmare a implementării proiectelor cu finanțare internațională, care au inclus atât finanţarea extinderii sistemelor de alimentare cu apă şi canalizare, cât şi dotarea bazei tehnico-materiale şi </w:t>
      </w:r>
      <w:r w:rsidR="00BF5B06">
        <w:rPr>
          <w:rFonts w:asciiTheme="majorHAnsi" w:eastAsia="MS Mincho" w:hAnsiTheme="majorHAnsi" w:cstheme="majorHAnsi"/>
          <w:b w:val="0"/>
          <w:bCs w:val="0"/>
          <w:kern w:val="2"/>
          <w:sz w:val="24"/>
          <w:szCs w:val="24"/>
        </w:rPr>
        <w:t xml:space="preserve">acordarea </w:t>
      </w:r>
      <w:r w:rsidRPr="008376FC">
        <w:rPr>
          <w:rFonts w:asciiTheme="majorHAnsi" w:eastAsia="MS Mincho" w:hAnsiTheme="majorHAnsi" w:cstheme="majorHAnsi"/>
          <w:b w:val="0"/>
          <w:bCs w:val="0"/>
          <w:kern w:val="2"/>
          <w:sz w:val="24"/>
          <w:szCs w:val="24"/>
        </w:rPr>
        <w:t>suport</w:t>
      </w:r>
      <w:r w:rsidR="00BF5B06">
        <w:rPr>
          <w:rFonts w:asciiTheme="majorHAnsi" w:eastAsia="MS Mincho" w:hAnsiTheme="majorHAnsi" w:cstheme="majorHAnsi"/>
          <w:b w:val="0"/>
          <w:bCs w:val="0"/>
          <w:kern w:val="2"/>
          <w:sz w:val="24"/>
          <w:szCs w:val="24"/>
        </w:rPr>
        <w:t>ului</w:t>
      </w:r>
      <w:r w:rsidRPr="008376FC">
        <w:rPr>
          <w:rFonts w:asciiTheme="majorHAnsi" w:eastAsia="MS Mincho" w:hAnsiTheme="majorHAnsi" w:cstheme="majorHAnsi"/>
          <w:b w:val="0"/>
          <w:bCs w:val="0"/>
          <w:kern w:val="2"/>
          <w:sz w:val="24"/>
          <w:szCs w:val="24"/>
        </w:rPr>
        <w:t xml:space="preserve"> în vederea asistenței tehnice priv</w:t>
      </w:r>
      <w:r w:rsidR="00E8752C">
        <w:rPr>
          <w:rFonts w:asciiTheme="majorHAnsi" w:eastAsia="MS Mincho" w:hAnsiTheme="majorHAnsi" w:cstheme="majorHAnsi"/>
          <w:b w:val="0"/>
          <w:bCs w:val="0"/>
          <w:kern w:val="2"/>
          <w:sz w:val="24"/>
          <w:szCs w:val="24"/>
        </w:rPr>
        <w:t>ind</w:t>
      </w:r>
      <w:r w:rsidRPr="008376FC">
        <w:rPr>
          <w:rFonts w:asciiTheme="majorHAnsi" w:eastAsia="MS Mincho" w:hAnsiTheme="majorHAnsi" w:cstheme="majorHAnsi"/>
          <w:b w:val="0"/>
          <w:bCs w:val="0"/>
          <w:kern w:val="2"/>
          <w:sz w:val="24"/>
          <w:szCs w:val="24"/>
        </w:rPr>
        <w:t xml:space="preserve"> aspectul documental şi organizatoric în privinţa facilitării creării/restructurării operatorilor regionali. În</w:t>
      </w:r>
      <w:r w:rsidR="00E8752C">
        <w:rPr>
          <w:rFonts w:asciiTheme="majorHAnsi" w:eastAsia="MS Mincho" w:hAnsiTheme="majorHAnsi" w:cstheme="majorHAnsi"/>
          <w:b w:val="0"/>
          <w:bCs w:val="0"/>
          <w:kern w:val="2"/>
          <w:sz w:val="24"/>
          <w:szCs w:val="24"/>
        </w:rPr>
        <w:t>să</w:t>
      </w:r>
      <w:r w:rsidRPr="008376FC">
        <w:rPr>
          <w:rFonts w:asciiTheme="majorHAnsi" w:eastAsia="MS Mincho" w:hAnsiTheme="majorHAnsi" w:cstheme="majorHAnsi"/>
          <w:b w:val="0"/>
          <w:bCs w:val="0"/>
          <w:kern w:val="2"/>
          <w:sz w:val="24"/>
          <w:szCs w:val="24"/>
        </w:rPr>
        <w:t xml:space="preserve">, </w:t>
      </w:r>
      <w:r w:rsidR="009629FE" w:rsidRPr="008376FC">
        <w:rPr>
          <w:rFonts w:asciiTheme="majorHAnsi" w:eastAsia="MS Mincho" w:hAnsiTheme="majorHAnsi" w:cstheme="majorHAnsi"/>
          <w:b w:val="0"/>
          <w:bCs w:val="0"/>
          <w:kern w:val="2"/>
          <w:sz w:val="24"/>
          <w:szCs w:val="24"/>
        </w:rPr>
        <w:t xml:space="preserve">se atestă că </w:t>
      </w:r>
      <w:r w:rsidRPr="008376FC">
        <w:rPr>
          <w:rFonts w:asciiTheme="majorHAnsi" w:eastAsia="MS Mincho" w:hAnsiTheme="majorHAnsi" w:cstheme="majorHAnsi"/>
          <w:b w:val="0"/>
          <w:bCs w:val="0"/>
          <w:kern w:val="2"/>
          <w:sz w:val="24"/>
          <w:szCs w:val="24"/>
        </w:rPr>
        <w:t xml:space="preserve">proiectele finanţate din fondurile </w:t>
      </w:r>
      <w:r w:rsidR="00E8752C">
        <w:rPr>
          <w:rFonts w:asciiTheme="majorHAnsi" w:eastAsia="MS Mincho" w:hAnsiTheme="majorHAnsi" w:cstheme="majorHAnsi"/>
          <w:b w:val="0"/>
          <w:bCs w:val="0"/>
          <w:kern w:val="2"/>
          <w:sz w:val="24"/>
          <w:szCs w:val="24"/>
        </w:rPr>
        <w:t xml:space="preserve">de </w:t>
      </w:r>
      <w:r w:rsidRPr="008376FC">
        <w:rPr>
          <w:rFonts w:asciiTheme="majorHAnsi" w:eastAsia="MS Mincho" w:hAnsiTheme="majorHAnsi" w:cstheme="majorHAnsi"/>
          <w:b w:val="0"/>
          <w:bCs w:val="0"/>
          <w:kern w:val="2"/>
          <w:sz w:val="24"/>
          <w:szCs w:val="24"/>
        </w:rPr>
        <w:t>stat – FEN, FNDR, nu au prior</w:t>
      </w:r>
      <w:r w:rsidR="00E8752C">
        <w:rPr>
          <w:rFonts w:asciiTheme="majorHAnsi" w:eastAsia="MS Mincho" w:hAnsiTheme="majorHAnsi" w:cstheme="majorHAnsi"/>
          <w:b w:val="0"/>
          <w:bCs w:val="0"/>
          <w:kern w:val="2"/>
          <w:sz w:val="24"/>
          <w:szCs w:val="24"/>
        </w:rPr>
        <w:t>i</w:t>
      </w:r>
      <w:r w:rsidRPr="008376FC">
        <w:rPr>
          <w:rFonts w:asciiTheme="majorHAnsi" w:eastAsia="MS Mincho" w:hAnsiTheme="majorHAnsi" w:cstheme="majorHAnsi"/>
          <w:b w:val="0"/>
          <w:bCs w:val="0"/>
          <w:kern w:val="2"/>
          <w:sz w:val="24"/>
          <w:szCs w:val="24"/>
        </w:rPr>
        <w:t xml:space="preserve">tizat/favorizat crearea operatorilor regionali, deşi din FNDR </w:t>
      </w:r>
      <w:r w:rsidR="009629FE" w:rsidRPr="008376FC">
        <w:rPr>
          <w:rFonts w:asciiTheme="majorHAnsi" w:eastAsia="MS Mincho" w:hAnsiTheme="majorHAnsi" w:cstheme="majorHAnsi"/>
          <w:b w:val="0"/>
          <w:bCs w:val="0"/>
          <w:kern w:val="2"/>
          <w:sz w:val="24"/>
          <w:szCs w:val="24"/>
        </w:rPr>
        <w:t xml:space="preserve"> se </w:t>
      </w:r>
      <w:r w:rsidRPr="008376FC">
        <w:rPr>
          <w:rFonts w:asciiTheme="majorHAnsi" w:eastAsia="MS Mincho" w:hAnsiTheme="majorHAnsi" w:cstheme="majorHAnsi"/>
          <w:b w:val="0"/>
          <w:bCs w:val="0"/>
          <w:kern w:val="2"/>
          <w:sz w:val="24"/>
          <w:szCs w:val="24"/>
        </w:rPr>
        <w:t>finanțează în exclusivitate proiecte cu caracter regional.</w:t>
      </w:r>
    </w:p>
    <w:p w:rsidR="0053166E" w:rsidRPr="008376FC" w:rsidRDefault="00E8752C" w:rsidP="00F61756">
      <w:pPr>
        <w:spacing w:before="120" w:after="0" w:line="276" w:lineRule="auto"/>
        <w:jc w:val="both"/>
        <w:rPr>
          <w:rFonts w:asciiTheme="majorHAnsi" w:eastAsia="MS Mincho" w:hAnsiTheme="majorHAnsi" w:cstheme="majorHAnsi"/>
          <w:b w:val="0"/>
          <w:bCs w:val="0"/>
          <w:kern w:val="2"/>
          <w:sz w:val="24"/>
          <w:szCs w:val="24"/>
        </w:rPr>
      </w:pPr>
      <w:r>
        <w:rPr>
          <w:rFonts w:asciiTheme="majorHAnsi" w:eastAsia="MS Mincho" w:hAnsiTheme="majorHAnsi" w:cstheme="majorHAnsi"/>
          <w:b w:val="0"/>
          <w:bCs w:val="0"/>
          <w:kern w:val="2"/>
          <w:sz w:val="24"/>
          <w:szCs w:val="24"/>
        </w:rPr>
        <w:t>Ca</w:t>
      </w:r>
      <w:r w:rsidR="0053166E" w:rsidRPr="008376FC">
        <w:rPr>
          <w:rFonts w:asciiTheme="majorHAnsi" w:eastAsia="MS Mincho" w:hAnsiTheme="majorHAnsi" w:cstheme="majorHAnsi"/>
          <w:b w:val="0"/>
          <w:bCs w:val="0"/>
          <w:kern w:val="2"/>
          <w:sz w:val="24"/>
          <w:szCs w:val="24"/>
        </w:rPr>
        <w:t xml:space="preserve"> rezultat, prin intermediul SAAS nu au fost identificate mecanisme care să faciliteze implementarea  aspectelor</w:t>
      </w:r>
      <w:r>
        <w:rPr>
          <w:rFonts w:asciiTheme="majorHAnsi" w:eastAsia="MS Mincho" w:hAnsiTheme="majorHAnsi" w:cstheme="majorHAnsi"/>
          <w:b w:val="0"/>
          <w:bCs w:val="0"/>
          <w:kern w:val="2"/>
          <w:sz w:val="24"/>
          <w:szCs w:val="24"/>
        </w:rPr>
        <w:t xml:space="preserve"> de</w:t>
      </w:r>
      <w:r w:rsidR="0053166E" w:rsidRPr="008376FC">
        <w:rPr>
          <w:rFonts w:asciiTheme="majorHAnsi" w:eastAsia="MS Mincho" w:hAnsiTheme="majorHAnsi" w:cstheme="majorHAnsi"/>
          <w:b w:val="0"/>
          <w:bCs w:val="0"/>
          <w:kern w:val="2"/>
          <w:sz w:val="24"/>
          <w:szCs w:val="24"/>
        </w:rPr>
        <w:t xml:space="preserve"> regionaliz</w:t>
      </w:r>
      <w:r>
        <w:rPr>
          <w:rFonts w:asciiTheme="majorHAnsi" w:eastAsia="MS Mincho" w:hAnsiTheme="majorHAnsi" w:cstheme="majorHAnsi"/>
          <w:b w:val="0"/>
          <w:bCs w:val="0"/>
          <w:kern w:val="2"/>
          <w:sz w:val="24"/>
          <w:szCs w:val="24"/>
        </w:rPr>
        <w:t>are</w:t>
      </w:r>
      <w:r w:rsidR="0053166E" w:rsidRPr="008376FC">
        <w:rPr>
          <w:rFonts w:asciiTheme="majorHAnsi" w:eastAsia="MS Mincho" w:hAnsiTheme="majorHAnsi" w:cstheme="majorHAnsi"/>
          <w:b w:val="0"/>
          <w:bCs w:val="0"/>
          <w:kern w:val="2"/>
          <w:sz w:val="24"/>
          <w:szCs w:val="24"/>
        </w:rPr>
        <w:t xml:space="preserve">, nu au fost modificate criteriile de finanțare </w:t>
      </w:r>
      <w:r>
        <w:rPr>
          <w:rFonts w:asciiTheme="majorHAnsi" w:eastAsia="MS Mincho" w:hAnsiTheme="majorHAnsi" w:cstheme="majorHAnsi"/>
          <w:b w:val="0"/>
          <w:bCs w:val="0"/>
          <w:kern w:val="2"/>
          <w:sz w:val="24"/>
          <w:szCs w:val="24"/>
        </w:rPr>
        <w:t xml:space="preserve">din </w:t>
      </w:r>
      <w:r w:rsidR="0053166E" w:rsidRPr="008376FC">
        <w:rPr>
          <w:rFonts w:asciiTheme="majorHAnsi" w:eastAsia="MS Mincho" w:hAnsiTheme="majorHAnsi" w:cstheme="majorHAnsi"/>
          <w:b w:val="0"/>
          <w:bCs w:val="0"/>
          <w:kern w:val="2"/>
          <w:sz w:val="24"/>
          <w:szCs w:val="24"/>
        </w:rPr>
        <w:t>FEN, FNDR care să faciliteze şi să motiveze regionalizarea prin acordarea finanţării mai mari pentru operatorii regionali, facilități fiscale, acces la subvenții pentru dezvoltarea bazei tehnico-materiale a operatorilor apă-canal, oferirea asistenței tehnice/informaționale etc.</w:t>
      </w:r>
    </w:p>
    <w:p w:rsidR="00F42FF4" w:rsidRDefault="001F33A4" w:rsidP="00F61756">
      <w:pPr>
        <w:spacing w:before="120" w:after="0" w:line="276" w:lineRule="auto"/>
        <w:jc w:val="both"/>
        <w:rPr>
          <w:rFonts w:asciiTheme="majorHAnsi" w:eastAsia="Calibri" w:hAnsiTheme="majorHAnsi" w:cstheme="majorHAnsi"/>
          <w:b w:val="0"/>
          <w:sz w:val="24"/>
          <w:szCs w:val="24"/>
        </w:rPr>
      </w:pPr>
      <w:r w:rsidRPr="008376FC">
        <w:rPr>
          <w:rFonts w:asciiTheme="majorHAnsi" w:eastAsia="MS Mincho" w:hAnsiTheme="majorHAnsi" w:cstheme="majorHAnsi"/>
          <w:b w:val="0"/>
          <w:bCs w:val="0"/>
          <w:kern w:val="2"/>
          <w:sz w:val="24"/>
          <w:szCs w:val="24"/>
        </w:rPr>
        <w:t>De menționat că măsura privind regionalizarea serviciilor de alimentare cu apă și sani</w:t>
      </w:r>
      <w:r w:rsidR="005E6B8C">
        <w:rPr>
          <w:rFonts w:asciiTheme="majorHAnsi" w:eastAsia="MS Mincho" w:hAnsiTheme="majorHAnsi" w:cstheme="majorHAnsi"/>
          <w:b w:val="0"/>
          <w:bCs w:val="0"/>
          <w:kern w:val="2"/>
          <w:sz w:val="24"/>
          <w:szCs w:val="24"/>
        </w:rPr>
        <w:t>t</w:t>
      </w:r>
      <w:r w:rsidRPr="008376FC">
        <w:rPr>
          <w:rFonts w:asciiTheme="majorHAnsi" w:eastAsia="MS Mincho" w:hAnsiTheme="majorHAnsi" w:cstheme="majorHAnsi"/>
          <w:b w:val="0"/>
          <w:bCs w:val="0"/>
          <w:kern w:val="2"/>
          <w:sz w:val="24"/>
          <w:szCs w:val="24"/>
        </w:rPr>
        <w:t xml:space="preserve">ație a fost inclusă și </w:t>
      </w:r>
      <w:r w:rsidR="00457C9D" w:rsidRPr="008376FC">
        <w:rPr>
          <w:rFonts w:asciiTheme="majorHAnsi" w:eastAsia="MS Mincho" w:hAnsiTheme="majorHAnsi" w:cstheme="majorHAnsi"/>
          <w:b w:val="0"/>
          <w:bCs w:val="0"/>
          <w:kern w:val="2"/>
          <w:sz w:val="24"/>
          <w:szCs w:val="24"/>
        </w:rPr>
        <w:t>în Strategia de Dezvortare Regională pentru anii 2016-2020</w:t>
      </w:r>
      <w:r w:rsidR="005E6B8C">
        <w:rPr>
          <w:rFonts w:asciiTheme="majorHAnsi" w:eastAsia="MS Mincho" w:hAnsiTheme="majorHAnsi" w:cstheme="majorHAnsi"/>
          <w:b w:val="0"/>
          <w:bCs w:val="0"/>
          <w:kern w:val="2"/>
          <w:sz w:val="24"/>
          <w:szCs w:val="24"/>
        </w:rPr>
        <w:t>,</w:t>
      </w:r>
      <w:r w:rsidR="00457C9D" w:rsidRPr="008376FC">
        <w:rPr>
          <w:rFonts w:asciiTheme="majorHAnsi" w:eastAsia="MS Mincho" w:hAnsiTheme="majorHAnsi" w:cstheme="majorHAnsi"/>
          <w:b w:val="0"/>
          <w:bCs w:val="0"/>
          <w:kern w:val="2"/>
          <w:sz w:val="24"/>
          <w:szCs w:val="24"/>
        </w:rPr>
        <w:t xml:space="preserve"> în cadrul căreia urma să fie elaborat </w:t>
      </w:r>
      <w:r w:rsidR="00457C9D" w:rsidRPr="008376FC">
        <w:rPr>
          <w:rFonts w:asciiTheme="majorHAnsi" w:eastAsia="Calibri" w:hAnsiTheme="majorHAnsi" w:cstheme="majorHAnsi"/>
          <w:b w:val="0"/>
          <w:sz w:val="24"/>
          <w:szCs w:val="24"/>
        </w:rPr>
        <w:t xml:space="preserve">și aprobat un Plan de acțiuni privind regionalizarea serviciilor de aprovizionare cu apă și sanitație, care așa și nu a fost elaborat. Astfel, unele măsuri incluse în SAAS se </w:t>
      </w:r>
      <w:r w:rsidR="00505D65">
        <w:rPr>
          <w:rFonts w:asciiTheme="majorHAnsi" w:eastAsia="Calibri" w:hAnsiTheme="majorHAnsi" w:cstheme="majorHAnsi"/>
          <w:b w:val="0"/>
          <w:sz w:val="24"/>
          <w:szCs w:val="24"/>
        </w:rPr>
        <w:t>suprapun</w:t>
      </w:r>
      <w:r w:rsidR="00462D28">
        <w:rPr>
          <w:rFonts w:asciiTheme="majorHAnsi" w:eastAsia="Calibri" w:hAnsiTheme="majorHAnsi" w:cstheme="majorHAnsi"/>
          <w:b w:val="0"/>
          <w:sz w:val="24"/>
          <w:szCs w:val="24"/>
        </w:rPr>
        <w:t xml:space="preserve"> sau se intersectează</w:t>
      </w:r>
      <w:r w:rsidR="00505D65" w:rsidRPr="008376FC">
        <w:rPr>
          <w:rFonts w:asciiTheme="majorHAnsi" w:eastAsia="Calibri" w:hAnsiTheme="majorHAnsi" w:cstheme="majorHAnsi"/>
          <w:b w:val="0"/>
          <w:sz w:val="24"/>
          <w:szCs w:val="24"/>
        </w:rPr>
        <w:t xml:space="preserve"> </w:t>
      </w:r>
      <w:r w:rsidR="00457C9D" w:rsidRPr="008376FC">
        <w:rPr>
          <w:rFonts w:asciiTheme="majorHAnsi" w:eastAsia="Calibri" w:hAnsiTheme="majorHAnsi" w:cstheme="majorHAnsi"/>
          <w:b w:val="0"/>
          <w:sz w:val="24"/>
          <w:szCs w:val="24"/>
        </w:rPr>
        <w:t xml:space="preserve">cu măsurile din alte Strategii, acțiunile nefiind implementate </w:t>
      </w:r>
      <w:r w:rsidR="003F3D5F" w:rsidRPr="008376FC">
        <w:rPr>
          <w:rFonts w:asciiTheme="majorHAnsi" w:eastAsia="Calibri" w:hAnsiTheme="majorHAnsi" w:cstheme="majorHAnsi"/>
          <w:b w:val="0"/>
          <w:sz w:val="24"/>
          <w:szCs w:val="24"/>
        </w:rPr>
        <w:t>în cadrul nuciunea din</w:t>
      </w:r>
      <w:r w:rsidR="00505D65">
        <w:rPr>
          <w:rFonts w:asciiTheme="majorHAnsi" w:eastAsia="Calibri" w:hAnsiTheme="majorHAnsi" w:cstheme="majorHAnsi"/>
          <w:b w:val="0"/>
          <w:sz w:val="24"/>
          <w:szCs w:val="24"/>
        </w:rPr>
        <w:t>tre</w:t>
      </w:r>
      <w:r w:rsidR="003F3D5F" w:rsidRPr="008376FC">
        <w:rPr>
          <w:rFonts w:asciiTheme="majorHAnsi" w:eastAsia="Calibri" w:hAnsiTheme="majorHAnsi" w:cstheme="majorHAnsi"/>
          <w:b w:val="0"/>
          <w:sz w:val="24"/>
          <w:szCs w:val="24"/>
        </w:rPr>
        <w:t xml:space="preserve"> acestea.</w:t>
      </w:r>
    </w:p>
    <w:p w:rsidR="00BE3B68" w:rsidRPr="008376FC" w:rsidRDefault="00D7692F" w:rsidP="00F61756">
      <w:pPr>
        <w:spacing w:line="276" w:lineRule="auto"/>
        <w:jc w:val="both"/>
        <w:rPr>
          <w:rFonts w:asciiTheme="majorHAnsi" w:eastAsia="MS Mincho" w:hAnsiTheme="majorHAnsi" w:cstheme="majorHAnsi"/>
          <w:color w:val="0070C0"/>
          <w:sz w:val="24"/>
          <w:szCs w:val="24"/>
        </w:rPr>
      </w:pPr>
      <w:r w:rsidRPr="008376FC">
        <w:rPr>
          <w:rFonts w:asciiTheme="majorHAnsi" w:eastAsia="MS Mincho" w:hAnsiTheme="majorHAnsi" w:cstheme="majorHAnsi"/>
          <w:color w:val="0070C0"/>
          <w:sz w:val="24"/>
          <w:szCs w:val="24"/>
        </w:rPr>
        <w:t>4.</w:t>
      </w:r>
      <w:r w:rsidR="0053166E" w:rsidRPr="008376FC">
        <w:rPr>
          <w:rFonts w:asciiTheme="majorHAnsi" w:eastAsia="MS Mincho" w:hAnsiTheme="majorHAnsi" w:cstheme="majorHAnsi"/>
          <w:color w:val="0070C0"/>
          <w:sz w:val="24"/>
          <w:szCs w:val="24"/>
        </w:rPr>
        <w:t>1.7. SAAS nu a acordat nici o atenție formării cadrelor în domeniul AAS, astfel sectorul riscă să rămână fără cadre calificate odată ce profesioniștii cu vârstă înaintată se vor pensiona</w:t>
      </w:r>
    </w:p>
    <w:p w:rsidR="005E163F" w:rsidRPr="008376FC" w:rsidRDefault="0053166E" w:rsidP="00F61756">
      <w:pPr>
        <w:shd w:val="clear" w:color="auto" w:fill="FFFFFF"/>
        <w:spacing w:after="0" w:line="276" w:lineRule="auto"/>
        <w:jc w:val="both"/>
        <w:rPr>
          <w:rFonts w:asciiTheme="majorHAnsi" w:eastAsia="MS Mincho" w:hAnsiTheme="majorHAnsi" w:cstheme="majorHAnsi"/>
          <w:b w:val="0"/>
          <w:bCs w:val="0"/>
          <w:kern w:val="2"/>
          <w:sz w:val="24"/>
          <w:szCs w:val="24"/>
        </w:rPr>
      </w:pPr>
      <w:r w:rsidRPr="008376FC">
        <w:rPr>
          <w:rFonts w:asciiTheme="majorHAnsi" w:eastAsia="MS Mincho" w:hAnsiTheme="majorHAnsi" w:cstheme="majorHAnsi"/>
          <w:b w:val="0"/>
          <w:bCs w:val="0"/>
          <w:kern w:val="2"/>
          <w:sz w:val="24"/>
          <w:szCs w:val="24"/>
        </w:rPr>
        <w:t>În perioada 2014-2022, formarea specialiștilor în domeniul alimentării cu apă şi sanitaţie</w:t>
      </w:r>
      <w:r w:rsidR="0028071C">
        <w:rPr>
          <w:rFonts w:asciiTheme="majorHAnsi" w:eastAsia="MS Mincho" w:hAnsiTheme="majorHAnsi" w:cstheme="majorHAnsi"/>
          <w:b w:val="0"/>
          <w:bCs w:val="0"/>
          <w:kern w:val="2"/>
          <w:sz w:val="24"/>
          <w:szCs w:val="24"/>
        </w:rPr>
        <w:t>i</w:t>
      </w:r>
      <w:r w:rsidRPr="008376FC">
        <w:rPr>
          <w:rFonts w:asciiTheme="majorHAnsi" w:eastAsia="MS Mincho" w:hAnsiTheme="majorHAnsi" w:cstheme="majorHAnsi"/>
          <w:b w:val="0"/>
          <w:bCs w:val="0"/>
          <w:kern w:val="2"/>
          <w:sz w:val="24"/>
          <w:szCs w:val="24"/>
        </w:rPr>
        <w:t xml:space="preserve"> s-a realizat în cadrul studiilor în învățământul superior la specialitatea 0732.3 „Alimentări cu apă, canalizări”</w:t>
      </w:r>
      <w:r w:rsidRPr="008376FC">
        <w:rPr>
          <w:rStyle w:val="ab"/>
          <w:rFonts w:asciiTheme="majorHAnsi" w:hAnsiTheme="majorHAnsi" w:cstheme="majorHAnsi"/>
          <w:b w:val="0"/>
          <w:bCs w:val="0"/>
          <w:sz w:val="24"/>
          <w:szCs w:val="24"/>
        </w:rPr>
        <w:footnoteReference w:id="31"/>
      </w:r>
      <w:r w:rsidRPr="008376FC">
        <w:rPr>
          <w:rFonts w:asciiTheme="majorHAnsi" w:eastAsia="MS Mincho" w:hAnsiTheme="majorHAnsi" w:cstheme="majorHAnsi"/>
          <w:b w:val="0"/>
          <w:bCs w:val="0"/>
          <w:kern w:val="2"/>
          <w:sz w:val="24"/>
          <w:szCs w:val="24"/>
        </w:rPr>
        <w:t>/582.6 „Ingineria și protecția apelor”</w:t>
      </w:r>
      <w:r w:rsidRPr="008376FC">
        <w:rPr>
          <w:rStyle w:val="ab"/>
          <w:rFonts w:asciiTheme="majorHAnsi" w:eastAsia="MS Mincho" w:hAnsiTheme="majorHAnsi" w:cstheme="majorHAnsi"/>
          <w:b w:val="0"/>
          <w:bCs w:val="0"/>
          <w:kern w:val="2"/>
          <w:sz w:val="24"/>
          <w:szCs w:val="24"/>
        </w:rPr>
        <w:footnoteReference w:id="32"/>
      </w:r>
      <w:r w:rsidRPr="008376FC">
        <w:rPr>
          <w:rFonts w:asciiTheme="majorHAnsi" w:eastAsia="MS Mincho" w:hAnsiTheme="majorHAnsi" w:cstheme="majorHAnsi"/>
          <w:b w:val="0"/>
          <w:bCs w:val="0"/>
          <w:kern w:val="2"/>
          <w:sz w:val="24"/>
          <w:szCs w:val="24"/>
        </w:rPr>
        <w:t xml:space="preserve"> în cadrul UTM şi a studiilor în învățământul profesional tehnic la specialitatea 71210 „Gospodărirea şi protecția apelor” în cadrul Colegiului Ecologic. </w:t>
      </w:r>
    </w:p>
    <w:p w:rsidR="0053166E" w:rsidRPr="008376FC" w:rsidRDefault="003F3D5F" w:rsidP="00F61756">
      <w:pPr>
        <w:shd w:val="clear" w:color="auto" w:fill="FFFFFF"/>
        <w:spacing w:after="0" w:line="276" w:lineRule="auto"/>
        <w:ind w:firstLine="540"/>
        <w:jc w:val="right"/>
        <w:rPr>
          <w:rFonts w:asciiTheme="majorHAnsi" w:eastAsia="Times New Roman" w:hAnsiTheme="majorHAnsi" w:cstheme="majorHAnsi"/>
          <w:sz w:val="20"/>
          <w:szCs w:val="20"/>
          <w:lang w:bidi="he-IL"/>
        </w:rPr>
      </w:pPr>
      <w:r w:rsidRPr="008376FC">
        <w:rPr>
          <w:rFonts w:asciiTheme="majorHAnsi" w:eastAsia="Times New Roman" w:hAnsiTheme="majorHAnsi" w:cstheme="majorHAnsi"/>
          <w:sz w:val="20"/>
          <w:szCs w:val="20"/>
          <w:lang w:bidi="he-IL"/>
        </w:rPr>
        <w:t>Tabelul nr.</w:t>
      </w:r>
      <w:r w:rsidR="00D13901" w:rsidRPr="008376FC">
        <w:rPr>
          <w:rFonts w:asciiTheme="majorHAnsi" w:eastAsia="Times New Roman" w:hAnsiTheme="majorHAnsi" w:cstheme="majorHAnsi"/>
          <w:sz w:val="20"/>
          <w:szCs w:val="20"/>
          <w:lang w:bidi="he-IL"/>
        </w:rPr>
        <w:t>3</w:t>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812"/>
        <w:gridCol w:w="1021"/>
        <w:gridCol w:w="1097"/>
        <w:gridCol w:w="1135"/>
        <w:gridCol w:w="850"/>
        <w:gridCol w:w="994"/>
        <w:gridCol w:w="707"/>
        <w:gridCol w:w="908"/>
      </w:tblGrid>
      <w:tr w:rsidR="00D7692F" w:rsidRPr="00F61756" w:rsidTr="003F3D5F">
        <w:trPr>
          <w:trHeight w:val="336"/>
        </w:trPr>
        <w:tc>
          <w:tcPr>
            <w:tcW w:w="5000" w:type="pct"/>
            <w:gridSpan w:val="9"/>
            <w:tcBorders>
              <w:top w:val="nil"/>
              <w:left w:val="nil"/>
              <w:bottom w:val="single" w:sz="4" w:space="0" w:color="auto"/>
              <w:right w:val="nil"/>
            </w:tcBorders>
            <w:shd w:val="clear" w:color="auto" w:fill="auto"/>
            <w:vAlign w:val="center"/>
          </w:tcPr>
          <w:p w:rsidR="00D7692F" w:rsidRPr="00F61756" w:rsidRDefault="00D7692F" w:rsidP="005732D3">
            <w:pPr>
              <w:spacing w:after="0" w:line="240" w:lineRule="auto"/>
              <w:jc w:val="both"/>
              <w:rPr>
                <w:rFonts w:asciiTheme="majorHAnsi" w:eastAsia="MS Mincho" w:hAnsiTheme="majorHAnsi" w:cstheme="majorHAnsi"/>
                <w:kern w:val="2"/>
                <w:sz w:val="20"/>
                <w:szCs w:val="20"/>
              </w:rPr>
            </w:pPr>
            <w:r w:rsidRPr="00F61756">
              <w:rPr>
                <w:rFonts w:asciiTheme="majorHAnsi" w:eastAsia="MS Mincho" w:hAnsiTheme="majorHAnsi" w:cstheme="majorHAnsi"/>
                <w:kern w:val="2"/>
                <w:sz w:val="20"/>
                <w:szCs w:val="20"/>
              </w:rPr>
              <w:t>Situaţia privind formarea cadrelor în domeniul alimentării cu apă şi sanitație</w:t>
            </w:r>
            <w:r w:rsidR="0028071C" w:rsidRPr="00F61756">
              <w:rPr>
                <w:rFonts w:asciiTheme="majorHAnsi" w:eastAsia="MS Mincho" w:hAnsiTheme="majorHAnsi" w:cstheme="majorHAnsi"/>
                <w:kern w:val="2"/>
                <w:sz w:val="20"/>
                <w:szCs w:val="20"/>
              </w:rPr>
              <w:t>i</w:t>
            </w:r>
            <w:r w:rsidRPr="00F61756">
              <w:rPr>
                <w:rFonts w:asciiTheme="majorHAnsi" w:eastAsia="MS Mincho" w:hAnsiTheme="majorHAnsi" w:cstheme="majorHAnsi"/>
                <w:kern w:val="2"/>
                <w:sz w:val="20"/>
                <w:szCs w:val="20"/>
              </w:rPr>
              <w:t xml:space="preserve"> în perioada 2014-2022</w:t>
            </w:r>
          </w:p>
        </w:tc>
      </w:tr>
      <w:tr w:rsidR="0053166E" w:rsidRPr="00F61756" w:rsidTr="005732D3">
        <w:trPr>
          <w:trHeight w:val="1055"/>
        </w:trPr>
        <w:tc>
          <w:tcPr>
            <w:tcW w:w="1063" w:type="pct"/>
            <w:vMerge w:val="restart"/>
            <w:tcBorders>
              <w:top w:val="single" w:sz="4" w:space="0" w:color="auto"/>
            </w:tcBorders>
            <w:shd w:val="clear" w:color="auto" w:fill="BDD6EE" w:themeFill="accent1" w:themeFillTint="66"/>
            <w:vAlign w:val="center"/>
            <w:hideMark/>
          </w:tcPr>
          <w:p w:rsidR="0053166E" w:rsidRPr="00F61756" w:rsidRDefault="0053166E" w:rsidP="005732D3">
            <w:pPr>
              <w:spacing w:after="0" w:line="240" w:lineRule="auto"/>
              <w:jc w:val="both"/>
              <w:rPr>
                <w:rFonts w:asciiTheme="majorHAnsi" w:eastAsia="Times New Roman" w:hAnsiTheme="majorHAnsi" w:cstheme="majorHAnsi"/>
                <w:sz w:val="20"/>
                <w:szCs w:val="20"/>
                <w:lang w:val="en-US" w:bidi="he-IL"/>
              </w:rPr>
            </w:pPr>
            <w:r w:rsidRPr="00F61756">
              <w:rPr>
                <w:rFonts w:asciiTheme="majorHAnsi" w:eastAsia="Times New Roman" w:hAnsiTheme="majorHAnsi" w:cstheme="majorHAnsi"/>
                <w:sz w:val="20"/>
                <w:szCs w:val="20"/>
                <w:lang w:val="en-US" w:bidi="he-IL"/>
              </w:rPr>
              <w:t>Nivelul studiilor</w:t>
            </w:r>
          </w:p>
        </w:tc>
        <w:tc>
          <w:tcPr>
            <w:tcW w:w="959" w:type="pct"/>
            <w:gridSpan w:val="2"/>
            <w:tcBorders>
              <w:top w:val="single" w:sz="4" w:space="0" w:color="auto"/>
            </w:tcBorders>
            <w:shd w:val="clear" w:color="auto" w:fill="BDD6EE" w:themeFill="accent1" w:themeFillTint="66"/>
            <w:vAlign w:val="center"/>
            <w:hideMark/>
          </w:tcPr>
          <w:p w:rsidR="0053166E" w:rsidRPr="00F61756" w:rsidRDefault="0053166E" w:rsidP="005732D3">
            <w:pPr>
              <w:spacing w:after="0" w:line="240" w:lineRule="auto"/>
              <w:jc w:val="both"/>
              <w:rPr>
                <w:rFonts w:asciiTheme="majorHAnsi" w:eastAsia="Times New Roman" w:hAnsiTheme="majorHAnsi" w:cstheme="majorHAnsi"/>
                <w:sz w:val="20"/>
                <w:szCs w:val="20"/>
                <w:lang w:val="it-IT" w:bidi="he-IL"/>
              </w:rPr>
            </w:pPr>
            <w:r w:rsidRPr="00F61756">
              <w:rPr>
                <w:rFonts w:asciiTheme="majorHAnsi" w:eastAsia="Times New Roman" w:hAnsiTheme="majorHAnsi" w:cstheme="majorHAnsi"/>
                <w:sz w:val="20"/>
                <w:szCs w:val="20"/>
                <w:lang w:val="it-IT" w:bidi="he-IL"/>
              </w:rPr>
              <w:t>Plan (Comanda de Stat) de pregătire a cadrelor (nr. de studenţi)</w:t>
            </w:r>
          </w:p>
        </w:tc>
        <w:tc>
          <w:tcPr>
            <w:tcW w:w="1168" w:type="pct"/>
            <w:gridSpan w:val="2"/>
            <w:tcBorders>
              <w:top w:val="single" w:sz="4" w:space="0" w:color="auto"/>
            </w:tcBorders>
            <w:shd w:val="clear" w:color="auto" w:fill="BDD6EE" w:themeFill="accent1" w:themeFillTint="66"/>
            <w:vAlign w:val="center"/>
            <w:hideMark/>
          </w:tcPr>
          <w:p w:rsidR="0053166E" w:rsidRPr="00F61756" w:rsidRDefault="0053166E" w:rsidP="005732D3">
            <w:pPr>
              <w:spacing w:after="0" w:line="240" w:lineRule="auto"/>
              <w:jc w:val="both"/>
              <w:rPr>
                <w:rFonts w:asciiTheme="majorHAnsi" w:eastAsia="Times New Roman" w:hAnsiTheme="majorHAnsi" w:cstheme="majorHAnsi"/>
                <w:sz w:val="20"/>
                <w:szCs w:val="20"/>
                <w:lang w:val="it-IT" w:bidi="he-IL"/>
              </w:rPr>
            </w:pPr>
            <w:r w:rsidRPr="00F61756">
              <w:rPr>
                <w:rFonts w:asciiTheme="majorHAnsi" w:eastAsia="Times New Roman" w:hAnsiTheme="majorHAnsi" w:cstheme="majorHAnsi"/>
                <w:sz w:val="20"/>
                <w:szCs w:val="20"/>
                <w:lang w:val="it-IT" w:bidi="he-IL"/>
              </w:rPr>
              <w:t>Volumul finanţarii din Bugetul de stat, mii lei</w:t>
            </w:r>
          </w:p>
        </w:tc>
        <w:tc>
          <w:tcPr>
            <w:tcW w:w="965" w:type="pct"/>
            <w:gridSpan w:val="2"/>
            <w:tcBorders>
              <w:top w:val="single" w:sz="4" w:space="0" w:color="auto"/>
            </w:tcBorders>
            <w:shd w:val="clear" w:color="auto" w:fill="BDD6EE" w:themeFill="accent1" w:themeFillTint="66"/>
            <w:vAlign w:val="center"/>
            <w:hideMark/>
          </w:tcPr>
          <w:p w:rsidR="0053166E" w:rsidRPr="00F61756" w:rsidRDefault="0053166E" w:rsidP="005732D3">
            <w:pPr>
              <w:spacing w:after="0" w:line="240" w:lineRule="auto"/>
              <w:jc w:val="both"/>
              <w:rPr>
                <w:rFonts w:asciiTheme="majorHAnsi" w:eastAsia="Times New Roman" w:hAnsiTheme="majorHAnsi" w:cstheme="majorHAnsi"/>
                <w:sz w:val="20"/>
                <w:szCs w:val="20"/>
                <w:lang w:val="en-US" w:bidi="he-IL"/>
              </w:rPr>
            </w:pPr>
            <w:r w:rsidRPr="00F61756">
              <w:rPr>
                <w:rFonts w:asciiTheme="majorHAnsi" w:eastAsia="Times New Roman" w:hAnsiTheme="majorHAnsi" w:cstheme="majorHAnsi"/>
                <w:sz w:val="20"/>
                <w:szCs w:val="20"/>
                <w:lang w:val="en-US" w:bidi="he-IL"/>
              </w:rPr>
              <w:t>Numărul de studenţi înmatriculaţi</w:t>
            </w:r>
          </w:p>
        </w:tc>
        <w:tc>
          <w:tcPr>
            <w:tcW w:w="845" w:type="pct"/>
            <w:gridSpan w:val="2"/>
            <w:tcBorders>
              <w:top w:val="single" w:sz="4" w:space="0" w:color="auto"/>
            </w:tcBorders>
            <w:shd w:val="clear" w:color="auto" w:fill="BDD6EE" w:themeFill="accent1" w:themeFillTint="66"/>
            <w:vAlign w:val="center"/>
            <w:hideMark/>
          </w:tcPr>
          <w:p w:rsidR="0053166E" w:rsidRPr="00F61756" w:rsidRDefault="0053166E" w:rsidP="005732D3">
            <w:pPr>
              <w:spacing w:after="0" w:line="240" w:lineRule="auto"/>
              <w:jc w:val="both"/>
              <w:rPr>
                <w:rFonts w:asciiTheme="majorHAnsi" w:eastAsia="Times New Roman" w:hAnsiTheme="majorHAnsi" w:cstheme="majorHAnsi"/>
                <w:sz w:val="20"/>
                <w:szCs w:val="20"/>
                <w:lang w:val="en-US" w:bidi="he-IL"/>
              </w:rPr>
            </w:pPr>
            <w:r w:rsidRPr="00F61756">
              <w:rPr>
                <w:rFonts w:asciiTheme="majorHAnsi" w:eastAsia="Times New Roman" w:hAnsiTheme="majorHAnsi" w:cstheme="majorHAnsi"/>
                <w:sz w:val="20"/>
                <w:szCs w:val="20"/>
                <w:lang w:val="en-US" w:bidi="he-IL"/>
              </w:rPr>
              <w:t>Numărul de studenţi absolvenţi</w:t>
            </w:r>
          </w:p>
        </w:tc>
      </w:tr>
      <w:tr w:rsidR="003F3D5F" w:rsidRPr="00F61756" w:rsidTr="005732D3">
        <w:trPr>
          <w:trHeight w:val="297"/>
        </w:trPr>
        <w:tc>
          <w:tcPr>
            <w:tcW w:w="1063" w:type="pct"/>
            <w:vMerge/>
            <w:vAlign w:val="center"/>
            <w:hideMark/>
          </w:tcPr>
          <w:p w:rsidR="0053166E" w:rsidRPr="00F61756" w:rsidRDefault="0053166E" w:rsidP="005732D3">
            <w:pPr>
              <w:spacing w:after="0" w:line="240" w:lineRule="auto"/>
              <w:jc w:val="both"/>
              <w:rPr>
                <w:rFonts w:asciiTheme="majorHAnsi" w:eastAsia="Times New Roman" w:hAnsiTheme="majorHAnsi" w:cstheme="majorHAnsi"/>
                <w:sz w:val="20"/>
                <w:szCs w:val="20"/>
                <w:lang w:val="en-US" w:bidi="he-IL"/>
              </w:rPr>
            </w:pPr>
          </w:p>
        </w:tc>
        <w:tc>
          <w:tcPr>
            <w:tcW w:w="425" w:type="pct"/>
            <w:shd w:val="clear" w:color="auto" w:fill="BDD6EE" w:themeFill="accent1" w:themeFillTint="66"/>
            <w:noWrap/>
            <w:vAlign w:val="bottom"/>
            <w:hideMark/>
          </w:tcPr>
          <w:p w:rsidR="0053166E" w:rsidRPr="00F61756" w:rsidRDefault="0053166E" w:rsidP="005732D3">
            <w:pPr>
              <w:spacing w:after="0" w:line="240" w:lineRule="auto"/>
              <w:jc w:val="both"/>
              <w:rPr>
                <w:rFonts w:asciiTheme="majorHAnsi" w:eastAsia="Times New Roman" w:hAnsiTheme="majorHAnsi" w:cstheme="majorHAnsi"/>
                <w:sz w:val="20"/>
                <w:szCs w:val="20"/>
                <w:lang w:val="en-US" w:bidi="he-IL"/>
              </w:rPr>
            </w:pPr>
            <w:r w:rsidRPr="00F61756">
              <w:rPr>
                <w:rFonts w:asciiTheme="majorHAnsi" w:eastAsia="Times New Roman" w:hAnsiTheme="majorHAnsi" w:cstheme="majorHAnsi"/>
                <w:sz w:val="20"/>
                <w:szCs w:val="20"/>
                <w:lang w:val="en-US" w:bidi="he-IL"/>
              </w:rPr>
              <w:t>buget</w:t>
            </w:r>
          </w:p>
        </w:tc>
        <w:tc>
          <w:tcPr>
            <w:tcW w:w="534" w:type="pct"/>
            <w:shd w:val="clear" w:color="auto" w:fill="BDD6EE" w:themeFill="accent1" w:themeFillTint="66"/>
            <w:noWrap/>
            <w:vAlign w:val="bottom"/>
            <w:hideMark/>
          </w:tcPr>
          <w:p w:rsidR="0053166E" w:rsidRPr="00F61756" w:rsidRDefault="0053166E" w:rsidP="005732D3">
            <w:pPr>
              <w:spacing w:after="0" w:line="240" w:lineRule="auto"/>
              <w:jc w:val="both"/>
              <w:rPr>
                <w:rFonts w:asciiTheme="majorHAnsi" w:eastAsia="Times New Roman" w:hAnsiTheme="majorHAnsi" w:cstheme="majorHAnsi"/>
                <w:sz w:val="20"/>
                <w:szCs w:val="20"/>
                <w:lang w:val="en-US" w:bidi="he-IL"/>
              </w:rPr>
            </w:pPr>
            <w:r w:rsidRPr="00F61756">
              <w:rPr>
                <w:rFonts w:asciiTheme="majorHAnsi" w:eastAsia="Times New Roman" w:hAnsiTheme="majorHAnsi" w:cstheme="majorHAnsi"/>
                <w:sz w:val="20"/>
                <w:szCs w:val="20"/>
                <w:lang w:val="en-US" w:bidi="he-IL"/>
              </w:rPr>
              <w:t>contract</w:t>
            </w:r>
          </w:p>
        </w:tc>
        <w:tc>
          <w:tcPr>
            <w:tcW w:w="574" w:type="pct"/>
            <w:shd w:val="clear" w:color="auto" w:fill="BDD6EE" w:themeFill="accent1" w:themeFillTint="66"/>
            <w:noWrap/>
            <w:vAlign w:val="bottom"/>
            <w:hideMark/>
          </w:tcPr>
          <w:p w:rsidR="0053166E" w:rsidRPr="00F61756" w:rsidRDefault="0053166E" w:rsidP="005732D3">
            <w:pPr>
              <w:spacing w:after="0" w:line="240" w:lineRule="auto"/>
              <w:jc w:val="both"/>
              <w:rPr>
                <w:rFonts w:asciiTheme="majorHAnsi" w:eastAsia="Times New Roman" w:hAnsiTheme="majorHAnsi" w:cstheme="majorHAnsi"/>
                <w:sz w:val="20"/>
                <w:szCs w:val="20"/>
                <w:lang w:val="en-US" w:bidi="he-IL"/>
              </w:rPr>
            </w:pPr>
            <w:r w:rsidRPr="00F61756">
              <w:rPr>
                <w:rFonts w:asciiTheme="majorHAnsi" w:eastAsia="Times New Roman" w:hAnsiTheme="majorHAnsi" w:cstheme="majorHAnsi"/>
                <w:sz w:val="20"/>
                <w:szCs w:val="20"/>
                <w:lang w:val="en-US" w:bidi="he-IL"/>
              </w:rPr>
              <w:t>aprobat</w:t>
            </w:r>
          </w:p>
        </w:tc>
        <w:tc>
          <w:tcPr>
            <w:tcW w:w="594" w:type="pct"/>
            <w:shd w:val="clear" w:color="auto" w:fill="BDD6EE" w:themeFill="accent1" w:themeFillTint="66"/>
            <w:noWrap/>
            <w:vAlign w:val="bottom"/>
            <w:hideMark/>
          </w:tcPr>
          <w:p w:rsidR="0053166E" w:rsidRPr="00F61756" w:rsidRDefault="0053166E" w:rsidP="005732D3">
            <w:pPr>
              <w:spacing w:after="0" w:line="240" w:lineRule="auto"/>
              <w:jc w:val="both"/>
              <w:rPr>
                <w:rFonts w:asciiTheme="majorHAnsi" w:eastAsia="Times New Roman" w:hAnsiTheme="majorHAnsi" w:cstheme="majorHAnsi"/>
                <w:sz w:val="20"/>
                <w:szCs w:val="20"/>
                <w:lang w:val="en-US" w:bidi="he-IL"/>
              </w:rPr>
            </w:pPr>
            <w:r w:rsidRPr="00F61756">
              <w:rPr>
                <w:rFonts w:asciiTheme="majorHAnsi" w:eastAsia="Times New Roman" w:hAnsiTheme="majorHAnsi" w:cstheme="majorHAnsi"/>
                <w:sz w:val="20"/>
                <w:szCs w:val="20"/>
                <w:lang w:val="en-US" w:bidi="he-IL"/>
              </w:rPr>
              <w:t>executat</w:t>
            </w:r>
          </w:p>
        </w:tc>
        <w:tc>
          <w:tcPr>
            <w:tcW w:w="445" w:type="pct"/>
            <w:shd w:val="clear" w:color="auto" w:fill="BDD6EE" w:themeFill="accent1" w:themeFillTint="66"/>
            <w:noWrap/>
            <w:vAlign w:val="bottom"/>
            <w:hideMark/>
          </w:tcPr>
          <w:p w:rsidR="0053166E" w:rsidRPr="00F61756" w:rsidRDefault="0053166E" w:rsidP="005732D3">
            <w:pPr>
              <w:spacing w:after="0" w:line="240" w:lineRule="auto"/>
              <w:jc w:val="both"/>
              <w:rPr>
                <w:rFonts w:asciiTheme="majorHAnsi" w:eastAsia="Times New Roman" w:hAnsiTheme="majorHAnsi" w:cstheme="majorHAnsi"/>
                <w:sz w:val="20"/>
                <w:szCs w:val="20"/>
                <w:lang w:val="en-US" w:bidi="he-IL"/>
              </w:rPr>
            </w:pPr>
            <w:r w:rsidRPr="00F61756">
              <w:rPr>
                <w:rFonts w:asciiTheme="majorHAnsi" w:eastAsia="Times New Roman" w:hAnsiTheme="majorHAnsi" w:cstheme="majorHAnsi"/>
                <w:sz w:val="20"/>
                <w:szCs w:val="20"/>
                <w:lang w:val="en-US" w:bidi="he-IL"/>
              </w:rPr>
              <w:t>buget</w:t>
            </w:r>
          </w:p>
        </w:tc>
        <w:tc>
          <w:tcPr>
            <w:tcW w:w="520" w:type="pct"/>
            <w:shd w:val="clear" w:color="auto" w:fill="BDD6EE" w:themeFill="accent1" w:themeFillTint="66"/>
            <w:noWrap/>
            <w:vAlign w:val="bottom"/>
            <w:hideMark/>
          </w:tcPr>
          <w:p w:rsidR="0053166E" w:rsidRPr="00F61756" w:rsidRDefault="0053166E" w:rsidP="005732D3">
            <w:pPr>
              <w:spacing w:after="0" w:line="240" w:lineRule="auto"/>
              <w:jc w:val="both"/>
              <w:rPr>
                <w:rFonts w:asciiTheme="majorHAnsi" w:eastAsia="Times New Roman" w:hAnsiTheme="majorHAnsi" w:cstheme="majorHAnsi"/>
                <w:sz w:val="20"/>
                <w:szCs w:val="20"/>
                <w:lang w:val="en-US" w:bidi="he-IL"/>
              </w:rPr>
            </w:pPr>
            <w:r w:rsidRPr="00F61756">
              <w:rPr>
                <w:rFonts w:asciiTheme="majorHAnsi" w:eastAsia="Times New Roman" w:hAnsiTheme="majorHAnsi" w:cstheme="majorHAnsi"/>
                <w:sz w:val="20"/>
                <w:szCs w:val="20"/>
                <w:lang w:val="en-US" w:bidi="he-IL"/>
              </w:rPr>
              <w:t>contract</w:t>
            </w:r>
          </w:p>
        </w:tc>
        <w:tc>
          <w:tcPr>
            <w:tcW w:w="370" w:type="pct"/>
            <w:shd w:val="clear" w:color="auto" w:fill="BDD6EE" w:themeFill="accent1" w:themeFillTint="66"/>
            <w:noWrap/>
            <w:vAlign w:val="bottom"/>
            <w:hideMark/>
          </w:tcPr>
          <w:p w:rsidR="0053166E" w:rsidRPr="00F61756" w:rsidRDefault="0053166E" w:rsidP="005732D3">
            <w:pPr>
              <w:spacing w:after="0" w:line="240" w:lineRule="auto"/>
              <w:jc w:val="both"/>
              <w:rPr>
                <w:rFonts w:asciiTheme="majorHAnsi" w:eastAsia="Times New Roman" w:hAnsiTheme="majorHAnsi" w:cstheme="majorHAnsi"/>
                <w:sz w:val="20"/>
                <w:szCs w:val="20"/>
                <w:lang w:val="en-US" w:bidi="he-IL"/>
              </w:rPr>
            </w:pPr>
            <w:r w:rsidRPr="00F61756">
              <w:rPr>
                <w:rFonts w:asciiTheme="majorHAnsi" w:eastAsia="Times New Roman" w:hAnsiTheme="majorHAnsi" w:cstheme="majorHAnsi"/>
                <w:sz w:val="20"/>
                <w:szCs w:val="20"/>
                <w:lang w:val="en-US" w:bidi="he-IL"/>
              </w:rPr>
              <w:t>buget</w:t>
            </w:r>
          </w:p>
        </w:tc>
        <w:tc>
          <w:tcPr>
            <w:tcW w:w="475" w:type="pct"/>
            <w:shd w:val="clear" w:color="auto" w:fill="BDD6EE" w:themeFill="accent1" w:themeFillTint="66"/>
            <w:noWrap/>
            <w:vAlign w:val="bottom"/>
            <w:hideMark/>
          </w:tcPr>
          <w:p w:rsidR="0053166E" w:rsidRPr="00F61756" w:rsidRDefault="0053166E" w:rsidP="005732D3">
            <w:pPr>
              <w:spacing w:after="0" w:line="240" w:lineRule="auto"/>
              <w:jc w:val="both"/>
              <w:rPr>
                <w:rFonts w:asciiTheme="majorHAnsi" w:eastAsia="Times New Roman" w:hAnsiTheme="majorHAnsi" w:cstheme="majorHAnsi"/>
                <w:sz w:val="20"/>
                <w:szCs w:val="20"/>
                <w:lang w:val="en-US" w:bidi="he-IL"/>
              </w:rPr>
            </w:pPr>
            <w:r w:rsidRPr="00F61756">
              <w:rPr>
                <w:rFonts w:asciiTheme="majorHAnsi" w:eastAsia="Times New Roman" w:hAnsiTheme="majorHAnsi" w:cstheme="majorHAnsi"/>
                <w:sz w:val="20"/>
                <w:szCs w:val="20"/>
                <w:lang w:val="en-US" w:bidi="he-IL"/>
              </w:rPr>
              <w:t>contract</w:t>
            </w:r>
          </w:p>
        </w:tc>
      </w:tr>
      <w:tr w:rsidR="003F3D5F" w:rsidRPr="00F61756" w:rsidTr="005732D3">
        <w:trPr>
          <w:trHeight w:val="297"/>
        </w:trPr>
        <w:tc>
          <w:tcPr>
            <w:tcW w:w="1063" w:type="pct"/>
            <w:shd w:val="clear" w:color="auto" w:fill="auto"/>
            <w:noWrap/>
            <w:vAlign w:val="bottom"/>
            <w:hideMark/>
          </w:tcPr>
          <w:p w:rsidR="0053166E" w:rsidRPr="00F61756" w:rsidRDefault="0053166E" w:rsidP="005732D3">
            <w:pPr>
              <w:spacing w:after="0" w:line="240" w:lineRule="auto"/>
              <w:jc w:val="both"/>
              <w:rPr>
                <w:rFonts w:asciiTheme="majorHAnsi" w:eastAsia="Times New Roman" w:hAnsiTheme="majorHAnsi" w:cstheme="majorHAnsi"/>
                <w:b w:val="0"/>
                <w:bCs w:val="0"/>
                <w:sz w:val="20"/>
                <w:szCs w:val="20"/>
                <w:lang w:val="en-US" w:bidi="he-IL"/>
              </w:rPr>
            </w:pPr>
            <w:r w:rsidRPr="00F61756">
              <w:rPr>
                <w:rFonts w:asciiTheme="majorHAnsi" w:eastAsia="MS Mincho" w:hAnsiTheme="majorHAnsi" w:cstheme="majorHAnsi"/>
                <w:b w:val="0"/>
                <w:bCs w:val="0"/>
                <w:kern w:val="2"/>
                <w:sz w:val="20"/>
                <w:szCs w:val="20"/>
              </w:rPr>
              <w:t>învățământul superior, licență</w:t>
            </w:r>
          </w:p>
        </w:tc>
        <w:tc>
          <w:tcPr>
            <w:tcW w:w="425"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103</w:t>
            </w:r>
          </w:p>
        </w:tc>
        <w:tc>
          <w:tcPr>
            <w:tcW w:w="534"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143</w:t>
            </w:r>
          </w:p>
        </w:tc>
        <w:tc>
          <w:tcPr>
            <w:tcW w:w="574"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1304,09</w:t>
            </w:r>
          </w:p>
        </w:tc>
        <w:tc>
          <w:tcPr>
            <w:tcW w:w="594"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1388,97</w:t>
            </w:r>
          </w:p>
        </w:tc>
        <w:tc>
          <w:tcPr>
            <w:tcW w:w="445"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59</w:t>
            </w:r>
          </w:p>
        </w:tc>
        <w:tc>
          <w:tcPr>
            <w:tcW w:w="520"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50</w:t>
            </w:r>
          </w:p>
        </w:tc>
        <w:tc>
          <w:tcPr>
            <w:tcW w:w="370"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52</w:t>
            </w:r>
          </w:p>
        </w:tc>
        <w:tc>
          <w:tcPr>
            <w:tcW w:w="475"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68</w:t>
            </w:r>
          </w:p>
        </w:tc>
      </w:tr>
      <w:tr w:rsidR="003F3D5F" w:rsidRPr="00F61756" w:rsidTr="005732D3">
        <w:trPr>
          <w:trHeight w:val="297"/>
        </w:trPr>
        <w:tc>
          <w:tcPr>
            <w:tcW w:w="1063" w:type="pct"/>
            <w:shd w:val="clear" w:color="auto" w:fill="auto"/>
            <w:noWrap/>
            <w:vAlign w:val="bottom"/>
            <w:hideMark/>
          </w:tcPr>
          <w:p w:rsidR="0053166E" w:rsidRPr="00F61756" w:rsidRDefault="0053166E" w:rsidP="005732D3">
            <w:pPr>
              <w:spacing w:after="0" w:line="240" w:lineRule="auto"/>
              <w:jc w:val="both"/>
              <w:rPr>
                <w:rFonts w:asciiTheme="majorHAnsi" w:eastAsia="Times New Roman" w:hAnsiTheme="majorHAnsi" w:cstheme="majorHAnsi"/>
                <w:b w:val="0"/>
                <w:bCs w:val="0"/>
                <w:sz w:val="20"/>
                <w:szCs w:val="20"/>
                <w:lang w:val="en-US" w:bidi="he-IL"/>
              </w:rPr>
            </w:pPr>
            <w:r w:rsidRPr="00F61756">
              <w:rPr>
                <w:rFonts w:asciiTheme="majorHAnsi" w:eastAsia="MS Mincho" w:hAnsiTheme="majorHAnsi" w:cstheme="majorHAnsi"/>
                <w:b w:val="0"/>
                <w:bCs w:val="0"/>
                <w:kern w:val="2"/>
                <w:sz w:val="20"/>
                <w:szCs w:val="20"/>
              </w:rPr>
              <w:t>învățământul superior, masterat</w:t>
            </w:r>
          </w:p>
        </w:tc>
        <w:tc>
          <w:tcPr>
            <w:tcW w:w="425"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53</w:t>
            </w:r>
          </w:p>
        </w:tc>
        <w:tc>
          <w:tcPr>
            <w:tcW w:w="534"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35</w:t>
            </w:r>
          </w:p>
        </w:tc>
        <w:tc>
          <w:tcPr>
            <w:tcW w:w="574"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649,36</w:t>
            </w:r>
          </w:p>
        </w:tc>
        <w:tc>
          <w:tcPr>
            <w:tcW w:w="594"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709,98</w:t>
            </w:r>
          </w:p>
        </w:tc>
        <w:tc>
          <w:tcPr>
            <w:tcW w:w="445"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53</w:t>
            </w:r>
          </w:p>
        </w:tc>
        <w:tc>
          <w:tcPr>
            <w:tcW w:w="520"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10</w:t>
            </w:r>
          </w:p>
        </w:tc>
        <w:tc>
          <w:tcPr>
            <w:tcW w:w="370"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53</w:t>
            </w:r>
          </w:p>
        </w:tc>
        <w:tc>
          <w:tcPr>
            <w:tcW w:w="475" w:type="pct"/>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5</w:t>
            </w:r>
          </w:p>
        </w:tc>
      </w:tr>
      <w:tr w:rsidR="003F3D5F" w:rsidRPr="00F61756" w:rsidTr="005732D3">
        <w:trPr>
          <w:trHeight w:val="297"/>
        </w:trPr>
        <w:tc>
          <w:tcPr>
            <w:tcW w:w="1063" w:type="pct"/>
            <w:tcBorders>
              <w:bottom w:val="single" w:sz="4" w:space="0" w:color="auto"/>
            </w:tcBorders>
            <w:shd w:val="clear" w:color="auto" w:fill="auto"/>
            <w:noWrap/>
            <w:vAlign w:val="bottom"/>
            <w:hideMark/>
          </w:tcPr>
          <w:p w:rsidR="0053166E" w:rsidRPr="00F61756" w:rsidRDefault="0053166E" w:rsidP="005732D3">
            <w:pPr>
              <w:spacing w:after="0" w:line="240" w:lineRule="auto"/>
              <w:jc w:val="both"/>
              <w:rPr>
                <w:rFonts w:asciiTheme="majorHAnsi" w:eastAsia="Times New Roman" w:hAnsiTheme="majorHAnsi" w:cstheme="majorHAnsi"/>
                <w:b w:val="0"/>
                <w:bCs w:val="0"/>
                <w:sz w:val="20"/>
                <w:szCs w:val="20"/>
                <w:lang w:val="en-US" w:bidi="he-IL"/>
              </w:rPr>
            </w:pPr>
            <w:r w:rsidRPr="00F61756">
              <w:rPr>
                <w:rFonts w:asciiTheme="majorHAnsi" w:eastAsia="MS Mincho" w:hAnsiTheme="majorHAnsi" w:cstheme="majorHAnsi"/>
                <w:b w:val="0"/>
                <w:bCs w:val="0"/>
                <w:kern w:val="2"/>
                <w:sz w:val="20"/>
                <w:szCs w:val="20"/>
              </w:rPr>
              <w:t>învățământul profesional tehnic</w:t>
            </w:r>
          </w:p>
        </w:tc>
        <w:tc>
          <w:tcPr>
            <w:tcW w:w="425" w:type="pct"/>
            <w:tcBorders>
              <w:bottom w:val="single" w:sz="4" w:space="0" w:color="auto"/>
            </w:tcBorders>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171</w:t>
            </w:r>
          </w:p>
        </w:tc>
        <w:tc>
          <w:tcPr>
            <w:tcW w:w="534" w:type="pct"/>
            <w:tcBorders>
              <w:bottom w:val="single" w:sz="4" w:space="0" w:color="auto"/>
            </w:tcBorders>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99</w:t>
            </w:r>
          </w:p>
        </w:tc>
        <w:tc>
          <w:tcPr>
            <w:tcW w:w="574" w:type="pct"/>
            <w:tcBorders>
              <w:bottom w:val="single" w:sz="4" w:space="0" w:color="auto"/>
            </w:tcBorders>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16322,40</w:t>
            </w:r>
          </w:p>
        </w:tc>
        <w:tc>
          <w:tcPr>
            <w:tcW w:w="594" w:type="pct"/>
            <w:tcBorders>
              <w:bottom w:val="single" w:sz="4" w:space="0" w:color="auto"/>
            </w:tcBorders>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16322,40</w:t>
            </w:r>
          </w:p>
        </w:tc>
        <w:tc>
          <w:tcPr>
            <w:tcW w:w="445" w:type="pct"/>
            <w:tcBorders>
              <w:bottom w:val="single" w:sz="4" w:space="0" w:color="auto"/>
            </w:tcBorders>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171</w:t>
            </w:r>
          </w:p>
        </w:tc>
        <w:tc>
          <w:tcPr>
            <w:tcW w:w="520" w:type="pct"/>
            <w:tcBorders>
              <w:bottom w:val="single" w:sz="4" w:space="0" w:color="auto"/>
            </w:tcBorders>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84</w:t>
            </w:r>
          </w:p>
        </w:tc>
        <w:tc>
          <w:tcPr>
            <w:tcW w:w="370" w:type="pct"/>
            <w:tcBorders>
              <w:bottom w:val="single" w:sz="4" w:space="0" w:color="auto"/>
            </w:tcBorders>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142</w:t>
            </w:r>
          </w:p>
        </w:tc>
        <w:tc>
          <w:tcPr>
            <w:tcW w:w="475" w:type="pct"/>
            <w:tcBorders>
              <w:bottom w:val="single" w:sz="4" w:space="0" w:color="auto"/>
            </w:tcBorders>
            <w:shd w:val="clear" w:color="auto" w:fill="auto"/>
            <w:noWrap/>
            <w:vAlign w:val="bottom"/>
            <w:hideMark/>
          </w:tcPr>
          <w:p w:rsidR="0053166E" w:rsidRPr="00F61756" w:rsidRDefault="0053166E" w:rsidP="005732D3">
            <w:pPr>
              <w:spacing w:after="0" w:line="240" w:lineRule="auto"/>
              <w:jc w:val="center"/>
              <w:rPr>
                <w:rFonts w:asciiTheme="majorHAnsi" w:hAnsiTheme="majorHAnsi" w:cstheme="majorHAnsi"/>
                <w:b w:val="0"/>
                <w:bCs w:val="0"/>
                <w:sz w:val="20"/>
                <w:szCs w:val="20"/>
              </w:rPr>
            </w:pPr>
            <w:r w:rsidRPr="00F61756">
              <w:rPr>
                <w:rFonts w:asciiTheme="majorHAnsi" w:hAnsiTheme="majorHAnsi" w:cstheme="majorHAnsi"/>
                <w:b w:val="0"/>
                <w:bCs w:val="0"/>
                <w:sz w:val="20"/>
                <w:szCs w:val="20"/>
              </w:rPr>
              <w:t>50</w:t>
            </w:r>
          </w:p>
        </w:tc>
      </w:tr>
      <w:tr w:rsidR="003F3D5F" w:rsidRPr="00F61756" w:rsidTr="005732D3">
        <w:trPr>
          <w:trHeight w:val="297"/>
        </w:trPr>
        <w:tc>
          <w:tcPr>
            <w:tcW w:w="1063" w:type="pct"/>
            <w:tcBorders>
              <w:bottom w:val="single" w:sz="4" w:space="0" w:color="auto"/>
            </w:tcBorders>
            <w:shd w:val="clear" w:color="auto" w:fill="BDD6EE" w:themeFill="accent1" w:themeFillTint="66"/>
            <w:noWrap/>
            <w:vAlign w:val="center"/>
          </w:tcPr>
          <w:p w:rsidR="0053166E" w:rsidRPr="00F61756" w:rsidRDefault="0053166E" w:rsidP="005732D3">
            <w:pPr>
              <w:spacing w:after="0" w:line="240" w:lineRule="auto"/>
              <w:jc w:val="both"/>
              <w:rPr>
                <w:rFonts w:asciiTheme="majorHAnsi" w:eastAsia="MS Mincho" w:hAnsiTheme="majorHAnsi" w:cstheme="majorHAnsi"/>
                <w:kern w:val="2"/>
                <w:sz w:val="20"/>
                <w:szCs w:val="20"/>
              </w:rPr>
            </w:pPr>
            <w:r w:rsidRPr="00F61756">
              <w:rPr>
                <w:rFonts w:asciiTheme="majorHAnsi" w:eastAsia="MS Mincho" w:hAnsiTheme="majorHAnsi" w:cstheme="majorHAnsi"/>
                <w:kern w:val="2"/>
                <w:sz w:val="20"/>
                <w:szCs w:val="20"/>
              </w:rPr>
              <w:t>TOTAL</w:t>
            </w:r>
          </w:p>
        </w:tc>
        <w:tc>
          <w:tcPr>
            <w:tcW w:w="425" w:type="pct"/>
            <w:tcBorders>
              <w:bottom w:val="single" w:sz="4" w:space="0" w:color="auto"/>
            </w:tcBorders>
            <w:shd w:val="clear" w:color="auto" w:fill="BDD6EE" w:themeFill="accent1" w:themeFillTint="66"/>
            <w:noWrap/>
            <w:vAlign w:val="center"/>
          </w:tcPr>
          <w:p w:rsidR="0053166E" w:rsidRPr="00F61756" w:rsidRDefault="0053166E" w:rsidP="005732D3">
            <w:pPr>
              <w:spacing w:after="0" w:line="240" w:lineRule="auto"/>
              <w:jc w:val="center"/>
              <w:rPr>
                <w:rFonts w:asciiTheme="majorHAnsi" w:hAnsiTheme="majorHAnsi" w:cstheme="majorHAnsi"/>
                <w:sz w:val="20"/>
                <w:szCs w:val="20"/>
                <w:lang w:val="en-US"/>
              </w:rPr>
            </w:pPr>
            <w:r w:rsidRPr="00F61756">
              <w:rPr>
                <w:rFonts w:asciiTheme="majorHAnsi" w:hAnsiTheme="majorHAnsi" w:cstheme="majorHAnsi"/>
                <w:sz w:val="20"/>
                <w:szCs w:val="20"/>
              </w:rPr>
              <w:t>327</w:t>
            </w:r>
          </w:p>
        </w:tc>
        <w:tc>
          <w:tcPr>
            <w:tcW w:w="534" w:type="pct"/>
            <w:tcBorders>
              <w:bottom w:val="single" w:sz="4" w:space="0" w:color="auto"/>
            </w:tcBorders>
            <w:shd w:val="clear" w:color="auto" w:fill="BDD6EE" w:themeFill="accent1" w:themeFillTint="66"/>
            <w:noWrap/>
            <w:vAlign w:val="center"/>
          </w:tcPr>
          <w:p w:rsidR="0053166E" w:rsidRPr="00F61756" w:rsidRDefault="0053166E" w:rsidP="005732D3">
            <w:pPr>
              <w:spacing w:after="0" w:line="240" w:lineRule="auto"/>
              <w:jc w:val="center"/>
              <w:rPr>
                <w:rFonts w:asciiTheme="majorHAnsi" w:hAnsiTheme="majorHAnsi" w:cstheme="majorHAnsi"/>
                <w:sz w:val="20"/>
                <w:szCs w:val="20"/>
              </w:rPr>
            </w:pPr>
            <w:r w:rsidRPr="00F61756">
              <w:rPr>
                <w:rFonts w:asciiTheme="majorHAnsi" w:hAnsiTheme="majorHAnsi" w:cstheme="majorHAnsi"/>
                <w:sz w:val="20"/>
                <w:szCs w:val="20"/>
              </w:rPr>
              <w:t>277</w:t>
            </w:r>
          </w:p>
        </w:tc>
        <w:tc>
          <w:tcPr>
            <w:tcW w:w="574" w:type="pct"/>
            <w:tcBorders>
              <w:bottom w:val="single" w:sz="4" w:space="0" w:color="auto"/>
            </w:tcBorders>
            <w:shd w:val="clear" w:color="auto" w:fill="BDD6EE" w:themeFill="accent1" w:themeFillTint="66"/>
            <w:noWrap/>
            <w:vAlign w:val="center"/>
          </w:tcPr>
          <w:p w:rsidR="0053166E" w:rsidRPr="00F61756" w:rsidRDefault="0053166E" w:rsidP="005732D3">
            <w:pPr>
              <w:spacing w:after="0" w:line="240" w:lineRule="auto"/>
              <w:jc w:val="center"/>
              <w:rPr>
                <w:rFonts w:asciiTheme="majorHAnsi" w:hAnsiTheme="majorHAnsi" w:cstheme="majorHAnsi"/>
                <w:sz w:val="20"/>
                <w:szCs w:val="20"/>
              </w:rPr>
            </w:pPr>
            <w:r w:rsidRPr="00F61756">
              <w:rPr>
                <w:rFonts w:asciiTheme="majorHAnsi" w:hAnsiTheme="majorHAnsi" w:cstheme="majorHAnsi"/>
                <w:sz w:val="20"/>
                <w:szCs w:val="20"/>
              </w:rPr>
              <w:t>18275,85</w:t>
            </w:r>
          </w:p>
        </w:tc>
        <w:tc>
          <w:tcPr>
            <w:tcW w:w="594" w:type="pct"/>
            <w:tcBorders>
              <w:bottom w:val="single" w:sz="4" w:space="0" w:color="auto"/>
            </w:tcBorders>
            <w:shd w:val="clear" w:color="auto" w:fill="BDD6EE" w:themeFill="accent1" w:themeFillTint="66"/>
            <w:noWrap/>
            <w:vAlign w:val="center"/>
          </w:tcPr>
          <w:p w:rsidR="0053166E" w:rsidRPr="00F61756" w:rsidRDefault="0053166E" w:rsidP="005732D3">
            <w:pPr>
              <w:spacing w:after="0" w:line="240" w:lineRule="auto"/>
              <w:jc w:val="center"/>
              <w:rPr>
                <w:rFonts w:asciiTheme="majorHAnsi" w:hAnsiTheme="majorHAnsi" w:cstheme="majorHAnsi"/>
                <w:sz w:val="20"/>
                <w:szCs w:val="20"/>
              </w:rPr>
            </w:pPr>
            <w:r w:rsidRPr="00F61756">
              <w:rPr>
                <w:rFonts w:asciiTheme="majorHAnsi" w:hAnsiTheme="majorHAnsi" w:cstheme="majorHAnsi"/>
                <w:sz w:val="20"/>
                <w:szCs w:val="20"/>
              </w:rPr>
              <w:t>18421,35</w:t>
            </w:r>
          </w:p>
        </w:tc>
        <w:tc>
          <w:tcPr>
            <w:tcW w:w="445" w:type="pct"/>
            <w:tcBorders>
              <w:bottom w:val="single" w:sz="4" w:space="0" w:color="auto"/>
            </w:tcBorders>
            <w:shd w:val="clear" w:color="auto" w:fill="BDD6EE" w:themeFill="accent1" w:themeFillTint="66"/>
            <w:noWrap/>
            <w:vAlign w:val="center"/>
          </w:tcPr>
          <w:p w:rsidR="0053166E" w:rsidRPr="00F61756" w:rsidRDefault="0053166E" w:rsidP="005732D3">
            <w:pPr>
              <w:spacing w:after="0" w:line="240" w:lineRule="auto"/>
              <w:jc w:val="center"/>
              <w:rPr>
                <w:rFonts w:asciiTheme="majorHAnsi" w:hAnsiTheme="majorHAnsi" w:cstheme="majorHAnsi"/>
                <w:sz w:val="20"/>
                <w:szCs w:val="20"/>
              </w:rPr>
            </w:pPr>
            <w:r w:rsidRPr="00F61756">
              <w:rPr>
                <w:rFonts w:asciiTheme="majorHAnsi" w:hAnsiTheme="majorHAnsi" w:cstheme="majorHAnsi"/>
                <w:sz w:val="20"/>
                <w:szCs w:val="20"/>
              </w:rPr>
              <w:t>283</w:t>
            </w:r>
          </w:p>
        </w:tc>
        <w:tc>
          <w:tcPr>
            <w:tcW w:w="520" w:type="pct"/>
            <w:tcBorders>
              <w:bottom w:val="single" w:sz="4" w:space="0" w:color="auto"/>
            </w:tcBorders>
            <w:shd w:val="clear" w:color="auto" w:fill="BDD6EE" w:themeFill="accent1" w:themeFillTint="66"/>
            <w:noWrap/>
            <w:vAlign w:val="center"/>
          </w:tcPr>
          <w:p w:rsidR="0053166E" w:rsidRPr="00F61756" w:rsidRDefault="0053166E" w:rsidP="005732D3">
            <w:pPr>
              <w:spacing w:after="0" w:line="240" w:lineRule="auto"/>
              <w:jc w:val="center"/>
              <w:rPr>
                <w:rFonts w:asciiTheme="majorHAnsi" w:hAnsiTheme="majorHAnsi" w:cstheme="majorHAnsi"/>
                <w:sz w:val="20"/>
                <w:szCs w:val="20"/>
              </w:rPr>
            </w:pPr>
            <w:r w:rsidRPr="00F61756">
              <w:rPr>
                <w:rFonts w:asciiTheme="majorHAnsi" w:hAnsiTheme="majorHAnsi" w:cstheme="majorHAnsi"/>
                <w:sz w:val="20"/>
                <w:szCs w:val="20"/>
              </w:rPr>
              <w:t>144</w:t>
            </w:r>
          </w:p>
        </w:tc>
        <w:tc>
          <w:tcPr>
            <w:tcW w:w="370" w:type="pct"/>
            <w:tcBorders>
              <w:bottom w:val="single" w:sz="4" w:space="0" w:color="auto"/>
            </w:tcBorders>
            <w:shd w:val="clear" w:color="auto" w:fill="BDD6EE" w:themeFill="accent1" w:themeFillTint="66"/>
            <w:noWrap/>
            <w:vAlign w:val="center"/>
          </w:tcPr>
          <w:p w:rsidR="0053166E" w:rsidRPr="00F61756" w:rsidRDefault="0053166E" w:rsidP="005732D3">
            <w:pPr>
              <w:spacing w:after="0" w:line="240" w:lineRule="auto"/>
              <w:jc w:val="center"/>
              <w:rPr>
                <w:rFonts w:asciiTheme="majorHAnsi" w:hAnsiTheme="majorHAnsi" w:cstheme="majorHAnsi"/>
                <w:sz w:val="20"/>
                <w:szCs w:val="20"/>
              </w:rPr>
            </w:pPr>
            <w:r w:rsidRPr="00F61756">
              <w:rPr>
                <w:rFonts w:asciiTheme="majorHAnsi" w:hAnsiTheme="majorHAnsi" w:cstheme="majorHAnsi"/>
                <w:sz w:val="20"/>
                <w:szCs w:val="20"/>
              </w:rPr>
              <w:t>247</w:t>
            </w:r>
          </w:p>
        </w:tc>
        <w:tc>
          <w:tcPr>
            <w:tcW w:w="475" w:type="pct"/>
            <w:tcBorders>
              <w:bottom w:val="single" w:sz="4" w:space="0" w:color="auto"/>
            </w:tcBorders>
            <w:shd w:val="clear" w:color="auto" w:fill="BDD6EE" w:themeFill="accent1" w:themeFillTint="66"/>
            <w:noWrap/>
            <w:vAlign w:val="center"/>
          </w:tcPr>
          <w:p w:rsidR="0053166E" w:rsidRPr="00F61756" w:rsidRDefault="0053166E" w:rsidP="005732D3">
            <w:pPr>
              <w:spacing w:after="0" w:line="240" w:lineRule="auto"/>
              <w:jc w:val="center"/>
              <w:rPr>
                <w:rFonts w:asciiTheme="majorHAnsi" w:hAnsiTheme="majorHAnsi" w:cstheme="majorHAnsi"/>
                <w:sz w:val="20"/>
                <w:szCs w:val="20"/>
              </w:rPr>
            </w:pPr>
            <w:r w:rsidRPr="00F61756">
              <w:rPr>
                <w:rFonts w:asciiTheme="majorHAnsi" w:hAnsiTheme="majorHAnsi" w:cstheme="majorHAnsi"/>
                <w:sz w:val="20"/>
                <w:szCs w:val="20"/>
              </w:rPr>
              <w:t>123</w:t>
            </w:r>
          </w:p>
        </w:tc>
      </w:tr>
      <w:tr w:rsidR="008A2600" w:rsidRPr="00F61756" w:rsidTr="003F3D5F">
        <w:trPr>
          <w:trHeight w:val="124"/>
        </w:trPr>
        <w:tc>
          <w:tcPr>
            <w:tcW w:w="5000" w:type="pct"/>
            <w:gridSpan w:val="9"/>
            <w:tcBorders>
              <w:top w:val="single" w:sz="4" w:space="0" w:color="auto"/>
              <w:left w:val="nil"/>
              <w:bottom w:val="nil"/>
              <w:right w:val="nil"/>
            </w:tcBorders>
            <w:shd w:val="clear" w:color="auto" w:fill="auto"/>
            <w:noWrap/>
            <w:vAlign w:val="center"/>
          </w:tcPr>
          <w:p w:rsidR="008A2600" w:rsidRPr="00F61756" w:rsidRDefault="008A2600" w:rsidP="005732D3">
            <w:pPr>
              <w:spacing w:after="0" w:line="240" w:lineRule="auto"/>
              <w:jc w:val="both"/>
              <w:rPr>
                <w:rFonts w:asciiTheme="majorHAnsi" w:hAnsiTheme="majorHAnsi" w:cstheme="majorHAnsi"/>
                <w:i/>
                <w:sz w:val="20"/>
                <w:szCs w:val="20"/>
              </w:rPr>
            </w:pPr>
            <w:r w:rsidRPr="00F61756">
              <w:rPr>
                <w:rFonts w:asciiTheme="majorHAnsi" w:eastAsia="Times New Roman" w:hAnsiTheme="majorHAnsi" w:cstheme="majorHAnsi"/>
                <w:i/>
                <w:sz w:val="20"/>
                <w:szCs w:val="20"/>
                <w:lang w:bidi="he-IL"/>
              </w:rPr>
              <w:t xml:space="preserve">Sursă: </w:t>
            </w:r>
            <w:r w:rsidRPr="00F61756">
              <w:rPr>
                <w:rFonts w:asciiTheme="majorHAnsi" w:eastAsia="Times New Roman" w:hAnsiTheme="majorHAnsi" w:cstheme="majorHAnsi"/>
                <w:b w:val="0"/>
                <w:bCs w:val="0"/>
                <w:i/>
                <w:sz w:val="20"/>
                <w:szCs w:val="20"/>
                <w:lang w:bidi="he-IL"/>
              </w:rPr>
              <w:t>tabel elaborat</w:t>
            </w:r>
            <w:r w:rsidRPr="00F61756">
              <w:rPr>
                <w:rFonts w:asciiTheme="majorHAnsi" w:eastAsia="Times New Roman" w:hAnsiTheme="majorHAnsi" w:cstheme="majorHAnsi"/>
                <w:b w:val="0"/>
                <w:bCs w:val="0"/>
                <w:sz w:val="20"/>
                <w:szCs w:val="20"/>
                <w:lang w:bidi="he-IL"/>
              </w:rPr>
              <w:t xml:space="preserve"> </w:t>
            </w:r>
            <w:r w:rsidRPr="00F61756">
              <w:rPr>
                <w:rFonts w:asciiTheme="majorHAnsi" w:eastAsia="Times New Roman" w:hAnsiTheme="majorHAnsi" w:cstheme="majorHAnsi"/>
                <w:b w:val="0"/>
                <w:bCs w:val="0"/>
                <w:i/>
                <w:sz w:val="20"/>
                <w:szCs w:val="20"/>
                <w:lang w:bidi="he-IL"/>
              </w:rPr>
              <w:t>de audit în baza informații</w:t>
            </w:r>
            <w:r w:rsidR="0028071C" w:rsidRPr="00F61756">
              <w:rPr>
                <w:rFonts w:asciiTheme="majorHAnsi" w:eastAsia="Times New Roman" w:hAnsiTheme="majorHAnsi" w:cstheme="majorHAnsi"/>
                <w:b w:val="0"/>
                <w:bCs w:val="0"/>
                <w:i/>
                <w:sz w:val="20"/>
                <w:szCs w:val="20"/>
                <w:lang w:bidi="he-IL"/>
              </w:rPr>
              <w:t>lor</w:t>
            </w:r>
            <w:r w:rsidRPr="00F61756">
              <w:rPr>
                <w:rFonts w:asciiTheme="majorHAnsi" w:eastAsia="Times New Roman" w:hAnsiTheme="majorHAnsi" w:cstheme="majorHAnsi"/>
                <w:b w:val="0"/>
                <w:bCs w:val="0"/>
                <w:i/>
                <w:sz w:val="20"/>
                <w:szCs w:val="20"/>
                <w:lang w:bidi="he-IL"/>
              </w:rPr>
              <w:t xml:space="preserve"> prezentate de MEC</w:t>
            </w:r>
            <w:r w:rsidR="0028071C" w:rsidRPr="00F61756">
              <w:rPr>
                <w:rFonts w:asciiTheme="majorHAnsi" w:eastAsia="Times New Roman" w:hAnsiTheme="majorHAnsi" w:cstheme="majorHAnsi"/>
                <w:b w:val="0"/>
                <w:bCs w:val="0"/>
                <w:i/>
                <w:sz w:val="20"/>
                <w:szCs w:val="20"/>
                <w:lang w:bidi="he-IL"/>
              </w:rPr>
              <w:t>.</w:t>
            </w:r>
          </w:p>
        </w:tc>
      </w:tr>
    </w:tbl>
    <w:p w:rsidR="0053166E" w:rsidRPr="008376FC" w:rsidRDefault="0053166E" w:rsidP="00F61756">
      <w:pPr>
        <w:shd w:val="clear" w:color="auto" w:fill="FFFFFF"/>
        <w:spacing w:after="0" w:line="276" w:lineRule="auto"/>
        <w:ind w:firstLine="540"/>
        <w:jc w:val="both"/>
        <w:rPr>
          <w:rFonts w:asciiTheme="majorHAnsi" w:eastAsia="Times New Roman" w:hAnsiTheme="majorHAnsi" w:cstheme="majorHAnsi"/>
          <w:b w:val="0"/>
          <w:bCs w:val="0"/>
          <w:sz w:val="24"/>
          <w:szCs w:val="24"/>
          <w:lang w:bidi="he-IL"/>
        </w:rPr>
      </w:pPr>
    </w:p>
    <w:p w:rsidR="00B67CEF" w:rsidRPr="008376FC" w:rsidRDefault="0053166E" w:rsidP="00F61756">
      <w:pPr>
        <w:shd w:val="clear" w:color="auto" w:fill="FFFFFF"/>
        <w:spacing w:before="120" w:after="120" w:line="276" w:lineRule="auto"/>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bCs w:val="0"/>
          <w:sz w:val="24"/>
          <w:szCs w:val="24"/>
          <w:lang w:bidi="he-IL"/>
        </w:rPr>
        <w:t>Astfel, în perioada analizată</w:t>
      </w:r>
      <w:r w:rsidR="0028071C">
        <w:rPr>
          <w:rFonts w:asciiTheme="majorHAnsi" w:eastAsia="Times New Roman" w:hAnsiTheme="majorHAnsi" w:cstheme="majorHAnsi"/>
          <w:b w:val="0"/>
          <w:bCs w:val="0"/>
          <w:sz w:val="24"/>
          <w:szCs w:val="24"/>
          <w:lang w:bidi="he-IL"/>
        </w:rPr>
        <w:t>,</w:t>
      </w:r>
      <w:r w:rsidRPr="008376FC">
        <w:rPr>
          <w:rFonts w:asciiTheme="majorHAnsi" w:eastAsia="Times New Roman" w:hAnsiTheme="majorHAnsi" w:cstheme="majorHAnsi"/>
          <w:b w:val="0"/>
          <w:bCs w:val="0"/>
          <w:sz w:val="24"/>
          <w:szCs w:val="24"/>
          <w:lang w:bidi="he-IL"/>
        </w:rPr>
        <w:t xml:space="preserve"> </w:t>
      </w:r>
      <w:r w:rsidR="0028071C">
        <w:rPr>
          <w:rFonts w:asciiTheme="majorHAnsi" w:eastAsia="Times New Roman" w:hAnsiTheme="majorHAnsi" w:cstheme="majorHAnsi"/>
          <w:b w:val="0"/>
          <w:bCs w:val="0"/>
          <w:sz w:val="24"/>
          <w:szCs w:val="24"/>
          <w:lang w:bidi="he-IL"/>
        </w:rPr>
        <w:t>la cele</w:t>
      </w:r>
      <w:r w:rsidRPr="008376FC">
        <w:rPr>
          <w:rFonts w:asciiTheme="majorHAnsi" w:eastAsia="Times New Roman" w:hAnsiTheme="majorHAnsi" w:cstheme="majorHAnsi"/>
          <w:b w:val="0"/>
          <w:bCs w:val="0"/>
          <w:sz w:val="24"/>
          <w:szCs w:val="24"/>
          <w:lang w:bidi="he-IL"/>
        </w:rPr>
        <w:t xml:space="preserve"> 604 locuri planificate la buget şi contract</w:t>
      </w:r>
      <w:r w:rsidR="0028071C">
        <w:rPr>
          <w:rFonts w:asciiTheme="majorHAnsi" w:eastAsia="Times New Roman" w:hAnsiTheme="majorHAnsi" w:cstheme="majorHAnsi"/>
          <w:b w:val="0"/>
          <w:bCs w:val="0"/>
          <w:sz w:val="24"/>
          <w:szCs w:val="24"/>
          <w:lang w:bidi="he-IL"/>
        </w:rPr>
        <w:t>,</w:t>
      </w:r>
      <w:r w:rsidRPr="008376FC">
        <w:rPr>
          <w:rFonts w:asciiTheme="majorHAnsi" w:eastAsia="Times New Roman" w:hAnsiTheme="majorHAnsi" w:cstheme="majorHAnsi"/>
          <w:b w:val="0"/>
          <w:bCs w:val="0"/>
          <w:sz w:val="24"/>
          <w:szCs w:val="24"/>
          <w:lang w:bidi="he-IL"/>
        </w:rPr>
        <w:t xml:space="preserve"> au fost înmatriculați doar 427 </w:t>
      </w:r>
      <w:r w:rsidR="0028071C">
        <w:rPr>
          <w:rFonts w:asciiTheme="majorHAnsi" w:eastAsia="Times New Roman" w:hAnsiTheme="majorHAnsi" w:cstheme="majorHAnsi"/>
          <w:b w:val="0"/>
          <w:bCs w:val="0"/>
          <w:sz w:val="24"/>
          <w:szCs w:val="24"/>
          <w:lang w:bidi="he-IL"/>
        </w:rPr>
        <w:t xml:space="preserve">de </w:t>
      </w:r>
      <w:r w:rsidRPr="008376FC">
        <w:rPr>
          <w:rFonts w:asciiTheme="majorHAnsi" w:eastAsia="Times New Roman" w:hAnsiTheme="majorHAnsi" w:cstheme="majorHAnsi"/>
          <w:b w:val="0"/>
          <w:bCs w:val="0"/>
          <w:sz w:val="24"/>
          <w:szCs w:val="24"/>
          <w:lang w:bidi="he-IL"/>
        </w:rPr>
        <w:t xml:space="preserve">elevi, studenți şi masteranzi, sau 70,7%, şi au absolvit doar 370 </w:t>
      </w:r>
      <w:r w:rsidR="0028071C">
        <w:rPr>
          <w:rFonts w:asciiTheme="majorHAnsi" w:eastAsia="Times New Roman" w:hAnsiTheme="majorHAnsi" w:cstheme="majorHAnsi"/>
          <w:b w:val="0"/>
          <w:bCs w:val="0"/>
          <w:sz w:val="24"/>
          <w:szCs w:val="24"/>
          <w:lang w:bidi="he-IL"/>
        </w:rPr>
        <w:t xml:space="preserve">de </w:t>
      </w:r>
      <w:r w:rsidRPr="008376FC">
        <w:rPr>
          <w:rFonts w:asciiTheme="majorHAnsi" w:eastAsia="Times New Roman" w:hAnsiTheme="majorHAnsi" w:cstheme="majorHAnsi"/>
          <w:b w:val="0"/>
          <w:bCs w:val="0"/>
          <w:sz w:val="24"/>
          <w:szCs w:val="24"/>
          <w:lang w:bidi="he-IL"/>
        </w:rPr>
        <w:t xml:space="preserve">elevi, studenți şi masteranzi, sau 61,3% faţă de înmatricularea planificată, şi 86,7% faţă de </w:t>
      </w:r>
      <w:r w:rsidR="00BE57DD">
        <w:rPr>
          <w:rFonts w:asciiTheme="majorHAnsi" w:eastAsia="Times New Roman" w:hAnsiTheme="majorHAnsi" w:cstheme="majorHAnsi"/>
          <w:b w:val="0"/>
          <w:bCs w:val="0"/>
          <w:sz w:val="24"/>
          <w:szCs w:val="24"/>
          <w:lang w:bidi="he-IL"/>
        </w:rPr>
        <w:t xml:space="preserve">numărul </w:t>
      </w:r>
      <w:r w:rsidRPr="008376FC">
        <w:rPr>
          <w:rFonts w:asciiTheme="majorHAnsi" w:eastAsia="Times New Roman" w:hAnsiTheme="majorHAnsi" w:cstheme="majorHAnsi"/>
          <w:b w:val="0"/>
          <w:bCs w:val="0"/>
          <w:sz w:val="24"/>
          <w:szCs w:val="24"/>
          <w:lang w:bidi="he-IL"/>
        </w:rPr>
        <w:t xml:space="preserve">real înmatriculaţi la studii, deşi valorificarea alocaţiilor bugetare a fost la nivel de </w:t>
      </w:r>
      <w:r w:rsidR="000056B2" w:rsidRPr="008376FC">
        <w:rPr>
          <w:rFonts w:asciiTheme="majorHAnsi" w:eastAsia="Times New Roman" w:hAnsiTheme="majorHAnsi" w:cstheme="majorHAnsi"/>
          <w:b w:val="0"/>
          <w:bCs w:val="0"/>
          <w:sz w:val="24"/>
          <w:szCs w:val="24"/>
          <w:lang w:bidi="he-IL"/>
        </w:rPr>
        <w:t>100,8%.</w:t>
      </w:r>
      <w:r w:rsidRPr="008376FC">
        <w:rPr>
          <w:rFonts w:asciiTheme="majorHAnsi" w:eastAsia="Times New Roman" w:hAnsiTheme="majorHAnsi" w:cstheme="majorHAnsi"/>
          <w:b w:val="0"/>
          <w:bCs w:val="0"/>
          <w:sz w:val="24"/>
          <w:szCs w:val="24"/>
          <w:lang w:bidi="he-IL"/>
        </w:rPr>
        <w:t xml:space="preserve"> Cea mai precară situaţie în ceea ce priveşte formarea specialiştilor se atestă în cadrul studiilor superioare de licenţă</w:t>
      </w:r>
      <w:r w:rsidR="0028071C">
        <w:rPr>
          <w:rFonts w:asciiTheme="majorHAnsi" w:eastAsia="Times New Roman" w:hAnsiTheme="majorHAnsi" w:cstheme="majorHAnsi"/>
          <w:b w:val="0"/>
          <w:bCs w:val="0"/>
          <w:sz w:val="24"/>
          <w:szCs w:val="24"/>
          <w:lang w:bidi="he-IL"/>
        </w:rPr>
        <w:t>,</w:t>
      </w:r>
      <w:r w:rsidRPr="008376FC">
        <w:rPr>
          <w:rFonts w:asciiTheme="majorHAnsi" w:eastAsia="Times New Roman" w:hAnsiTheme="majorHAnsi" w:cstheme="majorHAnsi"/>
          <w:b w:val="0"/>
          <w:bCs w:val="0"/>
          <w:sz w:val="24"/>
          <w:szCs w:val="24"/>
          <w:lang w:bidi="he-IL"/>
        </w:rPr>
        <w:t xml:space="preserve"> unde din 103 locuri cu finanţare din buget</w:t>
      </w:r>
      <w:r w:rsidR="00BE57DD">
        <w:rPr>
          <w:rFonts w:asciiTheme="majorHAnsi" w:eastAsia="Times New Roman" w:hAnsiTheme="majorHAnsi" w:cstheme="majorHAnsi"/>
          <w:b w:val="0"/>
          <w:bCs w:val="0"/>
          <w:sz w:val="24"/>
          <w:szCs w:val="24"/>
          <w:lang w:bidi="he-IL"/>
        </w:rPr>
        <w:t>,</w:t>
      </w:r>
      <w:r w:rsidRPr="008376FC">
        <w:rPr>
          <w:rFonts w:asciiTheme="majorHAnsi" w:eastAsia="Times New Roman" w:hAnsiTheme="majorHAnsi" w:cstheme="majorHAnsi"/>
          <w:b w:val="0"/>
          <w:bCs w:val="0"/>
          <w:sz w:val="24"/>
          <w:szCs w:val="24"/>
          <w:lang w:bidi="he-IL"/>
        </w:rPr>
        <w:t xml:space="preserve"> au fost înmatriculaţi doar 59 </w:t>
      </w:r>
      <w:r w:rsidR="0028071C">
        <w:rPr>
          <w:rFonts w:asciiTheme="majorHAnsi" w:eastAsia="Times New Roman" w:hAnsiTheme="majorHAnsi" w:cstheme="majorHAnsi"/>
          <w:b w:val="0"/>
          <w:bCs w:val="0"/>
          <w:sz w:val="24"/>
          <w:szCs w:val="24"/>
          <w:lang w:bidi="he-IL"/>
        </w:rPr>
        <w:t xml:space="preserve">de </w:t>
      </w:r>
      <w:r w:rsidRPr="008376FC">
        <w:rPr>
          <w:rFonts w:asciiTheme="majorHAnsi" w:eastAsia="Times New Roman" w:hAnsiTheme="majorHAnsi" w:cstheme="majorHAnsi"/>
          <w:b w:val="0"/>
          <w:bCs w:val="0"/>
          <w:sz w:val="24"/>
          <w:szCs w:val="24"/>
          <w:lang w:bidi="he-IL"/>
        </w:rPr>
        <w:t>studenţi</w:t>
      </w:r>
      <w:r w:rsidR="0028071C">
        <w:rPr>
          <w:rFonts w:asciiTheme="majorHAnsi" w:eastAsia="Times New Roman" w:hAnsiTheme="majorHAnsi" w:cstheme="majorHAnsi"/>
          <w:b w:val="0"/>
          <w:bCs w:val="0"/>
          <w:sz w:val="24"/>
          <w:szCs w:val="24"/>
          <w:lang w:bidi="he-IL"/>
        </w:rPr>
        <w:t>,</w:t>
      </w:r>
      <w:r w:rsidRPr="008376FC">
        <w:rPr>
          <w:rFonts w:asciiTheme="majorHAnsi" w:eastAsia="Times New Roman" w:hAnsiTheme="majorHAnsi" w:cstheme="majorHAnsi"/>
          <w:b w:val="0"/>
          <w:bCs w:val="0"/>
          <w:sz w:val="24"/>
          <w:szCs w:val="24"/>
          <w:lang w:bidi="he-IL"/>
        </w:rPr>
        <w:t xml:space="preserve"> sau 57,3%</w:t>
      </w:r>
      <w:r w:rsidR="00BE57DD">
        <w:rPr>
          <w:rFonts w:asciiTheme="majorHAnsi" w:eastAsia="Times New Roman" w:hAnsiTheme="majorHAnsi" w:cstheme="majorHAnsi"/>
          <w:b w:val="0"/>
          <w:bCs w:val="0"/>
          <w:sz w:val="24"/>
          <w:szCs w:val="24"/>
          <w:lang w:bidi="he-IL"/>
        </w:rPr>
        <w:t>,</w:t>
      </w:r>
      <w:r w:rsidRPr="008376FC">
        <w:rPr>
          <w:rFonts w:asciiTheme="majorHAnsi" w:eastAsia="Times New Roman" w:hAnsiTheme="majorHAnsi" w:cstheme="majorHAnsi"/>
          <w:b w:val="0"/>
          <w:bCs w:val="0"/>
          <w:sz w:val="24"/>
          <w:szCs w:val="24"/>
          <w:lang w:bidi="he-IL"/>
        </w:rPr>
        <w:t xml:space="preserve"> şi au absolvit doar 52 de studenţi, respectiv 88,1% din cei înmatriculaţi, </w:t>
      </w:r>
      <w:r w:rsidR="00BE57DD">
        <w:rPr>
          <w:rFonts w:asciiTheme="majorHAnsi" w:eastAsia="Times New Roman" w:hAnsiTheme="majorHAnsi" w:cstheme="majorHAnsi"/>
          <w:b w:val="0"/>
          <w:bCs w:val="0"/>
          <w:sz w:val="24"/>
          <w:szCs w:val="24"/>
          <w:lang w:bidi="he-IL"/>
        </w:rPr>
        <w:t xml:space="preserve">sau </w:t>
      </w:r>
      <w:r w:rsidRPr="008376FC">
        <w:rPr>
          <w:rFonts w:asciiTheme="majorHAnsi" w:eastAsia="MS Mincho" w:hAnsiTheme="majorHAnsi" w:cstheme="majorHAnsi"/>
          <w:b w:val="0"/>
          <w:bCs w:val="0"/>
          <w:kern w:val="2"/>
          <w:sz w:val="24"/>
          <w:szCs w:val="24"/>
        </w:rPr>
        <w:t xml:space="preserve">cca </w:t>
      </w:r>
      <w:r w:rsidRPr="008376FC">
        <w:rPr>
          <w:rFonts w:asciiTheme="majorHAnsi" w:eastAsia="MS Mincho" w:hAnsiTheme="majorHAnsi" w:cstheme="majorHAnsi"/>
          <w:b w:val="0"/>
          <w:bCs w:val="0"/>
          <w:iCs/>
          <w:kern w:val="2"/>
          <w:sz w:val="24"/>
          <w:szCs w:val="24"/>
        </w:rPr>
        <w:t xml:space="preserve">6 specialişti absolvenţi pe an </w:t>
      </w:r>
      <w:r w:rsidRPr="008376FC">
        <w:rPr>
          <w:rFonts w:asciiTheme="majorHAnsi" w:eastAsia="MS Mincho" w:hAnsiTheme="majorHAnsi" w:cstheme="majorHAnsi"/>
          <w:b w:val="0"/>
          <w:bCs w:val="0"/>
          <w:kern w:val="2"/>
          <w:sz w:val="24"/>
          <w:szCs w:val="24"/>
        </w:rPr>
        <w:t>pentru locurile cu finanţare de la buget</w:t>
      </w:r>
      <w:r w:rsidRPr="008376FC">
        <w:rPr>
          <w:rFonts w:asciiTheme="majorHAnsi" w:eastAsia="Times New Roman" w:hAnsiTheme="majorHAnsi" w:cstheme="majorHAnsi"/>
          <w:b w:val="0"/>
          <w:bCs w:val="0"/>
          <w:sz w:val="24"/>
          <w:szCs w:val="24"/>
          <w:lang w:bidi="he-IL"/>
        </w:rPr>
        <w:t>.</w:t>
      </w:r>
    </w:p>
    <w:p w:rsidR="00B67CEF" w:rsidRPr="008376FC" w:rsidRDefault="0053166E" w:rsidP="00F61756">
      <w:pPr>
        <w:shd w:val="clear" w:color="auto" w:fill="FFFFFF"/>
        <w:spacing w:before="120" w:after="120" w:line="276" w:lineRule="auto"/>
        <w:jc w:val="both"/>
        <w:rPr>
          <w:rFonts w:asciiTheme="majorHAnsi" w:eastAsia="MS Mincho" w:hAnsiTheme="majorHAnsi" w:cstheme="majorHAnsi"/>
          <w:b w:val="0"/>
          <w:bCs w:val="0"/>
          <w:kern w:val="2"/>
          <w:sz w:val="24"/>
          <w:szCs w:val="24"/>
        </w:rPr>
      </w:pPr>
      <w:r w:rsidRPr="008376FC">
        <w:rPr>
          <w:rFonts w:asciiTheme="majorHAnsi" w:eastAsia="Times New Roman" w:hAnsiTheme="majorHAnsi" w:cstheme="majorHAnsi"/>
          <w:b w:val="0"/>
          <w:bCs w:val="0"/>
          <w:sz w:val="24"/>
          <w:szCs w:val="24"/>
          <w:lang w:bidi="he-IL"/>
        </w:rPr>
        <w:t xml:space="preserve"> O situaţie mai bună se atestă în învăţamântul </w:t>
      </w:r>
      <w:r w:rsidRPr="008376FC">
        <w:rPr>
          <w:rFonts w:asciiTheme="majorHAnsi" w:eastAsia="MS Mincho" w:hAnsiTheme="majorHAnsi" w:cstheme="majorHAnsi"/>
          <w:b w:val="0"/>
          <w:bCs w:val="0"/>
          <w:kern w:val="2"/>
          <w:sz w:val="24"/>
          <w:szCs w:val="24"/>
        </w:rPr>
        <w:t>profesional tehnic, unde la toate locurile cu finanţare bugetară au fost înmatriculaţi</w:t>
      </w:r>
      <w:r w:rsidR="00BE57DD">
        <w:rPr>
          <w:rFonts w:asciiTheme="majorHAnsi" w:eastAsia="MS Mincho" w:hAnsiTheme="majorHAnsi" w:cstheme="majorHAnsi"/>
          <w:b w:val="0"/>
          <w:bCs w:val="0"/>
          <w:kern w:val="2"/>
          <w:sz w:val="24"/>
          <w:szCs w:val="24"/>
        </w:rPr>
        <w:t>:</w:t>
      </w:r>
      <w:r w:rsidRPr="008376FC">
        <w:rPr>
          <w:rFonts w:asciiTheme="majorHAnsi" w:eastAsia="MS Mincho" w:hAnsiTheme="majorHAnsi" w:cstheme="majorHAnsi"/>
          <w:b w:val="0"/>
          <w:bCs w:val="0"/>
          <w:kern w:val="2"/>
          <w:sz w:val="24"/>
          <w:szCs w:val="24"/>
        </w:rPr>
        <w:t xml:space="preserve"> elevi  - 171, numărul absolvenţilor fiind de 142</w:t>
      </w:r>
      <w:r w:rsidR="00BE57DD">
        <w:rPr>
          <w:rFonts w:asciiTheme="majorHAnsi" w:eastAsia="MS Mincho" w:hAnsiTheme="majorHAnsi" w:cstheme="majorHAnsi"/>
          <w:b w:val="0"/>
          <w:bCs w:val="0"/>
          <w:kern w:val="2"/>
          <w:sz w:val="24"/>
          <w:szCs w:val="24"/>
        </w:rPr>
        <w:t>,</w:t>
      </w:r>
      <w:r w:rsidRPr="008376FC">
        <w:rPr>
          <w:rFonts w:asciiTheme="majorHAnsi" w:eastAsia="MS Mincho" w:hAnsiTheme="majorHAnsi" w:cstheme="majorHAnsi"/>
          <w:b w:val="0"/>
          <w:bCs w:val="0"/>
          <w:kern w:val="2"/>
          <w:sz w:val="24"/>
          <w:szCs w:val="24"/>
        </w:rPr>
        <w:t xml:space="preserve"> sau 83,0% din elevii înmatriculaţi, respectiv</w:t>
      </w:r>
      <w:r w:rsidR="00BE57DD">
        <w:rPr>
          <w:rFonts w:asciiTheme="majorHAnsi" w:eastAsia="MS Mincho" w:hAnsiTheme="majorHAnsi" w:cstheme="majorHAnsi"/>
          <w:b w:val="0"/>
          <w:bCs w:val="0"/>
          <w:kern w:val="2"/>
          <w:sz w:val="24"/>
          <w:szCs w:val="24"/>
        </w:rPr>
        <w:t>,</w:t>
      </w:r>
      <w:r w:rsidRPr="008376FC">
        <w:rPr>
          <w:rFonts w:asciiTheme="majorHAnsi" w:eastAsia="MS Mincho" w:hAnsiTheme="majorHAnsi" w:cstheme="majorHAnsi"/>
          <w:b w:val="0"/>
          <w:bCs w:val="0"/>
          <w:kern w:val="2"/>
          <w:sz w:val="24"/>
          <w:szCs w:val="24"/>
        </w:rPr>
        <w:t xml:space="preserve"> cca </w:t>
      </w:r>
      <w:r w:rsidRPr="008376FC">
        <w:rPr>
          <w:rFonts w:asciiTheme="majorHAnsi" w:eastAsia="MS Mincho" w:hAnsiTheme="majorHAnsi" w:cstheme="majorHAnsi"/>
          <w:b w:val="0"/>
          <w:bCs w:val="0"/>
          <w:iCs/>
          <w:kern w:val="2"/>
          <w:sz w:val="24"/>
          <w:szCs w:val="24"/>
        </w:rPr>
        <w:t xml:space="preserve">16 specialişti absolvenţi pe </w:t>
      </w:r>
      <w:r w:rsidRPr="008376FC">
        <w:rPr>
          <w:rFonts w:asciiTheme="majorHAnsi" w:eastAsia="MS Mincho" w:hAnsiTheme="majorHAnsi" w:cstheme="majorHAnsi"/>
          <w:b w:val="0"/>
          <w:bCs w:val="0"/>
          <w:kern w:val="2"/>
          <w:sz w:val="24"/>
          <w:szCs w:val="24"/>
        </w:rPr>
        <w:t>an pentru locurile cu finanţare de la buget.</w:t>
      </w:r>
      <w:r w:rsidR="005E163F" w:rsidRPr="008376FC">
        <w:rPr>
          <w:rFonts w:asciiTheme="majorHAnsi" w:eastAsia="MS Mincho" w:hAnsiTheme="majorHAnsi" w:cstheme="majorHAnsi"/>
          <w:b w:val="0"/>
          <w:bCs w:val="0"/>
          <w:kern w:val="2"/>
          <w:sz w:val="24"/>
          <w:szCs w:val="24"/>
        </w:rPr>
        <w:t xml:space="preserve"> Sinteza se prezintă în tabelul de mai jos.</w:t>
      </w:r>
    </w:p>
    <w:tbl>
      <w:tblPr>
        <w:tblStyle w:val="af2"/>
        <w:tblW w:w="5000" w:type="pct"/>
        <w:tblLook w:val="04A0" w:firstRow="1" w:lastRow="0" w:firstColumn="1" w:lastColumn="0" w:noHBand="0" w:noVBand="1"/>
      </w:tblPr>
      <w:tblGrid>
        <w:gridCol w:w="689"/>
        <w:gridCol w:w="935"/>
        <w:gridCol w:w="1042"/>
        <w:gridCol w:w="885"/>
        <w:gridCol w:w="823"/>
        <w:gridCol w:w="978"/>
        <w:gridCol w:w="779"/>
        <w:gridCol w:w="746"/>
        <w:gridCol w:w="978"/>
        <w:gridCol w:w="936"/>
        <w:gridCol w:w="897"/>
      </w:tblGrid>
      <w:tr w:rsidR="008A2600" w:rsidRPr="008376FC" w:rsidTr="00B67CEF">
        <w:tc>
          <w:tcPr>
            <w:tcW w:w="5000" w:type="pct"/>
            <w:gridSpan w:val="11"/>
            <w:tcBorders>
              <w:top w:val="nil"/>
              <w:left w:val="nil"/>
              <w:bottom w:val="single" w:sz="4" w:space="0" w:color="auto"/>
              <w:right w:val="nil"/>
            </w:tcBorders>
            <w:vAlign w:val="center"/>
          </w:tcPr>
          <w:p w:rsidR="005E163F" w:rsidRPr="008376FC" w:rsidRDefault="00B67CEF" w:rsidP="00F61756">
            <w:pPr>
              <w:shd w:val="clear" w:color="auto" w:fill="FFFFFF"/>
              <w:spacing w:line="276" w:lineRule="auto"/>
              <w:jc w:val="right"/>
              <w:rPr>
                <w:rFonts w:asciiTheme="majorHAnsi" w:eastAsia="Times New Roman" w:hAnsiTheme="majorHAnsi" w:cstheme="majorHAnsi"/>
                <w:sz w:val="20"/>
                <w:szCs w:val="20"/>
                <w:lang w:bidi="he-IL"/>
              </w:rPr>
            </w:pPr>
            <w:r w:rsidRPr="008376FC">
              <w:rPr>
                <w:rFonts w:asciiTheme="majorHAnsi" w:eastAsia="Times New Roman" w:hAnsiTheme="majorHAnsi" w:cstheme="majorHAnsi"/>
                <w:sz w:val="20"/>
                <w:szCs w:val="20"/>
                <w:lang w:bidi="he-IL"/>
              </w:rPr>
              <w:t xml:space="preserve">Tabelul nr. </w:t>
            </w:r>
            <w:r w:rsidR="00D13901" w:rsidRPr="008376FC">
              <w:rPr>
                <w:rFonts w:asciiTheme="majorHAnsi" w:eastAsia="Times New Roman" w:hAnsiTheme="majorHAnsi" w:cstheme="majorHAnsi"/>
                <w:sz w:val="20"/>
                <w:szCs w:val="20"/>
                <w:lang w:bidi="he-IL"/>
              </w:rPr>
              <w:t>4</w:t>
            </w:r>
            <w:r w:rsidRPr="008376FC">
              <w:rPr>
                <w:rFonts w:asciiTheme="majorHAnsi" w:eastAsia="Times New Roman" w:hAnsiTheme="majorHAnsi" w:cstheme="majorHAnsi"/>
                <w:sz w:val="20"/>
                <w:szCs w:val="20"/>
                <w:lang w:bidi="he-IL"/>
              </w:rPr>
              <w:t xml:space="preserve"> </w:t>
            </w:r>
          </w:p>
          <w:p w:rsidR="008A2600" w:rsidRPr="008376FC" w:rsidRDefault="008A2600" w:rsidP="00F61756">
            <w:pPr>
              <w:shd w:val="clear" w:color="auto" w:fill="FFFFFF"/>
              <w:spacing w:line="276" w:lineRule="auto"/>
              <w:jc w:val="center"/>
              <w:rPr>
                <w:rFonts w:asciiTheme="majorHAnsi" w:eastAsia="Times New Roman" w:hAnsiTheme="majorHAnsi" w:cstheme="majorHAnsi"/>
                <w:sz w:val="20"/>
                <w:szCs w:val="20"/>
                <w:lang w:bidi="he-IL"/>
              </w:rPr>
            </w:pPr>
            <w:r w:rsidRPr="008376FC">
              <w:rPr>
                <w:rFonts w:asciiTheme="majorHAnsi" w:eastAsia="MS Mincho" w:hAnsiTheme="majorHAnsi" w:cstheme="majorHAnsi"/>
                <w:kern w:val="2"/>
                <w:sz w:val="20"/>
                <w:szCs w:val="20"/>
              </w:rPr>
              <w:t>Numărul absolvenţilor pe ani</w:t>
            </w:r>
            <w:r w:rsidR="005E163F" w:rsidRPr="008376FC">
              <w:rPr>
                <w:rFonts w:asciiTheme="majorHAnsi" w:eastAsia="MS Mincho" w:hAnsiTheme="majorHAnsi" w:cstheme="majorHAnsi"/>
                <w:kern w:val="2"/>
                <w:sz w:val="20"/>
                <w:szCs w:val="20"/>
              </w:rPr>
              <w:t>i 2014-2022</w:t>
            </w:r>
          </w:p>
        </w:tc>
      </w:tr>
      <w:tr w:rsidR="0053166E" w:rsidRPr="008376FC" w:rsidTr="004E6CCB">
        <w:tc>
          <w:tcPr>
            <w:tcW w:w="355" w:type="pct"/>
            <w:vMerge w:val="restart"/>
            <w:tcBorders>
              <w:top w:val="single" w:sz="4" w:space="0" w:color="auto"/>
            </w:tcBorders>
            <w:shd w:val="clear" w:color="auto" w:fill="BDD6EE" w:themeFill="accent1" w:themeFillTint="66"/>
            <w:vAlign w:val="center"/>
          </w:tcPr>
          <w:p w:rsidR="0053166E" w:rsidRPr="008376FC" w:rsidRDefault="0053166E" w:rsidP="00F61756">
            <w:pPr>
              <w:spacing w:line="276" w:lineRule="auto"/>
              <w:jc w:val="both"/>
              <w:rPr>
                <w:rFonts w:asciiTheme="majorHAnsi" w:eastAsia="MS Mincho" w:hAnsiTheme="majorHAnsi" w:cstheme="majorHAnsi"/>
                <w:kern w:val="2"/>
                <w:sz w:val="20"/>
                <w:szCs w:val="20"/>
              </w:rPr>
            </w:pPr>
            <w:r w:rsidRPr="008376FC">
              <w:rPr>
                <w:rFonts w:asciiTheme="majorHAnsi" w:eastAsia="MS Mincho" w:hAnsiTheme="majorHAnsi" w:cstheme="majorHAnsi"/>
                <w:kern w:val="2"/>
                <w:sz w:val="20"/>
                <w:szCs w:val="20"/>
              </w:rPr>
              <w:t>Anul</w:t>
            </w:r>
          </w:p>
        </w:tc>
        <w:tc>
          <w:tcPr>
            <w:tcW w:w="1477" w:type="pct"/>
            <w:gridSpan w:val="3"/>
            <w:tcBorders>
              <w:top w:val="single" w:sz="4" w:space="0" w:color="auto"/>
            </w:tcBorders>
            <w:shd w:val="clear" w:color="auto" w:fill="BDD6EE" w:themeFill="accent1" w:themeFillTint="66"/>
            <w:vAlign w:val="center"/>
          </w:tcPr>
          <w:p w:rsidR="0053166E" w:rsidRPr="008376FC" w:rsidRDefault="0053166E" w:rsidP="00F61756">
            <w:pPr>
              <w:spacing w:line="276" w:lineRule="auto"/>
              <w:jc w:val="both"/>
              <w:rPr>
                <w:rFonts w:asciiTheme="majorHAnsi" w:eastAsia="MS Mincho" w:hAnsiTheme="majorHAnsi" w:cstheme="majorHAnsi"/>
                <w:kern w:val="2"/>
                <w:sz w:val="20"/>
                <w:szCs w:val="20"/>
              </w:rPr>
            </w:pPr>
            <w:r w:rsidRPr="008376FC">
              <w:rPr>
                <w:rFonts w:asciiTheme="majorHAnsi" w:eastAsia="MS Mincho" w:hAnsiTheme="majorHAnsi" w:cstheme="majorHAnsi"/>
                <w:kern w:val="2"/>
                <w:sz w:val="20"/>
                <w:szCs w:val="20"/>
              </w:rPr>
              <w:t>Învățământul superior, licență</w:t>
            </w:r>
          </w:p>
        </w:tc>
        <w:tc>
          <w:tcPr>
            <w:tcW w:w="1332" w:type="pct"/>
            <w:gridSpan w:val="3"/>
            <w:tcBorders>
              <w:top w:val="single" w:sz="4" w:space="0" w:color="auto"/>
            </w:tcBorders>
            <w:shd w:val="clear" w:color="auto" w:fill="BDD6EE" w:themeFill="accent1" w:themeFillTint="66"/>
            <w:vAlign w:val="center"/>
          </w:tcPr>
          <w:p w:rsidR="0053166E" w:rsidRPr="008376FC" w:rsidRDefault="0053166E" w:rsidP="00F61756">
            <w:pPr>
              <w:spacing w:line="276" w:lineRule="auto"/>
              <w:jc w:val="both"/>
              <w:rPr>
                <w:rFonts w:asciiTheme="majorHAnsi" w:eastAsia="MS Mincho" w:hAnsiTheme="majorHAnsi" w:cstheme="majorHAnsi"/>
                <w:kern w:val="2"/>
                <w:sz w:val="20"/>
                <w:szCs w:val="20"/>
              </w:rPr>
            </w:pPr>
            <w:r w:rsidRPr="008376FC">
              <w:rPr>
                <w:rFonts w:asciiTheme="majorHAnsi" w:eastAsia="MS Mincho" w:hAnsiTheme="majorHAnsi" w:cstheme="majorHAnsi"/>
                <w:kern w:val="2"/>
                <w:sz w:val="20"/>
                <w:szCs w:val="20"/>
              </w:rPr>
              <w:t>Învățământul superior, masterat</w:t>
            </w:r>
          </w:p>
        </w:tc>
        <w:tc>
          <w:tcPr>
            <w:tcW w:w="1373" w:type="pct"/>
            <w:gridSpan w:val="3"/>
            <w:tcBorders>
              <w:top w:val="single" w:sz="4" w:space="0" w:color="auto"/>
            </w:tcBorders>
            <w:shd w:val="clear" w:color="auto" w:fill="BDD6EE" w:themeFill="accent1" w:themeFillTint="66"/>
            <w:vAlign w:val="center"/>
          </w:tcPr>
          <w:p w:rsidR="0053166E" w:rsidRPr="008376FC" w:rsidRDefault="0053166E" w:rsidP="00F61756">
            <w:pPr>
              <w:spacing w:line="276" w:lineRule="auto"/>
              <w:jc w:val="both"/>
              <w:rPr>
                <w:rFonts w:asciiTheme="majorHAnsi" w:eastAsia="MS Mincho" w:hAnsiTheme="majorHAnsi" w:cstheme="majorHAnsi"/>
                <w:kern w:val="2"/>
                <w:sz w:val="20"/>
                <w:szCs w:val="20"/>
              </w:rPr>
            </w:pPr>
            <w:r w:rsidRPr="008376FC">
              <w:rPr>
                <w:rFonts w:asciiTheme="majorHAnsi" w:eastAsia="MS Mincho" w:hAnsiTheme="majorHAnsi" w:cstheme="majorHAnsi"/>
                <w:kern w:val="2"/>
                <w:sz w:val="20"/>
                <w:szCs w:val="20"/>
              </w:rPr>
              <w:t>Învățământul profesional tehnic</w:t>
            </w:r>
          </w:p>
        </w:tc>
        <w:tc>
          <w:tcPr>
            <w:tcW w:w="463" w:type="pct"/>
            <w:vMerge w:val="restart"/>
            <w:tcBorders>
              <w:top w:val="single" w:sz="4" w:space="0" w:color="auto"/>
            </w:tcBorders>
            <w:shd w:val="clear" w:color="auto" w:fill="BDD6EE" w:themeFill="accent1" w:themeFillTint="66"/>
            <w:vAlign w:val="center"/>
          </w:tcPr>
          <w:p w:rsidR="0053166E" w:rsidRPr="008376FC" w:rsidRDefault="0053166E" w:rsidP="00F61756">
            <w:pPr>
              <w:spacing w:line="276" w:lineRule="auto"/>
              <w:jc w:val="both"/>
              <w:rPr>
                <w:rFonts w:asciiTheme="majorHAnsi" w:eastAsia="MS Mincho" w:hAnsiTheme="majorHAnsi" w:cstheme="majorHAnsi"/>
                <w:kern w:val="2"/>
                <w:sz w:val="20"/>
                <w:szCs w:val="20"/>
              </w:rPr>
            </w:pPr>
            <w:r w:rsidRPr="008376FC">
              <w:rPr>
                <w:rFonts w:asciiTheme="majorHAnsi" w:eastAsia="MS Mincho" w:hAnsiTheme="majorHAnsi" w:cstheme="majorHAnsi"/>
                <w:kern w:val="2"/>
                <w:sz w:val="20"/>
                <w:szCs w:val="20"/>
              </w:rPr>
              <w:t>TOTAL</w:t>
            </w:r>
          </w:p>
        </w:tc>
      </w:tr>
      <w:tr w:rsidR="0053166E" w:rsidRPr="008376FC" w:rsidTr="004E6CCB">
        <w:tc>
          <w:tcPr>
            <w:tcW w:w="355" w:type="pct"/>
            <w:vMerge/>
          </w:tcPr>
          <w:p w:rsidR="0053166E" w:rsidRPr="008376FC" w:rsidRDefault="0053166E" w:rsidP="00F61756">
            <w:pPr>
              <w:spacing w:line="276" w:lineRule="auto"/>
              <w:jc w:val="both"/>
              <w:rPr>
                <w:rFonts w:asciiTheme="majorHAnsi" w:eastAsia="MS Mincho" w:hAnsiTheme="majorHAnsi" w:cstheme="majorHAnsi"/>
                <w:kern w:val="2"/>
                <w:sz w:val="20"/>
                <w:szCs w:val="20"/>
              </w:rPr>
            </w:pPr>
          </w:p>
        </w:tc>
        <w:tc>
          <w:tcPr>
            <w:tcW w:w="482" w:type="pct"/>
            <w:tcBorders>
              <w:bottom w:val="single" w:sz="4" w:space="0" w:color="auto"/>
            </w:tcBorders>
            <w:shd w:val="clear" w:color="auto" w:fill="BDD6EE" w:themeFill="accent1" w:themeFillTint="66"/>
            <w:vAlign w:val="center"/>
          </w:tcPr>
          <w:p w:rsidR="0053166E" w:rsidRPr="008376FC" w:rsidRDefault="0053166E" w:rsidP="00F61756">
            <w:pPr>
              <w:spacing w:line="276" w:lineRule="auto"/>
              <w:jc w:val="both"/>
              <w:rPr>
                <w:rFonts w:asciiTheme="majorHAnsi" w:eastAsia="MS Mincho" w:hAnsiTheme="majorHAnsi" w:cstheme="majorHAnsi"/>
                <w:kern w:val="2"/>
                <w:sz w:val="20"/>
                <w:szCs w:val="20"/>
              </w:rPr>
            </w:pPr>
            <w:r w:rsidRPr="008376FC">
              <w:rPr>
                <w:rFonts w:asciiTheme="majorHAnsi" w:eastAsia="MS Mincho" w:hAnsiTheme="majorHAnsi" w:cstheme="majorHAnsi"/>
                <w:kern w:val="2"/>
                <w:sz w:val="20"/>
                <w:szCs w:val="20"/>
              </w:rPr>
              <w:t>buget</w:t>
            </w:r>
          </w:p>
        </w:tc>
        <w:tc>
          <w:tcPr>
            <w:tcW w:w="538" w:type="pct"/>
            <w:tcBorders>
              <w:bottom w:val="single" w:sz="4" w:space="0" w:color="auto"/>
            </w:tcBorders>
            <w:shd w:val="clear" w:color="auto" w:fill="BDD6EE" w:themeFill="accent1" w:themeFillTint="66"/>
            <w:vAlign w:val="center"/>
          </w:tcPr>
          <w:p w:rsidR="0053166E" w:rsidRPr="008376FC" w:rsidRDefault="0053166E" w:rsidP="00F61756">
            <w:pPr>
              <w:spacing w:line="276" w:lineRule="auto"/>
              <w:jc w:val="both"/>
              <w:rPr>
                <w:rFonts w:asciiTheme="majorHAnsi" w:eastAsia="MS Mincho" w:hAnsiTheme="majorHAnsi" w:cstheme="majorHAnsi"/>
                <w:kern w:val="2"/>
                <w:sz w:val="20"/>
                <w:szCs w:val="20"/>
              </w:rPr>
            </w:pPr>
            <w:r w:rsidRPr="008376FC">
              <w:rPr>
                <w:rFonts w:asciiTheme="majorHAnsi" w:eastAsia="MS Mincho" w:hAnsiTheme="majorHAnsi" w:cstheme="majorHAnsi"/>
                <w:kern w:val="2"/>
                <w:sz w:val="20"/>
                <w:szCs w:val="20"/>
              </w:rPr>
              <w:t>contract</w:t>
            </w:r>
          </w:p>
        </w:tc>
        <w:tc>
          <w:tcPr>
            <w:tcW w:w="457" w:type="pct"/>
            <w:tcBorders>
              <w:bottom w:val="single" w:sz="4" w:space="0" w:color="auto"/>
            </w:tcBorders>
            <w:shd w:val="clear" w:color="auto" w:fill="BDD6EE" w:themeFill="accent1" w:themeFillTint="66"/>
            <w:vAlign w:val="center"/>
          </w:tcPr>
          <w:p w:rsidR="0053166E" w:rsidRPr="008376FC" w:rsidRDefault="0053166E" w:rsidP="00F61756">
            <w:pPr>
              <w:spacing w:line="276" w:lineRule="auto"/>
              <w:jc w:val="both"/>
              <w:rPr>
                <w:rFonts w:asciiTheme="majorHAnsi" w:eastAsia="MS Mincho" w:hAnsiTheme="majorHAnsi" w:cstheme="majorHAnsi"/>
                <w:kern w:val="2"/>
                <w:sz w:val="20"/>
                <w:szCs w:val="20"/>
              </w:rPr>
            </w:pPr>
            <w:r w:rsidRPr="008376FC">
              <w:rPr>
                <w:rFonts w:asciiTheme="majorHAnsi" w:eastAsia="MS Mincho" w:hAnsiTheme="majorHAnsi" w:cstheme="majorHAnsi"/>
                <w:kern w:val="2"/>
                <w:sz w:val="20"/>
                <w:szCs w:val="20"/>
              </w:rPr>
              <w:t>total</w:t>
            </w:r>
          </w:p>
        </w:tc>
        <w:tc>
          <w:tcPr>
            <w:tcW w:w="425" w:type="pct"/>
            <w:tcBorders>
              <w:bottom w:val="single" w:sz="4" w:space="0" w:color="auto"/>
            </w:tcBorders>
            <w:shd w:val="clear" w:color="auto" w:fill="BDD6EE" w:themeFill="accent1" w:themeFillTint="66"/>
            <w:vAlign w:val="center"/>
          </w:tcPr>
          <w:p w:rsidR="0053166E" w:rsidRPr="008376FC" w:rsidRDefault="0053166E" w:rsidP="00F61756">
            <w:pPr>
              <w:spacing w:line="276" w:lineRule="auto"/>
              <w:jc w:val="both"/>
              <w:rPr>
                <w:rFonts w:asciiTheme="majorHAnsi" w:eastAsia="MS Mincho" w:hAnsiTheme="majorHAnsi" w:cstheme="majorHAnsi"/>
                <w:kern w:val="2"/>
                <w:sz w:val="20"/>
                <w:szCs w:val="20"/>
              </w:rPr>
            </w:pPr>
            <w:r w:rsidRPr="008376FC">
              <w:rPr>
                <w:rFonts w:asciiTheme="majorHAnsi" w:eastAsia="MS Mincho" w:hAnsiTheme="majorHAnsi" w:cstheme="majorHAnsi"/>
                <w:kern w:val="2"/>
                <w:sz w:val="20"/>
                <w:szCs w:val="20"/>
              </w:rPr>
              <w:t>buget</w:t>
            </w:r>
          </w:p>
        </w:tc>
        <w:tc>
          <w:tcPr>
            <w:tcW w:w="505" w:type="pct"/>
            <w:tcBorders>
              <w:bottom w:val="single" w:sz="4" w:space="0" w:color="auto"/>
            </w:tcBorders>
            <w:shd w:val="clear" w:color="auto" w:fill="BDD6EE" w:themeFill="accent1" w:themeFillTint="66"/>
            <w:vAlign w:val="center"/>
          </w:tcPr>
          <w:p w:rsidR="0053166E" w:rsidRPr="008376FC" w:rsidRDefault="0053166E" w:rsidP="00F61756">
            <w:pPr>
              <w:spacing w:line="276" w:lineRule="auto"/>
              <w:jc w:val="both"/>
              <w:rPr>
                <w:rFonts w:asciiTheme="majorHAnsi" w:eastAsia="MS Mincho" w:hAnsiTheme="majorHAnsi" w:cstheme="majorHAnsi"/>
                <w:kern w:val="2"/>
                <w:sz w:val="20"/>
                <w:szCs w:val="20"/>
              </w:rPr>
            </w:pPr>
            <w:r w:rsidRPr="008376FC">
              <w:rPr>
                <w:rFonts w:asciiTheme="majorHAnsi" w:eastAsia="MS Mincho" w:hAnsiTheme="majorHAnsi" w:cstheme="majorHAnsi"/>
                <w:kern w:val="2"/>
                <w:sz w:val="20"/>
                <w:szCs w:val="20"/>
              </w:rPr>
              <w:t>contract</w:t>
            </w:r>
          </w:p>
        </w:tc>
        <w:tc>
          <w:tcPr>
            <w:tcW w:w="402" w:type="pct"/>
            <w:tcBorders>
              <w:bottom w:val="single" w:sz="4" w:space="0" w:color="auto"/>
            </w:tcBorders>
            <w:shd w:val="clear" w:color="auto" w:fill="BDD6EE" w:themeFill="accent1" w:themeFillTint="66"/>
            <w:vAlign w:val="center"/>
          </w:tcPr>
          <w:p w:rsidR="0053166E" w:rsidRPr="008376FC" w:rsidRDefault="0053166E" w:rsidP="00F61756">
            <w:pPr>
              <w:spacing w:line="276" w:lineRule="auto"/>
              <w:jc w:val="both"/>
              <w:rPr>
                <w:rFonts w:asciiTheme="majorHAnsi" w:eastAsia="MS Mincho" w:hAnsiTheme="majorHAnsi" w:cstheme="majorHAnsi"/>
                <w:kern w:val="2"/>
                <w:sz w:val="20"/>
                <w:szCs w:val="20"/>
              </w:rPr>
            </w:pPr>
            <w:r w:rsidRPr="008376FC">
              <w:rPr>
                <w:rFonts w:asciiTheme="majorHAnsi" w:eastAsia="MS Mincho" w:hAnsiTheme="majorHAnsi" w:cstheme="majorHAnsi"/>
                <w:kern w:val="2"/>
                <w:sz w:val="20"/>
                <w:szCs w:val="20"/>
              </w:rPr>
              <w:t>total</w:t>
            </w:r>
          </w:p>
        </w:tc>
        <w:tc>
          <w:tcPr>
            <w:tcW w:w="385" w:type="pct"/>
            <w:tcBorders>
              <w:bottom w:val="single" w:sz="4" w:space="0" w:color="auto"/>
            </w:tcBorders>
            <w:shd w:val="clear" w:color="auto" w:fill="BDD6EE" w:themeFill="accent1" w:themeFillTint="66"/>
            <w:vAlign w:val="center"/>
          </w:tcPr>
          <w:p w:rsidR="0053166E" w:rsidRPr="008376FC" w:rsidRDefault="0053166E" w:rsidP="00F61756">
            <w:pPr>
              <w:spacing w:line="276" w:lineRule="auto"/>
              <w:jc w:val="both"/>
              <w:rPr>
                <w:rFonts w:asciiTheme="majorHAnsi" w:eastAsia="MS Mincho" w:hAnsiTheme="majorHAnsi" w:cstheme="majorHAnsi"/>
                <w:kern w:val="2"/>
                <w:sz w:val="20"/>
                <w:szCs w:val="20"/>
              </w:rPr>
            </w:pPr>
            <w:r w:rsidRPr="008376FC">
              <w:rPr>
                <w:rFonts w:asciiTheme="majorHAnsi" w:eastAsia="MS Mincho" w:hAnsiTheme="majorHAnsi" w:cstheme="majorHAnsi"/>
                <w:kern w:val="2"/>
                <w:sz w:val="20"/>
                <w:szCs w:val="20"/>
              </w:rPr>
              <w:t>buget</w:t>
            </w:r>
          </w:p>
        </w:tc>
        <w:tc>
          <w:tcPr>
            <w:tcW w:w="505" w:type="pct"/>
            <w:tcBorders>
              <w:bottom w:val="single" w:sz="4" w:space="0" w:color="auto"/>
            </w:tcBorders>
            <w:shd w:val="clear" w:color="auto" w:fill="BDD6EE" w:themeFill="accent1" w:themeFillTint="66"/>
            <w:vAlign w:val="center"/>
          </w:tcPr>
          <w:p w:rsidR="0053166E" w:rsidRPr="008376FC" w:rsidRDefault="0053166E" w:rsidP="00F61756">
            <w:pPr>
              <w:spacing w:line="276" w:lineRule="auto"/>
              <w:jc w:val="both"/>
              <w:rPr>
                <w:rFonts w:asciiTheme="majorHAnsi" w:eastAsia="MS Mincho" w:hAnsiTheme="majorHAnsi" w:cstheme="majorHAnsi"/>
                <w:kern w:val="2"/>
                <w:sz w:val="20"/>
                <w:szCs w:val="20"/>
              </w:rPr>
            </w:pPr>
            <w:r w:rsidRPr="008376FC">
              <w:rPr>
                <w:rFonts w:asciiTheme="majorHAnsi" w:eastAsia="MS Mincho" w:hAnsiTheme="majorHAnsi" w:cstheme="majorHAnsi"/>
                <w:kern w:val="2"/>
                <w:sz w:val="20"/>
                <w:szCs w:val="20"/>
              </w:rPr>
              <w:t>contract</w:t>
            </w:r>
          </w:p>
        </w:tc>
        <w:tc>
          <w:tcPr>
            <w:tcW w:w="483" w:type="pct"/>
            <w:tcBorders>
              <w:bottom w:val="single" w:sz="4" w:space="0" w:color="auto"/>
            </w:tcBorders>
            <w:shd w:val="clear" w:color="auto" w:fill="BDD6EE" w:themeFill="accent1" w:themeFillTint="66"/>
            <w:vAlign w:val="center"/>
          </w:tcPr>
          <w:p w:rsidR="0053166E" w:rsidRPr="008376FC" w:rsidRDefault="0053166E" w:rsidP="00F61756">
            <w:pPr>
              <w:spacing w:line="276" w:lineRule="auto"/>
              <w:jc w:val="both"/>
              <w:rPr>
                <w:rFonts w:asciiTheme="majorHAnsi" w:eastAsia="MS Mincho" w:hAnsiTheme="majorHAnsi" w:cstheme="majorHAnsi"/>
                <w:kern w:val="2"/>
                <w:sz w:val="20"/>
                <w:szCs w:val="20"/>
              </w:rPr>
            </w:pPr>
            <w:r w:rsidRPr="008376FC">
              <w:rPr>
                <w:rFonts w:asciiTheme="majorHAnsi" w:eastAsia="MS Mincho" w:hAnsiTheme="majorHAnsi" w:cstheme="majorHAnsi"/>
                <w:kern w:val="2"/>
                <w:sz w:val="20"/>
                <w:szCs w:val="20"/>
              </w:rPr>
              <w:t>total</w:t>
            </w:r>
          </w:p>
        </w:tc>
        <w:tc>
          <w:tcPr>
            <w:tcW w:w="463" w:type="pct"/>
            <w:vMerge/>
            <w:tcBorders>
              <w:bottom w:val="single" w:sz="4" w:space="0" w:color="auto"/>
            </w:tcBorders>
          </w:tcPr>
          <w:p w:rsidR="0053166E" w:rsidRPr="008376FC" w:rsidRDefault="0053166E" w:rsidP="00F61756">
            <w:pPr>
              <w:spacing w:line="276" w:lineRule="auto"/>
              <w:jc w:val="both"/>
              <w:rPr>
                <w:rFonts w:asciiTheme="majorHAnsi" w:eastAsia="MS Mincho" w:hAnsiTheme="majorHAnsi" w:cstheme="majorHAnsi"/>
                <w:kern w:val="2"/>
                <w:sz w:val="20"/>
                <w:szCs w:val="20"/>
              </w:rPr>
            </w:pPr>
          </w:p>
        </w:tc>
      </w:tr>
      <w:tr w:rsidR="0053166E" w:rsidRPr="008376FC" w:rsidTr="004E6CCB">
        <w:tc>
          <w:tcPr>
            <w:tcW w:w="355" w:type="pct"/>
          </w:tcPr>
          <w:p w:rsidR="0053166E" w:rsidRPr="008376FC" w:rsidRDefault="0053166E" w:rsidP="00F61756">
            <w:pPr>
              <w:spacing w:line="276" w:lineRule="auto"/>
              <w:jc w:val="both"/>
              <w:rPr>
                <w:rFonts w:asciiTheme="majorHAnsi" w:eastAsia="MS Mincho" w:hAnsiTheme="majorHAnsi" w:cstheme="majorHAnsi"/>
                <w:b w:val="0"/>
                <w:bCs w:val="0"/>
                <w:kern w:val="2"/>
                <w:sz w:val="20"/>
                <w:szCs w:val="20"/>
              </w:rPr>
            </w:pPr>
            <w:r w:rsidRPr="008376FC">
              <w:rPr>
                <w:rFonts w:asciiTheme="majorHAnsi" w:eastAsia="MS Mincho" w:hAnsiTheme="majorHAnsi" w:cstheme="majorHAnsi"/>
                <w:b w:val="0"/>
                <w:bCs w:val="0"/>
                <w:kern w:val="2"/>
                <w:sz w:val="20"/>
                <w:szCs w:val="20"/>
              </w:rPr>
              <w:t>2014</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lang w:val="en-US"/>
              </w:rPr>
            </w:pPr>
            <w:r w:rsidRPr="008376FC">
              <w:rPr>
                <w:rFonts w:asciiTheme="majorHAnsi" w:hAnsiTheme="majorHAnsi" w:cstheme="majorHAnsi"/>
                <w:b w:val="0"/>
                <w:bCs w:val="0"/>
                <w:sz w:val="20"/>
                <w:szCs w:val="20"/>
              </w:rPr>
              <w:t>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19</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28</w:t>
            </w: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lang w:val="en-US"/>
              </w:rPr>
            </w:pPr>
            <w:r w:rsidRPr="008376FC">
              <w:rPr>
                <w:rFonts w:asciiTheme="majorHAnsi" w:hAnsiTheme="majorHAnsi" w:cstheme="majorHAnsi"/>
                <w:b w:val="0"/>
                <w:bCs w:val="0"/>
                <w:sz w:val="20"/>
                <w:szCs w:val="20"/>
              </w:rPr>
              <w:t>10</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 0</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10</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lang w:val="en-US"/>
              </w:rPr>
            </w:pPr>
            <w:r w:rsidRPr="008376FC">
              <w:rPr>
                <w:rFonts w:asciiTheme="majorHAnsi" w:hAnsiTheme="majorHAnsi" w:cstheme="majorHAnsi"/>
                <w:b w:val="0"/>
                <w:bCs w:val="0"/>
                <w:sz w:val="20"/>
                <w:szCs w:val="20"/>
              </w:rPr>
              <w:t>19</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7</w:t>
            </w:r>
          </w:p>
        </w:tc>
        <w:tc>
          <w:tcPr>
            <w:tcW w:w="483"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26</w:t>
            </w:r>
          </w:p>
        </w:tc>
        <w:tc>
          <w:tcPr>
            <w:tcW w:w="463" w:type="pct"/>
            <w:tcBorders>
              <w:top w:val="single" w:sz="4" w:space="0" w:color="auto"/>
              <w:left w:val="nil"/>
              <w:bottom w:val="single" w:sz="4" w:space="0" w:color="auto"/>
              <w:right w:val="single" w:sz="4" w:space="0" w:color="auto"/>
            </w:tcBorders>
            <w:shd w:val="clear" w:color="auto" w:fill="auto"/>
            <w:vAlign w:val="center"/>
          </w:tcPr>
          <w:p w:rsidR="0053166E" w:rsidRPr="008376FC" w:rsidRDefault="0053166E" w:rsidP="00F61756">
            <w:pPr>
              <w:spacing w:line="276" w:lineRule="auto"/>
              <w:jc w:val="both"/>
              <w:rPr>
                <w:rFonts w:asciiTheme="majorHAnsi" w:hAnsiTheme="majorHAnsi" w:cstheme="majorHAnsi"/>
                <w:sz w:val="20"/>
                <w:szCs w:val="20"/>
                <w:lang w:val="en-US"/>
              </w:rPr>
            </w:pPr>
            <w:r w:rsidRPr="008376FC">
              <w:rPr>
                <w:rFonts w:asciiTheme="majorHAnsi" w:hAnsiTheme="majorHAnsi" w:cstheme="majorHAnsi"/>
                <w:sz w:val="20"/>
                <w:szCs w:val="20"/>
              </w:rPr>
              <w:t>64</w:t>
            </w:r>
          </w:p>
        </w:tc>
      </w:tr>
      <w:tr w:rsidR="0053166E" w:rsidRPr="008376FC" w:rsidTr="004E6CCB">
        <w:tc>
          <w:tcPr>
            <w:tcW w:w="355" w:type="pct"/>
          </w:tcPr>
          <w:p w:rsidR="0053166E" w:rsidRPr="008376FC" w:rsidRDefault="0053166E" w:rsidP="00F61756">
            <w:pPr>
              <w:spacing w:line="276" w:lineRule="auto"/>
              <w:jc w:val="both"/>
              <w:rPr>
                <w:rFonts w:asciiTheme="majorHAnsi" w:eastAsia="MS Mincho" w:hAnsiTheme="majorHAnsi" w:cstheme="majorHAnsi"/>
                <w:b w:val="0"/>
                <w:bCs w:val="0"/>
                <w:kern w:val="2"/>
                <w:sz w:val="20"/>
                <w:szCs w:val="20"/>
              </w:rPr>
            </w:pPr>
            <w:r w:rsidRPr="008376FC">
              <w:rPr>
                <w:rFonts w:asciiTheme="majorHAnsi" w:eastAsia="MS Mincho" w:hAnsiTheme="majorHAnsi" w:cstheme="majorHAnsi"/>
                <w:b w:val="0"/>
                <w:bCs w:val="0"/>
                <w:kern w:val="2"/>
                <w:sz w:val="20"/>
                <w:szCs w:val="20"/>
              </w:rPr>
              <w:t>2015</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15</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26</w:t>
            </w: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12</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13</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16</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4</w:t>
            </w:r>
          </w:p>
        </w:tc>
        <w:tc>
          <w:tcPr>
            <w:tcW w:w="483"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20</w:t>
            </w:r>
          </w:p>
        </w:tc>
        <w:tc>
          <w:tcPr>
            <w:tcW w:w="463" w:type="pct"/>
            <w:tcBorders>
              <w:top w:val="single" w:sz="4" w:space="0" w:color="auto"/>
              <w:left w:val="nil"/>
              <w:bottom w:val="single" w:sz="4" w:space="0" w:color="auto"/>
              <w:right w:val="single" w:sz="4" w:space="0" w:color="auto"/>
            </w:tcBorders>
            <w:shd w:val="clear" w:color="auto" w:fill="auto"/>
            <w:vAlign w:val="center"/>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59</w:t>
            </w:r>
          </w:p>
        </w:tc>
      </w:tr>
      <w:tr w:rsidR="0053166E" w:rsidRPr="008376FC" w:rsidTr="004E6CCB">
        <w:tc>
          <w:tcPr>
            <w:tcW w:w="355" w:type="pct"/>
          </w:tcPr>
          <w:p w:rsidR="0053166E" w:rsidRPr="008376FC" w:rsidRDefault="0053166E" w:rsidP="00F61756">
            <w:pPr>
              <w:spacing w:line="276" w:lineRule="auto"/>
              <w:jc w:val="both"/>
              <w:rPr>
                <w:rFonts w:asciiTheme="majorHAnsi" w:eastAsia="MS Mincho" w:hAnsiTheme="majorHAnsi" w:cstheme="majorHAnsi"/>
                <w:b w:val="0"/>
                <w:bCs w:val="0"/>
                <w:kern w:val="2"/>
                <w:sz w:val="20"/>
                <w:szCs w:val="20"/>
              </w:rPr>
            </w:pPr>
            <w:r w:rsidRPr="008376FC">
              <w:rPr>
                <w:rFonts w:asciiTheme="majorHAnsi" w:eastAsia="MS Mincho" w:hAnsiTheme="majorHAnsi" w:cstheme="majorHAnsi"/>
                <w:b w:val="0"/>
                <w:bCs w:val="0"/>
                <w:kern w:val="2"/>
                <w:sz w:val="20"/>
                <w:szCs w:val="20"/>
              </w:rPr>
              <w:t>2016</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3</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13</w:t>
            </w: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6</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 0</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6</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14</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9</w:t>
            </w:r>
          </w:p>
        </w:tc>
        <w:tc>
          <w:tcPr>
            <w:tcW w:w="483"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23</w:t>
            </w:r>
          </w:p>
        </w:tc>
        <w:tc>
          <w:tcPr>
            <w:tcW w:w="463" w:type="pct"/>
            <w:tcBorders>
              <w:top w:val="single" w:sz="4" w:space="0" w:color="auto"/>
              <w:left w:val="nil"/>
              <w:bottom w:val="single" w:sz="4" w:space="0" w:color="auto"/>
              <w:right w:val="single" w:sz="4" w:space="0" w:color="auto"/>
            </w:tcBorders>
            <w:shd w:val="clear" w:color="auto" w:fill="auto"/>
            <w:vAlign w:val="center"/>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42</w:t>
            </w:r>
          </w:p>
        </w:tc>
      </w:tr>
      <w:tr w:rsidR="0053166E" w:rsidRPr="008376FC" w:rsidTr="004E6CCB">
        <w:tc>
          <w:tcPr>
            <w:tcW w:w="355" w:type="pct"/>
          </w:tcPr>
          <w:p w:rsidR="0053166E" w:rsidRPr="008376FC" w:rsidRDefault="0053166E" w:rsidP="00F61756">
            <w:pPr>
              <w:spacing w:line="276" w:lineRule="auto"/>
              <w:jc w:val="both"/>
              <w:rPr>
                <w:rFonts w:asciiTheme="majorHAnsi" w:eastAsia="MS Mincho" w:hAnsiTheme="majorHAnsi" w:cstheme="majorHAnsi"/>
                <w:b w:val="0"/>
                <w:bCs w:val="0"/>
                <w:kern w:val="2"/>
                <w:sz w:val="20"/>
                <w:szCs w:val="20"/>
              </w:rPr>
            </w:pPr>
            <w:r w:rsidRPr="008376FC">
              <w:rPr>
                <w:rFonts w:asciiTheme="majorHAnsi" w:eastAsia="MS Mincho" w:hAnsiTheme="majorHAnsi" w:cstheme="majorHAnsi"/>
                <w:b w:val="0"/>
                <w:bCs w:val="0"/>
                <w:kern w:val="2"/>
                <w:sz w:val="20"/>
                <w:szCs w:val="20"/>
              </w:rPr>
              <w:t>2017</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9</w:t>
            </w:r>
          </w:p>
        </w:tc>
        <w:tc>
          <w:tcPr>
            <w:tcW w:w="538"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8</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17</w:t>
            </w: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2</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 0</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16</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6</w:t>
            </w:r>
          </w:p>
        </w:tc>
        <w:tc>
          <w:tcPr>
            <w:tcW w:w="483"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22</w:t>
            </w:r>
          </w:p>
        </w:tc>
        <w:tc>
          <w:tcPr>
            <w:tcW w:w="463" w:type="pct"/>
            <w:tcBorders>
              <w:top w:val="single" w:sz="4" w:space="0" w:color="auto"/>
              <w:left w:val="nil"/>
              <w:bottom w:val="single" w:sz="4" w:space="0" w:color="auto"/>
              <w:right w:val="single" w:sz="4" w:space="0" w:color="auto"/>
            </w:tcBorders>
            <w:shd w:val="clear" w:color="auto" w:fill="auto"/>
            <w:vAlign w:val="center"/>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41</w:t>
            </w:r>
          </w:p>
        </w:tc>
      </w:tr>
      <w:tr w:rsidR="0053166E" w:rsidRPr="008376FC" w:rsidTr="004E6CCB">
        <w:tc>
          <w:tcPr>
            <w:tcW w:w="355" w:type="pct"/>
          </w:tcPr>
          <w:p w:rsidR="0053166E" w:rsidRPr="008376FC" w:rsidRDefault="0053166E" w:rsidP="00F61756">
            <w:pPr>
              <w:spacing w:line="276" w:lineRule="auto"/>
              <w:jc w:val="both"/>
              <w:rPr>
                <w:rFonts w:asciiTheme="majorHAnsi" w:eastAsia="MS Mincho" w:hAnsiTheme="majorHAnsi" w:cstheme="majorHAnsi"/>
                <w:b w:val="0"/>
                <w:bCs w:val="0"/>
                <w:kern w:val="2"/>
                <w:sz w:val="20"/>
                <w:szCs w:val="20"/>
              </w:rPr>
            </w:pPr>
            <w:r w:rsidRPr="008376FC">
              <w:rPr>
                <w:rFonts w:asciiTheme="majorHAnsi" w:eastAsia="MS Mincho" w:hAnsiTheme="majorHAnsi" w:cstheme="majorHAnsi"/>
                <w:b w:val="0"/>
                <w:bCs w:val="0"/>
                <w:kern w:val="2"/>
                <w:sz w:val="20"/>
                <w:szCs w:val="20"/>
              </w:rPr>
              <w:t>2018</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4</w:t>
            </w:r>
          </w:p>
        </w:tc>
        <w:tc>
          <w:tcPr>
            <w:tcW w:w="538"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8</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12</w:t>
            </w: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4</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 0</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4</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16</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8</w:t>
            </w:r>
          </w:p>
        </w:tc>
        <w:tc>
          <w:tcPr>
            <w:tcW w:w="483"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24</w:t>
            </w:r>
          </w:p>
        </w:tc>
        <w:tc>
          <w:tcPr>
            <w:tcW w:w="463" w:type="pct"/>
            <w:tcBorders>
              <w:top w:val="single" w:sz="4" w:space="0" w:color="auto"/>
              <w:left w:val="nil"/>
              <w:bottom w:val="single" w:sz="4" w:space="0" w:color="auto"/>
              <w:right w:val="single" w:sz="4" w:space="0" w:color="auto"/>
            </w:tcBorders>
            <w:shd w:val="clear" w:color="auto" w:fill="auto"/>
            <w:vAlign w:val="center"/>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40</w:t>
            </w:r>
          </w:p>
        </w:tc>
      </w:tr>
      <w:tr w:rsidR="0053166E" w:rsidRPr="008376FC" w:rsidTr="004E6CCB">
        <w:tc>
          <w:tcPr>
            <w:tcW w:w="355" w:type="pct"/>
            <w:tcBorders>
              <w:bottom w:val="single" w:sz="4" w:space="0" w:color="auto"/>
            </w:tcBorders>
          </w:tcPr>
          <w:p w:rsidR="0053166E" w:rsidRPr="008376FC" w:rsidRDefault="0053166E" w:rsidP="00F61756">
            <w:pPr>
              <w:spacing w:line="276" w:lineRule="auto"/>
              <w:jc w:val="both"/>
              <w:rPr>
                <w:rFonts w:asciiTheme="majorHAnsi" w:eastAsia="MS Mincho" w:hAnsiTheme="majorHAnsi" w:cstheme="majorHAnsi"/>
                <w:b w:val="0"/>
                <w:bCs w:val="0"/>
                <w:kern w:val="2"/>
                <w:sz w:val="20"/>
                <w:szCs w:val="20"/>
              </w:rPr>
            </w:pPr>
            <w:r w:rsidRPr="008376FC">
              <w:rPr>
                <w:rFonts w:asciiTheme="majorHAnsi" w:eastAsia="MS Mincho" w:hAnsiTheme="majorHAnsi" w:cstheme="majorHAnsi"/>
                <w:b w:val="0"/>
                <w:bCs w:val="0"/>
                <w:kern w:val="2"/>
                <w:sz w:val="20"/>
                <w:szCs w:val="20"/>
              </w:rPr>
              <w:t>2019</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6</w:t>
            </w:r>
          </w:p>
        </w:tc>
        <w:tc>
          <w:tcPr>
            <w:tcW w:w="538"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5</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11</w:t>
            </w: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2</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 0</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16</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8</w:t>
            </w:r>
          </w:p>
        </w:tc>
        <w:tc>
          <w:tcPr>
            <w:tcW w:w="483"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24</w:t>
            </w:r>
          </w:p>
        </w:tc>
        <w:tc>
          <w:tcPr>
            <w:tcW w:w="463" w:type="pct"/>
            <w:tcBorders>
              <w:top w:val="single" w:sz="4" w:space="0" w:color="auto"/>
              <w:left w:val="nil"/>
              <w:bottom w:val="single" w:sz="4" w:space="0" w:color="auto"/>
              <w:right w:val="single" w:sz="4" w:space="0" w:color="auto"/>
            </w:tcBorders>
            <w:shd w:val="clear" w:color="auto" w:fill="auto"/>
            <w:vAlign w:val="center"/>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37</w:t>
            </w:r>
          </w:p>
        </w:tc>
      </w:tr>
      <w:tr w:rsidR="0053166E" w:rsidRPr="008376FC" w:rsidTr="004E6CCB">
        <w:tc>
          <w:tcPr>
            <w:tcW w:w="355" w:type="pct"/>
          </w:tcPr>
          <w:p w:rsidR="0053166E" w:rsidRPr="008376FC" w:rsidRDefault="0053166E" w:rsidP="00F61756">
            <w:pPr>
              <w:spacing w:line="276" w:lineRule="auto"/>
              <w:jc w:val="both"/>
              <w:rPr>
                <w:rFonts w:asciiTheme="majorHAnsi" w:eastAsia="MS Mincho" w:hAnsiTheme="majorHAnsi" w:cstheme="majorHAnsi"/>
                <w:b w:val="0"/>
                <w:bCs w:val="0"/>
                <w:kern w:val="2"/>
                <w:sz w:val="20"/>
                <w:szCs w:val="20"/>
              </w:rPr>
            </w:pPr>
            <w:r w:rsidRPr="008376FC">
              <w:rPr>
                <w:rFonts w:asciiTheme="majorHAnsi" w:eastAsia="MS Mincho" w:hAnsiTheme="majorHAnsi" w:cstheme="majorHAnsi"/>
                <w:b w:val="0"/>
                <w:bCs w:val="0"/>
                <w:kern w:val="2"/>
                <w:sz w:val="20"/>
                <w:szCs w:val="20"/>
              </w:rPr>
              <w:t>2020</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3</w:t>
            </w:r>
          </w:p>
        </w:tc>
        <w:tc>
          <w:tcPr>
            <w:tcW w:w="538"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4</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7</w:t>
            </w: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6</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7</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14</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4</w:t>
            </w:r>
          </w:p>
        </w:tc>
        <w:tc>
          <w:tcPr>
            <w:tcW w:w="483"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18</w:t>
            </w:r>
          </w:p>
        </w:tc>
        <w:tc>
          <w:tcPr>
            <w:tcW w:w="463" w:type="pct"/>
            <w:tcBorders>
              <w:top w:val="single" w:sz="4" w:space="0" w:color="auto"/>
              <w:left w:val="nil"/>
              <w:bottom w:val="single" w:sz="4" w:space="0" w:color="auto"/>
              <w:right w:val="single" w:sz="4" w:space="0" w:color="auto"/>
            </w:tcBorders>
            <w:shd w:val="clear" w:color="auto" w:fill="auto"/>
            <w:vAlign w:val="center"/>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32</w:t>
            </w:r>
          </w:p>
        </w:tc>
      </w:tr>
      <w:tr w:rsidR="0053166E" w:rsidRPr="008376FC" w:rsidTr="004E6CCB">
        <w:tc>
          <w:tcPr>
            <w:tcW w:w="355" w:type="pct"/>
          </w:tcPr>
          <w:p w:rsidR="0053166E" w:rsidRPr="008376FC" w:rsidRDefault="0053166E" w:rsidP="00F61756">
            <w:pPr>
              <w:spacing w:line="276" w:lineRule="auto"/>
              <w:jc w:val="both"/>
              <w:rPr>
                <w:rFonts w:asciiTheme="majorHAnsi" w:eastAsia="MS Mincho" w:hAnsiTheme="majorHAnsi" w:cstheme="majorHAnsi"/>
                <w:b w:val="0"/>
                <w:bCs w:val="0"/>
                <w:kern w:val="2"/>
                <w:sz w:val="20"/>
                <w:szCs w:val="20"/>
              </w:rPr>
            </w:pPr>
            <w:r w:rsidRPr="008376FC">
              <w:rPr>
                <w:rFonts w:asciiTheme="majorHAnsi" w:eastAsia="MS Mincho" w:hAnsiTheme="majorHAnsi" w:cstheme="majorHAnsi"/>
                <w:b w:val="0"/>
                <w:bCs w:val="0"/>
                <w:kern w:val="2"/>
                <w:sz w:val="20"/>
                <w:szCs w:val="20"/>
              </w:rPr>
              <w:t>2021</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 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2</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w:t>
            </w: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2</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3</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13</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2</w:t>
            </w:r>
          </w:p>
        </w:tc>
        <w:tc>
          <w:tcPr>
            <w:tcW w:w="483"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15</w:t>
            </w:r>
          </w:p>
        </w:tc>
        <w:tc>
          <w:tcPr>
            <w:tcW w:w="463" w:type="pct"/>
            <w:tcBorders>
              <w:top w:val="single" w:sz="4" w:space="0" w:color="auto"/>
              <w:left w:val="nil"/>
              <w:bottom w:val="single" w:sz="4" w:space="0" w:color="auto"/>
              <w:right w:val="single" w:sz="4" w:space="0" w:color="auto"/>
            </w:tcBorders>
            <w:shd w:val="clear" w:color="auto" w:fill="auto"/>
            <w:vAlign w:val="center"/>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20</w:t>
            </w:r>
          </w:p>
        </w:tc>
      </w:tr>
      <w:tr w:rsidR="0053166E" w:rsidRPr="008376FC" w:rsidTr="004E6CCB">
        <w:tc>
          <w:tcPr>
            <w:tcW w:w="355" w:type="pct"/>
            <w:tcBorders>
              <w:bottom w:val="single" w:sz="4" w:space="0" w:color="auto"/>
            </w:tcBorders>
          </w:tcPr>
          <w:p w:rsidR="0053166E" w:rsidRPr="008376FC" w:rsidRDefault="0053166E" w:rsidP="00F61756">
            <w:pPr>
              <w:spacing w:line="276" w:lineRule="auto"/>
              <w:jc w:val="both"/>
              <w:rPr>
                <w:rFonts w:asciiTheme="majorHAnsi" w:eastAsia="MS Mincho" w:hAnsiTheme="majorHAnsi" w:cstheme="majorHAnsi"/>
                <w:b w:val="0"/>
                <w:bCs w:val="0"/>
                <w:kern w:val="2"/>
                <w:sz w:val="20"/>
                <w:szCs w:val="20"/>
              </w:rPr>
            </w:pPr>
            <w:r w:rsidRPr="008376FC">
              <w:rPr>
                <w:rFonts w:asciiTheme="majorHAnsi" w:eastAsia="MS Mincho" w:hAnsiTheme="majorHAnsi" w:cstheme="majorHAnsi"/>
                <w:b w:val="0"/>
                <w:bCs w:val="0"/>
                <w:kern w:val="2"/>
                <w:sz w:val="20"/>
                <w:szCs w:val="20"/>
              </w:rPr>
              <w:t>2022</w:t>
            </w:r>
          </w:p>
        </w:tc>
        <w:tc>
          <w:tcPr>
            <w:tcW w:w="48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 0</w:t>
            </w:r>
          </w:p>
        </w:tc>
        <w:tc>
          <w:tcPr>
            <w:tcW w:w="538"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4</w:t>
            </w:r>
          </w:p>
        </w:tc>
        <w:tc>
          <w:tcPr>
            <w:tcW w:w="457"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4</w:t>
            </w:r>
          </w:p>
        </w:tc>
        <w:tc>
          <w:tcPr>
            <w:tcW w:w="42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9</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2</w:t>
            </w:r>
          </w:p>
        </w:tc>
        <w:tc>
          <w:tcPr>
            <w:tcW w:w="402"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11</w:t>
            </w:r>
          </w:p>
        </w:tc>
        <w:tc>
          <w:tcPr>
            <w:tcW w:w="38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18</w:t>
            </w:r>
          </w:p>
        </w:tc>
        <w:tc>
          <w:tcPr>
            <w:tcW w:w="505"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2</w:t>
            </w:r>
          </w:p>
        </w:tc>
        <w:tc>
          <w:tcPr>
            <w:tcW w:w="483" w:type="pct"/>
            <w:tcBorders>
              <w:top w:val="single" w:sz="4" w:space="0" w:color="auto"/>
              <w:left w:val="single" w:sz="4" w:space="0" w:color="auto"/>
              <w:bottom w:val="single" w:sz="4" w:space="0" w:color="auto"/>
              <w:right w:val="single" w:sz="4" w:space="0" w:color="auto"/>
            </w:tcBorders>
            <w:shd w:val="clear" w:color="auto" w:fill="auto"/>
            <w:vAlign w:val="bottom"/>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20</w:t>
            </w:r>
          </w:p>
        </w:tc>
        <w:tc>
          <w:tcPr>
            <w:tcW w:w="463" w:type="pct"/>
            <w:tcBorders>
              <w:top w:val="single" w:sz="4" w:space="0" w:color="auto"/>
              <w:left w:val="nil"/>
              <w:bottom w:val="single" w:sz="4" w:space="0" w:color="auto"/>
              <w:right w:val="single" w:sz="4" w:space="0" w:color="auto"/>
            </w:tcBorders>
            <w:shd w:val="clear" w:color="auto" w:fill="auto"/>
            <w:vAlign w:val="center"/>
          </w:tcPr>
          <w:p w:rsidR="0053166E" w:rsidRPr="008376FC" w:rsidRDefault="0053166E" w:rsidP="00F61756">
            <w:pPr>
              <w:spacing w:line="276" w:lineRule="auto"/>
              <w:jc w:val="both"/>
              <w:rPr>
                <w:rFonts w:asciiTheme="majorHAnsi" w:hAnsiTheme="majorHAnsi" w:cstheme="majorHAnsi"/>
                <w:sz w:val="20"/>
                <w:szCs w:val="20"/>
              </w:rPr>
            </w:pPr>
            <w:r w:rsidRPr="008376FC">
              <w:rPr>
                <w:rFonts w:asciiTheme="majorHAnsi" w:hAnsiTheme="majorHAnsi" w:cstheme="majorHAnsi"/>
                <w:sz w:val="20"/>
                <w:szCs w:val="20"/>
              </w:rPr>
              <w:t>35</w:t>
            </w:r>
          </w:p>
        </w:tc>
      </w:tr>
      <w:tr w:rsidR="008A2600" w:rsidRPr="008376FC" w:rsidTr="00B67CEF">
        <w:tc>
          <w:tcPr>
            <w:tcW w:w="5000" w:type="pct"/>
            <w:gridSpan w:val="11"/>
            <w:tcBorders>
              <w:top w:val="single" w:sz="4" w:space="0" w:color="auto"/>
              <w:left w:val="nil"/>
              <w:bottom w:val="nil"/>
              <w:right w:val="nil"/>
            </w:tcBorders>
          </w:tcPr>
          <w:p w:rsidR="008A2600" w:rsidRPr="00807E42" w:rsidRDefault="008A2600" w:rsidP="00F61756">
            <w:pPr>
              <w:shd w:val="clear" w:color="auto" w:fill="FFFFFF"/>
              <w:spacing w:line="276" w:lineRule="auto"/>
              <w:jc w:val="both"/>
              <w:rPr>
                <w:rFonts w:asciiTheme="majorHAnsi" w:hAnsiTheme="majorHAnsi" w:cstheme="majorHAnsi"/>
                <w:i/>
                <w:sz w:val="20"/>
                <w:szCs w:val="20"/>
              </w:rPr>
            </w:pPr>
            <w:r w:rsidRPr="00807E42">
              <w:rPr>
                <w:rFonts w:asciiTheme="majorHAnsi" w:eastAsia="Times New Roman" w:hAnsiTheme="majorHAnsi" w:cstheme="majorHAnsi"/>
                <w:i/>
                <w:sz w:val="20"/>
                <w:szCs w:val="20"/>
                <w:lang w:bidi="he-IL"/>
              </w:rPr>
              <w:t xml:space="preserve">Sursă: </w:t>
            </w:r>
            <w:r w:rsidRPr="00807E42">
              <w:rPr>
                <w:rFonts w:asciiTheme="majorHAnsi" w:eastAsia="Times New Roman" w:hAnsiTheme="majorHAnsi" w:cstheme="majorHAnsi"/>
                <w:b w:val="0"/>
                <w:bCs w:val="0"/>
                <w:i/>
                <w:sz w:val="20"/>
                <w:szCs w:val="20"/>
                <w:lang w:bidi="he-IL"/>
              </w:rPr>
              <w:t>tabel elaborat de audit în baza informații</w:t>
            </w:r>
            <w:r w:rsidR="00BE57DD">
              <w:rPr>
                <w:rFonts w:asciiTheme="majorHAnsi" w:eastAsia="Times New Roman" w:hAnsiTheme="majorHAnsi" w:cstheme="majorHAnsi"/>
                <w:b w:val="0"/>
                <w:bCs w:val="0"/>
                <w:i/>
                <w:sz w:val="20"/>
                <w:szCs w:val="20"/>
                <w:lang w:bidi="he-IL"/>
              </w:rPr>
              <w:t>lor</w:t>
            </w:r>
            <w:r w:rsidRPr="00807E42">
              <w:rPr>
                <w:rFonts w:asciiTheme="majorHAnsi" w:eastAsia="Times New Roman" w:hAnsiTheme="majorHAnsi" w:cstheme="majorHAnsi"/>
                <w:b w:val="0"/>
                <w:bCs w:val="0"/>
                <w:i/>
                <w:sz w:val="20"/>
                <w:szCs w:val="20"/>
                <w:lang w:bidi="he-IL"/>
              </w:rPr>
              <w:t xml:space="preserve"> prezentate de MEC.</w:t>
            </w:r>
          </w:p>
        </w:tc>
      </w:tr>
    </w:tbl>
    <w:p w:rsidR="004E6CCB" w:rsidRPr="008376FC" w:rsidRDefault="004E6CCB" w:rsidP="00F61756">
      <w:pPr>
        <w:spacing w:before="120" w:after="0" w:line="276" w:lineRule="auto"/>
        <w:jc w:val="both"/>
        <w:rPr>
          <w:rFonts w:asciiTheme="majorHAnsi" w:eastAsia="MS Mincho" w:hAnsiTheme="majorHAnsi" w:cstheme="majorHAnsi"/>
          <w:b w:val="0"/>
          <w:bCs w:val="0"/>
          <w:kern w:val="2"/>
          <w:sz w:val="24"/>
          <w:szCs w:val="24"/>
        </w:rPr>
      </w:pPr>
      <w:r w:rsidRPr="008376FC">
        <w:rPr>
          <w:rFonts w:asciiTheme="majorHAnsi" w:eastAsia="MS Mincho" w:hAnsiTheme="majorHAnsi" w:cstheme="majorHAnsi"/>
          <w:b w:val="0"/>
          <w:bCs w:val="0"/>
          <w:kern w:val="2"/>
          <w:sz w:val="24"/>
          <w:szCs w:val="24"/>
        </w:rPr>
        <w:t>Deşi numărul de entităţi care realizează gestiunea directă şi delegată a serviciilor de alimentare cu apă şi sanitaţie este în creştere, pentru anul 2021, conform datelor BNS</w:t>
      </w:r>
      <w:r w:rsidR="00BE57DD">
        <w:rPr>
          <w:rFonts w:asciiTheme="majorHAnsi" w:eastAsia="MS Mincho" w:hAnsiTheme="majorHAnsi" w:cstheme="majorHAnsi"/>
          <w:b w:val="0"/>
          <w:bCs w:val="0"/>
          <w:kern w:val="2"/>
          <w:sz w:val="24"/>
          <w:szCs w:val="24"/>
        </w:rPr>
        <w:t>,</w:t>
      </w:r>
      <w:r w:rsidRPr="008376FC">
        <w:rPr>
          <w:rFonts w:asciiTheme="majorHAnsi" w:eastAsia="MS Mincho" w:hAnsiTheme="majorHAnsi" w:cstheme="majorHAnsi"/>
          <w:b w:val="0"/>
          <w:bCs w:val="0"/>
          <w:kern w:val="2"/>
          <w:sz w:val="24"/>
          <w:szCs w:val="24"/>
        </w:rPr>
        <w:t xml:space="preserve"> </w:t>
      </w:r>
      <w:r w:rsidR="00BE57DD">
        <w:rPr>
          <w:rFonts w:asciiTheme="majorHAnsi" w:eastAsia="MS Mincho" w:hAnsiTheme="majorHAnsi" w:cstheme="majorHAnsi"/>
          <w:b w:val="0"/>
          <w:bCs w:val="0"/>
          <w:kern w:val="2"/>
          <w:sz w:val="24"/>
          <w:szCs w:val="24"/>
        </w:rPr>
        <w:t xml:space="preserve">numărul acestora </w:t>
      </w:r>
      <w:r w:rsidRPr="008376FC">
        <w:rPr>
          <w:rFonts w:asciiTheme="majorHAnsi" w:eastAsia="MS Mincho" w:hAnsiTheme="majorHAnsi" w:cstheme="majorHAnsi"/>
          <w:b w:val="0"/>
          <w:bCs w:val="0"/>
          <w:kern w:val="2"/>
          <w:sz w:val="24"/>
          <w:szCs w:val="24"/>
        </w:rPr>
        <w:t xml:space="preserve">a constituit 685 de operatori, respectiv cu 71 </w:t>
      </w:r>
      <w:r w:rsidR="00BE57DD">
        <w:rPr>
          <w:rFonts w:asciiTheme="majorHAnsi" w:eastAsia="MS Mincho" w:hAnsiTheme="majorHAnsi" w:cstheme="majorHAnsi"/>
          <w:b w:val="0"/>
          <w:bCs w:val="0"/>
          <w:kern w:val="2"/>
          <w:sz w:val="24"/>
          <w:szCs w:val="24"/>
        </w:rPr>
        <w:t xml:space="preserve">de </w:t>
      </w:r>
      <w:r w:rsidRPr="008376FC">
        <w:rPr>
          <w:rFonts w:asciiTheme="majorHAnsi" w:eastAsia="MS Mincho" w:hAnsiTheme="majorHAnsi" w:cstheme="majorHAnsi"/>
          <w:b w:val="0"/>
          <w:bCs w:val="0"/>
          <w:kern w:val="2"/>
          <w:sz w:val="24"/>
          <w:szCs w:val="24"/>
        </w:rPr>
        <w:t>operatori mai mult față de anul 2014</w:t>
      </w:r>
      <w:r w:rsidRPr="008376FC">
        <w:rPr>
          <w:rStyle w:val="ab"/>
          <w:rFonts w:asciiTheme="majorHAnsi" w:eastAsia="MS Mincho" w:hAnsiTheme="majorHAnsi" w:cstheme="majorHAnsi"/>
          <w:b w:val="0"/>
          <w:bCs w:val="0"/>
          <w:kern w:val="2"/>
          <w:sz w:val="24"/>
          <w:szCs w:val="24"/>
        </w:rPr>
        <w:footnoteReference w:id="33"/>
      </w:r>
      <w:r w:rsidR="00185D03">
        <w:rPr>
          <w:rFonts w:asciiTheme="majorHAnsi" w:eastAsia="MS Mincho" w:hAnsiTheme="majorHAnsi" w:cstheme="majorHAnsi"/>
          <w:b w:val="0"/>
          <w:bCs w:val="0"/>
          <w:kern w:val="2"/>
          <w:sz w:val="24"/>
          <w:szCs w:val="24"/>
        </w:rPr>
        <w:t>.</w:t>
      </w:r>
      <w:r w:rsidRPr="008376FC">
        <w:rPr>
          <w:rFonts w:asciiTheme="majorHAnsi" w:eastAsia="MS Mincho" w:hAnsiTheme="majorHAnsi" w:cstheme="majorHAnsi"/>
          <w:b w:val="0"/>
          <w:bCs w:val="0"/>
          <w:kern w:val="2"/>
          <w:sz w:val="24"/>
          <w:szCs w:val="24"/>
        </w:rPr>
        <w:t xml:space="preserve"> </w:t>
      </w:r>
      <w:r w:rsidR="00185D03">
        <w:rPr>
          <w:rFonts w:asciiTheme="majorHAnsi" w:eastAsia="MS Mincho" w:hAnsiTheme="majorHAnsi" w:cstheme="majorHAnsi"/>
          <w:b w:val="0"/>
          <w:bCs w:val="0"/>
          <w:kern w:val="2"/>
          <w:sz w:val="24"/>
          <w:szCs w:val="24"/>
        </w:rPr>
        <w:t>Î</w:t>
      </w:r>
      <w:r w:rsidRPr="008376FC">
        <w:rPr>
          <w:rFonts w:asciiTheme="majorHAnsi" w:eastAsia="MS Mincho" w:hAnsiTheme="majorHAnsi" w:cstheme="majorHAnsi"/>
          <w:b w:val="0"/>
          <w:bCs w:val="0"/>
          <w:kern w:val="2"/>
          <w:sz w:val="24"/>
          <w:szCs w:val="24"/>
        </w:rPr>
        <w:t>n perioada auditată</w:t>
      </w:r>
      <w:r w:rsidR="00A16163">
        <w:rPr>
          <w:rFonts w:asciiTheme="majorHAnsi" w:eastAsia="MS Mincho" w:hAnsiTheme="majorHAnsi" w:cstheme="majorHAnsi"/>
          <w:b w:val="0"/>
          <w:bCs w:val="0"/>
          <w:kern w:val="2"/>
          <w:sz w:val="24"/>
          <w:szCs w:val="24"/>
        </w:rPr>
        <w:t>,</w:t>
      </w:r>
      <w:r w:rsidRPr="008376FC">
        <w:rPr>
          <w:rFonts w:asciiTheme="majorHAnsi" w:eastAsia="MS Mincho" w:hAnsiTheme="majorHAnsi" w:cstheme="majorHAnsi"/>
          <w:b w:val="0"/>
          <w:bCs w:val="0"/>
          <w:kern w:val="2"/>
          <w:sz w:val="24"/>
          <w:szCs w:val="24"/>
        </w:rPr>
        <w:t xml:space="preserve"> la specialitățile în domeniul alimentării cu apă şi sanitație, pe parcursul unui an au absolvit de la 20 la 64 de specialişti, numărul de absolvenţi înregistrând o descreştere în dinamică.</w:t>
      </w:r>
    </w:p>
    <w:p w:rsidR="0053166E" w:rsidRPr="008376FC" w:rsidRDefault="0053166E" w:rsidP="00F61756">
      <w:pPr>
        <w:spacing w:before="120" w:after="0" w:line="276" w:lineRule="auto"/>
        <w:jc w:val="both"/>
        <w:rPr>
          <w:rFonts w:asciiTheme="majorHAnsi" w:eastAsia="MS Mincho" w:hAnsiTheme="majorHAnsi" w:cstheme="majorHAnsi"/>
          <w:b w:val="0"/>
          <w:bCs w:val="0"/>
          <w:kern w:val="2"/>
          <w:sz w:val="24"/>
          <w:szCs w:val="24"/>
        </w:rPr>
      </w:pPr>
      <w:r w:rsidRPr="008376FC">
        <w:rPr>
          <w:rFonts w:asciiTheme="majorHAnsi" w:eastAsia="MS Mincho" w:hAnsiTheme="majorHAnsi" w:cstheme="majorHAnsi"/>
          <w:b w:val="0"/>
          <w:bCs w:val="0"/>
          <w:kern w:val="2"/>
          <w:sz w:val="24"/>
          <w:szCs w:val="24"/>
        </w:rPr>
        <w:t xml:space="preserve">O situaţie alarmantă se înregistrează </w:t>
      </w:r>
      <w:r w:rsidR="00A16163">
        <w:rPr>
          <w:rFonts w:asciiTheme="majorHAnsi" w:eastAsia="MS Mincho" w:hAnsiTheme="majorHAnsi" w:cstheme="majorHAnsi"/>
          <w:b w:val="0"/>
          <w:bCs w:val="0"/>
          <w:kern w:val="2"/>
          <w:sz w:val="24"/>
          <w:szCs w:val="24"/>
        </w:rPr>
        <w:t>în</w:t>
      </w:r>
      <w:r w:rsidRPr="008376FC">
        <w:rPr>
          <w:rFonts w:asciiTheme="majorHAnsi" w:eastAsia="MS Mincho" w:hAnsiTheme="majorHAnsi" w:cstheme="majorHAnsi"/>
          <w:b w:val="0"/>
          <w:bCs w:val="0"/>
          <w:kern w:val="2"/>
          <w:sz w:val="24"/>
          <w:szCs w:val="24"/>
        </w:rPr>
        <w:t xml:space="preserve"> învăţământul superior, ciclul </w:t>
      </w:r>
      <w:r w:rsidR="00185D03">
        <w:rPr>
          <w:rFonts w:asciiTheme="majorHAnsi" w:eastAsia="MS Mincho" w:hAnsiTheme="majorHAnsi" w:cstheme="majorHAnsi"/>
          <w:b w:val="0"/>
          <w:bCs w:val="0"/>
          <w:kern w:val="2"/>
          <w:sz w:val="24"/>
          <w:szCs w:val="24"/>
        </w:rPr>
        <w:t xml:space="preserve">de </w:t>
      </w:r>
      <w:r w:rsidRPr="008376FC">
        <w:rPr>
          <w:rFonts w:asciiTheme="majorHAnsi" w:eastAsia="MS Mincho" w:hAnsiTheme="majorHAnsi" w:cstheme="majorHAnsi"/>
          <w:b w:val="0"/>
          <w:bCs w:val="0"/>
          <w:kern w:val="2"/>
          <w:sz w:val="24"/>
          <w:szCs w:val="24"/>
        </w:rPr>
        <w:t>licenţă</w:t>
      </w:r>
      <w:r w:rsidR="00185D03">
        <w:rPr>
          <w:rFonts w:asciiTheme="majorHAnsi" w:eastAsia="MS Mincho" w:hAnsiTheme="majorHAnsi" w:cstheme="majorHAnsi"/>
          <w:b w:val="0"/>
          <w:bCs w:val="0"/>
          <w:kern w:val="2"/>
          <w:sz w:val="24"/>
          <w:szCs w:val="24"/>
        </w:rPr>
        <w:t>,</w:t>
      </w:r>
      <w:r w:rsidRPr="008376FC">
        <w:rPr>
          <w:rFonts w:asciiTheme="majorHAnsi" w:eastAsia="MS Mincho" w:hAnsiTheme="majorHAnsi" w:cstheme="majorHAnsi"/>
          <w:b w:val="0"/>
          <w:bCs w:val="0"/>
          <w:kern w:val="2"/>
          <w:sz w:val="24"/>
          <w:szCs w:val="24"/>
        </w:rPr>
        <w:t xml:space="preserve"> unde numărul de absolvenţi pe an a scăzut de la 28 în anul 2014 la 7, 2 şi 4 în anii 2020-2022</w:t>
      </w:r>
      <w:r w:rsidR="00185D03">
        <w:rPr>
          <w:rFonts w:asciiTheme="majorHAnsi" w:eastAsia="MS Mincho" w:hAnsiTheme="majorHAnsi" w:cstheme="majorHAnsi"/>
          <w:b w:val="0"/>
          <w:bCs w:val="0"/>
          <w:kern w:val="2"/>
          <w:sz w:val="24"/>
          <w:szCs w:val="24"/>
        </w:rPr>
        <w:t>.</w:t>
      </w:r>
      <w:r w:rsidRPr="008376FC">
        <w:rPr>
          <w:rFonts w:asciiTheme="majorHAnsi" w:eastAsia="MS Mincho" w:hAnsiTheme="majorHAnsi" w:cstheme="majorHAnsi"/>
          <w:b w:val="0"/>
          <w:bCs w:val="0"/>
          <w:kern w:val="2"/>
          <w:sz w:val="24"/>
          <w:szCs w:val="24"/>
        </w:rPr>
        <w:t xml:space="preserve"> </w:t>
      </w:r>
      <w:r w:rsidR="00185D03">
        <w:rPr>
          <w:rFonts w:asciiTheme="majorHAnsi" w:eastAsia="MS Mincho" w:hAnsiTheme="majorHAnsi" w:cstheme="majorHAnsi"/>
          <w:b w:val="0"/>
          <w:bCs w:val="0"/>
          <w:kern w:val="2"/>
          <w:sz w:val="24"/>
          <w:szCs w:val="24"/>
        </w:rPr>
        <w:t>T</w:t>
      </w:r>
      <w:r w:rsidRPr="008376FC">
        <w:rPr>
          <w:rFonts w:asciiTheme="majorHAnsi" w:eastAsia="MS Mincho" w:hAnsiTheme="majorHAnsi" w:cstheme="majorHAnsi"/>
          <w:b w:val="0"/>
          <w:bCs w:val="0"/>
          <w:kern w:val="2"/>
          <w:sz w:val="24"/>
          <w:szCs w:val="24"/>
        </w:rPr>
        <w:t>otodată</w:t>
      </w:r>
      <w:r w:rsidR="00185D03">
        <w:rPr>
          <w:rFonts w:asciiTheme="majorHAnsi" w:eastAsia="MS Mincho" w:hAnsiTheme="majorHAnsi" w:cstheme="majorHAnsi"/>
          <w:b w:val="0"/>
          <w:bCs w:val="0"/>
          <w:kern w:val="2"/>
          <w:sz w:val="24"/>
          <w:szCs w:val="24"/>
        </w:rPr>
        <w:t>,</w:t>
      </w:r>
      <w:r w:rsidRPr="008376FC">
        <w:rPr>
          <w:rFonts w:asciiTheme="majorHAnsi" w:eastAsia="MS Mincho" w:hAnsiTheme="majorHAnsi" w:cstheme="majorHAnsi"/>
          <w:b w:val="0"/>
          <w:bCs w:val="0"/>
          <w:kern w:val="2"/>
          <w:sz w:val="24"/>
          <w:szCs w:val="24"/>
        </w:rPr>
        <w:t xml:space="preserve"> se atestă că pe parcursul ultimilor doi ani niciun student cu studii din buget nu a </w:t>
      </w:r>
      <w:r w:rsidRPr="00481FDE">
        <w:rPr>
          <w:rFonts w:asciiTheme="majorHAnsi" w:eastAsia="MS Mincho" w:hAnsiTheme="majorHAnsi" w:cstheme="majorHAnsi"/>
          <w:b w:val="0"/>
          <w:bCs w:val="0"/>
          <w:kern w:val="2"/>
          <w:sz w:val="24"/>
          <w:szCs w:val="24"/>
        </w:rPr>
        <w:t xml:space="preserve">absolvit ciclul </w:t>
      </w:r>
      <w:r w:rsidR="00BC28D6" w:rsidRPr="00481FDE">
        <w:rPr>
          <w:rFonts w:asciiTheme="majorHAnsi" w:eastAsia="MS Mincho" w:hAnsiTheme="majorHAnsi" w:cstheme="majorHAnsi"/>
          <w:b w:val="0"/>
          <w:bCs w:val="0"/>
          <w:kern w:val="2"/>
          <w:sz w:val="24"/>
          <w:szCs w:val="24"/>
        </w:rPr>
        <w:t>lice</w:t>
      </w:r>
      <w:r w:rsidR="00BB6D20" w:rsidRPr="00481FDE">
        <w:rPr>
          <w:rFonts w:asciiTheme="majorHAnsi" w:eastAsia="MS Mincho" w:hAnsiTheme="majorHAnsi" w:cstheme="majorHAnsi"/>
          <w:b w:val="0"/>
          <w:bCs w:val="0"/>
          <w:kern w:val="2"/>
          <w:sz w:val="24"/>
          <w:szCs w:val="24"/>
        </w:rPr>
        <w:t>nţă</w:t>
      </w:r>
      <w:r w:rsidR="00BC28D6" w:rsidRPr="00481FDE">
        <w:rPr>
          <w:rFonts w:asciiTheme="majorHAnsi" w:eastAsia="MS Mincho" w:hAnsiTheme="majorHAnsi" w:cstheme="majorHAnsi"/>
          <w:b w:val="0"/>
          <w:bCs w:val="0"/>
          <w:kern w:val="2"/>
          <w:sz w:val="24"/>
          <w:szCs w:val="24"/>
        </w:rPr>
        <w:t>,</w:t>
      </w:r>
      <w:r w:rsidRPr="00481FDE">
        <w:rPr>
          <w:rFonts w:asciiTheme="majorHAnsi" w:eastAsia="MS Mincho" w:hAnsiTheme="majorHAnsi" w:cstheme="majorHAnsi"/>
          <w:b w:val="0"/>
          <w:bCs w:val="0"/>
          <w:kern w:val="2"/>
          <w:sz w:val="24"/>
          <w:szCs w:val="24"/>
        </w:rPr>
        <w:t xml:space="preserve"> deşi</w:t>
      </w:r>
      <w:r w:rsidRPr="008376FC">
        <w:rPr>
          <w:rFonts w:asciiTheme="majorHAnsi" w:eastAsia="MS Mincho" w:hAnsiTheme="majorHAnsi" w:cstheme="majorHAnsi"/>
          <w:b w:val="0"/>
          <w:bCs w:val="0"/>
          <w:kern w:val="2"/>
          <w:sz w:val="24"/>
          <w:szCs w:val="24"/>
        </w:rPr>
        <w:t xml:space="preserve"> alocaţiile au fost utilizate în mărime de </w:t>
      </w:r>
      <w:r w:rsidR="000056B2" w:rsidRPr="008376FC">
        <w:rPr>
          <w:rFonts w:asciiTheme="majorHAnsi" w:eastAsia="MS Mincho" w:hAnsiTheme="majorHAnsi" w:cstheme="majorHAnsi"/>
          <w:b w:val="0"/>
          <w:bCs w:val="0"/>
          <w:kern w:val="2"/>
          <w:sz w:val="24"/>
          <w:szCs w:val="24"/>
        </w:rPr>
        <w:t>106,5%.</w:t>
      </w:r>
    </w:p>
    <w:p w:rsidR="0053166E" w:rsidRPr="008376FC" w:rsidRDefault="0053166E" w:rsidP="00F61756">
      <w:pPr>
        <w:spacing w:before="120" w:after="0" w:line="276" w:lineRule="auto"/>
        <w:jc w:val="both"/>
        <w:rPr>
          <w:rFonts w:asciiTheme="majorHAnsi" w:eastAsia="MS Mincho" w:hAnsiTheme="majorHAnsi" w:cstheme="majorHAnsi"/>
          <w:b w:val="0"/>
          <w:bCs w:val="0"/>
          <w:kern w:val="2"/>
          <w:sz w:val="24"/>
          <w:szCs w:val="24"/>
        </w:rPr>
      </w:pPr>
      <w:r w:rsidRPr="008376FC">
        <w:rPr>
          <w:rFonts w:asciiTheme="majorHAnsi" w:eastAsia="MS Mincho" w:hAnsiTheme="majorHAnsi" w:cstheme="majorHAnsi"/>
          <w:b w:val="0"/>
          <w:bCs w:val="0"/>
          <w:kern w:val="2"/>
          <w:sz w:val="24"/>
          <w:szCs w:val="24"/>
        </w:rPr>
        <w:t>Scăderea numărului de studenți şi</w:t>
      </w:r>
      <w:r w:rsidR="00185D03">
        <w:rPr>
          <w:rFonts w:asciiTheme="majorHAnsi" w:eastAsia="MS Mincho" w:hAnsiTheme="majorHAnsi" w:cstheme="majorHAnsi"/>
          <w:b w:val="0"/>
          <w:bCs w:val="0"/>
          <w:kern w:val="2"/>
          <w:sz w:val="24"/>
          <w:szCs w:val="24"/>
        </w:rPr>
        <w:t>,</w:t>
      </w:r>
      <w:r w:rsidRPr="008376FC">
        <w:rPr>
          <w:rFonts w:asciiTheme="majorHAnsi" w:eastAsia="MS Mincho" w:hAnsiTheme="majorHAnsi" w:cstheme="majorHAnsi"/>
          <w:b w:val="0"/>
          <w:bCs w:val="0"/>
          <w:kern w:val="2"/>
          <w:sz w:val="24"/>
          <w:szCs w:val="24"/>
        </w:rPr>
        <w:t xml:space="preserve"> respectiv, absolvenţi care decid să studieze la specialităţile în domeniul alimentării cu apă şi sanitaţie</w:t>
      </w:r>
      <w:r w:rsidR="00185D03">
        <w:rPr>
          <w:rFonts w:asciiTheme="majorHAnsi" w:eastAsia="MS Mincho" w:hAnsiTheme="majorHAnsi" w:cstheme="majorHAnsi"/>
          <w:b w:val="0"/>
          <w:bCs w:val="0"/>
          <w:kern w:val="2"/>
          <w:sz w:val="24"/>
          <w:szCs w:val="24"/>
        </w:rPr>
        <w:t>i</w:t>
      </w:r>
      <w:r w:rsidRPr="008376FC">
        <w:rPr>
          <w:rFonts w:asciiTheme="majorHAnsi" w:eastAsia="MS Mincho" w:hAnsiTheme="majorHAnsi" w:cstheme="majorHAnsi"/>
          <w:b w:val="0"/>
          <w:bCs w:val="0"/>
          <w:kern w:val="2"/>
          <w:sz w:val="24"/>
          <w:szCs w:val="24"/>
        </w:rPr>
        <w:t xml:space="preserve"> constituie o provocare pentru sector în perioada ce urmează, </w:t>
      </w:r>
      <w:r w:rsidR="00185D03">
        <w:rPr>
          <w:rFonts w:asciiTheme="majorHAnsi" w:eastAsia="MS Mincho" w:hAnsiTheme="majorHAnsi" w:cstheme="majorHAnsi"/>
          <w:b w:val="0"/>
          <w:bCs w:val="0"/>
          <w:kern w:val="2"/>
          <w:sz w:val="24"/>
          <w:szCs w:val="24"/>
        </w:rPr>
        <w:t>astfel că</w:t>
      </w:r>
      <w:r w:rsidR="00185D03" w:rsidRPr="008376FC">
        <w:rPr>
          <w:rFonts w:asciiTheme="majorHAnsi" w:eastAsia="MS Mincho" w:hAnsiTheme="majorHAnsi" w:cstheme="majorHAnsi"/>
          <w:b w:val="0"/>
          <w:bCs w:val="0"/>
          <w:kern w:val="2"/>
          <w:sz w:val="24"/>
          <w:szCs w:val="24"/>
        </w:rPr>
        <w:t xml:space="preserve"> </w:t>
      </w:r>
      <w:r w:rsidRPr="008376FC">
        <w:rPr>
          <w:rFonts w:asciiTheme="majorHAnsi" w:eastAsia="MS Mincho" w:hAnsiTheme="majorHAnsi" w:cstheme="majorHAnsi"/>
          <w:b w:val="0"/>
          <w:bCs w:val="0"/>
          <w:kern w:val="2"/>
          <w:sz w:val="24"/>
          <w:szCs w:val="24"/>
        </w:rPr>
        <w:t>această situaţie urmează a fi ţinută în vizor în procesul elaborării noilor politici publice în domeniu.</w:t>
      </w:r>
    </w:p>
    <w:p w:rsidR="0053166E" w:rsidRPr="008376FC" w:rsidRDefault="0053166E" w:rsidP="00F61756">
      <w:pPr>
        <w:spacing w:before="120" w:after="0" w:line="276" w:lineRule="auto"/>
        <w:jc w:val="both"/>
        <w:rPr>
          <w:rFonts w:asciiTheme="majorHAnsi" w:eastAsia="MS Mincho" w:hAnsiTheme="majorHAnsi" w:cstheme="majorHAnsi"/>
          <w:b w:val="0"/>
          <w:bCs w:val="0"/>
          <w:i/>
          <w:iCs/>
          <w:kern w:val="2"/>
          <w:sz w:val="24"/>
          <w:szCs w:val="24"/>
        </w:rPr>
      </w:pPr>
      <w:r w:rsidRPr="008376FC">
        <w:rPr>
          <w:rFonts w:asciiTheme="majorHAnsi" w:eastAsia="MS Mincho" w:hAnsiTheme="majorHAnsi" w:cstheme="majorHAnsi"/>
          <w:b w:val="0"/>
          <w:bCs w:val="0"/>
          <w:i/>
          <w:iCs/>
          <w:kern w:val="2"/>
          <w:sz w:val="24"/>
          <w:szCs w:val="24"/>
        </w:rPr>
        <w:t>Informaţi</w:t>
      </w:r>
      <w:r w:rsidR="00185D03">
        <w:rPr>
          <w:rFonts w:asciiTheme="majorHAnsi" w:eastAsia="MS Mincho" w:hAnsiTheme="majorHAnsi" w:cstheme="majorHAnsi"/>
          <w:b w:val="0"/>
          <w:bCs w:val="0"/>
          <w:i/>
          <w:iCs/>
          <w:kern w:val="2"/>
          <w:sz w:val="24"/>
          <w:szCs w:val="24"/>
        </w:rPr>
        <w:t>i</w:t>
      </w:r>
      <w:r w:rsidRPr="008376FC">
        <w:rPr>
          <w:rFonts w:asciiTheme="majorHAnsi" w:eastAsia="MS Mincho" w:hAnsiTheme="majorHAnsi" w:cstheme="majorHAnsi"/>
          <w:b w:val="0"/>
          <w:bCs w:val="0"/>
          <w:i/>
          <w:iCs/>
          <w:kern w:val="2"/>
          <w:sz w:val="24"/>
          <w:szCs w:val="24"/>
        </w:rPr>
        <w:t xml:space="preserve"> complet</w:t>
      </w:r>
      <w:r w:rsidR="00185D03">
        <w:rPr>
          <w:rFonts w:asciiTheme="majorHAnsi" w:eastAsia="MS Mincho" w:hAnsiTheme="majorHAnsi" w:cstheme="majorHAnsi"/>
          <w:b w:val="0"/>
          <w:bCs w:val="0"/>
          <w:i/>
          <w:iCs/>
          <w:kern w:val="2"/>
          <w:sz w:val="24"/>
          <w:szCs w:val="24"/>
        </w:rPr>
        <w:t>e</w:t>
      </w:r>
      <w:r w:rsidRPr="008376FC">
        <w:rPr>
          <w:rFonts w:asciiTheme="majorHAnsi" w:eastAsia="MS Mincho" w:hAnsiTheme="majorHAnsi" w:cstheme="majorHAnsi"/>
          <w:b w:val="0"/>
          <w:bCs w:val="0"/>
          <w:i/>
          <w:iCs/>
          <w:kern w:val="2"/>
          <w:sz w:val="24"/>
          <w:szCs w:val="24"/>
        </w:rPr>
        <w:t xml:space="preserve"> aferent</w:t>
      </w:r>
      <w:r w:rsidR="00185D03">
        <w:rPr>
          <w:rFonts w:asciiTheme="majorHAnsi" w:eastAsia="MS Mincho" w:hAnsiTheme="majorHAnsi" w:cstheme="majorHAnsi"/>
          <w:b w:val="0"/>
          <w:bCs w:val="0"/>
          <w:i/>
          <w:iCs/>
          <w:kern w:val="2"/>
          <w:sz w:val="24"/>
          <w:szCs w:val="24"/>
        </w:rPr>
        <w:t>e</w:t>
      </w:r>
      <w:r w:rsidRPr="008376FC">
        <w:rPr>
          <w:rFonts w:asciiTheme="majorHAnsi" w:eastAsia="MS Mincho" w:hAnsiTheme="majorHAnsi" w:cstheme="majorHAnsi"/>
          <w:b w:val="0"/>
          <w:bCs w:val="0"/>
          <w:i/>
          <w:iCs/>
          <w:kern w:val="2"/>
          <w:sz w:val="24"/>
          <w:szCs w:val="24"/>
        </w:rPr>
        <w:t xml:space="preserve"> formării profesionale în domeniul alimentării cu apă şi sanitaţie</w:t>
      </w:r>
      <w:r w:rsidR="00185D03">
        <w:rPr>
          <w:rFonts w:asciiTheme="majorHAnsi" w:eastAsia="MS Mincho" w:hAnsiTheme="majorHAnsi" w:cstheme="majorHAnsi"/>
          <w:b w:val="0"/>
          <w:bCs w:val="0"/>
          <w:i/>
          <w:iCs/>
          <w:kern w:val="2"/>
          <w:sz w:val="24"/>
          <w:szCs w:val="24"/>
        </w:rPr>
        <w:t>i</w:t>
      </w:r>
      <w:r w:rsidRPr="008376FC">
        <w:rPr>
          <w:rFonts w:asciiTheme="majorHAnsi" w:eastAsia="MS Mincho" w:hAnsiTheme="majorHAnsi" w:cstheme="majorHAnsi"/>
          <w:b w:val="0"/>
          <w:bCs w:val="0"/>
          <w:i/>
          <w:iCs/>
          <w:kern w:val="2"/>
          <w:sz w:val="24"/>
          <w:szCs w:val="24"/>
        </w:rPr>
        <w:t xml:space="preserve"> se prezintă la Anexele nr.</w:t>
      </w:r>
      <w:r w:rsidR="00185D03">
        <w:rPr>
          <w:rFonts w:asciiTheme="majorHAnsi" w:eastAsia="MS Mincho" w:hAnsiTheme="majorHAnsi" w:cstheme="majorHAnsi"/>
          <w:b w:val="0"/>
          <w:bCs w:val="0"/>
          <w:i/>
          <w:iCs/>
          <w:kern w:val="2"/>
          <w:sz w:val="24"/>
          <w:szCs w:val="24"/>
        </w:rPr>
        <w:t xml:space="preserve"> </w:t>
      </w:r>
      <w:r w:rsidR="00DF15BE" w:rsidRPr="008376FC">
        <w:rPr>
          <w:rFonts w:asciiTheme="majorHAnsi" w:eastAsia="MS Mincho" w:hAnsiTheme="majorHAnsi" w:cstheme="majorHAnsi"/>
          <w:b w:val="0"/>
          <w:bCs w:val="0"/>
          <w:i/>
          <w:iCs/>
          <w:kern w:val="2"/>
          <w:sz w:val="24"/>
          <w:szCs w:val="24"/>
        </w:rPr>
        <w:t>6</w:t>
      </w:r>
      <w:r w:rsidRPr="008376FC">
        <w:rPr>
          <w:rFonts w:asciiTheme="majorHAnsi" w:eastAsia="MS Mincho" w:hAnsiTheme="majorHAnsi" w:cstheme="majorHAnsi"/>
          <w:b w:val="0"/>
          <w:bCs w:val="0"/>
          <w:i/>
          <w:iCs/>
          <w:kern w:val="2"/>
          <w:sz w:val="24"/>
          <w:szCs w:val="24"/>
        </w:rPr>
        <w:t xml:space="preserve">, </w:t>
      </w:r>
      <w:r w:rsidR="00DF15BE" w:rsidRPr="008376FC">
        <w:rPr>
          <w:rFonts w:asciiTheme="majorHAnsi" w:eastAsia="MS Mincho" w:hAnsiTheme="majorHAnsi" w:cstheme="majorHAnsi"/>
          <w:b w:val="0"/>
          <w:bCs w:val="0"/>
          <w:i/>
          <w:iCs/>
          <w:kern w:val="2"/>
          <w:sz w:val="24"/>
          <w:szCs w:val="24"/>
        </w:rPr>
        <w:t>7</w:t>
      </w:r>
      <w:r w:rsidRPr="008376FC">
        <w:rPr>
          <w:rFonts w:asciiTheme="majorHAnsi" w:eastAsia="MS Mincho" w:hAnsiTheme="majorHAnsi" w:cstheme="majorHAnsi"/>
          <w:b w:val="0"/>
          <w:bCs w:val="0"/>
          <w:i/>
          <w:iCs/>
          <w:kern w:val="2"/>
          <w:sz w:val="24"/>
          <w:szCs w:val="24"/>
        </w:rPr>
        <w:t xml:space="preserve"> şi </w:t>
      </w:r>
      <w:r w:rsidR="00DF15BE" w:rsidRPr="008376FC">
        <w:rPr>
          <w:rFonts w:asciiTheme="majorHAnsi" w:eastAsia="MS Mincho" w:hAnsiTheme="majorHAnsi" w:cstheme="majorHAnsi"/>
          <w:b w:val="0"/>
          <w:bCs w:val="0"/>
          <w:i/>
          <w:iCs/>
          <w:kern w:val="2"/>
          <w:sz w:val="24"/>
          <w:szCs w:val="24"/>
        </w:rPr>
        <w:t>8</w:t>
      </w:r>
      <w:r w:rsidRPr="008376FC">
        <w:rPr>
          <w:rFonts w:asciiTheme="majorHAnsi" w:eastAsia="MS Mincho" w:hAnsiTheme="majorHAnsi" w:cstheme="majorHAnsi"/>
          <w:b w:val="0"/>
          <w:bCs w:val="0"/>
          <w:i/>
          <w:iCs/>
          <w:kern w:val="2"/>
          <w:sz w:val="24"/>
          <w:szCs w:val="24"/>
        </w:rPr>
        <w:t xml:space="preserve"> la prezentul Raport de audit.</w:t>
      </w:r>
    </w:p>
    <w:p w:rsidR="00756AE7" w:rsidRPr="008376FC" w:rsidRDefault="00756AE7" w:rsidP="00F61756">
      <w:pPr>
        <w:spacing w:before="120" w:after="0" w:line="276" w:lineRule="auto"/>
        <w:jc w:val="both"/>
        <w:rPr>
          <w:rFonts w:asciiTheme="majorHAnsi" w:eastAsia="MS Mincho" w:hAnsiTheme="majorHAnsi" w:cstheme="majorHAnsi"/>
          <w:b w:val="0"/>
          <w:bCs w:val="0"/>
          <w:i/>
          <w:iCs/>
          <w:kern w:val="2"/>
          <w:sz w:val="24"/>
          <w:szCs w:val="24"/>
        </w:rPr>
      </w:pPr>
    </w:p>
    <w:p w:rsidR="00756AE7" w:rsidRPr="008376FC" w:rsidRDefault="00F638F7" w:rsidP="00F61756">
      <w:pPr>
        <w:pStyle w:val="a3"/>
        <w:tabs>
          <w:tab w:val="left" w:pos="851"/>
        </w:tabs>
        <w:spacing w:line="276" w:lineRule="auto"/>
        <w:ind w:left="0"/>
        <w:jc w:val="both"/>
        <w:outlineLvl w:val="0"/>
        <w:rPr>
          <w:rFonts w:asciiTheme="majorHAnsi" w:eastAsia="Calibri" w:hAnsiTheme="majorHAnsi"/>
          <w:b/>
          <w:color w:val="0070C0"/>
          <w:lang w:val="ro-RO"/>
        </w:rPr>
      </w:pPr>
      <w:bookmarkStart w:id="27" w:name="_Toc132042785"/>
      <w:bookmarkStart w:id="28" w:name="_Toc132320208"/>
      <w:r w:rsidRPr="008376FC">
        <w:rPr>
          <w:rFonts w:asciiTheme="majorHAnsi" w:eastAsia="Calibri" w:hAnsiTheme="majorHAnsi"/>
          <w:b/>
          <w:color w:val="0070C0"/>
          <w:lang w:val="ro-RO"/>
        </w:rPr>
        <w:t>4.2. I</w:t>
      </w:r>
      <w:r w:rsidR="00583310" w:rsidRPr="008376FC">
        <w:rPr>
          <w:rFonts w:asciiTheme="majorHAnsi" w:eastAsia="Calibri" w:hAnsiTheme="majorHAnsi"/>
          <w:b/>
          <w:color w:val="0070C0"/>
          <w:lang w:val="ro-RO"/>
        </w:rPr>
        <w:t xml:space="preserve">nvestițiile efectuate din </w:t>
      </w:r>
      <w:r w:rsidR="00F64216">
        <w:rPr>
          <w:rFonts w:asciiTheme="majorHAnsi" w:eastAsia="Calibri" w:hAnsiTheme="majorHAnsi"/>
          <w:b/>
          <w:color w:val="0070C0"/>
          <w:lang w:val="ro-RO"/>
        </w:rPr>
        <w:t>re</w:t>
      </w:r>
      <w:r w:rsidR="00583310" w:rsidRPr="008376FC">
        <w:rPr>
          <w:rFonts w:asciiTheme="majorHAnsi" w:eastAsia="Calibri" w:hAnsiTheme="majorHAnsi"/>
          <w:b/>
          <w:color w:val="0070C0"/>
          <w:lang w:val="ro-RO"/>
        </w:rPr>
        <w:t xml:space="preserve">sursele </w:t>
      </w:r>
      <w:r w:rsidRPr="008376FC">
        <w:rPr>
          <w:rFonts w:asciiTheme="majorHAnsi" w:eastAsia="Calibri" w:hAnsiTheme="majorHAnsi"/>
          <w:b/>
          <w:color w:val="0070C0"/>
          <w:lang w:val="ro-RO"/>
        </w:rPr>
        <w:t xml:space="preserve">FEN, FNRD ŞI FNDAMR </w:t>
      </w:r>
      <w:r w:rsidR="00583310" w:rsidRPr="008376FC">
        <w:rPr>
          <w:rFonts w:asciiTheme="majorHAnsi" w:eastAsia="Calibri" w:hAnsiTheme="majorHAnsi"/>
          <w:b/>
          <w:color w:val="0070C0"/>
          <w:lang w:val="ro-RO"/>
        </w:rPr>
        <w:t>au întrunit criteriile de eficiență, durabilitate și sustenabilitate</w:t>
      </w:r>
      <w:r w:rsidRPr="008376FC">
        <w:rPr>
          <w:rFonts w:asciiTheme="majorHAnsi" w:eastAsia="Calibri" w:hAnsiTheme="majorHAnsi"/>
          <w:b/>
          <w:color w:val="0070C0"/>
          <w:lang w:val="ro-RO"/>
        </w:rPr>
        <w:t>?</w:t>
      </w:r>
      <w:bookmarkEnd w:id="27"/>
      <w:bookmarkEnd w:id="28"/>
    </w:p>
    <w:p w:rsidR="00F638F7" w:rsidRPr="008376FC" w:rsidRDefault="00F638F7" w:rsidP="00F61756">
      <w:pPr>
        <w:pStyle w:val="a3"/>
        <w:tabs>
          <w:tab w:val="left" w:pos="851"/>
        </w:tabs>
        <w:spacing w:line="276" w:lineRule="auto"/>
        <w:ind w:left="0" w:firstLine="709"/>
        <w:jc w:val="both"/>
        <w:rPr>
          <w:rFonts w:asciiTheme="majorHAnsi" w:eastAsia="Calibri" w:hAnsiTheme="majorHAnsi"/>
          <w:b/>
          <w:color w:val="0070C0"/>
          <w:lang w:val="ro-RO"/>
        </w:rPr>
      </w:pPr>
    </w:p>
    <w:tbl>
      <w:tblPr>
        <w:tblStyle w:val="af2"/>
        <w:tblW w:w="0" w:type="auto"/>
        <w:shd w:val="clear" w:color="auto" w:fill="BDD6EE" w:themeFill="accent1" w:themeFillTint="66"/>
        <w:tblLook w:val="04A0" w:firstRow="1" w:lastRow="0" w:firstColumn="1" w:lastColumn="0" w:noHBand="0" w:noVBand="1"/>
      </w:tblPr>
      <w:tblGrid>
        <w:gridCol w:w="9678"/>
      </w:tblGrid>
      <w:tr w:rsidR="00756AE7" w:rsidRPr="008376FC" w:rsidTr="005E163F">
        <w:tc>
          <w:tcPr>
            <w:tcW w:w="10103" w:type="dxa"/>
            <w:shd w:val="clear" w:color="auto" w:fill="BDD6EE" w:themeFill="accent1" w:themeFillTint="66"/>
          </w:tcPr>
          <w:p w:rsidR="00C85C6D" w:rsidRPr="008376FC" w:rsidRDefault="000056B2" w:rsidP="00F61756">
            <w:pPr>
              <w:spacing w:before="120" w:after="160" w:line="276" w:lineRule="auto"/>
              <w:jc w:val="both"/>
              <w:rPr>
                <w:rFonts w:asciiTheme="majorHAnsi" w:eastAsia="MS Mincho" w:hAnsiTheme="majorHAnsi" w:cstheme="majorHAnsi"/>
                <w:b w:val="0"/>
                <w:bCs w:val="0"/>
                <w:i/>
                <w:iCs/>
                <w:kern w:val="2"/>
                <w:sz w:val="24"/>
                <w:szCs w:val="24"/>
              </w:rPr>
            </w:pPr>
            <w:r w:rsidRPr="008376FC">
              <w:rPr>
                <w:rFonts w:asciiTheme="majorHAnsi" w:eastAsia="MS Mincho" w:hAnsiTheme="majorHAnsi" w:cstheme="majorHAnsi"/>
                <w:b w:val="0"/>
                <w:bCs w:val="0"/>
                <w:i/>
                <w:iCs/>
                <w:kern w:val="2"/>
                <w:sz w:val="24"/>
                <w:szCs w:val="24"/>
              </w:rPr>
              <w:t xml:space="preserve">Finanţarea incertă şi fragmentată a investiţiilor în domeniul alimentării cu apă şi sanitaţiei, fiind atrase mijloace financiare din mai multe canale de finanţare (FEN, FNDRL, FNDAMR, surse externe etc.), nu contribuie la implementarea unor proiecte investiţionale </w:t>
            </w:r>
            <w:r w:rsidR="00C85C6D" w:rsidRPr="008376FC">
              <w:rPr>
                <w:rFonts w:asciiTheme="majorHAnsi" w:eastAsia="MS Mincho" w:hAnsiTheme="majorHAnsi" w:cstheme="majorHAnsi"/>
                <w:b w:val="0"/>
                <w:bCs w:val="0"/>
                <w:i/>
                <w:iCs/>
                <w:kern w:val="2"/>
                <w:sz w:val="24"/>
                <w:szCs w:val="24"/>
              </w:rPr>
              <w:t xml:space="preserve">complexe și la </w:t>
            </w:r>
            <w:r w:rsidRPr="008376FC">
              <w:rPr>
                <w:rFonts w:asciiTheme="majorHAnsi" w:eastAsia="MS Mincho" w:hAnsiTheme="majorHAnsi" w:cstheme="majorHAnsi"/>
                <w:b w:val="0"/>
                <w:bCs w:val="0"/>
                <w:i/>
                <w:iCs/>
                <w:kern w:val="2"/>
                <w:sz w:val="24"/>
                <w:szCs w:val="24"/>
              </w:rPr>
              <w:t>durabil</w:t>
            </w:r>
            <w:r w:rsidR="00C85C6D" w:rsidRPr="008376FC">
              <w:rPr>
                <w:rFonts w:asciiTheme="majorHAnsi" w:eastAsia="MS Mincho" w:hAnsiTheme="majorHAnsi" w:cstheme="majorHAnsi"/>
                <w:b w:val="0"/>
                <w:bCs w:val="0"/>
                <w:i/>
                <w:iCs/>
                <w:kern w:val="2"/>
                <w:sz w:val="24"/>
                <w:szCs w:val="24"/>
              </w:rPr>
              <w:t>itatea</w:t>
            </w:r>
            <w:r w:rsidRPr="008376FC">
              <w:rPr>
                <w:rFonts w:asciiTheme="majorHAnsi" w:eastAsia="MS Mincho" w:hAnsiTheme="majorHAnsi" w:cstheme="majorHAnsi"/>
                <w:b w:val="0"/>
                <w:bCs w:val="0"/>
                <w:i/>
                <w:iCs/>
                <w:kern w:val="2"/>
                <w:sz w:val="24"/>
                <w:szCs w:val="24"/>
              </w:rPr>
              <w:t xml:space="preserve"> şi sustenabil</w:t>
            </w:r>
            <w:r w:rsidR="00C85C6D" w:rsidRPr="008376FC">
              <w:rPr>
                <w:rFonts w:asciiTheme="majorHAnsi" w:eastAsia="MS Mincho" w:hAnsiTheme="majorHAnsi" w:cstheme="majorHAnsi"/>
                <w:b w:val="0"/>
                <w:bCs w:val="0"/>
                <w:i/>
                <w:iCs/>
                <w:kern w:val="2"/>
                <w:sz w:val="24"/>
                <w:szCs w:val="24"/>
              </w:rPr>
              <w:t>itatea acestora</w:t>
            </w:r>
            <w:r w:rsidRPr="008376FC">
              <w:rPr>
                <w:rFonts w:asciiTheme="majorHAnsi" w:eastAsia="MS Mincho" w:hAnsiTheme="majorHAnsi" w:cstheme="majorHAnsi"/>
                <w:b w:val="0"/>
                <w:bCs w:val="0"/>
                <w:i/>
                <w:iCs/>
                <w:kern w:val="2"/>
                <w:sz w:val="24"/>
                <w:szCs w:val="24"/>
              </w:rPr>
              <w:t>. Astfel</w:t>
            </w:r>
            <w:r w:rsidR="00FF660A" w:rsidRPr="008376FC">
              <w:rPr>
                <w:rFonts w:asciiTheme="majorHAnsi" w:eastAsia="MS Mincho" w:hAnsiTheme="majorHAnsi" w:cstheme="majorHAnsi"/>
                <w:b w:val="0"/>
                <w:bCs w:val="0"/>
                <w:i/>
                <w:iCs/>
                <w:kern w:val="2"/>
                <w:sz w:val="24"/>
                <w:szCs w:val="24"/>
              </w:rPr>
              <w:t>,</w:t>
            </w:r>
            <w:r w:rsidRPr="008376FC">
              <w:rPr>
                <w:rFonts w:asciiTheme="majorHAnsi" w:eastAsia="MS Mincho" w:hAnsiTheme="majorHAnsi" w:cstheme="majorHAnsi"/>
                <w:b w:val="0"/>
                <w:bCs w:val="0"/>
                <w:i/>
                <w:iCs/>
                <w:kern w:val="2"/>
                <w:sz w:val="24"/>
                <w:szCs w:val="24"/>
              </w:rPr>
              <w:t xml:space="preserve"> o parte din proiectele </w:t>
            </w:r>
            <w:r w:rsidR="00C85C6D" w:rsidRPr="008376FC">
              <w:rPr>
                <w:rFonts w:asciiTheme="majorHAnsi" w:eastAsia="MS Mincho" w:hAnsiTheme="majorHAnsi" w:cstheme="majorHAnsi"/>
                <w:b w:val="0"/>
                <w:bCs w:val="0"/>
                <w:i/>
                <w:iCs/>
                <w:kern w:val="2"/>
                <w:sz w:val="24"/>
                <w:szCs w:val="24"/>
              </w:rPr>
              <w:t xml:space="preserve">finanțate din </w:t>
            </w:r>
            <w:r w:rsidRPr="008376FC">
              <w:rPr>
                <w:rFonts w:asciiTheme="majorHAnsi" w:eastAsia="MS Mincho" w:hAnsiTheme="majorHAnsi" w:cstheme="majorHAnsi"/>
                <w:b w:val="0"/>
                <w:bCs w:val="0"/>
                <w:i/>
                <w:iCs/>
                <w:kern w:val="2"/>
                <w:sz w:val="24"/>
                <w:szCs w:val="24"/>
              </w:rPr>
              <w:t>FEN/FNDR au fost iniţiate, dar nefinalizate, pentru unele proiecte fiind extin</w:t>
            </w:r>
            <w:r w:rsidR="00185D03">
              <w:rPr>
                <w:rFonts w:asciiTheme="majorHAnsi" w:eastAsia="MS Mincho" w:hAnsiTheme="majorHAnsi" w:cstheme="majorHAnsi"/>
                <w:b w:val="0"/>
                <w:bCs w:val="0"/>
                <w:i/>
                <w:iCs/>
                <w:kern w:val="2"/>
                <w:sz w:val="24"/>
                <w:szCs w:val="24"/>
              </w:rPr>
              <w:t>se</w:t>
            </w:r>
            <w:r w:rsidRPr="008376FC">
              <w:rPr>
                <w:rFonts w:asciiTheme="majorHAnsi" w:eastAsia="MS Mincho" w:hAnsiTheme="majorHAnsi" w:cstheme="majorHAnsi"/>
                <w:b w:val="0"/>
                <w:bCs w:val="0"/>
                <w:i/>
                <w:iCs/>
                <w:kern w:val="2"/>
                <w:sz w:val="24"/>
                <w:szCs w:val="24"/>
              </w:rPr>
              <w:t xml:space="preserve"> termen</w:t>
            </w:r>
            <w:r w:rsidR="00185D03">
              <w:rPr>
                <w:rFonts w:asciiTheme="majorHAnsi" w:eastAsia="MS Mincho" w:hAnsiTheme="majorHAnsi" w:cstheme="majorHAnsi"/>
                <w:b w:val="0"/>
                <w:bCs w:val="0"/>
                <w:i/>
                <w:iCs/>
                <w:kern w:val="2"/>
                <w:sz w:val="24"/>
                <w:szCs w:val="24"/>
              </w:rPr>
              <w:t>ele</w:t>
            </w:r>
            <w:r w:rsidRPr="008376FC">
              <w:rPr>
                <w:rFonts w:asciiTheme="majorHAnsi" w:eastAsia="MS Mincho" w:hAnsiTheme="majorHAnsi" w:cstheme="majorHAnsi"/>
                <w:b w:val="0"/>
                <w:bCs w:val="0"/>
                <w:i/>
                <w:iCs/>
                <w:kern w:val="2"/>
                <w:sz w:val="24"/>
                <w:szCs w:val="24"/>
              </w:rPr>
              <w:t xml:space="preserve"> de executare a lucrărilor şi</w:t>
            </w:r>
            <w:r w:rsidR="00185D03">
              <w:rPr>
                <w:rFonts w:asciiTheme="majorHAnsi" w:eastAsia="MS Mincho" w:hAnsiTheme="majorHAnsi" w:cstheme="majorHAnsi"/>
                <w:b w:val="0"/>
                <w:bCs w:val="0"/>
                <w:i/>
                <w:iCs/>
                <w:kern w:val="2"/>
                <w:sz w:val="24"/>
                <w:szCs w:val="24"/>
              </w:rPr>
              <w:t>, implicit,</w:t>
            </w:r>
            <w:r w:rsidRPr="008376FC">
              <w:rPr>
                <w:rFonts w:asciiTheme="majorHAnsi" w:eastAsia="MS Mincho" w:hAnsiTheme="majorHAnsi" w:cstheme="majorHAnsi"/>
                <w:b w:val="0"/>
                <w:bCs w:val="0"/>
                <w:i/>
                <w:iCs/>
                <w:kern w:val="2"/>
                <w:sz w:val="24"/>
                <w:szCs w:val="24"/>
              </w:rPr>
              <w:t xml:space="preserve"> </w:t>
            </w:r>
            <w:r w:rsidR="00185D03">
              <w:rPr>
                <w:rFonts w:asciiTheme="majorHAnsi" w:eastAsia="MS Mincho" w:hAnsiTheme="majorHAnsi" w:cstheme="majorHAnsi"/>
                <w:b w:val="0"/>
                <w:bCs w:val="0"/>
                <w:i/>
                <w:iCs/>
                <w:kern w:val="2"/>
                <w:sz w:val="24"/>
                <w:szCs w:val="24"/>
              </w:rPr>
              <w:t xml:space="preserve">fiind </w:t>
            </w:r>
            <w:r w:rsidRPr="008376FC">
              <w:rPr>
                <w:rFonts w:asciiTheme="majorHAnsi" w:eastAsia="MS Mincho" w:hAnsiTheme="majorHAnsi" w:cstheme="majorHAnsi"/>
                <w:b w:val="0"/>
                <w:bCs w:val="0"/>
                <w:i/>
                <w:iCs/>
                <w:kern w:val="2"/>
                <w:sz w:val="24"/>
                <w:szCs w:val="24"/>
              </w:rPr>
              <w:t>majo</w:t>
            </w:r>
            <w:r w:rsidR="00185D03">
              <w:rPr>
                <w:rFonts w:asciiTheme="majorHAnsi" w:eastAsia="MS Mincho" w:hAnsiTheme="majorHAnsi" w:cstheme="majorHAnsi"/>
                <w:b w:val="0"/>
                <w:bCs w:val="0"/>
                <w:i/>
                <w:iCs/>
                <w:kern w:val="2"/>
                <w:sz w:val="24"/>
                <w:szCs w:val="24"/>
              </w:rPr>
              <w:t>r</w:t>
            </w:r>
            <w:r w:rsidRPr="008376FC">
              <w:rPr>
                <w:rFonts w:asciiTheme="majorHAnsi" w:eastAsia="MS Mincho" w:hAnsiTheme="majorHAnsi" w:cstheme="majorHAnsi"/>
                <w:b w:val="0"/>
                <w:bCs w:val="0"/>
                <w:i/>
                <w:iCs/>
                <w:kern w:val="2"/>
                <w:sz w:val="24"/>
                <w:szCs w:val="24"/>
              </w:rPr>
              <w:t>ată valoarea contractelor de achiziţii publice încheiate iniţial. De asemenea, au fost atestate situaţii de executare necalitativă a lucrărilor de construcţii</w:t>
            </w:r>
            <w:r w:rsidR="00185D03">
              <w:rPr>
                <w:rFonts w:asciiTheme="majorHAnsi" w:eastAsia="MS Mincho" w:hAnsiTheme="majorHAnsi" w:cstheme="majorHAnsi"/>
                <w:b w:val="0"/>
                <w:bCs w:val="0"/>
                <w:i/>
                <w:iCs/>
                <w:kern w:val="2"/>
                <w:sz w:val="24"/>
                <w:szCs w:val="24"/>
              </w:rPr>
              <w:t>,</w:t>
            </w:r>
            <w:r w:rsidRPr="008376FC">
              <w:rPr>
                <w:rFonts w:asciiTheme="majorHAnsi" w:eastAsia="MS Mincho" w:hAnsiTheme="majorHAnsi" w:cstheme="majorHAnsi"/>
                <w:b w:val="0"/>
                <w:bCs w:val="0"/>
                <w:i/>
                <w:iCs/>
                <w:kern w:val="2"/>
                <w:sz w:val="24"/>
                <w:szCs w:val="24"/>
              </w:rPr>
              <w:t xml:space="preserve"> materialele fiind în </w:t>
            </w:r>
            <w:r w:rsidR="000855E5">
              <w:rPr>
                <w:rFonts w:asciiTheme="majorHAnsi" w:eastAsia="MS Mincho" w:hAnsiTheme="majorHAnsi" w:cstheme="majorHAnsi"/>
                <w:b w:val="0"/>
                <w:bCs w:val="0"/>
                <w:i/>
                <w:iCs/>
                <w:kern w:val="2"/>
                <w:sz w:val="24"/>
                <w:szCs w:val="24"/>
              </w:rPr>
              <w:t xml:space="preserve">proces de </w:t>
            </w:r>
            <w:r w:rsidRPr="008376FC">
              <w:rPr>
                <w:rFonts w:asciiTheme="majorHAnsi" w:eastAsia="MS Mincho" w:hAnsiTheme="majorHAnsi" w:cstheme="majorHAnsi"/>
                <w:b w:val="0"/>
                <w:bCs w:val="0"/>
                <w:i/>
                <w:iCs/>
                <w:kern w:val="2"/>
                <w:sz w:val="24"/>
                <w:szCs w:val="24"/>
              </w:rPr>
              <w:t>examina</w:t>
            </w:r>
            <w:r w:rsidR="00185D03">
              <w:rPr>
                <w:rFonts w:asciiTheme="majorHAnsi" w:eastAsia="MS Mincho" w:hAnsiTheme="majorHAnsi" w:cstheme="majorHAnsi"/>
                <w:b w:val="0"/>
                <w:bCs w:val="0"/>
                <w:i/>
                <w:iCs/>
                <w:kern w:val="2"/>
                <w:sz w:val="24"/>
                <w:szCs w:val="24"/>
              </w:rPr>
              <w:t>r</w:t>
            </w:r>
            <w:r w:rsidRPr="008376FC">
              <w:rPr>
                <w:rFonts w:asciiTheme="majorHAnsi" w:eastAsia="MS Mincho" w:hAnsiTheme="majorHAnsi" w:cstheme="majorHAnsi"/>
                <w:b w:val="0"/>
                <w:bCs w:val="0"/>
                <w:i/>
                <w:iCs/>
                <w:kern w:val="2"/>
                <w:sz w:val="24"/>
                <w:szCs w:val="24"/>
              </w:rPr>
              <w:t xml:space="preserve">e de organele competente </w:t>
            </w:r>
            <w:r w:rsidR="00185D03">
              <w:rPr>
                <w:rFonts w:asciiTheme="majorHAnsi" w:eastAsia="MS Mincho" w:hAnsiTheme="majorHAnsi" w:cstheme="majorHAnsi"/>
                <w:b w:val="0"/>
                <w:bCs w:val="0"/>
                <w:i/>
                <w:iCs/>
                <w:kern w:val="2"/>
                <w:sz w:val="24"/>
                <w:szCs w:val="24"/>
              </w:rPr>
              <w:t>(</w:t>
            </w:r>
            <w:r w:rsidRPr="008376FC">
              <w:rPr>
                <w:rFonts w:asciiTheme="majorHAnsi" w:eastAsia="MS Mincho" w:hAnsiTheme="majorHAnsi" w:cstheme="majorHAnsi"/>
                <w:b w:val="0"/>
                <w:bCs w:val="0"/>
                <w:i/>
                <w:iCs/>
                <w:kern w:val="2"/>
                <w:sz w:val="24"/>
                <w:szCs w:val="24"/>
              </w:rPr>
              <w:t>AST, CNA</w:t>
            </w:r>
            <w:r w:rsidR="00C85C6D" w:rsidRPr="008376FC">
              <w:rPr>
                <w:rFonts w:asciiTheme="majorHAnsi" w:eastAsia="MS Mincho" w:hAnsiTheme="majorHAnsi" w:cstheme="majorHAnsi"/>
                <w:b w:val="0"/>
                <w:bCs w:val="0"/>
                <w:i/>
                <w:iCs/>
                <w:kern w:val="2"/>
                <w:sz w:val="24"/>
                <w:szCs w:val="24"/>
              </w:rPr>
              <w:t xml:space="preserve"> și</w:t>
            </w:r>
            <w:r w:rsidRPr="008376FC">
              <w:rPr>
                <w:rFonts w:asciiTheme="majorHAnsi" w:eastAsia="MS Mincho" w:hAnsiTheme="majorHAnsi" w:cstheme="majorHAnsi"/>
                <w:b w:val="0"/>
                <w:bCs w:val="0"/>
                <w:i/>
                <w:iCs/>
                <w:kern w:val="2"/>
                <w:sz w:val="24"/>
                <w:szCs w:val="24"/>
              </w:rPr>
              <w:t xml:space="preserve"> SIS</w:t>
            </w:r>
            <w:r w:rsidR="00185D03">
              <w:rPr>
                <w:rFonts w:asciiTheme="majorHAnsi" w:eastAsia="MS Mincho" w:hAnsiTheme="majorHAnsi" w:cstheme="majorHAnsi"/>
                <w:b w:val="0"/>
                <w:bCs w:val="0"/>
                <w:i/>
                <w:iCs/>
                <w:kern w:val="2"/>
                <w:sz w:val="24"/>
                <w:szCs w:val="24"/>
              </w:rPr>
              <w:t>)</w:t>
            </w:r>
            <w:r w:rsidRPr="008376FC">
              <w:rPr>
                <w:rFonts w:asciiTheme="majorHAnsi" w:eastAsia="MS Mincho" w:hAnsiTheme="majorHAnsi" w:cstheme="majorHAnsi"/>
                <w:b w:val="0"/>
                <w:bCs w:val="0"/>
                <w:i/>
                <w:iCs/>
                <w:kern w:val="2"/>
                <w:sz w:val="24"/>
                <w:szCs w:val="24"/>
              </w:rPr>
              <w:t>.</w:t>
            </w:r>
          </w:p>
          <w:p w:rsidR="00756AE7" w:rsidRPr="008376FC" w:rsidRDefault="00B675B7" w:rsidP="00F61756">
            <w:pPr>
              <w:spacing w:before="120" w:after="160" w:line="276" w:lineRule="auto"/>
              <w:jc w:val="both"/>
              <w:rPr>
                <w:rFonts w:asciiTheme="majorHAnsi" w:eastAsia="MS Mincho" w:hAnsiTheme="majorHAnsi" w:cstheme="majorHAnsi"/>
                <w:b w:val="0"/>
                <w:bCs w:val="0"/>
                <w:i/>
                <w:iCs/>
                <w:kern w:val="2"/>
                <w:sz w:val="24"/>
                <w:szCs w:val="24"/>
              </w:rPr>
            </w:pPr>
            <w:r>
              <w:rPr>
                <w:rFonts w:asciiTheme="majorHAnsi" w:eastAsia="MS Mincho" w:hAnsiTheme="majorHAnsi" w:cstheme="majorHAnsi"/>
                <w:b w:val="0"/>
                <w:bCs w:val="0"/>
                <w:i/>
                <w:iCs/>
                <w:kern w:val="2"/>
                <w:sz w:val="24"/>
                <w:szCs w:val="24"/>
              </w:rPr>
              <w:t>M</w:t>
            </w:r>
            <w:r w:rsidR="00C85C6D" w:rsidRPr="008376FC">
              <w:rPr>
                <w:rFonts w:asciiTheme="majorHAnsi" w:eastAsia="MS Mincho" w:hAnsiTheme="majorHAnsi" w:cstheme="majorHAnsi"/>
                <w:b w:val="0"/>
                <w:bCs w:val="0"/>
                <w:i/>
                <w:iCs/>
                <w:kern w:val="2"/>
                <w:sz w:val="24"/>
                <w:szCs w:val="24"/>
              </w:rPr>
              <w:t>ecanism</w:t>
            </w:r>
            <w:r>
              <w:rPr>
                <w:rFonts w:asciiTheme="majorHAnsi" w:eastAsia="MS Mincho" w:hAnsiTheme="majorHAnsi" w:cstheme="majorHAnsi"/>
                <w:b w:val="0"/>
                <w:bCs w:val="0"/>
                <w:i/>
                <w:iCs/>
                <w:kern w:val="2"/>
                <w:sz w:val="24"/>
                <w:szCs w:val="24"/>
              </w:rPr>
              <w:t>ul</w:t>
            </w:r>
            <w:r w:rsidR="00C85C6D" w:rsidRPr="008376FC">
              <w:rPr>
                <w:rFonts w:asciiTheme="majorHAnsi" w:eastAsia="MS Mincho" w:hAnsiTheme="majorHAnsi" w:cstheme="majorHAnsi"/>
                <w:b w:val="0"/>
                <w:bCs w:val="0"/>
                <w:i/>
                <w:iCs/>
                <w:kern w:val="2"/>
                <w:sz w:val="24"/>
                <w:szCs w:val="24"/>
              </w:rPr>
              <w:t xml:space="preserve"> aplicat în cadrul FEN</w:t>
            </w:r>
            <w:r w:rsidR="000855E5">
              <w:rPr>
                <w:rFonts w:asciiTheme="majorHAnsi" w:eastAsia="MS Mincho" w:hAnsiTheme="majorHAnsi" w:cstheme="majorHAnsi"/>
                <w:b w:val="0"/>
                <w:bCs w:val="0"/>
                <w:i/>
                <w:iCs/>
                <w:kern w:val="2"/>
                <w:sz w:val="24"/>
                <w:szCs w:val="24"/>
              </w:rPr>
              <w:t>,</w:t>
            </w:r>
            <w:r w:rsidR="00C85C6D" w:rsidRPr="008376FC">
              <w:rPr>
                <w:rFonts w:asciiTheme="majorHAnsi" w:eastAsia="MS Mincho" w:hAnsiTheme="majorHAnsi" w:cstheme="majorHAnsi"/>
                <w:b w:val="0"/>
                <w:bCs w:val="0"/>
                <w:i/>
                <w:iCs/>
                <w:kern w:val="2"/>
                <w:sz w:val="24"/>
                <w:szCs w:val="24"/>
              </w:rPr>
              <w:t xml:space="preserve"> </w:t>
            </w:r>
            <w:r w:rsidR="00807E42">
              <w:rPr>
                <w:rFonts w:asciiTheme="majorHAnsi" w:eastAsia="MS Mincho" w:hAnsiTheme="majorHAnsi" w:cstheme="majorHAnsi"/>
                <w:b w:val="0"/>
                <w:bCs w:val="0"/>
                <w:i/>
                <w:iCs/>
                <w:kern w:val="2"/>
                <w:sz w:val="24"/>
                <w:szCs w:val="24"/>
              </w:rPr>
              <w:t xml:space="preserve">și anume, </w:t>
            </w:r>
            <w:r w:rsidR="00C85C6D" w:rsidRPr="008376FC">
              <w:rPr>
                <w:rFonts w:asciiTheme="majorHAnsi" w:eastAsia="MS Mincho" w:hAnsiTheme="majorHAnsi" w:cstheme="majorHAnsi"/>
                <w:b w:val="0"/>
                <w:bCs w:val="0"/>
                <w:i/>
                <w:iCs/>
                <w:kern w:val="2"/>
                <w:sz w:val="24"/>
                <w:szCs w:val="24"/>
              </w:rPr>
              <w:t xml:space="preserve"> di</w:t>
            </w:r>
            <w:r w:rsidR="00127B67" w:rsidRPr="008376FC">
              <w:rPr>
                <w:rFonts w:asciiTheme="majorHAnsi" w:eastAsia="MS Mincho" w:hAnsiTheme="majorHAnsi" w:cstheme="majorHAnsi"/>
                <w:b w:val="0"/>
                <w:bCs w:val="0"/>
                <w:i/>
                <w:iCs/>
                <w:kern w:val="2"/>
                <w:sz w:val="24"/>
                <w:szCs w:val="24"/>
              </w:rPr>
              <w:t>v</w:t>
            </w:r>
            <w:r w:rsidR="00C85C6D" w:rsidRPr="008376FC">
              <w:rPr>
                <w:rFonts w:asciiTheme="majorHAnsi" w:eastAsia="MS Mincho" w:hAnsiTheme="majorHAnsi" w:cstheme="majorHAnsi"/>
                <w:b w:val="0"/>
                <w:bCs w:val="0"/>
                <w:i/>
                <w:iCs/>
                <w:kern w:val="2"/>
                <w:sz w:val="24"/>
                <w:szCs w:val="24"/>
              </w:rPr>
              <w:t>izarea finanțării proiectelor</w:t>
            </w:r>
            <w:r>
              <w:rPr>
                <w:rFonts w:asciiTheme="majorHAnsi" w:eastAsia="MS Mincho" w:hAnsiTheme="majorHAnsi" w:cstheme="majorHAnsi"/>
                <w:b w:val="0"/>
                <w:bCs w:val="0"/>
                <w:i/>
                <w:iCs/>
                <w:kern w:val="2"/>
                <w:sz w:val="24"/>
                <w:szCs w:val="24"/>
              </w:rPr>
              <w:t xml:space="preserve"> investiționale</w:t>
            </w:r>
            <w:r w:rsidR="00C85C6D" w:rsidRPr="008376FC">
              <w:rPr>
                <w:rFonts w:asciiTheme="majorHAnsi" w:eastAsia="MS Mincho" w:hAnsiTheme="majorHAnsi" w:cstheme="majorHAnsi"/>
                <w:b w:val="0"/>
                <w:bCs w:val="0"/>
                <w:i/>
                <w:iCs/>
                <w:kern w:val="2"/>
                <w:sz w:val="24"/>
                <w:szCs w:val="24"/>
              </w:rPr>
              <w:t xml:space="preserve"> în etape,  </w:t>
            </w:r>
            <w:r>
              <w:rPr>
                <w:rFonts w:asciiTheme="majorHAnsi" w:eastAsia="MS Mincho" w:hAnsiTheme="majorHAnsi" w:cstheme="majorHAnsi"/>
                <w:b w:val="0"/>
                <w:bCs w:val="0"/>
                <w:i/>
                <w:iCs/>
                <w:kern w:val="2"/>
                <w:sz w:val="24"/>
                <w:szCs w:val="24"/>
              </w:rPr>
              <w:t xml:space="preserve">a </w:t>
            </w:r>
            <w:r w:rsidR="00C85C6D" w:rsidRPr="008376FC">
              <w:rPr>
                <w:rFonts w:asciiTheme="majorHAnsi" w:eastAsia="MS Mincho" w:hAnsiTheme="majorHAnsi" w:cstheme="majorHAnsi"/>
                <w:b w:val="0"/>
                <w:bCs w:val="0"/>
                <w:i/>
                <w:iCs/>
                <w:kern w:val="2"/>
                <w:sz w:val="24"/>
                <w:szCs w:val="24"/>
              </w:rPr>
              <w:t xml:space="preserve">dus la imlementarea lor parțială, </w:t>
            </w:r>
            <w:r w:rsidR="00BD7AEF" w:rsidRPr="008376FC">
              <w:rPr>
                <w:rFonts w:asciiTheme="majorHAnsi" w:eastAsia="MS Mincho" w:hAnsiTheme="majorHAnsi" w:cstheme="majorHAnsi"/>
                <w:b w:val="0"/>
                <w:bCs w:val="0"/>
                <w:i/>
                <w:iCs/>
                <w:kern w:val="2"/>
                <w:sz w:val="24"/>
                <w:szCs w:val="24"/>
              </w:rPr>
              <w:t xml:space="preserve">durata implementării unora din acestea fiind </w:t>
            </w:r>
            <w:r w:rsidR="000855E5">
              <w:rPr>
                <w:rFonts w:asciiTheme="majorHAnsi" w:eastAsia="MS Mincho" w:hAnsiTheme="majorHAnsi" w:cstheme="majorHAnsi"/>
                <w:b w:val="0"/>
                <w:bCs w:val="0"/>
                <w:i/>
                <w:iCs/>
                <w:kern w:val="2"/>
                <w:sz w:val="24"/>
                <w:szCs w:val="24"/>
              </w:rPr>
              <w:t xml:space="preserve">de </w:t>
            </w:r>
            <w:r w:rsidR="00BD7AEF" w:rsidRPr="008376FC">
              <w:rPr>
                <w:rFonts w:asciiTheme="majorHAnsi" w:eastAsia="MS Mincho" w:hAnsiTheme="majorHAnsi" w:cstheme="majorHAnsi"/>
                <w:b w:val="0"/>
                <w:bCs w:val="0"/>
                <w:i/>
                <w:iCs/>
                <w:kern w:val="2"/>
                <w:sz w:val="24"/>
                <w:szCs w:val="24"/>
              </w:rPr>
              <w:t xml:space="preserve">10 ani, iar populația fiind în așteptare pănă în prezent să fie conectată la sistemele de alimentare cu apă și sanitație. </w:t>
            </w:r>
            <w:r w:rsidR="007762FB" w:rsidRPr="008376FC">
              <w:rPr>
                <w:rFonts w:asciiTheme="majorHAnsi" w:eastAsia="MS Mincho" w:hAnsiTheme="majorHAnsi" w:cstheme="majorHAnsi"/>
                <w:b w:val="0"/>
                <w:bCs w:val="0"/>
                <w:i/>
                <w:iCs/>
                <w:kern w:val="2"/>
                <w:sz w:val="24"/>
                <w:szCs w:val="24"/>
              </w:rPr>
              <w:t>S</w:t>
            </w:r>
            <w:r w:rsidR="00BD7AEF" w:rsidRPr="008376FC">
              <w:rPr>
                <w:rFonts w:asciiTheme="majorHAnsi" w:eastAsia="MS Mincho" w:hAnsiTheme="majorHAnsi" w:cstheme="majorHAnsi"/>
                <w:b w:val="0"/>
                <w:bCs w:val="0"/>
                <w:i/>
                <w:iCs/>
                <w:kern w:val="2"/>
                <w:sz w:val="24"/>
                <w:szCs w:val="24"/>
              </w:rPr>
              <w:t>chimbarea mecanismelor de finanțare aplicate anterior, va duce la creștere</w:t>
            </w:r>
            <w:r w:rsidR="007762FB" w:rsidRPr="008376FC">
              <w:rPr>
                <w:rFonts w:asciiTheme="majorHAnsi" w:eastAsia="MS Mincho" w:hAnsiTheme="majorHAnsi" w:cstheme="majorHAnsi"/>
                <w:b w:val="0"/>
                <w:bCs w:val="0"/>
                <w:i/>
                <w:iCs/>
                <w:kern w:val="2"/>
                <w:sz w:val="24"/>
                <w:szCs w:val="24"/>
              </w:rPr>
              <w:t>a numărului</w:t>
            </w:r>
            <w:r w:rsidR="00BD7AEF" w:rsidRPr="008376FC">
              <w:rPr>
                <w:rFonts w:asciiTheme="majorHAnsi" w:eastAsia="MS Mincho" w:hAnsiTheme="majorHAnsi" w:cstheme="majorHAnsi"/>
                <w:b w:val="0"/>
                <w:bCs w:val="0"/>
                <w:i/>
                <w:iCs/>
                <w:kern w:val="2"/>
                <w:sz w:val="24"/>
                <w:szCs w:val="24"/>
              </w:rPr>
              <w:t xml:space="preserve"> proiectelor aflate în derulare pe parcursul mai multor ani și la a</w:t>
            </w:r>
            <w:r w:rsidR="007762FB" w:rsidRPr="008376FC">
              <w:rPr>
                <w:rFonts w:asciiTheme="majorHAnsi" w:eastAsia="MS Mincho" w:hAnsiTheme="majorHAnsi" w:cstheme="majorHAnsi"/>
                <w:b w:val="0"/>
                <w:bCs w:val="0"/>
                <w:i/>
                <w:iCs/>
                <w:kern w:val="2"/>
                <w:sz w:val="24"/>
                <w:szCs w:val="24"/>
              </w:rPr>
              <w:t>ş</w:t>
            </w:r>
            <w:r w:rsidR="00BD7AEF" w:rsidRPr="008376FC">
              <w:rPr>
                <w:rFonts w:asciiTheme="majorHAnsi" w:eastAsia="MS Mincho" w:hAnsiTheme="majorHAnsi" w:cstheme="majorHAnsi"/>
                <w:b w:val="0"/>
                <w:bCs w:val="0"/>
                <w:i/>
                <w:iCs/>
                <w:kern w:val="2"/>
                <w:sz w:val="24"/>
                <w:szCs w:val="24"/>
              </w:rPr>
              <w:t>teptările îndelungate a</w:t>
            </w:r>
            <w:r w:rsidR="00F70B1D">
              <w:rPr>
                <w:rFonts w:asciiTheme="majorHAnsi" w:eastAsia="MS Mincho" w:hAnsiTheme="majorHAnsi" w:cstheme="majorHAnsi"/>
                <w:b w:val="0"/>
                <w:bCs w:val="0"/>
                <w:i/>
                <w:iCs/>
                <w:kern w:val="2"/>
                <w:sz w:val="24"/>
                <w:szCs w:val="24"/>
              </w:rPr>
              <w:t>le</w:t>
            </w:r>
            <w:r w:rsidR="00BD7AEF" w:rsidRPr="008376FC">
              <w:rPr>
                <w:rFonts w:asciiTheme="majorHAnsi" w:eastAsia="MS Mincho" w:hAnsiTheme="majorHAnsi" w:cstheme="majorHAnsi"/>
                <w:b w:val="0"/>
                <w:bCs w:val="0"/>
                <w:i/>
                <w:iCs/>
                <w:kern w:val="2"/>
                <w:sz w:val="24"/>
                <w:szCs w:val="24"/>
              </w:rPr>
              <w:t xml:space="preserve"> populației pentru a fi conecrtare la serviciile de alimentare cu apă și </w:t>
            </w:r>
            <w:r w:rsidR="007762FB" w:rsidRPr="008376FC">
              <w:rPr>
                <w:rFonts w:asciiTheme="majorHAnsi" w:eastAsia="MS Mincho" w:hAnsiTheme="majorHAnsi" w:cstheme="majorHAnsi"/>
                <w:b w:val="0"/>
                <w:bCs w:val="0"/>
                <w:i/>
                <w:iCs/>
                <w:kern w:val="2"/>
                <w:sz w:val="24"/>
                <w:szCs w:val="24"/>
              </w:rPr>
              <w:t>sanitație</w:t>
            </w:r>
            <w:r w:rsidR="00BD7AEF" w:rsidRPr="008376FC">
              <w:rPr>
                <w:rFonts w:asciiTheme="majorHAnsi" w:eastAsia="MS Mincho" w:hAnsiTheme="majorHAnsi" w:cstheme="majorHAnsi"/>
                <w:b w:val="0"/>
                <w:bCs w:val="0"/>
                <w:i/>
                <w:iCs/>
                <w:kern w:val="2"/>
                <w:sz w:val="24"/>
                <w:szCs w:val="24"/>
              </w:rPr>
              <w:t>.</w:t>
            </w:r>
          </w:p>
        </w:tc>
      </w:tr>
    </w:tbl>
    <w:p w:rsidR="00E80681" w:rsidRPr="008376FC" w:rsidRDefault="00E80681" w:rsidP="00F61756">
      <w:pPr>
        <w:spacing w:line="276" w:lineRule="auto"/>
        <w:rPr>
          <w:rFonts w:asciiTheme="majorHAnsi" w:eastAsia="MS Mincho" w:hAnsiTheme="majorHAnsi" w:cstheme="majorHAnsi"/>
          <w:bCs w:val="0"/>
          <w:color w:val="0070C0"/>
          <w:kern w:val="2"/>
          <w:sz w:val="24"/>
          <w:szCs w:val="24"/>
        </w:rPr>
      </w:pPr>
    </w:p>
    <w:p w:rsidR="00C01891" w:rsidRPr="008376FC" w:rsidRDefault="00C01891" w:rsidP="00F61756">
      <w:pPr>
        <w:spacing w:line="276" w:lineRule="auto"/>
        <w:jc w:val="both"/>
        <w:rPr>
          <w:rFonts w:asciiTheme="majorHAnsi" w:eastAsia="MS Mincho" w:hAnsiTheme="majorHAnsi" w:cstheme="majorHAnsi"/>
          <w:bCs w:val="0"/>
          <w:color w:val="0070C0"/>
          <w:kern w:val="2"/>
          <w:sz w:val="24"/>
          <w:szCs w:val="24"/>
        </w:rPr>
      </w:pPr>
      <w:r w:rsidRPr="008376FC">
        <w:rPr>
          <w:rFonts w:asciiTheme="majorHAnsi" w:eastAsia="MS Mincho" w:hAnsiTheme="majorHAnsi" w:cstheme="majorHAnsi"/>
          <w:bCs w:val="0"/>
          <w:color w:val="0070C0"/>
          <w:kern w:val="2"/>
          <w:sz w:val="24"/>
          <w:szCs w:val="24"/>
        </w:rPr>
        <w:t>4.2.1.</w:t>
      </w:r>
      <w:r w:rsidRPr="008376FC">
        <w:rPr>
          <w:rFonts w:asciiTheme="majorHAnsi" w:eastAsia="MS Mincho" w:hAnsiTheme="majorHAnsi" w:cstheme="majorHAnsi"/>
          <w:b w:val="0"/>
          <w:bCs w:val="0"/>
          <w:color w:val="0070C0"/>
          <w:kern w:val="2"/>
          <w:sz w:val="24"/>
          <w:szCs w:val="24"/>
        </w:rPr>
        <w:t xml:space="preserve"> </w:t>
      </w:r>
      <w:r w:rsidR="00273067" w:rsidRPr="008376FC">
        <w:rPr>
          <w:rFonts w:asciiTheme="majorHAnsi" w:eastAsia="MS Mincho" w:hAnsiTheme="majorHAnsi" w:cstheme="majorHAnsi"/>
          <w:b w:val="0"/>
          <w:bCs w:val="0"/>
          <w:color w:val="0070C0"/>
          <w:kern w:val="2"/>
          <w:sz w:val="24"/>
          <w:szCs w:val="24"/>
        </w:rPr>
        <w:t xml:space="preserve"> </w:t>
      </w:r>
      <w:r w:rsidR="00273067" w:rsidRPr="008376FC">
        <w:rPr>
          <w:rFonts w:asciiTheme="majorHAnsi" w:eastAsia="MS Mincho" w:hAnsiTheme="majorHAnsi" w:cstheme="majorHAnsi"/>
          <w:bCs w:val="0"/>
          <w:color w:val="0070C0"/>
          <w:kern w:val="2"/>
          <w:sz w:val="24"/>
          <w:szCs w:val="24"/>
        </w:rPr>
        <w:t>Nu toate proiectele finanțate din FEN au avut finalita</w:t>
      </w:r>
      <w:r w:rsidR="005531B1" w:rsidRPr="008376FC">
        <w:rPr>
          <w:rFonts w:asciiTheme="majorHAnsi" w:eastAsia="MS Mincho" w:hAnsiTheme="majorHAnsi" w:cstheme="majorHAnsi"/>
          <w:bCs w:val="0"/>
          <w:color w:val="0070C0"/>
          <w:kern w:val="2"/>
          <w:sz w:val="24"/>
          <w:szCs w:val="24"/>
        </w:rPr>
        <w:t>t</w:t>
      </w:r>
      <w:r w:rsidR="00273067" w:rsidRPr="008376FC">
        <w:rPr>
          <w:rFonts w:asciiTheme="majorHAnsi" w:eastAsia="MS Mincho" w:hAnsiTheme="majorHAnsi" w:cstheme="majorHAnsi"/>
          <w:bCs w:val="0"/>
          <w:color w:val="0070C0"/>
          <w:kern w:val="2"/>
          <w:sz w:val="24"/>
          <w:szCs w:val="24"/>
        </w:rPr>
        <w:t>e și au contribuit ca implementarea obiectivelor SAAS</w:t>
      </w:r>
      <w:r w:rsidR="00F70B1D">
        <w:rPr>
          <w:rFonts w:asciiTheme="majorHAnsi" w:eastAsia="MS Mincho" w:hAnsiTheme="majorHAnsi" w:cstheme="majorHAnsi"/>
          <w:bCs w:val="0"/>
          <w:color w:val="0070C0"/>
          <w:kern w:val="2"/>
          <w:sz w:val="24"/>
          <w:szCs w:val="24"/>
        </w:rPr>
        <w:t>.</w:t>
      </w:r>
      <w:r w:rsidR="005531B1" w:rsidRPr="008376FC">
        <w:rPr>
          <w:rFonts w:asciiTheme="majorHAnsi" w:eastAsia="MS Mincho" w:hAnsiTheme="majorHAnsi" w:cstheme="majorHAnsi"/>
          <w:bCs w:val="0"/>
          <w:color w:val="0070C0"/>
          <w:kern w:val="2"/>
          <w:sz w:val="24"/>
          <w:szCs w:val="24"/>
        </w:rPr>
        <w:t xml:space="preserve"> </w:t>
      </w:r>
    </w:p>
    <w:p w:rsidR="00706A8D" w:rsidRDefault="00273067" w:rsidP="00F61756">
      <w:pPr>
        <w:tabs>
          <w:tab w:val="left" w:pos="142"/>
        </w:tabs>
        <w:spacing w:after="0" w:line="276" w:lineRule="auto"/>
        <w:jc w:val="both"/>
        <w:rPr>
          <w:rFonts w:asciiTheme="majorHAnsi" w:hAnsiTheme="majorHAnsi" w:cs="Times New Roman"/>
          <w:sz w:val="20"/>
          <w:szCs w:val="20"/>
        </w:rPr>
      </w:pPr>
      <w:r w:rsidRPr="008376FC">
        <w:rPr>
          <w:rFonts w:asciiTheme="majorHAnsi" w:hAnsiTheme="majorHAnsi" w:cs="Times New Roman"/>
          <w:b w:val="0"/>
          <w:sz w:val="24"/>
          <w:szCs w:val="24"/>
        </w:rPr>
        <w:t xml:space="preserve">În perioada 2014-2022, la estimarea volumului de resurse pentru satisfacerea tuturor necesităților și acoperirea cu resurse financiare a proiectelor aprobate, </w:t>
      </w:r>
      <w:r w:rsidR="00F70B1D" w:rsidRPr="008376FC">
        <w:rPr>
          <w:rFonts w:asciiTheme="majorHAnsi" w:hAnsiTheme="majorHAnsi" w:cs="Times New Roman"/>
          <w:b w:val="0"/>
          <w:sz w:val="24"/>
          <w:szCs w:val="24"/>
        </w:rPr>
        <w:t>FEN</w:t>
      </w:r>
      <w:r w:rsidRPr="008376FC">
        <w:rPr>
          <w:rFonts w:asciiTheme="majorHAnsi" w:hAnsiTheme="majorHAnsi" w:cs="Times New Roman"/>
          <w:b w:val="0"/>
          <w:sz w:val="24"/>
          <w:szCs w:val="24"/>
        </w:rPr>
        <w:t xml:space="preserve"> nu a ținut cont de resursele financiare disponibile, aprobate prin Legile bugetare anuale, volumul alocațiilor aprobate spre finanțare de către FEN fiind mult mai mare față de volumele de alocații aprobate în buget pentru FEN. </w:t>
      </w:r>
    </w:p>
    <w:p w:rsidR="00336CC4" w:rsidRPr="008376FC" w:rsidRDefault="00336CC4" w:rsidP="00F61756">
      <w:pPr>
        <w:tabs>
          <w:tab w:val="left" w:pos="142"/>
        </w:tabs>
        <w:spacing w:after="0" w:line="276" w:lineRule="auto"/>
        <w:jc w:val="right"/>
        <w:rPr>
          <w:rFonts w:asciiTheme="majorHAnsi" w:hAnsiTheme="majorHAnsi" w:cs="Times New Roman"/>
          <w:b w:val="0"/>
          <w:sz w:val="20"/>
          <w:szCs w:val="20"/>
        </w:rPr>
      </w:pPr>
      <w:r w:rsidRPr="008376FC">
        <w:rPr>
          <w:rFonts w:asciiTheme="majorHAnsi" w:hAnsiTheme="majorHAnsi" w:cs="Times New Roman"/>
          <w:sz w:val="20"/>
          <w:szCs w:val="20"/>
        </w:rPr>
        <w:t xml:space="preserve">Tabelul nr. </w:t>
      </w:r>
      <w:r w:rsidR="00D13901" w:rsidRPr="008376FC">
        <w:rPr>
          <w:rFonts w:asciiTheme="majorHAnsi" w:hAnsiTheme="majorHAnsi" w:cs="Times New Roman"/>
          <w:sz w:val="20"/>
          <w:szCs w:val="20"/>
        </w:rPr>
        <w:t>5</w:t>
      </w:r>
    </w:p>
    <w:tbl>
      <w:tblPr>
        <w:tblStyle w:val="af2"/>
        <w:tblpPr w:leftFromText="180" w:rightFromText="180" w:vertAnchor="text" w:horzAnchor="margin" w:tblpY="306"/>
        <w:tblW w:w="9873" w:type="dxa"/>
        <w:tblLook w:val="04A0" w:firstRow="1" w:lastRow="0" w:firstColumn="1" w:lastColumn="0" w:noHBand="0" w:noVBand="1"/>
      </w:tblPr>
      <w:tblGrid>
        <w:gridCol w:w="436"/>
        <w:gridCol w:w="554"/>
        <w:gridCol w:w="1052"/>
        <w:gridCol w:w="801"/>
        <w:gridCol w:w="767"/>
        <w:gridCol w:w="781"/>
        <w:gridCol w:w="875"/>
        <w:gridCol w:w="850"/>
        <w:gridCol w:w="950"/>
        <w:gridCol w:w="976"/>
        <w:gridCol w:w="1037"/>
        <w:gridCol w:w="794"/>
      </w:tblGrid>
      <w:tr w:rsidR="00336CC4" w:rsidRPr="008376FC" w:rsidTr="00706A8D">
        <w:trPr>
          <w:trHeight w:val="59"/>
        </w:trPr>
        <w:tc>
          <w:tcPr>
            <w:tcW w:w="9873" w:type="dxa"/>
            <w:gridSpan w:val="12"/>
            <w:tcBorders>
              <w:top w:val="nil"/>
              <w:left w:val="nil"/>
              <w:bottom w:val="single" w:sz="4" w:space="0" w:color="auto"/>
              <w:right w:val="nil"/>
            </w:tcBorders>
          </w:tcPr>
          <w:p w:rsidR="00336CC4" w:rsidRPr="008F2908" w:rsidRDefault="00336CC4" w:rsidP="00F61756">
            <w:pPr>
              <w:spacing w:line="276" w:lineRule="auto"/>
              <w:jc w:val="both"/>
              <w:rPr>
                <w:rFonts w:asciiTheme="majorHAnsi" w:hAnsiTheme="majorHAnsi" w:cstheme="majorHAnsi"/>
                <w:bCs w:val="0"/>
                <w:sz w:val="20"/>
                <w:szCs w:val="20"/>
              </w:rPr>
            </w:pPr>
            <w:r w:rsidRPr="008F2908">
              <w:rPr>
                <w:rFonts w:asciiTheme="majorHAnsi" w:hAnsiTheme="majorHAnsi" w:cstheme="majorHAnsi"/>
                <w:bCs w:val="0"/>
                <w:sz w:val="20"/>
                <w:szCs w:val="20"/>
              </w:rPr>
              <w:t>Informații privind resursele financiare aprobate, executate și proiectele aprobate din FEN în perioada 2014-2022</w:t>
            </w:r>
            <w:r w:rsidR="00667C50" w:rsidRPr="008F2908">
              <w:rPr>
                <w:rFonts w:asciiTheme="majorHAnsi" w:hAnsiTheme="majorHAnsi" w:cstheme="majorHAnsi"/>
                <w:bCs w:val="0"/>
                <w:sz w:val="20"/>
                <w:szCs w:val="20"/>
              </w:rPr>
              <w:t>, mil.lei</w:t>
            </w:r>
          </w:p>
        </w:tc>
      </w:tr>
      <w:tr w:rsidR="00D13901" w:rsidRPr="008376FC" w:rsidTr="00706A8D">
        <w:trPr>
          <w:trHeight w:val="443"/>
        </w:trPr>
        <w:tc>
          <w:tcPr>
            <w:tcW w:w="436" w:type="dxa"/>
            <w:tcBorders>
              <w:top w:val="single" w:sz="4" w:space="0" w:color="auto"/>
            </w:tcBorders>
            <w:shd w:val="clear" w:color="auto" w:fill="BDD6EE" w:themeFill="accent1" w:themeFillTint="66"/>
          </w:tcPr>
          <w:p w:rsidR="00336CC4" w:rsidRPr="008376FC" w:rsidRDefault="00336CC4"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Nr.</w:t>
            </w:r>
            <w:r w:rsidR="0023052D" w:rsidRPr="008376FC">
              <w:rPr>
                <w:rFonts w:asciiTheme="majorHAnsi" w:hAnsiTheme="majorHAnsi" w:cstheme="majorHAnsi"/>
                <w:bCs w:val="0"/>
                <w:sz w:val="16"/>
                <w:szCs w:val="16"/>
              </w:rPr>
              <w:t xml:space="preserve"> </w:t>
            </w:r>
            <w:r w:rsidR="00F70B1D">
              <w:rPr>
                <w:rFonts w:asciiTheme="majorHAnsi" w:hAnsiTheme="majorHAnsi" w:cstheme="majorHAnsi"/>
                <w:bCs w:val="0"/>
                <w:sz w:val="16"/>
                <w:szCs w:val="16"/>
              </w:rPr>
              <w:t>crt.</w:t>
            </w:r>
          </w:p>
        </w:tc>
        <w:tc>
          <w:tcPr>
            <w:tcW w:w="554" w:type="dxa"/>
            <w:tcBorders>
              <w:top w:val="single" w:sz="4" w:space="0" w:color="auto"/>
            </w:tcBorders>
            <w:shd w:val="clear" w:color="auto" w:fill="BDD6EE" w:themeFill="accent1" w:themeFillTint="66"/>
          </w:tcPr>
          <w:p w:rsidR="00336CC4" w:rsidRPr="008376FC" w:rsidRDefault="00336CC4"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Anul</w:t>
            </w:r>
          </w:p>
        </w:tc>
        <w:tc>
          <w:tcPr>
            <w:tcW w:w="1052" w:type="dxa"/>
            <w:tcBorders>
              <w:top w:val="single" w:sz="4" w:space="0" w:color="auto"/>
            </w:tcBorders>
            <w:shd w:val="clear" w:color="auto" w:fill="BDD6EE" w:themeFill="accent1" w:themeFillTint="66"/>
          </w:tcPr>
          <w:p w:rsidR="00336CC4" w:rsidRPr="008376FC" w:rsidRDefault="00667C50"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LBS</w:t>
            </w:r>
          </w:p>
          <w:p w:rsidR="00336CC4" w:rsidRPr="008376FC" w:rsidRDefault="00336CC4" w:rsidP="00F61756">
            <w:pPr>
              <w:spacing w:line="276" w:lineRule="auto"/>
              <w:jc w:val="both"/>
              <w:rPr>
                <w:rFonts w:asciiTheme="majorHAnsi" w:hAnsiTheme="majorHAnsi" w:cstheme="majorHAnsi"/>
                <w:bCs w:val="0"/>
                <w:sz w:val="16"/>
                <w:szCs w:val="16"/>
              </w:rPr>
            </w:pPr>
          </w:p>
          <w:p w:rsidR="00336CC4" w:rsidRPr="008376FC" w:rsidRDefault="00336CC4" w:rsidP="00F61756">
            <w:pPr>
              <w:spacing w:line="276" w:lineRule="auto"/>
              <w:jc w:val="both"/>
              <w:rPr>
                <w:rFonts w:asciiTheme="majorHAnsi" w:hAnsiTheme="majorHAnsi" w:cstheme="majorHAnsi"/>
                <w:bCs w:val="0"/>
                <w:sz w:val="16"/>
                <w:szCs w:val="16"/>
              </w:rPr>
            </w:pPr>
          </w:p>
        </w:tc>
        <w:tc>
          <w:tcPr>
            <w:tcW w:w="801" w:type="dxa"/>
            <w:tcBorders>
              <w:top w:val="single" w:sz="4" w:space="0" w:color="auto"/>
            </w:tcBorders>
            <w:shd w:val="clear" w:color="auto" w:fill="BDD6EE" w:themeFill="accent1" w:themeFillTint="66"/>
          </w:tcPr>
          <w:p w:rsidR="00336CC4" w:rsidRPr="008376FC" w:rsidRDefault="00336CC4"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Aprobat</w:t>
            </w:r>
            <w:r w:rsidR="00F70B1D">
              <w:rPr>
                <w:rFonts w:asciiTheme="majorHAnsi" w:hAnsiTheme="majorHAnsi" w:cstheme="majorHAnsi"/>
                <w:bCs w:val="0"/>
                <w:sz w:val="16"/>
                <w:szCs w:val="16"/>
              </w:rPr>
              <w:t>,</w:t>
            </w:r>
            <w:r w:rsidRPr="008376FC">
              <w:rPr>
                <w:rFonts w:asciiTheme="majorHAnsi" w:hAnsiTheme="majorHAnsi" w:cstheme="majorHAnsi"/>
                <w:bCs w:val="0"/>
                <w:sz w:val="16"/>
                <w:szCs w:val="16"/>
              </w:rPr>
              <w:t xml:space="preserve"> FEN</w:t>
            </w:r>
          </w:p>
        </w:tc>
        <w:tc>
          <w:tcPr>
            <w:tcW w:w="767" w:type="dxa"/>
            <w:tcBorders>
              <w:top w:val="single" w:sz="4" w:space="0" w:color="auto"/>
            </w:tcBorders>
            <w:shd w:val="clear" w:color="auto" w:fill="BDD6EE" w:themeFill="accent1" w:themeFillTint="66"/>
          </w:tcPr>
          <w:p w:rsidR="00336CC4" w:rsidRPr="008376FC" w:rsidRDefault="00336CC4"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Precizat</w:t>
            </w:r>
            <w:r w:rsidR="00F70B1D">
              <w:rPr>
                <w:rFonts w:asciiTheme="majorHAnsi" w:hAnsiTheme="majorHAnsi" w:cstheme="majorHAnsi"/>
                <w:bCs w:val="0"/>
                <w:sz w:val="16"/>
                <w:szCs w:val="16"/>
              </w:rPr>
              <w:t>,</w:t>
            </w:r>
            <w:r w:rsidRPr="008376FC">
              <w:rPr>
                <w:rFonts w:asciiTheme="majorHAnsi" w:hAnsiTheme="majorHAnsi" w:cstheme="majorHAnsi"/>
                <w:bCs w:val="0"/>
                <w:sz w:val="16"/>
                <w:szCs w:val="16"/>
              </w:rPr>
              <w:t xml:space="preserve"> FEN</w:t>
            </w:r>
          </w:p>
        </w:tc>
        <w:tc>
          <w:tcPr>
            <w:tcW w:w="781" w:type="dxa"/>
            <w:tcBorders>
              <w:top w:val="single" w:sz="4" w:space="0" w:color="auto"/>
            </w:tcBorders>
            <w:shd w:val="clear" w:color="auto" w:fill="BDD6EE" w:themeFill="accent1" w:themeFillTint="66"/>
          </w:tcPr>
          <w:p w:rsidR="00336CC4" w:rsidRPr="008376FC" w:rsidRDefault="00336CC4"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Executat total</w:t>
            </w:r>
          </w:p>
        </w:tc>
        <w:tc>
          <w:tcPr>
            <w:tcW w:w="875" w:type="dxa"/>
            <w:tcBorders>
              <w:top w:val="single" w:sz="4" w:space="0" w:color="auto"/>
            </w:tcBorders>
            <w:shd w:val="clear" w:color="auto" w:fill="BDD6EE" w:themeFill="accent1" w:themeFillTint="66"/>
          </w:tcPr>
          <w:p w:rsidR="00336CC4" w:rsidRPr="008376FC" w:rsidRDefault="00336CC4"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 realizării resurselor financiare</w:t>
            </w:r>
          </w:p>
        </w:tc>
        <w:tc>
          <w:tcPr>
            <w:tcW w:w="850" w:type="dxa"/>
            <w:tcBorders>
              <w:top w:val="single" w:sz="4" w:space="0" w:color="auto"/>
            </w:tcBorders>
            <w:shd w:val="clear" w:color="auto" w:fill="BDD6EE" w:themeFill="accent1" w:themeFillTint="66"/>
          </w:tcPr>
          <w:p w:rsidR="00336CC4" w:rsidRPr="008376FC" w:rsidRDefault="00336CC4"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Aproba</w:t>
            </w:r>
            <w:r w:rsidR="00667C50" w:rsidRPr="008376FC">
              <w:rPr>
                <w:rFonts w:asciiTheme="majorHAnsi" w:hAnsiTheme="majorHAnsi" w:cstheme="majorHAnsi"/>
                <w:bCs w:val="0"/>
                <w:sz w:val="16"/>
                <w:szCs w:val="16"/>
              </w:rPr>
              <w:t>t spre finanțare</w:t>
            </w:r>
            <w:r w:rsidR="00F70B1D">
              <w:rPr>
                <w:rFonts w:asciiTheme="majorHAnsi" w:hAnsiTheme="majorHAnsi" w:cstheme="majorHAnsi"/>
                <w:bCs w:val="0"/>
                <w:sz w:val="16"/>
                <w:szCs w:val="16"/>
              </w:rPr>
              <w:t>,</w:t>
            </w:r>
            <w:r w:rsidR="00667C50" w:rsidRPr="008376FC">
              <w:rPr>
                <w:rFonts w:asciiTheme="majorHAnsi" w:hAnsiTheme="majorHAnsi" w:cstheme="majorHAnsi"/>
                <w:bCs w:val="0"/>
                <w:sz w:val="16"/>
                <w:szCs w:val="16"/>
              </w:rPr>
              <w:t xml:space="preserve"> CA FEN</w:t>
            </w:r>
          </w:p>
        </w:tc>
        <w:tc>
          <w:tcPr>
            <w:tcW w:w="950" w:type="dxa"/>
            <w:tcBorders>
              <w:top w:val="single" w:sz="4" w:space="0" w:color="auto"/>
            </w:tcBorders>
            <w:shd w:val="clear" w:color="auto" w:fill="BDD6EE" w:themeFill="accent1" w:themeFillTint="66"/>
          </w:tcPr>
          <w:p w:rsidR="00336CC4" w:rsidRPr="008376FC" w:rsidRDefault="00336CC4"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Aprobat spre f</w:t>
            </w:r>
            <w:r w:rsidR="00667C50" w:rsidRPr="008376FC">
              <w:rPr>
                <w:rFonts w:asciiTheme="majorHAnsi" w:hAnsiTheme="majorHAnsi" w:cstheme="majorHAnsi"/>
                <w:bCs w:val="0"/>
                <w:sz w:val="16"/>
                <w:szCs w:val="16"/>
              </w:rPr>
              <w:t>inanțare</w:t>
            </w:r>
            <w:r w:rsidR="00F70B1D">
              <w:rPr>
                <w:rFonts w:asciiTheme="majorHAnsi" w:hAnsiTheme="majorHAnsi" w:cstheme="majorHAnsi"/>
                <w:bCs w:val="0"/>
                <w:sz w:val="16"/>
                <w:szCs w:val="16"/>
              </w:rPr>
              <w:t>,</w:t>
            </w:r>
            <w:r w:rsidR="00667C50" w:rsidRPr="008376FC">
              <w:rPr>
                <w:rFonts w:asciiTheme="majorHAnsi" w:hAnsiTheme="majorHAnsi" w:cstheme="majorHAnsi"/>
                <w:bCs w:val="0"/>
                <w:sz w:val="16"/>
                <w:szCs w:val="16"/>
              </w:rPr>
              <w:t xml:space="preserve"> programul 7503</w:t>
            </w:r>
          </w:p>
        </w:tc>
        <w:tc>
          <w:tcPr>
            <w:tcW w:w="976" w:type="dxa"/>
            <w:tcBorders>
              <w:top w:val="single" w:sz="4" w:space="0" w:color="auto"/>
            </w:tcBorders>
            <w:shd w:val="clear" w:color="auto" w:fill="BDD6EE" w:themeFill="accent1" w:themeFillTint="66"/>
          </w:tcPr>
          <w:p w:rsidR="00336CC4" w:rsidRPr="008376FC" w:rsidRDefault="00336CC4"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Nr</w:t>
            </w:r>
            <w:r w:rsidR="00F70B1D">
              <w:rPr>
                <w:rFonts w:asciiTheme="majorHAnsi" w:hAnsiTheme="majorHAnsi" w:cstheme="majorHAnsi"/>
                <w:bCs w:val="0"/>
                <w:sz w:val="16"/>
                <w:szCs w:val="16"/>
              </w:rPr>
              <w:t>.</w:t>
            </w:r>
            <w:r w:rsidRPr="008376FC">
              <w:rPr>
                <w:rFonts w:asciiTheme="majorHAnsi" w:hAnsiTheme="majorHAnsi" w:cstheme="majorHAnsi"/>
                <w:bCs w:val="0"/>
                <w:sz w:val="16"/>
                <w:szCs w:val="16"/>
              </w:rPr>
              <w:t xml:space="preserve"> proiectelor noi aprobate spre finanțare</w:t>
            </w:r>
          </w:p>
        </w:tc>
        <w:tc>
          <w:tcPr>
            <w:tcW w:w="1037" w:type="dxa"/>
            <w:tcBorders>
              <w:top w:val="single" w:sz="4" w:space="0" w:color="auto"/>
            </w:tcBorders>
            <w:shd w:val="clear" w:color="auto" w:fill="BDD6EE" w:themeFill="accent1" w:themeFillTint="66"/>
          </w:tcPr>
          <w:p w:rsidR="00336CC4" w:rsidRPr="008376FC" w:rsidRDefault="00336CC4"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Ponderea</w:t>
            </w:r>
            <w:r w:rsidR="00B11FC7">
              <w:rPr>
                <w:rFonts w:asciiTheme="majorHAnsi" w:hAnsiTheme="majorHAnsi" w:cstheme="majorHAnsi"/>
                <w:bCs w:val="0"/>
                <w:sz w:val="16"/>
                <w:szCs w:val="16"/>
              </w:rPr>
              <w:t xml:space="preserve"> finanțat di</w:t>
            </w:r>
            <w:r w:rsidR="0092666C">
              <w:rPr>
                <w:rFonts w:asciiTheme="majorHAnsi" w:hAnsiTheme="majorHAnsi" w:cstheme="majorHAnsi"/>
                <w:bCs w:val="0"/>
                <w:sz w:val="16"/>
                <w:szCs w:val="16"/>
              </w:rPr>
              <w:t>n FEN/aprobat spre finanțare din FEN</w:t>
            </w:r>
            <w:r w:rsidR="00B11FC7">
              <w:rPr>
                <w:rFonts w:asciiTheme="majorHAnsi" w:hAnsiTheme="majorHAnsi" w:cstheme="majorHAnsi"/>
                <w:bCs w:val="0"/>
                <w:sz w:val="16"/>
                <w:szCs w:val="16"/>
              </w:rPr>
              <w:t xml:space="preserve"> </w:t>
            </w:r>
            <w:r w:rsidRPr="008376FC">
              <w:rPr>
                <w:rFonts w:asciiTheme="majorHAnsi" w:hAnsiTheme="majorHAnsi" w:cstheme="majorHAnsi"/>
                <w:bCs w:val="0"/>
                <w:sz w:val="16"/>
                <w:szCs w:val="16"/>
              </w:rPr>
              <w:t>, %</w:t>
            </w:r>
          </w:p>
        </w:tc>
        <w:tc>
          <w:tcPr>
            <w:tcW w:w="794" w:type="dxa"/>
            <w:tcBorders>
              <w:top w:val="single" w:sz="4" w:space="0" w:color="auto"/>
            </w:tcBorders>
            <w:shd w:val="clear" w:color="auto" w:fill="BDD6EE" w:themeFill="accent1" w:themeFillTint="66"/>
          </w:tcPr>
          <w:p w:rsidR="00336CC4" w:rsidRPr="008376FC" w:rsidRDefault="00667C50"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Finanțat proiecte</w:t>
            </w:r>
            <w:r w:rsidR="00F70B1D">
              <w:rPr>
                <w:rFonts w:asciiTheme="majorHAnsi" w:hAnsiTheme="majorHAnsi" w:cstheme="majorHAnsi"/>
                <w:bCs w:val="0"/>
                <w:sz w:val="16"/>
                <w:szCs w:val="16"/>
              </w:rPr>
              <w:t>,</w:t>
            </w:r>
            <w:r w:rsidRPr="008376FC">
              <w:rPr>
                <w:rFonts w:asciiTheme="majorHAnsi" w:hAnsiTheme="majorHAnsi" w:cstheme="majorHAnsi"/>
                <w:bCs w:val="0"/>
                <w:sz w:val="16"/>
                <w:szCs w:val="16"/>
              </w:rPr>
              <w:t xml:space="preserve"> 7503</w:t>
            </w:r>
          </w:p>
        </w:tc>
      </w:tr>
      <w:tr w:rsidR="00D13901" w:rsidRPr="008376FC" w:rsidTr="00706A8D">
        <w:trPr>
          <w:trHeight w:val="182"/>
        </w:trPr>
        <w:tc>
          <w:tcPr>
            <w:tcW w:w="436"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1</w:t>
            </w:r>
          </w:p>
        </w:tc>
        <w:tc>
          <w:tcPr>
            <w:tcW w:w="554"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2014</w:t>
            </w:r>
          </w:p>
        </w:tc>
        <w:tc>
          <w:tcPr>
            <w:tcW w:w="1052"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w:t>
            </w:r>
          </w:p>
        </w:tc>
        <w:tc>
          <w:tcPr>
            <w:tcW w:w="801"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466,6</w:t>
            </w:r>
          </w:p>
        </w:tc>
        <w:tc>
          <w:tcPr>
            <w:tcW w:w="767"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466,6</w:t>
            </w:r>
          </w:p>
        </w:tc>
        <w:tc>
          <w:tcPr>
            <w:tcW w:w="781"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426,3</w:t>
            </w:r>
          </w:p>
        </w:tc>
        <w:tc>
          <w:tcPr>
            <w:tcW w:w="875"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91,36%</w:t>
            </w:r>
          </w:p>
        </w:tc>
        <w:tc>
          <w:tcPr>
            <w:tcW w:w="850"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466,6</w:t>
            </w:r>
          </w:p>
        </w:tc>
        <w:tc>
          <w:tcPr>
            <w:tcW w:w="950"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376,64</w:t>
            </w:r>
          </w:p>
        </w:tc>
        <w:tc>
          <w:tcPr>
            <w:tcW w:w="976"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383</w:t>
            </w:r>
          </w:p>
        </w:tc>
        <w:tc>
          <w:tcPr>
            <w:tcW w:w="1037"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80,72%</w:t>
            </w:r>
          </w:p>
        </w:tc>
        <w:tc>
          <w:tcPr>
            <w:tcW w:w="794" w:type="dxa"/>
          </w:tcPr>
          <w:p w:rsidR="00667C50" w:rsidRPr="008376FC" w:rsidRDefault="00667C50" w:rsidP="00F61756">
            <w:pPr>
              <w:spacing w:line="276" w:lineRule="auto"/>
              <w:jc w:val="right"/>
              <w:rPr>
                <w:rFonts w:asciiTheme="majorHAnsi" w:hAnsiTheme="majorHAnsi" w:cstheme="majorHAnsi"/>
                <w:b w:val="0"/>
                <w:bCs w:val="0"/>
                <w:sz w:val="16"/>
                <w:szCs w:val="16"/>
              </w:rPr>
            </w:pPr>
            <w:r w:rsidRPr="008376FC">
              <w:rPr>
                <w:rFonts w:asciiTheme="majorHAnsi" w:hAnsiTheme="majorHAnsi" w:cstheme="majorHAnsi"/>
                <w:b w:val="0"/>
                <w:bCs w:val="0"/>
                <w:i/>
                <w:sz w:val="16"/>
                <w:szCs w:val="16"/>
              </w:rPr>
              <w:t>323,3</w:t>
            </w:r>
          </w:p>
        </w:tc>
      </w:tr>
      <w:tr w:rsidR="00D13901" w:rsidRPr="008376FC" w:rsidTr="00706A8D">
        <w:trPr>
          <w:trHeight w:val="182"/>
        </w:trPr>
        <w:tc>
          <w:tcPr>
            <w:tcW w:w="436"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w:t>
            </w:r>
          </w:p>
        </w:tc>
        <w:tc>
          <w:tcPr>
            <w:tcW w:w="554"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2015</w:t>
            </w:r>
          </w:p>
        </w:tc>
        <w:tc>
          <w:tcPr>
            <w:tcW w:w="1052"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L 72/2015</w:t>
            </w:r>
          </w:p>
        </w:tc>
        <w:tc>
          <w:tcPr>
            <w:tcW w:w="801"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424,5</w:t>
            </w:r>
          </w:p>
        </w:tc>
        <w:tc>
          <w:tcPr>
            <w:tcW w:w="767"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426,8</w:t>
            </w:r>
          </w:p>
        </w:tc>
        <w:tc>
          <w:tcPr>
            <w:tcW w:w="781"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345,2</w:t>
            </w:r>
          </w:p>
        </w:tc>
        <w:tc>
          <w:tcPr>
            <w:tcW w:w="875"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80,88%</w:t>
            </w:r>
          </w:p>
        </w:tc>
        <w:tc>
          <w:tcPr>
            <w:tcW w:w="850"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420,78</w:t>
            </w:r>
          </w:p>
        </w:tc>
        <w:tc>
          <w:tcPr>
            <w:tcW w:w="950"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357,1</w:t>
            </w:r>
          </w:p>
        </w:tc>
        <w:tc>
          <w:tcPr>
            <w:tcW w:w="976"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347</w:t>
            </w:r>
          </w:p>
        </w:tc>
        <w:tc>
          <w:tcPr>
            <w:tcW w:w="1037"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84,86%</w:t>
            </w:r>
          </w:p>
        </w:tc>
        <w:tc>
          <w:tcPr>
            <w:tcW w:w="794"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284,77</w:t>
            </w:r>
          </w:p>
        </w:tc>
      </w:tr>
      <w:tr w:rsidR="00D13901" w:rsidRPr="008376FC" w:rsidTr="00706A8D">
        <w:trPr>
          <w:trHeight w:val="182"/>
        </w:trPr>
        <w:tc>
          <w:tcPr>
            <w:tcW w:w="436"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w:t>
            </w:r>
          </w:p>
        </w:tc>
        <w:tc>
          <w:tcPr>
            <w:tcW w:w="554"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2016</w:t>
            </w:r>
          </w:p>
        </w:tc>
        <w:tc>
          <w:tcPr>
            <w:tcW w:w="1052"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L 154/2016</w:t>
            </w:r>
          </w:p>
        </w:tc>
        <w:tc>
          <w:tcPr>
            <w:tcW w:w="801"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311,3</w:t>
            </w:r>
          </w:p>
        </w:tc>
        <w:tc>
          <w:tcPr>
            <w:tcW w:w="767"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308,8</w:t>
            </w:r>
            <w:r w:rsidR="003757B0" w:rsidRPr="008376FC">
              <w:rPr>
                <w:rFonts w:asciiTheme="majorHAnsi" w:hAnsiTheme="majorHAnsi" w:cstheme="majorHAnsi"/>
                <w:b w:val="0"/>
                <w:bCs w:val="0"/>
                <w:i/>
                <w:color w:val="FF0000"/>
                <w:sz w:val="16"/>
                <w:szCs w:val="16"/>
              </w:rPr>
              <w:sym w:font="Wingdings" w:char="F06C"/>
            </w:r>
          </w:p>
        </w:tc>
        <w:tc>
          <w:tcPr>
            <w:tcW w:w="781"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287,6</w:t>
            </w:r>
          </w:p>
        </w:tc>
        <w:tc>
          <w:tcPr>
            <w:tcW w:w="875"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93,13%</w:t>
            </w:r>
          </w:p>
        </w:tc>
        <w:tc>
          <w:tcPr>
            <w:tcW w:w="850"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434,8</w:t>
            </w:r>
            <w:r w:rsidR="003757B0" w:rsidRPr="008376FC">
              <w:rPr>
                <w:rFonts w:asciiTheme="majorHAnsi" w:hAnsiTheme="majorHAnsi" w:cstheme="majorHAnsi"/>
                <w:b w:val="0"/>
                <w:bCs w:val="0"/>
                <w:i/>
                <w:color w:val="FF0000"/>
                <w:sz w:val="16"/>
                <w:szCs w:val="16"/>
              </w:rPr>
              <w:sym w:font="Wingdings" w:char="F06C"/>
            </w:r>
          </w:p>
        </w:tc>
        <w:tc>
          <w:tcPr>
            <w:tcW w:w="950"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364,26</w:t>
            </w:r>
          </w:p>
        </w:tc>
        <w:tc>
          <w:tcPr>
            <w:tcW w:w="976"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249</w:t>
            </w:r>
          </w:p>
        </w:tc>
        <w:tc>
          <w:tcPr>
            <w:tcW w:w="1037"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83,77%</w:t>
            </w:r>
          </w:p>
        </w:tc>
        <w:tc>
          <w:tcPr>
            <w:tcW w:w="794"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242,2</w:t>
            </w:r>
          </w:p>
        </w:tc>
      </w:tr>
      <w:tr w:rsidR="00D13901" w:rsidRPr="008376FC" w:rsidTr="00706A8D">
        <w:trPr>
          <w:trHeight w:val="182"/>
        </w:trPr>
        <w:tc>
          <w:tcPr>
            <w:tcW w:w="436"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4</w:t>
            </w:r>
          </w:p>
        </w:tc>
        <w:tc>
          <w:tcPr>
            <w:tcW w:w="554"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2017</w:t>
            </w:r>
          </w:p>
        </w:tc>
        <w:tc>
          <w:tcPr>
            <w:tcW w:w="1052"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L  279/2016</w:t>
            </w:r>
          </w:p>
        </w:tc>
        <w:tc>
          <w:tcPr>
            <w:tcW w:w="801"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266,6</w:t>
            </w:r>
          </w:p>
        </w:tc>
        <w:tc>
          <w:tcPr>
            <w:tcW w:w="767"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266,6</w:t>
            </w:r>
          </w:p>
        </w:tc>
        <w:tc>
          <w:tcPr>
            <w:tcW w:w="781"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211,8</w:t>
            </w:r>
          </w:p>
        </w:tc>
        <w:tc>
          <w:tcPr>
            <w:tcW w:w="875"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79,44%</w:t>
            </w:r>
          </w:p>
        </w:tc>
        <w:tc>
          <w:tcPr>
            <w:tcW w:w="850"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51,85</w:t>
            </w:r>
          </w:p>
        </w:tc>
        <w:tc>
          <w:tcPr>
            <w:tcW w:w="950"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31,04</w:t>
            </w:r>
          </w:p>
        </w:tc>
        <w:tc>
          <w:tcPr>
            <w:tcW w:w="976"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9</w:t>
            </w:r>
          </w:p>
        </w:tc>
        <w:tc>
          <w:tcPr>
            <w:tcW w:w="1037"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59,86%</w:t>
            </w:r>
          </w:p>
        </w:tc>
        <w:tc>
          <w:tcPr>
            <w:tcW w:w="794"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28,60</w:t>
            </w:r>
          </w:p>
        </w:tc>
      </w:tr>
      <w:tr w:rsidR="00D13901" w:rsidRPr="008376FC" w:rsidTr="00706A8D">
        <w:trPr>
          <w:trHeight w:val="182"/>
        </w:trPr>
        <w:tc>
          <w:tcPr>
            <w:tcW w:w="436"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5</w:t>
            </w:r>
          </w:p>
        </w:tc>
        <w:tc>
          <w:tcPr>
            <w:tcW w:w="554"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2018</w:t>
            </w:r>
          </w:p>
        </w:tc>
        <w:tc>
          <w:tcPr>
            <w:tcW w:w="1052"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L 289/2017</w:t>
            </w:r>
          </w:p>
        </w:tc>
        <w:tc>
          <w:tcPr>
            <w:tcW w:w="801"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269,3</w:t>
            </w:r>
          </w:p>
        </w:tc>
        <w:tc>
          <w:tcPr>
            <w:tcW w:w="767"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269,3</w:t>
            </w:r>
            <w:r w:rsidR="003757B0" w:rsidRPr="008376FC">
              <w:rPr>
                <w:rFonts w:asciiTheme="majorHAnsi" w:hAnsiTheme="majorHAnsi" w:cstheme="majorHAnsi"/>
                <w:b w:val="0"/>
                <w:bCs w:val="0"/>
                <w:i/>
                <w:color w:val="FF0000"/>
                <w:sz w:val="16"/>
                <w:szCs w:val="16"/>
              </w:rPr>
              <w:sym w:font="Wingdings" w:char="F06C"/>
            </w:r>
          </w:p>
        </w:tc>
        <w:tc>
          <w:tcPr>
            <w:tcW w:w="781"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236,3</w:t>
            </w:r>
          </w:p>
        </w:tc>
        <w:tc>
          <w:tcPr>
            <w:tcW w:w="875"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87,74%</w:t>
            </w:r>
          </w:p>
        </w:tc>
        <w:tc>
          <w:tcPr>
            <w:tcW w:w="850"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382,78</w:t>
            </w:r>
            <w:r w:rsidR="003757B0" w:rsidRPr="008376FC">
              <w:rPr>
                <w:rFonts w:asciiTheme="majorHAnsi" w:hAnsiTheme="majorHAnsi" w:cstheme="majorHAnsi"/>
                <w:b w:val="0"/>
                <w:bCs w:val="0"/>
                <w:i/>
                <w:color w:val="FF0000"/>
                <w:sz w:val="16"/>
                <w:szCs w:val="16"/>
              </w:rPr>
              <w:sym w:font="Wingdings" w:char="F06C"/>
            </w:r>
          </w:p>
        </w:tc>
        <w:tc>
          <w:tcPr>
            <w:tcW w:w="950"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350,27</w:t>
            </w:r>
          </w:p>
        </w:tc>
        <w:tc>
          <w:tcPr>
            <w:tcW w:w="976"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124</w:t>
            </w:r>
          </w:p>
        </w:tc>
        <w:tc>
          <w:tcPr>
            <w:tcW w:w="1037"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91,15%</w:t>
            </w:r>
          </w:p>
        </w:tc>
        <w:tc>
          <w:tcPr>
            <w:tcW w:w="794"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202,16</w:t>
            </w:r>
          </w:p>
        </w:tc>
      </w:tr>
      <w:tr w:rsidR="00D13901" w:rsidRPr="008376FC" w:rsidTr="00706A8D">
        <w:trPr>
          <w:trHeight w:val="182"/>
        </w:trPr>
        <w:tc>
          <w:tcPr>
            <w:tcW w:w="436" w:type="dxa"/>
          </w:tcPr>
          <w:p w:rsidR="00667C50" w:rsidRPr="008376FC" w:rsidRDefault="009D78DD"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6</w:t>
            </w:r>
          </w:p>
        </w:tc>
        <w:tc>
          <w:tcPr>
            <w:tcW w:w="554"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2019</w:t>
            </w:r>
          </w:p>
        </w:tc>
        <w:tc>
          <w:tcPr>
            <w:tcW w:w="1052"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L 303/2018</w:t>
            </w:r>
          </w:p>
        </w:tc>
        <w:tc>
          <w:tcPr>
            <w:tcW w:w="801"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298,9</w:t>
            </w:r>
          </w:p>
        </w:tc>
        <w:tc>
          <w:tcPr>
            <w:tcW w:w="767"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285,36</w:t>
            </w:r>
          </w:p>
        </w:tc>
        <w:tc>
          <w:tcPr>
            <w:tcW w:w="781"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204,7</w:t>
            </w:r>
          </w:p>
        </w:tc>
        <w:tc>
          <w:tcPr>
            <w:tcW w:w="875"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71,73%</w:t>
            </w:r>
          </w:p>
        </w:tc>
        <w:tc>
          <w:tcPr>
            <w:tcW w:w="850"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234,0</w:t>
            </w:r>
          </w:p>
        </w:tc>
        <w:tc>
          <w:tcPr>
            <w:tcW w:w="950"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203,63</w:t>
            </w:r>
          </w:p>
        </w:tc>
        <w:tc>
          <w:tcPr>
            <w:tcW w:w="976"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51</w:t>
            </w:r>
          </w:p>
        </w:tc>
        <w:tc>
          <w:tcPr>
            <w:tcW w:w="1037"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87,02%</w:t>
            </w:r>
          </w:p>
        </w:tc>
        <w:tc>
          <w:tcPr>
            <w:tcW w:w="794"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192,81</w:t>
            </w:r>
          </w:p>
        </w:tc>
      </w:tr>
      <w:tr w:rsidR="00D13901" w:rsidRPr="008376FC" w:rsidTr="00706A8D">
        <w:trPr>
          <w:trHeight w:val="182"/>
        </w:trPr>
        <w:tc>
          <w:tcPr>
            <w:tcW w:w="436" w:type="dxa"/>
          </w:tcPr>
          <w:p w:rsidR="00667C50" w:rsidRPr="008376FC" w:rsidRDefault="009D78DD"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7</w:t>
            </w:r>
          </w:p>
        </w:tc>
        <w:tc>
          <w:tcPr>
            <w:tcW w:w="554"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2020</w:t>
            </w:r>
          </w:p>
        </w:tc>
        <w:tc>
          <w:tcPr>
            <w:tcW w:w="1052"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L 172/2019</w:t>
            </w:r>
          </w:p>
        </w:tc>
        <w:tc>
          <w:tcPr>
            <w:tcW w:w="801"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298,9</w:t>
            </w:r>
          </w:p>
        </w:tc>
        <w:tc>
          <w:tcPr>
            <w:tcW w:w="767"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304,5</w:t>
            </w:r>
            <w:r w:rsidR="003757B0" w:rsidRPr="008376FC">
              <w:rPr>
                <w:rFonts w:asciiTheme="majorHAnsi" w:hAnsiTheme="majorHAnsi" w:cstheme="majorHAnsi"/>
                <w:b w:val="0"/>
                <w:bCs w:val="0"/>
                <w:i/>
                <w:color w:val="FF0000"/>
                <w:sz w:val="16"/>
                <w:szCs w:val="16"/>
              </w:rPr>
              <w:sym w:font="Wingdings" w:char="F06C"/>
            </w:r>
          </w:p>
        </w:tc>
        <w:tc>
          <w:tcPr>
            <w:tcW w:w="781"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270,5</w:t>
            </w:r>
          </w:p>
        </w:tc>
        <w:tc>
          <w:tcPr>
            <w:tcW w:w="875"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88,83%</w:t>
            </w:r>
          </w:p>
        </w:tc>
        <w:tc>
          <w:tcPr>
            <w:tcW w:w="850"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328,8</w:t>
            </w:r>
            <w:r w:rsidR="003757B0" w:rsidRPr="008376FC">
              <w:rPr>
                <w:rFonts w:asciiTheme="majorHAnsi" w:hAnsiTheme="majorHAnsi" w:cstheme="majorHAnsi"/>
                <w:b w:val="0"/>
                <w:bCs w:val="0"/>
                <w:i/>
                <w:color w:val="FF0000"/>
                <w:sz w:val="16"/>
                <w:szCs w:val="16"/>
              </w:rPr>
              <w:sym w:font="Wingdings" w:char="F06C"/>
            </w:r>
          </w:p>
        </w:tc>
        <w:tc>
          <w:tcPr>
            <w:tcW w:w="950"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306,6</w:t>
            </w:r>
          </w:p>
        </w:tc>
        <w:tc>
          <w:tcPr>
            <w:tcW w:w="976"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109</w:t>
            </w:r>
          </w:p>
        </w:tc>
        <w:tc>
          <w:tcPr>
            <w:tcW w:w="1037"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93,25 %</w:t>
            </w:r>
          </w:p>
        </w:tc>
        <w:tc>
          <w:tcPr>
            <w:tcW w:w="794"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228,52</w:t>
            </w:r>
          </w:p>
        </w:tc>
      </w:tr>
      <w:tr w:rsidR="00D13901" w:rsidRPr="008376FC" w:rsidTr="00706A8D">
        <w:trPr>
          <w:trHeight w:val="182"/>
        </w:trPr>
        <w:tc>
          <w:tcPr>
            <w:tcW w:w="436" w:type="dxa"/>
          </w:tcPr>
          <w:p w:rsidR="00667C50" w:rsidRPr="008376FC" w:rsidRDefault="009D78DD"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8</w:t>
            </w:r>
          </w:p>
        </w:tc>
        <w:tc>
          <w:tcPr>
            <w:tcW w:w="554"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2021</w:t>
            </w:r>
          </w:p>
        </w:tc>
        <w:tc>
          <w:tcPr>
            <w:tcW w:w="1052"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L 258/2020</w:t>
            </w:r>
          </w:p>
        </w:tc>
        <w:tc>
          <w:tcPr>
            <w:tcW w:w="801"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 xml:space="preserve">500,0 </w:t>
            </w:r>
          </w:p>
        </w:tc>
        <w:tc>
          <w:tcPr>
            <w:tcW w:w="767"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298,5</w:t>
            </w:r>
            <w:r w:rsidR="003757B0" w:rsidRPr="008376FC">
              <w:rPr>
                <w:rFonts w:asciiTheme="majorHAnsi" w:hAnsiTheme="majorHAnsi" w:cstheme="majorHAnsi"/>
                <w:b w:val="0"/>
                <w:bCs w:val="0"/>
                <w:i/>
                <w:color w:val="FF0000"/>
                <w:sz w:val="16"/>
                <w:szCs w:val="16"/>
              </w:rPr>
              <w:sym w:font="Wingdings" w:char="F06C"/>
            </w:r>
          </w:p>
        </w:tc>
        <w:tc>
          <w:tcPr>
            <w:tcW w:w="781"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297,9</w:t>
            </w:r>
          </w:p>
        </w:tc>
        <w:tc>
          <w:tcPr>
            <w:tcW w:w="875"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99,7%</w:t>
            </w:r>
          </w:p>
        </w:tc>
        <w:tc>
          <w:tcPr>
            <w:tcW w:w="850"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507,31</w:t>
            </w:r>
            <w:r w:rsidR="003757B0" w:rsidRPr="008376FC">
              <w:rPr>
                <w:rFonts w:asciiTheme="majorHAnsi" w:hAnsiTheme="majorHAnsi" w:cstheme="majorHAnsi"/>
                <w:b w:val="0"/>
                <w:bCs w:val="0"/>
                <w:i/>
                <w:color w:val="FF0000"/>
                <w:sz w:val="16"/>
                <w:szCs w:val="16"/>
              </w:rPr>
              <w:sym w:font="Wingdings" w:char="F06C"/>
            </w:r>
          </w:p>
        </w:tc>
        <w:tc>
          <w:tcPr>
            <w:tcW w:w="950"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417,06</w:t>
            </w:r>
          </w:p>
        </w:tc>
        <w:tc>
          <w:tcPr>
            <w:tcW w:w="976"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55</w:t>
            </w:r>
          </w:p>
        </w:tc>
        <w:tc>
          <w:tcPr>
            <w:tcW w:w="1037"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82,21%</w:t>
            </w:r>
          </w:p>
        </w:tc>
        <w:tc>
          <w:tcPr>
            <w:tcW w:w="794"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241,4</w:t>
            </w:r>
          </w:p>
        </w:tc>
      </w:tr>
      <w:tr w:rsidR="00D13901" w:rsidRPr="008376FC" w:rsidTr="00706A8D">
        <w:trPr>
          <w:trHeight w:val="182"/>
        </w:trPr>
        <w:tc>
          <w:tcPr>
            <w:tcW w:w="436" w:type="dxa"/>
          </w:tcPr>
          <w:p w:rsidR="00667C50" w:rsidRPr="008376FC" w:rsidRDefault="009D78DD"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9</w:t>
            </w:r>
          </w:p>
        </w:tc>
        <w:tc>
          <w:tcPr>
            <w:tcW w:w="554"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2022</w:t>
            </w:r>
          </w:p>
        </w:tc>
        <w:tc>
          <w:tcPr>
            <w:tcW w:w="1052" w:type="dxa"/>
          </w:tcPr>
          <w:p w:rsidR="00667C50" w:rsidRPr="008376FC" w:rsidRDefault="00667C50" w:rsidP="00F61756">
            <w:pPr>
              <w:spacing w:line="276" w:lineRule="auto"/>
              <w:jc w:val="both"/>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L 215/2021</w:t>
            </w:r>
          </w:p>
        </w:tc>
        <w:tc>
          <w:tcPr>
            <w:tcW w:w="801"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 xml:space="preserve">250,0 </w:t>
            </w:r>
          </w:p>
        </w:tc>
        <w:tc>
          <w:tcPr>
            <w:tcW w:w="767"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271,5</w:t>
            </w:r>
          </w:p>
        </w:tc>
        <w:tc>
          <w:tcPr>
            <w:tcW w:w="781"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234,14</w:t>
            </w:r>
          </w:p>
        </w:tc>
        <w:tc>
          <w:tcPr>
            <w:tcW w:w="875"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86,24%</w:t>
            </w:r>
          </w:p>
        </w:tc>
        <w:tc>
          <w:tcPr>
            <w:tcW w:w="850"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13,68</w:t>
            </w:r>
          </w:p>
        </w:tc>
        <w:tc>
          <w:tcPr>
            <w:tcW w:w="950" w:type="dxa"/>
          </w:tcPr>
          <w:p w:rsidR="00667C50" w:rsidRPr="008376FC" w:rsidRDefault="009D78DD"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w:t>
            </w:r>
          </w:p>
        </w:tc>
        <w:tc>
          <w:tcPr>
            <w:tcW w:w="976" w:type="dxa"/>
          </w:tcPr>
          <w:p w:rsidR="00667C50" w:rsidRPr="008376FC" w:rsidRDefault="009D78DD"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w:t>
            </w:r>
          </w:p>
        </w:tc>
        <w:tc>
          <w:tcPr>
            <w:tcW w:w="1037" w:type="dxa"/>
          </w:tcPr>
          <w:p w:rsidR="00667C50" w:rsidRPr="008376FC" w:rsidRDefault="009D78DD"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w:t>
            </w:r>
          </w:p>
        </w:tc>
        <w:tc>
          <w:tcPr>
            <w:tcW w:w="794" w:type="dxa"/>
          </w:tcPr>
          <w:p w:rsidR="00667C50" w:rsidRPr="008376FC" w:rsidRDefault="00667C50" w:rsidP="00F61756">
            <w:pPr>
              <w:spacing w:line="276" w:lineRule="auto"/>
              <w:jc w:val="right"/>
              <w:rPr>
                <w:rFonts w:asciiTheme="majorHAnsi" w:hAnsiTheme="majorHAnsi" w:cstheme="majorHAnsi"/>
                <w:b w:val="0"/>
                <w:bCs w:val="0"/>
                <w:i/>
                <w:sz w:val="16"/>
                <w:szCs w:val="16"/>
              </w:rPr>
            </w:pPr>
            <w:r w:rsidRPr="008376FC">
              <w:rPr>
                <w:rFonts w:asciiTheme="majorHAnsi" w:hAnsiTheme="majorHAnsi" w:cstheme="majorHAnsi"/>
                <w:b w:val="0"/>
                <w:bCs w:val="0"/>
                <w:i/>
                <w:sz w:val="16"/>
                <w:szCs w:val="16"/>
              </w:rPr>
              <w:t>192,8</w:t>
            </w:r>
          </w:p>
        </w:tc>
      </w:tr>
      <w:tr w:rsidR="00D13901" w:rsidRPr="008376FC" w:rsidTr="00706A8D">
        <w:trPr>
          <w:trHeight w:val="182"/>
        </w:trPr>
        <w:tc>
          <w:tcPr>
            <w:tcW w:w="2042" w:type="dxa"/>
            <w:gridSpan w:val="3"/>
            <w:shd w:val="clear" w:color="auto" w:fill="BDD6EE" w:themeFill="accent1" w:themeFillTint="66"/>
          </w:tcPr>
          <w:p w:rsidR="00667C50" w:rsidRPr="008376FC" w:rsidRDefault="00667C50"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Total</w:t>
            </w:r>
          </w:p>
        </w:tc>
        <w:tc>
          <w:tcPr>
            <w:tcW w:w="801" w:type="dxa"/>
            <w:shd w:val="clear" w:color="auto" w:fill="BDD6EE" w:themeFill="accent1" w:themeFillTint="66"/>
          </w:tcPr>
          <w:p w:rsidR="00667C50" w:rsidRPr="008376FC" w:rsidRDefault="00667C50"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3086,1</w:t>
            </w:r>
          </w:p>
        </w:tc>
        <w:tc>
          <w:tcPr>
            <w:tcW w:w="767" w:type="dxa"/>
            <w:shd w:val="clear" w:color="auto" w:fill="BDD6EE" w:themeFill="accent1" w:themeFillTint="66"/>
          </w:tcPr>
          <w:p w:rsidR="00667C50" w:rsidRPr="008376FC" w:rsidRDefault="00667C50"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2897,96</w:t>
            </w:r>
          </w:p>
        </w:tc>
        <w:tc>
          <w:tcPr>
            <w:tcW w:w="781" w:type="dxa"/>
            <w:shd w:val="clear" w:color="auto" w:fill="BDD6EE" w:themeFill="accent1" w:themeFillTint="66"/>
          </w:tcPr>
          <w:p w:rsidR="00667C50" w:rsidRPr="008376FC" w:rsidRDefault="00667C50"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2514,44</w:t>
            </w:r>
          </w:p>
        </w:tc>
        <w:tc>
          <w:tcPr>
            <w:tcW w:w="875" w:type="dxa"/>
            <w:shd w:val="clear" w:color="auto" w:fill="BDD6EE" w:themeFill="accent1" w:themeFillTint="66"/>
          </w:tcPr>
          <w:p w:rsidR="00667C50" w:rsidRPr="008376FC" w:rsidRDefault="00667C50" w:rsidP="00F61756">
            <w:pPr>
              <w:spacing w:line="276" w:lineRule="auto"/>
              <w:jc w:val="both"/>
              <w:rPr>
                <w:rFonts w:asciiTheme="majorHAnsi" w:hAnsiTheme="majorHAnsi" w:cstheme="majorHAnsi"/>
                <w:bCs w:val="0"/>
                <w:sz w:val="16"/>
                <w:szCs w:val="16"/>
              </w:rPr>
            </w:pPr>
          </w:p>
        </w:tc>
        <w:tc>
          <w:tcPr>
            <w:tcW w:w="850" w:type="dxa"/>
            <w:shd w:val="clear" w:color="auto" w:fill="BDD6EE" w:themeFill="accent1" w:themeFillTint="66"/>
          </w:tcPr>
          <w:p w:rsidR="00667C50" w:rsidRPr="008376FC" w:rsidRDefault="00667C50"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2840,6</w:t>
            </w:r>
          </w:p>
        </w:tc>
        <w:tc>
          <w:tcPr>
            <w:tcW w:w="950" w:type="dxa"/>
            <w:shd w:val="clear" w:color="auto" w:fill="BDD6EE" w:themeFill="accent1" w:themeFillTint="66"/>
          </w:tcPr>
          <w:p w:rsidR="00667C50" w:rsidRPr="008376FC" w:rsidRDefault="00667C50"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2406,6</w:t>
            </w:r>
          </w:p>
        </w:tc>
        <w:tc>
          <w:tcPr>
            <w:tcW w:w="976" w:type="dxa"/>
            <w:shd w:val="clear" w:color="auto" w:fill="BDD6EE" w:themeFill="accent1" w:themeFillTint="66"/>
          </w:tcPr>
          <w:p w:rsidR="00667C50" w:rsidRPr="008376FC" w:rsidRDefault="00667C50"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1327</w:t>
            </w:r>
          </w:p>
        </w:tc>
        <w:tc>
          <w:tcPr>
            <w:tcW w:w="1037" w:type="dxa"/>
            <w:shd w:val="clear" w:color="auto" w:fill="BDD6EE" w:themeFill="accent1" w:themeFillTint="66"/>
          </w:tcPr>
          <w:p w:rsidR="00667C50" w:rsidRPr="008376FC" w:rsidRDefault="00667C50"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84,72</w:t>
            </w:r>
          </w:p>
        </w:tc>
        <w:tc>
          <w:tcPr>
            <w:tcW w:w="794" w:type="dxa"/>
            <w:shd w:val="clear" w:color="auto" w:fill="BDD6EE" w:themeFill="accent1" w:themeFillTint="66"/>
          </w:tcPr>
          <w:p w:rsidR="00667C50" w:rsidRPr="008376FC" w:rsidRDefault="00667C50" w:rsidP="00F61756">
            <w:pPr>
              <w:spacing w:line="276" w:lineRule="auto"/>
              <w:jc w:val="both"/>
              <w:rPr>
                <w:rFonts w:asciiTheme="majorHAnsi" w:hAnsiTheme="majorHAnsi" w:cstheme="majorHAnsi"/>
                <w:bCs w:val="0"/>
                <w:sz w:val="16"/>
                <w:szCs w:val="16"/>
              </w:rPr>
            </w:pPr>
            <w:r w:rsidRPr="008376FC">
              <w:rPr>
                <w:rFonts w:asciiTheme="majorHAnsi" w:hAnsiTheme="majorHAnsi" w:cstheme="majorHAnsi"/>
                <w:bCs w:val="0"/>
                <w:sz w:val="16"/>
                <w:szCs w:val="16"/>
              </w:rPr>
              <w:t>1936,56</w:t>
            </w:r>
          </w:p>
        </w:tc>
      </w:tr>
    </w:tbl>
    <w:p w:rsidR="003E6F7C" w:rsidRPr="008376FC" w:rsidRDefault="003E6F7C" w:rsidP="00F61756">
      <w:pPr>
        <w:tabs>
          <w:tab w:val="left" w:pos="142"/>
        </w:tabs>
        <w:spacing w:after="0" w:line="276" w:lineRule="auto"/>
        <w:jc w:val="both"/>
        <w:rPr>
          <w:rFonts w:asciiTheme="majorHAnsi" w:hAnsiTheme="majorHAnsi" w:cs="Times New Roman"/>
          <w:b w:val="0"/>
          <w:sz w:val="24"/>
          <w:szCs w:val="24"/>
        </w:rPr>
      </w:pPr>
    </w:p>
    <w:p w:rsidR="00273067" w:rsidRPr="008376FC" w:rsidRDefault="003E6F7C" w:rsidP="00F61756">
      <w:pPr>
        <w:tabs>
          <w:tab w:val="left" w:pos="142"/>
        </w:tabs>
        <w:spacing w:after="0" w:line="276" w:lineRule="auto"/>
        <w:jc w:val="both"/>
        <w:rPr>
          <w:rFonts w:asciiTheme="majorHAnsi" w:hAnsiTheme="majorHAnsi" w:cstheme="majorHAnsi"/>
          <w:b w:val="0"/>
          <w:sz w:val="20"/>
          <w:szCs w:val="20"/>
        </w:rPr>
      </w:pPr>
      <w:r w:rsidRPr="008F2908">
        <w:rPr>
          <w:rFonts w:asciiTheme="majorHAnsi" w:hAnsiTheme="majorHAnsi" w:cstheme="majorHAnsi"/>
          <w:b w:val="0"/>
          <w:i/>
          <w:sz w:val="20"/>
          <w:szCs w:val="20"/>
        </w:rPr>
        <w:t>Sursa: Date</w:t>
      </w:r>
      <w:r w:rsidR="00F70B1D">
        <w:rPr>
          <w:rFonts w:asciiTheme="majorHAnsi" w:hAnsiTheme="majorHAnsi" w:cstheme="majorHAnsi"/>
          <w:b w:val="0"/>
          <w:i/>
          <w:sz w:val="20"/>
          <w:szCs w:val="20"/>
        </w:rPr>
        <w:t xml:space="preserve"> oferite de</w:t>
      </w:r>
      <w:r w:rsidRPr="008F2908">
        <w:rPr>
          <w:rFonts w:asciiTheme="majorHAnsi" w:hAnsiTheme="majorHAnsi" w:cstheme="majorHAnsi"/>
          <w:b w:val="0"/>
          <w:i/>
          <w:sz w:val="20"/>
          <w:szCs w:val="20"/>
        </w:rPr>
        <w:t xml:space="preserve"> MM</w:t>
      </w:r>
      <w:r w:rsidRPr="008376FC">
        <w:rPr>
          <w:rFonts w:asciiTheme="majorHAnsi" w:hAnsiTheme="majorHAnsi" w:cstheme="majorHAnsi"/>
          <w:b w:val="0"/>
          <w:sz w:val="20"/>
          <w:szCs w:val="20"/>
        </w:rPr>
        <w:t>.</w:t>
      </w:r>
    </w:p>
    <w:p w:rsidR="003E6F7C" w:rsidRPr="008376FC" w:rsidRDefault="003E6F7C" w:rsidP="00F61756">
      <w:pPr>
        <w:tabs>
          <w:tab w:val="left" w:pos="142"/>
        </w:tabs>
        <w:spacing w:after="0" w:line="276" w:lineRule="auto"/>
        <w:jc w:val="both"/>
        <w:rPr>
          <w:rFonts w:asciiTheme="majorHAnsi" w:hAnsiTheme="majorHAnsi" w:cs="Times New Roman"/>
          <w:b w:val="0"/>
          <w:sz w:val="24"/>
          <w:szCs w:val="24"/>
        </w:rPr>
      </w:pPr>
    </w:p>
    <w:p w:rsidR="00D9747D" w:rsidRPr="00D173C9" w:rsidRDefault="00BC28D6" w:rsidP="00E4274A">
      <w:pPr>
        <w:tabs>
          <w:tab w:val="left" w:pos="142"/>
        </w:tabs>
        <w:spacing w:after="0" w:line="276" w:lineRule="auto"/>
        <w:jc w:val="both"/>
        <w:rPr>
          <w:rFonts w:asciiTheme="majorHAnsi" w:hAnsiTheme="majorHAnsi" w:cs="Times New Roman"/>
          <w:b w:val="0"/>
          <w:sz w:val="24"/>
          <w:szCs w:val="24"/>
        </w:rPr>
      </w:pPr>
      <w:r w:rsidRPr="00D173C9">
        <w:rPr>
          <w:rFonts w:asciiTheme="majorHAnsi" w:hAnsiTheme="majorHAnsi" w:cs="Times New Roman"/>
          <w:b w:val="0"/>
          <w:sz w:val="24"/>
          <w:szCs w:val="24"/>
        </w:rPr>
        <w:t>Datele din Tabel denotă că, din bugetul total al FEN pentru anii 2014-2021 (2.897,96 mil.lei), 83,0% reprezintă alocațiile destinate realizării programului în domeniul alimentării cu apă și sanitației (2.406,6 mil.lei). Totodată, având aprobate în buget 2.406,6 mil.lei, în perioada respectivă CA a aprobat pentru finanțarea PI în suma de 2.840,6 mil.lei, sau cu 434,0 mil.lei mai mult (+18,0%), acestea neavând acoperire financiară cu resurse bugetare. Se atestă și capacitatea redusă de valorificare a resurselor bugetate alocate din FEN, din 2.406,6 mil.lei aprobate pentru realizarea PI aferente alimentării cu apă și sanitației fiind executate 1.936,56 mil.lei, sau 80,5%, rămănând nevalorificate la finele anilor bugetari per total 470,0 mil.lei.</w:t>
      </w:r>
    </w:p>
    <w:p w:rsidR="00D9747D" w:rsidRPr="00D173C9" w:rsidRDefault="00D9747D" w:rsidP="00E4274A">
      <w:pPr>
        <w:tabs>
          <w:tab w:val="left" w:pos="142"/>
        </w:tabs>
        <w:spacing w:after="0" w:line="276" w:lineRule="auto"/>
        <w:jc w:val="both"/>
        <w:rPr>
          <w:rFonts w:asciiTheme="majorHAnsi" w:hAnsiTheme="majorHAnsi" w:cs="Times New Roman"/>
          <w:b w:val="0"/>
          <w:sz w:val="24"/>
          <w:szCs w:val="24"/>
        </w:rPr>
      </w:pPr>
    </w:p>
    <w:p w:rsidR="00D9747D" w:rsidRPr="00D173C9" w:rsidRDefault="00BC28D6" w:rsidP="00E4274A">
      <w:pPr>
        <w:tabs>
          <w:tab w:val="left" w:pos="142"/>
        </w:tabs>
        <w:spacing w:after="0" w:line="276" w:lineRule="auto"/>
        <w:jc w:val="both"/>
        <w:rPr>
          <w:rFonts w:asciiTheme="majorHAnsi" w:hAnsiTheme="majorHAnsi" w:cs="Times New Roman"/>
          <w:b w:val="0"/>
          <w:sz w:val="24"/>
          <w:szCs w:val="24"/>
        </w:rPr>
      </w:pPr>
      <w:r w:rsidRPr="00D173C9">
        <w:rPr>
          <w:rFonts w:asciiTheme="majorHAnsi" w:hAnsiTheme="majorHAnsi" w:cs="Times New Roman"/>
          <w:b w:val="0"/>
          <w:sz w:val="24"/>
          <w:szCs w:val="24"/>
        </w:rPr>
        <w:t xml:space="preserve">În perioada 2014-2021, CA al FEN a aprobat spre finanțare 1.471 de contracte de finanțare cu beneficiarii acestora, care se refereau la 580 de proiecte investiționale. Acestea urmau a fi implementate în 37 de APL. </w:t>
      </w:r>
    </w:p>
    <w:p w:rsidR="00D9747D" w:rsidRPr="0092666C" w:rsidRDefault="00D9747D" w:rsidP="00E4274A">
      <w:pPr>
        <w:tabs>
          <w:tab w:val="left" w:pos="142"/>
        </w:tabs>
        <w:spacing w:after="0" w:line="276" w:lineRule="auto"/>
        <w:jc w:val="both"/>
        <w:rPr>
          <w:rFonts w:asciiTheme="majorHAnsi" w:hAnsiTheme="majorHAnsi" w:cs="Times New Roman"/>
          <w:sz w:val="24"/>
          <w:szCs w:val="24"/>
          <w:highlight w:val="yellow"/>
        </w:rPr>
      </w:pPr>
    </w:p>
    <w:p w:rsidR="00D9747D" w:rsidRDefault="00D9747D" w:rsidP="00E4274A">
      <w:pPr>
        <w:tabs>
          <w:tab w:val="left" w:pos="142"/>
        </w:tabs>
        <w:spacing w:after="0" w:line="276" w:lineRule="auto"/>
        <w:jc w:val="both"/>
        <w:rPr>
          <w:rFonts w:asciiTheme="majorHAnsi" w:hAnsiTheme="majorHAnsi" w:cs="Times New Roman"/>
          <w:b w:val="0"/>
          <w:sz w:val="24"/>
          <w:szCs w:val="24"/>
        </w:rPr>
      </w:pPr>
      <w:r w:rsidRPr="0092666C">
        <w:rPr>
          <w:rFonts w:asciiTheme="majorHAnsi" w:hAnsiTheme="majorHAnsi" w:cs="Times New Roman"/>
          <w:b w:val="0"/>
          <w:sz w:val="24"/>
          <w:szCs w:val="24"/>
        </w:rPr>
        <w:t xml:space="preserve">Analiza pe raioane a numărului de PI implementate din FEN denotă că, cele mai multe au fost implementate în Ungheni (31), urmat de mun. Chișinău (28) și Fălești </w:t>
      </w:r>
      <w:r w:rsidR="00312A70" w:rsidRPr="0092666C">
        <w:rPr>
          <w:rFonts w:asciiTheme="majorHAnsi" w:hAnsiTheme="majorHAnsi" w:cs="Times New Roman"/>
          <w:b w:val="0"/>
          <w:sz w:val="24"/>
          <w:szCs w:val="24"/>
        </w:rPr>
        <w:t>(</w:t>
      </w:r>
      <w:r w:rsidRPr="0092666C">
        <w:rPr>
          <w:rFonts w:asciiTheme="majorHAnsi" w:hAnsiTheme="majorHAnsi" w:cs="Times New Roman"/>
          <w:b w:val="0"/>
          <w:sz w:val="24"/>
          <w:szCs w:val="24"/>
        </w:rPr>
        <w:t>26</w:t>
      </w:r>
      <w:r w:rsidR="00312A70" w:rsidRPr="0092666C">
        <w:rPr>
          <w:rFonts w:asciiTheme="majorHAnsi" w:hAnsiTheme="majorHAnsi" w:cs="Times New Roman"/>
          <w:b w:val="0"/>
          <w:sz w:val="24"/>
          <w:szCs w:val="24"/>
        </w:rPr>
        <w:t>)</w:t>
      </w:r>
      <w:r w:rsidRPr="0092666C">
        <w:rPr>
          <w:rFonts w:asciiTheme="majorHAnsi" w:hAnsiTheme="majorHAnsi" w:cs="Times New Roman"/>
          <w:b w:val="0"/>
          <w:sz w:val="24"/>
          <w:szCs w:val="24"/>
        </w:rPr>
        <w:t xml:space="preserve"> , Orhei (26), Criuleni și Sângerei </w:t>
      </w:r>
      <w:r w:rsidR="00312A70" w:rsidRPr="00AD5508">
        <w:rPr>
          <w:rFonts w:asciiTheme="majorHAnsi" w:hAnsiTheme="majorHAnsi" w:cs="Times New Roman"/>
          <w:b w:val="0"/>
          <w:sz w:val="24"/>
          <w:szCs w:val="24"/>
        </w:rPr>
        <w:t>(</w:t>
      </w:r>
      <w:r w:rsidRPr="00AD5508">
        <w:rPr>
          <w:rFonts w:asciiTheme="majorHAnsi" w:hAnsiTheme="majorHAnsi" w:cs="Times New Roman"/>
          <w:b w:val="0"/>
          <w:sz w:val="24"/>
          <w:szCs w:val="24"/>
        </w:rPr>
        <w:t>câte 24</w:t>
      </w:r>
      <w:r w:rsidR="00312A70" w:rsidRPr="006668E4">
        <w:rPr>
          <w:rFonts w:asciiTheme="majorHAnsi" w:hAnsiTheme="majorHAnsi" w:cs="Times New Roman"/>
          <w:b w:val="0"/>
          <w:sz w:val="24"/>
          <w:szCs w:val="24"/>
        </w:rPr>
        <w:t>)</w:t>
      </w:r>
      <w:r w:rsidRPr="006668E4">
        <w:rPr>
          <w:rFonts w:asciiTheme="majorHAnsi" w:hAnsiTheme="majorHAnsi" w:cs="Times New Roman"/>
          <w:b w:val="0"/>
          <w:sz w:val="24"/>
          <w:szCs w:val="24"/>
        </w:rPr>
        <w:t xml:space="preserve">, Rezina (21), câte 20 de PI în Nisporeni și Anenii Noi etc. Cel mai mic număr de proecte se atestă în Bălți (3), </w:t>
      </w:r>
      <w:r w:rsidR="004019B9" w:rsidRPr="009A30E2">
        <w:rPr>
          <w:rFonts w:asciiTheme="majorHAnsi" w:hAnsiTheme="majorHAnsi" w:cs="Times New Roman"/>
          <w:b w:val="0"/>
          <w:sz w:val="24"/>
          <w:szCs w:val="24"/>
        </w:rPr>
        <w:t xml:space="preserve">Briceni și Ocnița, câte 7 în fiecare, Soroca (8). </w:t>
      </w:r>
      <w:r w:rsidRPr="00EC6F14">
        <w:rPr>
          <w:rFonts w:asciiTheme="majorHAnsi" w:hAnsiTheme="majorHAnsi" w:cs="Times New Roman"/>
          <w:b w:val="0"/>
          <w:sz w:val="24"/>
          <w:szCs w:val="24"/>
        </w:rPr>
        <w:t>Analiza pe raio</w:t>
      </w:r>
      <w:r w:rsidRPr="007646A3">
        <w:rPr>
          <w:rFonts w:asciiTheme="majorHAnsi" w:hAnsiTheme="majorHAnsi" w:cs="Times New Roman"/>
          <w:b w:val="0"/>
          <w:sz w:val="24"/>
          <w:szCs w:val="24"/>
        </w:rPr>
        <w:t xml:space="preserve">ane a numărului de PI, </w:t>
      </w:r>
      <w:r w:rsidR="00312A70" w:rsidRPr="007646A3">
        <w:rPr>
          <w:rFonts w:asciiTheme="majorHAnsi" w:hAnsiTheme="majorHAnsi" w:cs="Times New Roman"/>
          <w:b w:val="0"/>
          <w:sz w:val="24"/>
          <w:szCs w:val="24"/>
        </w:rPr>
        <w:t xml:space="preserve">a </w:t>
      </w:r>
      <w:r w:rsidRPr="000D75B4">
        <w:rPr>
          <w:rFonts w:asciiTheme="majorHAnsi" w:hAnsiTheme="majorHAnsi" w:cs="Times New Roman"/>
          <w:b w:val="0"/>
          <w:sz w:val="24"/>
          <w:szCs w:val="24"/>
        </w:rPr>
        <w:t>valorii contractelor și a sumelor alocate din FEN se prezintă în Figurele de mai jos.</w:t>
      </w:r>
      <w:r w:rsidRPr="008376FC">
        <w:rPr>
          <w:rFonts w:asciiTheme="majorHAnsi" w:hAnsiTheme="majorHAnsi" w:cs="Times New Roman"/>
          <w:b w:val="0"/>
          <w:sz w:val="24"/>
          <w:szCs w:val="24"/>
        </w:rPr>
        <w:t xml:space="preserve"> </w:t>
      </w:r>
    </w:p>
    <w:p w:rsidR="00D173C9" w:rsidRPr="008376FC" w:rsidRDefault="00D173C9" w:rsidP="00F61756">
      <w:pPr>
        <w:tabs>
          <w:tab w:val="left" w:pos="142"/>
        </w:tabs>
        <w:spacing w:after="0" w:line="276" w:lineRule="auto"/>
        <w:jc w:val="both"/>
        <w:rPr>
          <w:rFonts w:asciiTheme="majorHAnsi" w:hAnsiTheme="majorHAnsi" w:cs="Times New Roman"/>
          <w:b w:val="0"/>
          <w:sz w:val="24"/>
          <w:szCs w:val="24"/>
        </w:rPr>
      </w:pPr>
    </w:p>
    <w:p w:rsidR="00F25BA2" w:rsidRPr="008376FC" w:rsidRDefault="00634AF5" w:rsidP="00F61756">
      <w:pPr>
        <w:tabs>
          <w:tab w:val="left" w:pos="142"/>
        </w:tabs>
        <w:spacing w:after="0" w:line="276" w:lineRule="auto"/>
        <w:jc w:val="right"/>
        <w:rPr>
          <w:rFonts w:asciiTheme="majorHAnsi" w:hAnsiTheme="majorHAnsi" w:cs="Times New Roman"/>
          <w:b w:val="0"/>
          <w:sz w:val="24"/>
          <w:szCs w:val="24"/>
        </w:rPr>
      </w:pPr>
      <w:r w:rsidRPr="00F61756" w:rsidDel="00634AF5">
        <w:rPr>
          <w:rFonts w:asciiTheme="majorHAnsi" w:hAnsiTheme="majorHAnsi" w:cs="Times New Roman"/>
          <w:b w:val="0"/>
          <w:sz w:val="20"/>
          <w:szCs w:val="20"/>
        </w:rPr>
        <w:t xml:space="preserve"> </w:t>
      </w:r>
      <w:r w:rsidR="000F285C" w:rsidRPr="00F61756">
        <w:rPr>
          <w:rFonts w:asciiTheme="majorHAnsi" w:hAnsiTheme="majorHAnsi" w:cs="Times New Roman"/>
          <w:sz w:val="20"/>
          <w:szCs w:val="20"/>
        </w:rPr>
        <w:t xml:space="preserve">Figura nr. </w:t>
      </w:r>
      <w:r w:rsidR="003E6F7C" w:rsidRPr="00F61756">
        <w:rPr>
          <w:rFonts w:asciiTheme="majorHAnsi" w:hAnsiTheme="majorHAnsi" w:cs="Times New Roman"/>
          <w:sz w:val="20"/>
          <w:szCs w:val="20"/>
        </w:rPr>
        <w:t>4</w:t>
      </w:r>
    </w:p>
    <w:p w:rsidR="00F25BA2" w:rsidRPr="008376FC" w:rsidRDefault="00BE3B68" w:rsidP="00F61756">
      <w:pPr>
        <w:tabs>
          <w:tab w:val="left" w:pos="142"/>
        </w:tabs>
        <w:spacing w:after="0" w:line="276" w:lineRule="auto"/>
        <w:jc w:val="right"/>
        <w:rPr>
          <w:rFonts w:asciiTheme="majorHAnsi" w:hAnsiTheme="majorHAnsi" w:cs="Times New Roman"/>
          <w:b w:val="0"/>
          <w:sz w:val="24"/>
          <w:szCs w:val="24"/>
        </w:rPr>
      </w:pPr>
      <w:r w:rsidRPr="008376FC">
        <w:rPr>
          <w:noProof/>
          <w:lang w:val="ru-RU" w:eastAsia="ru-RU"/>
        </w:rPr>
        <w:drawing>
          <wp:inline distT="0" distB="0" distL="0" distR="0">
            <wp:extent cx="6130925" cy="1828800"/>
            <wp:effectExtent l="0" t="0" r="3175" b="0"/>
            <wp:docPr id="59" name="Chart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87F71" w:rsidRDefault="000F285C" w:rsidP="00E4274A">
      <w:pPr>
        <w:tabs>
          <w:tab w:val="left" w:pos="142"/>
        </w:tabs>
        <w:spacing w:after="0" w:line="276" w:lineRule="auto"/>
        <w:jc w:val="both"/>
        <w:rPr>
          <w:rFonts w:asciiTheme="majorHAnsi" w:hAnsiTheme="majorHAnsi" w:cs="Times New Roman"/>
          <w:sz w:val="20"/>
          <w:szCs w:val="20"/>
        </w:rPr>
      </w:pPr>
      <w:r w:rsidRPr="004019B9">
        <w:rPr>
          <w:rFonts w:asciiTheme="majorHAnsi" w:hAnsiTheme="majorHAnsi" w:cs="Times New Roman"/>
          <w:i/>
          <w:sz w:val="20"/>
          <w:szCs w:val="20"/>
        </w:rPr>
        <w:t>Sursa:</w:t>
      </w:r>
      <w:r w:rsidRPr="004019B9">
        <w:rPr>
          <w:rFonts w:asciiTheme="majorHAnsi" w:hAnsiTheme="majorHAnsi" w:cs="Times New Roman"/>
          <w:b w:val="0"/>
          <w:i/>
          <w:sz w:val="20"/>
          <w:szCs w:val="20"/>
        </w:rPr>
        <w:t xml:space="preserve"> Datele FEN.</w:t>
      </w:r>
    </w:p>
    <w:p w:rsidR="00F61756" w:rsidRDefault="00D173C9" w:rsidP="00F61756">
      <w:pPr>
        <w:tabs>
          <w:tab w:val="left" w:pos="142"/>
        </w:tabs>
        <w:spacing w:after="0" w:line="276" w:lineRule="auto"/>
        <w:jc w:val="right"/>
        <w:rPr>
          <w:rFonts w:asciiTheme="majorHAnsi" w:hAnsiTheme="majorHAnsi" w:cs="Times New Roman"/>
          <w:sz w:val="20"/>
          <w:szCs w:val="20"/>
        </w:rPr>
      </w:pPr>
      <w:r w:rsidRPr="00F61756">
        <w:rPr>
          <w:rFonts w:asciiTheme="majorHAnsi" w:hAnsiTheme="majorHAnsi" w:cs="Times New Roman"/>
          <w:sz w:val="20"/>
          <w:szCs w:val="20"/>
        </w:rPr>
        <w:t xml:space="preserve"> </w:t>
      </w:r>
    </w:p>
    <w:p w:rsidR="004A5B8D" w:rsidRPr="008376FC" w:rsidRDefault="00D173C9" w:rsidP="00F61756">
      <w:pPr>
        <w:tabs>
          <w:tab w:val="left" w:pos="142"/>
        </w:tabs>
        <w:spacing w:after="0" w:line="240" w:lineRule="auto"/>
        <w:jc w:val="right"/>
        <w:rPr>
          <w:rFonts w:asciiTheme="majorHAnsi" w:hAnsiTheme="majorHAnsi" w:cs="Times New Roman"/>
          <w:b w:val="0"/>
          <w:sz w:val="24"/>
          <w:szCs w:val="24"/>
        </w:rPr>
      </w:pPr>
      <w:r w:rsidRPr="00F61756">
        <w:rPr>
          <w:rFonts w:asciiTheme="majorHAnsi" w:hAnsiTheme="majorHAnsi" w:cs="Times New Roman"/>
          <w:sz w:val="20"/>
          <w:szCs w:val="20"/>
        </w:rPr>
        <w:t xml:space="preserve">   </w:t>
      </w:r>
      <w:r w:rsidR="007040CB" w:rsidRPr="00F61756">
        <w:rPr>
          <w:rFonts w:asciiTheme="majorHAnsi" w:hAnsiTheme="majorHAnsi" w:cs="Times New Roman"/>
          <w:sz w:val="20"/>
          <w:szCs w:val="20"/>
        </w:rPr>
        <w:t>Fi</w:t>
      </w:r>
      <w:r w:rsidR="007B3838" w:rsidRPr="00F61756">
        <w:rPr>
          <w:rFonts w:asciiTheme="majorHAnsi" w:hAnsiTheme="majorHAnsi" w:cs="Times New Roman"/>
          <w:sz w:val="20"/>
          <w:szCs w:val="20"/>
        </w:rPr>
        <w:t>g</w:t>
      </w:r>
      <w:r w:rsidR="007040CB" w:rsidRPr="00F61756">
        <w:rPr>
          <w:rFonts w:asciiTheme="majorHAnsi" w:hAnsiTheme="majorHAnsi" w:cs="Times New Roman"/>
          <w:sz w:val="20"/>
          <w:szCs w:val="20"/>
        </w:rPr>
        <w:t xml:space="preserve">ura nr. </w:t>
      </w:r>
      <w:r w:rsidR="003E6F7C" w:rsidRPr="00F61756">
        <w:rPr>
          <w:rFonts w:asciiTheme="majorHAnsi" w:hAnsiTheme="majorHAnsi" w:cs="Times New Roman"/>
          <w:sz w:val="20"/>
          <w:szCs w:val="20"/>
        </w:rPr>
        <w:t>5</w:t>
      </w:r>
    </w:p>
    <w:p w:rsidR="0065585F" w:rsidRPr="008376FC" w:rsidRDefault="00C95D31" w:rsidP="00F61756">
      <w:pPr>
        <w:tabs>
          <w:tab w:val="left" w:pos="142"/>
        </w:tabs>
        <w:spacing w:after="0" w:line="276" w:lineRule="auto"/>
        <w:jc w:val="both"/>
        <w:rPr>
          <w:rFonts w:asciiTheme="majorHAnsi" w:hAnsiTheme="majorHAnsi" w:cs="Times New Roman"/>
          <w:b w:val="0"/>
          <w:sz w:val="24"/>
          <w:szCs w:val="24"/>
        </w:rPr>
      </w:pPr>
      <w:r w:rsidRPr="008376FC">
        <w:rPr>
          <w:rFonts w:asciiTheme="majorHAnsi" w:hAnsiTheme="majorHAnsi" w:cs="Times New Roman"/>
          <w:b w:val="0"/>
          <w:noProof/>
          <w:sz w:val="24"/>
          <w:szCs w:val="24"/>
          <w:lang w:val="ru-RU" w:eastAsia="ru-RU"/>
        </w:rPr>
        <w:drawing>
          <wp:inline distT="0" distB="0" distL="0" distR="0">
            <wp:extent cx="6191250" cy="1579880"/>
            <wp:effectExtent l="19050" t="0" r="19050" b="1270"/>
            <wp:docPr id="4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7040CB" w:rsidRPr="004019B9" w:rsidRDefault="007040CB" w:rsidP="00F61756">
      <w:pPr>
        <w:tabs>
          <w:tab w:val="left" w:pos="142"/>
        </w:tabs>
        <w:spacing w:after="0" w:line="276" w:lineRule="auto"/>
        <w:jc w:val="both"/>
        <w:rPr>
          <w:rFonts w:asciiTheme="majorHAnsi" w:hAnsiTheme="majorHAnsi" w:cs="Times New Roman"/>
          <w:b w:val="0"/>
          <w:i/>
          <w:sz w:val="20"/>
          <w:szCs w:val="20"/>
        </w:rPr>
      </w:pPr>
      <w:r w:rsidRPr="004019B9">
        <w:rPr>
          <w:rFonts w:asciiTheme="majorHAnsi" w:hAnsiTheme="majorHAnsi" w:cs="Times New Roman"/>
          <w:i/>
          <w:sz w:val="20"/>
          <w:szCs w:val="20"/>
        </w:rPr>
        <w:t>Sursa:</w:t>
      </w:r>
      <w:r w:rsidRPr="004019B9">
        <w:rPr>
          <w:rFonts w:asciiTheme="majorHAnsi" w:hAnsiTheme="majorHAnsi" w:cs="Times New Roman"/>
          <w:b w:val="0"/>
          <w:i/>
          <w:sz w:val="20"/>
          <w:szCs w:val="20"/>
        </w:rPr>
        <w:t xml:space="preserve"> Datele FEN.</w:t>
      </w:r>
    </w:p>
    <w:p w:rsidR="007040CB" w:rsidRPr="008376FC" w:rsidRDefault="007040CB" w:rsidP="00F61756">
      <w:pPr>
        <w:tabs>
          <w:tab w:val="left" w:pos="142"/>
        </w:tabs>
        <w:spacing w:after="0" w:line="276" w:lineRule="auto"/>
        <w:jc w:val="both"/>
        <w:rPr>
          <w:rFonts w:asciiTheme="majorHAnsi" w:hAnsiTheme="majorHAnsi" w:cs="Times New Roman"/>
          <w:b w:val="0"/>
          <w:sz w:val="24"/>
          <w:szCs w:val="24"/>
        </w:rPr>
      </w:pPr>
    </w:p>
    <w:p w:rsidR="008B7E54" w:rsidRPr="008376FC" w:rsidRDefault="00BC28D6" w:rsidP="00F61756">
      <w:pPr>
        <w:tabs>
          <w:tab w:val="left" w:pos="142"/>
        </w:tabs>
        <w:spacing w:after="0" w:line="276" w:lineRule="auto"/>
        <w:jc w:val="both"/>
        <w:rPr>
          <w:rFonts w:asciiTheme="majorHAnsi" w:hAnsiTheme="majorHAnsi" w:cs="Times New Roman"/>
          <w:b w:val="0"/>
          <w:sz w:val="24"/>
          <w:szCs w:val="24"/>
        </w:rPr>
      </w:pPr>
      <w:r w:rsidRPr="00D173C9">
        <w:rPr>
          <w:rFonts w:asciiTheme="majorHAnsi" w:hAnsiTheme="majorHAnsi" w:cs="Times New Roman"/>
          <w:b w:val="0"/>
          <w:sz w:val="24"/>
          <w:szCs w:val="24"/>
        </w:rPr>
        <w:t>Datele din figuri denotă distrubuirea neuniformă a alocațiilor FEN pe regiuni geografice, ceea ce, în consecință, a afectat densitatea rețelei de apeducte și canalizări, aceasta nefiind una consecventă. Acest fapt este determinat inclusiv de lipsa unui Plan pe țară, care ar include toate acțiunile aferente domenilui de alimentare cu apă, indiferent de acțiunile încluse în Strategiile sectoriale care au tangență cu domeniul de alimentare cu apă și canalizare.</w:t>
      </w:r>
    </w:p>
    <w:p w:rsidR="009E6E54" w:rsidRPr="008376FC" w:rsidRDefault="009E6E54" w:rsidP="00F61756">
      <w:pPr>
        <w:tabs>
          <w:tab w:val="left" w:pos="142"/>
        </w:tabs>
        <w:spacing w:after="0" w:line="276" w:lineRule="auto"/>
        <w:jc w:val="both"/>
        <w:rPr>
          <w:rFonts w:asciiTheme="majorHAnsi" w:hAnsiTheme="majorHAnsi" w:cs="Times New Roman"/>
          <w:b w:val="0"/>
          <w:sz w:val="24"/>
          <w:szCs w:val="24"/>
        </w:rPr>
      </w:pPr>
    </w:p>
    <w:p w:rsidR="00E62DA5" w:rsidRPr="008376FC" w:rsidRDefault="009E6E54" w:rsidP="00F61756">
      <w:pPr>
        <w:pStyle w:val="a3"/>
        <w:numPr>
          <w:ilvl w:val="0"/>
          <w:numId w:val="31"/>
        </w:numPr>
        <w:tabs>
          <w:tab w:val="left" w:pos="142"/>
        </w:tabs>
        <w:spacing w:line="276" w:lineRule="auto"/>
        <w:ind w:left="0" w:firstLine="0"/>
        <w:jc w:val="both"/>
        <w:rPr>
          <w:rFonts w:asciiTheme="majorHAnsi" w:hAnsiTheme="majorHAnsi"/>
          <w:b/>
          <w:lang w:val="en-US"/>
        </w:rPr>
      </w:pPr>
      <w:r w:rsidRPr="008376FC">
        <w:rPr>
          <w:rFonts w:asciiTheme="majorHAnsi" w:hAnsiTheme="majorHAnsi"/>
          <w:b/>
          <w:lang w:val="en-US"/>
        </w:rPr>
        <w:t>Lips</w:t>
      </w:r>
      <w:r w:rsidR="00E62DA5" w:rsidRPr="008376FC">
        <w:rPr>
          <w:rFonts w:asciiTheme="majorHAnsi" w:hAnsiTheme="majorHAnsi"/>
          <w:b/>
          <w:lang w:val="en-US"/>
        </w:rPr>
        <w:t>ește</w:t>
      </w:r>
      <w:r w:rsidRPr="008376FC">
        <w:rPr>
          <w:rFonts w:asciiTheme="majorHAnsi" w:hAnsiTheme="majorHAnsi"/>
          <w:b/>
          <w:lang w:val="en-US"/>
        </w:rPr>
        <w:t xml:space="preserve"> un Plan de acțiuni unic privind dezvoltarea dom</w:t>
      </w:r>
      <w:r w:rsidR="00312A70">
        <w:rPr>
          <w:rFonts w:asciiTheme="majorHAnsi" w:hAnsiTheme="majorHAnsi"/>
          <w:b/>
          <w:lang w:val="en-US"/>
        </w:rPr>
        <w:t>e</w:t>
      </w:r>
      <w:r w:rsidRPr="008376FC">
        <w:rPr>
          <w:rFonts w:asciiTheme="majorHAnsi" w:hAnsiTheme="majorHAnsi"/>
          <w:b/>
          <w:lang w:val="en-US"/>
        </w:rPr>
        <w:t>niului de alimentare cu apă și sanitație</w:t>
      </w:r>
      <w:r w:rsidR="00E62DA5" w:rsidRPr="008376FC">
        <w:rPr>
          <w:rFonts w:asciiTheme="majorHAnsi" w:hAnsiTheme="majorHAnsi"/>
          <w:b/>
          <w:lang w:val="en-US"/>
        </w:rPr>
        <w:t xml:space="preserve"> la nivel </w:t>
      </w:r>
      <w:r w:rsidR="00312A70">
        <w:rPr>
          <w:rFonts w:asciiTheme="majorHAnsi" w:hAnsiTheme="majorHAnsi"/>
          <w:b/>
          <w:lang w:val="en-US"/>
        </w:rPr>
        <w:t>na</w:t>
      </w:r>
      <w:r w:rsidR="0091235D">
        <w:rPr>
          <w:rFonts w:asciiTheme="majorHAnsi" w:hAnsiTheme="majorHAnsi"/>
          <w:b/>
          <w:lang w:val="en-US"/>
        </w:rPr>
        <w:t>ț</w:t>
      </w:r>
      <w:r w:rsidR="00312A70">
        <w:rPr>
          <w:rFonts w:asciiTheme="majorHAnsi" w:hAnsiTheme="majorHAnsi"/>
          <w:b/>
          <w:lang w:val="en-US"/>
        </w:rPr>
        <w:t>ional.</w:t>
      </w:r>
    </w:p>
    <w:p w:rsidR="00E62DA5" w:rsidRPr="008376FC" w:rsidRDefault="00E62DA5" w:rsidP="00F61756">
      <w:pPr>
        <w:tabs>
          <w:tab w:val="left" w:pos="142"/>
        </w:tabs>
        <w:spacing w:after="0" w:line="276" w:lineRule="auto"/>
        <w:jc w:val="both"/>
        <w:rPr>
          <w:rFonts w:asciiTheme="majorHAnsi" w:hAnsiTheme="majorHAnsi" w:cs="Times New Roman"/>
          <w:b w:val="0"/>
          <w:sz w:val="24"/>
          <w:szCs w:val="24"/>
        </w:rPr>
      </w:pPr>
    </w:p>
    <w:p w:rsidR="002F04B0" w:rsidRPr="008376FC" w:rsidRDefault="002F04B0" w:rsidP="00F61756">
      <w:pPr>
        <w:tabs>
          <w:tab w:val="left" w:pos="142"/>
        </w:tabs>
        <w:spacing w:after="0"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 xml:space="preserve">Analiza efectuată de audit denotă că în prezent mai multe Strategii </w:t>
      </w:r>
      <w:r w:rsidR="00974061">
        <w:rPr>
          <w:rFonts w:asciiTheme="majorHAnsi" w:hAnsiTheme="majorHAnsi" w:cs="Times New Roman"/>
          <w:b w:val="0"/>
          <w:sz w:val="24"/>
          <w:szCs w:val="24"/>
        </w:rPr>
        <w:t>î</w:t>
      </w:r>
      <w:r w:rsidRPr="008376FC">
        <w:rPr>
          <w:rFonts w:asciiTheme="majorHAnsi" w:hAnsiTheme="majorHAnsi" w:cs="Times New Roman"/>
          <w:b w:val="0"/>
          <w:sz w:val="24"/>
          <w:szCs w:val="24"/>
        </w:rPr>
        <w:t xml:space="preserve">ncorporează obiective și indicatori aferenți domeniului de alimentare cu apă și sanitație (SAAS 2014-2030, Strategiile de dezvoltate regională pentru anii 2013 -2015, 2016-2020 și 2022-2024, Strategia de mediu  pentru anii 2014-2023). Astfel, prin intermediul SNDR 2013-2015 și 2016-2020, un indicator de dezvoltare a regiunii sau </w:t>
      </w:r>
      <w:r w:rsidR="00974061">
        <w:rPr>
          <w:rFonts w:asciiTheme="majorHAnsi" w:hAnsiTheme="majorHAnsi" w:cs="Times New Roman"/>
          <w:b w:val="0"/>
          <w:sz w:val="24"/>
          <w:szCs w:val="24"/>
        </w:rPr>
        <w:t xml:space="preserve">a </w:t>
      </w:r>
      <w:r w:rsidRPr="008376FC">
        <w:rPr>
          <w:rFonts w:asciiTheme="majorHAnsi" w:hAnsiTheme="majorHAnsi" w:cs="Times New Roman"/>
          <w:b w:val="0"/>
          <w:sz w:val="24"/>
          <w:szCs w:val="24"/>
        </w:rPr>
        <w:t>localității sunt PI de alimentare cu apă și sanitație, iar în Strategia de mediu pentru anii 2014-2023, unul din obiective este</w:t>
      </w:r>
      <w:r w:rsidRPr="008376FC">
        <w:rPr>
          <w:rFonts w:asciiTheme="majorHAnsi" w:hAnsiTheme="majorHAnsi"/>
          <w:sz w:val="24"/>
          <w:szCs w:val="24"/>
        </w:rPr>
        <w:t> </w:t>
      </w:r>
      <w:r w:rsidRPr="0091235D">
        <w:rPr>
          <w:rFonts w:asciiTheme="majorHAnsi" w:hAnsiTheme="majorHAnsi"/>
          <w:b w:val="0"/>
          <w:sz w:val="24"/>
          <w:szCs w:val="24"/>
        </w:rPr>
        <w:t>„</w:t>
      </w:r>
      <w:r w:rsidRPr="008376FC">
        <w:rPr>
          <w:rFonts w:asciiTheme="majorHAnsi" w:hAnsiTheme="majorHAnsi" w:cs="Times New Roman"/>
          <w:b w:val="0"/>
          <w:sz w:val="24"/>
          <w:szCs w:val="24"/>
        </w:rPr>
        <w:t>asigurarea, p</w:t>
      </w:r>
      <w:r w:rsidR="00974061">
        <w:rPr>
          <w:rFonts w:asciiTheme="majorHAnsi" w:hAnsiTheme="majorHAnsi" w:cs="Times New Roman"/>
          <w:b w:val="0"/>
          <w:sz w:val="24"/>
          <w:szCs w:val="24"/>
        </w:rPr>
        <w:t>â</w:t>
      </w:r>
      <w:r w:rsidRPr="008376FC">
        <w:rPr>
          <w:rFonts w:asciiTheme="majorHAnsi" w:hAnsiTheme="majorHAnsi" w:cs="Times New Roman"/>
          <w:b w:val="0"/>
          <w:sz w:val="24"/>
          <w:szCs w:val="24"/>
        </w:rPr>
        <w:t xml:space="preserve">nă în anul 2023, a circa 80% din populaţie a accesului la sistemele şi serviciile sigure de alimentare cu apă şi a circa 65% la sistemele şi serviciile de canalizare”. </w:t>
      </w:r>
    </w:p>
    <w:p w:rsidR="002F04B0" w:rsidRPr="008376FC" w:rsidRDefault="002F04B0" w:rsidP="00F61756">
      <w:pPr>
        <w:tabs>
          <w:tab w:val="left" w:pos="142"/>
        </w:tabs>
        <w:spacing w:after="0" w:line="276" w:lineRule="auto"/>
        <w:jc w:val="both"/>
        <w:rPr>
          <w:rFonts w:asciiTheme="majorHAnsi" w:hAnsiTheme="majorHAnsi" w:cs="Times New Roman"/>
          <w:b w:val="0"/>
          <w:sz w:val="24"/>
          <w:szCs w:val="24"/>
        </w:rPr>
      </w:pPr>
    </w:p>
    <w:p w:rsidR="002F04B0" w:rsidRPr="008376FC" w:rsidRDefault="00974061" w:rsidP="00F61756">
      <w:pPr>
        <w:tabs>
          <w:tab w:val="left" w:pos="142"/>
        </w:tabs>
        <w:spacing w:after="0" w:line="276" w:lineRule="auto"/>
        <w:jc w:val="both"/>
        <w:rPr>
          <w:rFonts w:asciiTheme="majorHAnsi" w:hAnsiTheme="majorHAnsi" w:cs="Times New Roman"/>
          <w:b w:val="0"/>
          <w:sz w:val="24"/>
          <w:szCs w:val="24"/>
        </w:rPr>
      </w:pPr>
      <w:r w:rsidRPr="0091235D">
        <w:rPr>
          <w:rFonts w:asciiTheme="majorHAnsi" w:hAnsiTheme="majorHAnsi" w:cs="Times New Roman"/>
          <w:b w:val="0"/>
          <w:sz w:val="24"/>
          <w:szCs w:val="24"/>
        </w:rPr>
        <w:t xml:space="preserve">La </w:t>
      </w:r>
      <w:r w:rsidR="002F04B0" w:rsidRPr="0091235D">
        <w:rPr>
          <w:rFonts w:asciiTheme="majorHAnsi" w:hAnsiTheme="majorHAnsi" w:cs="Times New Roman"/>
          <w:b w:val="0"/>
          <w:sz w:val="24"/>
          <w:szCs w:val="24"/>
        </w:rPr>
        <w:t>evaluarea implementării SAAS</w:t>
      </w:r>
      <w:r w:rsidRPr="0091235D">
        <w:rPr>
          <w:rFonts w:asciiTheme="majorHAnsi" w:hAnsiTheme="majorHAnsi" w:cs="Times New Roman"/>
          <w:b w:val="0"/>
          <w:sz w:val="24"/>
          <w:szCs w:val="24"/>
        </w:rPr>
        <w:t>, s-a stabilit că</w:t>
      </w:r>
      <w:r w:rsidR="002F04B0" w:rsidRPr="0091235D">
        <w:rPr>
          <w:rFonts w:asciiTheme="majorHAnsi" w:hAnsiTheme="majorHAnsi" w:cs="Times New Roman"/>
          <w:b w:val="0"/>
          <w:sz w:val="24"/>
          <w:szCs w:val="24"/>
        </w:rPr>
        <w:t xml:space="preserve"> aceasta nu are acoperire financiară, fiind utilizate mijloacele FEN și FNDR, care sunt în mare parte destinate realizării obiectivelor SNDR (FNDR) și Strategiei pentru mediu (FEN).</w:t>
      </w:r>
    </w:p>
    <w:p w:rsidR="002F04B0" w:rsidRPr="008376FC" w:rsidRDefault="002F04B0" w:rsidP="00F61756">
      <w:pPr>
        <w:tabs>
          <w:tab w:val="left" w:pos="142"/>
        </w:tabs>
        <w:spacing w:after="0"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 xml:space="preserve"> </w:t>
      </w:r>
    </w:p>
    <w:p w:rsidR="00356BC5" w:rsidRDefault="002F04B0" w:rsidP="00F61756">
      <w:pPr>
        <w:tabs>
          <w:tab w:val="left" w:pos="142"/>
        </w:tabs>
        <w:spacing w:after="0"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Lipsa unui Plan de acțiuni unic pe tară, care ar include toate acțiunile aferente domenilui de alimentare cu apă, corelate cu acțiunile încluse în Strategiile sectoriale (SNDR sau SM)</w:t>
      </w:r>
      <w:r w:rsidR="00FA734B">
        <w:rPr>
          <w:rFonts w:asciiTheme="majorHAnsi" w:hAnsiTheme="majorHAnsi" w:cs="Times New Roman"/>
          <w:b w:val="0"/>
          <w:sz w:val="24"/>
          <w:szCs w:val="24"/>
        </w:rPr>
        <w:t>,</w:t>
      </w:r>
      <w:r w:rsidRPr="008376FC">
        <w:rPr>
          <w:rFonts w:asciiTheme="majorHAnsi" w:hAnsiTheme="majorHAnsi" w:cs="Times New Roman"/>
          <w:b w:val="0"/>
          <w:sz w:val="24"/>
          <w:szCs w:val="24"/>
        </w:rPr>
        <w:t xml:space="preserve"> care contribuie la dezvoltarea domeniului de alimentare cu apă și canalizare, face dificilă sau chiar imposibilă gestionarea informațiilor și acțiunilor efectuate în domeniu</w:t>
      </w:r>
      <w:r w:rsidR="00FA734B">
        <w:rPr>
          <w:rFonts w:asciiTheme="majorHAnsi" w:hAnsiTheme="majorHAnsi" w:cs="Times New Roman"/>
          <w:b w:val="0"/>
          <w:sz w:val="24"/>
          <w:szCs w:val="24"/>
        </w:rPr>
        <w:t>.</w:t>
      </w:r>
      <w:r w:rsidRPr="008376FC">
        <w:rPr>
          <w:rFonts w:asciiTheme="majorHAnsi" w:hAnsiTheme="majorHAnsi" w:cs="Times New Roman"/>
          <w:b w:val="0"/>
          <w:sz w:val="24"/>
          <w:szCs w:val="24"/>
        </w:rPr>
        <w:t xml:space="preserve"> </w:t>
      </w:r>
      <w:r w:rsidR="00FA734B">
        <w:rPr>
          <w:rFonts w:asciiTheme="majorHAnsi" w:hAnsiTheme="majorHAnsi" w:cs="Times New Roman"/>
          <w:b w:val="0"/>
          <w:sz w:val="24"/>
          <w:szCs w:val="24"/>
        </w:rPr>
        <w:t>D</w:t>
      </w:r>
      <w:r w:rsidRPr="008376FC">
        <w:rPr>
          <w:rFonts w:asciiTheme="majorHAnsi" w:hAnsiTheme="majorHAnsi" w:cs="Times New Roman"/>
          <w:b w:val="0"/>
          <w:sz w:val="24"/>
          <w:szCs w:val="24"/>
        </w:rPr>
        <w:t xml:space="preserve">eși a fost aprobată SAAS pentru </w:t>
      </w:r>
      <w:r w:rsidR="00974061">
        <w:rPr>
          <w:rFonts w:asciiTheme="majorHAnsi" w:hAnsiTheme="majorHAnsi" w:cs="Times New Roman"/>
          <w:b w:val="0"/>
          <w:sz w:val="24"/>
          <w:szCs w:val="24"/>
        </w:rPr>
        <w:t xml:space="preserve">anii </w:t>
      </w:r>
      <w:r w:rsidRPr="008376FC">
        <w:rPr>
          <w:rFonts w:asciiTheme="majorHAnsi" w:hAnsiTheme="majorHAnsi" w:cs="Times New Roman"/>
          <w:b w:val="0"/>
          <w:sz w:val="24"/>
          <w:szCs w:val="24"/>
        </w:rPr>
        <w:t>2014-2030, în paralel sunt aprobate Strategiile de dezvoltate regională pentru anii 2013-2015, 2016-2020 și 2022-2024, și SM 2014-2023</w:t>
      </w:r>
      <w:r w:rsidR="00974061">
        <w:rPr>
          <w:rFonts w:asciiTheme="majorHAnsi" w:hAnsiTheme="majorHAnsi" w:cs="Times New Roman"/>
          <w:b w:val="0"/>
          <w:sz w:val="24"/>
          <w:szCs w:val="24"/>
        </w:rPr>
        <w:t>,</w:t>
      </w:r>
      <w:r w:rsidRPr="008376FC">
        <w:rPr>
          <w:rFonts w:asciiTheme="majorHAnsi" w:hAnsiTheme="majorHAnsi" w:cs="Times New Roman"/>
          <w:b w:val="0"/>
          <w:sz w:val="24"/>
          <w:szCs w:val="24"/>
        </w:rPr>
        <w:t xml:space="preserve"> </w:t>
      </w:r>
      <w:r w:rsidR="00974061">
        <w:rPr>
          <w:rFonts w:asciiTheme="majorHAnsi" w:hAnsiTheme="majorHAnsi" w:cs="Times New Roman"/>
          <w:b w:val="0"/>
          <w:sz w:val="24"/>
          <w:szCs w:val="24"/>
        </w:rPr>
        <w:t>î</w:t>
      </w:r>
      <w:r w:rsidRPr="008376FC">
        <w:rPr>
          <w:rFonts w:asciiTheme="majorHAnsi" w:hAnsiTheme="majorHAnsi" w:cs="Times New Roman"/>
          <w:b w:val="0"/>
          <w:sz w:val="24"/>
          <w:szCs w:val="24"/>
        </w:rPr>
        <w:t xml:space="preserve">n cadrul cărora sunt implementate PI de alimentare cu apă și sanitație. </w:t>
      </w:r>
    </w:p>
    <w:p w:rsidR="00356BC5" w:rsidRDefault="00356BC5" w:rsidP="00F61756">
      <w:pPr>
        <w:tabs>
          <w:tab w:val="left" w:pos="142"/>
        </w:tabs>
        <w:spacing w:after="0" w:line="276" w:lineRule="auto"/>
        <w:jc w:val="both"/>
        <w:rPr>
          <w:rFonts w:asciiTheme="majorHAnsi" w:hAnsiTheme="majorHAnsi" w:cs="Times New Roman"/>
          <w:b w:val="0"/>
          <w:sz w:val="24"/>
          <w:szCs w:val="24"/>
        </w:rPr>
      </w:pPr>
    </w:p>
    <w:p w:rsidR="002F04B0" w:rsidRPr="008376FC" w:rsidRDefault="002F04B0" w:rsidP="00F61756">
      <w:pPr>
        <w:tabs>
          <w:tab w:val="left" w:pos="142"/>
        </w:tabs>
        <w:spacing w:after="0" w:line="276" w:lineRule="auto"/>
        <w:jc w:val="both"/>
        <w:rPr>
          <w:rFonts w:asciiTheme="majorHAnsi" w:eastAsia="MS Mincho" w:hAnsiTheme="majorHAnsi" w:cstheme="majorHAnsi"/>
          <w:b w:val="0"/>
          <w:bCs w:val="0"/>
          <w:kern w:val="2"/>
          <w:sz w:val="24"/>
          <w:szCs w:val="24"/>
        </w:rPr>
      </w:pPr>
      <w:r w:rsidRPr="008376FC">
        <w:rPr>
          <w:rFonts w:asciiTheme="majorHAnsi" w:hAnsiTheme="majorHAnsi" w:cs="Times New Roman"/>
          <w:b w:val="0"/>
          <w:sz w:val="24"/>
          <w:szCs w:val="24"/>
        </w:rPr>
        <w:t>În aceste condiții, la evaluarea volumului de investiții aferente creării, reabilitării și dezvoltării sistemelor de alimentare cu apă și canalizare</w:t>
      </w:r>
      <w:r w:rsidR="00FA734B">
        <w:rPr>
          <w:rFonts w:asciiTheme="majorHAnsi" w:hAnsiTheme="majorHAnsi" w:cs="Times New Roman"/>
          <w:b w:val="0"/>
          <w:sz w:val="24"/>
          <w:szCs w:val="24"/>
        </w:rPr>
        <w:t>,</w:t>
      </w:r>
      <w:r w:rsidRPr="008376FC">
        <w:rPr>
          <w:rFonts w:asciiTheme="majorHAnsi" w:hAnsiTheme="majorHAnsi" w:cs="Times New Roman"/>
          <w:b w:val="0"/>
          <w:sz w:val="24"/>
          <w:szCs w:val="24"/>
        </w:rPr>
        <w:t xml:space="preserve"> au fost analiza</w:t>
      </w:r>
      <w:r w:rsidR="00FA734B">
        <w:rPr>
          <w:rFonts w:asciiTheme="majorHAnsi" w:hAnsiTheme="majorHAnsi" w:cs="Times New Roman"/>
          <w:b w:val="0"/>
          <w:sz w:val="24"/>
          <w:szCs w:val="24"/>
        </w:rPr>
        <w:t>t</w:t>
      </w:r>
      <w:r w:rsidRPr="008376FC">
        <w:rPr>
          <w:rFonts w:asciiTheme="majorHAnsi" w:hAnsiTheme="majorHAnsi" w:cs="Times New Roman"/>
          <w:b w:val="0"/>
          <w:sz w:val="24"/>
          <w:szCs w:val="24"/>
        </w:rPr>
        <w:t>e toate PI realizate în anii 2014-2021 din mijloacele FEN, FNDR și FNDAMR aferente alimentării cu apă și sanitație</w:t>
      </w:r>
      <w:r w:rsidR="00FA734B">
        <w:rPr>
          <w:rFonts w:asciiTheme="majorHAnsi" w:hAnsiTheme="majorHAnsi" w:cs="Times New Roman"/>
          <w:b w:val="0"/>
          <w:sz w:val="24"/>
          <w:szCs w:val="24"/>
        </w:rPr>
        <w:t>i</w:t>
      </w:r>
      <w:r w:rsidRPr="008376FC">
        <w:rPr>
          <w:rFonts w:asciiTheme="majorHAnsi" w:hAnsiTheme="majorHAnsi" w:cs="Times New Roman"/>
          <w:b w:val="0"/>
          <w:sz w:val="24"/>
          <w:szCs w:val="24"/>
        </w:rPr>
        <w:t xml:space="preserve">, deoarece toate </w:t>
      </w:r>
      <w:r w:rsidR="00356BC5">
        <w:rPr>
          <w:rFonts w:asciiTheme="majorHAnsi" w:hAnsiTheme="majorHAnsi" w:cs="Times New Roman"/>
          <w:b w:val="0"/>
          <w:sz w:val="24"/>
          <w:szCs w:val="24"/>
        </w:rPr>
        <w:t>aceste proiecte</w:t>
      </w:r>
      <w:r w:rsidRPr="008376FC">
        <w:rPr>
          <w:rFonts w:asciiTheme="majorHAnsi" w:hAnsiTheme="majorHAnsi" w:cs="Times New Roman"/>
          <w:b w:val="0"/>
          <w:sz w:val="24"/>
          <w:szCs w:val="24"/>
        </w:rPr>
        <w:t xml:space="preserve"> au contribuit la </w:t>
      </w:r>
      <w:r w:rsidR="00356BC5">
        <w:rPr>
          <w:rFonts w:asciiTheme="majorHAnsi" w:hAnsiTheme="majorHAnsi" w:cs="Times New Roman"/>
          <w:b w:val="0"/>
          <w:sz w:val="24"/>
          <w:szCs w:val="24"/>
        </w:rPr>
        <w:t>dezvoltarea</w:t>
      </w:r>
      <w:r w:rsidRPr="008376FC">
        <w:rPr>
          <w:rFonts w:asciiTheme="majorHAnsi" w:hAnsiTheme="majorHAnsi" w:cs="Times New Roman"/>
          <w:b w:val="0"/>
          <w:sz w:val="24"/>
          <w:szCs w:val="24"/>
        </w:rPr>
        <w:t xml:space="preserve"> domeniului, indiferent de sursa din care acestea au fost finanțate. </w:t>
      </w:r>
    </w:p>
    <w:p w:rsidR="004A5B8D" w:rsidRPr="008376FC" w:rsidRDefault="004A5B8D" w:rsidP="00F61756">
      <w:pPr>
        <w:tabs>
          <w:tab w:val="left" w:pos="142"/>
        </w:tabs>
        <w:spacing w:after="0" w:line="276" w:lineRule="auto"/>
        <w:jc w:val="both"/>
        <w:rPr>
          <w:rFonts w:asciiTheme="majorHAnsi" w:hAnsiTheme="majorHAnsi" w:cs="Times New Roman"/>
          <w:b w:val="0"/>
          <w:sz w:val="24"/>
          <w:szCs w:val="24"/>
        </w:rPr>
      </w:pPr>
    </w:p>
    <w:p w:rsidR="002F04B0" w:rsidRPr="008376FC" w:rsidRDefault="002F04B0" w:rsidP="00F61756">
      <w:pPr>
        <w:tabs>
          <w:tab w:val="left" w:pos="142"/>
        </w:tabs>
        <w:spacing w:after="0"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De menționat că, în anii 2014-2022, ca urmare a lipsei cadru</w:t>
      </w:r>
      <w:r w:rsidR="003172A4">
        <w:rPr>
          <w:rFonts w:asciiTheme="majorHAnsi" w:hAnsiTheme="majorHAnsi" w:cs="Times New Roman"/>
          <w:b w:val="0"/>
          <w:sz w:val="24"/>
          <w:szCs w:val="24"/>
        </w:rPr>
        <w:t>lui</w:t>
      </w:r>
      <w:r w:rsidRPr="008376FC">
        <w:rPr>
          <w:rFonts w:asciiTheme="majorHAnsi" w:hAnsiTheme="majorHAnsi" w:cs="Times New Roman"/>
          <w:b w:val="0"/>
          <w:sz w:val="24"/>
          <w:szCs w:val="24"/>
        </w:rPr>
        <w:t xml:space="preserve"> metodologic privind criteriile de prioritizare a proiectelor investiționale înaintate spre aprobare, aprobarea spre finanțare a PI s-a efectuat în lipsa procedurilor de concurs (de competitivitate), aprobării fiind supuse toate proiectele înaintate ce corespund criteriilor de eligibilitate, neținând</w:t>
      </w:r>
      <w:r w:rsidR="003172A4">
        <w:rPr>
          <w:rFonts w:asciiTheme="majorHAnsi" w:hAnsiTheme="majorHAnsi" w:cs="Times New Roman"/>
          <w:b w:val="0"/>
          <w:sz w:val="24"/>
          <w:szCs w:val="24"/>
        </w:rPr>
        <w:t>u-se</w:t>
      </w:r>
      <w:r w:rsidRPr="008376FC">
        <w:rPr>
          <w:rFonts w:asciiTheme="majorHAnsi" w:hAnsiTheme="majorHAnsi" w:cs="Times New Roman"/>
          <w:b w:val="0"/>
          <w:sz w:val="24"/>
          <w:szCs w:val="24"/>
        </w:rPr>
        <w:t xml:space="preserve"> cont nici de disponibilitatea resurselor financiare necesare pentru acoperirea solicitărilor aprobate, nici de impactul social asupra populației, nefiind efectuată analiz</w:t>
      </w:r>
      <w:r w:rsidR="003172A4">
        <w:rPr>
          <w:rFonts w:asciiTheme="majorHAnsi" w:hAnsiTheme="majorHAnsi" w:cs="Times New Roman"/>
          <w:b w:val="0"/>
          <w:sz w:val="24"/>
          <w:szCs w:val="24"/>
        </w:rPr>
        <w:t>a</w:t>
      </w:r>
      <w:r w:rsidRPr="008376FC">
        <w:rPr>
          <w:rFonts w:asciiTheme="majorHAnsi" w:hAnsiTheme="majorHAnsi" w:cs="Times New Roman"/>
          <w:b w:val="0"/>
          <w:sz w:val="24"/>
          <w:szCs w:val="24"/>
        </w:rPr>
        <w:t xml:space="preserve"> cost-eficiență a acestora. </w:t>
      </w:r>
    </w:p>
    <w:p w:rsidR="00140405" w:rsidRPr="008376FC" w:rsidRDefault="00140405" w:rsidP="00F61756">
      <w:pPr>
        <w:tabs>
          <w:tab w:val="left" w:pos="142"/>
        </w:tabs>
        <w:spacing w:after="0" w:line="276" w:lineRule="auto"/>
        <w:jc w:val="both"/>
        <w:rPr>
          <w:rFonts w:asciiTheme="majorHAnsi" w:hAnsiTheme="majorHAnsi" w:cs="Times New Roman"/>
          <w:b w:val="0"/>
          <w:sz w:val="24"/>
          <w:szCs w:val="24"/>
        </w:rPr>
      </w:pPr>
    </w:p>
    <w:p w:rsidR="009378E8" w:rsidRPr="008376FC" w:rsidRDefault="00140405" w:rsidP="00F61756">
      <w:pPr>
        <w:pStyle w:val="a3"/>
        <w:numPr>
          <w:ilvl w:val="0"/>
          <w:numId w:val="30"/>
        </w:numPr>
        <w:tabs>
          <w:tab w:val="left" w:pos="142"/>
        </w:tabs>
        <w:spacing w:line="276" w:lineRule="auto"/>
        <w:ind w:left="0" w:firstLine="0"/>
        <w:jc w:val="both"/>
        <w:rPr>
          <w:rFonts w:asciiTheme="majorHAnsi" w:hAnsiTheme="majorHAnsi"/>
          <w:lang w:val="en-US"/>
        </w:rPr>
      </w:pPr>
      <w:r w:rsidRPr="008376FC">
        <w:rPr>
          <w:rFonts w:asciiTheme="majorHAnsi" w:hAnsiTheme="majorHAnsi"/>
          <w:b/>
          <w:lang w:val="en-US"/>
        </w:rPr>
        <w:t>Incapacitatea unor UAT de valorificare a resurselor FEN a condiționat excluderea din Lista PI  finanța</w:t>
      </w:r>
      <w:r w:rsidR="003172A4">
        <w:rPr>
          <w:rFonts w:asciiTheme="majorHAnsi" w:hAnsiTheme="majorHAnsi"/>
          <w:b/>
          <w:lang w:val="en-US"/>
        </w:rPr>
        <w:t>t</w:t>
      </w:r>
      <w:r w:rsidRPr="008376FC">
        <w:rPr>
          <w:rFonts w:asciiTheme="majorHAnsi" w:hAnsiTheme="majorHAnsi"/>
          <w:b/>
          <w:lang w:val="en-US"/>
        </w:rPr>
        <w:t xml:space="preserve">e </w:t>
      </w:r>
      <w:r w:rsidR="00073125" w:rsidRPr="008376FC">
        <w:rPr>
          <w:rFonts w:asciiTheme="majorHAnsi" w:hAnsiTheme="majorHAnsi"/>
          <w:b/>
          <w:lang w:val="en-US"/>
        </w:rPr>
        <w:t>din</w:t>
      </w:r>
      <w:r w:rsidRPr="008376FC">
        <w:rPr>
          <w:rFonts w:asciiTheme="majorHAnsi" w:hAnsiTheme="majorHAnsi"/>
          <w:b/>
          <w:lang w:val="en-US"/>
        </w:rPr>
        <w:t xml:space="preserve"> FEN a PI </w:t>
      </w:r>
      <w:r w:rsidR="00073125" w:rsidRPr="008376FC">
        <w:rPr>
          <w:rFonts w:asciiTheme="majorHAnsi" w:hAnsiTheme="majorHAnsi"/>
          <w:b/>
          <w:lang w:val="en-US"/>
        </w:rPr>
        <w:t xml:space="preserve">deja </w:t>
      </w:r>
      <w:r w:rsidR="009378E8" w:rsidRPr="008376FC">
        <w:rPr>
          <w:rFonts w:asciiTheme="majorHAnsi" w:hAnsiTheme="majorHAnsi"/>
          <w:b/>
          <w:lang w:val="en-US"/>
        </w:rPr>
        <w:t>ini</w:t>
      </w:r>
      <w:r w:rsidR="00C17218">
        <w:rPr>
          <w:rFonts w:asciiTheme="majorHAnsi" w:hAnsiTheme="majorHAnsi"/>
          <w:b/>
          <w:lang w:val="en-US"/>
        </w:rPr>
        <w:t>ț</w:t>
      </w:r>
      <w:r w:rsidR="009378E8" w:rsidRPr="008376FC">
        <w:rPr>
          <w:rFonts w:asciiTheme="majorHAnsi" w:hAnsiTheme="majorHAnsi"/>
          <w:b/>
          <w:lang w:val="en-US"/>
        </w:rPr>
        <w:t>iate</w:t>
      </w:r>
      <w:r w:rsidR="00C17218">
        <w:rPr>
          <w:rFonts w:asciiTheme="majorHAnsi" w:hAnsiTheme="majorHAnsi"/>
          <w:b/>
          <w:lang w:val="en-US"/>
        </w:rPr>
        <w:t>.</w:t>
      </w:r>
    </w:p>
    <w:p w:rsidR="002F04B0" w:rsidRDefault="002F04B0" w:rsidP="00F61756">
      <w:pPr>
        <w:tabs>
          <w:tab w:val="left" w:pos="0"/>
        </w:tabs>
        <w:spacing w:after="0"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 xml:space="preserve">Analizele efectuate de audit </w:t>
      </w:r>
      <w:r w:rsidR="00C17218">
        <w:rPr>
          <w:rFonts w:asciiTheme="majorHAnsi" w:hAnsiTheme="majorHAnsi" w:cs="Times New Roman"/>
          <w:b w:val="0"/>
          <w:sz w:val="24"/>
          <w:szCs w:val="24"/>
        </w:rPr>
        <w:t>relevă</w:t>
      </w:r>
      <w:r w:rsidRPr="008376FC">
        <w:rPr>
          <w:rFonts w:asciiTheme="majorHAnsi" w:hAnsiTheme="majorHAnsi" w:cs="Times New Roman"/>
          <w:b w:val="0"/>
          <w:sz w:val="24"/>
          <w:szCs w:val="24"/>
        </w:rPr>
        <w:t xml:space="preserve"> că, o parte din PI, ca urmare a excluderii acestora din Lista PI finațate din FEN, cauza fiind insuficiența sau lipsa contribuției, nerespectarea clauzelor contractului de finanțare etc</w:t>
      </w:r>
      <w:r w:rsidR="00C17218">
        <w:rPr>
          <w:rFonts w:asciiTheme="majorHAnsi" w:hAnsiTheme="majorHAnsi" w:cs="Times New Roman"/>
          <w:b w:val="0"/>
          <w:sz w:val="24"/>
          <w:szCs w:val="24"/>
        </w:rPr>
        <w:t>.</w:t>
      </w:r>
      <w:r w:rsidRPr="008376FC">
        <w:rPr>
          <w:rFonts w:asciiTheme="majorHAnsi" w:hAnsiTheme="majorHAnsi" w:cs="Times New Roman"/>
          <w:b w:val="0"/>
          <w:sz w:val="24"/>
          <w:szCs w:val="24"/>
        </w:rPr>
        <w:t xml:space="preserve">, până în prezent nu sunt finalizate și stau fară acțiune din </w:t>
      </w:r>
      <w:r w:rsidR="00874143">
        <w:rPr>
          <w:rFonts w:asciiTheme="majorHAnsi" w:hAnsiTheme="majorHAnsi" w:cs="Times New Roman"/>
          <w:b w:val="0"/>
          <w:sz w:val="24"/>
          <w:szCs w:val="24"/>
        </w:rPr>
        <w:t xml:space="preserve">atât </w:t>
      </w:r>
      <w:r w:rsidR="00874143" w:rsidRPr="00874143">
        <w:rPr>
          <w:rFonts w:asciiTheme="majorHAnsi" w:hAnsiTheme="majorHAnsi" w:cs="Times New Roman"/>
          <w:b w:val="0"/>
          <w:sz w:val="24"/>
          <w:szCs w:val="24"/>
        </w:rPr>
        <w:t xml:space="preserve">din </w:t>
      </w:r>
      <w:r w:rsidRPr="00874143">
        <w:rPr>
          <w:rFonts w:asciiTheme="majorHAnsi" w:hAnsiTheme="majorHAnsi" w:cs="Times New Roman"/>
          <w:b w:val="0"/>
          <w:sz w:val="24"/>
          <w:szCs w:val="24"/>
        </w:rPr>
        <w:t>partea factorilor de decizie</w:t>
      </w:r>
      <w:r w:rsidR="00874143" w:rsidRPr="00874143">
        <w:rPr>
          <w:rFonts w:asciiTheme="majorHAnsi" w:hAnsiTheme="majorHAnsi" w:cs="Times New Roman"/>
          <w:b w:val="0"/>
          <w:sz w:val="24"/>
          <w:szCs w:val="24"/>
        </w:rPr>
        <w:t xml:space="preserve"> cât și din </w:t>
      </w:r>
      <w:r w:rsidRPr="00874143">
        <w:rPr>
          <w:rFonts w:asciiTheme="majorHAnsi" w:hAnsiTheme="majorHAnsi" w:cs="Times New Roman"/>
          <w:b w:val="0"/>
          <w:sz w:val="24"/>
          <w:szCs w:val="24"/>
        </w:rPr>
        <w:t xml:space="preserve"> din partea beneficiarelor, persistând riscul sporit de de</w:t>
      </w:r>
      <w:r w:rsidRPr="008376FC">
        <w:rPr>
          <w:rFonts w:asciiTheme="majorHAnsi" w:hAnsiTheme="majorHAnsi" w:cs="Times New Roman"/>
          <w:b w:val="0"/>
          <w:sz w:val="24"/>
          <w:szCs w:val="24"/>
        </w:rPr>
        <w:t xml:space="preserve">terioare și degradare a lucrărilor deja executate, de risipă și utilizare </w:t>
      </w:r>
      <w:r w:rsidR="00C17218">
        <w:rPr>
          <w:rFonts w:asciiTheme="majorHAnsi" w:hAnsiTheme="majorHAnsi" w:cs="Times New Roman"/>
          <w:b w:val="0"/>
          <w:sz w:val="24"/>
          <w:szCs w:val="24"/>
        </w:rPr>
        <w:t>i</w:t>
      </w:r>
      <w:r w:rsidRPr="008376FC">
        <w:rPr>
          <w:rFonts w:asciiTheme="majorHAnsi" w:hAnsiTheme="majorHAnsi" w:cs="Times New Roman"/>
          <w:b w:val="0"/>
          <w:sz w:val="24"/>
          <w:szCs w:val="24"/>
        </w:rPr>
        <w:t xml:space="preserve">neficientă a banilor publici. </w:t>
      </w:r>
      <w:r w:rsidRPr="00E010DD">
        <w:rPr>
          <w:rFonts w:asciiTheme="majorHAnsi" w:hAnsiTheme="majorHAnsi" w:cs="Times New Roman"/>
          <w:b w:val="0"/>
          <w:sz w:val="24"/>
          <w:szCs w:val="24"/>
        </w:rPr>
        <w:t xml:space="preserve">În acest sens exemplificăm următoarele </w:t>
      </w:r>
      <w:r w:rsidR="002D1D85">
        <w:rPr>
          <w:rFonts w:asciiTheme="majorHAnsi" w:hAnsiTheme="majorHAnsi" w:cs="Times New Roman"/>
          <w:b w:val="0"/>
          <w:sz w:val="24"/>
          <w:szCs w:val="24"/>
        </w:rPr>
        <w:t>proiecte</w:t>
      </w:r>
      <w:r w:rsidRPr="00E010DD">
        <w:rPr>
          <w:rFonts w:asciiTheme="majorHAnsi" w:hAnsiTheme="majorHAnsi" w:cs="Times New Roman"/>
          <w:b w:val="0"/>
          <w:sz w:val="24"/>
          <w:szCs w:val="24"/>
        </w:rPr>
        <w:t>.</w:t>
      </w:r>
    </w:p>
    <w:p w:rsidR="00B379A6" w:rsidRPr="00D173C9" w:rsidRDefault="002071E6" w:rsidP="00F61756">
      <w:pPr>
        <w:pStyle w:val="a3"/>
        <w:numPr>
          <w:ilvl w:val="0"/>
          <w:numId w:val="6"/>
        </w:numPr>
        <w:tabs>
          <w:tab w:val="left" w:pos="0"/>
        </w:tabs>
        <w:spacing w:line="276" w:lineRule="auto"/>
        <w:ind w:left="0" w:firstLine="426"/>
        <w:jc w:val="both"/>
        <w:rPr>
          <w:rFonts w:asciiTheme="majorHAnsi" w:eastAsiaTheme="minorHAnsi" w:hAnsiTheme="majorHAnsi"/>
          <w:bCs/>
          <w:lang w:val="en-US"/>
        </w:rPr>
      </w:pPr>
      <w:r w:rsidRPr="00E010DD">
        <w:rPr>
          <w:rFonts w:asciiTheme="majorHAnsi" w:hAnsiTheme="majorHAnsi"/>
          <w:b/>
          <w:lang w:val="en-US"/>
        </w:rPr>
        <w:t xml:space="preserve">Proiectul </w:t>
      </w:r>
      <w:r w:rsidR="00B379A6" w:rsidRPr="00E010DD">
        <w:rPr>
          <w:rFonts w:asciiTheme="majorHAnsi" w:hAnsiTheme="majorHAnsi"/>
          <w:b/>
          <w:lang w:val="en-US"/>
        </w:rPr>
        <w:t>Reţele de alimentare cu apa, canalizare si epurare, Ustia, Dubăsari”</w:t>
      </w:r>
      <w:r w:rsidR="00B379A6" w:rsidRPr="00E010DD">
        <w:rPr>
          <w:rFonts w:asciiTheme="majorHAnsi" w:hAnsiTheme="majorHAnsi"/>
          <w:lang w:val="en-US"/>
        </w:rPr>
        <w:t xml:space="preserve">, </w:t>
      </w:r>
      <w:r w:rsidRPr="00E010DD">
        <w:rPr>
          <w:rFonts w:asciiTheme="majorHAnsi" w:hAnsiTheme="majorHAnsi"/>
          <w:lang w:val="en-US"/>
        </w:rPr>
        <w:t xml:space="preserve">inițiat în 2014, valoarea contractului de antrepriză - 7,04 mil. lei, suma aprobată de CA FEN - 6,32 mil. lei, suma transferată din FEN -  4,0 mil. lei în 4 etape,ultina finantare a avut loc în 2021. </w:t>
      </w:r>
      <w:r w:rsidRPr="002317B0">
        <w:rPr>
          <w:rFonts w:asciiTheme="majorHAnsi" w:hAnsiTheme="majorHAnsi"/>
          <w:lang w:val="en-US"/>
        </w:rPr>
        <w:t>V</w:t>
      </w:r>
      <w:r w:rsidR="00B379A6" w:rsidRPr="002317B0">
        <w:rPr>
          <w:rFonts w:asciiTheme="majorHAnsi" w:hAnsiTheme="majorHAnsi"/>
          <w:lang w:val="en-US"/>
        </w:rPr>
        <w:t xml:space="preserve">aloarea contribuției </w:t>
      </w:r>
      <w:r w:rsidR="001A4B74" w:rsidRPr="002317B0">
        <w:rPr>
          <w:rFonts w:asciiTheme="majorHAnsi" w:hAnsiTheme="majorHAnsi"/>
          <w:lang w:val="en-US"/>
        </w:rPr>
        <w:t>prevăzută -</w:t>
      </w:r>
      <w:r w:rsidR="00B379A6" w:rsidRPr="002317B0">
        <w:rPr>
          <w:rFonts w:asciiTheme="majorHAnsi" w:hAnsiTheme="majorHAnsi"/>
          <w:lang w:val="en-US"/>
        </w:rPr>
        <w:t xml:space="preserve"> 0,65 mil lei, contribuția demosntrată</w:t>
      </w:r>
      <w:r w:rsidR="001A4B74" w:rsidRPr="002317B0">
        <w:rPr>
          <w:rFonts w:asciiTheme="majorHAnsi" w:hAnsiTheme="majorHAnsi"/>
          <w:lang w:val="en-US"/>
        </w:rPr>
        <w:t xml:space="preserve">/achitată - </w:t>
      </w:r>
      <w:r w:rsidR="00B379A6" w:rsidRPr="002317B0">
        <w:rPr>
          <w:rFonts w:asciiTheme="majorHAnsi" w:hAnsiTheme="majorHAnsi"/>
          <w:lang w:val="en-US"/>
        </w:rPr>
        <w:t>0,51 mil</w:t>
      </w:r>
      <w:r w:rsidR="001A4B74" w:rsidRPr="002317B0">
        <w:rPr>
          <w:rFonts w:asciiTheme="majorHAnsi" w:hAnsiTheme="majorHAnsi"/>
          <w:lang w:val="en-US"/>
        </w:rPr>
        <w:t xml:space="preserve"> l</w:t>
      </w:r>
      <w:r w:rsidR="00B379A6" w:rsidRPr="002317B0">
        <w:rPr>
          <w:rFonts w:asciiTheme="majorHAnsi" w:hAnsiTheme="majorHAnsi"/>
          <w:lang w:val="en-US"/>
        </w:rPr>
        <w:t>ei</w:t>
      </w:r>
      <w:r w:rsidR="001A4B74" w:rsidRPr="002317B0">
        <w:rPr>
          <w:rFonts w:asciiTheme="majorHAnsi" w:hAnsiTheme="majorHAnsi"/>
          <w:lang w:val="en-US"/>
        </w:rPr>
        <w:t>,</w:t>
      </w:r>
      <w:r w:rsidR="00B379A6" w:rsidRPr="002317B0">
        <w:rPr>
          <w:rFonts w:asciiTheme="majorHAnsi" w:hAnsiTheme="majorHAnsi"/>
          <w:lang w:val="en-US"/>
        </w:rPr>
        <w:t xml:space="preserve"> achitată în prima etapă</w:t>
      </w:r>
      <w:r w:rsidR="001A4B74" w:rsidRPr="002317B0">
        <w:rPr>
          <w:rFonts w:asciiTheme="majorHAnsi" w:hAnsiTheme="majorHAnsi"/>
          <w:lang w:val="en-US"/>
        </w:rPr>
        <w:t>, sold netransferat al contribuției – 0,14 mil.lei. Exclus din FEN în anul 2022 ca urmare neachitării integrale a contribuției.</w:t>
      </w:r>
    </w:p>
    <w:p w:rsidR="00E010DD" w:rsidRPr="002317B0" w:rsidRDefault="001A4B74" w:rsidP="00F61756">
      <w:pPr>
        <w:pStyle w:val="a3"/>
        <w:numPr>
          <w:ilvl w:val="0"/>
          <w:numId w:val="6"/>
        </w:numPr>
        <w:tabs>
          <w:tab w:val="left" w:pos="0"/>
        </w:tabs>
        <w:spacing w:line="276" w:lineRule="auto"/>
        <w:ind w:left="0" w:firstLine="567"/>
        <w:jc w:val="both"/>
        <w:rPr>
          <w:rFonts w:asciiTheme="majorHAnsi" w:eastAsiaTheme="minorHAnsi" w:hAnsiTheme="majorHAnsi"/>
          <w:bCs/>
          <w:lang w:val="en-US"/>
        </w:rPr>
      </w:pPr>
      <w:r w:rsidRPr="00E010DD">
        <w:rPr>
          <w:rFonts w:asciiTheme="majorHAnsi" w:hAnsiTheme="majorHAnsi"/>
          <w:b/>
          <w:lang w:val="en-US"/>
        </w:rPr>
        <w:t xml:space="preserve">Proiectul </w:t>
      </w:r>
      <w:r w:rsidR="00B379A6" w:rsidRPr="00E010DD">
        <w:rPr>
          <w:rFonts w:asciiTheme="majorHAnsi" w:hAnsiTheme="majorHAnsi"/>
          <w:b/>
          <w:lang w:val="en-US"/>
        </w:rPr>
        <w:t>„Alimentare cit apa sicanalizare a satului Brăviceni, Orhei”</w:t>
      </w:r>
      <w:r w:rsidR="00B379A6" w:rsidRPr="00E010DD">
        <w:rPr>
          <w:rFonts w:asciiTheme="majorHAnsi" w:hAnsiTheme="majorHAnsi"/>
          <w:lang w:val="en-US"/>
        </w:rPr>
        <w:t xml:space="preserve">, </w:t>
      </w:r>
      <w:r w:rsidRPr="00E010DD">
        <w:rPr>
          <w:rFonts w:asciiTheme="majorHAnsi" w:hAnsiTheme="majorHAnsi"/>
          <w:lang w:val="en-US"/>
        </w:rPr>
        <w:t xml:space="preserve"> inițiat în anul 2015, valoarea contractului de antrepriză</w:t>
      </w:r>
      <w:r w:rsidR="00A343BD" w:rsidRPr="00E010DD">
        <w:rPr>
          <w:rFonts w:asciiTheme="majorHAnsi" w:hAnsiTheme="majorHAnsi"/>
          <w:lang w:val="en-US"/>
        </w:rPr>
        <w:t xml:space="preserve"> -</w:t>
      </w:r>
      <w:r w:rsidRPr="00E010DD">
        <w:rPr>
          <w:rFonts w:asciiTheme="majorHAnsi" w:hAnsiTheme="majorHAnsi"/>
          <w:lang w:val="en-US"/>
        </w:rPr>
        <w:t xml:space="preserve"> 43,19 mil</w:t>
      </w:r>
      <w:r w:rsidR="00A343BD" w:rsidRPr="00E010DD">
        <w:rPr>
          <w:rFonts w:asciiTheme="majorHAnsi" w:hAnsiTheme="majorHAnsi"/>
          <w:lang w:val="en-US"/>
        </w:rPr>
        <w:t xml:space="preserve">. lei, </w:t>
      </w:r>
      <w:r w:rsidRPr="00E010DD">
        <w:rPr>
          <w:rFonts w:asciiTheme="majorHAnsi" w:hAnsiTheme="majorHAnsi"/>
          <w:lang w:val="en-US"/>
        </w:rPr>
        <w:t>suma aprobată de CA FEN</w:t>
      </w:r>
      <w:r w:rsidR="00A343BD" w:rsidRPr="00E010DD">
        <w:rPr>
          <w:rFonts w:asciiTheme="majorHAnsi" w:hAnsiTheme="majorHAnsi"/>
          <w:lang w:val="en-US"/>
        </w:rPr>
        <w:t xml:space="preserve"> - </w:t>
      </w:r>
      <w:r w:rsidRPr="00E010DD">
        <w:rPr>
          <w:rFonts w:asciiTheme="majorHAnsi" w:hAnsiTheme="majorHAnsi"/>
          <w:lang w:val="en-US"/>
        </w:rPr>
        <w:t xml:space="preserve"> 11,00 mil</w:t>
      </w:r>
      <w:r w:rsidR="00A343BD" w:rsidRPr="00E010DD">
        <w:rPr>
          <w:rFonts w:asciiTheme="majorHAnsi" w:hAnsiTheme="majorHAnsi"/>
          <w:lang w:val="en-US"/>
        </w:rPr>
        <w:t>.</w:t>
      </w:r>
      <w:r w:rsidRPr="00E010DD">
        <w:rPr>
          <w:rFonts w:asciiTheme="majorHAnsi" w:hAnsiTheme="majorHAnsi"/>
          <w:lang w:val="en-US"/>
        </w:rPr>
        <w:t xml:space="preserve"> lei, suma transferată de FEN</w:t>
      </w:r>
      <w:r w:rsidR="00A343BD" w:rsidRPr="00E010DD">
        <w:rPr>
          <w:rFonts w:asciiTheme="majorHAnsi" w:hAnsiTheme="majorHAnsi"/>
          <w:lang w:val="en-US"/>
        </w:rPr>
        <w:t xml:space="preserve"> - </w:t>
      </w:r>
      <w:r w:rsidRPr="00E010DD">
        <w:rPr>
          <w:rFonts w:asciiTheme="majorHAnsi" w:hAnsiTheme="majorHAnsi"/>
          <w:lang w:val="en-US"/>
        </w:rPr>
        <w:t>7,74 mil</w:t>
      </w:r>
      <w:r w:rsidR="00A343BD" w:rsidRPr="00E010DD">
        <w:rPr>
          <w:rFonts w:asciiTheme="majorHAnsi" w:hAnsiTheme="majorHAnsi"/>
          <w:lang w:val="en-US"/>
        </w:rPr>
        <w:t xml:space="preserve">.lei finanțată în 5 etape, ultima finanțare a avut loc în anul 2021.  </w:t>
      </w:r>
      <w:r w:rsidR="00A343BD" w:rsidRPr="002317B0">
        <w:rPr>
          <w:rFonts w:asciiTheme="majorHAnsi" w:hAnsiTheme="majorHAnsi"/>
          <w:lang w:val="en-US"/>
        </w:rPr>
        <w:t>V</w:t>
      </w:r>
      <w:r w:rsidR="00B379A6" w:rsidRPr="002317B0">
        <w:rPr>
          <w:rFonts w:asciiTheme="majorHAnsi" w:hAnsiTheme="majorHAnsi"/>
          <w:lang w:val="en-US"/>
        </w:rPr>
        <w:t>aloarea contribuției con</w:t>
      </w:r>
      <w:r w:rsidR="00A343BD" w:rsidRPr="002317B0">
        <w:rPr>
          <w:rFonts w:asciiTheme="majorHAnsi" w:hAnsiTheme="majorHAnsi"/>
          <w:lang w:val="en-US"/>
        </w:rPr>
        <w:t xml:space="preserve">prevăzută - </w:t>
      </w:r>
      <w:r w:rsidR="00B379A6" w:rsidRPr="002317B0">
        <w:rPr>
          <w:rFonts w:asciiTheme="majorHAnsi" w:hAnsiTheme="majorHAnsi"/>
          <w:lang w:val="en-US"/>
        </w:rPr>
        <w:t>1,86 mil</w:t>
      </w:r>
      <w:r w:rsidR="00A343BD" w:rsidRPr="002317B0">
        <w:rPr>
          <w:rFonts w:asciiTheme="majorHAnsi" w:hAnsiTheme="majorHAnsi"/>
          <w:lang w:val="en-US"/>
        </w:rPr>
        <w:t>.</w:t>
      </w:r>
      <w:r w:rsidR="00B379A6" w:rsidRPr="002317B0">
        <w:rPr>
          <w:rFonts w:asciiTheme="majorHAnsi" w:hAnsiTheme="majorHAnsi"/>
          <w:lang w:val="en-US"/>
        </w:rPr>
        <w:t xml:space="preserve"> lei</w:t>
      </w:r>
      <w:r w:rsidR="00A343BD" w:rsidRPr="002317B0">
        <w:rPr>
          <w:rFonts w:asciiTheme="majorHAnsi" w:hAnsiTheme="majorHAnsi"/>
          <w:lang w:val="en-US"/>
        </w:rPr>
        <w:t xml:space="preserve">, </w:t>
      </w:r>
      <w:r w:rsidR="00B379A6" w:rsidRPr="002317B0">
        <w:rPr>
          <w:rFonts w:asciiTheme="majorHAnsi" w:hAnsiTheme="majorHAnsi"/>
          <w:lang w:val="en-US"/>
        </w:rPr>
        <w:t xml:space="preserve"> valoarea contribuției demonstrate</w:t>
      </w:r>
      <w:r w:rsidR="00A343BD" w:rsidRPr="002317B0">
        <w:rPr>
          <w:rFonts w:asciiTheme="majorHAnsi" w:hAnsiTheme="majorHAnsi"/>
          <w:lang w:val="en-US"/>
        </w:rPr>
        <w:t xml:space="preserve">/achitate </w:t>
      </w:r>
      <w:r w:rsidR="00B379A6" w:rsidRPr="002317B0">
        <w:rPr>
          <w:rFonts w:asciiTheme="majorHAnsi" w:hAnsiTheme="majorHAnsi"/>
          <w:lang w:val="en-US"/>
        </w:rPr>
        <w:t xml:space="preserve"> </w:t>
      </w:r>
      <w:r w:rsidR="00A343BD" w:rsidRPr="002317B0">
        <w:rPr>
          <w:rFonts w:asciiTheme="majorHAnsi" w:hAnsiTheme="majorHAnsi"/>
          <w:lang w:val="en-US"/>
        </w:rPr>
        <w:t>-</w:t>
      </w:r>
      <w:r w:rsidR="00B379A6" w:rsidRPr="002317B0">
        <w:rPr>
          <w:rFonts w:asciiTheme="majorHAnsi" w:hAnsiTheme="majorHAnsi"/>
          <w:lang w:val="en-US"/>
        </w:rPr>
        <w:t xml:space="preserve"> 1,03 mil</w:t>
      </w:r>
      <w:r w:rsidR="00A343BD" w:rsidRPr="002317B0">
        <w:rPr>
          <w:rFonts w:asciiTheme="majorHAnsi" w:hAnsiTheme="majorHAnsi"/>
          <w:lang w:val="en-US"/>
        </w:rPr>
        <w:t>.</w:t>
      </w:r>
      <w:r w:rsidR="00B379A6" w:rsidRPr="002317B0">
        <w:rPr>
          <w:rFonts w:asciiTheme="majorHAnsi" w:hAnsiTheme="majorHAnsi"/>
          <w:lang w:val="en-US"/>
        </w:rPr>
        <w:t xml:space="preserve"> </w:t>
      </w:r>
      <w:r w:rsidR="00E010DD" w:rsidRPr="002317B0">
        <w:rPr>
          <w:rFonts w:asciiTheme="majorHAnsi" w:hAnsiTheme="majorHAnsi"/>
          <w:lang w:val="en-US"/>
        </w:rPr>
        <w:t>L</w:t>
      </w:r>
      <w:r w:rsidR="00B379A6" w:rsidRPr="002317B0">
        <w:rPr>
          <w:rFonts w:asciiTheme="majorHAnsi" w:hAnsiTheme="majorHAnsi"/>
          <w:lang w:val="en-US"/>
        </w:rPr>
        <w:t>ei</w:t>
      </w:r>
      <w:r w:rsidR="00E010DD" w:rsidRPr="002317B0">
        <w:rPr>
          <w:rFonts w:asciiTheme="majorHAnsi" w:hAnsiTheme="majorHAnsi"/>
          <w:lang w:val="en-US"/>
        </w:rPr>
        <w:t>, sold netransferat al contribuției -  0,83 mil.lei. Exclus din FEN în anul 2022 ca urmare neachitării integrale a contribuției.</w:t>
      </w:r>
    </w:p>
    <w:p w:rsidR="000829CD" w:rsidRPr="008376FC" w:rsidRDefault="000829CD" w:rsidP="00F61756">
      <w:pPr>
        <w:pStyle w:val="a3"/>
        <w:tabs>
          <w:tab w:val="left" w:pos="851"/>
        </w:tabs>
        <w:spacing w:line="276" w:lineRule="auto"/>
        <w:ind w:left="0"/>
        <w:jc w:val="both"/>
        <w:outlineLvl w:val="0"/>
        <w:rPr>
          <w:rFonts w:asciiTheme="majorHAnsi" w:hAnsiTheme="majorHAnsi"/>
          <w:b/>
          <w:lang w:val="en-US"/>
        </w:rPr>
      </w:pPr>
    </w:p>
    <w:p w:rsidR="009378E8" w:rsidRPr="008376FC" w:rsidRDefault="00073125" w:rsidP="00F61756">
      <w:pPr>
        <w:pStyle w:val="a3"/>
        <w:numPr>
          <w:ilvl w:val="0"/>
          <w:numId w:val="30"/>
        </w:numPr>
        <w:tabs>
          <w:tab w:val="left" w:pos="142"/>
        </w:tabs>
        <w:spacing w:line="276" w:lineRule="auto"/>
        <w:ind w:left="0" w:firstLine="0"/>
        <w:jc w:val="both"/>
        <w:rPr>
          <w:rFonts w:asciiTheme="majorHAnsi" w:hAnsiTheme="majorHAnsi"/>
          <w:lang w:val="en-US"/>
        </w:rPr>
      </w:pPr>
      <w:r w:rsidRPr="008376FC">
        <w:rPr>
          <w:rFonts w:asciiTheme="majorHAnsi" w:hAnsiTheme="majorHAnsi"/>
          <w:b/>
          <w:lang w:val="en-US"/>
        </w:rPr>
        <w:t>Lipsa unor criterii de repartizare și a modului de finanțare a PI finanțate din FEN</w:t>
      </w:r>
      <w:r w:rsidR="009378E8" w:rsidRPr="008376FC">
        <w:rPr>
          <w:rFonts w:asciiTheme="majorHAnsi" w:hAnsiTheme="majorHAnsi"/>
          <w:b/>
          <w:lang w:val="en-US"/>
        </w:rPr>
        <w:t xml:space="preserve"> </w:t>
      </w:r>
    </w:p>
    <w:p w:rsidR="009378E8" w:rsidRPr="008376FC" w:rsidRDefault="009378E8" w:rsidP="00F61756">
      <w:pPr>
        <w:pStyle w:val="a3"/>
        <w:tabs>
          <w:tab w:val="left" w:pos="142"/>
        </w:tabs>
        <w:spacing w:line="276" w:lineRule="auto"/>
        <w:ind w:left="0"/>
        <w:jc w:val="both"/>
        <w:rPr>
          <w:rFonts w:asciiTheme="majorHAnsi" w:hAnsiTheme="majorHAnsi"/>
          <w:b/>
          <w:lang w:val="en-US"/>
        </w:rPr>
      </w:pPr>
    </w:p>
    <w:p w:rsidR="005531B1" w:rsidRPr="008376FC" w:rsidRDefault="00987F71" w:rsidP="00F61756">
      <w:pPr>
        <w:pStyle w:val="a3"/>
        <w:tabs>
          <w:tab w:val="left" w:pos="142"/>
        </w:tabs>
        <w:spacing w:line="276" w:lineRule="auto"/>
        <w:ind w:left="0"/>
        <w:jc w:val="both"/>
        <w:rPr>
          <w:rFonts w:asciiTheme="majorHAnsi" w:hAnsiTheme="majorHAnsi"/>
          <w:lang w:val="en-US"/>
        </w:rPr>
      </w:pPr>
      <w:r>
        <w:rPr>
          <w:rFonts w:asciiTheme="majorHAnsi" w:hAnsiTheme="majorHAnsi"/>
          <w:lang w:val="en-US"/>
        </w:rPr>
        <w:tab/>
        <w:t xml:space="preserve">       </w:t>
      </w:r>
      <w:r w:rsidR="005531B1" w:rsidRPr="008376FC">
        <w:rPr>
          <w:rFonts w:asciiTheme="majorHAnsi" w:hAnsiTheme="majorHAnsi"/>
          <w:lang w:val="en-US"/>
        </w:rPr>
        <w:t>Verificările auditului denotă că repartizarea mijloacelor disponibile ale FEN se efectuează în lipsa unor criterii de repartizare și a modului de finanțare a PI. Astfel, deși până la aprobarea PI acestea parcurg mai multe etape de verificare (ecologică</w:t>
      </w:r>
      <w:r w:rsidR="0007081C">
        <w:rPr>
          <w:rFonts w:asciiTheme="majorHAnsi" w:hAnsiTheme="majorHAnsi"/>
          <w:lang w:val="en-US"/>
        </w:rPr>
        <w:t>)</w:t>
      </w:r>
      <w:r w:rsidR="005531B1" w:rsidRPr="008376FC">
        <w:rPr>
          <w:rFonts w:asciiTheme="majorHAnsi" w:hAnsiTheme="majorHAnsi"/>
          <w:lang w:val="en-US"/>
        </w:rPr>
        <w:t xml:space="preserve">, </w:t>
      </w:r>
      <w:r w:rsidR="0007081C">
        <w:rPr>
          <w:rFonts w:asciiTheme="majorHAnsi" w:hAnsiTheme="majorHAnsi"/>
          <w:lang w:val="en-US"/>
        </w:rPr>
        <w:t xml:space="preserve">de </w:t>
      </w:r>
      <w:r w:rsidR="005531B1" w:rsidRPr="008376FC">
        <w:rPr>
          <w:rFonts w:asciiTheme="majorHAnsi" w:hAnsiTheme="majorHAnsi"/>
          <w:lang w:val="en-US"/>
        </w:rPr>
        <w:t xml:space="preserve">expertizare etc., CA aprobă spre finanțare doar o parte din volumul total al acestora, finanțarea fiind efectuată în mai multe etape, fiecare etapă fiind înregistrată ca un proiect aparte, </w:t>
      </w:r>
      <w:r w:rsidR="00C17218">
        <w:rPr>
          <w:rFonts w:asciiTheme="majorHAnsi" w:hAnsiTheme="majorHAnsi"/>
          <w:lang w:val="en-US"/>
        </w:rPr>
        <w:t xml:space="preserve">iar </w:t>
      </w:r>
      <w:r w:rsidR="005531B1" w:rsidRPr="008376FC">
        <w:rPr>
          <w:rFonts w:asciiTheme="majorHAnsi" w:hAnsiTheme="majorHAnsi"/>
          <w:lang w:val="en-US"/>
        </w:rPr>
        <w:t xml:space="preserve">pentru fiecare etapă fiind necesară respectarea acelorași proceduri de aprobare care se aplică pentru un proiect investițional nou. Pentru finanțarea fiecărei etape, de obicei se alocă 500,0 mii lei sau 1,0 mil.lei. De asemenea, la aprobarea primei etape de finanțare, precum și a etapelor ulterioare, CA nu ține cont de termenele de executare a lucrărilor stipulate în contractele de antrepriză încheiate între beneficiar și antreprenor, ceea ce determină riscul nefinalizării lor din cauza insuficienței resurselor financiare la FEN. </w:t>
      </w:r>
      <w:r w:rsidR="005F0872" w:rsidRPr="008376FC">
        <w:rPr>
          <w:rFonts w:asciiTheme="majorHAnsi" w:hAnsiTheme="majorHAnsi"/>
          <w:lang w:val="en-US"/>
        </w:rPr>
        <w:t>M</w:t>
      </w:r>
      <w:r w:rsidR="005531B1" w:rsidRPr="008376FC">
        <w:rPr>
          <w:rFonts w:asciiTheme="majorHAnsi" w:hAnsiTheme="majorHAnsi"/>
          <w:lang w:val="en-US"/>
        </w:rPr>
        <w:t xml:space="preserve">odalitatea de finanțare aplicată de FEN nu </w:t>
      </w:r>
      <w:r w:rsidR="005F0872" w:rsidRPr="008376FC">
        <w:rPr>
          <w:rFonts w:asciiTheme="majorHAnsi" w:hAnsiTheme="majorHAnsi"/>
          <w:lang w:val="en-US"/>
        </w:rPr>
        <w:t>a fost</w:t>
      </w:r>
      <w:r w:rsidR="005531B1" w:rsidRPr="008376FC">
        <w:rPr>
          <w:rFonts w:asciiTheme="majorHAnsi" w:hAnsiTheme="majorHAnsi"/>
          <w:lang w:val="en-US"/>
        </w:rPr>
        <w:t xml:space="preserve"> aprobată nici într-un act normativ ce reglementează activitatea Fondului</w:t>
      </w:r>
      <w:r w:rsidR="002D1D85">
        <w:rPr>
          <w:rFonts w:asciiTheme="majorHAnsi" w:hAnsiTheme="majorHAnsi"/>
          <w:lang w:val="en-US"/>
        </w:rPr>
        <w:t>, fapt menționat în mai multe HCCRM</w:t>
      </w:r>
      <w:r w:rsidR="00C33B6E">
        <w:rPr>
          <w:rFonts w:asciiTheme="majorHAnsi" w:hAnsiTheme="majorHAnsi"/>
          <w:lang w:val="en-US"/>
        </w:rPr>
        <w:t xml:space="preserve">, care nu a fost luat în considerație </w:t>
      </w:r>
      <w:r w:rsidR="005531B1" w:rsidRPr="008376FC">
        <w:rPr>
          <w:rFonts w:asciiTheme="majorHAnsi" w:hAnsiTheme="majorHAnsi"/>
          <w:lang w:val="en-US"/>
        </w:rPr>
        <w:t>.</w:t>
      </w:r>
    </w:p>
    <w:p w:rsidR="005531B1" w:rsidRPr="008376FC" w:rsidRDefault="00987F71" w:rsidP="00F61756">
      <w:pPr>
        <w:tabs>
          <w:tab w:val="left" w:pos="142"/>
        </w:tabs>
        <w:spacing w:after="0" w:line="276" w:lineRule="auto"/>
        <w:jc w:val="both"/>
        <w:rPr>
          <w:rFonts w:asciiTheme="majorHAnsi" w:hAnsiTheme="majorHAnsi" w:cs="Times New Roman"/>
          <w:b w:val="0"/>
          <w:sz w:val="24"/>
          <w:szCs w:val="24"/>
        </w:rPr>
      </w:pPr>
      <w:r>
        <w:rPr>
          <w:rFonts w:asciiTheme="majorHAnsi" w:hAnsiTheme="majorHAnsi" w:cs="Times New Roman"/>
          <w:b w:val="0"/>
          <w:sz w:val="24"/>
          <w:szCs w:val="24"/>
        </w:rPr>
        <w:t xml:space="preserve">          </w:t>
      </w:r>
      <w:r w:rsidR="005531B1" w:rsidRPr="008376FC">
        <w:rPr>
          <w:rFonts w:asciiTheme="majorHAnsi" w:hAnsiTheme="majorHAnsi" w:cs="Times New Roman"/>
          <w:b w:val="0"/>
          <w:sz w:val="24"/>
          <w:szCs w:val="24"/>
        </w:rPr>
        <w:t>Totodată, divizarea finanțării unui proiect investițional în mai multe etape cauzează extinderea termenului de realizare a proiectelor, urmare a faptului că beneficiarul nu cunoaște în ce volum vor fi aprobate alocațiile pentru fiecare etapă, deciziile fiind luate pe măsura parvenirii de la beneficiar a cererilor de solicitare pentru fiecare etapă. Decizia privind volumul care va fi alocat din FEN pentru finanțarea următoarei etape se ia de către CA</w:t>
      </w:r>
      <w:r w:rsidR="00BC28D6" w:rsidRPr="00D173C9">
        <w:rPr>
          <w:rFonts w:asciiTheme="majorHAnsi" w:hAnsiTheme="majorHAnsi" w:cs="Times New Roman"/>
          <w:b w:val="0"/>
          <w:sz w:val="24"/>
          <w:szCs w:val="24"/>
        </w:rPr>
        <w:t>, care la aprobarea volumelor de finanțare necesare realizării proiectelor nu ține cont de termenele de realizare a PI convenite cu antreprenorii.</w:t>
      </w:r>
    </w:p>
    <w:p w:rsidR="005531B1" w:rsidRPr="008376FC" w:rsidRDefault="00987F71" w:rsidP="00F61756">
      <w:pPr>
        <w:tabs>
          <w:tab w:val="left" w:pos="142"/>
        </w:tabs>
        <w:spacing w:after="0" w:line="276" w:lineRule="auto"/>
        <w:jc w:val="both"/>
        <w:rPr>
          <w:rFonts w:asciiTheme="majorHAnsi" w:hAnsiTheme="majorHAnsi" w:cs="Times New Roman"/>
          <w:b w:val="0"/>
          <w:sz w:val="24"/>
          <w:szCs w:val="24"/>
        </w:rPr>
      </w:pPr>
      <w:r>
        <w:rPr>
          <w:rFonts w:asciiTheme="majorHAnsi" w:hAnsiTheme="majorHAnsi" w:cs="Times New Roman"/>
          <w:b w:val="0"/>
          <w:sz w:val="24"/>
          <w:szCs w:val="24"/>
        </w:rPr>
        <w:t xml:space="preserve">          </w:t>
      </w:r>
      <w:r w:rsidR="005531B1" w:rsidRPr="008376FC">
        <w:rPr>
          <w:rFonts w:asciiTheme="majorHAnsi" w:hAnsiTheme="majorHAnsi" w:cs="Times New Roman"/>
          <w:b w:val="0"/>
          <w:sz w:val="24"/>
          <w:szCs w:val="24"/>
        </w:rPr>
        <w:t>Urmare a ignorării acestui aspect, beneficiarul este nevoit să extindă termenul de realizare a proiectului, astfel perioada de implementare a acestuia fiind departajată pe un termen nedeterminat din cauza necunoașterii volumelor de finanțare care vor fi aprobate de CA, iar ca efect survine majorarea valorii contractului prin indexarea anuală a valorii contractelor de antrepriză. Această modalitate de finanțare cauzează utilizarea ineficientă și neeconomă a mijloacelor publice, implicit decalarea în termen a atingerii scopului proiectelor investiționale.</w:t>
      </w:r>
    </w:p>
    <w:p w:rsidR="007D09C6" w:rsidRDefault="00987F71" w:rsidP="00F61756">
      <w:pPr>
        <w:spacing w:after="0" w:line="276" w:lineRule="auto"/>
        <w:jc w:val="both"/>
        <w:rPr>
          <w:rFonts w:asciiTheme="majorHAnsi" w:hAnsiTheme="majorHAnsi" w:cs="Times New Roman"/>
          <w:b w:val="0"/>
          <w:sz w:val="24"/>
          <w:szCs w:val="24"/>
        </w:rPr>
      </w:pPr>
      <w:r>
        <w:rPr>
          <w:rFonts w:asciiTheme="majorHAnsi" w:hAnsiTheme="majorHAnsi" w:cs="Times New Roman"/>
          <w:b w:val="0"/>
          <w:sz w:val="24"/>
          <w:szCs w:val="24"/>
        </w:rPr>
        <w:t xml:space="preserve">           </w:t>
      </w:r>
      <w:r w:rsidR="007D09C6" w:rsidRPr="008376FC">
        <w:rPr>
          <w:rFonts w:asciiTheme="majorHAnsi" w:hAnsiTheme="majorHAnsi" w:cs="Times New Roman"/>
          <w:b w:val="0"/>
          <w:sz w:val="24"/>
          <w:szCs w:val="24"/>
        </w:rPr>
        <w:t xml:space="preserve">Proiectele aprobate spre finanțare au avut o durată de realizare mai mare decât cea stabilită în contractele de antrepriză, ca urmare a practicilor aplicate de FEN (divizarea finanțării în etape), ceea ce a condiționat nerealizarea în termen a proiectelor și alocarea mijloacelor suplimentare  etc. </w:t>
      </w:r>
    </w:p>
    <w:p w:rsidR="00097A8B" w:rsidRDefault="00987F71" w:rsidP="00F61756">
      <w:pPr>
        <w:spacing w:after="0" w:line="276" w:lineRule="auto"/>
        <w:jc w:val="both"/>
        <w:rPr>
          <w:rFonts w:asciiTheme="majorHAnsi" w:hAnsiTheme="majorHAnsi" w:cs="Times New Roman"/>
          <w:b w:val="0"/>
          <w:sz w:val="24"/>
          <w:szCs w:val="24"/>
        </w:rPr>
      </w:pPr>
      <w:r>
        <w:rPr>
          <w:rFonts w:asciiTheme="majorHAnsi" w:hAnsiTheme="majorHAnsi" w:cs="Times New Roman"/>
          <w:b w:val="0"/>
          <w:sz w:val="24"/>
          <w:szCs w:val="24"/>
        </w:rPr>
        <w:t xml:space="preserve">          </w:t>
      </w:r>
      <w:r w:rsidR="00C76F98" w:rsidRPr="008376FC">
        <w:rPr>
          <w:rFonts w:asciiTheme="majorHAnsi" w:hAnsiTheme="majorHAnsi" w:cs="Times New Roman"/>
          <w:b w:val="0"/>
          <w:sz w:val="24"/>
          <w:szCs w:val="24"/>
        </w:rPr>
        <w:t>Aceste deficiențe au fost constatate și în cadrul misiunilor de audit realizate în anii precedenți, fiind înaintate recomandari pentru</w:t>
      </w:r>
      <w:r w:rsidR="003B0075">
        <w:rPr>
          <w:rFonts w:asciiTheme="majorHAnsi" w:hAnsiTheme="majorHAnsi" w:cs="Times New Roman"/>
          <w:b w:val="0"/>
          <w:sz w:val="24"/>
          <w:szCs w:val="24"/>
        </w:rPr>
        <w:t xml:space="preserve"> </w:t>
      </w:r>
      <w:r w:rsidR="00C76F98" w:rsidRPr="008376FC">
        <w:rPr>
          <w:rFonts w:asciiTheme="majorHAnsi" w:hAnsiTheme="majorHAnsi" w:cs="Times New Roman"/>
          <w:b w:val="0"/>
          <w:sz w:val="24"/>
          <w:szCs w:val="24"/>
        </w:rPr>
        <w:t>remedierea situațiilor create, dar</w:t>
      </w:r>
      <w:r w:rsidR="003B0075">
        <w:rPr>
          <w:rFonts w:asciiTheme="majorHAnsi" w:hAnsiTheme="majorHAnsi" w:cs="Times New Roman"/>
          <w:b w:val="0"/>
          <w:sz w:val="24"/>
          <w:szCs w:val="24"/>
        </w:rPr>
        <w:t>,</w:t>
      </w:r>
      <w:r w:rsidR="00C76F98" w:rsidRPr="008376FC">
        <w:rPr>
          <w:rFonts w:asciiTheme="majorHAnsi" w:hAnsiTheme="majorHAnsi" w:cs="Times New Roman"/>
          <w:b w:val="0"/>
          <w:sz w:val="24"/>
          <w:szCs w:val="24"/>
        </w:rPr>
        <w:t xml:space="preserve"> cu regret, pe parcursul anilor 2018-2022 FEN a continuat aplicarea practicilor defectuoase </w:t>
      </w:r>
      <w:r w:rsidR="00EE5B94" w:rsidRPr="008376FC">
        <w:rPr>
          <w:rFonts w:asciiTheme="majorHAnsi" w:hAnsiTheme="majorHAnsi" w:cs="Times New Roman"/>
          <w:b w:val="0"/>
          <w:sz w:val="24"/>
          <w:szCs w:val="24"/>
        </w:rPr>
        <w:t xml:space="preserve">menționate. </w:t>
      </w:r>
      <w:r w:rsidR="00097A8B" w:rsidRPr="008376FC">
        <w:rPr>
          <w:rFonts w:asciiTheme="majorHAnsi" w:hAnsiTheme="majorHAnsi" w:cs="Times New Roman"/>
          <w:b w:val="0"/>
          <w:sz w:val="24"/>
          <w:szCs w:val="24"/>
        </w:rPr>
        <w:t>Neschimbarea pe parcursul anilor a modului de alocare și de finanțare a mijloacelor FEN şi neîncurajarea competitivității  proiectelor înaintate, a  menținul riscul major de sistare a unor proiecte şi/sau de susținere a altora, neimplementate în termen.</w:t>
      </w:r>
    </w:p>
    <w:p w:rsidR="00EE5B94" w:rsidRPr="00D173C9" w:rsidRDefault="00987F71" w:rsidP="00F61756">
      <w:pPr>
        <w:spacing w:after="0" w:line="276" w:lineRule="auto"/>
        <w:jc w:val="both"/>
        <w:rPr>
          <w:rFonts w:asciiTheme="majorHAnsi" w:hAnsiTheme="majorHAnsi" w:cs="Times New Roman"/>
          <w:b w:val="0"/>
          <w:sz w:val="24"/>
          <w:szCs w:val="24"/>
        </w:rPr>
      </w:pPr>
      <w:r>
        <w:rPr>
          <w:rFonts w:asciiTheme="majorHAnsi" w:hAnsiTheme="majorHAnsi" w:cs="Times New Roman"/>
          <w:b w:val="0"/>
          <w:sz w:val="24"/>
          <w:szCs w:val="24"/>
        </w:rPr>
        <w:t xml:space="preserve">         </w:t>
      </w:r>
      <w:r w:rsidR="00F759B5" w:rsidRPr="008376FC">
        <w:rPr>
          <w:rFonts w:asciiTheme="majorHAnsi" w:hAnsiTheme="majorHAnsi" w:cs="Times New Roman"/>
          <w:b w:val="0"/>
          <w:sz w:val="24"/>
          <w:szCs w:val="24"/>
        </w:rPr>
        <w:t xml:space="preserve">De menționat că și </w:t>
      </w:r>
      <w:r w:rsidR="00CF6BF3" w:rsidRPr="008376FC">
        <w:rPr>
          <w:rFonts w:asciiTheme="majorHAnsi" w:hAnsiTheme="majorHAnsi" w:cs="Times New Roman"/>
          <w:b w:val="0"/>
          <w:sz w:val="24"/>
          <w:szCs w:val="24"/>
        </w:rPr>
        <w:t>proiectele care presupuneau lucrări simple de instalare a rezervoarelor de apă sau de constru</w:t>
      </w:r>
      <w:r w:rsidR="003B0075">
        <w:rPr>
          <w:rFonts w:asciiTheme="majorHAnsi" w:hAnsiTheme="majorHAnsi" w:cs="Times New Roman"/>
          <w:b w:val="0"/>
          <w:sz w:val="24"/>
          <w:szCs w:val="24"/>
        </w:rPr>
        <w:t>cț</w:t>
      </w:r>
      <w:r w:rsidR="00CF6BF3" w:rsidRPr="008376FC">
        <w:rPr>
          <w:rFonts w:asciiTheme="majorHAnsi" w:hAnsiTheme="majorHAnsi" w:cs="Times New Roman"/>
          <w:b w:val="0"/>
          <w:sz w:val="24"/>
          <w:szCs w:val="24"/>
        </w:rPr>
        <w:t xml:space="preserve">ie a apeductelor, care tehnic puteau fi executate chiar și într-un an bugetar, </w:t>
      </w:r>
      <w:r w:rsidR="003B0075">
        <w:rPr>
          <w:rFonts w:asciiTheme="majorHAnsi" w:hAnsiTheme="majorHAnsi" w:cs="Times New Roman"/>
          <w:b w:val="0"/>
          <w:sz w:val="24"/>
          <w:szCs w:val="24"/>
        </w:rPr>
        <w:t>din cauza</w:t>
      </w:r>
      <w:r w:rsidR="003B0075" w:rsidRPr="008376FC">
        <w:rPr>
          <w:rFonts w:asciiTheme="majorHAnsi" w:hAnsiTheme="majorHAnsi" w:cs="Times New Roman"/>
          <w:b w:val="0"/>
          <w:sz w:val="24"/>
          <w:szCs w:val="24"/>
        </w:rPr>
        <w:t xml:space="preserve"> </w:t>
      </w:r>
      <w:r w:rsidR="00CF6BF3" w:rsidRPr="008376FC">
        <w:rPr>
          <w:rFonts w:asciiTheme="majorHAnsi" w:hAnsiTheme="majorHAnsi" w:cs="Times New Roman"/>
          <w:b w:val="0"/>
          <w:sz w:val="24"/>
          <w:szCs w:val="24"/>
        </w:rPr>
        <w:t>tergiversării finanțării sau finanțării neintegrale a lucrărilor</w:t>
      </w:r>
      <w:r w:rsidR="00CD1B99">
        <w:rPr>
          <w:rFonts w:asciiTheme="majorHAnsi" w:hAnsiTheme="majorHAnsi" w:cs="Times New Roman"/>
          <w:b w:val="0"/>
          <w:sz w:val="24"/>
          <w:szCs w:val="24"/>
        </w:rPr>
        <w:t>,</w:t>
      </w:r>
      <w:r w:rsidR="00CF6BF3" w:rsidRPr="008376FC">
        <w:rPr>
          <w:rFonts w:asciiTheme="majorHAnsi" w:hAnsiTheme="majorHAnsi" w:cs="Times New Roman"/>
          <w:b w:val="0"/>
          <w:sz w:val="24"/>
          <w:szCs w:val="24"/>
        </w:rPr>
        <w:t xml:space="preserve"> au determinat extinderea implementării proiectelor pe câțiva </w:t>
      </w:r>
      <w:r w:rsidR="00CF6BF3" w:rsidRPr="00D173C9">
        <w:rPr>
          <w:rFonts w:asciiTheme="majorHAnsi" w:hAnsiTheme="majorHAnsi" w:cs="Times New Roman"/>
          <w:b w:val="0"/>
          <w:sz w:val="24"/>
          <w:szCs w:val="24"/>
        </w:rPr>
        <w:t xml:space="preserve">ani. </w:t>
      </w:r>
      <w:r w:rsidR="00BC28D6" w:rsidRPr="00D173C9">
        <w:rPr>
          <w:rFonts w:asciiTheme="majorHAnsi" w:hAnsiTheme="majorHAnsi" w:cs="Times New Roman"/>
          <w:b w:val="0"/>
          <w:sz w:val="24"/>
          <w:szCs w:val="24"/>
        </w:rPr>
        <w:t>Acest fapt determină  inclusiv majorarea costurilor de implementare</w:t>
      </w:r>
      <w:r w:rsidR="00CF6BF3" w:rsidRPr="00D173C9">
        <w:rPr>
          <w:rFonts w:asciiTheme="majorHAnsi" w:hAnsiTheme="majorHAnsi" w:cs="Times New Roman"/>
          <w:b w:val="0"/>
          <w:sz w:val="24"/>
          <w:szCs w:val="24"/>
        </w:rPr>
        <w:t>, deficiențe în procesul de asigurare cu materiale de construcție sau chiar imposibilitatea asigurării contribuției de către beneficiari în perioadele cât CA decidea oferirea finanțării.</w:t>
      </w:r>
      <w:r w:rsidR="00F759B5" w:rsidRPr="00D173C9">
        <w:rPr>
          <w:rFonts w:asciiTheme="majorHAnsi" w:hAnsiTheme="majorHAnsi" w:cs="Times New Roman"/>
          <w:b w:val="0"/>
          <w:sz w:val="24"/>
          <w:szCs w:val="24"/>
        </w:rPr>
        <w:t xml:space="preserve"> </w:t>
      </w:r>
      <w:r w:rsidR="00CF6BF3" w:rsidRPr="00D173C9">
        <w:rPr>
          <w:rFonts w:asciiTheme="majorHAnsi" w:hAnsiTheme="majorHAnsi" w:cs="Times New Roman"/>
          <w:b w:val="0"/>
          <w:sz w:val="24"/>
          <w:szCs w:val="24"/>
        </w:rPr>
        <w:t>Astfel</w:t>
      </w:r>
      <w:r w:rsidR="00CD1B99" w:rsidRPr="00D173C9">
        <w:rPr>
          <w:rFonts w:asciiTheme="majorHAnsi" w:hAnsiTheme="majorHAnsi" w:cs="Times New Roman"/>
          <w:b w:val="0"/>
          <w:sz w:val="24"/>
          <w:szCs w:val="24"/>
        </w:rPr>
        <w:t>,</w:t>
      </w:r>
      <w:r w:rsidR="00CF6BF3" w:rsidRPr="00D173C9">
        <w:rPr>
          <w:rFonts w:asciiTheme="majorHAnsi" w:hAnsiTheme="majorHAnsi" w:cs="Times New Roman"/>
          <w:b w:val="0"/>
          <w:sz w:val="24"/>
          <w:szCs w:val="24"/>
        </w:rPr>
        <w:t xml:space="preserve"> unele proiecte care</w:t>
      </w:r>
      <w:r w:rsidR="00CD1B99" w:rsidRPr="00D173C9">
        <w:rPr>
          <w:rFonts w:asciiTheme="majorHAnsi" w:hAnsiTheme="majorHAnsi" w:cs="Times New Roman"/>
          <w:b w:val="0"/>
          <w:sz w:val="24"/>
          <w:szCs w:val="24"/>
        </w:rPr>
        <w:t>,</w:t>
      </w:r>
      <w:r w:rsidR="00CF6BF3" w:rsidRPr="00D173C9">
        <w:rPr>
          <w:rFonts w:asciiTheme="majorHAnsi" w:hAnsiTheme="majorHAnsi" w:cs="Times New Roman"/>
          <w:b w:val="0"/>
          <w:sz w:val="24"/>
          <w:szCs w:val="24"/>
        </w:rPr>
        <w:t xml:space="preserve"> din lips</w:t>
      </w:r>
      <w:r w:rsidR="00CD1B99" w:rsidRPr="00D173C9">
        <w:rPr>
          <w:rFonts w:asciiTheme="majorHAnsi" w:hAnsiTheme="majorHAnsi" w:cs="Times New Roman"/>
          <w:b w:val="0"/>
          <w:sz w:val="24"/>
          <w:szCs w:val="24"/>
        </w:rPr>
        <w:t>a</w:t>
      </w:r>
      <w:r w:rsidR="00CF6BF3" w:rsidRPr="00D173C9">
        <w:rPr>
          <w:rFonts w:asciiTheme="majorHAnsi" w:hAnsiTheme="majorHAnsi" w:cs="Times New Roman"/>
          <w:b w:val="0"/>
          <w:sz w:val="24"/>
          <w:szCs w:val="24"/>
        </w:rPr>
        <w:t xml:space="preserve"> unei finanțări constante sau a alocării </w:t>
      </w:r>
      <w:r w:rsidR="00F759B5" w:rsidRPr="00D173C9">
        <w:rPr>
          <w:rFonts w:asciiTheme="majorHAnsi" w:hAnsiTheme="majorHAnsi" w:cs="Times New Roman"/>
          <w:b w:val="0"/>
          <w:sz w:val="24"/>
          <w:szCs w:val="24"/>
        </w:rPr>
        <w:t xml:space="preserve">neintegrale a resurselor financiare necesare, </w:t>
      </w:r>
      <w:r w:rsidR="00CF6BF3" w:rsidRPr="00D173C9">
        <w:rPr>
          <w:rFonts w:asciiTheme="majorHAnsi" w:hAnsiTheme="majorHAnsi" w:cs="Times New Roman"/>
          <w:b w:val="0"/>
          <w:sz w:val="24"/>
          <w:szCs w:val="24"/>
        </w:rPr>
        <w:t>au fost implementate în</w:t>
      </w:r>
      <w:r w:rsidR="00F759B5" w:rsidRPr="00D173C9">
        <w:rPr>
          <w:rFonts w:asciiTheme="majorHAnsi" w:hAnsiTheme="majorHAnsi" w:cs="Times New Roman"/>
          <w:b w:val="0"/>
          <w:sz w:val="24"/>
          <w:szCs w:val="24"/>
        </w:rPr>
        <w:t xml:space="preserve"> termen de </w:t>
      </w:r>
      <w:r w:rsidR="00CF6BF3" w:rsidRPr="00D173C9">
        <w:rPr>
          <w:rFonts w:asciiTheme="majorHAnsi" w:hAnsiTheme="majorHAnsi" w:cs="Times New Roman"/>
          <w:b w:val="0"/>
          <w:sz w:val="24"/>
          <w:szCs w:val="24"/>
        </w:rPr>
        <w:t>5-</w:t>
      </w:r>
      <w:r w:rsidR="00F759B5" w:rsidRPr="00D173C9">
        <w:rPr>
          <w:rFonts w:asciiTheme="majorHAnsi" w:hAnsiTheme="majorHAnsi" w:cs="Times New Roman"/>
          <w:b w:val="0"/>
          <w:sz w:val="24"/>
          <w:szCs w:val="24"/>
        </w:rPr>
        <w:t>10</w:t>
      </w:r>
      <w:r w:rsidR="00CF6BF3" w:rsidRPr="00D173C9">
        <w:rPr>
          <w:rFonts w:asciiTheme="majorHAnsi" w:hAnsiTheme="majorHAnsi" w:cs="Times New Roman"/>
          <w:b w:val="0"/>
          <w:sz w:val="24"/>
          <w:szCs w:val="24"/>
        </w:rPr>
        <w:t xml:space="preserve"> ani în câteva etape.</w:t>
      </w:r>
    </w:p>
    <w:p w:rsidR="0038135B" w:rsidRPr="008376FC" w:rsidRDefault="00987F71" w:rsidP="00F61756">
      <w:pPr>
        <w:tabs>
          <w:tab w:val="left" w:pos="142"/>
        </w:tabs>
        <w:spacing w:after="0" w:line="276" w:lineRule="auto"/>
        <w:jc w:val="both"/>
        <w:rPr>
          <w:rFonts w:asciiTheme="majorHAnsi" w:hAnsiTheme="majorHAnsi" w:cs="Times New Roman"/>
          <w:b w:val="0"/>
          <w:sz w:val="24"/>
          <w:szCs w:val="24"/>
        </w:rPr>
      </w:pPr>
      <w:r>
        <w:rPr>
          <w:rFonts w:asciiTheme="majorHAnsi" w:hAnsiTheme="majorHAnsi" w:cs="Times New Roman"/>
          <w:b w:val="0"/>
          <w:sz w:val="24"/>
          <w:szCs w:val="24"/>
        </w:rPr>
        <w:t xml:space="preserve">        </w:t>
      </w:r>
      <w:r w:rsidR="00BC28D6" w:rsidRPr="00D173C9">
        <w:rPr>
          <w:rFonts w:asciiTheme="majorHAnsi" w:hAnsiTheme="majorHAnsi" w:cs="Times New Roman"/>
          <w:b w:val="0"/>
          <w:sz w:val="24"/>
          <w:szCs w:val="24"/>
        </w:rPr>
        <w:t xml:space="preserve">Conform informațiilor sintetizate, în anii 2014-2022, din totalul de 580 de PI finanțate din FEN, au fost încheiate 1.471 de contracte de finantare cu FEN (etape), pentru care au fost încheiate 1.126 de acorduri adiționale. De asemenea, pentru 216 contracte de executare a lucărilor încheiate între antreprenor și beneficiar, s-au încheiat 328 de </w:t>
      </w:r>
      <w:r w:rsidR="00770AD9" w:rsidRPr="00D173C9">
        <w:rPr>
          <w:rFonts w:asciiTheme="majorHAnsi" w:hAnsiTheme="majorHAnsi" w:cs="Times New Roman"/>
          <w:b w:val="0"/>
          <w:sz w:val="24"/>
          <w:szCs w:val="24"/>
        </w:rPr>
        <w:t>acorduri</w:t>
      </w:r>
      <w:r w:rsidR="00BC28D6" w:rsidRPr="00D173C9">
        <w:rPr>
          <w:rFonts w:asciiTheme="majorHAnsi" w:hAnsiTheme="majorHAnsi" w:cs="Times New Roman"/>
          <w:b w:val="0"/>
          <w:sz w:val="24"/>
          <w:szCs w:val="24"/>
        </w:rPr>
        <w:t xml:space="preserve"> pentru extinderea termenului de implementare a proiectelor și 303 </w:t>
      </w:r>
      <w:r w:rsidR="00BB41AE" w:rsidRPr="00D173C9">
        <w:rPr>
          <w:rFonts w:asciiTheme="majorHAnsi" w:hAnsiTheme="majorHAnsi" w:cs="Times New Roman"/>
          <w:b w:val="0"/>
          <w:sz w:val="24"/>
          <w:szCs w:val="24"/>
        </w:rPr>
        <w:t xml:space="preserve">acorduri </w:t>
      </w:r>
      <w:r w:rsidR="00BC28D6" w:rsidRPr="00D173C9">
        <w:rPr>
          <w:rFonts w:asciiTheme="majorHAnsi" w:hAnsiTheme="majorHAnsi" w:cs="Times New Roman"/>
          <w:b w:val="0"/>
          <w:sz w:val="24"/>
          <w:szCs w:val="24"/>
        </w:rPr>
        <w:t>privind modificarea valorii contractelor de antrepriză, în consecință, valoarea inițială a contractelor fiind majorată, per total, cu 338,8 mil.lei.</w:t>
      </w:r>
      <w:r w:rsidR="0038135B" w:rsidRPr="008376FC">
        <w:rPr>
          <w:rFonts w:asciiTheme="majorHAnsi" w:hAnsiTheme="majorHAnsi" w:cs="Times New Roman"/>
          <w:b w:val="0"/>
          <w:sz w:val="24"/>
          <w:szCs w:val="24"/>
        </w:rPr>
        <w:t xml:space="preserve"> </w:t>
      </w:r>
    </w:p>
    <w:p w:rsidR="00DC512C" w:rsidRDefault="00987F71" w:rsidP="00F61756">
      <w:pPr>
        <w:tabs>
          <w:tab w:val="left" w:pos="142"/>
        </w:tabs>
        <w:spacing w:after="0" w:line="276" w:lineRule="auto"/>
        <w:jc w:val="both"/>
        <w:rPr>
          <w:rFonts w:asciiTheme="majorHAnsi" w:hAnsiTheme="majorHAnsi" w:cstheme="majorHAnsi"/>
          <w:b w:val="0"/>
          <w:bCs w:val="0"/>
          <w:sz w:val="24"/>
          <w:szCs w:val="24"/>
        </w:rPr>
      </w:pPr>
      <w:r>
        <w:rPr>
          <w:rFonts w:asciiTheme="majorHAnsi" w:hAnsiTheme="majorHAnsi" w:cs="Times New Roman"/>
          <w:b w:val="0"/>
          <w:sz w:val="24"/>
          <w:szCs w:val="24"/>
        </w:rPr>
        <w:t xml:space="preserve">        </w:t>
      </w:r>
      <w:r w:rsidR="000056B2" w:rsidRPr="008376FC">
        <w:rPr>
          <w:rFonts w:asciiTheme="majorHAnsi" w:hAnsiTheme="majorHAnsi" w:cs="Times New Roman"/>
          <w:b w:val="0"/>
          <w:sz w:val="24"/>
          <w:szCs w:val="24"/>
        </w:rPr>
        <w:t>Un exe</w:t>
      </w:r>
      <w:r w:rsidR="00785A20">
        <w:rPr>
          <w:rFonts w:asciiTheme="majorHAnsi" w:hAnsiTheme="majorHAnsi" w:cs="Times New Roman"/>
          <w:b w:val="0"/>
          <w:sz w:val="24"/>
          <w:szCs w:val="24"/>
        </w:rPr>
        <w:t>m</w:t>
      </w:r>
      <w:r w:rsidR="000056B2" w:rsidRPr="008376FC">
        <w:rPr>
          <w:rFonts w:asciiTheme="majorHAnsi" w:hAnsiTheme="majorHAnsi" w:cs="Times New Roman"/>
          <w:b w:val="0"/>
          <w:sz w:val="24"/>
          <w:szCs w:val="24"/>
        </w:rPr>
        <w:t>plu de proiect în care</w:t>
      </w:r>
      <w:r w:rsidR="00E028CC" w:rsidRPr="008376FC">
        <w:rPr>
          <w:rFonts w:asciiTheme="majorHAnsi" w:hAnsiTheme="majorHAnsi" w:cs="Times New Roman"/>
          <w:b w:val="0"/>
          <w:sz w:val="24"/>
          <w:szCs w:val="24"/>
        </w:rPr>
        <w:t xml:space="preserve"> a fost tergiversată finanţarea lucrărilor este </w:t>
      </w:r>
      <w:r w:rsidR="000056B2" w:rsidRPr="008376FC">
        <w:rPr>
          <w:rFonts w:asciiTheme="majorHAnsi" w:hAnsiTheme="majorHAnsi" w:cstheme="majorHAnsi"/>
          <w:bCs w:val="0"/>
          <w:sz w:val="24"/>
          <w:szCs w:val="24"/>
        </w:rPr>
        <w:t>„Complexul de asigurare cu apă potabilă a satelor din r-nul H</w:t>
      </w:r>
      <w:r w:rsidR="004B40B8">
        <w:rPr>
          <w:rFonts w:asciiTheme="majorHAnsi" w:hAnsiTheme="majorHAnsi" w:cstheme="majorHAnsi"/>
          <w:bCs w:val="0"/>
          <w:sz w:val="24"/>
          <w:szCs w:val="24"/>
        </w:rPr>
        <w:t>â</w:t>
      </w:r>
      <w:r w:rsidR="000056B2" w:rsidRPr="008376FC">
        <w:rPr>
          <w:rFonts w:asciiTheme="majorHAnsi" w:hAnsiTheme="majorHAnsi" w:cstheme="majorHAnsi"/>
          <w:bCs w:val="0"/>
          <w:sz w:val="24"/>
          <w:szCs w:val="24"/>
        </w:rPr>
        <w:t>ncesti. Etapa I – localitățile din lunca r-lui Prut”</w:t>
      </w:r>
      <w:r w:rsidR="000056B2" w:rsidRPr="008376FC">
        <w:rPr>
          <w:rFonts w:asciiTheme="majorHAnsi" w:hAnsiTheme="majorHAnsi" w:cstheme="majorHAnsi"/>
          <w:b w:val="0"/>
          <w:sz w:val="24"/>
          <w:szCs w:val="24"/>
          <w:vertAlign w:val="superscript"/>
        </w:rPr>
        <w:footnoteReference w:id="34"/>
      </w:r>
      <w:r w:rsidR="000056B2" w:rsidRPr="008376FC">
        <w:rPr>
          <w:rFonts w:asciiTheme="majorHAnsi" w:hAnsiTheme="majorHAnsi" w:cstheme="majorHAnsi"/>
          <w:sz w:val="24"/>
          <w:szCs w:val="24"/>
        </w:rPr>
        <w:t>,</w:t>
      </w:r>
      <w:r w:rsidR="00E028CC" w:rsidRPr="008376FC">
        <w:rPr>
          <w:rFonts w:asciiTheme="majorHAnsi" w:hAnsiTheme="majorHAnsi" w:cstheme="majorHAnsi"/>
          <w:sz w:val="28"/>
          <w:szCs w:val="28"/>
        </w:rPr>
        <w:t xml:space="preserve"> </w:t>
      </w:r>
      <w:r w:rsidR="000056B2" w:rsidRPr="008376FC">
        <w:rPr>
          <w:rFonts w:asciiTheme="majorHAnsi" w:hAnsiTheme="majorHAnsi" w:cstheme="majorHAnsi"/>
          <w:b w:val="0"/>
          <w:bCs w:val="0"/>
          <w:sz w:val="24"/>
          <w:szCs w:val="24"/>
        </w:rPr>
        <w:t xml:space="preserve">aprobat spre finanțare din FEN în </w:t>
      </w:r>
      <w:r w:rsidR="00B27AE6" w:rsidRPr="008376FC">
        <w:rPr>
          <w:rFonts w:asciiTheme="majorHAnsi" w:hAnsiTheme="majorHAnsi" w:cstheme="majorHAnsi"/>
          <w:b w:val="0"/>
          <w:bCs w:val="0"/>
          <w:sz w:val="24"/>
          <w:szCs w:val="24"/>
        </w:rPr>
        <w:t>anul 2013</w:t>
      </w:r>
      <w:r w:rsidR="004B40B8">
        <w:rPr>
          <w:rFonts w:asciiTheme="majorHAnsi" w:hAnsiTheme="majorHAnsi" w:cstheme="majorHAnsi"/>
          <w:b w:val="0"/>
          <w:bCs w:val="0"/>
          <w:sz w:val="24"/>
          <w:szCs w:val="24"/>
        </w:rPr>
        <w:t>,</w:t>
      </w:r>
      <w:r w:rsidR="00B27AE6" w:rsidRPr="008376FC">
        <w:rPr>
          <w:rFonts w:asciiTheme="majorHAnsi" w:hAnsiTheme="majorHAnsi" w:cstheme="majorHAnsi"/>
          <w:b w:val="0"/>
          <w:bCs w:val="0"/>
          <w:sz w:val="24"/>
          <w:szCs w:val="24"/>
        </w:rPr>
        <w:t xml:space="preserve"> cu valoarea inițială </w:t>
      </w:r>
      <w:r w:rsidR="000056B2" w:rsidRPr="008376FC">
        <w:rPr>
          <w:rFonts w:asciiTheme="majorHAnsi" w:hAnsiTheme="majorHAnsi" w:cstheme="majorHAnsi"/>
          <w:b w:val="0"/>
          <w:bCs w:val="0"/>
          <w:sz w:val="24"/>
          <w:szCs w:val="24"/>
        </w:rPr>
        <w:t>de 50,65 mil</w:t>
      </w:r>
      <w:r w:rsidR="00B27AE6" w:rsidRPr="008376FC">
        <w:rPr>
          <w:rFonts w:asciiTheme="majorHAnsi" w:hAnsiTheme="majorHAnsi" w:cstheme="majorHAnsi"/>
          <w:b w:val="0"/>
          <w:bCs w:val="0"/>
          <w:sz w:val="24"/>
          <w:szCs w:val="24"/>
        </w:rPr>
        <w:t>.</w:t>
      </w:r>
      <w:r w:rsidR="000056B2" w:rsidRPr="008376FC">
        <w:rPr>
          <w:rFonts w:asciiTheme="majorHAnsi" w:hAnsiTheme="majorHAnsi" w:cstheme="majorHAnsi"/>
          <w:b w:val="0"/>
          <w:bCs w:val="0"/>
          <w:sz w:val="24"/>
          <w:szCs w:val="24"/>
        </w:rPr>
        <w:t>lei. PI respectiv a fo</w:t>
      </w:r>
      <w:r w:rsidR="004B40B8">
        <w:rPr>
          <w:rFonts w:asciiTheme="majorHAnsi" w:hAnsiTheme="majorHAnsi" w:cstheme="majorHAnsi"/>
          <w:b w:val="0"/>
          <w:bCs w:val="0"/>
          <w:sz w:val="24"/>
          <w:szCs w:val="24"/>
        </w:rPr>
        <w:t>s</w:t>
      </w:r>
      <w:r w:rsidR="000056B2" w:rsidRPr="008376FC">
        <w:rPr>
          <w:rFonts w:asciiTheme="majorHAnsi" w:hAnsiTheme="majorHAnsi" w:cstheme="majorHAnsi"/>
          <w:b w:val="0"/>
          <w:bCs w:val="0"/>
          <w:sz w:val="24"/>
          <w:szCs w:val="24"/>
        </w:rPr>
        <w:t>t implementat în 5 etape</w:t>
      </w:r>
      <w:r w:rsidR="004B40B8">
        <w:rPr>
          <w:rFonts w:asciiTheme="majorHAnsi" w:hAnsiTheme="majorHAnsi" w:cstheme="majorHAnsi"/>
          <w:b w:val="0"/>
          <w:bCs w:val="0"/>
          <w:sz w:val="24"/>
          <w:szCs w:val="24"/>
        </w:rPr>
        <w:t>,</w:t>
      </w:r>
      <w:r w:rsidR="000056B2" w:rsidRPr="008376FC">
        <w:rPr>
          <w:rFonts w:asciiTheme="majorHAnsi" w:hAnsiTheme="majorHAnsi" w:cstheme="majorHAnsi"/>
          <w:b w:val="0"/>
          <w:bCs w:val="0"/>
          <w:sz w:val="24"/>
          <w:szCs w:val="24"/>
        </w:rPr>
        <w:t xml:space="preserve"> pe parcursul a 10 ani. Din cauza mecanismului stabilit de FEN, pe parcursul anilor au avut loc modificarea beneficiarului, identificarea erorilor de proiectare, precum și modificarea cursului râului Prut în anul 2018</w:t>
      </w:r>
      <w:r w:rsidR="004B40B8">
        <w:rPr>
          <w:rFonts w:asciiTheme="majorHAnsi" w:hAnsiTheme="majorHAnsi" w:cstheme="majorHAnsi"/>
          <w:b w:val="0"/>
          <w:bCs w:val="0"/>
          <w:sz w:val="24"/>
          <w:szCs w:val="24"/>
        </w:rPr>
        <w:t>,</w:t>
      </w:r>
      <w:r w:rsidR="000056B2" w:rsidRPr="008376FC">
        <w:rPr>
          <w:rFonts w:asciiTheme="majorHAnsi" w:hAnsiTheme="majorHAnsi" w:cstheme="majorHAnsi"/>
          <w:b w:val="0"/>
          <w:bCs w:val="0"/>
          <w:sz w:val="24"/>
          <w:szCs w:val="24"/>
        </w:rPr>
        <w:t xml:space="preserve"> prin îndepărtarea cursului apei spre </w:t>
      </w:r>
      <w:r w:rsidR="004B40B8">
        <w:rPr>
          <w:rFonts w:asciiTheme="majorHAnsi" w:hAnsiTheme="majorHAnsi" w:cstheme="majorHAnsi"/>
          <w:b w:val="0"/>
          <w:bCs w:val="0"/>
          <w:sz w:val="24"/>
          <w:szCs w:val="24"/>
        </w:rPr>
        <w:t>vest</w:t>
      </w:r>
      <w:r w:rsidR="000056B2" w:rsidRPr="008376FC">
        <w:rPr>
          <w:rFonts w:asciiTheme="majorHAnsi" w:hAnsiTheme="majorHAnsi" w:cstheme="majorHAnsi"/>
          <w:b w:val="0"/>
          <w:bCs w:val="0"/>
          <w:sz w:val="24"/>
          <w:szCs w:val="24"/>
        </w:rPr>
        <w:t>. Ca urmare a nefinanțării de către FEN a lucr</w:t>
      </w:r>
      <w:r w:rsidR="00105F89" w:rsidRPr="008376FC">
        <w:rPr>
          <w:rFonts w:asciiTheme="majorHAnsi" w:hAnsiTheme="majorHAnsi" w:cstheme="majorHAnsi"/>
          <w:b w:val="0"/>
          <w:bCs w:val="0"/>
          <w:sz w:val="24"/>
          <w:szCs w:val="24"/>
        </w:rPr>
        <w:t>ărilor în termen</w:t>
      </w:r>
      <w:r w:rsidR="004B40B8">
        <w:rPr>
          <w:rFonts w:asciiTheme="majorHAnsi" w:hAnsiTheme="majorHAnsi" w:cstheme="majorHAnsi"/>
          <w:b w:val="0"/>
          <w:bCs w:val="0"/>
          <w:sz w:val="24"/>
          <w:szCs w:val="24"/>
        </w:rPr>
        <w:t>e</w:t>
      </w:r>
      <w:r w:rsidR="00105F89" w:rsidRPr="008376FC">
        <w:rPr>
          <w:rFonts w:asciiTheme="majorHAnsi" w:hAnsiTheme="majorHAnsi" w:cstheme="majorHAnsi"/>
          <w:b w:val="0"/>
          <w:bCs w:val="0"/>
          <w:sz w:val="24"/>
          <w:szCs w:val="24"/>
        </w:rPr>
        <w:t xml:space="preserve"> rezonabil</w:t>
      </w:r>
      <w:r w:rsidR="004B40B8">
        <w:rPr>
          <w:rFonts w:asciiTheme="majorHAnsi" w:hAnsiTheme="majorHAnsi" w:cstheme="majorHAnsi"/>
          <w:b w:val="0"/>
          <w:bCs w:val="0"/>
          <w:sz w:val="24"/>
          <w:szCs w:val="24"/>
        </w:rPr>
        <w:t>e</w:t>
      </w:r>
      <w:r w:rsidR="00105F89" w:rsidRPr="008376FC">
        <w:rPr>
          <w:rFonts w:asciiTheme="majorHAnsi" w:hAnsiTheme="majorHAnsi" w:cstheme="majorHAnsi"/>
          <w:b w:val="0"/>
          <w:bCs w:val="0"/>
          <w:sz w:val="24"/>
          <w:szCs w:val="24"/>
        </w:rPr>
        <w:t xml:space="preserve">, </w:t>
      </w:r>
      <w:r w:rsidR="000056B2" w:rsidRPr="008376FC">
        <w:rPr>
          <w:rFonts w:asciiTheme="majorHAnsi" w:hAnsiTheme="majorHAnsi" w:cstheme="majorHAnsi"/>
          <w:b w:val="0"/>
          <w:bCs w:val="0"/>
          <w:sz w:val="24"/>
          <w:szCs w:val="24"/>
        </w:rPr>
        <w:t>a fost aplicat indexul inflației anuale, valoa</w:t>
      </w:r>
      <w:r w:rsidR="002E0AA1" w:rsidRPr="008376FC">
        <w:rPr>
          <w:rFonts w:asciiTheme="majorHAnsi" w:hAnsiTheme="majorHAnsi" w:cstheme="majorHAnsi"/>
          <w:b w:val="0"/>
          <w:bCs w:val="0"/>
          <w:sz w:val="24"/>
          <w:szCs w:val="24"/>
        </w:rPr>
        <w:t xml:space="preserve">rea PI fiind majorată </w:t>
      </w:r>
      <w:r w:rsidR="000056B2" w:rsidRPr="008376FC">
        <w:rPr>
          <w:rFonts w:asciiTheme="majorHAnsi" w:hAnsiTheme="majorHAnsi" w:cstheme="majorHAnsi"/>
          <w:b w:val="0"/>
          <w:bCs w:val="0"/>
          <w:sz w:val="24"/>
          <w:szCs w:val="24"/>
        </w:rPr>
        <w:t>până la 73,7 mil.lei, care au fost realiza</w:t>
      </w:r>
      <w:r w:rsidR="004B40B8">
        <w:rPr>
          <w:rFonts w:asciiTheme="majorHAnsi" w:hAnsiTheme="majorHAnsi" w:cstheme="majorHAnsi"/>
          <w:b w:val="0"/>
          <w:bCs w:val="0"/>
          <w:sz w:val="24"/>
          <w:szCs w:val="24"/>
        </w:rPr>
        <w:t>t</w:t>
      </w:r>
      <w:r w:rsidR="000056B2" w:rsidRPr="008376FC">
        <w:rPr>
          <w:rFonts w:asciiTheme="majorHAnsi" w:hAnsiTheme="majorHAnsi" w:cstheme="majorHAnsi"/>
          <w:b w:val="0"/>
          <w:bCs w:val="0"/>
          <w:sz w:val="24"/>
          <w:szCs w:val="24"/>
        </w:rPr>
        <w:t>e integral din FEN, prin intermediul AAM fiind transferate 63,9 mil</w:t>
      </w:r>
      <w:r w:rsidR="00DC512C">
        <w:rPr>
          <w:rFonts w:asciiTheme="majorHAnsi" w:hAnsiTheme="majorHAnsi" w:cstheme="majorHAnsi"/>
          <w:b w:val="0"/>
          <w:bCs w:val="0"/>
          <w:sz w:val="24"/>
          <w:szCs w:val="24"/>
        </w:rPr>
        <w:t>.</w:t>
      </w:r>
      <w:r w:rsidR="000056B2" w:rsidRPr="008376FC">
        <w:rPr>
          <w:rFonts w:asciiTheme="majorHAnsi" w:hAnsiTheme="majorHAnsi" w:cstheme="majorHAnsi"/>
          <w:b w:val="0"/>
          <w:bCs w:val="0"/>
          <w:sz w:val="24"/>
          <w:szCs w:val="24"/>
        </w:rPr>
        <w:t xml:space="preserve"> lei. Chiar și cu majo</w:t>
      </w:r>
      <w:r w:rsidR="006011D4" w:rsidRPr="008376FC">
        <w:rPr>
          <w:rFonts w:asciiTheme="majorHAnsi" w:hAnsiTheme="majorHAnsi" w:cstheme="majorHAnsi"/>
          <w:b w:val="0"/>
          <w:bCs w:val="0"/>
          <w:sz w:val="24"/>
          <w:szCs w:val="24"/>
        </w:rPr>
        <w:t xml:space="preserve">rarea valorii contractului cu </w:t>
      </w:r>
      <w:r w:rsidR="000056B2" w:rsidRPr="008376FC">
        <w:rPr>
          <w:rFonts w:asciiTheme="majorHAnsi" w:hAnsiTheme="majorHAnsi" w:cstheme="majorHAnsi"/>
          <w:b w:val="0"/>
          <w:bCs w:val="0"/>
          <w:sz w:val="24"/>
          <w:szCs w:val="24"/>
        </w:rPr>
        <w:t>23,1 mil.lei, volumul lucrări</w:t>
      </w:r>
      <w:r w:rsidR="00B27AE6" w:rsidRPr="008376FC">
        <w:rPr>
          <w:rFonts w:asciiTheme="majorHAnsi" w:hAnsiTheme="majorHAnsi" w:cstheme="majorHAnsi"/>
          <w:b w:val="0"/>
          <w:bCs w:val="0"/>
          <w:sz w:val="24"/>
          <w:szCs w:val="24"/>
        </w:rPr>
        <w:t>lor realizate</w:t>
      </w:r>
      <w:r w:rsidR="002E0AA1" w:rsidRPr="008376FC">
        <w:rPr>
          <w:rFonts w:asciiTheme="majorHAnsi" w:hAnsiTheme="majorHAnsi" w:cstheme="majorHAnsi"/>
          <w:b w:val="0"/>
          <w:bCs w:val="0"/>
          <w:sz w:val="24"/>
          <w:szCs w:val="24"/>
        </w:rPr>
        <w:t xml:space="preserve"> </w:t>
      </w:r>
      <w:r w:rsidR="00B27AE6" w:rsidRPr="008376FC">
        <w:rPr>
          <w:rFonts w:asciiTheme="majorHAnsi" w:hAnsiTheme="majorHAnsi" w:cstheme="majorHAnsi"/>
          <w:b w:val="0"/>
          <w:bCs w:val="0"/>
          <w:sz w:val="24"/>
          <w:szCs w:val="24"/>
        </w:rPr>
        <w:t xml:space="preserve">constituie 80%. </w:t>
      </w:r>
    </w:p>
    <w:p w:rsidR="00BE3B68" w:rsidRDefault="00987F71" w:rsidP="00F61756">
      <w:pPr>
        <w:tabs>
          <w:tab w:val="left" w:pos="142"/>
        </w:tabs>
        <w:spacing w:after="0" w:line="276" w:lineRule="auto"/>
        <w:jc w:val="both"/>
        <w:rPr>
          <w:rFonts w:asciiTheme="majorHAnsi" w:hAnsiTheme="majorHAnsi" w:cstheme="majorHAnsi"/>
          <w:b w:val="0"/>
          <w:bCs w:val="0"/>
          <w:sz w:val="24"/>
          <w:szCs w:val="24"/>
        </w:rPr>
      </w:pPr>
      <w:r>
        <w:rPr>
          <w:rFonts w:asciiTheme="majorHAnsi" w:hAnsiTheme="majorHAnsi" w:cstheme="majorHAnsi"/>
          <w:b w:val="0"/>
          <w:bCs w:val="0"/>
          <w:sz w:val="24"/>
          <w:szCs w:val="24"/>
        </w:rPr>
        <w:t xml:space="preserve">         </w:t>
      </w:r>
      <w:r w:rsidR="000056B2" w:rsidRPr="008376FC">
        <w:rPr>
          <w:rFonts w:asciiTheme="majorHAnsi" w:hAnsiTheme="majorHAnsi" w:cstheme="majorHAnsi"/>
          <w:b w:val="0"/>
          <w:bCs w:val="0"/>
          <w:sz w:val="24"/>
          <w:szCs w:val="24"/>
        </w:rPr>
        <w:t xml:space="preserve">Reieșind din circumstanțele produse pe parcursul anilor, pentru definitivarea </w:t>
      </w:r>
      <w:r w:rsidR="00DC512C">
        <w:rPr>
          <w:rFonts w:asciiTheme="majorHAnsi" w:hAnsiTheme="majorHAnsi" w:cstheme="majorHAnsi"/>
          <w:b w:val="0"/>
          <w:bCs w:val="0"/>
          <w:sz w:val="24"/>
          <w:szCs w:val="24"/>
        </w:rPr>
        <w:t>PI</w:t>
      </w:r>
      <w:r w:rsidR="000056B2" w:rsidRPr="008376FC">
        <w:rPr>
          <w:rFonts w:asciiTheme="majorHAnsi" w:hAnsiTheme="majorHAnsi" w:cstheme="majorHAnsi"/>
          <w:b w:val="0"/>
          <w:bCs w:val="0"/>
          <w:sz w:val="24"/>
          <w:szCs w:val="24"/>
        </w:rPr>
        <w:t xml:space="preserve"> sunt necesare lucrări suplimentare, indispensabile pentru darea în exploatare a obiectivului și asigurarea funcționării eficiente a acestuia, precum: (i) modificarea prizei de apă la stația de captare SP</w:t>
      </w:r>
      <w:r w:rsidR="00DC512C">
        <w:rPr>
          <w:rFonts w:asciiTheme="majorHAnsi" w:hAnsiTheme="majorHAnsi" w:cstheme="majorHAnsi"/>
          <w:b w:val="0"/>
          <w:bCs w:val="0"/>
          <w:sz w:val="24"/>
          <w:szCs w:val="24"/>
        </w:rPr>
        <w:t>-</w:t>
      </w:r>
      <w:r w:rsidR="000056B2" w:rsidRPr="008376FC">
        <w:rPr>
          <w:rFonts w:asciiTheme="majorHAnsi" w:hAnsiTheme="majorHAnsi" w:cstheme="majorHAnsi"/>
          <w:b w:val="0"/>
          <w:bCs w:val="0"/>
          <w:sz w:val="24"/>
          <w:szCs w:val="24"/>
        </w:rPr>
        <w:t>1 platforma A, (ii) instalarea camerei de contact a re</w:t>
      </w:r>
      <w:r w:rsidR="002E0AA1" w:rsidRPr="008376FC">
        <w:rPr>
          <w:rFonts w:asciiTheme="majorHAnsi" w:hAnsiTheme="majorHAnsi" w:cstheme="majorHAnsi"/>
          <w:b w:val="0"/>
          <w:bCs w:val="0"/>
          <w:sz w:val="24"/>
          <w:szCs w:val="24"/>
        </w:rPr>
        <w:t>a</w:t>
      </w:r>
      <w:r w:rsidR="000056B2" w:rsidRPr="008376FC">
        <w:rPr>
          <w:rFonts w:asciiTheme="majorHAnsi" w:hAnsiTheme="majorHAnsi" w:cstheme="majorHAnsi"/>
          <w:b w:val="0"/>
          <w:bCs w:val="0"/>
          <w:sz w:val="24"/>
          <w:szCs w:val="24"/>
        </w:rPr>
        <w:t xml:space="preserve">genților necesari pentru tratarea apei, (iii) instalarea rezervoarelor de înmagazinare a apei la stația SP-3, Obileni, (iv) instalarea echipamentului de aprovizionare cu apă la </w:t>
      </w:r>
      <w:r w:rsidR="00812414" w:rsidRPr="008376FC">
        <w:rPr>
          <w:rFonts w:asciiTheme="majorHAnsi" w:hAnsiTheme="majorHAnsi" w:cstheme="majorHAnsi"/>
          <w:b w:val="0"/>
          <w:bCs w:val="0"/>
          <w:sz w:val="24"/>
          <w:szCs w:val="24"/>
        </w:rPr>
        <w:t xml:space="preserve">platforma A, </w:t>
      </w:r>
      <w:r w:rsidR="000056B2" w:rsidRPr="008376FC">
        <w:rPr>
          <w:rFonts w:asciiTheme="majorHAnsi" w:hAnsiTheme="majorHAnsi" w:cstheme="majorHAnsi"/>
          <w:b w:val="0"/>
          <w:bCs w:val="0"/>
          <w:sz w:val="24"/>
          <w:szCs w:val="24"/>
        </w:rPr>
        <w:t>(v) executarea lucrărilor de instalare a generatoarelor diesel la SP-1 și SP-2,</w:t>
      </w:r>
      <w:r w:rsidR="00226C9F" w:rsidRPr="008376FC">
        <w:rPr>
          <w:rFonts w:asciiTheme="majorHAnsi" w:hAnsiTheme="majorHAnsi" w:cstheme="majorHAnsi"/>
          <w:b w:val="0"/>
          <w:bCs w:val="0"/>
          <w:sz w:val="24"/>
          <w:szCs w:val="24"/>
        </w:rPr>
        <w:t xml:space="preserve"> (vi) iluminarea a 7 platforme </w:t>
      </w:r>
      <w:r w:rsidR="000056B2" w:rsidRPr="008376FC">
        <w:rPr>
          <w:rFonts w:asciiTheme="majorHAnsi" w:hAnsiTheme="majorHAnsi" w:cstheme="majorHAnsi"/>
          <w:b w:val="0"/>
          <w:bCs w:val="0"/>
          <w:sz w:val="24"/>
          <w:szCs w:val="24"/>
        </w:rPr>
        <w:t>ale stațiilor de pompare și a stației de captare</w:t>
      </w:r>
      <w:r w:rsidR="00DC512C">
        <w:rPr>
          <w:rFonts w:asciiTheme="majorHAnsi" w:hAnsiTheme="majorHAnsi" w:cstheme="majorHAnsi"/>
          <w:b w:val="0"/>
          <w:bCs w:val="0"/>
          <w:sz w:val="24"/>
          <w:szCs w:val="24"/>
        </w:rPr>
        <w:t>,</w:t>
      </w:r>
      <w:r w:rsidR="000056B2" w:rsidRPr="008376FC">
        <w:rPr>
          <w:rFonts w:asciiTheme="majorHAnsi" w:hAnsiTheme="majorHAnsi" w:cstheme="majorHAnsi"/>
          <w:b w:val="0"/>
          <w:bCs w:val="0"/>
          <w:sz w:val="24"/>
          <w:szCs w:val="24"/>
        </w:rPr>
        <w:t xml:space="preserve"> precum și (vii) lucrări de reglare a componentelor în procesul de pregătire și testare a echipamentelor, valoarea cărora se estimează la 22-25 mil</w:t>
      </w:r>
      <w:r w:rsidR="00226C9F" w:rsidRPr="008376FC">
        <w:rPr>
          <w:rFonts w:asciiTheme="majorHAnsi" w:hAnsiTheme="majorHAnsi" w:cstheme="majorHAnsi"/>
          <w:b w:val="0"/>
          <w:bCs w:val="0"/>
          <w:sz w:val="24"/>
          <w:szCs w:val="24"/>
        </w:rPr>
        <w:t>.</w:t>
      </w:r>
      <w:r w:rsidR="000056B2" w:rsidRPr="008376FC">
        <w:rPr>
          <w:rFonts w:asciiTheme="majorHAnsi" w:hAnsiTheme="majorHAnsi" w:cstheme="majorHAnsi"/>
          <w:b w:val="0"/>
          <w:bCs w:val="0"/>
          <w:sz w:val="24"/>
          <w:szCs w:val="24"/>
        </w:rPr>
        <w:t xml:space="preserve"> lei.</w:t>
      </w:r>
    </w:p>
    <w:p w:rsidR="00D65EF7" w:rsidRPr="008376FC" w:rsidRDefault="00D65EF7" w:rsidP="00F61756">
      <w:pPr>
        <w:tabs>
          <w:tab w:val="left" w:pos="142"/>
        </w:tabs>
        <w:spacing w:after="0" w:line="276" w:lineRule="auto"/>
        <w:jc w:val="both"/>
        <w:rPr>
          <w:rFonts w:asciiTheme="majorHAnsi" w:hAnsiTheme="majorHAnsi" w:cs="Times New Roman"/>
          <w:b w:val="0"/>
          <w:sz w:val="24"/>
          <w:szCs w:val="24"/>
        </w:rPr>
      </w:pPr>
    </w:p>
    <w:tbl>
      <w:tblPr>
        <w:tblStyle w:val="af2"/>
        <w:tblW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9"/>
        <w:gridCol w:w="3119"/>
        <w:gridCol w:w="2976"/>
      </w:tblGrid>
      <w:tr w:rsidR="00E028CC" w:rsidRPr="008376FC" w:rsidTr="00D65EF7">
        <w:tc>
          <w:tcPr>
            <w:tcW w:w="3539" w:type="dxa"/>
            <w:hideMark/>
          </w:tcPr>
          <w:p w:rsidR="00E028CC" w:rsidRPr="00E4274A" w:rsidRDefault="00E028CC" w:rsidP="00F61756">
            <w:pPr>
              <w:spacing w:line="276" w:lineRule="auto"/>
              <w:rPr>
                <w:rFonts w:asciiTheme="majorHAnsi" w:hAnsiTheme="majorHAnsi" w:cstheme="majorHAnsi"/>
                <w:noProof/>
                <w:sz w:val="20"/>
                <w:szCs w:val="20"/>
                <w:lang w:val="en-US"/>
              </w:rPr>
            </w:pPr>
            <w:r w:rsidRPr="00E4274A">
              <w:rPr>
                <w:rFonts w:asciiTheme="majorHAnsi" w:hAnsiTheme="majorHAnsi" w:cstheme="majorHAnsi"/>
                <w:noProof/>
                <w:sz w:val="20"/>
                <w:szCs w:val="20"/>
              </w:rPr>
              <w:t>Priza de captare din r.Prut</w:t>
            </w:r>
          </w:p>
        </w:tc>
        <w:tc>
          <w:tcPr>
            <w:tcW w:w="3119" w:type="dxa"/>
            <w:hideMark/>
          </w:tcPr>
          <w:p w:rsidR="00E028CC" w:rsidRPr="00E4274A" w:rsidRDefault="00E028CC" w:rsidP="00F61756">
            <w:pPr>
              <w:spacing w:line="276" w:lineRule="auto"/>
              <w:rPr>
                <w:rFonts w:asciiTheme="majorHAnsi" w:hAnsiTheme="majorHAnsi" w:cstheme="majorHAnsi"/>
                <w:sz w:val="20"/>
                <w:szCs w:val="20"/>
              </w:rPr>
            </w:pPr>
            <w:r w:rsidRPr="00E4274A">
              <w:rPr>
                <w:rFonts w:asciiTheme="majorHAnsi" w:hAnsiTheme="majorHAnsi" w:cstheme="majorHAnsi"/>
                <w:noProof/>
                <w:sz w:val="20"/>
                <w:szCs w:val="20"/>
              </w:rPr>
              <w:t>Rezervoare cu apă</w:t>
            </w:r>
          </w:p>
        </w:tc>
        <w:tc>
          <w:tcPr>
            <w:tcW w:w="2976" w:type="dxa"/>
            <w:hideMark/>
          </w:tcPr>
          <w:p w:rsidR="00E028CC" w:rsidRPr="00E4274A" w:rsidRDefault="00E028CC" w:rsidP="00F61756">
            <w:pPr>
              <w:spacing w:line="276" w:lineRule="auto"/>
              <w:rPr>
                <w:rFonts w:asciiTheme="majorHAnsi" w:hAnsiTheme="majorHAnsi" w:cstheme="majorHAnsi"/>
                <w:sz w:val="20"/>
                <w:szCs w:val="20"/>
              </w:rPr>
            </w:pPr>
            <w:r w:rsidRPr="00E4274A">
              <w:rPr>
                <w:rFonts w:asciiTheme="majorHAnsi" w:hAnsiTheme="majorHAnsi" w:cstheme="majorHAnsi"/>
                <w:noProof/>
                <w:sz w:val="20"/>
                <w:szCs w:val="20"/>
              </w:rPr>
              <w:t>Stația de tratare</w:t>
            </w:r>
          </w:p>
        </w:tc>
      </w:tr>
      <w:tr w:rsidR="00E028CC" w:rsidRPr="008376FC" w:rsidTr="00D65EF7">
        <w:trPr>
          <w:trHeight w:val="1682"/>
        </w:trPr>
        <w:tc>
          <w:tcPr>
            <w:tcW w:w="3539" w:type="dxa"/>
            <w:hideMark/>
          </w:tcPr>
          <w:p w:rsidR="00E028CC" w:rsidRPr="008376FC" w:rsidRDefault="00BE3B68" w:rsidP="00F61756">
            <w:pPr>
              <w:spacing w:line="276" w:lineRule="auto"/>
              <w:rPr>
                <w:rFonts w:asciiTheme="majorHAnsi" w:hAnsiTheme="majorHAnsi" w:cstheme="majorHAnsi"/>
                <w:sz w:val="28"/>
                <w:szCs w:val="28"/>
              </w:rPr>
            </w:pPr>
            <w:r w:rsidRPr="008376FC">
              <w:rPr>
                <w:noProof/>
                <w:lang w:val="ru-RU" w:eastAsia="ru-RU"/>
              </w:rPr>
              <w:drawing>
                <wp:anchor distT="0" distB="0" distL="114300" distR="114300" simplePos="0" relativeHeight="251657216" behindDoc="0" locked="0" layoutInCell="1" allowOverlap="1">
                  <wp:simplePos x="0" y="0"/>
                  <wp:positionH relativeFrom="column">
                    <wp:posOffset>-127635</wp:posOffset>
                  </wp:positionH>
                  <wp:positionV relativeFrom="paragraph">
                    <wp:posOffset>-669925</wp:posOffset>
                  </wp:positionV>
                  <wp:extent cx="2247900" cy="1057275"/>
                  <wp:effectExtent l="1905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47900" cy="1057275"/>
                          </a:xfrm>
                          <a:prstGeom prst="rect">
                            <a:avLst/>
                          </a:prstGeom>
                          <a:noFill/>
                        </pic:spPr>
                      </pic:pic>
                    </a:graphicData>
                  </a:graphic>
                </wp:anchor>
              </w:drawing>
            </w:r>
          </w:p>
        </w:tc>
        <w:tc>
          <w:tcPr>
            <w:tcW w:w="3119" w:type="dxa"/>
            <w:hideMark/>
          </w:tcPr>
          <w:p w:rsidR="00E028CC" w:rsidRPr="008376FC" w:rsidRDefault="00BE3B68" w:rsidP="00F61756">
            <w:pPr>
              <w:spacing w:line="276" w:lineRule="auto"/>
              <w:rPr>
                <w:rFonts w:asciiTheme="majorHAnsi" w:hAnsiTheme="majorHAnsi" w:cstheme="majorHAnsi"/>
                <w:sz w:val="28"/>
                <w:szCs w:val="28"/>
              </w:rPr>
            </w:pPr>
            <w:r w:rsidRPr="008376FC">
              <w:rPr>
                <w:noProof/>
                <w:lang w:val="ru-RU" w:eastAsia="ru-RU"/>
              </w:rPr>
              <w:drawing>
                <wp:anchor distT="0" distB="0" distL="114300" distR="114300" simplePos="0" relativeHeight="251659264" behindDoc="0" locked="0" layoutInCell="1" allowOverlap="1">
                  <wp:simplePos x="0" y="0"/>
                  <wp:positionH relativeFrom="margin">
                    <wp:posOffset>-65405</wp:posOffset>
                  </wp:positionH>
                  <wp:positionV relativeFrom="paragraph">
                    <wp:posOffset>5080</wp:posOffset>
                  </wp:positionV>
                  <wp:extent cx="2111375" cy="105537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1375" cy="1055370"/>
                          </a:xfrm>
                          <a:prstGeom prst="rect">
                            <a:avLst/>
                          </a:prstGeom>
                          <a:noFill/>
                        </pic:spPr>
                      </pic:pic>
                    </a:graphicData>
                  </a:graphic>
                </wp:anchor>
              </w:drawing>
            </w:r>
          </w:p>
        </w:tc>
        <w:tc>
          <w:tcPr>
            <w:tcW w:w="2976" w:type="dxa"/>
            <w:hideMark/>
          </w:tcPr>
          <w:p w:rsidR="00E028CC" w:rsidRPr="008376FC" w:rsidRDefault="00BE3B68" w:rsidP="00F61756">
            <w:pPr>
              <w:spacing w:line="276" w:lineRule="auto"/>
              <w:rPr>
                <w:rFonts w:asciiTheme="majorHAnsi" w:hAnsiTheme="majorHAnsi" w:cstheme="majorHAnsi"/>
                <w:sz w:val="28"/>
                <w:szCs w:val="28"/>
              </w:rPr>
            </w:pPr>
            <w:r w:rsidRPr="008376FC">
              <w:rPr>
                <w:noProof/>
                <w:lang w:val="ru-RU" w:eastAsia="ru-RU"/>
              </w:rPr>
              <w:drawing>
                <wp:anchor distT="0" distB="0" distL="114300" distR="114300" simplePos="0" relativeHeight="251660288" behindDoc="0" locked="0" layoutInCell="1" allowOverlap="1">
                  <wp:simplePos x="0" y="0"/>
                  <wp:positionH relativeFrom="margin">
                    <wp:posOffset>-635</wp:posOffset>
                  </wp:positionH>
                  <wp:positionV relativeFrom="paragraph">
                    <wp:posOffset>635</wp:posOffset>
                  </wp:positionV>
                  <wp:extent cx="1790700" cy="1061720"/>
                  <wp:effectExtent l="0" t="0" r="0" b="0"/>
                  <wp:wrapTopAndBottom/>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0700" cy="1061720"/>
                          </a:xfrm>
                          <a:prstGeom prst="rect">
                            <a:avLst/>
                          </a:prstGeom>
                          <a:noFill/>
                        </pic:spPr>
                      </pic:pic>
                    </a:graphicData>
                  </a:graphic>
                </wp:anchor>
              </w:drawing>
            </w:r>
          </w:p>
        </w:tc>
      </w:tr>
      <w:tr w:rsidR="00E028CC" w:rsidRPr="008376FC" w:rsidTr="00D65EF7">
        <w:trPr>
          <w:trHeight w:val="1783"/>
        </w:trPr>
        <w:tc>
          <w:tcPr>
            <w:tcW w:w="3539" w:type="dxa"/>
            <w:hideMark/>
          </w:tcPr>
          <w:p w:rsidR="00E028CC" w:rsidRDefault="00BE3B68" w:rsidP="00987F71">
            <w:pPr>
              <w:spacing w:line="276" w:lineRule="auto"/>
              <w:rPr>
                <w:rFonts w:asciiTheme="majorHAnsi" w:hAnsiTheme="majorHAnsi" w:cstheme="majorHAnsi"/>
                <w:b w:val="0"/>
                <w:sz w:val="20"/>
                <w:szCs w:val="20"/>
              </w:rPr>
            </w:pPr>
            <w:r w:rsidRPr="00987F71">
              <w:rPr>
                <w:noProof/>
                <w:sz w:val="20"/>
                <w:szCs w:val="20"/>
                <w:lang w:val="ru-RU" w:eastAsia="ru-RU"/>
              </w:rPr>
              <w:drawing>
                <wp:anchor distT="0" distB="0" distL="114300" distR="114300" simplePos="0" relativeHeight="251658240" behindDoc="0" locked="0" layoutInCell="1" allowOverlap="1">
                  <wp:simplePos x="0" y="0"/>
                  <wp:positionH relativeFrom="column">
                    <wp:posOffset>-65405</wp:posOffset>
                  </wp:positionH>
                  <wp:positionV relativeFrom="paragraph">
                    <wp:posOffset>22860</wp:posOffset>
                  </wp:positionV>
                  <wp:extent cx="2247900" cy="930275"/>
                  <wp:effectExtent l="0" t="0" r="0" b="0"/>
                  <wp:wrapTopAndBottom/>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7900" cy="930275"/>
                          </a:xfrm>
                          <a:prstGeom prst="rect">
                            <a:avLst/>
                          </a:prstGeom>
                          <a:noFill/>
                        </pic:spPr>
                      </pic:pic>
                    </a:graphicData>
                  </a:graphic>
                </wp:anchor>
              </w:drawing>
            </w:r>
            <w:r w:rsidR="00987F71" w:rsidRPr="00987F71">
              <w:rPr>
                <w:rFonts w:asciiTheme="majorHAnsi" w:hAnsiTheme="majorHAnsi" w:cstheme="majorHAnsi"/>
                <w:sz w:val="20"/>
                <w:szCs w:val="20"/>
              </w:rPr>
              <w:t>Sursa:</w:t>
            </w:r>
            <w:r w:rsidR="00987F71" w:rsidRPr="00987F71">
              <w:rPr>
                <w:rFonts w:asciiTheme="majorHAnsi" w:hAnsiTheme="majorHAnsi" w:cstheme="majorHAnsi"/>
                <w:b w:val="0"/>
                <w:sz w:val="20"/>
                <w:szCs w:val="20"/>
              </w:rPr>
              <w:t xml:space="preserve"> Vizita la fata locului.</w:t>
            </w:r>
          </w:p>
          <w:p w:rsidR="00E4274A" w:rsidRPr="00987F71" w:rsidRDefault="00E4274A" w:rsidP="00987F71">
            <w:pPr>
              <w:spacing w:line="276" w:lineRule="auto"/>
              <w:rPr>
                <w:rFonts w:asciiTheme="majorHAnsi" w:hAnsiTheme="majorHAnsi" w:cstheme="majorHAnsi"/>
                <w:b w:val="0"/>
                <w:sz w:val="20"/>
                <w:szCs w:val="20"/>
              </w:rPr>
            </w:pPr>
          </w:p>
        </w:tc>
        <w:tc>
          <w:tcPr>
            <w:tcW w:w="3119" w:type="dxa"/>
            <w:hideMark/>
          </w:tcPr>
          <w:p w:rsidR="00E028CC" w:rsidRPr="008376FC" w:rsidRDefault="00BE3B68" w:rsidP="00F61756">
            <w:pPr>
              <w:spacing w:line="276" w:lineRule="auto"/>
              <w:rPr>
                <w:rFonts w:asciiTheme="majorHAnsi" w:hAnsiTheme="majorHAnsi" w:cstheme="majorHAnsi"/>
                <w:sz w:val="28"/>
                <w:szCs w:val="28"/>
              </w:rPr>
            </w:pPr>
            <w:r w:rsidRPr="008376FC">
              <w:rPr>
                <w:noProof/>
                <w:lang w:val="ru-RU" w:eastAsia="ru-RU"/>
              </w:rPr>
              <w:drawing>
                <wp:anchor distT="0" distB="0" distL="114300" distR="114300" simplePos="0" relativeHeight="251661312" behindDoc="0" locked="0" layoutInCell="1" allowOverlap="1">
                  <wp:simplePos x="0" y="0"/>
                  <wp:positionH relativeFrom="margin">
                    <wp:posOffset>-65405</wp:posOffset>
                  </wp:positionH>
                  <wp:positionV relativeFrom="paragraph">
                    <wp:posOffset>22860</wp:posOffset>
                  </wp:positionV>
                  <wp:extent cx="2159000" cy="930275"/>
                  <wp:effectExtent l="0" t="0" r="0" b="0"/>
                  <wp:wrapThrough wrapText="bothSides">
                    <wp:wrapPolygon edited="0">
                      <wp:start x="0" y="0"/>
                      <wp:lineTo x="0" y="21231"/>
                      <wp:lineTo x="21346" y="21231"/>
                      <wp:lineTo x="21346"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9000" cy="930275"/>
                          </a:xfrm>
                          <a:prstGeom prst="rect">
                            <a:avLst/>
                          </a:prstGeom>
                          <a:noFill/>
                        </pic:spPr>
                      </pic:pic>
                    </a:graphicData>
                  </a:graphic>
                </wp:anchor>
              </w:drawing>
            </w:r>
          </w:p>
        </w:tc>
        <w:tc>
          <w:tcPr>
            <w:tcW w:w="2976" w:type="dxa"/>
            <w:hideMark/>
          </w:tcPr>
          <w:p w:rsidR="00E028CC" w:rsidRPr="008376FC" w:rsidRDefault="00BE3B68" w:rsidP="00F61756">
            <w:pPr>
              <w:spacing w:line="276" w:lineRule="auto"/>
              <w:rPr>
                <w:rFonts w:asciiTheme="majorHAnsi" w:hAnsiTheme="majorHAnsi" w:cstheme="majorHAnsi"/>
                <w:sz w:val="28"/>
                <w:szCs w:val="28"/>
              </w:rPr>
            </w:pPr>
            <w:r w:rsidRPr="008376FC">
              <w:rPr>
                <w:noProof/>
                <w:lang w:val="ru-RU" w:eastAsia="ru-RU"/>
              </w:rPr>
              <w:drawing>
                <wp:anchor distT="0" distB="0" distL="114300" distR="114300" simplePos="0" relativeHeight="251662336" behindDoc="0" locked="0" layoutInCell="1" allowOverlap="1">
                  <wp:simplePos x="0" y="0"/>
                  <wp:positionH relativeFrom="margin">
                    <wp:posOffset>-6985</wp:posOffset>
                  </wp:positionH>
                  <wp:positionV relativeFrom="paragraph">
                    <wp:posOffset>0</wp:posOffset>
                  </wp:positionV>
                  <wp:extent cx="1797050" cy="955675"/>
                  <wp:effectExtent l="0" t="0" r="0" b="0"/>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7050" cy="955675"/>
                          </a:xfrm>
                          <a:prstGeom prst="rect">
                            <a:avLst/>
                          </a:prstGeom>
                          <a:noFill/>
                        </pic:spPr>
                      </pic:pic>
                    </a:graphicData>
                  </a:graphic>
                </wp:anchor>
              </w:drawing>
            </w:r>
          </w:p>
        </w:tc>
      </w:tr>
    </w:tbl>
    <w:p w:rsidR="00EE5B94" w:rsidRPr="008376FC" w:rsidRDefault="000056B2" w:rsidP="00987F71">
      <w:pPr>
        <w:tabs>
          <w:tab w:val="left" w:pos="142"/>
        </w:tabs>
        <w:spacing w:after="0"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 xml:space="preserve"> </w:t>
      </w:r>
      <w:r w:rsidR="00EE5B94" w:rsidRPr="008376FC">
        <w:rPr>
          <w:rFonts w:asciiTheme="majorHAnsi" w:hAnsiTheme="majorHAnsi" w:cs="Times New Roman"/>
          <w:b w:val="0"/>
          <w:sz w:val="24"/>
          <w:szCs w:val="24"/>
        </w:rPr>
        <w:t xml:space="preserve">Situația în care se află </w:t>
      </w:r>
      <w:r w:rsidR="002B7549" w:rsidRPr="008376FC">
        <w:rPr>
          <w:rFonts w:asciiTheme="majorHAnsi" w:hAnsiTheme="majorHAnsi" w:cs="Times New Roman"/>
          <w:b w:val="0"/>
          <w:sz w:val="24"/>
          <w:szCs w:val="24"/>
        </w:rPr>
        <w:t xml:space="preserve">PI inițiate din </w:t>
      </w:r>
      <w:r w:rsidR="00EE5B94" w:rsidRPr="008376FC">
        <w:rPr>
          <w:rFonts w:asciiTheme="majorHAnsi" w:hAnsiTheme="majorHAnsi" w:cs="Times New Roman"/>
          <w:b w:val="0"/>
          <w:sz w:val="24"/>
          <w:szCs w:val="24"/>
        </w:rPr>
        <w:t xml:space="preserve">FEN </w:t>
      </w:r>
      <w:r w:rsidR="002B7549" w:rsidRPr="008376FC">
        <w:rPr>
          <w:rFonts w:asciiTheme="majorHAnsi" w:hAnsiTheme="majorHAnsi" w:cs="Times New Roman"/>
          <w:b w:val="0"/>
          <w:sz w:val="24"/>
          <w:szCs w:val="24"/>
        </w:rPr>
        <w:t xml:space="preserve">și stopate </w:t>
      </w:r>
      <w:r w:rsidR="00EE5B94" w:rsidRPr="008376FC">
        <w:rPr>
          <w:rFonts w:asciiTheme="majorHAnsi" w:hAnsiTheme="majorHAnsi" w:cs="Times New Roman"/>
          <w:b w:val="0"/>
          <w:sz w:val="24"/>
          <w:szCs w:val="24"/>
        </w:rPr>
        <w:t xml:space="preserve">se datorează, în primul rând, evaluării subiective a proiectelor investiționale, acestea fiind selectate în lipsa competitivității între ele și </w:t>
      </w:r>
      <w:r w:rsidR="00DC512C">
        <w:rPr>
          <w:rFonts w:asciiTheme="majorHAnsi" w:hAnsiTheme="majorHAnsi" w:cs="Times New Roman"/>
          <w:b w:val="0"/>
          <w:sz w:val="24"/>
          <w:szCs w:val="24"/>
        </w:rPr>
        <w:t>a</w:t>
      </w:r>
      <w:r w:rsidR="00EE5B94" w:rsidRPr="008376FC">
        <w:rPr>
          <w:rFonts w:asciiTheme="majorHAnsi" w:hAnsiTheme="majorHAnsi" w:cs="Times New Roman"/>
          <w:b w:val="0"/>
          <w:sz w:val="24"/>
          <w:szCs w:val="24"/>
        </w:rPr>
        <w:t xml:space="preserve"> unor criterii de prioritizare la selectarea proiectelor cu o relevanță majoră și cu impact economic și social semnificativ, fiind necesară întreprinderea unor măsuri urgente de </w:t>
      </w:r>
      <w:r w:rsidR="002B7549" w:rsidRPr="008376FC">
        <w:rPr>
          <w:rFonts w:asciiTheme="majorHAnsi" w:hAnsiTheme="majorHAnsi" w:cs="Times New Roman"/>
          <w:b w:val="0"/>
          <w:sz w:val="24"/>
          <w:szCs w:val="24"/>
        </w:rPr>
        <w:t xml:space="preserve">inventariere a tuturor OITE aferente alimentării cu apă și canalizare, cu </w:t>
      </w:r>
      <w:r w:rsidR="00EE5B94" w:rsidRPr="008376FC">
        <w:rPr>
          <w:rFonts w:asciiTheme="majorHAnsi" w:hAnsiTheme="majorHAnsi" w:cs="Times New Roman"/>
          <w:b w:val="0"/>
          <w:sz w:val="24"/>
          <w:szCs w:val="24"/>
        </w:rPr>
        <w:t>adapta</w:t>
      </w:r>
      <w:r w:rsidR="002B7549" w:rsidRPr="008376FC">
        <w:rPr>
          <w:rFonts w:asciiTheme="majorHAnsi" w:hAnsiTheme="majorHAnsi" w:cs="Times New Roman"/>
          <w:b w:val="0"/>
          <w:sz w:val="24"/>
          <w:szCs w:val="24"/>
        </w:rPr>
        <w:t>r</w:t>
      </w:r>
      <w:r w:rsidR="00EE5B94" w:rsidRPr="008376FC">
        <w:rPr>
          <w:rFonts w:asciiTheme="majorHAnsi" w:hAnsiTheme="majorHAnsi" w:cs="Times New Roman"/>
          <w:b w:val="0"/>
          <w:sz w:val="24"/>
          <w:szCs w:val="24"/>
        </w:rPr>
        <w:t>e</w:t>
      </w:r>
      <w:r w:rsidR="002B7549" w:rsidRPr="008376FC">
        <w:rPr>
          <w:rFonts w:asciiTheme="majorHAnsi" w:hAnsiTheme="majorHAnsi" w:cs="Times New Roman"/>
          <w:b w:val="0"/>
          <w:sz w:val="24"/>
          <w:szCs w:val="24"/>
        </w:rPr>
        <w:t>a și aplicarea</w:t>
      </w:r>
      <w:r w:rsidR="00EE5B94" w:rsidRPr="008376FC">
        <w:rPr>
          <w:rFonts w:asciiTheme="majorHAnsi" w:hAnsiTheme="majorHAnsi" w:cs="Times New Roman"/>
          <w:b w:val="0"/>
          <w:sz w:val="24"/>
          <w:szCs w:val="24"/>
        </w:rPr>
        <w:t xml:space="preserve"> unui management corelat pentru valorificarea eficientă a resurselor </w:t>
      </w:r>
      <w:r w:rsidR="002B7549" w:rsidRPr="008376FC">
        <w:rPr>
          <w:rFonts w:asciiTheme="majorHAnsi" w:hAnsiTheme="majorHAnsi" w:cs="Times New Roman"/>
          <w:b w:val="0"/>
          <w:sz w:val="24"/>
          <w:szCs w:val="24"/>
        </w:rPr>
        <w:t xml:space="preserve">publice </w:t>
      </w:r>
      <w:r w:rsidR="00EE5B94" w:rsidRPr="008376FC">
        <w:rPr>
          <w:rFonts w:asciiTheme="majorHAnsi" w:hAnsiTheme="majorHAnsi" w:cs="Times New Roman"/>
          <w:b w:val="0"/>
          <w:sz w:val="24"/>
          <w:szCs w:val="24"/>
        </w:rPr>
        <w:t>alocate</w:t>
      </w:r>
      <w:r w:rsidR="002B7549" w:rsidRPr="008376FC">
        <w:rPr>
          <w:rFonts w:asciiTheme="majorHAnsi" w:hAnsiTheme="majorHAnsi" w:cs="Times New Roman"/>
          <w:b w:val="0"/>
          <w:sz w:val="24"/>
          <w:szCs w:val="24"/>
        </w:rPr>
        <w:t>.</w:t>
      </w:r>
      <w:r w:rsidR="00EE5B94" w:rsidRPr="008376FC">
        <w:rPr>
          <w:rFonts w:asciiTheme="majorHAnsi" w:hAnsiTheme="majorHAnsi" w:cs="Times New Roman"/>
          <w:b w:val="0"/>
          <w:sz w:val="24"/>
          <w:szCs w:val="24"/>
        </w:rPr>
        <w:t xml:space="preserve"> </w:t>
      </w:r>
      <w:r w:rsidR="002B7549" w:rsidRPr="008376FC">
        <w:rPr>
          <w:rFonts w:asciiTheme="majorHAnsi" w:hAnsiTheme="majorHAnsi" w:cs="Times New Roman"/>
          <w:b w:val="0"/>
          <w:sz w:val="24"/>
          <w:szCs w:val="24"/>
        </w:rPr>
        <w:t xml:space="preserve">În acest sens, în anul 2022 a fost efectuată reoirganizarea FEN în FNM. </w:t>
      </w:r>
    </w:p>
    <w:p w:rsidR="009378E8" w:rsidRPr="008376FC" w:rsidRDefault="00EE5B94" w:rsidP="00F61756">
      <w:pPr>
        <w:pStyle w:val="a3"/>
        <w:numPr>
          <w:ilvl w:val="0"/>
          <w:numId w:val="32"/>
        </w:numPr>
        <w:tabs>
          <w:tab w:val="left" w:pos="284"/>
        </w:tabs>
        <w:spacing w:before="120" w:line="276" w:lineRule="auto"/>
        <w:ind w:left="0" w:firstLine="0"/>
        <w:jc w:val="both"/>
        <w:rPr>
          <w:rFonts w:asciiTheme="majorHAnsi" w:hAnsiTheme="majorHAnsi" w:cstheme="majorHAnsi"/>
          <w:lang w:val="en-US"/>
        </w:rPr>
      </w:pPr>
      <w:r w:rsidRPr="008376FC">
        <w:rPr>
          <w:rFonts w:asciiTheme="majorHAnsi" w:hAnsiTheme="majorHAnsi"/>
          <w:b/>
          <w:lang w:val="en-US"/>
        </w:rPr>
        <w:t xml:space="preserve">Excluderea </w:t>
      </w:r>
      <w:r w:rsidR="007D09C6" w:rsidRPr="008376FC">
        <w:rPr>
          <w:rFonts w:asciiTheme="majorHAnsi" w:hAnsiTheme="majorHAnsi"/>
          <w:b/>
          <w:lang w:val="ro-RO"/>
        </w:rPr>
        <w:t xml:space="preserve">din Lista PI active finanțare din FEN a </w:t>
      </w:r>
      <w:r w:rsidR="001642CB" w:rsidRPr="008376FC">
        <w:rPr>
          <w:rFonts w:asciiTheme="majorHAnsi" w:hAnsiTheme="majorHAnsi"/>
          <w:b/>
          <w:lang w:val="ro-RO"/>
        </w:rPr>
        <w:t xml:space="preserve">unor </w:t>
      </w:r>
      <w:r w:rsidRPr="008376FC">
        <w:rPr>
          <w:rFonts w:asciiTheme="majorHAnsi" w:hAnsiTheme="majorHAnsi"/>
          <w:b/>
          <w:lang w:val="en-US"/>
        </w:rPr>
        <w:t>PI inițiate ca urmare a reorganizării FNM</w:t>
      </w:r>
      <w:r w:rsidR="00B4352A" w:rsidRPr="008376FC">
        <w:rPr>
          <w:rFonts w:asciiTheme="majorHAnsi" w:hAnsiTheme="majorHAnsi"/>
          <w:b/>
          <w:lang w:val="en-US"/>
        </w:rPr>
        <w:t xml:space="preserve">. </w:t>
      </w:r>
    </w:p>
    <w:p w:rsidR="00A862BA" w:rsidRPr="008376FC" w:rsidRDefault="00097A8B" w:rsidP="00987F71">
      <w:pPr>
        <w:spacing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În anul 2022</w:t>
      </w:r>
      <w:r w:rsidR="00A862BA" w:rsidRPr="008376FC">
        <w:rPr>
          <w:rFonts w:asciiTheme="majorHAnsi" w:hAnsiTheme="majorHAnsi" w:cstheme="majorHAnsi"/>
          <w:b w:val="0"/>
          <w:bCs w:val="0"/>
          <w:sz w:val="24"/>
          <w:szCs w:val="24"/>
        </w:rPr>
        <w:t xml:space="preserve">, </w:t>
      </w:r>
      <w:r w:rsidRPr="008376FC">
        <w:rPr>
          <w:rFonts w:asciiTheme="majorHAnsi" w:hAnsiTheme="majorHAnsi" w:cstheme="majorHAnsi"/>
          <w:b w:val="0"/>
          <w:bCs w:val="0"/>
          <w:sz w:val="24"/>
          <w:szCs w:val="24"/>
        </w:rPr>
        <w:t xml:space="preserve"> Fondul Ecologic de Stat</w:t>
      </w:r>
      <w:r w:rsidR="00A862BA" w:rsidRPr="008376FC">
        <w:rPr>
          <w:rFonts w:asciiTheme="majorHAnsi" w:hAnsiTheme="majorHAnsi" w:cstheme="majorHAnsi"/>
          <w:b w:val="0"/>
          <w:bCs w:val="0"/>
          <w:sz w:val="24"/>
          <w:szCs w:val="24"/>
        </w:rPr>
        <w:t xml:space="preserve"> a fost reorganizat în FNM, fiind </w:t>
      </w:r>
      <w:r w:rsidRPr="008376FC">
        <w:rPr>
          <w:rFonts w:asciiTheme="majorHAnsi" w:hAnsiTheme="majorHAnsi" w:cstheme="majorHAnsi"/>
          <w:b w:val="0"/>
          <w:bCs w:val="0"/>
          <w:sz w:val="24"/>
          <w:szCs w:val="24"/>
        </w:rPr>
        <w:t>crea</w:t>
      </w:r>
      <w:r w:rsidR="00A862BA" w:rsidRPr="008376FC">
        <w:rPr>
          <w:rFonts w:asciiTheme="majorHAnsi" w:hAnsiTheme="majorHAnsi" w:cstheme="majorHAnsi"/>
          <w:b w:val="0"/>
          <w:bCs w:val="0"/>
          <w:sz w:val="24"/>
          <w:szCs w:val="24"/>
        </w:rPr>
        <w:t>tă</w:t>
      </w:r>
      <w:r w:rsidRPr="008376FC">
        <w:rPr>
          <w:rFonts w:asciiTheme="majorHAnsi" w:hAnsiTheme="majorHAnsi" w:cstheme="majorHAnsi"/>
          <w:b w:val="0"/>
          <w:bCs w:val="0"/>
          <w:sz w:val="24"/>
          <w:szCs w:val="24"/>
        </w:rPr>
        <w:t xml:space="preserve"> Instituția Publică Oficiul Național de Implementare a Proiectelor în Domeniul Mediului</w:t>
      </w:r>
      <w:r w:rsidR="00A862BA" w:rsidRPr="008376FC">
        <w:rPr>
          <w:rFonts w:asciiTheme="majorHAnsi" w:hAnsiTheme="majorHAnsi" w:cstheme="majorHAnsi"/>
          <w:b w:val="0"/>
          <w:bCs w:val="0"/>
          <w:sz w:val="24"/>
          <w:szCs w:val="24"/>
        </w:rPr>
        <w:t xml:space="preserve"> (IP ONIPDM</w:t>
      </w:r>
      <w:r w:rsidRPr="008376FC">
        <w:rPr>
          <w:rFonts w:asciiTheme="majorHAnsi" w:hAnsiTheme="majorHAnsi" w:cstheme="majorHAnsi"/>
          <w:b w:val="0"/>
          <w:bCs w:val="0"/>
          <w:sz w:val="24"/>
          <w:szCs w:val="24"/>
        </w:rPr>
        <w:t>)</w:t>
      </w:r>
      <w:r w:rsidRPr="008376FC">
        <w:rPr>
          <w:rFonts w:asciiTheme="majorHAnsi" w:hAnsiTheme="majorHAnsi" w:cstheme="majorHAnsi"/>
          <w:b w:val="0"/>
          <w:bCs w:val="0"/>
          <w:sz w:val="24"/>
          <w:szCs w:val="24"/>
          <w:vertAlign w:val="superscript"/>
        </w:rPr>
        <w:footnoteReference w:id="35"/>
      </w:r>
      <w:r w:rsidR="00A862BA" w:rsidRPr="008376FC">
        <w:rPr>
          <w:rFonts w:asciiTheme="majorHAnsi" w:hAnsiTheme="majorHAnsi" w:cstheme="majorHAnsi"/>
          <w:b w:val="0"/>
          <w:bCs w:val="0"/>
          <w:sz w:val="24"/>
          <w:szCs w:val="24"/>
        </w:rPr>
        <w:t xml:space="preserve">, subordonată </w:t>
      </w:r>
      <w:r w:rsidRPr="008376FC">
        <w:rPr>
          <w:rFonts w:asciiTheme="majorHAnsi" w:hAnsiTheme="majorHAnsi" w:cstheme="majorHAnsi"/>
          <w:b w:val="0"/>
          <w:bCs w:val="0"/>
          <w:sz w:val="24"/>
          <w:szCs w:val="24"/>
        </w:rPr>
        <w:t>Ministerului Mediului</w:t>
      </w:r>
      <w:r w:rsidR="00DC512C">
        <w:rPr>
          <w:rFonts w:asciiTheme="majorHAnsi" w:hAnsiTheme="majorHAnsi" w:cstheme="majorHAnsi"/>
          <w:b w:val="0"/>
          <w:bCs w:val="0"/>
          <w:sz w:val="24"/>
          <w:szCs w:val="24"/>
        </w:rPr>
        <w:t xml:space="preserve"> și</w:t>
      </w:r>
      <w:r w:rsidRPr="008376FC">
        <w:rPr>
          <w:rFonts w:asciiTheme="majorHAnsi" w:hAnsiTheme="majorHAnsi" w:cstheme="majorHAnsi"/>
          <w:b w:val="0"/>
          <w:bCs w:val="0"/>
          <w:sz w:val="24"/>
          <w:szCs w:val="24"/>
        </w:rPr>
        <w:t xml:space="preserve"> responsabilă de administrarea Fondului Național pentru Mediu. </w:t>
      </w:r>
    </w:p>
    <w:p w:rsidR="009378E8" w:rsidRPr="008376FC" w:rsidRDefault="009378E8" w:rsidP="00987F71">
      <w:pPr>
        <w:spacing w:after="0" w:line="276" w:lineRule="auto"/>
        <w:jc w:val="both"/>
        <w:rPr>
          <w:rFonts w:asciiTheme="majorHAnsi" w:hAnsiTheme="majorHAnsi" w:cstheme="majorHAnsi"/>
          <w:b w:val="0"/>
          <w:bCs w:val="0"/>
          <w:sz w:val="24"/>
          <w:szCs w:val="24"/>
        </w:rPr>
      </w:pPr>
    </w:p>
    <w:p w:rsidR="003A5CDC" w:rsidRPr="008376FC" w:rsidRDefault="00DC512C" w:rsidP="00987F71">
      <w:pPr>
        <w:spacing w:after="0" w:line="276" w:lineRule="auto"/>
        <w:jc w:val="both"/>
        <w:rPr>
          <w:rFonts w:asciiTheme="majorHAnsi" w:hAnsiTheme="majorHAnsi" w:cstheme="majorHAnsi"/>
          <w:b w:val="0"/>
          <w:bCs w:val="0"/>
          <w:sz w:val="24"/>
          <w:szCs w:val="24"/>
        </w:rPr>
      </w:pPr>
      <w:r>
        <w:rPr>
          <w:rFonts w:asciiTheme="majorHAnsi" w:hAnsiTheme="majorHAnsi" w:cstheme="majorHAnsi"/>
          <w:b w:val="0"/>
          <w:bCs w:val="0"/>
          <w:sz w:val="24"/>
          <w:szCs w:val="24"/>
        </w:rPr>
        <w:t>Ca u</w:t>
      </w:r>
      <w:r w:rsidR="00A862BA" w:rsidRPr="008376FC">
        <w:rPr>
          <w:rFonts w:asciiTheme="majorHAnsi" w:hAnsiTheme="majorHAnsi" w:cstheme="majorHAnsi"/>
          <w:b w:val="0"/>
          <w:bCs w:val="0"/>
          <w:sz w:val="24"/>
          <w:szCs w:val="24"/>
        </w:rPr>
        <w:t xml:space="preserve">rmare a reformei respective, </w:t>
      </w:r>
      <w:r w:rsidR="00097A8B" w:rsidRPr="008376FC">
        <w:rPr>
          <w:rFonts w:asciiTheme="majorHAnsi" w:hAnsiTheme="majorHAnsi" w:cstheme="majorHAnsi"/>
          <w:b w:val="0"/>
          <w:bCs w:val="0"/>
          <w:sz w:val="24"/>
          <w:szCs w:val="24"/>
        </w:rPr>
        <w:t xml:space="preserve">potrivit pct. 5 din HG </w:t>
      </w:r>
      <w:r>
        <w:rPr>
          <w:rFonts w:asciiTheme="majorHAnsi" w:hAnsiTheme="majorHAnsi" w:cstheme="majorHAnsi"/>
          <w:b w:val="0"/>
          <w:bCs w:val="0"/>
          <w:sz w:val="24"/>
          <w:szCs w:val="24"/>
        </w:rPr>
        <w:t>nr.</w:t>
      </w:r>
      <w:r w:rsidR="00097A8B" w:rsidRPr="008376FC">
        <w:rPr>
          <w:rFonts w:asciiTheme="majorHAnsi" w:hAnsiTheme="majorHAnsi" w:cstheme="majorHAnsi"/>
          <w:b w:val="0"/>
          <w:bCs w:val="0"/>
          <w:sz w:val="24"/>
          <w:szCs w:val="24"/>
        </w:rPr>
        <w:t xml:space="preserve">711/2022, </w:t>
      </w:r>
      <w:r w:rsidR="00A862BA" w:rsidRPr="008376FC">
        <w:rPr>
          <w:rFonts w:asciiTheme="majorHAnsi" w:hAnsiTheme="majorHAnsi" w:cstheme="majorHAnsi"/>
          <w:b w:val="0"/>
          <w:bCs w:val="0"/>
          <w:sz w:val="24"/>
          <w:szCs w:val="24"/>
        </w:rPr>
        <w:t xml:space="preserve">toate </w:t>
      </w:r>
      <w:r w:rsidR="00097A8B" w:rsidRPr="008376FC">
        <w:rPr>
          <w:rFonts w:asciiTheme="majorHAnsi" w:hAnsiTheme="majorHAnsi" w:cstheme="majorHAnsi"/>
          <w:b w:val="0"/>
          <w:bCs w:val="0"/>
          <w:sz w:val="24"/>
          <w:szCs w:val="24"/>
        </w:rPr>
        <w:t>proiectele în derulare</w:t>
      </w:r>
      <w:r>
        <w:rPr>
          <w:rFonts w:asciiTheme="majorHAnsi" w:hAnsiTheme="majorHAnsi" w:cstheme="majorHAnsi"/>
          <w:b w:val="0"/>
          <w:bCs w:val="0"/>
          <w:sz w:val="24"/>
          <w:szCs w:val="24"/>
        </w:rPr>
        <w:t>,</w:t>
      </w:r>
      <w:r w:rsidR="00097A8B" w:rsidRPr="008376FC">
        <w:rPr>
          <w:rFonts w:asciiTheme="majorHAnsi" w:hAnsiTheme="majorHAnsi" w:cstheme="majorHAnsi"/>
          <w:b w:val="0"/>
          <w:bCs w:val="0"/>
          <w:sz w:val="24"/>
          <w:szCs w:val="24"/>
        </w:rPr>
        <w:t xml:space="preserve"> finanţate din </w:t>
      </w:r>
      <w:r w:rsidR="00A862BA" w:rsidRPr="008376FC">
        <w:rPr>
          <w:rFonts w:asciiTheme="majorHAnsi" w:hAnsiTheme="majorHAnsi" w:cstheme="majorHAnsi"/>
          <w:b w:val="0"/>
          <w:bCs w:val="0"/>
          <w:sz w:val="24"/>
          <w:szCs w:val="24"/>
        </w:rPr>
        <w:t>FEN</w:t>
      </w:r>
      <w:r w:rsidR="00097A8B" w:rsidRPr="008376FC">
        <w:rPr>
          <w:rFonts w:asciiTheme="majorHAnsi" w:hAnsiTheme="majorHAnsi" w:cstheme="majorHAnsi"/>
          <w:b w:val="0"/>
          <w:bCs w:val="0"/>
          <w:sz w:val="24"/>
          <w:szCs w:val="24"/>
        </w:rPr>
        <w:t xml:space="preserve">, </w:t>
      </w:r>
      <w:r w:rsidR="00A862BA" w:rsidRPr="008376FC">
        <w:rPr>
          <w:rFonts w:asciiTheme="majorHAnsi" w:hAnsiTheme="majorHAnsi" w:cstheme="majorHAnsi"/>
          <w:b w:val="0"/>
          <w:bCs w:val="0"/>
          <w:sz w:val="24"/>
          <w:szCs w:val="24"/>
        </w:rPr>
        <w:t xml:space="preserve">au fost </w:t>
      </w:r>
      <w:r w:rsidR="00097A8B" w:rsidRPr="008376FC">
        <w:rPr>
          <w:rFonts w:asciiTheme="majorHAnsi" w:hAnsiTheme="majorHAnsi" w:cstheme="majorHAnsi"/>
          <w:b w:val="0"/>
          <w:bCs w:val="0"/>
          <w:sz w:val="24"/>
          <w:szCs w:val="24"/>
        </w:rPr>
        <w:t>transferat</w:t>
      </w:r>
      <w:r w:rsidR="00A862BA" w:rsidRPr="008376FC">
        <w:rPr>
          <w:rFonts w:asciiTheme="majorHAnsi" w:hAnsiTheme="majorHAnsi" w:cstheme="majorHAnsi"/>
          <w:b w:val="0"/>
          <w:bCs w:val="0"/>
          <w:sz w:val="24"/>
          <w:szCs w:val="24"/>
        </w:rPr>
        <w:t>e</w:t>
      </w:r>
      <w:r w:rsidR="00097A8B" w:rsidRPr="008376FC">
        <w:rPr>
          <w:rFonts w:asciiTheme="majorHAnsi" w:hAnsiTheme="majorHAnsi" w:cstheme="majorHAnsi"/>
          <w:b w:val="0"/>
          <w:bCs w:val="0"/>
          <w:sz w:val="24"/>
          <w:szCs w:val="24"/>
        </w:rPr>
        <w:t xml:space="preserve"> în gestiunea </w:t>
      </w:r>
      <w:r w:rsidR="00A862BA" w:rsidRPr="008376FC">
        <w:rPr>
          <w:rFonts w:asciiTheme="majorHAnsi" w:hAnsiTheme="majorHAnsi" w:cstheme="majorHAnsi"/>
          <w:b w:val="0"/>
          <w:bCs w:val="0"/>
          <w:sz w:val="24"/>
          <w:szCs w:val="24"/>
        </w:rPr>
        <w:t>IP ONIPDM</w:t>
      </w:r>
      <w:r w:rsidR="005A426F" w:rsidRPr="008376FC">
        <w:rPr>
          <w:rFonts w:asciiTheme="majorHAnsi" w:hAnsiTheme="majorHAnsi" w:cstheme="majorHAnsi"/>
          <w:b w:val="0"/>
          <w:bCs w:val="0"/>
          <w:sz w:val="24"/>
          <w:szCs w:val="24"/>
        </w:rPr>
        <w:t xml:space="preserve"> pentru </w:t>
      </w:r>
      <w:r w:rsidR="00097A8B" w:rsidRPr="008376FC">
        <w:rPr>
          <w:rFonts w:asciiTheme="majorHAnsi" w:hAnsiTheme="majorHAnsi" w:cstheme="majorHAnsi"/>
          <w:b w:val="0"/>
          <w:bCs w:val="0"/>
          <w:sz w:val="24"/>
          <w:szCs w:val="24"/>
        </w:rPr>
        <w:t xml:space="preserve">finanţate din </w:t>
      </w:r>
      <w:r w:rsidR="005A426F" w:rsidRPr="008376FC">
        <w:rPr>
          <w:rFonts w:asciiTheme="majorHAnsi" w:hAnsiTheme="majorHAnsi" w:cstheme="majorHAnsi"/>
          <w:b w:val="0"/>
          <w:bCs w:val="0"/>
          <w:sz w:val="24"/>
          <w:szCs w:val="24"/>
        </w:rPr>
        <w:t>FNM</w:t>
      </w:r>
      <w:r w:rsidR="00097A8B" w:rsidRPr="008376FC">
        <w:rPr>
          <w:rFonts w:asciiTheme="majorHAnsi" w:hAnsiTheme="majorHAnsi" w:cstheme="majorHAnsi"/>
          <w:b w:val="0"/>
          <w:bCs w:val="0"/>
          <w:sz w:val="24"/>
          <w:szCs w:val="24"/>
        </w:rPr>
        <w:t xml:space="preserve">. </w:t>
      </w:r>
    </w:p>
    <w:p w:rsidR="00BE3B68" w:rsidRPr="008376FC" w:rsidRDefault="005515F8" w:rsidP="00F61756">
      <w:pPr>
        <w:spacing w:before="120"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De menționat că, la data intrării în vigoare a HG privind reorganizarea FEN în FNM (04.11.2022), în Lista PI active finanțate din FEN a</w:t>
      </w:r>
      <w:r w:rsidR="00DC512C">
        <w:rPr>
          <w:rFonts w:asciiTheme="majorHAnsi" w:hAnsiTheme="majorHAnsi" w:cstheme="majorHAnsi"/>
          <w:b w:val="0"/>
          <w:bCs w:val="0"/>
          <w:sz w:val="24"/>
          <w:szCs w:val="24"/>
        </w:rPr>
        <w:t>u</w:t>
      </w:r>
      <w:r w:rsidRPr="008376FC">
        <w:rPr>
          <w:rFonts w:asciiTheme="majorHAnsi" w:hAnsiTheme="majorHAnsi" w:cstheme="majorHAnsi"/>
          <w:b w:val="0"/>
          <w:bCs w:val="0"/>
          <w:sz w:val="24"/>
          <w:szCs w:val="24"/>
        </w:rPr>
        <w:t xml:space="preserve"> fost transmise către FNM 98 de PI</w:t>
      </w:r>
      <w:r w:rsidR="00DC512C" w:rsidRPr="00D65EF7">
        <w:rPr>
          <w:rFonts w:asciiTheme="majorHAnsi" w:hAnsiTheme="majorHAnsi" w:cstheme="majorHAnsi"/>
          <w:b w:val="0"/>
          <w:bCs w:val="0"/>
          <w:sz w:val="24"/>
          <w:szCs w:val="24"/>
        </w:rPr>
        <w:t>,</w:t>
      </w:r>
      <w:r w:rsidRPr="00D65EF7">
        <w:rPr>
          <w:rFonts w:asciiTheme="majorHAnsi" w:hAnsiTheme="majorHAnsi" w:cstheme="majorHAnsi"/>
          <w:b w:val="0"/>
          <w:bCs w:val="0"/>
          <w:sz w:val="24"/>
          <w:szCs w:val="24"/>
        </w:rPr>
        <w:t xml:space="preserve"> </w:t>
      </w:r>
      <w:r w:rsidR="00BC28D6" w:rsidRPr="00D65EF7">
        <w:rPr>
          <w:rFonts w:asciiTheme="majorHAnsi" w:hAnsiTheme="majorHAnsi" w:cstheme="majorHAnsi"/>
          <w:b w:val="0"/>
          <w:bCs w:val="0"/>
          <w:sz w:val="24"/>
          <w:szCs w:val="24"/>
        </w:rPr>
        <w:t>din care 75 aveau termenul de valabilitate a contractului de finanțate în vigoare sau expira la finele anului 2022</w:t>
      </w:r>
      <w:r w:rsidRPr="00D65EF7">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 xml:space="preserve"> iar gradul de implementare  varia de la 8,25%</w:t>
      </w:r>
      <w:r w:rsidRPr="008376FC">
        <w:rPr>
          <w:rStyle w:val="ab"/>
          <w:rFonts w:asciiTheme="majorHAnsi" w:hAnsiTheme="majorHAnsi" w:cstheme="majorHAnsi"/>
          <w:b w:val="0"/>
          <w:bCs w:val="0"/>
          <w:sz w:val="24"/>
          <w:szCs w:val="24"/>
        </w:rPr>
        <w:footnoteReference w:id="36"/>
      </w:r>
      <w:r w:rsidRPr="008376FC">
        <w:rPr>
          <w:rFonts w:asciiTheme="majorHAnsi" w:hAnsiTheme="majorHAnsi" w:cstheme="majorHAnsi"/>
          <w:b w:val="0"/>
          <w:bCs w:val="0"/>
          <w:sz w:val="24"/>
          <w:szCs w:val="24"/>
        </w:rPr>
        <w:t xml:space="preserve"> p</w:t>
      </w:r>
      <w:r w:rsidR="00C31211">
        <w:rPr>
          <w:rFonts w:asciiTheme="majorHAnsi" w:hAnsiTheme="majorHAnsi" w:cstheme="majorHAnsi"/>
          <w:b w:val="0"/>
          <w:bCs w:val="0"/>
          <w:sz w:val="24"/>
          <w:szCs w:val="24"/>
        </w:rPr>
        <w:t>â</w:t>
      </w:r>
      <w:r w:rsidRPr="008376FC">
        <w:rPr>
          <w:rFonts w:asciiTheme="majorHAnsi" w:hAnsiTheme="majorHAnsi" w:cstheme="majorHAnsi"/>
          <w:b w:val="0"/>
          <w:bCs w:val="0"/>
          <w:sz w:val="24"/>
          <w:szCs w:val="24"/>
        </w:rPr>
        <w:t>nă la 84%</w:t>
      </w:r>
      <w:r w:rsidRPr="008376FC">
        <w:rPr>
          <w:rStyle w:val="ab"/>
          <w:rFonts w:asciiTheme="majorHAnsi" w:hAnsiTheme="majorHAnsi" w:cstheme="majorHAnsi"/>
          <w:b w:val="0"/>
          <w:bCs w:val="0"/>
          <w:sz w:val="24"/>
          <w:szCs w:val="24"/>
        </w:rPr>
        <w:footnoteReference w:id="37"/>
      </w:r>
      <w:r w:rsidRPr="008376FC">
        <w:rPr>
          <w:rFonts w:asciiTheme="majorHAnsi" w:hAnsiTheme="majorHAnsi" w:cstheme="majorHAnsi"/>
          <w:b w:val="0"/>
          <w:bCs w:val="0"/>
          <w:sz w:val="24"/>
          <w:szCs w:val="24"/>
        </w:rPr>
        <w:t xml:space="preserve">. PI </w:t>
      </w:r>
      <w:r w:rsidR="00F71DCD" w:rsidRPr="008376FC">
        <w:rPr>
          <w:rFonts w:asciiTheme="majorHAnsi" w:hAnsiTheme="majorHAnsi" w:cstheme="majorHAnsi"/>
          <w:b w:val="0"/>
          <w:bCs w:val="0"/>
          <w:sz w:val="24"/>
          <w:szCs w:val="24"/>
        </w:rPr>
        <w:t>la care contractele de finanț</w:t>
      </w:r>
      <w:r w:rsidRPr="008376FC">
        <w:rPr>
          <w:rFonts w:asciiTheme="majorHAnsi" w:hAnsiTheme="majorHAnsi" w:cstheme="majorHAnsi"/>
          <w:b w:val="0"/>
          <w:bCs w:val="0"/>
          <w:sz w:val="24"/>
          <w:szCs w:val="24"/>
        </w:rPr>
        <w:t xml:space="preserve">are au expirat sau nu au fost încheiate în anul 2022, </w:t>
      </w:r>
      <w:r w:rsidR="00C31211">
        <w:rPr>
          <w:rFonts w:asciiTheme="majorHAnsi" w:hAnsiTheme="majorHAnsi" w:cstheme="majorHAnsi"/>
          <w:b w:val="0"/>
          <w:bCs w:val="0"/>
          <w:sz w:val="24"/>
          <w:szCs w:val="24"/>
        </w:rPr>
        <w:t>au fost</w:t>
      </w:r>
      <w:r w:rsidRPr="008376FC">
        <w:rPr>
          <w:rFonts w:asciiTheme="majorHAnsi" w:hAnsiTheme="majorHAnsi" w:cstheme="majorHAnsi"/>
          <w:b w:val="0"/>
          <w:bCs w:val="0"/>
          <w:sz w:val="24"/>
          <w:szCs w:val="24"/>
        </w:rPr>
        <w:t xml:space="preserve"> excluse din Lista PI finanțate din FEN. </w:t>
      </w:r>
    </w:p>
    <w:p w:rsidR="00BE3B68" w:rsidRPr="008376FC" w:rsidRDefault="000056B2" w:rsidP="00F61756">
      <w:pPr>
        <w:spacing w:before="120" w:after="0" w:line="276" w:lineRule="auto"/>
        <w:jc w:val="both"/>
        <w:rPr>
          <w:rFonts w:asciiTheme="majorHAnsi" w:hAnsiTheme="majorHAnsi" w:cstheme="majorHAnsi"/>
          <w:b w:val="0"/>
          <w:bCs w:val="0"/>
          <w:i/>
          <w:iCs/>
          <w:sz w:val="24"/>
          <w:szCs w:val="24"/>
        </w:rPr>
      </w:pPr>
      <w:r w:rsidRPr="008376FC">
        <w:rPr>
          <w:rFonts w:asciiTheme="majorHAnsi" w:hAnsiTheme="majorHAnsi" w:cstheme="majorHAnsi"/>
          <w:b w:val="0"/>
          <w:bCs w:val="0"/>
          <w:i/>
          <w:iCs/>
          <w:sz w:val="24"/>
          <w:szCs w:val="24"/>
        </w:rPr>
        <w:t>Informaţi</w:t>
      </w:r>
      <w:r w:rsidR="00C31211">
        <w:rPr>
          <w:rFonts w:asciiTheme="majorHAnsi" w:hAnsiTheme="majorHAnsi" w:cstheme="majorHAnsi"/>
          <w:b w:val="0"/>
          <w:bCs w:val="0"/>
          <w:i/>
          <w:iCs/>
          <w:sz w:val="24"/>
          <w:szCs w:val="24"/>
        </w:rPr>
        <w:t>i</w:t>
      </w:r>
      <w:r w:rsidRPr="008376FC">
        <w:rPr>
          <w:rFonts w:asciiTheme="majorHAnsi" w:hAnsiTheme="majorHAnsi" w:cstheme="majorHAnsi"/>
          <w:b w:val="0"/>
          <w:bCs w:val="0"/>
          <w:i/>
          <w:iCs/>
          <w:sz w:val="24"/>
          <w:szCs w:val="24"/>
        </w:rPr>
        <w:t xml:space="preserve"> privind PI active la data transmiterii către FNM se prezintă în Anexa nr.</w:t>
      </w:r>
      <w:r w:rsidR="007B7DC1" w:rsidRPr="008376FC">
        <w:rPr>
          <w:rFonts w:asciiTheme="majorHAnsi" w:hAnsiTheme="majorHAnsi" w:cstheme="majorHAnsi"/>
          <w:b w:val="0"/>
          <w:bCs w:val="0"/>
          <w:i/>
          <w:iCs/>
          <w:sz w:val="24"/>
          <w:szCs w:val="24"/>
        </w:rPr>
        <w:t>20</w:t>
      </w:r>
      <w:r w:rsidRPr="008376FC">
        <w:rPr>
          <w:rFonts w:asciiTheme="majorHAnsi" w:hAnsiTheme="majorHAnsi" w:cstheme="majorHAnsi"/>
          <w:b w:val="0"/>
          <w:bCs w:val="0"/>
          <w:i/>
          <w:iCs/>
          <w:sz w:val="24"/>
          <w:szCs w:val="24"/>
        </w:rPr>
        <w:t xml:space="preserve"> la Raportul de audit.</w:t>
      </w:r>
    </w:p>
    <w:p w:rsidR="00924B19" w:rsidRPr="008376FC" w:rsidRDefault="00924B19" w:rsidP="00F61756">
      <w:pPr>
        <w:spacing w:before="120"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Deși transmiterea PI de la FEN la FNM a avut loc la data de</w:t>
      </w:r>
      <w:r w:rsidR="00F46232" w:rsidRPr="008376FC">
        <w:rPr>
          <w:rFonts w:asciiTheme="majorHAnsi" w:hAnsiTheme="majorHAnsi" w:cstheme="majorHAnsi"/>
          <w:b w:val="0"/>
          <w:bCs w:val="0"/>
          <w:sz w:val="24"/>
          <w:szCs w:val="24"/>
        </w:rPr>
        <w:t xml:space="preserve"> 31.01.2023</w:t>
      </w:r>
      <w:r w:rsidRPr="008376FC">
        <w:rPr>
          <w:rFonts w:asciiTheme="majorHAnsi" w:hAnsiTheme="majorHAnsi" w:cstheme="majorHAnsi"/>
          <w:b w:val="0"/>
          <w:bCs w:val="0"/>
          <w:sz w:val="24"/>
          <w:szCs w:val="24"/>
        </w:rPr>
        <w:t xml:space="preserve">, </w:t>
      </w:r>
      <w:r w:rsidR="00097A8B" w:rsidRPr="008376FC">
        <w:rPr>
          <w:rFonts w:asciiTheme="majorHAnsi" w:hAnsiTheme="majorHAnsi" w:cstheme="majorHAnsi"/>
          <w:b w:val="0"/>
          <w:bCs w:val="0"/>
          <w:sz w:val="24"/>
          <w:szCs w:val="24"/>
        </w:rPr>
        <w:t xml:space="preserve">la etapa actuală </w:t>
      </w:r>
      <w:r w:rsidRPr="008376FC">
        <w:rPr>
          <w:rFonts w:asciiTheme="majorHAnsi" w:hAnsiTheme="majorHAnsi" w:cstheme="majorHAnsi"/>
          <w:b w:val="0"/>
          <w:bCs w:val="0"/>
          <w:sz w:val="24"/>
          <w:szCs w:val="24"/>
        </w:rPr>
        <w:t>FNM</w:t>
      </w:r>
      <w:r w:rsidR="00097A8B" w:rsidRPr="008376FC">
        <w:rPr>
          <w:rFonts w:asciiTheme="majorHAnsi" w:hAnsiTheme="majorHAnsi" w:cstheme="majorHAnsi"/>
          <w:b w:val="0"/>
          <w:bCs w:val="0"/>
          <w:sz w:val="24"/>
          <w:szCs w:val="24"/>
        </w:rPr>
        <w:t xml:space="preserve"> întâmpină dificultăți în partea ce ține de asigurarea finanțării din Fond</w:t>
      </w:r>
      <w:r w:rsidRPr="008376FC">
        <w:rPr>
          <w:rFonts w:asciiTheme="majorHAnsi" w:hAnsiTheme="majorHAnsi" w:cstheme="majorHAnsi"/>
          <w:b w:val="0"/>
          <w:bCs w:val="0"/>
          <w:sz w:val="24"/>
          <w:szCs w:val="24"/>
        </w:rPr>
        <w:t xml:space="preserve"> </w:t>
      </w:r>
      <w:r w:rsidR="00097A8B" w:rsidRPr="008376FC">
        <w:rPr>
          <w:rFonts w:asciiTheme="majorHAnsi" w:hAnsiTheme="majorHAnsi" w:cstheme="majorHAnsi"/>
          <w:b w:val="0"/>
          <w:bCs w:val="0"/>
          <w:sz w:val="24"/>
          <w:szCs w:val="24"/>
        </w:rPr>
        <w:t xml:space="preserve">a proiectelor </w:t>
      </w:r>
      <w:r w:rsidRPr="008376FC">
        <w:rPr>
          <w:rFonts w:asciiTheme="majorHAnsi" w:hAnsiTheme="majorHAnsi" w:cstheme="majorHAnsi"/>
          <w:b w:val="0"/>
          <w:bCs w:val="0"/>
          <w:sz w:val="24"/>
          <w:szCs w:val="24"/>
        </w:rPr>
        <w:t xml:space="preserve">primite din FEN, inclisiv </w:t>
      </w:r>
      <w:r w:rsidR="00C31211">
        <w:rPr>
          <w:rFonts w:asciiTheme="majorHAnsi" w:hAnsiTheme="majorHAnsi" w:cstheme="majorHAnsi"/>
          <w:b w:val="0"/>
          <w:bCs w:val="0"/>
          <w:sz w:val="24"/>
          <w:szCs w:val="24"/>
        </w:rPr>
        <w:t>a</w:t>
      </w:r>
      <w:r w:rsidRPr="008376FC">
        <w:rPr>
          <w:rFonts w:asciiTheme="majorHAnsi" w:hAnsiTheme="majorHAnsi" w:cstheme="majorHAnsi"/>
          <w:b w:val="0"/>
          <w:bCs w:val="0"/>
          <w:sz w:val="24"/>
          <w:szCs w:val="24"/>
        </w:rPr>
        <w:t xml:space="preserve"> celor aferente </w:t>
      </w:r>
      <w:r w:rsidR="00097A8B" w:rsidRPr="008376FC">
        <w:rPr>
          <w:rFonts w:asciiTheme="majorHAnsi" w:hAnsiTheme="majorHAnsi" w:cstheme="majorHAnsi"/>
          <w:b w:val="0"/>
          <w:bCs w:val="0"/>
          <w:sz w:val="24"/>
          <w:szCs w:val="24"/>
        </w:rPr>
        <w:t xml:space="preserve">asigurării accesului populației la apă potabilă de calitate și sanitație. </w:t>
      </w:r>
    </w:p>
    <w:p w:rsidR="003A5CDC" w:rsidRPr="008376FC" w:rsidRDefault="00B421D2" w:rsidP="00F61756">
      <w:pPr>
        <w:spacing w:before="120"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P</w:t>
      </w:r>
      <w:r w:rsidR="003A5CDC" w:rsidRPr="008376FC">
        <w:rPr>
          <w:rFonts w:asciiTheme="majorHAnsi" w:hAnsiTheme="majorHAnsi" w:cstheme="majorHAnsi"/>
          <w:b w:val="0"/>
          <w:bCs w:val="0"/>
          <w:sz w:val="24"/>
          <w:szCs w:val="24"/>
        </w:rPr>
        <w:t>roces</w:t>
      </w:r>
      <w:r w:rsidRPr="008376FC">
        <w:rPr>
          <w:rFonts w:asciiTheme="majorHAnsi" w:hAnsiTheme="majorHAnsi" w:cstheme="majorHAnsi"/>
          <w:b w:val="0"/>
          <w:bCs w:val="0"/>
          <w:sz w:val="24"/>
          <w:szCs w:val="24"/>
        </w:rPr>
        <w:t>ul</w:t>
      </w:r>
      <w:r w:rsidR="003A5CDC" w:rsidRPr="008376FC">
        <w:rPr>
          <w:rFonts w:asciiTheme="majorHAnsi" w:hAnsiTheme="majorHAnsi" w:cstheme="majorHAnsi"/>
          <w:b w:val="0"/>
          <w:bCs w:val="0"/>
          <w:sz w:val="24"/>
          <w:szCs w:val="24"/>
        </w:rPr>
        <w:t xml:space="preserve"> de </w:t>
      </w:r>
      <w:r w:rsidRPr="008376FC">
        <w:rPr>
          <w:rFonts w:asciiTheme="majorHAnsi" w:hAnsiTheme="majorHAnsi" w:cstheme="majorHAnsi"/>
          <w:b w:val="0"/>
          <w:bCs w:val="0"/>
          <w:sz w:val="24"/>
          <w:szCs w:val="24"/>
        </w:rPr>
        <w:t xml:space="preserve">primire-predare între FEN și FNM </w:t>
      </w:r>
      <w:r w:rsidR="003A5CDC" w:rsidRPr="008376FC">
        <w:rPr>
          <w:rFonts w:asciiTheme="majorHAnsi" w:hAnsiTheme="majorHAnsi" w:cstheme="majorHAnsi"/>
          <w:b w:val="0"/>
          <w:bCs w:val="0"/>
          <w:sz w:val="24"/>
          <w:szCs w:val="24"/>
        </w:rPr>
        <w:t>a durat 2 luni (decembrie 2022 –</w:t>
      </w:r>
      <w:r w:rsidR="00C31211">
        <w:rPr>
          <w:rFonts w:asciiTheme="majorHAnsi" w:hAnsiTheme="majorHAnsi" w:cstheme="majorHAnsi"/>
          <w:b w:val="0"/>
          <w:bCs w:val="0"/>
          <w:sz w:val="24"/>
          <w:szCs w:val="24"/>
        </w:rPr>
        <w:t xml:space="preserve"> </w:t>
      </w:r>
      <w:r w:rsidR="003A5CDC" w:rsidRPr="008376FC">
        <w:rPr>
          <w:rFonts w:asciiTheme="majorHAnsi" w:hAnsiTheme="majorHAnsi" w:cstheme="majorHAnsi"/>
          <w:b w:val="0"/>
          <w:bCs w:val="0"/>
          <w:sz w:val="24"/>
          <w:szCs w:val="24"/>
        </w:rPr>
        <w:t xml:space="preserve">ianuarie 2023), </w:t>
      </w:r>
      <w:r w:rsidR="006D30B0" w:rsidRPr="008376FC">
        <w:rPr>
          <w:rFonts w:asciiTheme="majorHAnsi" w:hAnsiTheme="majorHAnsi" w:cstheme="majorHAnsi"/>
          <w:b w:val="0"/>
          <w:bCs w:val="0"/>
          <w:sz w:val="24"/>
          <w:szCs w:val="24"/>
        </w:rPr>
        <w:t>pe peri</w:t>
      </w:r>
      <w:r w:rsidR="00C31211">
        <w:rPr>
          <w:rFonts w:asciiTheme="majorHAnsi" w:hAnsiTheme="majorHAnsi" w:cstheme="majorHAnsi"/>
          <w:b w:val="0"/>
          <w:bCs w:val="0"/>
          <w:sz w:val="24"/>
          <w:szCs w:val="24"/>
        </w:rPr>
        <w:t>o</w:t>
      </w:r>
      <w:r w:rsidR="006D30B0" w:rsidRPr="008376FC">
        <w:rPr>
          <w:rFonts w:asciiTheme="majorHAnsi" w:hAnsiTheme="majorHAnsi" w:cstheme="majorHAnsi"/>
          <w:b w:val="0"/>
          <w:bCs w:val="0"/>
          <w:sz w:val="24"/>
          <w:szCs w:val="24"/>
        </w:rPr>
        <w:t>ada respectivă finanțarea proiectelor fiind sistată. Î</w:t>
      </w:r>
      <w:r w:rsidR="00615D25" w:rsidRPr="008376FC">
        <w:rPr>
          <w:rFonts w:asciiTheme="majorHAnsi" w:hAnsiTheme="majorHAnsi" w:cstheme="majorHAnsi"/>
          <w:b w:val="0"/>
          <w:bCs w:val="0"/>
          <w:sz w:val="24"/>
          <w:szCs w:val="24"/>
        </w:rPr>
        <w:t>ntre timp</w:t>
      </w:r>
      <w:r w:rsidR="006D30B0" w:rsidRPr="008376FC">
        <w:rPr>
          <w:rFonts w:asciiTheme="majorHAnsi" w:hAnsiTheme="majorHAnsi" w:cstheme="majorHAnsi"/>
          <w:b w:val="0"/>
          <w:bCs w:val="0"/>
          <w:sz w:val="24"/>
          <w:szCs w:val="24"/>
        </w:rPr>
        <w:t>,</w:t>
      </w:r>
      <w:r w:rsidR="00615D25" w:rsidRPr="008376FC">
        <w:rPr>
          <w:rFonts w:asciiTheme="majorHAnsi" w:hAnsiTheme="majorHAnsi" w:cstheme="majorHAnsi"/>
          <w:b w:val="0"/>
          <w:bCs w:val="0"/>
          <w:sz w:val="24"/>
          <w:szCs w:val="24"/>
        </w:rPr>
        <w:t xml:space="preserve"> </w:t>
      </w:r>
      <w:r w:rsidRPr="008376FC">
        <w:rPr>
          <w:rFonts w:asciiTheme="majorHAnsi" w:hAnsiTheme="majorHAnsi" w:cstheme="majorHAnsi"/>
          <w:b w:val="0"/>
          <w:bCs w:val="0"/>
          <w:sz w:val="24"/>
          <w:szCs w:val="24"/>
        </w:rPr>
        <w:t>beneficiarii contracte</w:t>
      </w:r>
      <w:r w:rsidR="006D30B0" w:rsidRPr="008376FC">
        <w:rPr>
          <w:rFonts w:asciiTheme="majorHAnsi" w:hAnsiTheme="majorHAnsi" w:cstheme="majorHAnsi"/>
          <w:b w:val="0"/>
          <w:bCs w:val="0"/>
          <w:sz w:val="24"/>
          <w:szCs w:val="24"/>
        </w:rPr>
        <w:t>lor</w:t>
      </w:r>
      <w:r w:rsidRPr="008376FC">
        <w:rPr>
          <w:rFonts w:asciiTheme="majorHAnsi" w:hAnsiTheme="majorHAnsi" w:cstheme="majorHAnsi"/>
          <w:b w:val="0"/>
          <w:bCs w:val="0"/>
          <w:sz w:val="24"/>
          <w:szCs w:val="24"/>
        </w:rPr>
        <w:t xml:space="preserve"> de finanțare au executat lucrări</w:t>
      </w:r>
      <w:r w:rsidR="006D30B0" w:rsidRPr="008376FC">
        <w:rPr>
          <w:rFonts w:asciiTheme="majorHAnsi" w:hAnsiTheme="majorHAnsi" w:cstheme="majorHAnsi"/>
          <w:b w:val="0"/>
          <w:bCs w:val="0"/>
          <w:sz w:val="24"/>
          <w:szCs w:val="24"/>
        </w:rPr>
        <w:t xml:space="preserve"> în limita contractelor de finanțare valabile. IP ONIPM, în calitate de gestionar al FNM</w:t>
      </w:r>
      <w:r w:rsidR="00A54282" w:rsidRPr="008376FC">
        <w:rPr>
          <w:rFonts w:asciiTheme="majorHAnsi" w:hAnsiTheme="majorHAnsi" w:cstheme="majorHAnsi"/>
          <w:b w:val="0"/>
          <w:bCs w:val="0"/>
          <w:sz w:val="24"/>
          <w:szCs w:val="24"/>
        </w:rPr>
        <w:t xml:space="preserve">, </w:t>
      </w:r>
      <w:r w:rsidRPr="008376FC">
        <w:rPr>
          <w:rFonts w:asciiTheme="majorHAnsi" w:hAnsiTheme="majorHAnsi" w:cstheme="majorHAnsi"/>
          <w:b w:val="0"/>
          <w:bCs w:val="0"/>
          <w:sz w:val="24"/>
          <w:szCs w:val="24"/>
        </w:rPr>
        <w:t xml:space="preserve">nu a asigurat </w:t>
      </w:r>
      <w:r w:rsidR="00A54282" w:rsidRPr="008376FC">
        <w:rPr>
          <w:rFonts w:asciiTheme="majorHAnsi" w:hAnsiTheme="majorHAnsi" w:cstheme="majorHAnsi"/>
          <w:b w:val="0"/>
          <w:bCs w:val="0"/>
          <w:sz w:val="24"/>
          <w:szCs w:val="24"/>
        </w:rPr>
        <w:t xml:space="preserve">continuitatea procesului de finanțare a PI, de către beneficiari fiind înaintate </w:t>
      </w:r>
      <w:r w:rsidR="003A5CDC" w:rsidRPr="008376FC">
        <w:rPr>
          <w:rFonts w:asciiTheme="majorHAnsi" w:hAnsiTheme="majorHAnsi" w:cstheme="majorHAnsi"/>
          <w:b w:val="0"/>
          <w:bCs w:val="0"/>
          <w:sz w:val="24"/>
          <w:szCs w:val="24"/>
        </w:rPr>
        <w:t>numeroase solicitări de efectuare a plăților, însă lipsa personalului specializat, limitarea accesului la dosarele FEN</w:t>
      </w:r>
      <w:r w:rsidR="00A54282" w:rsidRPr="008376FC">
        <w:rPr>
          <w:rFonts w:asciiTheme="majorHAnsi" w:hAnsiTheme="majorHAnsi" w:cstheme="majorHAnsi"/>
          <w:b w:val="0"/>
          <w:bCs w:val="0"/>
          <w:sz w:val="24"/>
          <w:szCs w:val="24"/>
        </w:rPr>
        <w:t xml:space="preserve">, care </w:t>
      </w:r>
      <w:r w:rsidR="003A5CDC" w:rsidRPr="008376FC">
        <w:rPr>
          <w:rFonts w:asciiTheme="majorHAnsi" w:hAnsiTheme="majorHAnsi" w:cstheme="majorHAnsi"/>
          <w:b w:val="0"/>
          <w:bCs w:val="0"/>
          <w:sz w:val="24"/>
          <w:szCs w:val="24"/>
        </w:rPr>
        <w:t xml:space="preserve">se aflau fizic în arhiva amplasată în sediul </w:t>
      </w:r>
      <w:r w:rsidR="00A54282" w:rsidRPr="008376FC">
        <w:rPr>
          <w:rFonts w:asciiTheme="majorHAnsi" w:hAnsiTheme="majorHAnsi" w:cstheme="majorHAnsi"/>
          <w:b w:val="0"/>
          <w:bCs w:val="0"/>
          <w:sz w:val="24"/>
          <w:szCs w:val="24"/>
        </w:rPr>
        <w:t xml:space="preserve">MM, nefiind efectuată </w:t>
      </w:r>
      <w:r w:rsidR="003A5CDC" w:rsidRPr="008376FC">
        <w:rPr>
          <w:rFonts w:asciiTheme="majorHAnsi" w:hAnsiTheme="majorHAnsi" w:cstheme="majorHAnsi"/>
          <w:b w:val="0"/>
          <w:bCs w:val="0"/>
          <w:sz w:val="24"/>
          <w:szCs w:val="24"/>
        </w:rPr>
        <w:t xml:space="preserve"> predarea</w:t>
      </w:r>
      <w:r w:rsidR="00C31211">
        <w:rPr>
          <w:rFonts w:asciiTheme="majorHAnsi" w:hAnsiTheme="majorHAnsi" w:cstheme="majorHAnsi"/>
          <w:b w:val="0"/>
          <w:bCs w:val="0"/>
          <w:sz w:val="24"/>
          <w:szCs w:val="24"/>
        </w:rPr>
        <w:t>-</w:t>
      </w:r>
      <w:r w:rsidR="003A5CDC" w:rsidRPr="008376FC">
        <w:rPr>
          <w:rFonts w:asciiTheme="majorHAnsi" w:hAnsiTheme="majorHAnsi" w:cstheme="majorHAnsi"/>
          <w:b w:val="0"/>
          <w:bCs w:val="0"/>
          <w:sz w:val="24"/>
          <w:szCs w:val="24"/>
        </w:rPr>
        <w:t xml:space="preserve">recepționarea </w:t>
      </w:r>
      <w:r w:rsidR="003A5CDC" w:rsidRPr="007275CC">
        <w:rPr>
          <w:rFonts w:asciiTheme="majorHAnsi" w:hAnsiTheme="majorHAnsi" w:cstheme="majorHAnsi"/>
          <w:b w:val="0"/>
          <w:bCs w:val="0"/>
          <w:sz w:val="24"/>
          <w:szCs w:val="24"/>
        </w:rPr>
        <w:t xml:space="preserve">cheilor de acces, precum și necunoașterea </w:t>
      </w:r>
      <w:r w:rsidR="00A54282" w:rsidRPr="007275CC">
        <w:rPr>
          <w:rFonts w:asciiTheme="majorHAnsi" w:hAnsiTheme="majorHAnsi" w:cstheme="majorHAnsi"/>
          <w:b w:val="0"/>
          <w:bCs w:val="0"/>
          <w:sz w:val="24"/>
          <w:szCs w:val="24"/>
        </w:rPr>
        <w:t>de către angajați</w:t>
      </w:r>
      <w:r w:rsidR="00C31211" w:rsidRPr="007275CC">
        <w:rPr>
          <w:rFonts w:asciiTheme="majorHAnsi" w:hAnsiTheme="majorHAnsi" w:cstheme="majorHAnsi"/>
          <w:b w:val="0"/>
          <w:bCs w:val="0"/>
          <w:sz w:val="24"/>
          <w:szCs w:val="24"/>
        </w:rPr>
        <w:t xml:space="preserve"> </w:t>
      </w:r>
      <w:r w:rsidR="00A54282" w:rsidRPr="007275CC">
        <w:rPr>
          <w:rFonts w:asciiTheme="majorHAnsi" w:hAnsiTheme="majorHAnsi" w:cstheme="majorHAnsi"/>
          <w:b w:val="0"/>
          <w:bCs w:val="0"/>
          <w:sz w:val="24"/>
          <w:szCs w:val="24"/>
        </w:rPr>
        <w:t xml:space="preserve">IP ONIPM a modului de </w:t>
      </w:r>
      <w:r w:rsidR="003A5CDC" w:rsidRPr="007275CC">
        <w:rPr>
          <w:rFonts w:asciiTheme="majorHAnsi" w:hAnsiTheme="majorHAnsi" w:cstheme="majorHAnsi"/>
          <w:b w:val="0"/>
          <w:bCs w:val="0"/>
          <w:sz w:val="24"/>
          <w:szCs w:val="24"/>
        </w:rPr>
        <w:t xml:space="preserve">funcționare </w:t>
      </w:r>
      <w:r w:rsidR="00A54282" w:rsidRPr="007275CC">
        <w:rPr>
          <w:rFonts w:asciiTheme="majorHAnsi" w:hAnsiTheme="majorHAnsi" w:cstheme="majorHAnsi"/>
          <w:b w:val="0"/>
          <w:bCs w:val="0"/>
          <w:sz w:val="24"/>
          <w:szCs w:val="24"/>
        </w:rPr>
        <w:t xml:space="preserve">și utilizare </w:t>
      </w:r>
      <w:r w:rsidR="003A5CDC" w:rsidRPr="007275CC">
        <w:rPr>
          <w:rFonts w:asciiTheme="majorHAnsi" w:hAnsiTheme="majorHAnsi" w:cstheme="majorHAnsi"/>
          <w:b w:val="0"/>
          <w:bCs w:val="0"/>
          <w:sz w:val="24"/>
          <w:szCs w:val="24"/>
        </w:rPr>
        <w:t>a bazei de date SI</w:t>
      </w:r>
      <w:r w:rsidR="007275CC">
        <w:rPr>
          <w:rFonts w:asciiTheme="majorHAnsi" w:hAnsiTheme="majorHAnsi" w:cstheme="majorHAnsi"/>
          <w:b w:val="0"/>
          <w:bCs w:val="0"/>
          <w:sz w:val="24"/>
          <w:szCs w:val="24"/>
        </w:rPr>
        <w:t>A</w:t>
      </w:r>
      <w:r w:rsidR="003A5CDC" w:rsidRPr="007275CC">
        <w:rPr>
          <w:rFonts w:asciiTheme="majorHAnsi" w:hAnsiTheme="majorHAnsi" w:cstheme="majorHAnsi"/>
          <w:b w:val="0"/>
          <w:bCs w:val="0"/>
          <w:sz w:val="24"/>
          <w:szCs w:val="24"/>
        </w:rPr>
        <w:t xml:space="preserve"> „FEN” </w:t>
      </w:r>
      <w:r w:rsidR="00A54282" w:rsidRPr="007275CC">
        <w:rPr>
          <w:rFonts w:asciiTheme="majorHAnsi" w:hAnsiTheme="majorHAnsi" w:cstheme="majorHAnsi"/>
          <w:b w:val="0"/>
          <w:bCs w:val="0"/>
          <w:sz w:val="24"/>
          <w:szCs w:val="24"/>
        </w:rPr>
        <w:t xml:space="preserve">în care fiecare PI are fișa proiectului </w:t>
      </w:r>
      <w:r w:rsidR="00C31211" w:rsidRPr="007275CC">
        <w:rPr>
          <w:rFonts w:asciiTheme="majorHAnsi" w:hAnsiTheme="majorHAnsi" w:cstheme="majorHAnsi"/>
          <w:b w:val="0"/>
          <w:bCs w:val="0"/>
          <w:sz w:val="24"/>
          <w:szCs w:val="24"/>
        </w:rPr>
        <w:t>cu</w:t>
      </w:r>
      <w:r w:rsidR="00A54282" w:rsidRPr="007275CC">
        <w:rPr>
          <w:rFonts w:asciiTheme="majorHAnsi" w:hAnsiTheme="majorHAnsi" w:cstheme="majorHAnsi"/>
          <w:b w:val="0"/>
          <w:bCs w:val="0"/>
          <w:sz w:val="24"/>
          <w:szCs w:val="24"/>
        </w:rPr>
        <w:t xml:space="preserve"> toată informația</w:t>
      </w:r>
      <w:r w:rsidR="00C31211" w:rsidRPr="007275CC">
        <w:rPr>
          <w:rFonts w:asciiTheme="majorHAnsi" w:hAnsiTheme="majorHAnsi" w:cstheme="majorHAnsi"/>
          <w:b w:val="0"/>
          <w:bCs w:val="0"/>
          <w:sz w:val="24"/>
          <w:szCs w:val="24"/>
        </w:rPr>
        <w:t xml:space="preserve"> aferentă</w:t>
      </w:r>
      <w:r w:rsidR="00A54282" w:rsidRPr="007275CC">
        <w:rPr>
          <w:rFonts w:asciiTheme="majorHAnsi" w:hAnsiTheme="majorHAnsi" w:cstheme="majorHAnsi"/>
          <w:b w:val="0"/>
          <w:bCs w:val="0"/>
          <w:sz w:val="24"/>
          <w:szCs w:val="24"/>
        </w:rPr>
        <w:t xml:space="preserve">, </w:t>
      </w:r>
      <w:r w:rsidR="003A5CDC" w:rsidRPr="007275CC">
        <w:rPr>
          <w:rFonts w:asciiTheme="majorHAnsi" w:hAnsiTheme="majorHAnsi" w:cstheme="majorHAnsi"/>
          <w:b w:val="0"/>
          <w:bCs w:val="0"/>
          <w:sz w:val="24"/>
          <w:szCs w:val="24"/>
        </w:rPr>
        <w:t>au stopat procesul</w:t>
      </w:r>
      <w:r w:rsidR="003A5CDC" w:rsidRPr="008376FC">
        <w:rPr>
          <w:rFonts w:asciiTheme="majorHAnsi" w:hAnsiTheme="majorHAnsi" w:cstheme="majorHAnsi"/>
          <w:b w:val="0"/>
          <w:bCs w:val="0"/>
          <w:sz w:val="24"/>
          <w:szCs w:val="24"/>
        </w:rPr>
        <w:t xml:space="preserve"> de verificare a actelor </w:t>
      </w:r>
      <w:r w:rsidR="00A54282" w:rsidRPr="008376FC">
        <w:rPr>
          <w:rFonts w:asciiTheme="majorHAnsi" w:hAnsiTheme="majorHAnsi" w:cstheme="majorHAnsi"/>
          <w:b w:val="0"/>
          <w:bCs w:val="0"/>
          <w:sz w:val="24"/>
          <w:szCs w:val="24"/>
        </w:rPr>
        <w:t xml:space="preserve">de îndeplinire a lucrărilor de către </w:t>
      </w:r>
      <w:r w:rsidR="003A5CDC" w:rsidRPr="008376FC">
        <w:rPr>
          <w:rFonts w:asciiTheme="majorHAnsi" w:hAnsiTheme="majorHAnsi" w:cstheme="majorHAnsi"/>
          <w:b w:val="0"/>
          <w:bCs w:val="0"/>
          <w:sz w:val="24"/>
          <w:szCs w:val="24"/>
        </w:rPr>
        <w:t>beneficiari</w:t>
      </w:r>
      <w:r w:rsidR="00A54282" w:rsidRPr="008376FC">
        <w:rPr>
          <w:rFonts w:asciiTheme="majorHAnsi" w:hAnsiTheme="majorHAnsi" w:cstheme="majorHAnsi"/>
          <w:b w:val="0"/>
          <w:bCs w:val="0"/>
          <w:sz w:val="24"/>
          <w:szCs w:val="24"/>
        </w:rPr>
        <w:t>i</w:t>
      </w:r>
      <w:r w:rsidR="003A5CDC" w:rsidRPr="008376FC">
        <w:rPr>
          <w:rFonts w:asciiTheme="majorHAnsi" w:hAnsiTheme="majorHAnsi" w:cstheme="majorHAnsi"/>
          <w:b w:val="0"/>
          <w:bCs w:val="0"/>
          <w:sz w:val="24"/>
          <w:szCs w:val="24"/>
        </w:rPr>
        <w:t xml:space="preserve"> de granturi, precum și de efectuare a plăților corespunzătoare</w:t>
      </w:r>
      <w:r w:rsidR="000B26DF" w:rsidRPr="008376FC">
        <w:rPr>
          <w:rFonts w:asciiTheme="majorHAnsi" w:hAnsiTheme="majorHAnsi" w:cstheme="majorHAnsi"/>
          <w:b w:val="0"/>
          <w:bCs w:val="0"/>
          <w:sz w:val="24"/>
          <w:szCs w:val="24"/>
        </w:rPr>
        <w:t>, ceea ce</w:t>
      </w:r>
      <w:r w:rsidR="00C31211">
        <w:rPr>
          <w:rFonts w:asciiTheme="majorHAnsi" w:hAnsiTheme="majorHAnsi" w:cstheme="majorHAnsi"/>
          <w:b w:val="0"/>
          <w:bCs w:val="0"/>
          <w:sz w:val="24"/>
          <w:szCs w:val="24"/>
        </w:rPr>
        <w:t>,</w:t>
      </w:r>
      <w:r w:rsidR="000B26DF" w:rsidRPr="008376FC">
        <w:rPr>
          <w:rFonts w:asciiTheme="majorHAnsi" w:hAnsiTheme="majorHAnsi" w:cstheme="majorHAnsi"/>
          <w:b w:val="0"/>
          <w:bCs w:val="0"/>
          <w:sz w:val="24"/>
          <w:szCs w:val="24"/>
        </w:rPr>
        <w:t xml:space="preserve"> în consecință</w:t>
      </w:r>
      <w:r w:rsidR="00C31211">
        <w:rPr>
          <w:rFonts w:asciiTheme="majorHAnsi" w:hAnsiTheme="majorHAnsi" w:cstheme="majorHAnsi"/>
          <w:b w:val="0"/>
          <w:bCs w:val="0"/>
          <w:sz w:val="24"/>
          <w:szCs w:val="24"/>
        </w:rPr>
        <w:t>,</w:t>
      </w:r>
      <w:r w:rsidR="000B26DF" w:rsidRPr="008376FC">
        <w:rPr>
          <w:rFonts w:asciiTheme="majorHAnsi" w:hAnsiTheme="majorHAnsi" w:cstheme="majorHAnsi"/>
          <w:b w:val="0"/>
          <w:bCs w:val="0"/>
          <w:sz w:val="24"/>
          <w:szCs w:val="24"/>
        </w:rPr>
        <w:t xml:space="preserve"> a dus în unele cazuri la tergiversarea termenului de implementare a proiectelor.</w:t>
      </w:r>
      <w:r w:rsidR="00A54282" w:rsidRPr="008376FC">
        <w:rPr>
          <w:rFonts w:asciiTheme="majorHAnsi" w:hAnsiTheme="majorHAnsi" w:cstheme="majorHAnsi"/>
          <w:b w:val="0"/>
          <w:bCs w:val="0"/>
          <w:sz w:val="24"/>
          <w:szCs w:val="24"/>
        </w:rPr>
        <w:t xml:space="preserve"> Totodată, </w:t>
      </w:r>
      <w:r w:rsidR="00286305" w:rsidRPr="008376FC">
        <w:rPr>
          <w:rFonts w:asciiTheme="majorHAnsi" w:hAnsiTheme="majorHAnsi" w:cstheme="majorHAnsi"/>
          <w:b w:val="0"/>
          <w:bCs w:val="0"/>
          <w:sz w:val="24"/>
          <w:szCs w:val="24"/>
        </w:rPr>
        <w:t xml:space="preserve">deși valoarea totală a contractelor </w:t>
      </w:r>
      <w:r w:rsidR="003A5CDC" w:rsidRPr="008376FC">
        <w:rPr>
          <w:rFonts w:asciiTheme="majorHAnsi" w:hAnsiTheme="majorHAnsi" w:cstheme="majorHAnsi"/>
          <w:b w:val="0"/>
          <w:bCs w:val="0"/>
          <w:sz w:val="24"/>
          <w:szCs w:val="24"/>
        </w:rPr>
        <w:t>pentru finanțare preluate di</w:t>
      </w:r>
      <w:r w:rsidR="00DB2D79" w:rsidRPr="008376FC">
        <w:rPr>
          <w:rFonts w:asciiTheme="majorHAnsi" w:hAnsiTheme="majorHAnsi" w:cstheme="majorHAnsi"/>
          <w:b w:val="0"/>
          <w:bCs w:val="0"/>
          <w:sz w:val="24"/>
          <w:szCs w:val="24"/>
        </w:rPr>
        <w:t>n</w:t>
      </w:r>
      <w:r w:rsidR="003A5CDC" w:rsidRPr="008376FC">
        <w:rPr>
          <w:rFonts w:asciiTheme="majorHAnsi" w:hAnsiTheme="majorHAnsi" w:cstheme="majorHAnsi"/>
          <w:b w:val="0"/>
          <w:bCs w:val="0"/>
          <w:sz w:val="24"/>
          <w:szCs w:val="24"/>
        </w:rPr>
        <w:t xml:space="preserve"> FEN a constitiuit </w:t>
      </w:r>
      <w:r w:rsidR="00286305" w:rsidRPr="008376FC">
        <w:rPr>
          <w:rFonts w:asciiTheme="majorHAnsi" w:hAnsiTheme="majorHAnsi" w:cstheme="majorHAnsi"/>
          <w:b w:val="0"/>
          <w:bCs w:val="0"/>
          <w:sz w:val="24"/>
          <w:szCs w:val="24"/>
        </w:rPr>
        <w:t>129,46 mil</w:t>
      </w:r>
      <w:r w:rsidR="00313C10">
        <w:rPr>
          <w:rFonts w:asciiTheme="majorHAnsi" w:hAnsiTheme="majorHAnsi" w:cstheme="majorHAnsi"/>
          <w:b w:val="0"/>
          <w:bCs w:val="0"/>
          <w:sz w:val="24"/>
          <w:szCs w:val="24"/>
        </w:rPr>
        <w:t>.</w:t>
      </w:r>
      <w:r w:rsidR="00286305" w:rsidRPr="008376FC">
        <w:rPr>
          <w:rFonts w:asciiTheme="majorHAnsi" w:hAnsiTheme="majorHAnsi" w:cstheme="majorHAnsi"/>
          <w:b w:val="0"/>
          <w:bCs w:val="0"/>
          <w:sz w:val="24"/>
          <w:szCs w:val="24"/>
        </w:rPr>
        <w:t xml:space="preserve"> lei, </w:t>
      </w:r>
      <w:r w:rsidR="003A5CDC" w:rsidRPr="008376FC">
        <w:rPr>
          <w:rFonts w:asciiTheme="majorHAnsi" w:hAnsiTheme="majorHAnsi" w:cstheme="majorHAnsi"/>
          <w:b w:val="0"/>
          <w:bCs w:val="0"/>
          <w:sz w:val="24"/>
          <w:szCs w:val="24"/>
        </w:rPr>
        <w:t xml:space="preserve">în bugetul </w:t>
      </w:r>
      <w:r w:rsidR="00286305" w:rsidRPr="008376FC">
        <w:rPr>
          <w:rFonts w:asciiTheme="majorHAnsi" w:hAnsiTheme="majorHAnsi" w:cstheme="majorHAnsi"/>
          <w:b w:val="0"/>
          <w:bCs w:val="0"/>
          <w:sz w:val="24"/>
          <w:szCs w:val="24"/>
        </w:rPr>
        <w:t>FNM</w:t>
      </w:r>
      <w:r w:rsidR="00BB41AE">
        <w:rPr>
          <w:rFonts w:asciiTheme="majorHAnsi" w:hAnsiTheme="majorHAnsi" w:cstheme="majorHAnsi"/>
          <w:b w:val="0"/>
          <w:bCs w:val="0"/>
          <w:sz w:val="24"/>
          <w:szCs w:val="24"/>
        </w:rPr>
        <w:t xml:space="preserve"> pentru anul 2023 </w:t>
      </w:r>
      <w:r w:rsidR="00286305" w:rsidRPr="008376FC">
        <w:rPr>
          <w:rFonts w:asciiTheme="majorHAnsi" w:hAnsiTheme="majorHAnsi" w:cstheme="majorHAnsi"/>
          <w:b w:val="0"/>
          <w:bCs w:val="0"/>
          <w:sz w:val="24"/>
          <w:szCs w:val="24"/>
        </w:rPr>
        <w:t xml:space="preserve"> au fost aprobate alocații în valoare de 93,08 mil</w:t>
      </w:r>
      <w:r w:rsidR="00313C10">
        <w:rPr>
          <w:rFonts w:asciiTheme="majorHAnsi" w:hAnsiTheme="majorHAnsi" w:cstheme="majorHAnsi"/>
          <w:b w:val="0"/>
          <w:bCs w:val="0"/>
          <w:sz w:val="24"/>
          <w:szCs w:val="24"/>
        </w:rPr>
        <w:t>.</w:t>
      </w:r>
      <w:r w:rsidR="00286305" w:rsidRPr="008376FC">
        <w:rPr>
          <w:rFonts w:asciiTheme="majorHAnsi" w:hAnsiTheme="majorHAnsi" w:cstheme="majorHAnsi"/>
          <w:b w:val="0"/>
          <w:bCs w:val="0"/>
          <w:sz w:val="24"/>
          <w:szCs w:val="24"/>
        </w:rPr>
        <w:t xml:space="preserve"> lei, </w:t>
      </w:r>
      <w:r w:rsidR="003A5CDC" w:rsidRPr="008376FC">
        <w:rPr>
          <w:rFonts w:asciiTheme="majorHAnsi" w:hAnsiTheme="majorHAnsi" w:cstheme="majorHAnsi"/>
          <w:b w:val="0"/>
          <w:bCs w:val="0"/>
          <w:sz w:val="24"/>
          <w:szCs w:val="24"/>
        </w:rPr>
        <w:t>cu</w:t>
      </w:r>
      <w:r w:rsidR="00286305" w:rsidRPr="008376FC">
        <w:rPr>
          <w:rFonts w:asciiTheme="majorHAnsi" w:hAnsiTheme="majorHAnsi" w:cstheme="majorHAnsi"/>
          <w:b w:val="0"/>
          <w:bCs w:val="0"/>
          <w:sz w:val="24"/>
          <w:szCs w:val="24"/>
        </w:rPr>
        <w:t xml:space="preserve"> un deficit de 36,37 mil</w:t>
      </w:r>
      <w:r w:rsidR="00313C10">
        <w:rPr>
          <w:rFonts w:asciiTheme="majorHAnsi" w:hAnsiTheme="majorHAnsi" w:cstheme="majorHAnsi"/>
          <w:b w:val="0"/>
          <w:bCs w:val="0"/>
          <w:sz w:val="24"/>
          <w:szCs w:val="24"/>
        </w:rPr>
        <w:t>.</w:t>
      </w:r>
      <w:r w:rsidR="00286305" w:rsidRPr="008376FC">
        <w:rPr>
          <w:rFonts w:asciiTheme="majorHAnsi" w:hAnsiTheme="majorHAnsi" w:cstheme="majorHAnsi"/>
          <w:b w:val="0"/>
          <w:bCs w:val="0"/>
          <w:sz w:val="24"/>
          <w:szCs w:val="24"/>
        </w:rPr>
        <w:t xml:space="preserve"> lei. </w:t>
      </w:r>
    </w:p>
    <w:p w:rsidR="003A5CDC" w:rsidRPr="008376FC" w:rsidRDefault="00E46D44" w:rsidP="00F61756">
      <w:pPr>
        <w:spacing w:before="120"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De menționat și faptul că, urmare a instituirii unui nou mecani</w:t>
      </w:r>
      <w:r w:rsidR="00313C10">
        <w:rPr>
          <w:rFonts w:asciiTheme="majorHAnsi" w:hAnsiTheme="majorHAnsi" w:cstheme="majorHAnsi"/>
          <w:b w:val="0"/>
          <w:bCs w:val="0"/>
          <w:sz w:val="24"/>
          <w:szCs w:val="24"/>
        </w:rPr>
        <w:t>s</w:t>
      </w:r>
      <w:r w:rsidRPr="008376FC">
        <w:rPr>
          <w:rFonts w:asciiTheme="majorHAnsi" w:hAnsiTheme="majorHAnsi" w:cstheme="majorHAnsi"/>
          <w:b w:val="0"/>
          <w:bCs w:val="0"/>
          <w:sz w:val="24"/>
          <w:szCs w:val="24"/>
        </w:rPr>
        <w:t>m de finanțare a PI în domeniul alimentării cu apă și sanitație</w:t>
      </w:r>
      <w:r w:rsidR="00313C10">
        <w:rPr>
          <w:rFonts w:asciiTheme="majorHAnsi" w:hAnsiTheme="majorHAnsi" w:cstheme="majorHAnsi"/>
          <w:b w:val="0"/>
          <w:bCs w:val="0"/>
          <w:sz w:val="24"/>
          <w:szCs w:val="24"/>
        </w:rPr>
        <w:t>i</w:t>
      </w:r>
      <w:r w:rsidRPr="008376FC">
        <w:rPr>
          <w:rFonts w:asciiTheme="majorHAnsi" w:hAnsiTheme="majorHAnsi" w:cstheme="majorHAnsi"/>
          <w:b w:val="0"/>
          <w:bCs w:val="0"/>
          <w:sz w:val="24"/>
          <w:szCs w:val="24"/>
        </w:rPr>
        <w:t xml:space="preserve">, și anume prin finanțare din FNDRL, 10 PI din cele 95 incluse în actele de primire-predare între FEN și FNM, au depus cereri </w:t>
      </w:r>
      <w:r w:rsidR="00313C10">
        <w:rPr>
          <w:rFonts w:asciiTheme="majorHAnsi" w:hAnsiTheme="majorHAnsi" w:cstheme="majorHAnsi"/>
          <w:b w:val="0"/>
          <w:bCs w:val="0"/>
          <w:sz w:val="24"/>
          <w:szCs w:val="24"/>
        </w:rPr>
        <w:t xml:space="preserve">de </w:t>
      </w:r>
      <w:r w:rsidRPr="008376FC">
        <w:rPr>
          <w:rFonts w:asciiTheme="majorHAnsi" w:hAnsiTheme="majorHAnsi" w:cstheme="majorHAnsi"/>
          <w:b w:val="0"/>
          <w:bCs w:val="0"/>
          <w:sz w:val="24"/>
          <w:szCs w:val="24"/>
        </w:rPr>
        <w:t>finanțare la ONDRL (FND</w:t>
      </w:r>
      <w:r w:rsidR="00FC7E62" w:rsidRPr="008376FC">
        <w:rPr>
          <w:rFonts w:asciiTheme="majorHAnsi" w:hAnsiTheme="majorHAnsi" w:cstheme="majorHAnsi"/>
          <w:b w:val="0"/>
          <w:bCs w:val="0"/>
          <w:sz w:val="24"/>
          <w:szCs w:val="24"/>
        </w:rPr>
        <w:t>R</w:t>
      </w:r>
      <w:r w:rsidRPr="008376FC">
        <w:rPr>
          <w:rFonts w:asciiTheme="majorHAnsi" w:hAnsiTheme="majorHAnsi" w:cstheme="majorHAnsi"/>
          <w:b w:val="0"/>
          <w:bCs w:val="0"/>
          <w:sz w:val="24"/>
          <w:szCs w:val="24"/>
        </w:rPr>
        <w:t>L) și au fost incluse în DUP 2022-</w:t>
      </w:r>
      <w:r w:rsidR="00FC7E62" w:rsidRPr="008376FC">
        <w:rPr>
          <w:rFonts w:asciiTheme="majorHAnsi" w:hAnsiTheme="majorHAnsi" w:cstheme="majorHAnsi"/>
          <w:b w:val="0"/>
          <w:bCs w:val="0"/>
          <w:sz w:val="24"/>
          <w:szCs w:val="24"/>
        </w:rPr>
        <w:t>2023</w:t>
      </w:r>
      <w:r w:rsidRPr="008376FC">
        <w:rPr>
          <w:rFonts w:asciiTheme="majorHAnsi" w:hAnsiTheme="majorHAnsi" w:cstheme="majorHAnsi"/>
          <w:b w:val="0"/>
          <w:bCs w:val="0"/>
          <w:sz w:val="24"/>
          <w:szCs w:val="24"/>
        </w:rPr>
        <w:t xml:space="preserve">. </w:t>
      </w:r>
    </w:p>
    <w:p w:rsidR="0088086E" w:rsidRDefault="00313C10" w:rsidP="00F61756">
      <w:pPr>
        <w:spacing w:after="0" w:line="276" w:lineRule="auto"/>
        <w:jc w:val="both"/>
        <w:rPr>
          <w:rFonts w:asciiTheme="majorHAnsi" w:hAnsiTheme="majorHAnsi" w:cs="Times New Roman"/>
          <w:b w:val="0"/>
          <w:sz w:val="24"/>
          <w:szCs w:val="24"/>
        </w:rPr>
      </w:pPr>
      <w:r>
        <w:rPr>
          <w:rFonts w:asciiTheme="majorHAnsi" w:hAnsiTheme="majorHAnsi" w:cs="Times New Roman"/>
          <w:b w:val="0"/>
          <w:sz w:val="24"/>
          <w:szCs w:val="24"/>
        </w:rPr>
        <w:t>M</w:t>
      </w:r>
      <w:r w:rsidR="00AB4B0C" w:rsidRPr="008376FC">
        <w:rPr>
          <w:rFonts w:asciiTheme="majorHAnsi" w:hAnsiTheme="majorHAnsi" w:cs="Times New Roman"/>
          <w:b w:val="0"/>
          <w:sz w:val="24"/>
          <w:szCs w:val="24"/>
        </w:rPr>
        <w:t>are</w:t>
      </w:r>
      <w:r>
        <w:rPr>
          <w:rFonts w:asciiTheme="majorHAnsi" w:hAnsiTheme="majorHAnsi" w:cs="Times New Roman"/>
          <w:b w:val="0"/>
          <w:sz w:val="24"/>
          <w:szCs w:val="24"/>
        </w:rPr>
        <w:t>a</w:t>
      </w:r>
      <w:r w:rsidR="00AB4B0C" w:rsidRPr="008376FC">
        <w:rPr>
          <w:rFonts w:asciiTheme="majorHAnsi" w:hAnsiTheme="majorHAnsi" w:cs="Times New Roman"/>
          <w:b w:val="0"/>
          <w:sz w:val="24"/>
          <w:szCs w:val="24"/>
        </w:rPr>
        <w:t xml:space="preserve"> parte a PI din cele 95 transmise FNM, </w:t>
      </w:r>
      <w:r>
        <w:rPr>
          <w:rFonts w:asciiTheme="majorHAnsi" w:hAnsiTheme="majorHAnsi" w:cs="Times New Roman"/>
          <w:b w:val="0"/>
          <w:sz w:val="24"/>
          <w:szCs w:val="24"/>
        </w:rPr>
        <w:t>au fost</w:t>
      </w:r>
      <w:r w:rsidR="00AB4B0C" w:rsidRPr="008376FC">
        <w:rPr>
          <w:rFonts w:asciiTheme="majorHAnsi" w:hAnsiTheme="majorHAnsi" w:cs="Times New Roman"/>
          <w:b w:val="0"/>
          <w:sz w:val="24"/>
          <w:szCs w:val="24"/>
        </w:rPr>
        <w:t xml:space="preserve"> inițiate în anii 2013-2016, finanțarea acestora neavând un ritm consecvent, întreruperea în finanțare la unele PI variind chiar și p</w:t>
      </w:r>
      <w:r>
        <w:rPr>
          <w:rFonts w:asciiTheme="majorHAnsi" w:hAnsiTheme="majorHAnsi" w:cs="Times New Roman"/>
          <w:b w:val="0"/>
          <w:sz w:val="24"/>
          <w:szCs w:val="24"/>
        </w:rPr>
        <w:t>â</w:t>
      </w:r>
      <w:r w:rsidR="00AB4B0C" w:rsidRPr="008376FC">
        <w:rPr>
          <w:rFonts w:asciiTheme="majorHAnsi" w:hAnsiTheme="majorHAnsi" w:cs="Times New Roman"/>
          <w:b w:val="0"/>
          <w:sz w:val="24"/>
          <w:szCs w:val="24"/>
        </w:rPr>
        <w:t>nă la 3 ani consecutivi, ceea ce a determinat extinderea termenului de executare a lucrărilor pe perioade îndelungate, la unele PI chiar de durata de până la 10 ani</w:t>
      </w:r>
      <w:r w:rsidR="00AB4B0C" w:rsidRPr="00510CDB">
        <w:rPr>
          <w:rFonts w:asciiTheme="majorHAnsi" w:hAnsiTheme="majorHAnsi" w:cs="Times New Roman"/>
          <w:b w:val="0"/>
          <w:sz w:val="24"/>
          <w:szCs w:val="24"/>
        </w:rPr>
        <w:t xml:space="preserve">. </w:t>
      </w:r>
      <w:r w:rsidR="00BC28D6" w:rsidRPr="00510CDB">
        <w:rPr>
          <w:rFonts w:asciiTheme="majorHAnsi" w:hAnsiTheme="majorHAnsi" w:cs="Times New Roman"/>
          <w:b w:val="0"/>
          <w:sz w:val="24"/>
          <w:szCs w:val="24"/>
        </w:rPr>
        <w:t>În acest sens</w:t>
      </w:r>
      <w:r w:rsidR="002473C0" w:rsidRPr="00510CDB">
        <w:rPr>
          <w:rFonts w:asciiTheme="majorHAnsi" w:hAnsiTheme="majorHAnsi" w:cs="Times New Roman"/>
          <w:b w:val="0"/>
          <w:sz w:val="24"/>
          <w:szCs w:val="24"/>
        </w:rPr>
        <w:t>,</w:t>
      </w:r>
      <w:r w:rsidR="00BB41AE" w:rsidRPr="00510CDB">
        <w:rPr>
          <w:rFonts w:asciiTheme="majorHAnsi" w:hAnsiTheme="majorHAnsi" w:cs="Times New Roman"/>
          <w:b w:val="0"/>
          <w:sz w:val="24"/>
          <w:szCs w:val="24"/>
        </w:rPr>
        <w:t xml:space="preserve"> exemplificăm</w:t>
      </w:r>
      <w:r w:rsidR="00032155" w:rsidRPr="00510CDB">
        <w:rPr>
          <w:rFonts w:asciiTheme="majorHAnsi" w:hAnsiTheme="majorHAnsi" w:cs="Times New Roman"/>
          <w:b w:val="0"/>
          <w:sz w:val="24"/>
          <w:szCs w:val="24"/>
        </w:rPr>
        <w:t xml:space="preserve"> </w:t>
      </w:r>
      <w:r w:rsidR="00BC28D6" w:rsidRPr="00510CDB">
        <w:rPr>
          <w:rFonts w:asciiTheme="majorHAnsi" w:hAnsiTheme="majorHAnsi" w:cs="Times New Roman"/>
          <w:b w:val="0"/>
          <w:sz w:val="24"/>
          <w:szCs w:val="24"/>
        </w:rPr>
        <w:t>PI  „Complex de asigurare cu apă potabilă a localităților din raionul H</w:t>
      </w:r>
      <w:r w:rsidR="00354ECD" w:rsidRPr="00510CDB">
        <w:rPr>
          <w:rFonts w:asciiTheme="majorHAnsi" w:hAnsiTheme="majorHAnsi" w:cs="Times New Roman"/>
          <w:b w:val="0"/>
          <w:sz w:val="24"/>
          <w:szCs w:val="24"/>
        </w:rPr>
        <w:t>â</w:t>
      </w:r>
      <w:r w:rsidR="00BC28D6" w:rsidRPr="00510CDB">
        <w:rPr>
          <w:rFonts w:asciiTheme="majorHAnsi" w:hAnsiTheme="majorHAnsi" w:cs="Times New Roman"/>
          <w:b w:val="0"/>
          <w:sz w:val="24"/>
          <w:szCs w:val="24"/>
        </w:rPr>
        <w:t>ncești</w:t>
      </w:r>
      <w:r w:rsidR="00354ECD" w:rsidRPr="00510CDB">
        <w:rPr>
          <w:rFonts w:asciiTheme="majorHAnsi" w:hAnsiTheme="majorHAnsi" w:cs="Times New Roman"/>
          <w:b w:val="0"/>
          <w:sz w:val="24"/>
          <w:szCs w:val="24"/>
        </w:rPr>
        <w:t>,</w:t>
      </w:r>
      <w:r w:rsidR="00BC28D6" w:rsidRPr="00510CDB">
        <w:rPr>
          <w:rFonts w:asciiTheme="majorHAnsi" w:hAnsiTheme="majorHAnsi" w:cs="Times New Roman"/>
          <w:b w:val="0"/>
          <w:sz w:val="24"/>
          <w:szCs w:val="24"/>
        </w:rPr>
        <w:t xml:space="preserve"> </w:t>
      </w:r>
      <w:r w:rsidR="00354ECD" w:rsidRPr="00510CDB">
        <w:rPr>
          <w:rFonts w:asciiTheme="majorHAnsi" w:hAnsiTheme="majorHAnsi" w:cs="Times New Roman"/>
          <w:b w:val="0"/>
          <w:sz w:val="24"/>
          <w:szCs w:val="24"/>
        </w:rPr>
        <w:t>l</w:t>
      </w:r>
      <w:r w:rsidR="00BC28D6" w:rsidRPr="00510CDB">
        <w:rPr>
          <w:rFonts w:asciiTheme="majorHAnsi" w:hAnsiTheme="majorHAnsi" w:cs="Times New Roman"/>
          <w:b w:val="0"/>
          <w:sz w:val="24"/>
          <w:szCs w:val="24"/>
        </w:rPr>
        <w:t>ocalitățile din lunca r</w:t>
      </w:r>
      <w:r w:rsidR="00354ECD" w:rsidRPr="00510CDB">
        <w:rPr>
          <w:rFonts w:asciiTheme="majorHAnsi" w:hAnsiTheme="majorHAnsi" w:cs="Times New Roman"/>
          <w:b w:val="0"/>
          <w:sz w:val="24"/>
          <w:szCs w:val="24"/>
        </w:rPr>
        <w:t>â</w:t>
      </w:r>
      <w:r w:rsidR="00BC28D6" w:rsidRPr="00510CDB">
        <w:rPr>
          <w:rFonts w:asciiTheme="majorHAnsi" w:hAnsiTheme="majorHAnsi" w:cs="Times New Roman"/>
          <w:b w:val="0"/>
          <w:sz w:val="24"/>
          <w:szCs w:val="24"/>
        </w:rPr>
        <w:t>ului Prut” (67,2 mil.lei), care a fost inițiat în 2013</w:t>
      </w:r>
      <w:r w:rsidR="00354ECD" w:rsidRPr="00510CDB">
        <w:rPr>
          <w:rFonts w:asciiTheme="majorHAnsi" w:hAnsiTheme="majorHAnsi" w:cs="Times New Roman"/>
          <w:b w:val="0"/>
          <w:sz w:val="24"/>
          <w:szCs w:val="24"/>
        </w:rPr>
        <w:t>.</w:t>
      </w:r>
      <w:r w:rsidR="00BC28D6" w:rsidRPr="00510CDB">
        <w:rPr>
          <w:rFonts w:asciiTheme="majorHAnsi" w:hAnsiTheme="majorHAnsi" w:cs="Times New Roman"/>
          <w:b w:val="0"/>
          <w:sz w:val="24"/>
          <w:szCs w:val="24"/>
        </w:rPr>
        <w:t xml:space="preserve"> FEN a aprobat spre finanțare 78,62 mil.lei, a finanțat 68,83 mil.lei, sold</w:t>
      </w:r>
      <w:r w:rsidR="00354ECD" w:rsidRPr="00510CDB">
        <w:rPr>
          <w:rFonts w:asciiTheme="majorHAnsi" w:hAnsiTheme="majorHAnsi" w:cs="Times New Roman"/>
          <w:b w:val="0"/>
          <w:sz w:val="24"/>
          <w:szCs w:val="24"/>
        </w:rPr>
        <w:t>ul</w:t>
      </w:r>
      <w:r w:rsidR="00BC28D6" w:rsidRPr="00510CDB">
        <w:rPr>
          <w:rFonts w:asciiTheme="majorHAnsi" w:hAnsiTheme="majorHAnsi" w:cs="Times New Roman"/>
          <w:b w:val="0"/>
          <w:sz w:val="24"/>
          <w:szCs w:val="24"/>
        </w:rPr>
        <w:t xml:space="preserve"> nefinanțat a constituit 4,26 mil.lei. Finanțarea s-a efectuat în </w:t>
      </w:r>
      <w:r w:rsidR="00B071CD" w:rsidRPr="00510CDB">
        <w:rPr>
          <w:rFonts w:asciiTheme="majorHAnsi" w:hAnsiTheme="majorHAnsi" w:cs="Times New Roman"/>
          <w:b w:val="0"/>
          <w:sz w:val="24"/>
          <w:szCs w:val="24"/>
        </w:rPr>
        <w:t xml:space="preserve">5 </w:t>
      </w:r>
      <w:r w:rsidR="00BC28D6" w:rsidRPr="00510CDB">
        <w:rPr>
          <w:rFonts w:asciiTheme="majorHAnsi" w:hAnsiTheme="majorHAnsi" w:cs="Times New Roman"/>
          <w:b w:val="0"/>
          <w:sz w:val="24"/>
          <w:szCs w:val="24"/>
        </w:rPr>
        <w:t xml:space="preserve"> </w:t>
      </w:r>
      <w:r w:rsidR="00B071CD" w:rsidRPr="00510CDB">
        <w:rPr>
          <w:rFonts w:asciiTheme="majorHAnsi" w:hAnsiTheme="majorHAnsi" w:cs="Times New Roman"/>
          <w:b w:val="0"/>
          <w:sz w:val="24"/>
          <w:szCs w:val="24"/>
        </w:rPr>
        <w:t>etape</w:t>
      </w:r>
      <w:r w:rsidR="00BC28D6" w:rsidRPr="00510CDB">
        <w:rPr>
          <w:rStyle w:val="ab"/>
          <w:rFonts w:asciiTheme="majorHAnsi" w:hAnsiTheme="majorHAnsi" w:cs="Times New Roman"/>
          <w:b w:val="0"/>
          <w:sz w:val="24"/>
          <w:szCs w:val="24"/>
        </w:rPr>
        <w:footnoteReference w:id="38"/>
      </w:r>
      <w:r w:rsidR="00BC28D6" w:rsidRPr="00510CDB">
        <w:rPr>
          <w:rFonts w:asciiTheme="majorHAnsi" w:hAnsiTheme="majorHAnsi" w:cs="Times New Roman"/>
          <w:b w:val="0"/>
          <w:sz w:val="24"/>
          <w:szCs w:val="24"/>
        </w:rPr>
        <w:t>. Finanțarea a fost sistată pentru  anii  2014, 2015, 2017 și 2019. Ultima tran</w:t>
      </w:r>
      <w:r w:rsidR="00354ECD" w:rsidRPr="00510CDB">
        <w:rPr>
          <w:rFonts w:asciiTheme="majorHAnsi" w:hAnsiTheme="majorHAnsi" w:cs="Times New Roman"/>
          <w:b w:val="0"/>
          <w:sz w:val="24"/>
          <w:szCs w:val="24"/>
        </w:rPr>
        <w:t>ș</w:t>
      </w:r>
      <w:r w:rsidR="00BC28D6" w:rsidRPr="00510CDB">
        <w:rPr>
          <w:rFonts w:asciiTheme="majorHAnsi" w:hAnsiTheme="majorHAnsi" w:cs="Times New Roman"/>
          <w:b w:val="0"/>
          <w:sz w:val="24"/>
          <w:szCs w:val="24"/>
        </w:rPr>
        <w:t>ă de finanțare s-a efectuat în 2021.</w:t>
      </w:r>
    </w:p>
    <w:p w:rsidR="0088086E" w:rsidRDefault="00AB4B0C" w:rsidP="00F61756">
      <w:pPr>
        <w:spacing w:after="0" w:line="276" w:lineRule="auto"/>
        <w:jc w:val="both"/>
        <w:rPr>
          <w:rFonts w:asciiTheme="majorHAnsi" w:hAnsiTheme="majorHAnsi"/>
        </w:rPr>
      </w:pPr>
      <w:r w:rsidRPr="008376FC">
        <w:rPr>
          <w:rFonts w:asciiTheme="majorHAnsi" w:hAnsiTheme="majorHAnsi" w:cs="Times New Roman"/>
          <w:b w:val="0"/>
          <w:sz w:val="24"/>
          <w:szCs w:val="24"/>
        </w:rPr>
        <w:t xml:space="preserve"> </w:t>
      </w:r>
      <w:r w:rsidR="00707749" w:rsidRPr="008376FC">
        <w:rPr>
          <w:rFonts w:asciiTheme="majorHAnsi" w:hAnsiTheme="majorHAnsi"/>
          <w:b w:val="0"/>
          <w:sz w:val="24"/>
          <w:szCs w:val="24"/>
        </w:rPr>
        <w:t xml:space="preserve">Divizarea și finanțarea PI pe etape afectează ritmicitatea finanțării </w:t>
      </w:r>
      <w:r w:rsidR="00B03973">
        <w:rPr>
          <w:rFonts w:asciiTheme="majorHAnsi" w:hAnsiTheme="majorHAnsi"/>
          <w:b w:val="0"/>
          <w:sz w:val="24"/>
          <w:szCs w:val="24"/>
        </w:rPr>
        <w:t>lor,</w:t>
      </w:r>
      <w:r w:rsidR="00707749" w:rsidRPr="008376FC">
        <w:rPr>
          <w:rFonts w:asciiTheme="majorHAnsi" w:hAnsiTheme="majorHAnsi"/>
          <w:b w:val="0"/>
          <w:sz w:val="24"/>
          <w:szCs w:val="24"/>
        </w:rPr>
        <w:t xml:space="preserve"> duce la tergiversarea finalizării PI inițiate și la suportarea costurilor suplimentare at</w:t>
      </w:r>
      <w:r w:rsidR="002C03EE">
        <w:rPr>
          <w:rFonts w:asciiTheme="majorHAnsi" w:hAnsiTheme="majorHAnsi"/>
          <w:b w:val="0"/>
          <w:sz w:val="24"/>
          <w:szCs w:val="24"/>
        </w:rPr>
        <w:t>â</w:t>
      </w:r>
      <w:r w:rsidR="00707749" w:rsidRPr="008376FC">
        <w:rPr>
          <w:rFonts w:asciiTheme="majorHAnsi" w:hAnsiTheme="majorHAnsi"/>
          <w:b w:val="0"/>
          <w:sz w:val="24"/>
          <w:szCs w:val="24"/>
        </w:rPr>
        <w:t>t de FEN</w:t>
      </w:r>
      <w:r w:rsidR="002C03EE">
        <w:rPr>
          <w:rFonts w:asciiTheme="majorHAnsi" w:hAnsiTheme="majorHAnsi"/>
          <w:b w:val="0"/>
          <w:sz w:val="24"/>
          <w:szCs w:val="24"/>
        </w:rPr>
        <w:t>,</w:t>
      </w:r>
      <w:r w:rsidR="00707749" w:rsidRPr="008376FC">
        <w:rPr>
          <w:rFonts w:asciiTheme="majorHAnsi" w:hAnsiTheme="majorHAnsi"/>
          <w:b w:val="0"/>
          <w:sz w:val="24"/>
          <w:szCs w:val="24"/>
        </w:rPr>
        <w:t xml:space="preserve"> c</w:t>
      </w:r>
      <w:r w:rsidR="002C03EE">
        <w:rPr>
          <w:rFonts w:asciiTheme="majorHAnsi" w:hAnsiTheme="majorHAnsi"/>
          <w:b w:val="0"/>
          <w:sz w:val="24"/>
          <w:szCs w:val="24"/>
        </w:rPr>
        <w:t>â</w:t>
      </w:r>
      <w:r w:rsidR="00707749" w:rsidRPr="008376FC">
        <w:rPr>
          <w:rFonts w:asciiTheme="majorHAnsi" w:hAnsiTheme="majorHAnsi"/>
          <w:b w:val="0"/>
          <w:sz w:val="24"/>
          <w:szCs w:val="24"/>
        </w:rPr>
        <w:t xml:space="preserve">t și de beneficiar. </w:t>
      </w:r>
      <w:r w:rsidR="00BC28D6" w:rsidRPr="00D65EF7">
        <w:rPr>
          <w:rFonts w:asciiTheme="majorHAnsi" w:hAnsiTheme="majorHAnsi"/>
          <w:b w:val="0"/>
          <w:sz w:val="24"/>
          <w:szCs w:val="24"/>
        </w:rPr>
        <w:t>Situația este condiționată de modul de repartizare a alocațiilor, conform căruia alocarea finanțării unei etape</w:t>
      </w:r>
      <w:r w:rsidR="00707749" w:rsidRPr="00D65EF7">
        <w:rPr>
          <w:rFonts w:asciiTheme="majorHAnsi" w:hAnsiTheme="majorHAnsi"/>
          <w:b w:val="0"/>
          <w:sz w:val="24"/>
          <w:szCs w:val="24"/>
        </w:rPr>
        <w:t xml:space="preserve"> variază de la 0</w:t>
      </w:r>
      <w:r w:rsidR="00B03973" w:rsidRPr="00D65EF7">
        <w:rPr>
          <w:rFonts w:asciiTheme="majorHAnsi" w:hAnsiTheme="majorHAnsi"/>
          <w:b w:val="0"/>
          <w:sz w:val="24"/>
          <w:szCs w:val="24"/>
        </w:rPr>
        <w:t>,</w:t>
      </w:r>
      <w:r w:rsidR="00707749" w:rsidRPr="00D65EF7">
        <w:rPr>
          <w:rFonts w:asciiTheme="majorHAnsi" w:hAnsiTheme="majorHAnsi"/>
          <w:b w:val="0"/>
          <w:sz w:val="24"/>
          <w:szCs w:val="24"/>
        </w:rPr>
        <w:t>5 mil.lei până la 2 mil.lei pe an. În consecință, beneficiarii PI sunt puși în</w:t>
      </w:r>
      <w:r w:rsidR="00707749" w:rsidRPr="008376FC">
        <w:rPr>
          <w:rFonts w:asciiTheme="majorHAnsi" w:hAnsiTheme="majorHAnsi"/>
          <w:b w:val="0"/>
          <w:sz w:val="24"/>
          <w:szCs w:val="24"/>
        </w:rPr>
        <w:t xml:space="preserve"> situația de a revizui documentația inițială de proiect, precum și să accepte majorarea valorii contractelor, ca urmare a majorării prețurilor materialelor de construcție sau chiar abandonarea finanțării unor proiecte. Condițiile de finanțare stabilite în cadrul FEN au condiționat și situații în care PI inițiate în anii precedenți au devenit ineficien</w:t>
      </w:r>
      <w:r w:rsidR="00E150DE">
        <w:rPr>
          <w:rFonts w:asciiTheme="majorHAnsi" w:hAnsiTheme="majorHAnsi"/>
          <w:b w:val="0"/>
          <w:sz w:val="24"/>
          <w:szCs w:val="24"/>
        </w:rPr>
        <w:t>te</w:t>
      </w:r>
      <w:r w:rsidR="00707749" w:rsidRPr="008376FC">
        <w:rPr>
          <w:rFonts w:asciiTheme="majorHAnsi" w:hAnsiTheme="majorHAnsi"/>
          <w:b w:val="0"/>
          <w:sz w:val="24"/>
          <w:szCs w:val="24"/>
        </w:rPr>
        <w:t xml:space="preserve"> pentru investiții</w:t>
      </w:r>
      <w:r w:rsidR="00E150DE">
        <w:rPr>
          <w:rFonts w:asciiTheme="majorHAnsi" w:hAnsiTheme="majorHAnsi"/>
          <w:b w:val="0"/>
          <w:sz w:val="24"/>
          <w:szCs w:val="24"/>
        </w:rPr>
        <w:t>le</w:t>
      </w:r>
      <w:r w:rsidR="00707749" w:rsidRPr="008376FC">
        <w:rPr>
          <w:rFonts w:asciiTheme="majorHAnsi" w:hAnsiTheme="majorHAnsi"/>
          <w:b w:val="0"/>
          <w:sz w:val="24"/>
          <w:szCs w:val="24"/>
        </w:rPr>
        <w:t xml:space="preserve"> planificate, fie din cauza diminuării beneficiarilor reali, fie din cauza învechirii morale a echipamentelor/tehnologiilor proiectate inițial</w:t>
      </w:r>
      <w:r w:rsidR="00707749" w:rsidRPr="008376FC">
        <w:rPr>
          <w:rFonts w:asciiTheme="majorHAnsi" w:hAnsiTheme="majorHAnsi"/>
        </w:rPr>
        <w:t>.</w:t>
      </w:r>
    </w:p>
    <w:p w:rsidR="0088086E" w:rsidRDefault="0088086E" w:rsidP="00F61756">
      <w:pPr>
        <w:spacing w:after="0" w:line="276" w:lineRule="auto"/>
        <w:jc w:val="both"/>
        <w:rPr>
          <w:rFonts w:asciiTheme="majorHAnsi" w:hAnsiTheme="majorHAnsi"/>
        </w:rPr>
      </w:pPr>
    </w:p>
    <w:p w:rsidR="007261A5" w:rsidRPr="008376FC" w:rsidRDefault="007261A5" w:rsidP="00F61756">
      <w:pPr>
        <w:pStyle w:val="a3"/>
        <w:numPr>
          <w:ilvl w:val="0"/>
          <w:numId w:val="32"/>
        </w:numPr>
        <w:spacing w:line="276" w:lineRule="auto"/>
        <w:jc w:val="both"/>
        <w:rPr>
          <w:rFonts w:asciiTheme="majorHAnsi" w:hAnsiTheme="majorHAnsi"/>
          <w:b/>
        </w:rPr>
      </w:pPr>
      <w:r w:rsidRPr="008376FC">
        <w:rPr>
          <w:rFonts w:asciiTheme="majorHAnsi" w:hAnsiTheme="majorHAnsi"/>
          <w:b/>
          <w:lang w:val="ro-RO"/>
        </w:rPr>
        <w:t>Ritmicitatea finanțării</w:t>
      </w:r>
    </w:p>
    <w:p w:rsidR="007261A5" w:rsidRPr="008376FC" w:rsidRDefault="007261A5" w:rsidP="00F61756">
      <w:pPr>
        <w:pStyle w:val="a3"/>
        <w:spacing w:line="276" w:lineRule="auto"/>
        <w:jc w:val="both"/>
        <w:rPr>
          <w:rFonts w:asciiTheme="majorHAnsi" w:hAnsiTheme="majorHAnsi"/>
        </w:rPr>
      </w:pPr>
    </w:p>
    <w:p w:rsidR="007261A5" w:rsidRPr="00D65EF7" w:rsidRDefault="00BC28D6" w:rsidP="00F61756">
      <w:pPr>
        <w:spacing w:line="276" w:lineRule="auto"/>
        <w:jc w:val="both"/>
        <w:rPr>
          <w:rFonts w:asciiTheme="majorHAnsi" w:hAnsiTheme="majorHAnsi" w:cs="Times New Roman"/>
          <w:b w:val="0"/>
          <w:sz w:val="24"/>
          <w:szCs w:val="24"/>
        </w:rPr>
      </w:pPr>
      <w:r w:rsidRPr="00D65EF7">
        <w:rPr>
          <w:rFonts w:asciiTheme="majorHAnsi" w:hAnsiTheme="majorHAnsi" w:cs="Times New Roman"/>
          <w:b w:val="0"/>
          <w:sz w:val="24"/>
          <w:szCs w:val="24"/>
        </w:rPr>
        <w:t>Se atestă că, unele PI finanțate din FEN care au avut o perioadă îndelungată de executare și care până la reorganizarea FEN în FNM nu au fost finalizate, iar finanțarea în continuare a lucrărilor este una incertă, având în vedere deficultățile care le întâmpină FNM în inițierea finanțării proiectelor preluate din FEN. De menționat că în cadrul FNM au fost aprobate reguli noi de finanțare pentru PI noi (prin apel și finanțare directă), iar pentru cele 95 de PI preluate din FEN, va fi aplicată procedura veche de finanțare, cu divizarea finanțărilor în mai multe etape</w:t>
      </w:r>
      <w:r w:rsidR="007261A5" w:rsidRPr="00D65EF7">
        <w:rPr>
          <w:rFonts w:asciiTheme="majorHAnsi" w:hAnsiTheme="majorHAnsi" w:cs="Times New Roman"/>
          <w:b w:val="0"/>
          <w:sz w:val="24"/>
          <w:szCs w:val="24"/>
        </w:rPr>
        <w:t>.</w:t>
      </w:r>
    </w:p>
    <w:p w:rsidR="00707749" w:rsidRPr="00D65EF7" w:rsidRDefault="00BC28D6" w:rsidP="00F61756">
      <w:pPr>
        <w:spacing w:line="276" w:lineRule="auto"/>
        <w:jc w:val="both"/>
        <w:rPr>
          <w:rFonts w:asciiTheme="majorHAnsi" w:hAnsiTheme="majorHAnsi" w:cs="Times New Roman"/>
          <w:b w:val="0"/>
          <w:sz w:val="24"/>
          <w:szCs w:val="24"/>
        </w:rPr>
      </w:pPr>
      <w:r w:rsidRPr="00D65EF7">
        <w:rPr>
          <w:rFonts w:asciiTheme="majorHAnsi" w:hAnsiTheme="majorHAnsi" w:cs="Times New Roman"/>
          <w:b w:val="0"/>
          <w:sz w:val="24"/>
          <w:szCs w:val="24"/>
        </w:rPr>
        <w:t>Totodată, din noiembrie 2022 și până în februarie 2023 nu a fost efectuată nicio finanțare, principala cauză fiind necrearea Consiliului de administrație al FNM, prin ale cărui decizii urmau a fi încheiate contracte de finanțare noi.</w:t>
      </w:r>
    </w:p>
    <w:p w:rsidR="00707749" w:rsidRDefault="00707749" w:rsidP="00F61756">
      <w:pPr>
        <w:spacing w:after="0" w:line="276" w:lineRule="auto"/>
        <w:jc w:val="both"/>
        <w:rPr>
          <w:rFonts w:asciiTheme="majorHAnsi" w:hAnsiTheme="majorHAnsi" w:cs="Times New Roman"/>
          <w:b w:val="0"/>
          <w:sz w:val="24"/>
          <w:szCs w:val="24"/>
        </w:rPr>
      </w:pPr>
      <w:r w:rsidRPr="00D65EF7">
        <w:rPr>
          <w:rFonts w:asciiTheme="majorHAnsi" w:hAnsiTheme="majorHAnsi" w:cs="Times New Roman"/>
          <w:b w:val="0"/>
          <w:sz w:val="24"/>
          <w:szCs w:val="24"/>
        </w:rPr>
        <w:t>Continuarea</w:t>
      </w:r>
      <w:r w:rsidR="001F5279" w:rsidRPr="00D65EF7">
        <w:rPr>
          <w:rFonts w:asciiTheme="majorHAnsi" w:hAnsiTheme="majorHAnsi" w:cs="Times New Roman"/>
          <w:b w:val="0"/>
          <w:sz w:val="24"/>
          <w:szCs w:val="24"/>
        </w:rPr>
        <w:t xml:space="preserve"> în cadrul FNM a</w:t>
      </w:r>
      <w:r w:rsidRPr="00D65EF7">
        <w:rPr>
          <w:rFonts w:asciiTheme="majorHAnsi" w:hAnsiTheme="majorHAnsi" w:cs="Times New Roman"/>
          <w:b w:val="0"/>
          <w:sz w:val="24"/>
          <w:szCs w:val="24"/>
        </w:rPr>
        <w:t xml:space="preserve"> abordărilor de finanțare a proiectelor investiționale pe etape </w:t>
      </w:r>
      <w:r w:rsidR="00BC28D6" w:rsidRPr="00D65EF7">
        <w:rPr>
          <w:rFonts w:asciiTheme="majorHAnsi" w:hAnsiTheme="majorHAnsi" w:cs="Times New Roman"/>
          <w:b w:val="0"/>
          <w:sz w:val="24"/>
          <w:szCs w:val="24"/>
        </w:rPr>
        <w:t>nu asigură finalitatea proiectelor în termenele convenite cu antreprenorii</w:t>
      </w:r>
      <w:r w:rsidRPr="00D65EF7">
        <w:rPr>
          <w:rFonts w:asciiTheme="majorHAnsi" w:hAnsiTheme="majorHAnsi" w:cs="Times New Roman"/>
          <w:b w:val="0"/>
          <w:sz w:val="24"/>
          <w:szCs w:val="24"/>
        </w:rPr>
        <w:t xml:space="preserve"> și condiționează</w:t>
      </w:r>
      <w:r w:rsidRPr="008376FC">
        <w:rPr>
          <w:rFonts w:asciiTheme="majorHAnsi" w:hAnsiTheme="majorHAnsi" w:cs="Times New Roman"/>
          <w:b w:val="0"/>
          <w:sz w:val="24"/>
          <w:szCs w:val="24"/>
        </w:rPr>
        <w:t xml:space="preserve"> costuri suplimentare atât pentru FEN, cât și pentru beneficiar</w:t>
      </w:r>
      <w:r w:rsidR="00E150DE">
        <w:rPr>
          <w:rFonts w:asciiTheme="majorHAnsi" w:hAnsiTheme="majorHAnsi" w:cs="Times New Roman"/>
          <w:b w:val="0"/>
          <w:sz w:val="24"/>
          <w:szCs w:val="24"/>
        </w:rPr>
        <w:t>, ca</w:t>
      </w:r>
      <w:r w:rsidRPr="008376FC">
        <w:rPr>
          <w:rFonts w:asciiTheme="majorHAnsi" w:hAnsiTheme="majorHAnsi" w:cs="Times New Roman"/>
          <w:b w:val="0"/>
          <w:sz w:val="24"/>
          <w:szCs w:val="24"/>
        </w:rPr>
        <w:t xml:space="preserve"> urmare a majorării valorii contractelor de antrepriză</w:t>
      </w:r>
      <w:r w:rsidRPr="00A109DA">
        <w:rPr>
          <w:rFonts w:asciiTheme="majorHAnsi" w:hAnsiTheme="majorHAnsi" w:cs="Times New Roman"/>
          <w:b w:val="0"/>
          <w:sz w:val="24"/>
          <w:szCs w:val="24"/>
        </w:rPr>
        <w:t>.</w:t>
      </w:r>
      <w:r w:rsidRPr="008376FC">
        <w:rPr>
          <w:rFonts w:asciiTheme="majorHAnsi" w:hAnsiTheme="majorHAnsi" w:cs="Times New Roman"/>
          <w:i/>
          <w:sz w:val="24"/>
          <w:szCs w:val="24"/>
        </w:rPr>
        <w:t xml:space="preserve"> </w:t>
      </w:r>
      <w:r w:rsidR="001F5279" w:rsidRPr="008376FC">
        <w:rPr>
          <w:rFonts w:asciiTheme="majorHAnsi" w:hAnsiTheme="majorHAnsi" w:cs="Times New Roman"/>
          <w:b w:val="0"/>
          <w:sz w:val="24"/>
          <w:szCs w:val="24"/>
        </w:rPr>
        <w:t>Consecințele abordărilor aplicate de FEN în anii 2014-2022 au dus la fap</w:t>
      </w:r>
      <w:r w:rsidR="00E150DE">
        <w:rPr>
          <w:rFonts w:asciiTheme="majorHAnsi" w:hAnsiTheme="majorHAnsi" w:cs="Times New Roman"/>
          <w:b w:val="0"/>
          <w:sz w:val="24"/>
          <w:szCs w:val="24"/>
        </w:rPr>
        <w:t>t</w:t>
      </w:r>
      <w:r w:rsidR="001F5279" w:rsidRPr="008376FC">
        <w:rPr>
          <w:rFonts w:asciiTheme="majorHAnsi" w:hAnsiTheme="majorHAnsi" w:cs="Times New Roman"/>
          <w:b w:val="0"/>
          <w:sz w:val="24"/>
          <w:szCs w:val="24"/>
        </w:rPr>
        <w:t>ul că unele proiecte inițiate în 2014-2016 nu sunt finalizate nicu p</w:t>
      </w:r>
      <w:r w:rsidR="00E150DE">
        <w:rPr>
          <w:rFonts w:asciiTheme="majorHAnsi" w:hAnsiTheme="majorHAnsi" w:cs="Times New Roman"/>
          <w:b w:val="0"/>
          <w:sz w:val="24"/>
          <w:szCs w:val="24"/>
        </w:rPr>
        <w:t>â</w:t>
      </w:r>
      <w:r w:rsidR="001F5279" w:rsidRPr="008376FC">
        <w:rPr>
          <w:rFonts w:asciiTheme="majorHAnsi" w:hAnsiTheme="majorHAnsi" w:cs="Times New Roman"/>
          <w:b w:val="0"/>
          <w:sz w:val="24"/>
          <w:szCs w:val="24"/>
        </w:rPr>
        <w:t>nă în prezent, iar pop</w:t>
      </w:r>
      <w:r w:rsidR="00E150DE">
        <w:rPr>
          <w:rFonts w:asciiTheme="majorHAnsi" w:hAnsiTheme="majorHAnsi" w:cs="Times New Roman"/>
          <w:b w:val="0"/>
          <w:sz w:val="24"/>
          <w:szCs w:val="24"/>
        </w:rPr>
        <w:t>u</w:t>
      </w:r>
      <w:r w:rsidR="001F5279" w:rsidRPr="008376FC">
        <w:rPr>
          <w:rFonts w:asciiTheme="majorHAnsi" w:hAnsiTheme="majorHAnsi" w:cs="Times New Roman"/>
          <w:b w:val="0"/>
          <w:sz w:val="24"/>
          <w:szCs w:val="24"/>
        </w:rPr>
        <w:t>lația din localitățile respective nu a</w:t>
      </w:r>
      <w:r w:rsidR="00332411">
        <w:rPr>
          <w:rFonts w:asciiTheme="majorHAnsi" w:hAnsiTheme="majorHAnsi" w:cs="Times New Roman"/>
          <w:b w:val="0"/>
          <w:sz w:val="24"/>
          <w:szCs w:val="24"/>
        </w:rPr>
        <w:t>r</w:t>
      </w:r>
      <w:r w:rsidR="001F5279" w:rsidRPr="008376FC">
        <w:rPr>
          <w:rFonts w:asciiTheme="majorHAnsi" w:hAnsiTheme="majorHAnsi" w:cs="Times New Roman"/>
          <w:b w:val="0"/>
          <w:sz w:val="24"/>
          <w:szCs w:val="24"/>
        </w:rPr>
        <w:t>e a</w:t>
      </w:r>
      <w:r w:rsidR="00E150DE">
        <w:rPr>
          <w:rFonts w:asciiTheme="majorHAnsi" w:hAnsiTheme="majorHAnsi" w:cs="Times New Roman"/>
          <w:b w:val="0"/>
          <w:sz w:val="24"/>
          <w:szCs w:val="24"/>
        </w:rPr>
        <w:t>c</w:t>
      </w:r>
      <w:r w:rsidR="001F5279" w:rsidRPr="008376FC">
        <w:rPr>
          <w:rFonts w:asciiTheme="majorHAnsi" w:hAnsiTheme="majorHAnsi" w:cs="Times New Roman"/>
          <w:b w:val="0"/>
          <w:sz w:val="24"/>
          <w:szCs w:val="24"/>
        </w:rPr>
        <w:t xml:space="preserve">ces la apă </w:t>
      </w:r>
      <w:r w:rsidR="00332411">
        <w:rPr>
          <w:rFonts w:asciiTheme="majorHAnsi" w:hAnsiTheme="majorHAnsi" w:cs="Times New Roman"/>
          <w:b w:val="0"/>
          <w:sz w:val="24"/>
          <w:szCs w:val="24"/>
        </w:rPr>
        <w:t>și</w:t>
      </w:r>
      <w:r w:rsidR="001F5279" w:rsidRPr="008376FC">
        <w:rPr>
          <w:rFonts w:asciiTheme="majorHAnsi" w:hAnsiTheme="majorHAnsi" w:cs="Times New Roman"/>
          <w:b w:val="0"/>
          <w:sz w:val="24"/>
          <w:szCs w:val="24"/>
        </w:rPr>
        <w:t xml:space="preserve"> la canalizare. În acest sens</w:t>
      </w:r>
      <w:r w:rsidR="00332411">
        <w:rPr>
          <w:rFonts w:asciiTheme="majorHAnsi" w:hAnsiTheme="majorHAnsi" w:cs="Times New Roman"/>
          <w:b w:val="0"/>
          <w:sz w:val="24"/>
          <w:szCs w:val="24"/>
        </w:rPr>
        <w:t>,</w:t>
      </w:r>
      <w:r w:rsidR="001F5279" w:rsidRPr="008376FC">
        <w:rPr>
          <w:rFonts w:asciiTheme="majorHAnsi" w:hAnsiTheme="majorHAnsi" w:cs="Times New Roman"/>
          <w:b w:val="0"/>
          <w:sz w:val="24"/>
          <w:szCs w:val="24"/>
        </w:rPr>
        <w:t xml:space="preserve"> exemplificăm derularea unor proiecte finanțate din FEN.</w:t>
      </w:r>
    </w:p>
    <w:p w:rsidR="00032155" w:rsidRPr="008376FC" w:rsidRDefault="00032155" w:rsidP="00F61756">
      <w:pPr>
        <w:spacing w:after="0" w:line="276" w:lineRule="auto"/>
        <w:jc w:val="both"/>
        <w:rPr>
          <w:rFonts w:asciiTheme="majorHAnsi" w:hAnsiTheme="majorHAnsi" w:cs="Times New Roman"/>
          <w:b w:val="0"/>
          <w:sz w:val="24"/>
          <w:szCs w:val="24"/>
        </w:rPr>
      </w:pPr>
    </w:p>
    <w:p w:rsidR="00707749" w:rsidRPr="008376FC" w:rsidRDefault="007B3838" w:rsidP="00F61756">
      <w:pPr>
        <w:pStyle w:val="a3"/>
        <w:numPr>
          <w:ilvl w:val="0"/>
          <w:numId w:val="34"/>
        </w:numPr>
        <w:shd w:val="clear" w:color="auto" w:fill="FFFFFF" w:themeFill="background1"/>
        <w:spacing w:after="160" w:line="276" w:lineRule="auto"/>
        <w:ind w:left="0" w:firstLine="0"/>
        <w:jc w:val="both"/>
        <w:rPr>
          <w:rFonts w:asciiTheme="majorHAnsi" w:hAnsiTheme="majorHAnsi"/>
          <w:lang w:val="ro-RO"/>
        </w:rPr>
      </w:pPr>
      <w:r w:rsidRPr="008376FC">
        <w:rPr>
          <w:rFonts w:asciiTheme="majorHAnsi" w:hAnsiTheme="majorHAnsi"/>
          <w:b/>
          <w:lang w:val="ro-RO"/>
        </w:rPr>
        <w:t xml:space="preserve">Proiectul </w:t>
      </w:r>
      <w:r w:rsidR="00707749" w:rsidRPr="008376FC">
        <w:rPr>
          <w:rFonts w:asciiTheme="majorHAnsi" w:hAnsiTheme="majorHAnsi"/>
          <w:b/>
          <w:lang w:val="ro-RO"/>
        </w:rPr>
        <w:t>„Reţele de canalizare şi staţie de epurare din satul Ţ</w:t>
      </w:r>
      <w:r w:rsidR="00332411">
        <w:rPr>
          <w:rFonts w:asciiTheme="majorHAnsi" w:hAnsiTheme="majorHAnsi"/>
          <w:b/>
          <w:lang w:val="ro-RO"/>
        </w:rPr>
        <w:t>â</w:t>
      </w:r>
      <w:r w:rsidR="00707749" w:rsidRPr="008376FC">
        <w:rPr>
          <w:rFonts w:asciiTheme="majorHAnsi" w:hAnsiTheme="majorHAnsi"/>
          <w:b/>
          <w:lang w:val="ro-RO"/>
        </w:rPr>
        <w:t>nţăreni, r-nul Anenii Noi” (14,5 mil.lei)</w:t>
      </w:r>
    </w:p>
    <w:p w:rsidR="00707749" w:rsidRPr="008376FC" w:rsidRDefault="00707749" w:rsidP="00F61756">
      <w:pPr>
        <w:pStyle w:val="a3"/>
        <w:shd w:val="clear" w:color="auto" w:fill="FFFFFF" w:themeFill="background1"/>
        <w:spacing w:line="276" w:lineRule="auto"/>
        <w:jc w:val="both"/>
        <w:rPr>
          <w:rFonts w:asciiTheme="majorHAnsi" w:hAnsiTheme="majorHAnsi"/>
          <w:lang w:val="ro-RO"/>
        </w:rPr>
      </w:pPr>
    </w:p>
    <w:p w:rsidR="00707749" w:rsidRPr="008376FC" w:rsidRDefault="007B3838" w:rsidP="00F61756">
      <w:pPr>
        <w:shd w:val="clear" w:color="auto" w:fill="FFFFFF" w:themeFill="background1"/>
        <w:spacing w:line="276" w:lineRule="auto"/>
        <w:jc w:val="both"/>
        <w:rPr>
          <w:rFonts w:asciiTheme="majorHAnsi" w:eastAsia="Times New Roman" w:hAnsiTheme="majorHAnsi" w:cs="Times New Roman"/>
          <w:b w:val="0"/>
          <w:sz w:val="24"/>
          <w:szCs w:val="24"/>
        </w:rPr>
      </w:pPr>
      <w:r w:rsidRPr="008376FC">
        <w:rPr>
          <w:rFonts w:asciiTheme="majorHAnsi" w:hAnsiTheme="majorHAnsi" w:cs="Times New Roman"/>
          <w:b w:val="0"/>
          <w:sz w:val="24"/>
          <w:szCs w:val="24"/>
        </w:rPr>
        <w:t>Proiectul</w:t>
      </w:r>
      <w:r w:rsidR="00707749" w:rsidRPr="008376FC">
        <w:rPr>
          <w:rFonts w:asciiTheme="majorHAnsi" w:hAnsiTheme="majorHAnsi" w:cs="Times New Roman"/>
          <w:b w:val="0"/>
          <w:sz w:val="24"/>
          <w:szCs w:val="24"/>
        </w:rPr>
        <w:t xml:space="preserve"> </w:t>
      </w:r>
      <w:r w:rsidR="00EF544C">
        <w:rPr>
          <w:rFonts w:asciiTheme="majorHAnsi" w:hAnsiTheme="majorHAnsi" w:cs="Times New Roman"/>
          <w:b w:val="0"/>
          <w:sz w:val="24"/>
          <w:szCs w:val="24"/>
        </w:rPr>
        <w:t>a fost</w:t>
      </w:r>
      <w:r w:rsidR="00707749" w:rsidRPr="008376FC">
        <w:rPr>
          <w:rFonts w:asciiTheme="majorHAnsi" w:hAnsiTheme="majorHAnsi" w:cs="Times New Roman"/>
          <w:b w:val="0"/>
          <w:sz w:val="24"/>
          <w:szCs w:val="24"/>
        </w:rPr>
        <w:t xml:space="preserve"> inițiat în </w:t>
      </w:r>
      <w:r w:rsidR="00075E61">
        <w:rPr>
          <w:rFonts w:asciiTheme="majorHAnsi" w:hAnsiTheme="majorHAnsi" w:cs="Times New Roman"/>
          <w:b w:val="0"/>
          <w:sz w:val="24"/>
          <w:szCs w:val="24"/>
        </w:rPr>
        <w:t xml:space="preserve">anul </w:t>
      </w:r>
      <w:r w:rsidR="00707749" w:rsidRPr="008376FC">
        <w:rPr>
          <w:rFonts w:asciiTheme="majorHAnsi" w:hAnsiTheme="majorHAnsi" w:cs="Times New Roman"/>
          <w:b w:val="0"/>
          <w:sz w:val="24"/>
          <w:szCs w:val="24"/>
        </w:rPr>
        <w:t xml:space="preserve">2014. CA </w:t>
      </w:r>
      <w:r w:rsidR="001F5279" w:rsidRPr="008376FC">
        <w:rPr>
          <w:rFonts w:asciiTheme="majorHAnsi" w:hAnsiTheme="majorHAnsi" w:cs="Times New Roman"/>
          <w:b w:val="0"/>
          <w:sz w:val="24"/>
          <w:szCs w:val="24"/>
        </w:rPr>
        <w:t xml:space="preserve">al </w:t>
      </w:r>
      <w:r w:rsidR="00707749" w:rsidRPr="008376FC">
        <w:rPr>
          <w:rFonts w:asciiTheme="majorHAnsi" w:hAnsiTheme="majorHAnsi" w:cs="Times New Roman"/>
          <w:b w:val="0"/>
          <w:sz w:val="24"/>
          <w:szCs w:val="24"/>
        </w:rPr>
        <w:t>FEN a aprobat finanțarea în volum de 11,37 mil.lei, a fi</w:t>
      </w:r>
      <w:r w:rsidR="003749A7" w:rsidRPr="008376FC">
        <w:rPr>
          <w:rFonts w:asciiTheme="majorHAnsi" w:hAnsiTheme="majorHAnsi" w:cs="Times New Roman"/>
          <w:b w:val="0"/>
          <w:sz w:val="24"/>
          <w:szCs w:val="24"/>
        </w:rPr>
        <w:t>nanțat 6,83 mil.lei</w:t>
      </w:r>
      <w:r w:rsidR="00707749" w:rsidRPr="008376FC">
        <w:rPr>
          <w:rFonts w:asciiTheme="majorHAnsi" w:hAnsiTheme="majorHAnsi" w:cs="Times New Roman"/>
          <w:b w:val="0"/>
          <w:sz w:val="24"/>
          <w:szCs w:val="24"/>
        </w:rPr>
        <w:t>, sold</w:t>
      </w:r>
      <w:r w:rsidR="00EF544C">
        <w:rPr>
          <w:rFonts w:asciiTheme="majorHAnsi" w:hAnsiTheme="majorHAnsi" w:cs="Times New Roman"/>
          <w:b w:val="0"/>
          <w:sz w:val="24"/>
          <w:szCs w:val="24"/>
        </w:rPr>
        <w:t>ul</w:t>
      </w:r>
      <w:r w:rsidR="00707749" w:rsidRPr="008376FC">
        <w:rPr>
          <w:rFonts w:asciiTheme="majorHAnsi" w:hAnsiTheme="majorHAnsi" w:cs="Times New Roman"/>
          <w:b w:val="0"/>
          <w:sz w:val="24"/>
          <w:szCs w:val="24"/>
        </w:rPr>
        <w:t xml:space="preserve"> constituind 4,38 mil.lei. </w:t>
      </w:r>
      <w:r w:rsidR="00F64F6D" w:rsidRPr="008376FC">
        <w:rPr>
          <w:rFonts w:asciiTheme="majorHAnsi" w:hAnsiTheme="majorHAnsi" w:cs="Times New Roman"/>
          <w:b w:val="0"/>
          <w:sz w:val="24"/>
          <w:szCs w:val="24"/>
        </w:rPr>
        <w:t>F</w:t>
      </w:r>
      <w:r w:rsidR="00707749" w:rsidRPr="008376FC">
        <w:rPr>
          <w:rFonts w:asciiTheme="majorHAnsi" w:hAnsiTheme="majorHAnsi" w:cs="Times New Roman"/>
          <w:b w:val="0"/>
          <w:sz w:val="24"/>
          <w:szCs w:val="24"/>
        </w:rPr>
        <w:t>inanțarea a fost efectuată în 8 etape/tranșe de finanțare, cu sistarea finanțării în anii 2017-2019, ultina tran</w:t>
      </w:r>
      <w:r w:rsidR="00EF544C">
        <w:rPr>
          <w:rFonts w:asciiTheme="majorHAnsi" w:hAnsiTheme="majorHAnsi" w:cs="Times New Roman"/>
          <w:b w:val="0"/>
          <w:sz w:val="24"/>
          <w:szCs w:val="24"/>
        </w:rPr>
        <w:t>ș</w:t>
      </w:r>
      <w:r w:rsidR="00707749" w:rsidRPr="008376FC">
        <w:rPr>
          <w:rFonts w:asciiTheme="majorHAnsi" w:hAnsiTheme="majorHAnsi" w:cs="Times New Roman"/>
          <w:b w:val="0"/>
          <w:sz w:val="24"/>
          <w:szCs w:val="24"/>
        </w:rPr>
        <w:t>ă s-a efectuat în 2021. Gradul de finalizare a proiectului constituie 50,3%.</w:t>
      </w:r>
    </w:p>
    <w:p w:rsidR="00707749" w:rsidRPr="008376FC" w:rsidRDefault="007B3838" w:rsidP="00F61756">
      <w:pPr>
        <w:pStyle w:val="a3"/>
        <w:numPr>
          <w:ilvl w:val="0"/>
          <w:numId w:val="34"/>
        </w:numPr>
        <w:shd w:val="clear" w:color="auto" w:fill="FFFFFF" w:themeFill="background1"/>
        <w:spacing w:after="160" w:line="276" w:lineRule="auto"/>
        <w:ind w:left="0" w:firstLine="0"/>
        <w:jc w:val="both"/>
        <w:rPr>
          <w:rFonts w:asciiTheme="majorHAnsi" w:hAnsiTheme="majorHAnsi"/>
          <w:lang w:val="ro-RO"/>
        </w:rPr>
      </w:pPr>
      <w:r w:rsidRPr="008376FC">
        <w:rPr>
          <w:rFonts w:asciiTheme="majorHAnsi" w:hAnsiTheme="majorHAnsi"/>
          <w:b/>
          <w:lang w:val="ro-RO"/>
        </w:rPr>
        <w:t xml:space="preserve">Proiectul </w:t>
      </w:r>
      <w:r w:rsidR="00075E61">
        <w:rPr>
          <w:rFonts w:asciiTheme="majorHAnsi" w:hAnsiTheme="majorHAnsi"/>
          <w:b/>
          <w:lang w:val="ro-RO"/>
        </w:rPr>
        <w:t>„</w:t>
      </w:r>
      <w:r w:rsidR="00707749" w:rsidRPr="008376FC">
        <w:rPr>
          <w:rFonts w:asciiTheme="majorHAnsi" w:hAnsiTheme="majorHAnsi"/>
          <w:b/>
          <w:lang w:val="ro-RO"/>
        </w:rPr>
        <w:t>Construcţia apeductului pentru aprovizionarea cu apa potabilă și a sistemului de canalizare în sat</w:t>
      </w:r>
      <w:r w:rsidR="00075E61">
        <w:rPr>
          <w:rFonts w:asciiTheme="majorHAnsi" w:hAnsiTheme="majorHAnsi"/>
          <w:b/>
          <w:lang w:val="ro-RO"/>
        </w:rPr>
        <w:t>.</w:t>
      </w:r>
      <w:r w:rsidR="00707749" w:rsidRPr="008376FC">
        <w:rPr>
          <w:rFonts w:asciiTheme="majorHAnsi" w:hAnsiTheme="majorHAnsi"/>
          <w:b/>
          <w:lang w:val="ro-RO"/>
        </w:rPr>
        <w:t xml:space="preserve"> Baimaclia, r</w:t>
      </w:r>
      <w:r w:rsidR="00075E61">
        <w:rPr>
          <w:rFonts w:asciiTheme="majorHAnsi" w:hAnsiTheme="majorHAnsi"/>
          <w:b/>
          <w:lang w:val="ro-RO"/>
        </w:rPr>
        <w:t>-nu</w:t>
      </w:r>
      <w:r w:rsidR="00707749" w:rsidRPr="008376FC">
        <w:rPr>
          <w:rFonts w:asciiTheme="majorHAnsi" w:hAnsiTheme="majorHAnsi"/>
          <w:b/>
          <w:lang w:val="ro-RO"/>
        </w:rPr>
        <w:t>l Cantemir</w:t>
      </w:r>
      <w:r w:rsidR="00075E61">
        <w:rPr>
          <w:rFonts w:asciiTheme="majorHAnsi" w:hAnsiTheme="majorHAnsi"/>
          <w:b/>
          <w:lang w:val="ro-RO"/>
        </w:rPr>
        <w:t>”</w:t>
      </w:r>
      <w:r w:rsidR="00707749" w:rsidRPr="008376FC">
        <w:rPr>
          <w:rFonts w:asciiTheme="majorHAnsi" w:hAnsiTheme="majorHAnsi"/>
          <w:b/>
          <w:lang w:val="ro-RO"/>
        </w:rPr>
        <w:t xml:space="preserve"> (9,46 mil.lei)</w:t>
      </w:r>
    </w:p>
    <w:p w:rsidR="00707749" w:rsidRPr="008376FC" w:rsidRDefault="00707749" w:rsidP="00F61756">
      <w:pPr>
        <w:shd w:val="clear" w:color="auto" w:fill="FFFFFF" w:themeFill="background1"/>
        <w:spacing w:after="0"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P</w:t>
      </w:r>
      <w:r w:rsidR="007B3838" w:rsidRPr="008376FC">
        <w:rPr>
          <w:rFonts w:asciiTheme="majorHAnsi" w:hAnsiTheme="majorHAnsi" w:cs="Times New Roman"/>
          <w:b w:val="0"/>
          <w:sz w:val="24"/>
          <w:szCs w:val="24"/>
        </w:rPr>
        <w:t>roi</w:t>
      </w:r>
      <w:r w:rsidR="00C75489" w:rsidRPr="008376FC">
        <w:rPr>
          <w:rFonts w:asciiTheme="majorHAnsi" w:hAnsiTheme="majorHAnsi" w:cs="Times New Roman"/>
          <w:b w:val="0"/>
          <w:sz w:val="24"/>
          <w:szCs w:val="24"/>
        </w:rPr>
        <w:t>ectul</w:t>
      </w:r>
      <w:r w:rsidRPr="008376FC">
        <w:rPr>
          <w:rFonts w:asciiTheme="majorHAnsi" w:hAnsiTheme="majorHAnsi" w:cs="Times New Roman"/>
          <w:b w:val="0"/>
          <w:sz w:val="24"/>
          <w:szCs w:val="24"/>
        </w:rPr>
        <w:t xml:space="preserve"> a fost inițiat </w:t>
      </w:r>
      <w:r w:rsidR="00075E61">
        <w:rPr>
          <w:rFonts w:asciiTheme="majorHAnsi" w:hAnsiTheme="majorHAnsi" w:cs="Times New Roman"/>
          <w:b w:val="0"/>
          <w:sz w:val="24"/>
          <w:szCs w:val="24"/>
        </w:rPr>
        <w:t xml:space="preserve">la </w:t>
      </w:r>
      <w:r w:rsidRPr="008376FC">
        <w:rPr>
          <w:rFonts w:asciiTheme="majorHAnsi" w:hAnsiTheme="majorHAnsi" w:cs="Times New Roman"/>
          <w:b w:val="0"/>
          <w:sz w:val="24"/>
          <w:szCs w:val="24"/>
        </w:rPr>
        <w:t>12.06.2014, valoarea PI – 10,88 mil.lei</w:t>
      </w:r>
      <w:r w:rsidR="00F64F6D" w:rsidRPr="008376FC">
        <w:rPr>
          <w:rFonts w:asciiTheme="majorHAnsi" w:hAnsiTheme="majorHAnsi" w:cs="Times New Roman"/>
          <w:b w:val="0"/>
          <w:sz w:val="24"/>
          <w:szCs w:val="24"/>
        </w:rPr>
        <w:t>.</w:t>
      </w:r>
      <w:r w:rsidRPr="008376FC">
        <w:rPr>
          <w:rFonts w:asciiTheme="majorHAnsi" w:hAnsiTheme="majorHAnsi" w:cs="Times New Roman"/>
          <w:b w:val="0"/>
          <w:sz w:val="24"/>
          <w:szCs w:val="24"/>
        </w:rPr>
        <w:t xml:space="preserve"> FEN a aprobat spre finanțare 8,09 mil</w:t>
      </w:r>
      <w:r w:rsidR="00075E61">
        <w:rPr>
          <w:rFonts w:asciiTheme="majorHAnsi" w:hAnsiTheme="majorHAnsi" w:cs="Times New Roman"/>
          <w:b w:val="0"/>
          <w:sz w:val="24"/>
          <w:szCs w:val="24"/>
        </w:rPr>
        <w:t>.</w:t>
      </w:r>
      <w:r w:rsidRPr="008376FC">
        <w:rPr>
          <w:rFonts w:asciiTheme="majorHAnsi" w:hAnsiTheme="majorHAnsi" w:cs="Times New Roman"/>
          <w:b w:val="0"/>
          <w:sz w:val="24"/>
          <w:szCs w:val="24"/>
        </w:rPr>
        <w:t xml:space="preserve"> lei, a finanț</w:t>
      </w:r>
      <w:r w:rsidR="00F64F6D" w:rsidRPr="008376FC">
        <w:rPr>
          <w:rFonts w:asciiTheme="majorHAnsi" w:hAnsiTheme="majorHAnsi" w:cs="Times New Roman"/>
          <w:b w:val="0"/>
          <w:sz w:val="24"/>
          <w:szCs w:val="24"/>
        </w:rPr>
        <w:t>at 4,89 mil.lei</w:t>
      </w:r>
      <w:r w:rsidRPr="008376FC">
        <w:rPr>
          <w:rFonts w:asciiTheme="majorHAnsi" w:hAnsiTheme="majorHAnsi" w:cs="Times New Roman"/>
          <w:b w:val="0"/>
          <w:sz w:val="24"/>
          <w:szCs w:val="24"/>
        </w:rPr>
        <w:t>, sold</w:t>
      </w:r>
      <w:r w:rsidR="00075E61">
        <w:rPr>
          <w:rFonts w:asciiTheme="majorHAnsi" w:hAnsiTheme="majorHAnsi" w:cs="Times New Roman"/>
          <w:b w:val="0"/>
          <w:sz w:val="24"/>
          <w:szCs w:val="24"/>
        </w:rPr>
        <w:t>ul</w:t>
      </w:r>
      <w:r w:rsidRPr="008376FC">
        <w:rPr>
          <w:rFonts w:asciiTheme="majorHAnsi" w:hAnsiTheme="majorHAnsi" w:cs="Times New Roman"/>
          <w:b w:val="0"/>
          <w:sz w:val="24"/>
          <w:szCs w:val="24"/>
        </w:rPr>
        <w:t xml:space="preserve"> nefinanțat </w:t>
      </w:r>
      <w:r w:rsidR="00F64F6D" w:rsidRPr="008376FC">
        <w:rPr>
          <w:rFonts w:asciiTheme="majorHAnsi" w:hAnsiTheme="majorHAnsi" w:cs="Times New Roman"/>
          <w:b w:val="0"/>
          <w:sz w:val="24"/>
          <w:szCs w:val="24"/>
        </w:rPr>
        <w:t xml:space="preserve">de FEN </w:t>
      </w:r>
      <w:r w:rsidR="00075E61">
        <w:rPr>
          <w:rFonts w:asciiTheme="majorHAnsi" w:hAnsiTheme="majorHAnsi" w:cs="Times New Roman"/>
          <w:b w:val="0"/>
          <w:sz w:val="24"/>
          <w:szCs w:val="24"/>
        </w:rPr>
        <w:t xml:space="preserve">a </w:t>
      </w:r>
      <w:r w:rsidR="00F64F6D" w:rsidRPr="008376FC">
        <w:rPr>
          <w:rFonts w:asciiTheme="majorHAnsi" w:hAnsiTheme="majorHAnsi" w:cs="Times New Roman"/>
          <w:b w:val="0"/>
          <w:sz w:val="24"/>
          <w:szCs w:val="24"/>
        </w:rPr>
        <w:t>constitui</w:t>
      </w:r>
      <w:r w:rsidR="00075E61">
        <w:rPr>
          <w:rFonts w:asciiTheme="majorHAnsi" w:hAnsiTheme="majorHAnsi" w:cs="Times New Roman"/>
          <w:b w:val="0"/>
          <w:sz w:val="24"/>
          <w:szCs w:val="24"/>
        </w:rPr>
        <w:t>t</w:t>
      </w:r>
      <w:r w:rsidR="00F64F6D" w:rsidRPr="008376FC">
        <w:rPr>
          <w:rFonts w:asciiTheme="majorHAnsi" w:hAnsiTheme="majorHAnsi" w:cs="Times New Roman"/>
          <w:b w:val="0"/>
          <w:sz w:val="24"/>
          <w:szCs w:val="24"/>
        </w:rPr>
        <w:t xml:space="preserve"> </w:t>
      </w:r>
      <w:r w:rsidRPr="008376FC">
        <w:rPr>
          <w:rFonts w:asciiTheme="majorHAnsi" w:hAnsiTheme="majorHAnsi" w:cs="Times New Roman"/>
          <w:b w:val="0"/>
          <w:sz w:val="24"/>
          <w:szCs w:val="24"/>
        </w:rPr>
        <w:t xml:space="preserve">3,47 mil.lei. </w:t>
      </w:r>
      <w:r w:rsidR="00F64F6D" w:rsidRPr="008376FC">
        <w:rPr>
          <w:rFonts w:asciiTheme="majorHAnsi" w:hAnsiTheme="majorHAnsi" w:cs="Times New Roman"/>
          <w:b w:val="0"/>
          <w:sz w:val="24"/>
          <w:szCs w:val="24"/>
        </w:rPr>
        <w:t>F</w:t>
      </w:r>
      <w:r w:rsidRPr="008376FC">
        <w:rPr>
          <w:rFonts w:asciiTheme="majorHAnsi" w:hAnsiTheme="majorHAnsi" w:cs="Times New Roman"/>
          <w:b w:val="0"/>
          <w:sz w:val="24"/>
          <w:szCs w:val="24"/>
        </w:rPr>
        <w:t>inanțarea s-a efectuat în 4 tranșe, nivelul de realizare constituie 48,73%</w:t>
      </w:r>
      <w:r w:rsidR="00F64F6D" w:rsidRPr="008376FC">
        <w:rPr>
          <w:rFonts w:asciiTheme="majorHAnsi" w:hAnsiTheme="majorHAnsi" w:cs="Times New Roman"/>
          <w:b w:val="0"/>
          <w:sz w:val="24"/>
          <w:szCs w:val="24"/>
        </w:rPr>
        <w:t>. F</w:t>
      </w:r>
      <w:r w:rsidRPr="008376FC">
        <w:rPr>
          <w:rFonts w:asciiTheme="majorHAnsi" w:hAnsiTheme="majorHAnsi" w:cs="Times New Roman"/>
          <w:b w:val="0"/>
          <w:sz w:val="24"/>
          <w:szCs w:val="24"/>
        </w:rPr>
        <w:t>inanțarea a fost sistată pentru 4 ani</w:t>
      </w:r>
      <w:r w:rsidR="00F64F6D" w:rsidRPr="008376FC">
        <w:rPr>
          <w:rFonts w:asciiTheme="majorHAnsi" w:hAnsiTheme="majorHAnsi" w:cs="Times New Roman"/>
          <w:b w:val="0"/>
          <w:sz w:val="24"/>
          <w:szCs w:val="24"/>
        </w:rPr>
        <w:t xml:space="preserve"> </w:t>
      </w:r>
      <w:r w:rsidRPr="008376FC">
        <w:rPr>
          <w:rFonts w:asciiTheme="majorHAnsi" w:hAnsiTheme="majorHAnsi" w:cs="Times New Roman"/>
          <w:b w:val="0"/>
          <w:sz w:val="24"/>
          <w:szCs w:val="24"/>
        </w:rPr>
        <w:t>(2016-2019). Ultima tran</w:t>
      </w:r>
      <w:r w:rsidR="00075E61">
        <w:rPr>
          <w:rFonts w:asciiTheme="majorHAnsi" w:hAnsiTheme="majorHAnsi" w:cs="Times New Roman"/>
          <w:b w:val="0"/>
          <w:sz w:val="24"/>
          <w:szCs w:val="24"/>
        </w:rPr>
        <w:t>șă</w:t>
      </w:r>
      <w:r w:rsidRPr="008376FC">
        <w:rPr>
          <w:rFonts w:asciiTheme="majorHAnsi" w:hAnsiTheme="majorHAnsi" w:cs="Times New Roman"/>
          <w:b w:val="0"/>
          <w:sz w:val="24"/>
          <w:szCs w:val="24"/>
        </w:rPr>
        <w:t xml:space="preserve"> a </w:t>
      </w:r>
      <w:r w:rsidR="00075E61">
        <w:rPr>
          <w:rFonts w:asciiTheme="majorHAnsi" w:hAnsiTheme="majorHAnsi" w:cs="Times New Roman"/>
          <w:b w:val="0"/>
          <w:sz w:val="24"/>
          <w:szCs w:val="24"/>
        </w:rPr>
        <w:t xml:space="preserve">fost </w:t>
      </w:r>
      <w:r w:rsidRPr="008376FC">
        <w:rPr>
          <w:rFonts w:asciiTheme="majorHAnsi" w:hAnsiTheme="majorHAnsi" w:cs="Times New Roman"/>
          <w:b w:val="0"/>
          <w:sz w:val="24"/>
          <w:szCs w:val="24"/>
        </w:rPr>
        <w:t>efectuat</w:t>
      </w:r>
      <w:r w:rsidR="00075E61">
        <w:rPr>
          <w:rFonts w:asciiTheme="majorHAnsi" w:hAnsiTheme="majorHAnsi" w:cs="Times New Roman"/>
          <w:b w:val="0"/>
          <w:sz w:val="24"/>
          <w:szCs w:val="24"/>
        </w:rPr>
        <w:t>ă</w:t>
      </w:r>
      <w:r w:rsidRPr="008376FC">
        <w:rPr>
          <w:rFonts w:asciiTheme="majorHAnsi" w:hAnsiTheme="majorHAnsi" w:cs="Times New Roman"/>
          <w:b w:val="0"/>
          <w:sz w:val="24"/>
          <w:szCs w:val="24"/>
        </w:rPr>
        <w:t xml:space="preserve"> în 2021.</w:t>
      </w:r>
    </w:p>
    <w:p w:rsidR="00707749" w:rsidRPr="008376FC" w:rsidRDefault="00707749" w:rsidP="00F61756">
      <w:pPr>
        <w:spacing w:after="0" w:line="276" w:lineRule="auto"/>
        <w:rPr>
          <w:rFonts w:asciiTheme="majorHAnsi" w:eastAsia="Times New Roman" w:hAnsiTheme="majorHAnsi" w:cs="Times New Roman"/>
          <w:sz w:val="24"/>
          <w:szCs w:val="24"/>
        </w:rPr>
      </w:pPr>
    </w:p>
    <w:p w:rsidR="00707749" w:rsidRPr="008376FC" w:rsidRDefault="00707749" w:rsidP="00F61756">
      <w:pPr>
        <w:pStyle w:val="a3"/>
        <w:numPr>
          <w:ilvl w:val="0"/>
          <w:numId w:val="34"/>
        </w:numPr>
        <w:shd w:val="clear" w:color="auto" w:fill="FFFFFF" w:themeFill="background1"/>
        <w:tabs>
          <w:tab w:val="left" w:pos="284"/>
        </w:tabs>
        <w:spacing w:line="276" w:lineRule="auto"/>
        <w:ind w:left="0" w:firstLine="0"/>
        <w:jc w:val="both"/>
        <w:rPr>
          <w:rFonts w:asciiTheme="majorHAnsi" w:hAnsiTheme="majorHAnsi"/>
          <w:lang w:val="ro-RO"/>
        </w:rPr>
      </w:pPr>
      <w:r w:rsidRPr="008376FC">
        <w:rPr>
          <w:rFonts w:asciiTheme="majorHAnsi" w:hAnsiTheme="majorHAnsi"/>
          <w:lang w:val="ro-RO"/>
        </w:rPr>
        <w:t xml:space="preserve"> </w:t>
      </w:r>
      <w:r w:rsidR="00AC29D7" w:rsidRPr="008376FC">
        <w:rPr>
          <w:rFonts w:asciiTheme="majorHAnsi" w:hAnsiTheme="majorHAnsi"/>
          <w:b/>
          <w:lang w:val="ro-RO"/>
        </w:rPr>
        <w:t>Proiectul</w:t>
      </w:r>
      <w:r w:rsidRPr="008376FC">
        <w:rPr>
          <w:rFonts w:asciiTheme="majorHAnsi" w:hAnsiTheme="majorHAnsi"/>
          <w:lang w:val="ro-RO"/>
        </w:rPr>
        <w:t xml:space="preserve"> </w:t>
      </w:r>
      <w:r w:rsidR="00075E61">
        <w:rPr>
          <w:rFonts w:asciiTheme="majorHAnsi" w:hAnsiTheme="majorHAnsi"/>
          <w:lang w:val="ro-RO"/>
        </w:rPr>
        <w:t>„</w:t>
      </w:r>
      <w:r w:rsidRPr="008376FC">
        <w:rPr>
          <w:rFonts w:asciiTheme="majorHAnsi" w:hAnsiTheme="majorHAnsi"/>
          <w:b/>
          <w:lang w:val="ro-RO"/>
        </w:rPr>
        <w:t xml:space="preserve">Construcţia reţelelor de apeduct </w:t>
      </w:r>
      <w:r w:rsidR="00075E61">
        <w:rPr>
          <w:rFonts w:asciiTheme="majorHAnsi" w:hAnsiTheme="majorHAnsi"/>
          <w:b/>
          <w:lang w:val="ro-RO"/>
        </w:rPr>
        <w:t>ș</w:t>
      </w:r>
      <w:r w:rsidRPr="008376FC">
        <w:rPr>
          <w:rFonts w:asciiTheme="majorHAnsi" w:hAnsiTheme="majorHAnsi"/>
          <w:b/>
          <w:lang w:val="ro-RO"/>
        </w:rPr>
        <w:t xml:space="preserve">i canalizare </w:t>
      </w:r>
      <w:r w:rsidR="00075E61">
        <w:rPr>
          <w:rFonts w:asciiTheme="majorHAnsi" w:hAnsiTheme="majorHAnsi"/>
          <w:b/>
          <w:lang w:val="ro-RO"/>
        </w:rPr>
        <w:t>î</w:t>
      </w:r>
      <w:r w:rsidRPr="008376FC">
        <w:rPr>
          <w:rFonts w:asciiTheme="majorHAnsi" w:hAnsiTheme="majorHAnsi"/>
          <w:b/>
          <w:lang w:val="ro-RO"/>
        </w:rPr>
        <w:t>n partea de nord-vest a oraşului Călărași</w:t>
      </w:r>
      <w:r w:rsidR="00075E61">
        <w:rPr>
          <w:rFonts w:asciiTheme="majorHAnsi" w:hAnsiTheme="majorHAnsi"/>
          <w:b/>
          <w:lang w:val="ro-RO"/>
        </w:rPr>
        <w:t>”</w:t>
      </w:r>
      <w:r w:rsidRPr="008376FC">
        <w:rPr>
          <w:rFonts w:asciiTheme="majorHAnsi" w:hAnsiTheme="majorHAnsi"/>
          <w:b/>
          <w:lang w:val="ro-RO"/>
        </w:rPr>
        <w:t xml:space="preserve"> (18,18 mil</w:t>
      </w:r>
      <w:r w:rsidR="00075E61">
        <w:rPr>
          <w:rFonts w:asciiTheme="majorHAnsi" w:hAnsiTheme="majorHAnsi"/>
          <w:b/>
          <w:lang w:val="ro-RO"/>
        </w:rPr>
        <w:t>.</w:t>
      </w:r>
      <w:r w:rsidRPr="008376FC">
        <w:rPr>
          <w:rFonts w:asciiTheme="majorHAnsi" w:hAnsiTheme="majorHAnsi"/>
          <w:b/>
          <w:lang w:val="ro-RO"/>
        </w:rPr>
        <w:t>lei)</w:t>
      </w:r>
    </w:p>
    <w:p w:rsidR="00707749" w:rsidRPr="008376FC" w:rsidRDefault="00707749" w:rsidP="00F61756">
      <w:pPr>
        <w:spacing w:after="0" w:line="276" w:lineRule="auto"/>
        <w:rPr>
          <w:rFonts w:asciiTheme="majorHAnsi" w:eastAsia="Times New Roman" w:hAnsiTheme="majorHAnsi" w:cs="Times New Roman"/>
          <w:sz w:val="24"/>
          <w:szCs w:val="24"/>
        </w:rPr>
      </w:pPr>
    </w:p>
    <w:p w:rsidR="00707749" w:rsidRPr="008376FC" w:rsidRDefault="00707749" w:rsidP="00F61756">
      <w:pPr>
        <w:shd w:val="clear" w:color="auto" w:fill="FFFFFF" w:themeFill="background1"/>
        <w:spacing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 xml:space="preserve">PI a fost inițiat în </w:t>
      </w:r>
      <w:r w:rsidR="00075E61">
        <w:rPr>
          <w:rFonts w:asciiTheme="majorHAnsi" w:hAnsiTheme="majorHAnsi" w:cs="Times New Roman"/>
          <w:b w:val="0"/>
          <w:sz w:val="24"/>
          <w:szCs w:val="24"/>
        </w:rPr>
        <w:t xml:space="preserve">anul </w:t>
      </w:r>
      <w:r w:rsidRPr="008376FC">
        <w:rPr>
          <w:rFonts w:asciiTheme="majorHAnsi" w:hAnsiTheme="majorHAnsi" w:cs="Times New Roman"/>
          <w:b w:val="0"/>
          <w:sz w:val="24"/>
          <w:szCs w:val="24"/>
        </w:rPr>
        <w:t>2014</w:t>
      </w:r>
      <w:r w:rsidR="00075E61">
        <w:rPr>
          <w:rFonts w:asciiTheme="majorHAnsi" w:hAnsiTheme="majorHAnsi" w:cs="Times New Roman"/>
          <w:b w:val="0"/>
          <w:sz w:val="24"/>
          <w:szCs w:val="24"/>
        </w:rPr>
        <w:t>.</w:t>
      </w:r>
      <w:r w:rsidRPr="008376FC">
        <w:rPr>
          <w:rFonts w:asciiTheme="majorHAnsi" w:hAnsiTheme="majorHAnsi" w:cs="Times New Roman"/>
          <w:b w:val="0"/>
          <w:sz w:val="24"/>
          <w:szCs w:val="24"/>
        </w:rPr>
        <w:t xml:space="preserve"> FEN a aprobat spre finanțare 16,6 mil.lei, a finanțat 9,94 mil.lei, sold</w:t>
      </w:r>
      <w:r w:rsidR="00075E61">
        <w:rPr>
          <w:rFonts w:asciiTheme="majorHAnsi" w:hAnsiTheme="majorHAnsi" w:cs="Times New Roman"/>
          <w:b w:val="0"/>
          <w:sz w:val="24"/>
          <w:szCs w:val="24"/>
        </w:rPr>
        <w:t>ul</w:t>
      </w:r>
      <w:r w:rsidRPr="008376FC">
        <w:rPr>
          <w:rFonts w:asciiTheme="majorHAnsi" w:hAnsiTheme="majorHAnsi" w:cs="Times New Roman"/>
          <w:b w:val="0"/>
          <w:sz w:val="24"/>
          <w:szCs w:val="24"/>
        </w:rPr>
        <w:t xml:space="preserve"> nefinanțat a constituit 6,47 mil.lei. </w:t>
      </w:r>
      <w:r w:rsidR="00F64F6D" w:rsidRPr="008376FC">
        <w:rPr>
          <w:rFonts w:asciiTheme="majorHAnsi" w:hAnsiTheme="majorHAnsi" w:cs="Times New Roman"/>
          <w:b w:val="0"/>
          <w:sz w:val="24"/>
          <w:szCs w:val="24"/>
        </w:rPr>
        <w:t>F</w:t>
      </w:r>
      <w:r w:rsidRPr="008376FC">
        <w:rPr>
          <w:rFonts w:asciiTheme="majorHAnsi" w:hAnsiTheme="majorHAnsi" w:cs="Times New Roman"/>
          <w:b w:val="0"/>
          <w:sz w:val="24"/>
          <w:szCs w:val="24"/>
        </w:rPr>
        <w:t>inanțarea s-a efectuat în 5 tranșe, nivelul de realizare constituie 54,69%</w:t>
      </w:r>
      <w:r w:rsidR="00F64F6D" w:rsidRPr="008376FC">
        <w:rPr>
          <w:rFonts w:asciiTheme="majorHAnsi" w:hAnsiTheme="majorHAnsi" w:cs="Times New Roman"/>
          <w:b w:val="0"/>
          <w:sz w:val="24"/>
          <w:szCs w:val="24"/>
        </w:rPr>
        <w:t>. F</w:t>
      </w:r>
      <w:r w:rsidRPr="008376FC">
        <w:rPr>
          <w:rFonts w:asciiTheme="majorHAnsi" w:hAnsiTheme="majorHAnsi" w:cs="Times New Roman"/>
          <w:b w:val="0"/>
          <w:sz w:val="24"/>
          <w:szCs w:val="24"/>
        </w:rPr>
        <w:t>inanțarea a fost sistată pentru ani</w:t>
      </w:r>
      <w:r w:rsidR="00075E61">
        <w:rPr>
          <w:rFonts w:asciiTheme="majorHAnsi" w:hAnsiTheme="majorHAnsi" w:cs="Times New Roman"/>
          <w:b w:val="0"/>
          <w:sz w:val="24"/>
          <w:szCs w:val="24"/>
        </w:rPr>
        <w:t>i</w:t>
      </w:r>
      <w:r w:rsidRPr="008376FC">
        <w:rPr>
          <w:rFonts w:asciiTheme="majorHAnsi" w:hAnsiTheme="majorHAnsi" w:cs="Times New Roman"/>
          <w:b w:val="0"/>
          <w:sz w:val="24"/>
          <w:szCs w:val="24"/>
        </w:rPr>
        <w:t xml:space="preserve"> 2015</w:t>
      </w:r>
      <w:r w:rsidR="00F64F6D" w:rsidRPr="008376FC">
        <w:rPr>
          <w:rFonts w:asciiTheme="majorHAnsi" w:hAnsiTheme="majorHAnsi" w:cs="Times New Roman"/>
          <w:b w:val="0"/>
          <w:sz w:val="24"/>
          <w:szCs w:val="24"/>
        </w:rPr>
        <w:t xml:space="preserve"> </w:t>
      </w:r>
      <w:r w:rsidRPr="008376FC">
        <w:rPr>
          <w:rFonts w:asciiTheme="majorHAnsi" w:hAnsiTheme="majorHAnsi" w:cs="Times New Roman"/>
          <w:b w:val="0"/>
          <w:sz w:val="24"/>
          <w:szCs w:val="24"/>
        </w:rPr>
        <w:t>și 2017. Ultima tran</w:t>
      </w:r>
      <w:r w:rsidR="00075E61">
        <w:rPr>
          <w:rFonts w:asciiTheme="majorHAnsi" w:hAnsiTheme="majorHAnsi" w:cs="Times New Roman"/>
          <w:b w:val="0"/>
          <w:sz w:val="24"/>
          <w:szCs w:val="24"/>
        </w:rPr>
        <w:t>șă</w:t>
      </w:r>
      <w:r w:rsidRPr="008376FC">
        <w:rPr>
          <w:rFonts w:asciiTheme="majorHAnsi" w:hAnsiTheme="majorHAnsi" w:cs="Times New Roman"/>
          <w:b w:val="0"/>
          <w:sz w:val="24"/>
          <w:szCs w:val="24"/>
        </w:rPr>
        <w:t xml:space="preserve"> a </w:t>
      </w:r>
      <w:r w:rsidR="00075E61">
        <w:rPr>
          <w:rFonts w:asciiTheme="majorHAnsi" w:hAnsiTheme="majorHAnsi" w:cs="Times New Roman"/>
          <w:b w:val="0"/>
          <w:sz w:val="24"/>
          <w:szCs w:val="24"/>
        </w:rPr>
        <w:t xml:space="preserve">fost </w:t>
      </w:r>
      <w:r w:rsidRPr="008376FC">
        <w:rPr>
          <w:rFonts w:asciiTheme="majorHAnsi" w:hAnsiTheme="majorHAnsi" w:cs="Times New Roman"/>
          <w:b w:val="0"/>
          <w:sz w:val="24"/>
          <w:szCs w:val="24"/>
        </w:rPr>
        <w:t>efectuat</w:t>
      </w:r>
      <w:r w:rsidR="00075E61">
        <w:rPr>
          <w:rFonts w:asciiTheme="majorHAnsi" w:hAnsiTheme="majorHAnsi" w:cs="Times New Roman"/>
          <w:b w:val="0"/>
          <w:sz w:val="24"/>
          <w:szCs w:val="24"/>
        </w:rPr>
        <w:t>ă</w:t>
      </w:r>
      <w:r w:rsidRPr="008376FC">
        <w:rPr>
          <w:rFonts w:asciiTheme="majorHAnsi" w:hAnsiTheme="majorHAnsi" w:cs="Times New Roman"/>
          <w:b w:val="0"/>
          <w:sz w:val="24"/>
          <w:szCs w:val="24"/>
        </w:rPr>
        <w:t xml:space="preserve"> în 2019.</w:t>
      </w:r>
    </w:p>
    <w:p w:rsidR="00707749" w:rsidRPr="008376FC" w:rsidRDefault="00AC29D7" w:rsidP="00F61756">
      <w:pPr>
        <w:pStyle w:val="a3"/>
        <w:numPr>
          <w:ilvl w:val="0"/>
          <w:numId w:val="34"/>
        </w:numPr>
        <w:shd w:val="clear" w:color="auto" w:fill="FFFFFF" w:themeFill="background1"/>
        <w:tabs>
          <w:tab w:val="left" w:pos="284"/>
        </w:tabs>
        <w:spacing w:after="160" w:line="276" w:lineRule="auto"/>
        <w:ind w:left="0" w:firstLine="0"/>
        <w:rPr>
          <w:rFonts w:asciiTheme="majorHAnsi" w:hAnsiTheme="majorHAnsi"/>
          <w:b/>
          <w:lang w:val="ro-RO"/>
        </w:rPr>
      </w:pPr>
      <w:r w:rsidRPr="008376FC">
        <w:rPr>
          <w:rFonts w:asciiTheme="majorHAnsi" w:hAnsiTheme="majorHAnsi"/>
          <w:b/>
          <w:lang w:val="ro-RO"/>
        </w:rPr>
        <w:t>Proiectul</w:t>
      </w:r>
      <w:r w:rsidR="00707749" w:rsidRPr="008376FC">
        <w:rPr>
          <w:rFonts w:asciiTheme="majorHAnsi" w:hAnsiTheme="majorHAnsi"/>
          <w:b/>
          <w:lang w:val="ro-RO"/>
        </w:rPr>
        <w:t xml:space="preserve"> </w:t>
      </w:r>
      <w:r w:rsidR="003506D8">
        <w:rPr>
          <w:rFonts w:asciiTheme="majorHAnsi" w:hAnsiTheme="majorHAnsi"/>
          <w:b/>
          <w:lang w:val="ro-RO"/>
        </w:rPr>
        <w:t>„</w:t>
      </w:r>
      <w:r w:rsidR="00707749" w:rsidRPr="008376FC">
        <w:rPr>
          <w:rFonts w:asciiTheme="majorHAnsi" w:hAnsiTheme="majorHAnsi"/>
          <w:b/>
          <w:lang w:val="ro-RO"/>
        </w:rPr>
        <w:t>Alimentarea cu apă, canalizare și epurare, Primăria Chetriș, r</w:t>
      </w:r>
      <w:r w:rsidR="003506D8">
        <w:rPr>
          <w:rFonts w:asciiTheme="majorHAnsi" w:hAnsiTheme="majorHAnsi"/>
          <w:b/>
          <w:lang w:val="ro-RO"/>
        </w:rPr>
        <w:t>-nul</w:t>
      </w:r>
      <w:r w:rsidR="00707749" w:rsidRPr="008376FC">
        <w:rPr>
          <w:rFonts w:asciiTheme="majorHAnsi" w:hAnsiTheme="majorHAnsi"/>
          <w:b/>
          <w:lang w:val="ro-RO"/>
        </w:rPr>
        <w:t xml:space="preserve"> Fălești</w:t>
      </w:r>
      <w:r w:rsidR="003506D8">
        <w:rPr>
          <w:rFonts w:asciiTheme="majorHAnsi" w:hAnsiTheme="majorHAnsi"/>
          <w:b/>
          <w:lang w:val="ro-RO"/>
        </w:rPr>
        <w:t>”</w:t>
      </w:r>
      <w:r w:rsidR="00707749" w:rsidRPr="008376FC">
        <w:rPr>
          <w:rFonts w:asciiTheme="majorHAnsi" w:hAnsiTheme="majorHAnsi"/>
          <w:b/>
          <w:lang w:val="ro-RO"/>
        </w:rPr>
        <w:t xml:space="preserve"> (18,1 mil.lei)</w:t>
      </w:r>
    </w:p>
    <w:p w:rsidR="00707749" w:rsidRPr="008376FC" w:rsidRDefault="00707749" w:rsidP="00F61756">
      <w:pPr>
        <w:pStyle w:val="a3"/>
        <w:spacing w:line="276" w:lineRule="auto"/>
        <w:jc w:val="both"/>
        <w:rPr>
          <w:rFonts w:asciiTheme="majorHAnsi" w:hAnsiTheme="majorHAnsi"/>
          <w:b/>
          <w:i/>
          <w:lang w:val="ro-RO"/>
        </w:rPr>
      </w:pPr>
    </w:p>
    <w:p w:rsidR="00707749" w:rsidRPr="008376FC" w:rsidRDefault="00707749" w:rsidP="00F61756">
      <w:pPr>
        <w:spacing w:after="0"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 xml:space="preserve">PI a fost inițiat în </w:t>
      </w:r>
      <w:r w:rsidR="003506D8">
        <w:rPr>
          <w:rFonts w:asciiTheme="majorHAnsi" w:hAnsiTheme="majorHAnsi" w:cs="Times New Roman"/>
          <w:b w:val="0"/>
          <w:sz w:val="24"/>
          <w:szCs w:val="24"/>
        </w:rPr>
        <w:t xml:space="preserve">anul </w:t>
      </w:r>
      <w:r w:rsidRPr="008376FC">
        <w:rPr>
          <w:rFonts w:asciiTheme="majorHAnsi" w:hAnsiTheme="majorHAnsi" w:cs="Times New Roman"/>
          <w:b w:val="0"/>
          <w:sz w:val="24"/>
          <w:szCs w:val="24"/>
        </w:rPr>
        <w:t>2014, FEN a aprobat spre finanțare 15,9 mil.lei, a finanțat 13,95 mil.lei, sold</w:t>
      </w:r>
      <w:r w:rsidR="003506D8">
        <w:rPr>
          <w:rFonts w:asciiTheme="majorHAnsi" w:hAnsiTheme="majorHAnsi" w:cs="Times New Roman"/>
          <w:b w:val="0"/>
          <w:sz w:val="24"/>
          <w:szCs w:val="24"/>
        </w:rPr>
        <w:t>ul</w:t>
      </w:r>
      <w:r w:rsidRPr="008376FC">
        <w:rPr>
          <w:rFonts w:asciiTheme="majorHAnsi" w:hAnsiTheme="majorHAnsi" w:cs="Times New Roman"/>
          <w:b w:val="0"/>
          <w:sz w:val="24"/>
          <w:szCs w:val="24"/>
        </w:rPr>
        <w:t xml:space="preserve"> nefinanțat a constituit 0,8 mil.lei. </w:t>
      </w:r>
      <w:r w:rsidR="00F64F6D" w:rsidRPr="008376FC">
        <w:rPr>
          <w:rFonts w:asciiTheme="majorHAnsi" w:hAnsiTheme="majorHAnsi" w:cs="Times New Roman"/>
          <w:b w:val="0"/>
          <w:sz w:val="24"/>
          <w:szCs w:val="24"/>
        </w:rPr>
        <w:t>F</w:t>
      </w:r>
      <w:r w:rsidRPr="008376FC">
        <w:rPr>
          <w:rFonts w:asciiTheme="majorHAnsi" w:hAnsiTheme="majorHAnsi" w:cs="Times New Roman"/>
          <w:b w:val="0"/>
          <w:sz w:val="24"/>
          <w:szCs w:val="24"/>
        </w:rPr>
        <w:t>inanțarea s-a efectuat în 11 tranșe, nivelul de realizare constituie 77,7%</w:t>
      </w:r>
      <w:r w:rsidR="00F64F6D" w:rsidRPr="008376FC">
        <w:rPr>
          <w:rFonts w:asciiTheme="majorHAnsi" w:hAnsiTheme="majorHAnsi" w:cs="Times New Roman"/>
          <w:b w:val="0"/>
          <w:sz w:val="24"/>
          <w:szCs w:val="24"/>
        </w:rPr>
        <w:t>. F</w:t>
      </w:r>
      <w:r w:rsidRPr="008376FC">
        <w:rPr>
          <w:rFonts w:asciiTheme="majorHAnsi" w:hAnsiTheme="majorHAnsi" w:cs="Times New Roman"/>
          <w:b w:val="0"/>
          <w:sz w:val="24"/>
          <w:szCs w:val="24"/>
        </w:rPr>
        <w:t>inanțarea a fost sistată pentru anii 2017 și 2018. Ultima tran</w:t>
      </w:r>
      <w:r w:rsidR="003506D8">
        <w:rPr>
          <w:rFonts w:asciiTheme="majorHAnsi" w:hAnsiTheme="majorHAnsi" w:cs="Times New Roman"/>
          <w:b w:val="0"/>
          <w:sz w:val="24"/>
          <w:szCs w:val="24"/>
        </w:rPr>
        <w:t>ș</w:t>
      </w:r>
      <w:r w:rsidRPr="008376FC">
        <w:rPr>
          <w:rFonts w:asciiTheme="majorHAnsi" w:hAnsiTheme="majorHAnsi" w:cs="Times New Roman"/>
          <w:b w:val="0"/>
          <w:sz w:val="24"/>
          <w:szCs w:val="24"/>
        </w:rPr>
        <w:t xml:space="preserve">ă a </w:t>
      </w:r>
      <w:r w:rsidR="003506D8">
        <w:rPr>
          <w:rFonts w:asciiTheme="majorHAnsi" w:hAnsiTheme="majorHAnsi" w:cs="Times New Roman"/>
          <w:b w:val="0"/>
          <w:sz w:val="24"/>
          <w:szCs w:val="24"/>
        </w:rPr>
        <w:t xml:space="preserve">fost </w:t>
      </w:r>
      <w:r w:rsidRPr="008376FC">
        <w:rPr>
          <w:rFonts w:asciiTheme="majorHAnsi" w:hAnsiTheme="majorHAnsi" w:cs="Times New Roman"/>
          <w:b w:val="0"/>
          <w:sz w:val="24"/>
          <w:szCs w:val="24"/>
        </w:rPr>
        <w:t>efectuat</w:t>
      </w:r>
      <w:r w:rsidR="003506D8">
        <w:rPr>
          <w:rFonts w:asciiTheme="majorHAnsi" w:hAnsiTheme="majorHAnsi" w:cs="Times New Roman"/>
          <w:b w:val="0"/>
          <w:sz w:val="24"/>
          <w:szCs w:val="24"/>
        </w:rPr>
        <w:t>ă</w:t>
      </w:r>
      <w:r w:rsidRPr="008376FC">
        <w:rPr>
          <w:rFonts w:asciiTheme="majorHAnsi" w:hAnsiTheme="majorHAnsi" w:cs="Times New Roman"/>
          <w:b w:val="0"/>
          <w:sz w:val="24"/>
          <w:szCs w:val="24"/>
        </w:rPr>
        <w:t xml:space="preserve"> în 2019</w:t>
      </w:r>
      <w:r w:rsidR="00F64F6D" w:rsidRPr="008376FC">
        <w:rPr>
          <w:rFonts w:asciiTheme="majorHAnsi" w:hAnsiTheme="majorHAnsi" w:cs="Times New Roman"/>
          <w:b w:val="0"/>
          <w:sz w:val="24"/>
          <w:szCs w:val="24"/>
        </w:rPr>
        <w:t>.</w:t>
      </w:r>
    </w:p>
    <w:p w:rsidR="00756AE7" w:rsidRPr="008376FC" w:rsidRDefault="003506D8" w:rsidP="00F61756">
      <w:pPr>
        <w:tabs>
          <w:tab w:val="left" w:pos="8040"/>
        </w:tabs>
        <w:spacing w:before="120" w:after="0" w:line="276" w:lineRule="auto"/>
        <w:jc w:val="both"/>
        <w:rPr>
          <w:rFonts w:asciiTheme="majorHAnsi" w:hAnsiTheme="majorHAnsi" w:cstheme="majorHAnsi"/>
          <w:b w:val="0"/>
          <w:bCs w:val="0"/>
          <w:sz w:val="24"/>
          <w:szCs w:val="24"/>
        </w:rPr>
      </w:pPr>
      <w:r>
        <w:rPr>
          <w:rFonts w:asciiTheme="majorHAnsi" w:hAnsiTheme="majorHAnsi" w:cstheme="majorHAnsi"/>
          <w:b w:val="0"/>
          <w:bCs w:val="0"/>
          <w:sz w:val="24"/>
          <w:szCs w:val="24"/>
        </w:rPr>
        <w:t>Ca u</w:t>
      </w:r>
      <w:r w:rsidR="00756AE7" w:rsidRPr="008376FC">
        <w:rPr>
          <w:rFonts w:asciiTheme="majorHAnsi" w:hAnsiTheme="majorHAnsi" w:cstheme="majorHAnsi"/>
          <w:b w:val="0"/>
          <w:bCs w:val="0"/>
          <w:sz w:val="24"/>
          <w:szCs w:val="24"/>
        </w:rPr>
        <w:t xml:space="preserve">rmare a verificării </w:t>
      </w:r>
      <w:r w:rsidR="00737880" w:rsidRPr="008376FC">
        <w:rPr>
          <w:rFonts w:asciiTheme="majorHAnsi" w:hAnsiTheme="majorHAnsi" w:cstheme="majorHAnsi"/>
          <w:b w:val="0"/>
          <w:bCs w:val="0"/>
          <w:sz w:val="24"/>
          <w:szCs w:val="24"/>
        </w:rPr>
        <w:t>a</w:t>
      </w:r>
      <w:r w:rsidR="00756AE7" w:rsidRPr="008376FC">
        <w:rPr>
          <w:rFonts w:asciiTheme="majorHAnsi" w:hAnsiTheme="majorHAnsi" w:cstheme="majorHAnsi"/>
          <w:b w:val="0"/>
          <w:bCs w:val="0"/>
          <w:sz w:val="24"/>
          <w:szCs w:val="24"/>
        </w:rPr>
        <w:t xml:space="preserve"> 19 proiecte </w:t>
      </w:r>
      <w:r w:rsidR="009741D3">
        <w:rPr>
          <w:rFonts w:asciiTheme="majorHAnsi" w:hAnsiTheme="majorHAnsi" w:cstheme="majorHAnsi"/>
          <w:b w:val="0"/>
          <w:bCs w:val="0"/>
          <w:sz w:val="24"/>
          <w:szCs w:val="24"/>
        </w:rPr>
        <w:t>î</w:t>
      </w:r>
      <w:r w:rsidR="00756AE7" w:rsidRPr="008376FC">
        <w:rPr>
          <w:rFonts w:asciiTheme="majorHAnsi" w:hAnsiTheme="majorHAnsi" w:cstheme="majorHAnsi"/>
          <w:b w:val="0"/>
          <w:bCs w:val="0"/>
          <w:sz w:val="24"/>
          <w:szCs w:val="24"/>
        </w:rPr>
        <w:t>n domeniul construcției sau reconstrucției sistemelor de epurare, canalizare și aprovizionare cu apă (</w:t>
      </w:r>
      <w:r w:rsidR="00737880" w:rsidRPr="008376FC">
        <w:rPr>
          <w:rFonts w:asciiTheme="majorHAnsi" w:hAnsiTheme="majorHAnsi" w:cstheme="majorHAnsi"/>
          <w:b w:val="0"/>
          <w:bCs w:val="0"/>
          <w:sz w:val="24"/>
          <w:szCs w:val="24"/>
        </w:rPr>
        <w:t xml:space="preserve">total </w:t>
      </w:r>
      <w:r w:rsidR="00756AE7" w:rsidRPr="008376FC">
        <w:rPr>
          <w:rFonts w:asciiTheme="majorHAnsi" w:hAnsiTheme="majorHAnsi" w:cstheme="majorHAnsi"/>
          <w:b w:val="0"/>
          <w:bCs w:val="0"/>
          <w:sz w:val="24"/>
          <w:szCs w:val="24"/>
        </w:rPr>
        <w:t xml:space="preserve">76 de etape/219,35 mil.lei), s-au constatat </w:t>
      </w:r>
      <w:r w:rsidR="00737880" w:rsidRPr="008376FC">
        <w:rPr>
          <w:rFonts w:asciiTheme="majorHAnsi" w:hAnsiTheme="majorHAnsi" w:cstheme="majorHAnsi"/>
          <w:b w:val="0"/>
          <w:bCs w:val="0"/>
          <w:sz w:val="24"/>
          <w:szCs w:val="24"/>
        </w:rPr>
        <w:t>următoarele</w:t>
      </w:r>
      <w:r w:rsidR="009741D3">
        <w:rPr>
          <w:rFonts w:asciiTheme="majorHAnsi" w:hAnsiTheme="majorHAnsi" w:cstheme="majorHAnsi"/>
          <w:b w:val="0"/>
          <w:bCs w:val="0"/>
          <w:sz w:val="24"/>
          <w:szCs w:val="24"/>
        </w:rPr>
        <w:t>:</w:t>
      </w:r>
      <w:r w:rsidR="00737880" w:rsidRPr="008376FC">
        <w:rPr>
          <w:rFonts w:asciiTheme="majorHAnsi" w:hAnsiTheme="majorHAnsi" w:cstheme="majorHAnsi"/>
          <w:b w:val="0"/>
          <w:bCs w:val="0"/>
          <w:sz w:val="24"/>
          <w:szCs w:val="24"/>
        </w:rPr>
        <w:t xml:space="preserve"> </w:t>
      </w:r>
    </w:p>
    <w:p w:rsidR="00A85F0C" w:rsidRPr="008376FC" w:rsidRDefault="009741D3" w:rsidP="00F61756">
      <w:pPr>
        <w:numPr>
          <w:ilvl w:val="0"/>
          <w:numId w:val="49"/>
        </w:numPr>
        <w:tabs>
          <w:tab w:val="left" w:pos="426"/>
        </w:tabs>
        <w:spacing w:before="120" w:after="0" w:line="276" w:lineRule="auto"/>
        <w:ind w:left="0" w:firstLine="284"/>
        <w:contextualSpacing/>
        <w:jc w:val="both"/>
        <w:rPr>
          <w:rFonts w:asciiTheme="majorHAnsi" w:hAnsiTheme="majorHAnsi" w:cstheme="majorHAnsi"/>
          <w:b w:val="0"/>
          <w:bCs w:val="0"/>
          <w:sz w:val="24"/>
          <w:szCs w:val="24"/>
        </w:rPr>
      </w:pPr>
      <w:r>
        <w:rPr>
          <w:rFonts w:asciiTheme="majorHAnsi" w:hAnsiTheme="majorHAnsi" w:cstheme="majorHAnsi"/>
          <w:b w:val="0"/>
          <w:bCs w:val="0"/>
          <w:sz w:val="24"/>
          <w:szCs w:val="24"/>
        </w:rPr>
        <w:t>l</w:t>
      </w:r>
      <w:r w:rsidR="00A85F0C" w:rsidRPr="008376FC">
        <w:rPr>
          <w:rFonts w:asciiTheme="majorHAnsi" w:hAnsiTheme="majorHAnsi" w:cstheme="majorHAnsi"/>
          <w:b w:val="0"/>
          <w:bCs w:val="0"/>
          <w:sz w:val="24"/>
          <w:szCs w:val="24"/>
        </w:rPr>
        <w:t xml:space="preserve">a </w:t>
      </w:r>
      <w:r w:rsidR="00756AE7" w:rsidRPr="008376FC">
        <w:rPr>
          <w:rFonts w:asciiTheme="majorHAnsi" w:hAnsiTheme="majorHAnsi" w:cstheme="majorHAnsi"/>
          <w:b w:val="0"/>
          <w:bCs w:val="0"/>
          <w:sz w:val="24"/>
          <w:szCs w:val="24"/>
        </w:rPr>
        <w:t>4 proiecte</w:t>
      </w:r>
      <w:r w:rsidR="00737880" w:rsidRPr="008376FC">
        <w:rPr>
          <w:rFonts w:asciiTheme="majorHAnsi" w:hAnsiTheme="majorHAnsi" w:cstheme="majorHAnsi"/>
          <w:b w:val="0"/>
          <w:bCs w:val="0"/>
          <w:sz w:val="24"/>
          <w:szCs w:val="24"/>
        </w:rPr>
        <w:t xml:space="preserve"> (</w:t>
      </w:r>
      <w:r w:rsidR="000056B2" w:rsidRPr="008376FC">
        <w:rPr>
          <w:rFonts w:asciiTheme="majorHAnsi" w:hAnsiTheme="majorHAnsi" w:cstheme="majorHAnsi"/>
          <w:b w:val="0"/>
          <w:bCs w:val="0"/>
          <w:sz w:val="24"/>
          <w:szCs w:val="24"/>
        </w:rPr>
        <w:t xml:space="preserve">44,44 </w:t>
      </w:r>
      <w:r w:rsidR="00737880" w:rsidRPr="008376FC">
        <w:rPr>
          <w:rFonts w:asciiTheme="majorHAnsi" w:hAnsiTheme="majorHAnsi" w:cstheme="majorHAnsi"/>
          <w:b w:val="0"/>
          <w:bCs w:val="0"/>
          <w:sz w:val="24"/>
          <w:szCs w:val="24"/>
        </w:rPr>
        <w:t>mil.lei)</w:t>
      </w:r>
      <w:r w:rsidR="00756AE7" w:rsidRPr="008376FC">
        <w:rPr>
          <w:rFonts w:asciiTheme="majorHAnsi" w:hAnsiTheme="majorHAnsi" w:cstheme="majorHAnsi"/>
          <w:b w:val="0"/>
          <w:bCs w:val="0"/>
          <w:sz w:val="24"/>
          <w:szCs w:val="24"/>
        </w:rPr>
        <w:t xml:space="preserve"> lipsesc actele care să confirme disponibilitatea lotului de teren sau a unei decizii a autorității locale privind terenurile pe care urmează a fi efectuate lucrările. </w:t>
      </w:r>
      <w:r w:rsidR="00E839CB" w:rsidRPr="008376FC">
        <w:rPr>
          <w:rFonts w:asciiTheme="majorHAnsi" w:hAnsiTheme="majorHAnsi" w:cstheme="majorHAnsi"/>
          <w:b w:val="0"/>
          <w:bCs w:val="0"/>
          <w:sz w:val="24"/>
          <w:szCs w:val="24"/>
        </w:rPr>
        <w:t xml:space="preserve">Astfel, </w:t>
      </w:r>
      <w:r w:rsidR="00756AE7" w:rsidRPr="008376FC">
        <w:rPr>
          <w:rFonts w:asciiTheme="majorHAnsi" w:hAnsiTheme="majorHAnsi" w:cstheme="majorHAnsi"/>
          <w:b w:val="0"/>
          <w:bCs w:val="0"/>
          <w:sz w:val="24"/>
          <w:szCs w:val="24"/>
        </w:rPr>
        <w:t>beneficiari</w:t>
      </w:r>
      <w:r w:rsidR="00E839CB" w:rsidRPr="008376FC">
        <w:rPr>
          <w:rFonts w:asciiTheme="majorHAnsi" w:hAnsiTheme="majorHAnsi" w:cstheme="majorHAnsi"/>
          <w:b w:val="0"/>
          <w:bCs w:val="0"/>
          <w:sz w:val="24"/>
          <w:szCs w:val="24"/>
        </w:rPr>
        <w:t>i</w:t>
      </w:r>
      <w:r w:rsidR="00756AE7" w:rsidRPr="008376FC">
        <w:rPr>
          <w:rFonts w:asciiTheme="majorHAnsi" w:hAnsiTheme="majorHAnsi" w:cstheme="majorHAnsi"/>
          <w:b w:val="0"/>
          <w:bCs w:val="0"/>
          <w:sz w:val="24"/>
          <w:szCs w:val="24"/>
        </w:rPr>
        <w:t xml:space="preserve"> nu aveau în proprietate loturile de teren pe care au fost amplasate construcțiile, unul din rezervoare a </w:t>
      </w:r>
      <w:r>
        <w:rPr>
          <w:rFonts w:asciiTheme="majorHAnsi" w:hAnsiTheme="majorHAnsi" w:cstheme="majorHAnsi"/>
          <w:b w:val="0"/>
          <w:bCs w:val="0"/>
          <w:sz w:val="24"/>
          <w:szCs w:val="24"/>
        </w:rPr>
        <w:t xml:space="preserve">fost </w:t>
      </w:r>
      <w:r w:rsidR="00756AE7" w:rsidRPr="008376FC">
        <w:rPr>
          <w:rFonts w:asciiTheme="majorHAnsi" w:hAnsiTheme="majorHAnsi" w:cstheme="majorHAnsi"/>
          <w:b w:val="0"/>
          <w:bCs w:val="0"/>
          <w:sz w:val="24"/>
          <w:szCs w:val="24"/>
        </w:rPr>
        <w:t xml:space="preserve">amplasat pe un teren care face </w:t>
      </w:r>
      <w:r w:rsidR="008470DE" w:rsidRPr="008376FC">
        <w:rPr>
          <w:rFonts w:asciiTheme="majorHAnsi" w:hAnsiTheme="majorHAnsi" w:cstheme="majorHAnsi"/>
          <w:b w:val="0"/>
          <w:bCs w:val="0"/>
          <w:sz w:val="24"/>
          <w:szCs w:val="24"/>
        </w:rPr>
        <w:t xml:space="preserve">arte </w:t>
      </w:r>
      <w:r w:rsidR="00756AE7" w:rsidRPr="008376FC">
        <w:rPr>
          <w:rFonts w:asciiTheme="majorHAnsi" w:hAnsiTheme="majorHAnsi" w:cstheme="majorHAnsi"/>
          <w:b w:val="0"/>
          <w:bCs w:val="0"/>
          <w:sz w:val="24"/>
          <w:szCs w:val="24"/>
        </w:rPr>
        <w:t>din fondul silvic. Prin urmare</w:t>
      </w:r>
      <w:r>
        <w:rPr>
          <w:rFonts w:asciiTheme="majorHAnsi" w:hAnsiTheme="majorHAnsi" w:cstheme="majorHAnsi"/>
          <w:b w:val="0"/>
          <w:bCs w:val="0"/>
          <w:sz w:val="24"/>
          <w:szCs w:val="24"/>
        </w:rPr>
        <w:t>,</w:t>
      </w:r>
      <w:r w:rsidR="00756AE7" w:rsidRPr="008376FC">
        <w:rPr>
          <w:rFonts w:asciiTheme="majorHAnsi" w:hAnsiTheme="majorHAnsi" w:cstheme="majorHAnsi"/>
          <w:b w:val="0"/>
          <w:bCs w:val="0"/>
          <w:sz w:val="24"/>
          <w:szCs w:val="24"/>
        </w:rPr>
        <w:t xml:space="preserve"> autoritatea publică nu poate efectua procedurile necesare de finalizare a lucrărilor</w:t>
      </w:r>
      <w:r>
        <w:rPr>
          <w:rFonts w:asciiTheme="majorHAnsi" w:hAnsiTheme="majorHAnsi" w:cstheme="majorHAnsi"/>
          <w:b w:val="0"/>
          <w:bCs w:val="0"/>
          <w:sz w:val="24"/>
          <w:szCs w:val="24"/>
        </w:rPr>
        <w:t>,</w:t>
      </w:r>
      <w:r w:rsidR="00756AE7" w:rsidRPr="008376FC">
        <w:rPr>
          <w:rFonts w:asciiTheme="majorHAnsi" w:hAnsiTheme="majorHAnsi" w:cstheme="majorHAnsi"/>
          <w:b w:val="0"/>
          <w:bCs w:val="0"/>
          <w:sz w:val="24"/>
          <w:szCs w:val="24"/>
        </w:rPr>
        <w:t xml:space="preserve"> invocând necesitatea de schimbare a destinației terenului, fapt ce poate fi efectuat doar prin hotărâre de Guvern. Totodată</w:t>
      </w:r>
      <w:r>
        <w:rPr>
          <w:rFonts w:asciiTheme="majorHAnsi" w:hAnsiTheme="majorHAnsi" w:cstheme="majorHAnsi"/>
          <w:b w:val="0"/>
          <w:bCs w:val="0"/>
          <w:sz w:val="24"/>
          <w:szCs w:val="24"/>
        </w:rPr>
        <w:t>,</w:t>
      </w:r>
      <w:r w:rsidR="00756AE7" w:rsidRPr="008376FC">
        <w:rPr>
          <w:rFonts w:asciiTheme="majorHAnsi" w:hAnsiTheme="majorHAnsi" w:cstheme="majorHAnsi"/>
          <w:b w:val="0"/>
          <w:bCs w:val="0"/>
          <w:sz w:val="24"/>
          <w:szCs w:val="24"/>
        </w:rPr>
        <w:t xml:space="preserve"> în cadrul unui poriect</w:t>
      </w:r>
      <w:r w:rsidR="008470DE" w:rsidRPr="008376FC">
        <w:rPr>
          <w:rStyle w:val="ab"/>
          <w:rFonts w:asciiTheme="majorHAnsi" w:hAnsiTheme="majorHAnsi" w:cstheme="majorHAnsi"/>
          <w:b w:val="0"/>
          <w:bCs w:val="0"/>
          <w:sz w:val="24"/>
          <w:szCs w:val="24"/>
        </w:rPr>
        <w:footnoteReference w:id="39"/>
      </w:r>
      <w:r w:rsidR="00756AE7" w:rsidRPr="008376FC">
        <w:rPr>
          <w:rFonts w:asciiTheme="majorHAnsi" w:hAnsiTheme="majorHAnsi" w:cstheme="majorHAnsi"/>
          <w:b w:val="0"/>
          <w:bCs w:val="0"/>
          <w:sz w:val="24"/>
          <w:szCs w:val="24"/>
        </w:rPr>
        <w:t xml:space="preserve"> terenurile nu au fost formate ca bunuri separate și nu sunt înregistrate la OCT</w:t>
      </w:r>
      <w:r>
        <w:rPr>
          <w:rFonts w:asciiTheme="majorHAnsi" w:hAnsiTheme="majorHAnsi" w:cstheme="majorHAnsi"/>
          <w:b w:val="0"/>
          <w:bCs w:val="0"/>
          <w:sz w:val="24"/>
          <w:szCs w:val="24"/>
        </w:rPr>
        <w:t>;</w:t>
      </w:r>
      <w:r w:rsidR="00A85F0C" w:rsidRPr="008376FC">
        <w:rPr>
          <w:rFonts w:asciiTheme="majorHAnsi" w:hAnsiTheme="majorHAnsi" w:cstheme="majorHAnsi"/>
          <w:b w:val="0"/>
          <w:bCs w:val="0"/>
          <w:sz w:val="24"/>
          <w:szCs w:val="24"/>
        </w:rPr>
        <w:t xml:space="preserve"> </w:t>
      </w:r>
      <w:r w:rsidR="00756AE7" w:rsidRPr="008376FC">
        <w:rPr>
          <w:rFonts w:asciiTheme="majorHAnsi" w:hAnsiTheme="majorHAnsi" w:cstheme="majorHAnsi"/>
          <w:b w:val="0"/>
          <w:bCs w:val="0"/>
          <w:sz w:val="24"/>
          <w:szCs w:val="24"/>
        </w:rPr>
        <w:t xml:space="preserve"> </w:t>
      </w:r>
    </w:p>
    <w:p w:rsidR="00756AE7" w:rsidRPr="008376FC" w:rsidRDefault="009741D3" w:rsidP="00F61756">
      <w:pPr>
        <w:numPr>
          <w:ilvl w:val="0"/>
          <w:numId w:val="49"/>
        </w:numPr>
        <w:tabs>
          <w:tab w:val="left" w:pos="426"/>
        </w:tabs>
        <w:spacing w:before="120" w:after="0" w:line="276" w:lineRule="auto"/>
        <w:ind w:left="0" w:firstLine="284"/>
        <w:contextualSpacing/>
        <w:jc w:val="both"/>
        <w:rPr>
          <w:rFonts w:asciiTheme="majorHAnsi" w:hAnsiTheme="majorHAnsi" w:cstheme="majorHAnsi"/>
          <w:b w:val="0"/>
          <w:bCs w:val="0"/>
          <w:sz w:val="24"/>
          <w:szCs w:val="24"/>
        </w:rPr>
      </w:pPr>
      <w:r>
        <w:rPr>
          <w:rFonts w:asciiTheme="majorHAnsi" w:hAnsiTheme="majorHAnsi" w:cstheme="majorHAnsi"/>
          <w:b w:val="0"/>
          <w:bCs w:val="0"/>
          <w:sz w:val="24"/>
          <w:szCs w:val="24"/>
        </w:rPr>
        <w:t>l</w:t>
      </w:r>
      <w:r w:rsidR="00A85F0C" w:rsidRPr="008376FC">
        <w:rPr>
          <w:rFonts w:asciiTheme="majorHAnsi" w:hAnsiTheme="majorHAnsi" w:cstheme="majorHAnsi"/>
          <w:b w:val="0"/>
          <w:bCs w:val="0"/>
          <w:sz w:val="24"/>
          <w:szCs w:val="24"/>
        </w:rPr>
        <w:t xml:space="preserve">a 19 proiecte (219,35 mil.lei) </w:t>
      </w:r>
      <w:r w:rsidR="00756AE7" w:rsidRPr="008376FC">
        <w:rPr>
          <w:rFonts w:asciiTheme="majorHAnsi" w:hAnsiTheme="majorHAnsi" w:cstheme="majorHAnsi"/>
          <w:b w:val="0"/>
          <w:bCs w:val="0"/>
          <w:sz w:val="24"/>
          <w:szCs w:val="24"/>
        </w:rPr>
        <w:t>lipsesc schemele de amenajare, schițe</w:t>
      </w:r>
      <w:r>
        <w:rPr>
          <w:rFonts w:asciiTheme="majorHAnsi" w:hAnsiTheme="majorHAnsi" w:cstheme="majorHAnsi"/>
          <w:b w:val="0"/>
          <w:bCs w:val="0"/>
          <w:sz w:val="24"/>
          <w:szCs w:val="24"/>
        </w:rPr>
        <w:t>le</w:t>
      </w:r>
      <w:r w:rsidR="00756AE7" w:rsidRPr="008376FC">
        <w:rPr>
          <w:rFonts w:asciiTheme="majorHAnsi" w:hAnsiTheme="majorHAnsi" w:cstheme="majorHAnsi"/>
          <w:b w:val="0"/>
          <w:bCs w:val="0"/>
          <w:sz w:val="24"/>
          <w:szCs w:val="24"/>
        </w:rPr>
        <w:t>, fotografii</w:t>
      </w:r>
      <w:r>
        <w:rPr>
          <w:rFonts w:asciiTheme="majorHAnsi" w:hAnsiTheme="majorHAnsi" w:cstheme="majorHAnsi"/>
          <w:b w:val="0"/>
          <w:bCs w:val="0"/>
          <w:sz w:val="24"/>
          <w:szCs w:val="24"/>
        </w:rPr>
        <w:t>le</w:t>
      </w:r>
      <w:r w:rsidR="00756AE7" w:rsidRPr="008376FC">
        <w:rPr>
          <w:rFonts w:asciiTheme="majorHAnsi" w:hAnsiTheme="majorHAnsi" w:cstheme="majorHAnsi"/>
          <w:b w:val="0"/>
          <w:bCs w:val="0"/>
          <w:sz w:val="24"/>
          <w:szCs w:val="24"/>
        </w:rPr>
        <w:t>, materialel</w:t>
      </w:r>
      <w:r>
        <w:rPr>
          <w:rFonts w:asciiTheme="majorHAnsi" w:hAnsiTheme="majorHAnsi" w:cstheme="majorHAnsi"/>
          <w:b w:val="0"/>
          <w:bCs w:val="0"/>
          <w:sz w:val="24"/>
          <w:szCs w:val="24"/>
        </w:rPr>
        <w:t>e</w:t>
      </w:r>
      <w:r w:rsidR="00756AE7" w:rsidRPr="008376FC">
        <w:rPr>
          <w:rFonts w:asciiTheme="majorHAnsi" w:hAnsiTheme="majorHAnsi" w:cstheme="majorHAnsi"/>
          <w:b w:val="0"/>
          <w:bCs w:val="0"/>
          <w:sz w:val="24"/>
          <w:szCs w:val="24"/>
        </w:rPr>
        <w:t xml:space="preserve"> ilustrative care să ateste rezultatul final preconizat;</w:t>
      </w:r>
    </w:p>
    <w:p w:rsidR="00756AE7" w:rsidRPr="008376FC" w:rsidRDefault="009741D3" w:rsidP="00F61756">
      <w:pPr>
        <w:numPr>
          <w:ilvl w:val="0"/>
          <w:numId w:val="49"/>
        </w:numPr>
        <w:tabs>
          <w:tab w:val="left" w:pos="426"/>
        </w:tabs>
        <w:spacing w:before="120" w:after="0" w:line="276" w:lineRule="auto"/>
        <w:ind w:left="0" w:firstLine="284"/>
        <w:contextualSpacing/>
        <w:jc w:val="both"/>
        <w:rPr>
          <w:rFonts w:asciiTheme="majorHAnsi" w:hAnsiTheme="majorHAnsi" w:cstheme="majorHAnsi"/>
          <w:b w:val="0"/>
          <w:bCs w:val="0"/>
          <w:sz w:val="24"/>
          <w:szCs w:val="24"/>
        </w:rPr>
      </w:pPr>
      <w:r>
        <w:rPr>
          <w:rFonts w:asciiTheme="majorHAnsi" w:hAnsiTheme="majorHAnsi" w:cstheme="majorHAnsi"/>
          <w:b w:val="0"/>
          <w:bCs w:val="0"/>
          <w:sz w:val="24"/>
          <w:szCs w:val="24"/>
        </w:rPr>
        <w:t>l</w:t>
      </w:r>
      <w:r w:rsidR="00A85F0C" w:rsidRPr="008376FC">
        <w:rPr>
          <w:rFonts w:asciiTheme="majorHAnsi" w:hAnsiTheme="majorHAnsi" w:cstheme="majorHAnsi"/>
          <w:b w:val="0"/>
          <w:bCs w:val="0"/>
          <w:sz w:val="24"/>
          <w:szCs w:val="24"/>
        </w:rPr>
        <w:t xml:space="preserve">a </w:t>
      </w:r>
      <w:r w:rsidR="00756AE7" w:rsidRPr="008376FC">
        <w:rPr>
          <w:rFonts w:asciiTheme="majorHAnsi" w:hAnsiTheme="majorHAnsi" w:cstheme="majorHAnsi"/>
          <w:b w:val="0"/>
          <w:bCs w:val="0"/>
          <w:sz w:val="24"/>
          <w:szCs w:val="24"/>
        </w:rPr>
        <w:t xml:space="preserve">5 proiecte </w:t>
      </w:r>
      <w:r w:rsidR="00A85F0C" w:rsidRPr="008376FC">
        <w:rPr>
          <w:rFonts w:asciiTheme="majorHAnsi" w:hAnsiTheme="majorHAnsi" w:cstheme="majorHAnsi"/>
          <w:b w:val="0"/>
          <w:bCs w:val="0"/>
          <w:sz w:val="24"/>
          <w:szCs w:val="24"/>
        </w:rPr>
        <w:t>(</w:t>
      </w:r>
      <w:r w:rsidR="006F2745" w:rsidRPr="008376FC">
        <w:rPr>
          <w:rFonts w:asciiTheme="majorHAnsi" w:hAnsiTheme="majorHAnsi" w:cstheme="majorHAnsi"/>
          <w:b w:val="0"/>
          <w:bCs w:val="0"/>
          <w:sz w:val="24"/>
          <w:szCs w:val="24"/>
        </w:rPr>
        <w:t xml:space="preserve">35,7 </w:t>
      </w:r>
      <w:r w:rsidR="00A85F0C" w:rsidRPr="008376FC">
        <w:rPr>
          <w:rFonts w:asciiTheme="majorHAnsi" w:hAnsiTheme="majorHAnsi" w:cstheme="majorHAnsi"/>
          <w:b w:val="0"/>
          <w:bCs w:val="0"/>
          <w:sz w:val="24"/>
          <w:szCs w:val="24"/>
        </w:rPr>
        <w:t>mil.lei)</w:t>
      </w:r>
      <w:r>
        <w:rPr>
          <w:rFonts w:asciiTheme="majorHAnsi" w:hAnsiTheme="majorHAnsi" w:cstheme="majorHAnsi"/>
          <w:b w:val="0"/>
          <w:bCs w:val="0"/>
          <w:sz w:val="24"/>
          <w:szCs w:val="24"/>
        </w:rPr>
        <w:t>,</w:t>
      </w:r>
      <w:r w:rsidR="00A85F0C" w:rsidRPr="008376FC">
        <w:rPr>
          <w:rFonts w:asciiTheme="majorHAnsi" w:hAnsiTheme="majorHAnsi" w:cstheme="majorHAnsi"/>
          <w:b w:val="0"/>
          <w:bCs w:val="0"/>
          <w:sz w:val="24"/>
          <w:szCs w:val="24"/>
        </w:rPr>
        <w:t xml:space="preserve"> </w:t>
      </w:r>
      <w:r w:rsidR="00756AE7" w:rsidRPr="008376FC">
        <w:rPr>
          <w:rFonts w:asciiTheme="majorHAnsi" w:hAnsiTheme="majorHAnsi" w:cstheme="majorHAnsi"/>
          <w:b w:val="0"/>
          <w:bCs w:val="0"/>
          <w:sz w:val="24"/>
          <w:szCs w:val="24"/>
        </w:rPr>
        <w:t>al căror obiectiv reprezenta constru</w:t>
      </w:r>
      <w:r>
        <w:rPr>
          <w:rFonts w:asciiTheme="majorHAnsi" w:hAnsiTheme="majorHAnsi" w:cstheme="majorHAnsi"/>
          <w:b w:val="0"/>
          <w:bCs w:val="0"/>
          <w:sz w:val="24"/>
          <w:szCs w:val="24"/>
        </w:rPr>
        <w:t>cția</w:t>
      </w:r>
      <w:r w:rsidR="00756AE7" w:rsidRPr="008376FC">
        <w:rPr>
          <w:rFonts w:asciiTheme="majorHAnsi" w:hAnsiTheme="majorHAnsi" w:cstheme="majorHAnsi"/>
          <w:b w:val="0"/>
          <w:bCs w:val="0"/>
          <w:sz w:val="24"/>
          <w:szCs w:val="24"/>
        </w:rPr>
        <w:t xml:space="preserve"> apeduct</w:t>
      </w:r>
      <w:r>
        <w:rPr>
          <w:rFonts w:asciiTheme="majorHAnsi" w:hAnsiTheme="majorHAnsi" w:cstheme="majorHAnsi"/>
          <w:b w:val="0"/>
          <w:bCs w:val="0"/>
          <w:sz w:val="24"/>
          <w:szCs w:val="24"/>
        </w:rPr>
        <w:t>ului</w:t>
      </w:r>
      <w:r w:rsidR="00756AE7" w:rsidRPr="008376FC">
        <w:rPr>
          <w:rFonts w:asciiTheme="majorHAnsi" w:hAnsiTheme="majorHAnsi" w:cstheme="majorHAnsi"/>
          <w:b w:val="0"/>
          <w:bCs w:val="0"/>
          <w:sz w:val="24"/>
          <w:szCs w:val="24"/>
        </w:rPr>
        <w:t xml:space="preserve"> și alimentarea cu apă </w:t>
      </w:r>
      <w:r w:rsidR="00A85F0C" w:rsidRPr="008376FC">
        <w:rPr>
          <w:rFonts w:asciiTheme="majorHAnsi" w:hAnsiTheme="majorHAnsi" w:cstheme="majorHAnsi"/>
          <w:b w:val="0"/>
          <w:bCs w:val="0"/>
          <w:sz w:val="24"/>
          <w:szCs w:val="24"/>
        </w:rPr>
        <w:t xml:space="preserve">a </w:t>
      </w:r>
      <w:r w:rsidR="00756AE7" w:rsidRPr="008376FC">
        <w:rPr>
          <w:rFonts w:asciiTheme="majorHAnsi" w:hAnsiTheme="majorHAnsi" w:cstheme="majorHAnsi"/>
          <w:b w:val="0"/>
          <w:bCs w:val="0"/>
          <w:sz w:val="24"/>
          <w:szCs w:val="24"/>
        </w:rPr>
        <w:t xml:space="preserve">localităților, lipseau </w:t>
      </w:r>
      <w:r>
        <w:rPr>
          <w:rFonts w:asciiTheme="majorHAnsi" w:hAnsiTheme="majorHAnsi" w:cstheme="majorHAnsi"/>
          <w:b w:val="0"/>
          <w:bCs w:val="0"/>
          <w:sz w:val="24"/>
          <w:szCs w:val="24"/>
        </w:rPr>
        <w:t>p</w:t>
      </w:r>
      <w:r w:rsidR="00756AE7" w:rsidRPr="008376FC">
        <w:rPr>
          <w:rFonts w:asciiTheme="majorHAnsi" w:hAnsiTheme="majorHAnsi" w:cstheme="majorHAnsi"/>
          <w:b w:val="0"/>
          <w:bCs w:val="0"/>
          <w:sz w:val="24"/>
          <w:szCs w:val="24"/>
        </w:rPr>
        <w:t>rocesele</w:t>
      </w:r>
      <w:r>
        <w:rPr>
          <w:rFonts w:asciiTheme="majorHAnsi" w:hAnsiTheme="majorHAnsi" w:cstheme="majorHAnsi"/>
          <w:b w:val="0"/>
          <w:bCs w:val="0"/>
          <w:sz w:val="24"/>
          <w:szCs w:val="24"/>
        </w:rPr>
        <w:t>-</w:t>
      </w:r>
      <w:r w:rsidR="00756AE7" w:rsidRPr="008376FC">
        <w:rPr>
          <w:rFonts w:asciiTheme="majorHAnsi" w:hAnsiTheme="majorHAnsi" w:cstheme="majorHAnsi"/>
          <w:b w:val="0"/>
          <w:bCs w:val="0"/>
          <w:sz w:val="24"/>
          <w:szCs w:val="24"/>
        </w:rPr>
        <w:t xml:space="preserve">verbale de investigație a apei potabile; </w:t>
      </w:r>
    </w:p>
    <w:p w:rsidR="00BE3B68" w:rsidRDefault="00A85F0C" w:rsidP="00F61756">
      <w:pPr>
        <w:numPr>
          <w:ilvl w:val="0"/>
          <w:numId w:val="49"/>
        </w:numPr>
        <w:tabs>
          <w:tab w:val="left" w:pos="426"/>
        </w:tabs>
        <w:spacing w:after="0" w:line="276" w:lineRule="auto"/>
        <w:ind w:left="0" w:firstLine="284"/>
        <w:contextualSpacing/>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 xml:space="preserve">la </w:t>
      </w:r>
      <w:r w:rsidR="006F2745" w:rsidRPr="008376FC">
        <w:rPr>
          <w:rFonts w:asciiTheme="majorHAnsi" w:hAnsiTheme="majorHAnsi" w:cstheme="majorHAnsi"/>
          <w:b w:val="0"/>
          <w:bCs w:val="0"/>
          <w:sz w:val="24"/>
          <w:szCs w:val="24"/>
        </w:rPr>
        <w:t xml:space="preserve">10 </w:t>
      </w:r>
      <w:r w:rsidR="00756AE7" w:rsidRPr="008376FC">
        <w:rPr>
          <w:rFonts w:asciiTheme="majorHAnsi" w:hAnsiTheme="majorHAnsi" w:cstheme="majorHAnsi"/>
          <w:b w:val="0"/>
          <w:bCs w:val="0"/>
          <w:sz w:val="24"/>
          <w:szCs w:val="24"/>
        </w:rPr>
        <w:t xml:space="preserve">proiecte </w:t>
      </w:r>
      <w:r w:rsidRPr="008376FC">
        <w:rPr>
          <w:rFonts w:asciiTheme="majorHAnsi" w:hAnsiTheme="majorHAnsi" w:cstheme="majorHAnsi"/>
          <w:b w:val="0"/>
          <w:bCs w:val="0"/>
          <w:sz w:val="24"/>
          <w:szCs w:val="24"/>
        </w:rPr>
        <w:t>(</w:t>
      </w:r>
      <w:r w:rsidR="006F2745" w:rsidRPr="008376FC">
        <w:rPr>
          <w:rFonts w:asciiTheme="majorHAnsi" w:hAnsiTheme="majorHAnsi" w:cstheme="majorHAnsi"/>
          <w:b w:val="0"/>
          <w:bCs w:val="0"/>
          <w:sz w:val="24"/>
          <w:szCs w:val="24"/>
        </w:rPr>
        <w:t xml:space="preserve">100,05 </w:t>
      </w:r>
      <w:r w:rsidRPr="008376FC">
        <w:rPr>
          <w:rFonts w:asciiTheme="majorHAnsi" w:hAnsiTheme="majorHAnsi" w:cstheme="majorHAnsi"/>
          <w:b w:val="0"/>
          <w:bCs w:val="0"/>
          <w:sz w:val="24"/>
          <w:szCs w:val="24"/>
        </w:rPr>
        <w:t>mil.lei)</w:t>
      </w:r>
      <w:r w:rsidR="00756AE7" w:rsidRPr="008376FC">
        <w:rPr>
          <w:rFonts w:asciiTheme="majorHAnsi" w:hAnsiTheme="majorHAnsi" w:cstheme="majorHAnsi"/>
          <w:b w:val="0"/>
          <w:bCs w:val="0"/>
          <w:sz w:val="24"/>
          <w:szCs w:val="24"/>
        </w:rPr>
        <w:t xml:space="preserve"> lipsesc avizele experților, totodată</w:t>
      </w:r>
      <w:r w:rsidR="009741D3">
        <w:rPr>
          <w:rFonts w:asciiTheme="majorHAnsi" w:hAnsiTheme="majorHAnsi" w:cstheme="majorHAnsi"/>
          <w:b w:val="0"/>
          <w:bCs w:val="0"/>
          <w:sz w:val="24"/>
          <w:szCs w:val="24"/>
        </w:rPr>
        <w:t>,</w:t>
      </w:r>
      <w:r w:rsidR="00756AE7" w:rsidRPr="008376FC">
        <w:rPr>
          <w:rFonts w:asciiTheme="majorHAnsi" w:hAnsiTheme="majorHAnsi" w:cstheme="majorHAnsi"/>
          <w:b w:val="0"/>
          <w:bCs w:val="0"/>
          <w:sz w:val="24"/>
          <w:szCs w:val="24"/>
        </w:rPr>
        <w:t xml:space="preserve"> pentru 3 proiecte</w:t>
      </w:r>
      <w:r w:rsidR="009741D3">
        <w:rPr>
          <w:rFonts w:asciiTheme="majorHAnsi" w:hAnsiTheme="majorHAnsi" w:cstheme="majorHAnsi"/>
          <w:b w:val="0"/>
          <w:bCs w:val="0"/>
          <w:sz w:val="24"/>
          <w:szCs w:val="24"/>
        </w:rPr>
        <w:t>,</w:t>
      </w:r>
      <w:r w:rsidR="00756AE7" w:rsidRPr="008376FC">
        <w:rPr>
          <w:rFonts w:asciiTheme="majorHAnsi" w:hAnsiTheme="majorHAnsi" w:cstheme="majorHAnsi"/>
          <w:b w:val="0"/>
          <w:bCs w:val="0"/>
          <w:sz w:val="24"/>
          <w:szCs w:val="24"/>
        </w:rPr>
        <w:t xml:space="preserve"> este anexat formularul de expertizare prin care nu se recomandă sau se respinge proiectul pentru implementare</w:t>
      </w:r>
      <w:r w:rsidRPr="008376FC">
        <w:rPr>
          <w:rFonts w:asciiTheme="majorHAnsi" w:hAnsiTheme="majorHAnsi" w:cstheme="majorHAnsi"/>
          <w:b w:val="0"/>
          <w:bCs w:val="0"/>
          <w:sz w:val="24"/>
          <w:szCs w:val="24"/>
        </w:rPr>
        <w:t>.</w:t>
      </w:r>
    </w:p>
    <w:p w:rsidR="00D65EF7" w:rsidRPr="008376FC" w:rsidRDefault="00D65EF7" w:rsidP="00F61756">
      <w:pPr>
        <w:tabs>
          <w:tab w:val="left" w:pos="426"/>
        </w:tabs>
        <w:spacing w:after="0" w:line="276" w:lineRule="auto"/>
        <w:ind w:left="284"/>
        <w:contextualSpacing/>
        <w:jc w:val="both"/>
        <w:rPr>
          <w:rFonts w:asciiTheme="majorHAnsi" w:hAnsiTheme="majorHAnsi" w:cstheme="majorHAnsi"/>
          <w:b w:val="0"/>
          <w:bCs w:val="0"/>
          <w:sz w:val="24"/>
          <w:szCs w:val="24"/>
        </w:rPr>
      </w:pPr>
    </w:p>
    <w:p w:rsidR="00770E18" w:rsidRPr="008376FC" w:rsidRDefault="00770E18" w:rsidP="00F61756">
      <w:pPr>
        <w:pStyle w:val="a3"/>
        <w:numPr>
          <w:ilvl w:val="2"/>
          <w:numId w:val="38"/>
        </w:numPr>
        <w:spacing w:line="276" w:lineRule="auto"/>
        <w:ind w:left="0" w:firstLine="0"/>
        <w:jc w:val="both"/>
        <w:rPr>
          <w:rFonts w:asciiTheme="majorHAnsi" w:hAnsiTheme="majorHAnsi" w:cstheme="majorHAnsi"/>
          <w:b/>
          <w:color w:val="0070C0"/>
          <w:lang w:val="en-US"/>
        </w:rPr>
      </w:pPr>
      <w:r w:rsidRPr="008376FC">
        <w:rPr>
          <w:rFonts w:asciiTheme="majorHAnsi" w:hAnsiTheme="majorHAnsi" w:cstheme="majorHAnsi"/>
          <w:b/>
          <w:color w:val="0070C0"/>
          <w:lang w:val="ro-RO"/>
        </w:rPr>
        <w:t xml:space="preserve">Nu toate </w:t>
      </w:r>
      <w:r w:rsidR="00AC29D7" w:rsidRPr="008376FC">
        <w:rPr>
          <w:rFonts w:asciiTheme="majorHAnsi" w:hAnsiTheme="majorHAnsi" w:cstheme="majorHAnsi"/>
          <w:b/>
          <w:color w:val="0070C0"/>
          <w:lang w:val="ro-RO"/>
        </w:rPr>
        <w:t>proiecte</w:t>
      </w:r>
      <w:r w:rsidR="009741D3">
        <w:rPr>
          <w:rFonts w:asciiTheme="majorHAnsi" w:hAnsiTheme="majorHAnsi" w:cstheme="majorHAnsi"/>
          <w:b/>
          <w:color w:val="0070C0"/>
          <w:lang w:val="ro-RO"/>
        </w:rPr>
        <w:t>le</w:t>
      </w:r>
      <w:r w:rsidR="00AC29D7" w:rsidRPr="008376FC">
        <w:rPr>
          <w:rFonts w:asciiTheme="majorHAnsi" w:hAnsiTheme="majorHAnsi" w:cstheme="majorHAnsi"/>
          <w:b/>
          <w:color w:val="0070C0"/>
          <w:lang w:val="ro-RO"/>
        </w:rPr>
        <w:t xml:space="preserve"> investiționale</w:t>
      </w:r>
      <w:r w:rsidRPr="008376FC">
        <w:rPr>
          <w:rFonts w:asciiTheme="majorHAnsi" w:hAnsiTheme="majorHAnsi" w:cstheme="majorHAnsi"/>
          <w:b/>
          <w:color w:val="0070C0"/>
          <w:lang w:val="ro-RO"/>
        </w:rPr>
        <w:t xml:space="preserve"> sunt supuse </w:t>
      </w:r>
      <w:r w:rsidRPr="008376FC">
        <w:rPr>
          <w:rFonts w:asciiTheme="majorHAnsi" w:hAnsiTheme="majorHAnsi" w:cstheme="majorHAnsi"/>
          <w:b/>
          <w:color w:val="0070C0"/>
          <w:lang w:val="en-US"/>
        </w:rPr>
        <w:t>verific</w:t>
      </w:r>
      <w:r w:rsidR="009741D3">
        <w:rPr>
          <w:rFonts w:asciiTheme="majorHAnsi" w:hAnsiTheme="majorHAnsi" w:cstheme="majorHAnsi"/>
          <w:b/>
          <w:color w:val="0070C0"/>
          <w:lang w:val="en-US"/>
        </w:rPr>
        <w:t>ă</w:t>
      </w:r>
      <w:r w:rsidRPr="008376FC">
        <w:rPr>
          <w:rFonts w:asciiTheme="majorHAnsi" w:hAnsiTheme="majorHAnsi" w:cstheme="majorHAnsi"/>
          <w:b/>
          <w:color w:val="0070C0"/>
          <w:lang w:val="en-US"/>
        </w:rPr>
        <w:t xml:space="preserve">rii calității </w:t>
      </w:r>
      <w:r w:rsidR="009741D3">
        <w:rPr>
          <w:rFonts w:asciiTheme="majorHAnsi" w:hAnsiTheme="majorHAnsi" w:cstheme="majorHAnsi"/>
          <w:b/>
          <w:color w:val="0070C0"/>
          <w:lang w:val="en-US"/>
        </w:rPr>
        <w:t xml:space="preserve">de </w:t>
      </w:r>
      <w:r w:rsidRPr="008376FC">
        <w:rPr>
          <w:rFonts w:asciiTheme="majorHAnsi" w:hAnsiTheme="majorHAnsi" w:cstheme="majorHAnsi"/>
          <w:b/>
          <w:color w:val="0070C0"/>
          <w:lang w:val="en-US"/>
        </w:rPr>
        <w:t>execuție</w:t>
      </w:r>
      <w:r w:rsidR="009741D3">
        <w:rPr>
          <w:rFonts w:asciiTheme="majorHAnsi" w:hAnsiTheme="majorHAnsi" w:cstheme="majorHAnsi"/>
          <w:b/>
          <w:color w:val="0070C0"/>
          <w:lang w:val="en-US"/>
        </w:rPr>
        <w:t xml:space="preserve"> a</w:t>
      </w:r>
      <w:r w:rsidRPr="008376FC">
        <w:rPr>
          <w:rFonts w:asciiTheme="majorHAnsi" w:hAnsiTheme="majorHAnsi" w:cstheme="majorHAnsi"/>
          <w:b/>
          <w:color w:val="0070C0"/>
          <w:lang w:val="en-US"/>
        </w:rPr>
        <w:t xml:space="preserve"> lucrărilor de construcții</w:t>
      </w:r>
      <w:r w:rsidR="009741D3">
        <w:rPr>
          <w:rFonts w:asciiTheme="majorHAnsi" w:hAnsiTheme="majorHAnsi" w:cstheme="majorHAnsi"/>
          <w:b/>
          <w:color w:val="0070C0"/>
          <w:lang w:val="en-US"/>
        </w:rPr>
        <w:t>.</w:t>
      </w:r>
      <w:r w:rsidRPr="008376FC">
        <w:rPr>
          <w:rFonts w:asciiTheme="majorHAnsi" w:hAnsiTheme="majorHAnsi" w:cstheme="majorHAnsi"/>
          <w:b/>
          <w:color w:val="0070C0"/>
          <w:lang w:val="en-US"/>
        </w:rPr>
        <w:t xml:space="preserve"> </w:t>
      </w:r>
      <w:bookmarkStart w:id="29" w:name="_Toc519234382"/>
      <w:bookmarkStart w:id="30" w:name="_Toc519234945"/>
      <w:bookmarkStart w:id="31" w:name="_Toc520988559"/>
    </w:p>
    <w:p w:rsidR="00756AE7" w:rsidRPr="00D65EF7" w:rsidRDefault="00770E18" w:rsidP="00F61756">
      <w:pPr>
        <w:spacing w:line="276" w:lineRule="auto"/>
        <w:jc w:val="both"/>
        <w:rPr>
          <w:rFonts w:asciiTheme="majorHAnsi" w:hAnsiTheme="majorHAnsi" w:cstheme="majorHAnsi"/>
          <w:sz w:val="24"/>
          <w:szCs w:val="24"/>
          <w:lang w:val="en-US"/>
        </w:rPr>
      </w:pPr>
      <w:r w:rsidRPr="008376FC">
        <w:rPr>
          <w:rFonts w:asciiTheme="majorHAnsi" w:hAnsiTheme="majorHAnsi" w:cstheme="majorHAnsi"/>
          <w:b w:val="0"/>
          <w:sz w:val="24"/>
          <w:szCs w:val="24"/>
          <w:lang w:val="en-US"/>
        </w:rPr>
        <w:t>P</w:t>
      </w:r>
      <w:r w:rsidR="00756AE7" w:rsidRPr="008376FC">
        <w:rPr>
          <w:rFonts w:asciiTheme="majorHAnsi" w:hAnsiTheme="majorHAnsi" w:cstheme="majorHAnsi"/>
          <w:b w:val="0"/>
          <w:sz w:val="24"/>
          <w:szCs w:val="24"/>
          <w:lang w:val="en-US"/>
        </w:rPr>
        <w:t>otrivit cadrului regulator</w:t>
      </w:r>
      <w:r w:rsidR="00756AE7" w:rsidRPr="008376FC">
        <w:rPr>
          <w:rFonts w:asciiTheme="majorHAnsi" w:hAnsiTheme="majorHAnsi"/>
          <w:b w:val="0"/>
          <w:sz w:val="24"/>
          <w:szCs w:val="24"/>
          <w:vertAlign w:val="superscript"/>
        </w:rPr>
        <w:footnoteReference w:id="40"/>
      </w:r>
      <w:r w:rsidR="009741D3">
        <w:rPr>
          <w:rFonts w:asciiTheme="majorHAnsi" w:hAnsiTheme="majorHAnsi" w:cstheme="majorHAnsi"/>
          <w:b w:val="0"/>
          <w:sz w:val="24"/>
          <w:szCs w:val="24"/>
          <w:lang w:val="en-US"/>
        </w:rPr>
        <w:t>,</w:t>
      </w:r>
      <w:r w:rsidR="00756AE7" w:rsidRPr="008376FC">
        <w:rPr>
          <w:rFonts w:asciiTheme="majorHAnsi" w:hAnsiTheme="majorHAnsi" w:cstheme="majorHAnsi"/>
          <w:b w:val="0"/>
          <w:sz w:val="24"/>
          <w:szCs w:val="24"/>
          <w:lang w:val="en-US"/>
        </w:rPr>
        <w:t xml:space="preserve"> verificarea calității execuției construcțiilor este obligatorie și se efectuează de către investitori prin responsabilul tehnic atestat sau agenți economici de consultanță specializați. Verificarea a 19 proiecte a stabilit că implementarea acestora s-a efectuat fără a fi asigurată supravegherea tehnică, or</w:t>
      </w:r>
      <w:r w:rsidR="009741D3">
        <w:rPr>
          <w:rFonts w:asciiTheme="majorHAnsi" w:hAnsiTheme="majorHAnsi" w:cstheme="majorHAnsi"/>
          <w:b w:val="0"/>
          <w:sz w:val="24"/>
          <w:szCs w:val="24"/>
          <w:lang w:val="en-US"/>
        </w:rPr>
        <w:t>,</w:t>
      </w:r>
      <w:r w:rsidR="00756AE7" w:rsidRPr="008376FC">
        <w:rPr>
          <w:rFonts w:asciiTheme="majorHAnsi" w:hAnsiTheme="majorHAnsi" w:cstheme="majorHAnsi"/>
          <w:b w:val="0"/>
          <w:sz w:val="24"/>
          <w:szCs w:val="24"/>
          <w:lang w:val="en-US"/>
        </w:rPr>
        <w:t xml:space="preserve"> acte confirmative </w:t>
      </w:r>
      <w:r w:rsidR="009741D3">
        <w:rPr>
          <w:rFonts w:asciiTheme="majorHAnsi" w:hAnsiTheme="majorHAnsi" w:cstheme="majorHAnsi"/>
          <w:b w:val="0"/>
          <w:sz w:val="24"/>
          <w:szCs w:val="24"/>
          <w:lang w:val="en-US"/>
        </w:rPr>
        <w:t xml:space="preserve">în acest sens </w:t>
      </w:r>
      <w:r w:rsidR="00756AE7" w:rsidRPr="008376FC">
        <w:rPr>
          <w:rFonts w:asciiTheme="majorHAnsi" w:hAnsiTheme="majorHAnsi" w:cstheme="majorHAnsi"/>
          <w:b w:val="0"/>
          <w:sz w:val="24"/>
          <w:szCs w:val="24"/>
          <w:lang w:val="en-US"/>
        </w:rPr>
        <w:t xml:space="preserve">au fost identificate doar pentru proiectul </w:t>
      </w:r>
      <w:r w:rsidR="009741D3">
        <w:rPr>
          <w:rFonts w:asciiTheme="majorHAnsi" w:hAnsiTheme="majorHAnsi" w:cstheme="majorHAnsi"/>
          <w:b w:val="0"/>
          <w:sz w:val="24"/>
          <w:szCs w:val="24"/>
          <w:lang w:val="en-US"/>
        </w:rPr>
        <w:t>„</w:t>
      </w:r>
      <w:r w:rsidR="00756AE7" w:rsidRPr="008376FC">
        <w:rPr>
          <w:rFonts w:asciiTheme="majorHAnsi" w:hAnsiTheme="majorHAnsi" w:cstheme="majorHAnsi"/>
          <w:b w:val="0"/>
          <w:sz w:val="24"/>
          <w:szCs w:val="24"/>
          <w:lang w:val="en-US"/>
        </w:rPr>
        <w:t xml:space="preserve">Complexul de asigurare cu apă potabilă a satelor din raionul Hâncești din lunca râului </w:t>
      </w:r>
      <w:r w:rsidR="00756AE7" w:rsidRPr="00D65EF7">
        <w:rPr>
          <w:rFonts w:asciiTheme="majorHAnsi" w:hAnsiTheme="majorHAnsi" w:cstheme="majorHAnsi"/>
          <w:b w:val="0"/>
          <w:sz w:val="24"/>
          <w:szCs w:val="24"/>
          <w:lang w:val="en-US"/>
        </w:rPr>
        <w:t>Prut</w:t>
      </w:r>
      <w:r w:rsidR="009741D3" w:rsidRPr="00D65EF7">
        <w:rPr>
          <w:rFonts w:asciiTheme="majorHAnsi" w:hAnsiTheme="majorHAnsi" w:cstheme="majorHAnsi"/>
          <w:b w:val="0"/>
          <w:sz w:val="24"/>
          <w:szCs w:val="24"/>
          <w:lang w:val="en-US"/>
        </w:rPr>
        <w:t>”</w:t>
      </w:r>
      <w:r w:rsidR="00756AE7" w:rsidRPr="00D65EF7">
        <w:rPr>
          <w:rFonts w:asciiTheme="majorHAnsi" w:hAnsiTheme="majorHAnsi" w:cstheme="majorHAnsi"/>
          <w:b w:val="0"/>
          <w:sz w:val="24"/>
          <w:szCs w:val="24"/>
          <w:lang w:val="en-US"/>
        </w:rPr>
        <w:t>, în cadrul căruia beneficiarul</w:t>
      </w:r>
      <w:r w:rsidRPr="00D65EF7">
        <w:rPr>
          <w:rFonts w:asciiTheme="majorHAnsi" w:hAnsiTheme="majorHAnsi" w:cstheme="majorHAnsi"/>
          <w:b w:val="0"/>
          <w:sz w:val="24"/>
          <w:szCs w:val="24"/>
          <w:lang w:val="en-US"/>
        </w:rPr>
        <w:t xml:space="preserve">, </w:t>
      </w:r>
      <w:r w:rsidR="00756AE7" w:rsidRPr="00D65EF7">
        <w:rPr>
          <w:rFonts w:asciiTheme="majorHAnsi" w:hAnsiTheme="majorHAnsi" w:cstheme="majorHAnsi"/>
          <w:b w:val="0"/>
          <w:sz w:val="24"/>
          <w:szCs w:val="24"/>
          <w:lang w:val="en-US"/>
        </w:rPr>
        <w:t xml:space="preserve">Agenția </w:t>
      </w:r>
      <w:r w:rsidR="00453D06" w:rsidRPr="00D65EF7">
        <w:rPr>
          <w:rFonts w:asciiTheme="majorHAnsi" w:hAnsiTheme="majorHAnsi" w:cstheme="majorHAnsi"/>
          <w:b w:val="0"/>
          <w:sz w:val="24"/>
          <w:szCs w:val="24"/>
          <w:lang w:val="en-US"/>
        </w:rPr>
        <w:t>„</w:t>
      </w:r>
      <w:r w:rsidR="00756AE7" w:rsidRPr="00D65EF7">
        <w:rPr>
          <w:rFonts w:asciiTheme="majorHAnsi" w:hAnsiTheme="majorHAnsi" w:cstheme="majorHAnsi"/>
          <w:b w:val="0"/>
          <w:sz w:val="24"/>
          <w:szCs w:val="24"/>
          <w:lang w:val="en-US"/>
        </w:rPr>
        <w:t>Apele Moldovei”</w:t>
      </w:r>
      <w:r w:rsidRPr="00D65EF7">
        <w:rPr>
          <w:rFonts w:asciiTheme="majorHAnsi" w:hAnsiTheme="majorHAnsi" w:cstheme="majorHAnsi"/>
          <w:b w:val="0"/>
          <w:sz w:val="24"/>
          <w:szCs w:val="24"/>
          <w:lang w:val="en-US"/>
        </w:rPr>
        <w:t>,</w:t>
      </w:r>
      <w:r w:rsidR="00756AE7" w:rsidRPr="00D65EF7">
        <w:rPr>
          <w:rFonts w:asciiTheme="majorHAnsi" w:hAnsiTheme="majorHAnsi" w:cstheme="majorHAnsi"/>
          <w:b w:val="0"/>
          <w:sz w:val="24"/>
          <w:szCs w:val="24"/>
          <w:lang w:val="en-US"/>
        </w:rPr>
        <w:t xml:space="preserve"> a semnat contract</w:t>
      </w:r>
      <w:r w:rsidR="009741D3" w:rsidRPr="00D65EF7">
        <w:rPr>
          <w:rFonts w:asciiTheme="majorHAnsi" w:hAnsiTheme="majorHAnsi" w:cstheme="majorHAnsi"/>
          <w:b w:val="0"/>
          <w:sz w:val="24"/>
          <w:szCs w:val="24"/>
          <w:lang w:val="en-US"/>
        </w:rPr>
        <w:t>ul</w:t>
      </w:r>
      <w:r w:rsidR="00756AE7" w:rsidRPr="00D65EF7">
        <w:rPr>
          <w:rFonts w:asciiTheme="majorHAnsi" w:hAnsiTheme="majorHAnsi" w:cstheme="majorHAnsi"/>
          <w:b w:val="0"/>
          <w:sz w:val="24"/>
          <w:szCs w:val="24"/>
          <w:lang w:val="en-US"/>
        </w:rPr>
        <w:t xml:space="preserve"> de prestări </w:t>
      </w:r>
      <w:r w:rsidR="00BC28D6" w:rsidRPr="00D65EF7">
        <w:rPr>
          <w:rFonts w:asciiTheme="majorHAnsi" w:hAnsiTheme="majorHAnsi" w:cstheme="majorHAnsi"/>
          <w:b w:val="0"/>
          <w:sz w:val="24"/>
          <w:szCs w:val="24"/>
          <w:lang w:val="en-US"/>
        </w:rPr>
        <w:t>servicii cu o persoană fizică</w:t>
      </w:r>
      <w:r w:rsidR="00A76477" w:rsidRPr="00D65EF7">
        <w:rPr>
          <w:rStyle w:val="ab"/>
          <w:rFonts w:asciiTheme="majorHAnsi" w:hAnsiTheme="majorHAnsi" w:cstheme="majorHAnsi"/>
          <w:b w:val="0"/>
          <w:sz w:val="24"/>
          <w:szCs w:val="24"/>
          <w:lang w:val="en-US"/>
        </w:rPr>
        <w:footnoteReference w:id="41"/>
      </w:r>
      <w:r w:rsidR="00BC28D6" w:rsidRPr="00D65EF7">
        <w:rPr>
          <w:rFonts w:asciiTheme="majorHAnsi" w:hAnsiTheme="majorHAnsi" w:cstheme="majorHAnsi"/>
          <w:b w:val="0"/>
          <w:sz w:val="24"/>
          <w:szCs w:val="24"/>
          <w:lang w:val="en-US"/>
        </w:rPr>
        <w:t xml:space="preserve"> în vederea prestării serviciilor de supraveghere tehnică</w:t>
      </w:r>
      <w:r w:rsidR="00756AE7" w:rsidRPr="00D65EF7">
        <w:rPr>
          <w:rFonts w:asciiTheme="majorHAnsi" w:hAnsiTheme="majorHAnsi" w:cstheme="majorHAnsi"/>
          <w:b w:val="0"/>
          <w:sz w:val="24"/>
          <w:szCs w:val="24"/>
          <w:lang w:val="en-US"/>
        </w:rPr>
        <w:t xml:space="preserve"> a lucrărilor efectuate. </w:t>
      </w:r>
      <w:r w:rsidR="00756AE7" w:rsidRPr="00D65EF7">
        <w:rPr>
          <w:rFonts w:asciiTheme="majorHAnsi" w:hAnsiTheme="majorHAnsi" w:cstheme="majorHAnsi"/>
          <w:b w:val="0"/>
          <w:sz w:val="24"/>
          <w:szCs w:val="24"/>
        </w:rPr>
        <w:t>Prin ur</w:t>
      </w:r>
      <w:r w:rsidR="00AF7654" w:rsidRPr="00D65EF7">
        <w:rPr>
          <w:rFonts w:asciiTheme="majorHAnsi" w:hAnsiTheme="majorHAnsi" w:cstheme="majorHAnsi"/>
          <w:b w:val="0"/>
          <w:sz w:val="24"/>
          <w:szCs w:val="24"/>
        </w:rPr>
        <w:t>m</w:t>
      </w:r>
      <w:r w:rsidR="00756AE7" w:rsidRPr="00D65EF7">
        <w:rPr>
          <w:rFonts w:asciiTheme="majorHAnsi" w:hAnsiTheme="majorHAnsi" w:cstheme="majorHAnsi"/>
          <w:b w:val="0"/>
          <w:sz w:val="24"/>
          <w:szCs w:val="24"/>
        </w:rPr>
        <w:t xml:space="preserve">are, </w:t>
      </w:r>
      <w:r w:rsidRPr="00D65EF7">
        <w:rPr>
          <w:rFonts w:asciiTheme="majorHAnsi" w:hAnsiTheme="majorHAnsi" w:cstheme="majorHAnsi"/>
          <w:b w:val="0"/>
          <w:sz w:val="24"/>
          <w:szCs w:val="24"/>
        </w:rPr>
        <w:t>volumele de lucr</w:t>
      </w:r>
      <w:r w:rsidR="00460754" w:rsidRPr="00D65EF7">
        <w:rPr>
          <w:rFonts w:asciiTheme="majorHAnsi" w:hAnsiTheme="majorHAnsi" w:cstheme="majorHAnsi"/>
          <w:b w:val="0"/>
          <w:sz w:val="24"/>
          <w:szCs w:val="24"/>
        </w:rPr>
        <w:t>ări efectuate</w:t>
      </w:r>
      <w:r w:rsidR="00AF7654" w:rsidRPr="00D65EF7">
        <w:rPr>
          <w:rFonts w:asciiTheme="majorHAnsi" w:hAnsiTheme="majorHAnsi" w:cstheme="majorHAnsi"/>
          <w:b w:val="0"/>
          <w:sz w:val="24"/>
          <w:szCs w:val="24"/>
        </w:rPr>
        <w:t xml:space="preserve"> </w:t>
      </w:r>
      <w:r w:rsidR="00460754" w:rsidRPr="00D65EF7">
        <w:rPr>
          <w:rFonts w:asciiTheme="majorHAnsi" w:hAnsiTheme="majorHAnsi" w:cstheme="majorHAnsi"/>
          <w:b w:val="0"/>
          <w:sz w:val="24"/>
          <w:szCs w:val="24"/>
        </w:rPr>
        <w:t>pot fi puse la</w:t>
      </w:r>
      <w:r w:rsidR="00756AE7" w:rsidRPr="00D65EF7">
        <w:rPr>
          <w:rFonts w:asciiTheme="majorHAnsi" w:hAnsiTheme="majorHAnsi" w:cstheme="majorHAnsi"/>
          <w:b w:val="0"/>
          <w:sz w:val="24"/>
          <w:szCs w:val="24"/>
        </w:rPr>
        <w:t xml:space="preserve"> îndoială</w:t>
      </w:r>
      <w:r w:rsidR="00460754" w:rsidRPr="00D65EF7">
        <w:rPr>
          <w:rFonts w:asciiTheme="majorHAnsi" w:hAnsiTheme="majorHAnsi" w:cstheme="majorHAnsi"/>
          <w:b w:val="0"/>
          <w:sz w:val="24"/>
          <w:szCs w:val="24"/>
        </w:rPr>
        <w:t>, nefiind asi</w:t>
      </w:r>
      <w:r w:rsidR="00AF7654" w:rsidRPr="00D65EF7">
        <w:rPr>
          <w:rFonts w:asciiTheme="majorHAnsi" w:hAnsiTheme="majorHAnsi" w:cstheme="majorHAnsi"/>
          <w:b w:val="0"/>
          <w:sz w:val="24"/>
          <w:szCs w:val="24"/>
        </w:rPr>
        <w:t>g</w:t>
      </w:r>
      <w:r w:rsidR="00460754" w:rsidRPr="00D65EF7">
        <w:rPr>
          <w:rFonts w:asciiTheme="majorHAnsi" w:hAnsiTheme="majorHAnsi" w:cstheme="majorHAnsi"/>
          <w:b w:val="0"/>
          <w:sz w:val="24"/>
          <w:szCs w:val="24"/>
        </w:rPr>
        <w:t xml:space="preserve">urată respectarea </w:t>
      </w:r>
      <w:r w:rsidR="00756AE7" w:rsidRPr="00D65EF7">
        <w:rPr>
          <w:rFonts w:asciiTheme="majorHAnsi" w:hAnsiTheme="majorHAnsi" w:cstheme="majorHAnsi"/>
          <w:b w:val="0"/>
          <w:sz w:val="24"/>
          <w:szCs w:val="24"/>
        </w:rPr>
        <w:t xml:space="preserve">tuturor procedurilor de supraveghere tehnică în cadrul </w:t>
      </w:r>
      <w:r w:rsidR="00460754" w:rsidRPr="00D65EF7">
        <w:rPr>
          <w:rFonts w:asciiTheme="majorHAnsi" w:hAnsiTheme="majorHAnsi" w:cstheme="majorHAnsi"/>
          <w:b w:val="0"/>
          <w:sz w:val="24"/>
          <w:szCs w:val="24"/>
        </w:rPr>
        <w:t xml:space="preserve">PI. </w:t>
      </w:r>
      <w:bookmarkEnd w:id="29"/>
      <w:bookmarkEnd w:id="30"/>
      <w:bookmarkEnd w:id="31"/>
    </w:p>
    <w:p w:rsidR="00756AE7" w:rsidRPr="008376FC" w:rsidRDefault="00756AE7" w:rsidP="00F61756">
      <w:pPr>
        <w:spacing w:before="120" w:after="0" w:line="276" w:lineRule="auto"/>
        <w:jc w:val="both"/>
        <w:rPr>
          <w:rFonts w:asciiTheme="majorHAnsi" w:hAnsiTheme="majorHAnsi" w:cstheme="majorHAnsi"/>
          <w:b w:val="0"/>
          <w:bCs w:val="0"/>
          <w:sz w:val="24"/>
          <w:szCs w:val="24"/>
        </w:rPr>
      </w:pPr>
      <w:r w:rsidRPr="00D65EF7">
        <w:rPr>
          <w:rFonts w:asciiTheme="majorHAnsi" w:hAnsiTheme="majorHAnsi" w:cstheme="majorHAnsi"/>
          <w:b w:val="0"/>
          <w:bCs w:val="0"/>
          <w:sz w:val="24"/>
          <w:szCs w:val="24"/>
        </w:rPr>
        <w:t>În același context</w:t>
      </w:r>
      <w:r w:rsidR="00AF7654" w:rsidRPr="00D65EF7">
        <w:rPr>
          <w:rFonts w:asciiTheme="majorHAnsi" w:hAnsiTheme="majorHAnsi" w:cstheme="majorHAnsi"/>
          <w:b w:val="0"/>
          <w:bCs w:val="0"/>
          <w:sz w:val="24"/>
          <w:szCs w:val="24"/>
        </w:rPr>
        <w:t>,</w:t>
      </w:r>
      <w:r w:rsidRPr="00D65EF7">
        <w:rPr>
          <w:rFonts w:asciiTheme="majorHAnsi" w:hAnsiTheme="majorHAnsi" w:cstheme="majorHAnsi"/>
          <w:b w:val="0"/>
          <w:bCs w:val="0"/>
          <w:sz w:val="24"/>
          <w:szCs w:val="24"/>
        </w:rPr>
        <w:t xml:space="preserve"> se subliniază </w:t>
      </w:r>
      <w:r w:rsidR="00AF7654" w:rsidRPr="00D65EF7">
        <w:rPr>
          <w:rFonts w:asciiTheme="majorHAnsi" w:hAnsiTheme="majorHAnsi" w:cstheme="majorHAnsi"/>
          <w:b w:val="0"/>
          <w:bCs w:val="0"/>
          <w:sz w:val="24"/>
          <w:szCs w:val="24"/>
        </w:rPr>
        <w:t xml:space="preserve">faptul </w:t>
      </w:r>
      <w:r w:rsidRPr="00D65EF7">
        <w:rPr>
          <w:rFonts w:asciiTheme="majorHAnsi" w:hAnsiTheme="majorHAnsi" w:cstheme="majorHAnsi"/>
          <w:b w:val="0"/>
          <w:bCs w:val="0"/>
          <w:sz w:val="24"/>
          <w:szCs w:val="24"/>
        </w:rPr>
        <w:t>că</w:t>
      </w:r>
      <w:r w:rsidR="00AF7654" w:rsidRPr="00D65EF7">
        <w:rPr>
          <w:rFonts w:asciiTheme="majorHAnsi" w:hAnsiTheme="majorHAnsi" w:cstheme="majorHAnsi"/>
          <w:b w:val="0"/>
          <w:bCs w:val="0"/>
          <w:sz w:val="24"/>
          <w:szCs w:val="24"/>
        </w:rPr>
        <w:t>,</w:t>
      </w:r>
      <w:r w:rsidRPr="00D65EF7">
        <w:rPr>
          <w:rFonts w:asciiTheme="majorHAnsi" w:hAnsiTheme="majorHAnsi" w:cstheme="majorHAnsi"/>
          <w:b w:val="0"/>
          <w:bCs w:val="0"/>
          <w:sz w:val="24"/>
          <w:szCs w:val="24"/>
        </w:rPr>
        <w:t xml:space="preserve"> potrivit informațiilor prezentate de către Agenția pentru Supraveghere Tehnică, </w:t>
      </w:r>
      <w:r w:rsidR="00AF7654" w:rsidRPr="00D65EF7">
        <w:rPr>
          <w:rFonts w:asciiTheme="majorHAnsi" w:hAnsiTheme="majorHAnsi" w:cstheme="majorHAnsi"/>
          <w:b w:val="0"/>
          <w:bCs w:val="0"/>
          <w:sz w:val="24"/>
          <w:szCs w:val="24"/>
        </w:rPr>
        <w:t xml:space="preserve">ca </w:t>
      </w:r>
      <w:r w:rsidRPr="00D65EF7">
        <w:rPr>
          <w:rFonts w:asciiTheme="majorHAnsi" w:hAnsiTheme="majorHAnsi" w:cstheme="majorHAnsi"/>
          <w:b w:val="0"/>
          <w:bCs w:val="0"/>
          <w:sz w:val="24"/>
          <w:szCs w:val="24"/>
        </w:rPr>
        <w:t>urmare a controalelor efectuate</w:t>
      </w:r>
      <w:r w:rsidR="00460754" w:rsidRPr="00D65EF7">
        <w:rPr>
          <w:rFonts w:asciiTheme="majorHAnsi" w:hAnsiTheme="majorHAnsi" w:cstheme="majorHAnsi"/>
          <w:b w:val="0"/>
          <w:bCs w:val="0"/>
          <w:sz w:val="24"/>
          <w:szCs w:val="24"/>
        </w:rPr>
        <w:t>,</w:t>
      </w:r>
      <w:r w:rsidRPr="00D65EF7">
        <w:rPr>
          <w:rFonts w:asciiTheme="majorHAnsi" w:hAnsiTheme="majorHAnsi" w:cstheme="majorHAnsi"/>
          <w:b w:val="0"/>
          <w:bCs w:val="0"/>
          <w:sz w:val="24"/>
          <w:szCs w:val="24"/>
        </w:rPr>
        <w:t xml:space="preserve"> au fost identificate </w:t>
      </w:r>
      <w:r w:rsidR="00460754" w:rsidRPr="00D65EF7">
        <w:rPr>
          <w:rFonts w:asciiTheme="majorHAnsi" w:hAnsiTheme="majorHAnsi" w:cstheme="majorHAnsi"/>
          <w:b w:val="0"/>
          <w:bCs w:val="0"/>
          <w:sz w:val="24"/>
          <w:szCs w:val="24"/>
        </w:rPr>
        <w:t xml:space="preserve">următoarele </w:t>
      </w:r>
      <w:r w:rsidRPr="00D65EF7">
        <w:rPr>
          <w:rFonts w:asciiTheme="majorHAnsi" w:hAnsiTheme="majorHAnsi" w:cstheme="majorHAnsi"/>
          <w:b w:val="0"/>
          <w:bCs w:val="0"/>
          <w:sz w:val="24"/>
          <w:szCs w:val="24"/>
        </w:rPr>
        <w:t xml:space="preserve">deficiențe ale proiectelor implementate din contul FEN: </w:t>
      </w:r>
      <w:r w:rsidR="00460754" w:rsidRPr="00D65EF7">
        <w:rPr>
          <w:rFonts w:asciiTheme="majorHAnsi" w:hAnsiTheme="majorHAnsi" w:cstheme="majorHAnsi"/>
          <w:b w:val="0"/>
          <w:bCs w:val="0"/>
          <w:sz w:val="24"/>
          <w:szCs w:val="24"/>
        </w:rPr>
        <w:t xml:space="preserve">(i) </w:t>
      </w:r>
      <w:r w:rsidR="00AF7654" w:rsidRPr="00D65EF7">
        <w:rPr>
          <w:rFonts w:asciiTheme="majorHAnsi" w:hAnsiTheme="majorHAnsi" w:cstheme="majorHAnsi"/>
          <w:b w:val="0"/>
          <w:bCs w:val="0"/>
          <w:sz w:val="24"/>
          <w:szCs w:val="24"/>
        </w:rPr>
        <w:t>l</w:t>
      </w:r>
      <w:r w:rsidRPr="00D65EF7">
        <w:rPr>
          <w:rFonts w:asciiTheme="majorHAnsi" w:hAnsiTheme="majorHAnsi" w:cstheme="majorHAnsi"/>
          <w:b w:val="0"/>
          <w:bCs w:val="0"/>
          <w:sz w:val="24"/>
          <w:szCs w:val="24"/>
        </w:rPr>
        <w:t>ipsa ridicării topografice (schemele de ridicare geodezică de control)</w:t>
      </w:r>
      <w:r w:rsidR="00460754" w:rsidRPr="00D65EF7">
        <w:rPr>
          <w:rFonts w:asciiTheme="majorHAnsi" w:hAnsiTheme="majorHAnsi" w:cstheme="majorHAnsi"/>
          <w:b w:val="0"/>
          <w:bCs w:val="0"/>
          <w:sz w:val="24"/>
          <w:szCs w:val="24"/>
        </w:rPr>
        <w:t xml:space="preserve">, (ii) </w:t>
      </w:r>
      <w:r w:rsidR="00AF7654" w:rsidRPr="00D65EF7">
        <w:rPr>
          <w:rFonts w:asciiTheme="majorHAnsi" w:hAnsiTheme="majorHAnsi" w:cstheme="majorHAnsi"/>
          <w:b w:val="0"/>
          <w:bCs w:val="0"/>
          <w:sz w:val="24"/>
          <w:szCs w:val="24"/>
        </w:rPr>
        <w:t>l</w:t>
      </w:r>
      <w:r w:rsidRPr="00D65EF7">
        <w:rPr>
          <w:rFonts w:asciiTheme="majorHAnsi" w:hAnsiTheme="majorHAnsi" w:cstheme="majorHAnsi"/>
          <w:b w:val="0"/>
          <w:bCs w:val="0"/>
          <w:sz w:val="24"/>
          <w:szCs w:val="24"/>
        </w:rPr>
        <w:t xml:space="preserve">ipsa măsurărilor </w:t>
      </w:r>
      <w:r w:rsidR="00AF7654" w:rsidRPr="00D65EF7">
        <w:rPr>
          <w:rFonts w:asciiTheme="majorHAnsi" w:hAnsiTheme="majorHAnsi" w:cstheme="majorHAnsi"/>
          <w:b w:val="0"/>
          <w:bCs w:val="0"/>
          <w:sz w:val="24"/>
          <w:szCs w:val="24"/>
        </w:rPr>
        <w:t xml:space="preserve">efectuate </w:t>
      </w:r>
      <w:r w:rsidRPr="00D65EF7">
        <w:rPr>
          <w:rFonts w:asciiTheme="majorHAnsi" w:hAnsiTheme="majorHAnsi" w:cstheme="majorHAnsi"/>
          <w:b w:val="0"/>
          <w:bCs w:val="0"/>
          <w:sz w:val="24"/>
          <w:szCs w:val="24"/>
        </w:rPr>
        <w:t>de oficiul cadastral a</w:t>
      </w:r>
      <w:r w:rsidR="00AF7654" w:rsidRPr="00D65EF7">
        <w:rPr>
          <w:rFonts w:asciiTheme="majorHAnsi" w:hAnsiTheme="majorHAnsi" w:cstheme="majorHAnsi"/>
          <w:b w:val="0"/>
          <w:bCs w:val="0"/>
          <w:sz w:val="24"/>
          <w:szCs w:val="24"/>
        </w:rPr>
        <w:t xml:space="preserve">supra </w:t>
      </w:r>
      <w:r w:rsidRPr="00D65EF7">
        <w:rPr>
          <w:rFonts w:asciiTheme="majorHAnsi" w:hAnsiTheme="majorHAnsi" w:cstheme="majorHAnsi"/>
          <w:b w:val="0"/>
          <w:bCs w:val="0"/>
          <w:sz w:val="24"/>
          <w:szCs w:val="24"/>
        </w:rPr>
        <w:t xml:space="preserve"> construc</w:t>
      </w:r>
      <w:r w:rsidR="00AF7654" w:rsidRPr="00D65EF7">
        <w:rPr>
          <w:rFonts w:asciiTheme="majorHAnsi" w:hAnsiTheme="majorHAnsi" w:cstheme="majorHAnsi"/>
          <w:b w:val="0"/>
          <w:bCs w:val="0"/>
          <w:sz w:val="24"/>
          <w:szCs w:val="24"/>
        </w:rPr>
        <w:t>țiilor</w:t>
      </w:r>
      <w:r w:rsidRPr="00D65EF7">
        <w:rPr>
          <w:rFonts w:asciiTheme="majorHAnsi" w:hAnsiTheme="majorHAnsi" w:cstheme="majorHAnsi"/>
          <w:b w:val="0"/>
          <w:bCs w:val="0"/>
          <w:sz w:val="24"/>
          <w:szCs w:val="24"/>
        </w:rPr>
        <w:t xml:space="preserve"> (stații de purificare, de pompare, turnuri de apă și altele)</w:t>
      </w:r>
      <w:r w:rsidR="00460754" w:rsidRPr="00D65EF7">
        <w:rPr>
          <w:rFonts w:asciiTheme="majorHAnsi" w:hAnsiTheme="majorHAnsi" w:cstheme="majorHAnsi"/>
          <w:b w:val="0"/>
          <w:bCs w:val="0"/>
          <w:sz w:val="24"/>
          <w:szCs w:val="24"/>
        </w:rPr>
        <w:t>, (iii</w:t>
      </w:r>
      <w:r w:rsidR="00BC28D6" w:rsidRPr="00D65EF7">
        <w:rPr>
          <w:rFonts w:asciiTheme="majorHAnsi" w:hAnsiTheme="majorHAnsi" w:cstheme="majorHAnsi"/>
          <w:b w:val="0"/>
          <w:bCs w:val="0"/>
          <w:sz w:val="24"/>
          <w:szCs w:val="24"/>
        </w:rPr>
        <w:t>) neprezentarea încercărilor de laborator la compactarea terenului</w:t>
      </w:r>
      <w:r w:rsidR="00460754" w:rsidRPr="00D65EF7">
        <w:rPr>
          <w:rFonts w:asciiTheme="majorHAnsi" w:hAnsiTheme="majorHAnsi" w:cstheme="majorHAnsi"/>
          <w:b w:val="0"/>
          <w:bCs w:val="0"/>
          <w:sz w:val="24"/>
          <w:szCs w:val="24"/>
        </w:rPr>
        <w:t xml:space="preserve">, (iv) </w:t>
      </w:r>
      <w:r w:rsidR="00AF7654" w:rsidRPr="00D65EF7">
        <w:rPr>
          <w:rFonts w:asciiTheme="majorHAnsi" w:hAnsiTheme="majorHAnsi" w:cstheme="majorHAnsi"/>
          <w:b w:val="0"/>
          <w:bCs w:val="0"/>
          <w:sz w:val="24"/>
          <w:szCs w:val="24"/>
        </w:rPr>
        <w:t>n</w:t>
      </w:r>
      <w:r w:rsidRPr="00D65EF7">
        <w:rPr>
          <w:rFonts w:asciiTheme="majorHAnsi" w:hAnsiTheme="majorHAnsi" w:cstheme="majorHAnsi"/>
          <w:b w:val="0"/>
          <w:bCs w:val="0"/>
          <w:sz w:val="24"/>
          <w:szCs w:val="24"/>
        </w:rPr>
        <w:t>eprezentarea</w:t>
      </w:r>
      <w:r w:rsidRPr="008376FC">
        <w:rPr>
          <w:rFonts w:asciiTheme="majorHAnsi" w:hAnsiTheme="majorHAnsi" w:cstheme="majorHAnsi"/>
          <w:b w:val="0"/>
          <w:bCs w:val="0"/>
          <w:sz w:val="24"/>
          <w:szCs w:val="24"/>
        </w:rPr>
        <w:t xml:space="preserve"> încercăril</w:t>
      </w:r>
      <w:r w:rsidR="00460754" w:rsidRPr="008376FC">
        <w:rPr>
          <w:rFonts w:asciiTheme="majorHAnsi" w:hAnsiTheme="majorHAnsi" w:cstheme="majorHAnsi"/>
          <w:b w:val="0"/>
          <w:bCs w:val="0"/>
          <w:sz w:val="24"/>
          <w:szCs w:val="24"/>
        </w:rPr>
        <w:t>or</w:t>
      </w:r>
      <w:r w:rsidRPr="008376FC">
        <w:rPr>
          <w:rFonts w:asciiTheme="majorHAnsi" w:hAnsiTheme="majorHAnsi" w:cstheme="majorHAnsi"/>
          <w:b w:val="0"/>
          <w:bCs w:val="0"/>
          <w:sz w:val="24"/>
          <w:szCs w:val="24"/>
        </w:rPr>
        <w:t xml:space="preserve"> d</w:t>
      </w:r>
      <w:r w:rsidR="00460754" w:rsidRPr="008376FC">
        <w:rPr>
          <w:rFonts w:asciiTheme="majorHAnsi" w:hAnsiTheme="majorHAnsi" w:cstheme="majorHAnsi"/>
          <w:b w:val="0"/>
          <w:bCs w:val="0"/>
          <w:sz w:val="24"/>
          <w:szCs w:val="24"/>
        </w:rPr>
        <w:t xml:space="preserve">e laborator a betonului folosit, (v) </w:t>
      </w:r>
      <w:r w:rsidR="00AF7654">
        <w:rPr>
          <w:rFonts w:asciiTheme="majorHAnsi" w:hAnsiTheme="majorHAnsi" w:cstheme="majorHAnsi"/>
          <w:b w:val="0"/>
          <w:bCs w:val="0"/>
          <w:sz w:val="24"/>
          <w:szCs w:val="24"/>
        </w:rPr>
        <w:t>l</w:t>
      </w:r>
      <w:r w:rsidRPr="008376FC">
        <w:rPr>
          <w:rFonts w:asciiTheme="majorHAnsi" w:hAnsiTheme="majorHAnsi" w:cstheme="majorHAnsi"/>
          <w:b w:val="0"/>
          <w:bCs w:val="0"/>
          <w:sz w:val="24"/>
          <w:szCs w:val="24"/>
        </w:rPr>
        <w:t>ipsa cărti</w:t>
      </w:r>
      <w:r w:rsidR="00AF7654">
        <w:rPr>
          <w:rFonts w:asciiTheme="majorHAnsi" w:hAnsiTheme="majorHAnsi" w:cstheme="majorHAnsi"/>
          <w:b w:val="0"/>
          <w:bCs w:val="0"/>
          <w:sz w:val="24"/>
          <w:szCs w:val="24"/>
        </w:rPr>
        <w:t>i</w:t>
      </w:r>
      <w:r w:rsidRPr="008376FC">
        <w:rPr>
          <w:rFonts w:asciiTheme="majorHAnsi" w:hAnsiTheme="majorHAnsi" w:cstheme="majorHAnsi"/>
          <w:b w:val="0"/>
          <w:bCs w:val="0"/>
          <w:sz w:val="24"/>
          <w:szCs w:val="24"/>
        </w:rPr>
        <w:t xml:space="preserve"> tehnic</w:t>
      </w:r>
      <w:r w:rsidR="00AF7654">
        <w:rPr>
          <w:rFonts w:asciiTheme="majorHAnsi" w:hAnsiTheme="majorHAnsi" w:cstheme="majorHAnsi"/>
          <w:b w:val="0"/>
          <w:bCs w:val="0"/>
          <w:sz w:val="24"/>
          <w:szCs w:val="24"/>
        </w:rPr>
        <w:t>e</w:t>
      </w:r>
      <w:r w:rsidRPr="008376FC">
        <w:rPr>
          <w:rFonts w:asciiTheme="majorHAnsi" w:hAnsiTheme="majorHAnsi" w:cstheme="majorHAnsi"/>
          <w:b w:val="0"/>
          <w:bCs w:val="0"/>
          <w:sz w:val="24"/>
          <w:szCs w:val="24"/>
        </w:rPr>
        <w:t xml:space="preserve"> la șantier</w:t>
      </w:r>
      <w:r w:rsidR="00460754" w:rsidRPr="008376FC">
        <w:rPr>
          <w:rFonts w:asciiTheme="majorHAnsi" w:hAnsiTheme="majorHAnsi" w:cstheme="majorHAnsi"/>
          <w:b w:val="0"/>
          <w:bCs w:val="0"/>
          <w:sz w:val="24"/>
          <w:szCs w:val="24"/>
        </w:rPr>
        <w:t>, (vi)</w:t>
      </w:r>
      <w:r w:rsidRPr="008376FC">
        <w:rPr>
          <w:rFonts w:asciiTheme="majorHAnsi" w:hAnsiTheme="majorHAnsi" w:cstheme="majorHAnsi"/>
          <w:b w:val="0"/>
          <w:bCs w:val="0"/>
          <w:sz w:val="24"/>
          <w:szCs w:val="24"/>
        </w:rPr>
        <w:t xml:space="preserve"> </w:t>
      </w:r>
      <w:r w:rsidR="00AF7654">
        <w:rPr>
          <w:rFonts w:asciiTheme="majorHAnsi" w:hAnsiTheme="majorHAnsi" w:cstheme="majorHAnsi"/>
          <w:b w:val="0"/>
          <w:bCs w:val="0"/>
          <w:sz w:val="24"/>
          <w:szCs w:val="24"/>
        </w:rPr>
        <w:t>n</w:t>
      </w:r>
      <w:r w:rsidRPr="008376FC">
        <w:rPr>
          <w:rFonts w:asciiTheme="majorHAnsi" w:hAnsiTheme="majorHAnsi" w:cstheme="majorHAnsi"/>
          <w:b w:val="0"/>
          <w:bCs w:val="0"/>
          <w:sz w:val="24"/>
          <w:szCs w:val="24"/>
        </w:rPr>
        <w:t>ecompletarea cărții tehnice</w:t>
      </w:r>
      <w:r w:rsidR="00460754" w:rsidRPr="008376FC">
        <w:rPr>
          <w:rFonts w:asciiTheme="majorHAnsi" w:hAnsiTheme="majorHAnsi" w:cstheme="majorHAnsi"/>
          <w:b w:val="0"/>
          <w:bCs w:val="0"/>
          <w:sz w:val="24"/>
          <w:szCs w:val="24"/>
        </w:rPr>
        <w:t xml:space="preserve">, (vii) </w:t>
      </w:r>
      <w:r w:rsidR="00AF7654">
        <w:rPr>
          <w:rFonts w:asciiTheme="majorHAnsi" w:hAnsiTheme="majorHAnsi" w:cstheme="majorHAnsi"/>
          <w:b w:val="0"/>
          <w:bCs w:val="0"/>
          <w:sz w:val="24"/>
          <w:szCs w:val="24"/>
        </w:rPr>
        <w:t>l</w:t>
      </w:r>
      <w:r w:rsidRPr="008376FC">
        <w:rPr>
          <w:rFonts w:asciiTheme="majorHAnsi" w:hAnsiTheme="majorHAnsi" w:cstheme="majorHAnsi"/>
          <w:b w:val="0"/>
          <w:bCs w:val="0"/>
          <w:sz w:val="24"/>
          <w:szCs w:val="24"/>
        </w:rPr>
        <w:t>ipsa certificatelor/declarațiilor de conformitate la materialele utilizate</w:t>
      </w:r>
      <w:r w:rsidR="00460754" w:rsidRPr="008376FC">
        <w:rPr>
          <w:rFonts w:asciiTheme="majorHAnsi" w:hAnsiTheme="majorHAnsi" w:cstheme="majorHAnsi"/>
          <w:b w:val="0"/>
          <w:bCs w:val="0"/>
          <w:sz w:val="24"/>
          <w:szCs w:val="24"/>
        </w:rPr>
        <w:t>.</w:t>
      </w:r>
    </w:p>
    <w:p w:rsidR="00460754" w:rsidRPr="008376FC" w:rsidRDefault="00E56198" w:rsidP="00F61756">
      <w:pPr>
        <w:spacing w:before="120"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Cele constatate de AST demonstrează acțiunea neglijentă a antreprenorilor</w:t>
      </w:r>
      <w:r w:rsidR="00AF7654">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 xml:space="preserve"> lipsa de interes în desfășurarea lucrărilor calitative de către beneficiar, dar și de către investitor.</w:t>
      </w:r>
    </w:p>
    <w:p w:rsidR="00756AE7" w:rsidRPr="008376FC" w:rsidRDefault="00E56198" w:rsidP="00F61756">
      <w:pPr>
        <w:spacing w:before="120" w:after="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În cadrul unor controale efectuate de AST, s-au stabilit cazuri de supraconsum</w:t>
      </w:r>
      <w:r w:rsidR="00AF7654">
        <w:rPr>
          <w:rFonts w:asciiTheme="majorHAnsi" w:hAnsiTheme="majorHAnsi" w:cstheme="majorHAnsi"/>
          <w:b w:val="0"/>
          <w:bCs w:val="0"/>
          <w:sz w:val="24"/>
          <w:szCs w:val="24"/>
        </w:rPr>
        <w:t xml:space="preserve"> a</w:t>
      </w:r>
      <w:r w:rsidRPr="008376FC">
        <w:rPr>
          <w:rFonts w:asciiTheme="majorHAnsi" w:hAnsiTheme="majorHAnsi" w:cstheme="majorHAnsi"/>
          <w:b w:val="0"/>
          <w:bCs w:val="0"/>
          <w:sz w:val="24"/>
          <w:szCs w:val="24"/>
        </w:rPr>
        <w:t>l materialelor de construcție, resurselor energetice și altor resurse în comparație cu normele de consum și desenele de execuție, lucrări neexecutate, incluse în costul obiectului prezentat spre recepție. Deficiențele stabilite de AST</w:t>
      </w:r>
      <w:r w:rsidR="00AF7654">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 xml:space="preserve"> în unele cazuri</w:t>
      </w:r>
      <w:r w:rsidR="00AF7654">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 xml:space="preserve"> pot determina în timp deteriorarea lucrărilor înainte de termenul de exploatare stabilit conform clasificatoarelor, necesitatea unor lucrări suplimentare de asigurare a durabilității proiectelor și altele.</w:t>
      </w:r>
      <w:r w:rsidR="00872B7D" w:rsidRPr="008376FC">
        <w:rPr>
          <w:rFonts w:asciiTheme="majorHAnsi" w:hAnsiTheme="majorHAnsi" w:cstheme="majorHAnsi"/>
          <w:b w:val="0"/>
          <w:bCs w:val="0"/>
          <w:sz w:val="24"/>
          <w:szCs w:val="24"/>
        </w:rPr>
        <w:t xml:space="preserve"> De asemenea</w:t>
      </w:r>
      <w:r w:rsidR="00AF7654">
        <w:rPr>
          <w:rFonts w:asciiTheme="majorHAnsi" w:hAnsiTheme="majorHAnsi" w:cstheme="majorHAnsi"/>
          <w:b w:val="0"/>
          <w:bCs w:val="0"/>
          <w:sz w:val="24"/>
          <w:szCs w:val="24"/>
        </w:rPr>
        <w:t>,</w:t>
      </w:r>
      <w:r w:rsidR="00872B7D" w:rsidRPr="008376FC">
        <w:rPr>
          <w:rFonts w:asciiTheme="majorHAnsi" w:hAnsiTheme="majorHAnsi" w:cstheme="majorHAnsi"/>
          <w:b w:val="0"/>
          <w:bCs w:val="0"/>
          <w:sz w:val="24"/>
          <w:szCs w:val="24"/>
        </w:rPr>
        <w:t xml:space="preserve"> în cadrul controalelor e</w:t>
      </w:r>
      <w:r w:rsidR="00FC0984" w:rsidRPr="008376FC">
        <w:rPr>
          <w:rFonts w:asciiTheme="majorHAnsi" w:hAnsiTheme="majorHAnsi" w:cstheme="majorHAnsi"/>
          <w:b w:val="0"/>
          <w:bCs w:val="0"/>
          <w:sz w:val="24"/>
          <w:szCs w:val="24"/>
        </w:rPr>
        <w:t>f</w:t>
      </w:r>
      <w:r w:rsidR="00872B7D" w:rsidRPr="008376FC">
        <w:rPr>
          <w:rFonts w:asciiTheme="majorHAnsi" w:hAnsiTheme="majorHAnsi" w:cstheme="majorHAnsi"/>
          <w:b w:val="0"/>
          <w:bCs w:val="0"/>
          <w:sz w:val="24"/>
          <w:szCs w:val="24"/>
        </w:rPr>
        <w:t xml:space="preserve">ectuate de AST, au fost stabilite și </w:t>
      </w:r>
      <w:r w:rsidR="00756AE7" w:rsidRPr="008376FC">
        <w:rPr>
          <w:rFonts w:asciiTheme="majorHAnsi" w:hAnsiTheme="majorHAnsi" w:cstheme="majorHAnsi"/>
          <w:b w:val="0"/>
          <w:bCs w:val="0"/>
          <w:sz w:val="24"/>
          <w:szCs w:val="24"/>
        </w:rPr>
        <w:t>deficiențe</w:t>
      </w:r>
      <w:r w:rsidR="00872B7D" w:rsidRPr="008376FC">
        <w:rPr>
          <w:rFonts w:asciiTheme="majorHAnsi" w:hAnsiTheme="majorHAnsi" w:cstheme="majorHAnsi"/>
          <w:b w:val="0"/>
          <w:bCs w:val="0"/>
          <w:sz w:val="24"/>
          <w:szCs w:val="24"/>
        </w:rPr>
        <w:t xml:space="preserve"> pentru care pot fi aplicate </w:t>
      </w:r>
      <w:r w:rsidR="00756AE7" w:rsidRPr="008376FC">
        <w:rPr>
          <w:rFonts w:asciiTheme="majorHAnsi" w:hAnsiTheme="majorHAnsi" w:cstheme="majorHAnsi"/>
          <w:b w:val="0"/>
          <w:bCs w:val="0"/>
          <w:sz w:val="24"/>
          <w:szCs w:val="24"/>
        </w:rPr>
        <w:t xml:space="preserve">proceduri de recuperare a resurselor financiare utilizate necorespunzător. </w:t>
      </w:r>
      <w:r w:rsidR="00872B7D" w:rsidRPr="008376FC">
        <w:rPr>
          <w:rFonts w:asciiTheme="majorHAnsi" w:hAnsiTheme="majorHAnsi" w:cstheme="majorHAnsi"/>
          <w:b w:val="0"/>
          <w:bCs w:val="0"/>
          <w:sz w:val="24"/>
          <w:szCs w:val="24"/>
        </w:rPr>
        <w:t>Informați</w:t>
      </w:r>
      <w:r w:rsidR="00AF7654">
        <w:rPr>
          <w:rFonts w:asciiTheme="majorHAnsi" w:hAnsiTheme="majorHAnsi" w:cstheme="majorHAnsi"/>
          <w:b w:val="0"/>
          <w:bCs w:val="0"/>
          <w:sz w:val="24"/>
          <w:szCs w:val="24"/>
        </w:rPr>
        <w:t>i detaliate</w:t>
      </w:r>
      <w:r w:rsidR="00872B7D" w:rsidRPr="008376FC">
        <w:rPr>
          <w:rFonts w:asciiTheme="majorHAnsi" w:hAnsiTheme="majorHAnsi" w:cstheme="majorHAnsi"/>
          <w:b w:val="0"/>
          <w:bCs w:val="0"/>
          <w:sz w:val="24"/>
          <w:szCs w:val="24"/>
        </w:rPr>
        <w:t xml:space="preserve"> se prezintă în Tabelul de mai jos.</w:t>
      </w:r>
    </w:p>
    <w:p w:rsidR="00872B7D" w:rsidRPr="00BF7900" w:rsidRDefault="00872B7D" w:rsidP="00F61756">
      <w:pPr>
        <w:spacing w:before="120" w:after="0" w:line="276" w:lineRule="auto"/>
        <w:jc w:val="right"/>
        <w:rPr>
          <w:rFonts w:asciiTheme="majorHAnsi" w:hAnsiTheme="majorHAnsi" w:cstheme="majorHAnsi"/>
          <w:b w:val="0"/>
          <w:bCs w:val="0"/>
          <w:sz w:val="20"/>
          <w:szCs w:val="20"/>
        </w:rPr>
      </w:pPr>
      <w:r w:rsidRPr="00BF7900">
        <w:rPr>
          <w:rFonts w:asciiTheme="majorHAnsi" w:hAnsiTheme="majorHAnsi" w:cstheme="majorHAnsi"/>
          <w:bCs w:val="0"/>
          <w:sz w:val="20"/>
          <w:szCs w:val="20"/>
        </w:rPr>
        <w:t xml:space="preserve">Tabelul nr. </w:t>
      </w:r>
      <w:r w:rsidR="00AC29D7" w:rsidRPr="00BF7900">
        <w:rPr>
          <w:rFonts w:asciiTheme="majorHAnsi" w:hAnsiTheme="majorHAnsi" w:cstheme="majorHAnsi"/>
          <w:bCs w:val="0"/>
          <w:sz w:val="20"/>
          <w:szCs w:val="20"/>
        </w:rPr>
        <w:t>7</w:t>
      </w:r>
    </w:p>
    <w:tbl>
      <w:tblPr>
        <w:tblStyle w:val="af2"/>
        <w:tblW w:w="10059" w:type="dxa"/>
        <w:tblInd w:w="-216" w:type="dxa"/>
        <w:tblLook w:val="04A0" w:firstRow="1" w:lastRow="0" w:firstColumn="1" w:lastColumn="0" w:noHBand="0" w:noVBand="1"/>
      </w:tblPr>
      <w:tblGrid>
        <w:gridCol w:w="518"/>
        <w:gridCol w:w="3576"/>
        <w:gridCol w:w="2204"/>
        <w:gridCol w:w="1198"/>
        <w:gridCol w:w="1292"/>
        <w:gridCol w:w="1260"/>
        <w:gridCol w:w="11"/>
      </w:tblGrid>
      <w:tr w:rsidR="00756AE7" w:rsidRPr="00D11009" w:rsidTr="005D7EF2">
        <w:trPr>
          <w:trHeight w:val="448"/>
        </w:trPr>
        <w:tc>
          <w:tcPr>
            <w:tcW w:w="10059" w:type="dxa"/>
            <w:gridSpan w:val="7"/>
            <w:tcBorders>
              <w:top w:val="nil"/>
              <w:left w:val="nil"/>
              <w:bottom w:val="single" w:sz="4" w:space="0" w:color="auto"/>
              <w:right w:val="nil"/>
            </w:tcBorders>
          </w:tcPr>
          <w:p w:rsidR="00756AE7" w:rsidRPr="00D11009" w:rsidRDefault="00756AE7" w:rsidP="00E4274A">
            <w:pPr>
              <w:jc w:val="center"/>
              <w:rPr>
                <w:rFonts w:asciiTheme="majorHAnsi" w:hAnsiTheme="majorHAnsi" w:cstheme="majorHAnsi"/>
                <w:bCs w:val="0"/>
                <w:sz w:val="20"/>
                <w:szCs w:val="20"/>
              </w:rPr>
            </w:pPr>
            <w:r w:rsidRPr="00D11009">
              <w:rPr>
                <w:rFonts w:asciiTheme="majorHAnsi" w:hAnsiTheme="majorHAnsi" w:cstheme="majorHAnsi"/>
                <w:bCs w:val="0"/>
                <w:sz w:val="20"/>
                <w:szCs w:val="20"/>
              </w:rPr>
              <w:t>Rezultatele controalelor</w:t>
            </w:r>
            <w:r w:rsidR="00AF7654" w:rsidRPr="00BF7900">
              <w:rPr>
                <w:rFonts w:asciiTheme="majorHAnsi" w:hAnsiTheme="majorHAnsi" w:cstheme="majorHAnsi"/>
                <w:bCs w:val="0"/>
                <w:sz w:val="20"/>
                <w:szCs w:val="20"/>
              </w:rPr>
              <w:t xml:space="preserve"> efectuate de</w:t>
            </w:r>
            <w:r w:rsidRPr="00D11009">
              <w:rPr>
                <w:rFonts w:asciiTheme="majorHAnsi" w:hAnsiTheme="majorHAnsi" w:cstheme="majorHAnsi"/>
                <w:bCs w:val="0"/>
                <w:sz w:val="20"/>
                <w:szCs w:val="20"/>
              </w:rPr>
              <w:t xml:space="preserve"> Agenția pentru Supraveghere Tehnică la unele proiecte investiționale finanțate din FEN, </w:t>
            </w:r>
            <w:r w:rsidR="00872B7D" w:rsidRPr="00D11009">
              <w:rPr>
                <w:rFonts w:asciiTheme="majorHAnsi" w:hAnsiTheme="majorHAnsi" w:cstheme="majorHAnsi"/>
                <w:bCs w:val="0"/>
                <w:sz w:val="20"/>
                <w:szCs w:val="20"/>
              </w:rPr>
              <w:t>supuse proceduri</w:t>
            </w:r>
            <w:r w:rsidR="00AF7654" w:rsidRPr="00BF7900">
              <w:rPr>
                <w:rFonts w:asciiTheme="majorHAnsi" w:hAnsiTheme="majorHAnsi" w:cstheme="majorHAnsi"/>
                <w:bCs w:val="0"/>
                <w:sz w:val="20"/>
                <w:szCs w:val="20"/>
              </w:rPr>
              <w:t>i</w:t>
            </w:r>
            <w:r w:rsidR="00872B7D" w:rsidRPr="00D11009">
              <w:rPr>
                <w:rFonts w:asciiTheme="majorHAnsi" w:hAnsiTheme="majorHAnsi" w:cstheme="majorHAnsi"/>
                <w:bCs w:val="0"/>
                <w:sz w:val="20"/>
                <w:szCs w:val="20"/>
              </w:rPr>
              <w:t xml:space="preserve"> de recuperare</w:t>
            </w:r>
          </w:p>
        </w:tc>
      </w:tr>
      <w:tr w:rsidR="00756AE7" w:rsidRPr="008376FC" w:rsidTr="005D7EF2">
        <w:trPr>
          <w:gridAfter w:val="1"/>
          <w:wAfter w:w="11" w:type="dxa"/>
          <w:trHeight w:val="592"/>
        </w:trPr>
        <w:tc>
          <w:tcPr>
            <w:tcW w:w="518" w:type="dxa"/>
            <w:tcBorders>
              <w:top w:val="single" w:sz="4" w:space="0" w:color="auto"/>
            </w:tcBorders>
            <w:shd w:val="clear" w:color="auto" w:fill="BDD6EE" w:themeFill="accent1" w:themeFillTint="66"/>
          </w:tcPr>
          <w:p w:rsidR="00756AE7" w:rsidRPr="008376FC" w:rsidRDefault="00935696" w:rsidP="00E4274A">
            <w:pPr>
              <w:jc w:val="both"/>
              <w:rPr>
                <w:rFonts w:asciiTheme="majorHAnsi" w:hAnsiTheme="majorHAnsi" w:cstheme="majorHAnsi"/>
                <w:bCs w:val="0"/>
                <w:sz w:val="20"/>
                <w:szCs w:val="20"/>
              </w:rPr>
            </w:pPr>
            <w:r w:rsidRPr="008376FC">
              <w:rPr>
                <w:rFonts w:asciiTheme="majorHAnsi" w:hAnsiTheme="majorHAnsi" w:cstheme="majorHAnsi"/>
                <w:bCs w:val="0"/>
                <w:sz w:val="20"/>
                <w:szCs w:val="20"/>
              </w:rPr>
              <w:t xml:space="preserve">Nr. </w:t>
            </w:r>
            <w:r w:rsidR="002F1DCF">
              <w:rPr>
                <w:rFonts w:asciiTheme="majorHAnsi" w:hAnsiTheme="majorHAnsi" w:cstheme="majorHAnsi"/>
                <w:bCs w:val="0"/>
                <w:sz w:val="20"/>
                <w:szCs w:val="20"/>
              </w:rPr>
              <w:t>crt.</w:t>
            </w:r>
          </w:p>
        </w:tc>
        <w:tc>
          <w:tcPr>
            <w:tcW w:w="3576" w:type="dxa"/>
            <w:tcBorders>
              <w:top w:val="single" w:sz="4" w:space="0" w:color="auto"/>
            </w:tcBorders>
            <w:shd w:val="clear" w:color="auto" w:fill="BDD6EE" w:themeFill="accent1" w:themeFillTint="66"/>
          </w:tcPr>
          <w:p w:rsidR="00756AE7" w:rsidRPr="008376FC" w:rsidRDefault="00756AE7" w:rsidP="00E4274A">
            <w:pPr>
              <w:jc w:val="both"/>
              <w:rPr>
                <w:rFonts w:asciiTheme="majorHAnsi" w:hAnsiTheme="majorHAnsi" w:cstheme="majorHAnsi"/>
                <w:bCs w:val="0"/>
                <w:sz w:val="20"/>
                <w:szCs w:val="20"/>
              </w:rPr>
            </w:pPr>
            <w:r w:rsidRPr="008376FC">
              <w:rPr>
                <w:rFonts w:asciiTheme="majorHAnsi" w:hAnsiTheme="majorHAnsi" w:cstheme="majorHAnsi"/>
                <w:bCs w:val="0"/>
                <w:sz w:val="20"/>
                <w:szCs w:val="20"/>
              </w:rPr>
              <w:t>Obiectivul (amplasarea, destinația, caracteristicile succinte)</w:t>
            </w:r>
          </w:p>
        </w:tc>
        <w:tc>
          <w:tcPr>
            <w:tcW w:w="2204" w:type="dxa"/>
            <w:tcBorders>
              <w:top w:val="single" w:sz="4" w:space="0" w:color="auto"/>
            </w:tcBorders>
            <w:shd w:val="clear" w:color="auto" w:fill="BDD6EE" w:themeFill="accent1" w:themeFillTint="66"/>
          </w:tcPr>
          <w:p w:rsidR="00756AE7" w:rsidRPr="008376FC" w:rsidRDefault="00756AE7" w:rsidP="00E4274A">
            <w:pPr>
              <w:jc w:val="both"/>
              <w:rPr>
                <w:rFonts w:asciiTheme="majorHAnsi" w:hAnsiTheme="majorHAnsi" w:cstheme="majorHAnsi"/>
                <w:bCs w:val="0"/>
                <w:sz w:val="20"/>
                <w:szCs w:val="20"/>
              </w:rPr>
            </w:pPr>
            <w:r w:rsidRPr="008376FC">
              <w:rPr>
                <w:rFonts w:asciiTheme="majorHAnsi" w:hAnsiTheme="majorHAnsi" w:cstheme="majorHAnsi"/>
                <w:bCs w:val="0"/>
                <w:sz w:val="20"/>
                <w:szCs w:val="20"/>
              </w:rPr>
              <w:t>Beneficiar/antreprenor</w:t>
            </w:r>
          </w:p>
        </w:tc>
        <w:tc>
          <w:tcPr>
            <w:tcW w:w="1198" w:type="dxa"/>
            <w:tcBorders>
              <w:top w:val="single" w:sz="4" w:space="0" w:color="auto"/>
            </w:tcBorders>
            <w:shd w:val="clear" w:color="auto" w:fill="BDD6EE" w:themeFill="accent1" w:themeFillTint="66"/>
          </w:tcPr>
          <w:p w:rsidR="00756AE7" w:rsidRPr="008376FC" w:rsidRDefault="00756AE7" w:rsidP="00E4274A">
            <w:pPr>
              <w:jc w:val="both"/>
              <w:rPr>
                <w:rFonts w:asciiTheme="majorHAnsi" w:hAnsiTheme="majorHAnsi" w:cstheme="majorHAnsi"/>
                <w:bCs w:val="0"/>
                <w:sz w:val="20"/>
                <w:szCs w:val="20"/>
              </w:rPr>
            </w:pPr>
            <w:r w:rsidRPr="008376FC">
              <w:rPr>
                <w:rFonts w:asciiTheme="majorHAnsi" w:hAnsiTheme="majorHAnsi" w:cstheme="majorHAnsi"/>
                <w:bCs w:val="0"/>
                <w:sz w:val="20"/>
                <w:szCs w:val="20"/>
              </w:rPr>
              <w:t>Valoarea totală a obiectivului (mil</w:t>
            </w:r>
            <w:r w:rsidR="00C0184D">
              <w:rPr>
                <w:rFonts w:asciiTheme="majorHAnsi" w:hAnsiTheme="majorHAnsi" w:cstheme="majorHAnsi"/>
                <w:bCs w:val="0"/>
                <w:sz w:val="20"/>
                <w:szCs w:val="20"/>
              </w:rPr>
              <w:t>.</w:t>
            </w:r>
            <w:r w:rsidRPr="008376FC">
              <w:rPr>
                <w:rFonts w:asciiTheme="majorHAnsi" w:hAnsiTheme="majorHAnsi" w:cstheme="majorHAnsi"/>
                <w:bCs w:val="0"/>
                <w:sz w:val="20"/>
                <w:szCs w:val="20"/>
              </w:rPr>
              <w:t xml:space="preserve"> lei)</w:t>
            </w:r>
          </w:p>
        </w:tc>
        <w:tc>
          <w:tcPr>
            <w:tcW w:w="1292" w:type="dxa"/>
            <w:tcBorders>
              <w:top w:val="single" w:sz="4" w:space="0" w:color="auto"/>
            </w:tcBorders>
            <w:shd w:val="clear" w:color="auto" w:fill="BDD6EE" w:themeFill="accent1" w:themeFillTint="66"/>
          </w:tcPr>
          <w:p w:rsidR="00756AE7" w:rsidRPr="008376FC" w:rsidRDefault="00756AE7" w:rsidP="00E4274A">
            <w:pPr>
              <w:jc w:val="both"/>
              <w:rPr>
                <w:rFonts w:asciiTheme="majorHAnsi" w:hAnsiTheme="majorHAnsi" w:cstheme="majorHAnsi"/>
                <w:bCs w:val="0"/>
                <w:sz w:val="20"/>
                <w:szCs w:val="20"/>
              </w:rPr>
            </w:pPr>
            <w:r w:rsidRPr="008376FC">
              <w:rPr>
                <w:rFonts w:asciiTheme="majorHAnsi" w:hAnsiTheme="majorHAnsi" w:cstheme="majorHAnsi"/>
                <w:bCs w:val="0"/>
                <w:sz w:val="20"/>
                <w:szCs w:val="20"/>
              </w:rPr>
              <w:t>Valoarea totală a deficiențelor constatate/ recuperate (mil</w:t>
            </w:r>
            <w:r w:rsidR="00C0184D">
              <w:rPr>
                <w:rFonts w:asciiTheme="majorHAnsi" w:hAnsiTheme="majorHAnsi" w:cstheme="majorHAnsi"/>
                <w:bCs w:val="0"/>
                <w:sz w:val="20"/>
                <w:szCs w:val="20"/>
              </w:rPr>
              <w:t>.</w:t>
            </w:r>
            <w:r w:rsidRPr="008376FC">
              <w:rPr>
                <w:rFonts w:asciiTheme="majorHAnsi" w:hAnsiTheme="majorHAnsi" w:cstheme="majorHAnsi"/>
                <w:bCs w:val="0"/>
                <w:sz w:val="20"/>
                <w:szCs w:val="20"/>
              </w:rPr>
              <w:t>lei)</w:t>
            </w:r>
          </w:p>
        </w:tc>
        <w:tc>
          <w:tcPr>
            <w:tcW w:w="1260" w:type="dxa"/>
            <w:tcBorders>
              <w:top w:val="single" w:sz="4" w:space="0" w:color="auto"/>
            </w:tcBorders>
            <w:shd w:val="clear" w:color="auto" w:fill="BDD6EE" w:themeFill="accent1" w:themeFillTint="66"/>
          </w:tcPr>
          <w:p w:rsidR="00756AE7" w:rsidRPr="008376FC" w:rsidRDefault="00C0184D" w:rsidP="00E4274A">
            <w:pPr>
              <w:jc w:val="both"/>
              <w:rPr>
                <w:rFonts w:asciiTheme="majorHAnsi" w:hAnsiTheme="majorHAnsi" w:cstheme="majorHAnsi"/>
                <w:bCs w:val="0"/>
                <w:sz w:val="20"/>
                <w:szCs w:val="20"/>
              </w:rPr>
            </w:pPr>
            <w:r>
              <w:rPr>
                <w:rFonts w:asciiTheme="majorHAnsi" w:hAnsiTheme="majorHAnsi" w:cstheme="majorHAnsi"/>
                <w:bCs w:val="0"/>
                <w:sz w:val="20"/>
                <w:szCs w:val="20"/>
              </w:rPr>
              <w:t>Mențiuni</w:t>
            </w:r>
          </w:p>
        </w:tc>
      </w:tr>
      <w:tr w:rsidR="00756AE7" w:rsidRPr="008376FC" w:rsidTr="005D7EF2">
        <w:trPr>
          <w:gridAfter w:val="1"/>
          <w:wAfter w:w="11" w:type="dxa"/>
          <w:trHeight w:val="468"/>
        </w:trPr>
        <w:tc>
          <w:tcPr>
            <w:tcW w:w="518"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w:t>
            </w:r>
          </w:p>
        </w:tc>
        <w:tc>
          <w:tcPr>
            <w:tcW w:w="3576"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Lucrări de alimentare cu apă și construcția rețelei de canalizare în s. Porumbrei, r-nul Cimișlia</w:t>
            </w:r>
          </w:p>
        </w:tc>
        <w:tc>
          <w:tcPr>
            <w:tcW w:w="2204"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Primăria com. Porumbrei, r-nul Cimișlia</w:t>
            </w:r>
            <w:r w:rsidR="00C0184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 xml:space="preserve"> „Levprocons” S.R.L.</w:t>
            </w:r>
          </w:p>
        </w:tc>
        <w:tc>
          <w:tcPr>
            <w:tcW w:w="1198"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7,11</w:t>
            </w:r>
          </w:p>
        </w:tc>
        <w:tc>
          <w:tcPr>
            <w:tcW w:w="1292"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4,25</w:t>
            </w:r>
          </w:p>
        </w:tc>
        <w:tc>
          <w:tcPr>
            <w:tcW w:w="1260"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Remis la CNA</w:t>
            </w:r>
          </w:p>
        </w:tc>
      </w:tr>
      <w:tr w:rsidR="00756AE7" w:rsidRPr="008376FC" w:rsidTr="005D7EF2">
        <w:trPr>
          <w:gridAfter w:val="1"/>
          <w:wAfter w:w="11" w:type="dxa"/>
          <w:trHeight w:val="452"/>
        </w:trPr>
        <w:tc>
          <w:tcPr>
            <w:tcW w:w="518"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2</w:t>
            </w:r>
          </w:p>
        </w:tc>
        <w:tc>
          <w:tcPr>
            <w:tcW w:w="3576"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Sisteme de canalizare și epurare în s. Românești, r</w:t>
            </w:r>
            <w:r w:rsidR="00C0184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nul Strășeni</w:t>
            </w:r>
          </w:p>
        </w:tc>
        <w:tc>
          <w:tcPr>
            <w:tcW w:w="2204"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Primăria s. Românești, S.R.L. „Regal Rent”</w:t>
            </w:r>
          </w:p>
        </w:tc>
        <w:tc>
          <w:tcPr>
            <w:tcW w:w="1198"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13,41</w:t>
            </w:r>
          </w:p>
        </w:tc>
        <w:tc>
          <w:tcPr>
            <w:tcW w:w="1292"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7,17</w:t>
            </w:r>
          </w:p>
        </w:tc>
        <w:tc>
          <w:tcPr>
            <w:tcW w:w="1260"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Remis la CNA</w:t>
            </w:r>
          </w:p>
        </w:tc>
      </w:tr>
      <w:tr w:rsidR="00756AE7" w:rsidRPr="008376FC" w:rsidTr="005D7EF2">
        <w:trPr>
          <w:gridAfter w:val="1"/>
          <w:wAfter w:w="11" w:type="dxa"/>
          <w:trHeight w:val="547"/>
        </w:trPr>
        <w:tc>
          <w:tcPr>
            <w:tcW w:w="518"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3</w:t>
            </w:r>
          </w:p>
        </w:tc>
        <w:tc>
          <w:tcPr>
            <w:tcW w:w="3576"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Construcția apeductului magistral Leova - S</w:t>
            </w:r>
            <w:r w:rsidR="00C0184D">
              <w:rPr>
                <w:rFonts w:asciiTheme="majorHAnsi" w:hAnsiTheme="majorHAnsi" w:cstheme="majorHAnsi"/>
                <w:b w:val="0"/>
                <w:bCs w:val="0"/>
                <w:sz w:val="20"/>
                <w:szCs w:val="20"/>
              </w:rPr>
              <w:t>â</w:t>
            </w:r>
            <w:r w:rsidRPr="008376FC">
              <w:rPr>
                <w:rFonts w:asciiTheme="majorHAnsi" w:hAnsiTheme="majorHAnsi" w:cstheme="majorHAnsi"/>
                <w:b w:val="0"/>
                <w:bCs w:val="0"/>
                <w:sz w:val="20"/>
                <w:szCs w:val="20"/>
              </w:rPr>
              <w:t>rma - T</w:t>
            </w:r>
            <w:r w:rsidR="00C0184D">
              <w:rPr>
                <w:rFonts w:asciiTheme="majorHAnsi" w:hAnsiTheme="majorHAnsi" w:cstheme="majorHAnsi"/>
                <w:b w:val="0"/>
                <w:bCs w:val="0"/>
                <w:sz w:val="20"/>
                <w:szCs w:val="20"/>
              </w:rPr>
              <w:t>o</w:t>
            </w:r>
            <w:r w:rsidRPr="008376FC">
              <w:rPr>
                <w:rFonts w:asciiTheme="majorHAnsi" w:hAnsiTheme="majorHAnsi" w:cstheme="majorHAnsi"/>
                <w:b w:val="0"/>
                <w:bCs w:val="0"/>
                <w:sz w:val="20"/>
                <w:szCs w:val="20"/>
              </w:rPr>
              <w:t>chile -</w:t>
            </w:r>
            <w:r w:rsidR="00C0184D">
              <w:rPr>
                <w:rFonts w:asciiTheme="majorHAnsi" w:hAnsiTheme="majorHAnsi" w:cstheme="majorHAnsi"/>
                <w:b w:val="0"/>
                <w:bCs w:val="0"/>
                <w:sz w:val="20"/>
                <w:szCs w:val="20"/>
              </w:rPr>
              <w:t xml:space="preserve"> </w:t>
            </w:r>
            <w:r w:rsidRPr="008376FC">
              <w:rPr>
                <w:rFonts w:asciiTheme="majorHAnsi" w:hAnsiTheme="majorHAnsi" w:cstheme="majorHAnsi"/>
                <w:b w:val="0"/>
                <w:bCs w:val="0"/>
                <w:sz w:val="20"/>
                <w:szCs w:val="20"/>
              </w:rPr>
              <w:t>Răducani - Tomai - Sărata -Răzăști</w:t>
            </w:r>
          </w:p>
        </w:tc>
        <w:tc>
          <w:tcPr>
            <w:tcW w:w="2204"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Primăria s. Tomai , „Ecotop Proiect” S.R.L.</w:t>
            </w:r>
          </w:p>
        </w:tc>
        <w:tc>
          <w:tcPr>
            <w:tcW w:w="1198"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7,723</w:t>
            </w:r>
          </w:p>
        </w:tc>
        <w:tc>
          <w:tcPr>
            <w:tcW w:w="1292"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3,22</w:t>
            </w:r>
          </w:p>
        </w:tc>
        <w:tc>
          <w:tcPr>
            <w:tcW w:w="1260" w:type="dxa"/>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Remis</w:t>
            </w:r>
            <w:r w:rsidR="00A76477">
              <w:rPr>
                <w:rFonts w:asciiTheme="majorHAnsi" w:hAnsiTheme="majorHAnsi" w:cstheme="majorHAnsi"/>
                <w:b w:val="0"/>
                <w:bCs w:val="0"/>
                <w:sz w:val="20"/>
                <w:szCs w:val="20"/>
              </w:rPr>
              <w:t xml:space="preserve"> la </w:t>
            </w:r>
            <w:r w:rsidRPr="008376FC">
              <w:rPr>
                <w:rFonts w:asciiTheme="majorHAnsi" w:hAnsiTheme="majorHAnsi" w:cstheme="majorHAnsi"/>
                <w:b w:val="0"/>
                <w:bCs w:val="0"/>
                <w:sz w:val="20"/>
                <w:szCs w:val="20"/>
              </w:rPr>
              <w:t xml:space="preserve"> CNA</w:t>
            </w:r>
            <w:r w:rsidR="00A76477">
              <w:rPr>
                <w:rFonts w:asciiTheme="majorHAnsi" w:hAnsiTheme="majorHAnsi" w:cstheme="majorHAnsi"/>
                <w:b w:val="0"/>
                <w:bCs w:val="0"/>
                <w:sz w:val="20"/>
                <w:szCs w:val="20"/>
              </w:rPr>
              <w:t xml:space="preserve"> și SIS</w:t>
            </w:r>
          </w:p>
        </w:tc>
      </w:tr>
      <w:tr w:rsidR="00756AE7" w:rsidRPr="008376FC" w:rsidTr="005D7EF2">
        <w:trPr>
          <w:gridAfter w:val="1"/>
          <w:wAfter w:w="11" w:type="dxa"/>
          <w:trHeight w:val="266"/>
        </w:trPr>
        <w:tc>
          <w:tcPr>
            <w:tcW w:w="518" w:type="dxa"/>
            <w:tcBorders>
              <w:bottom w:val="single" w:sz="4" w:space="0" w:color="auto"/>
            </w:tcBorders>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4</w:t>
            </w:r>
          </w:p>
        </w:tc>
        <w:tc>
          <w:tcPr>
            <w:tcW w:w="3576" w:type="dxa"/>
            <w:tcBorders>
              <w:bottom w:val="single" w:sz="4" w:space="0" w:color="auto"/>
            </w:tcBorders>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Construcția apeductului magistral Leova - Sîrma - Tchile -Răducani - Tomai - Sărata -</w:t>
            </w:r>
            <w:r w:rsidR="00C0184D">
              <w:rPr>
                <w:rFonts w:asciiTheme="majorHAnsi" w:hAnsiTheme="majorHAnsi" w:cstheme="majorHAnsi"/>
                <w:b w:val="0"/>
                <w:bCs w:val="0"/>
                <w:sz w:val="20"/>
                <w:szCs w:val="20"/>
              </w:rPr>
              <w:t xml:space="preserve"> </w:t>
            </w:r>
            <w:r w:rsidRPr="008376FC">
              <w:rPr>
                <w:rFonts w:asciiTheme="majorHAnsi" w:hAnsiTheme="majorHAnsi" w:cstheme="majorHAnsi"/>
                <w:b w:val="0"/>
                <w:bCs w:val="0"/>
                <w:sz w:val="20"/>
                <w:szCs w:val="20"/>
              </w:rPr>
              <w:t>Răzăști</w:t>
            </w:r>
          </w:p>
        </w:tc>
        <w:tc>
          <w:tcPr>
            <w:tcW w:w="2204" w:type="dxa"/>
            <w:tcBorders>
              <w:bottom w:val="single" w:sz="4" w:space="0" w:color="auto"/>
            </w:tcBorders>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Primăria s. Tomai, „ISistem” S.R.L.</w:t>
            </w:r>
          </w:p>
        </w:tc>
        <w:tc>
          <w:tcPr>
            <w:tcW w:w="1198" w:type="dxa"/>
            <w:tcBorders>
              <w:bottom w:val="single" w:sz="4" w:space="0" w:color="auto"/>
            </w:tcBorders>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2,36</w:t>
            </w:r>
          </w:p>
        </w:tc>
        <w:tc>
          <w:tcPr>
            <w:tcW w:w="1292" w:type="dxa"/>
            <w:tcBorders>
              <w:bottom w:val="single" w:sz="4" w:space="0" w:color="auto"/>
            </w:tcBorders>
          </w:tcPr>
          <w:p w:rsidR="00756AE7" w:rsidRPr="008376FC" w:rsidRDefault="00756AE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1,61</w:t>
            </w:r>
          </w:p>
        </w:tc>
        <w:tc>
          <w:tcPr>
            <w:tcW w:w="1260" w:type="dxa"/>
            <w:tcBorders>
              <w:bottom w:val="single" w:sz="4" w:space="0" w:color="auto"/>
            </w:tcBorders>
          </w:tcPr>
          <w:p w:rsidR="00756AE7" w:rsidRPr="008376FC" w:rsidRDefault="00A76477" w:rsidP="00E4274A">
            <w:pPr>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Re</w:t>
            </w:r>
            <w:r>
              <w:rPr>
                <w:rFonts w:asciiTheme="majorHAnsi" w:hAnsiTheme="majorHAnsi" w:cstheme="majorHAnsi"/>
                <w:b w:val="0"/>
                <w:bCs w:val="0"/>
                <w:sz w:val="20"/>
                <w:szCs w:val="20"/>
              </w:rPr>
              <w:t xml:space="preserve"> la</w:t>
            </w:r>
            <w:r w:rsidRPr="008376FC">
              <w:rPr>
                <w:rFonts w:asciiTheme="majorHAnsi" w:hAnsiTheme="majorHAnsi" w:cstheme="majorHAnsi"/>
                <w:b w:val="0"/>
                <w:bCs w:val="0"/>
                <w:sz w:val="20"/>
                <w:szCs w:val="20"/>
              </w:rPr>
              <w:t>, CNA</w:t>
            </w:r>
            <w:r>
              <w:rPr>
                <w:rFonts w:asciiTheme="majorHAnsi" w:hAnsiTheme="majorHAnsi" w:cstheme="majorHAnsi"/>
                <w:b w:val="0"/>
                <w:bCs w:val="0"/>
                <w:sz w:val="20"/>
                <w:szCs w:val="20"/>
              </w:rPr>
              <w:t xml:space="preserve"> și SIS </w:t>
            </w:r>
          </w:p>
        </w:tc>
      </w:tr>
      <w:tr w:rsidR="00756AE7" w:rsidRPr="00C0184D" w:rsidTr="005D7EF2">
        <w:trPr>
          <w:trHeight w:val="266"/>
        </w:trPr>
        <w:tc>
          <w:tcPr>
            <w:tcW w:w="10059" w:type="dxa"/>
            <w:gridSpan w:val="7"/>
            <w:tcBorders>
              <w:top w:val="single" w:sz="4" w:space="0" w:color="auto"/>
              <w:left w:val="nil"/>
              <w:bottom w:val="nil"/>
              <w:right w:val="nil"/>
            </w:tcBorders>
          </w:tcPr>
          <w:p w:rsidR="00756AE7" w:rsidRPr="00BF7900" w:rsidRDefault="007C41C0" w:rsidP="00E4274A">
            <w:pPr>
              <w:jc w:val="both"/>
              <w:rPr>
                <w:rFonts w:asciiTheme="majorHAnsi" w:hAnsiTheme="majorHAnsi" w:cstheme="majorHAnsi"/>
                <w:b w:val="0"/>
                <w:bCs w:val="0"/>
                <w:i/>
                <w:sz w:val="20"/>
                <w:szCs w:val="20"/>
              </w:rPr>
            </w:pPr>
            <w:r w:rsidRPr="00BF7900">
              <w:rPr>
                <w:rFonts w:asciiTheme="majorHAnsi" w:hAnsiTheme="majorHAnsi" w:cstheme="majorHAnsi"/>
                <w:bCs w:val="0"/>
                <w:i/>
                <w:sz w:val="20"/>
                <w:szCs w:val="20"/>
              </w:rPr>
              <w:t>Sursa:</w:t>
            </w:r>
            <w:r w:rsidRPr="00BF7900">
              <w:rPr>
                <w:rFonts w:asciiTheme="majorHAnsi" w:hAnsiTheme="majorHAnsi" w:cstheme="majorHAnsi"/>
                <w:b w:val="0"/>
                <w:bCs w:val="0"/>
                <w:i/>
                <w:sz w:val="20"/>
                <w:szCs w:val="20"/>
              </w:rPr>
              <w:t xml:space="preserve"> </w:t>
            </w:r>
            <w:r w:rsidR="00756AE7" w:rsidRPr="00BF7900">
              <w:rPr>
                <w:rFonts w:asciiTheme="majorHAnsi" w:hAnsiTheme="majorHAnsi" w:cstheme="majorHAnsi"/>
                <w:b w:val="0"/>
                <w:bCs w:val="0"/>
                <w:i/>
                <w:sz w:val="20"/>
                <w:szCs w:val="20"/>
              </w:rPr>
              <w:t xml:space="preserve">Informație prezentată de către </w:t>
            </w:r>
            <w:r w:rsidR="00462101" w:rsidRPr="00BF7900">
              <w:rPr>
                <w:rFonts w:asciiTheme="majorHAnsi" w:hAnsiTheme="majorHAnsi" w:cstheme="majorHAnsi"/>
                <w:b w:val="0"/>
                <w:bCs w:val="0"/>
                <w:i/>
                <w:sz w:val="20"/>
                <w:szCs w:val="20"/>
              </w:rPr>
              <w:t>AST.</w:t>
            </w:r>
          </w:p>
        </w:tc>
      </w:tr>
    </w:tbl>
    <w:p w:rsidR="00AC29D7" w:rsidRDefault="00AC29D7" w:rsidP="00F61756">
      <w:pPr>
        <w:shd w:val="clear" w:color="auto" w:fill="FFFFFF" w:themeFill="background1"/>
        <w:spacing w:after="0" w:line="276" w:lineRule="auto"/>
        <w:ind w:firstLine="567"/>
        <w:jc w:val="both"/>
        <w:rPr>
          <w:rFonts w:asciiTheme="majorHAnsi" w:eastAsiaTheme="minorEastAsia" w:hAnsiTheme="majorHAnsi" w:cstheme="majorHAnsi"/>
          <w:i/>
          <w:sz w:val="24"/>
          <w:szCs w:val="24"/>
          <w:shd w:val="clear" w:color="auto" w:fill="FFFFFF"/>
        </w:rPr>
      </w:pPr>
    </w:p>
    <w:p w:rsidR="00E4274A" w:rsidRPr="00BF7900" w:rsidRDefault="00E4274A" w:rsidP="00F61756">
      <w:pPr>
        <w:shd w:val="clear" w:color="auto" w:fill="FFFFFF" w:themeFill="background1"/>
        <w:spacing w:after="0" w:line="276" w:lineRule="auto"/>
        <w:ind w:firstLine="567"/>
        <w:jc w:val="both"/>
        <w:rPr>
          <w:rFonts w:asciiTheme="majorHAnsi" w:eastAsiaTheme="minorEastAsia" w:hAnsiTheme="majorHAnsi" w:cstheme="majorHAnsi"/>
          <w:i/>
          <w:sz w:val="24"/>
          <w:szCs w:val="24"/>
          <w:shd w:val="clear" w:color="auto" w:fill="FFFFFF"/>
        </w:rPr>
      </w:pPr>
    </w:p>
    <w:p w:rsidR="00756AE7" w:rsidRPr="008376FC" w:rsidRDefault="00756AE7" w:rsidP="00F61756">
      <w:pPr>
        <w:pStyle w:val="a3"/>
        <w:numPr>
          <w:ilvl w:val="2"/>
          <w:numId w:val="38"/>
        </w:numPr>
        <w:shd w:val="clear" w:color="auto" w:fill="FFFFFF" w:themeFill="background1"/>
        <w:spacing w:line="276" w:lineRule="auto"/>
        <w:ind w:left="0" w:firstLine="0"/>
        <w:jc w:val="both"/>
        <w:rPr>
          <w:rFonts w:asciiTheme="majorHAnsi" w:eastAsiaTheme="minorEastAsia" w:hAnsiTheme="majorHAnsi" w:cstheme="majorHAnsi"/>
          <w:b/>
          <w:color w:val="0070C0"/>
          <w:shd w:val="clear" w:color="auto" w:fill="FFFFFF"/>
          <w:lang w:val="en-US"/>
        </w:rPr>
      </w:pPr>
      <w:r w:rsidRPr="008376FC">
        <w:rPr>
          <w:rFonts w:asciiTheme="majorHAnsi" w:eastAsiaTheme="minorEastAsia" w:hAnsiTheme="majorHAnsi" w:cstheme="majorHAnsi"/>
          <w:b/>
          <w:color w:val="0070C0"/>
          <w:shd w:val="clear" w:color="auto" w:fill="FFFFFF"/>
          <w:lang w:val="en-US"/>
        </w:rPr>
        <w:t xml:space="preserve"> Implementarea proiectelor investiționale în domeniul alimentării cu apă și sanitație</w:t>
      </w:r>
      <w:r w:rsidR="00C0184D">
        <w:rPr>
          <w:rFonts w:asciiTheme="majorHAnsi" w:eastAsiaTheme="minorEastAsia" w:hAnsiTheme="majorHAnsi" w:cstheme="majorHAnsi"/>
          <w:b/>
          <w:color w:val="0070C0"/>
          <w:shd w:val="clear" w:color="auto" w:fill="FFFFFF"/>
          <w:lang w:val="en-US"/>
        </w:rPr>
        <w:t>i</w:t>
      </w:r>
      <w:r w:rsidRPr="008376FC">
        <w:rPr>
          <w:rFonts w:asciiTheme="majorHAnsi" w:eastAsiaTheme="minorEastAsia" w:hAnsiTheme="majorHAnsi" w:cstheme="majorHAnsi"/>
          <w:b/>
          <w:color w:val="0070C0"/>
          <w:shd w:val="clear" w:color="auto" w:fill="FFFFFF"/>
          <w:lang w:val="en-US"/>
        </w:rPr>
        <w:t xml:space="preserve"> în cadrul  FNDR s-a realizat în lipsa resurselor financiare suficiente</w:t>
      </w:r>
      <w:r w:rsidR="00C0184D">
        <w:rPr>
          <w:rFonts w:asciiTheme="majorHAnsi" w:eastAsiaTheme="minorEastAsia" w:hAnsiTheme="majorHAnsi" w:cstheme="majorHAnsi"/>
          <w:b/>
          <w:color w:val="0070C0"/>
          <w:shd w:val="clear" w:color="auto" w:fill="FFFFFF"/>
          <w:lang w:val="en-US"/>
        </w:rPr>
        <w:t>.</w:t>
      </w:r>
      <w:r w:rsidRPr="008376FC">
        <w:rPr>
          <w:rFonts w:asciiTheme="majorHAnsi" w:eastAsiaTheme="minorEastAsia" w:hAnsiTheme="majorHAnsi" w:cstheme="majorHAnsi"/>
          <w:b/>
          <w:color w:val="0070C0"/>
          <w:shd w:val="clear" w:color="auto" w:fill="FFFFFF"/>
          <w:lang w:val="en-US"/>
        </w:rPr>
        <w:t xml:space="preserve"> </w:t>
      </w:r>
    </w:p>
    <w:p w:rsidR="00BD0D82" w:rsidRPr="008376FC" w:rsidRDefault="00BD0D82" w:rsidP="00F61756">
      <w:pPr>
        <w:pStyle w:val="a3"/>
        <w:shd w:val="clear" w:color="auto" w:fill="FFFFFF" w:themeFill="background1"/>
        <w:spacing w:line="276" w:lineRule="auto"/>
        <w:ind w:left="1440"/>
        <w:jc w:val="both"/>
        <w:rPr>
          <w:rFonts w:asciiTheme="majorHAnsi" w:eastAsiaTheme="minorEastAsia" w:hAnsiTheme="majorHAnsi" w:cstheme="majorHAnsi"/>
          <w:b/>
          <w:color w:val="0070C0"/>
          <w:shd w:val="clear" w:color="auto" w:fill="FFFFFF"/>
          <w:lang w:val="en-US"/>
        </w:rPr>
      </w:pPr>
    </w:p>
    <w:p w:rsidR="00580D17" w:rsidRPr="00036EAE" w:rsidRDefault="00580D17" w:rsidP="00F61756">
      <w:pPr>
        <w:tabs>
          <w:tab w:val="left" w:pos="426"/>
        </w:tabs>
        <w:spacing w:after="0" w:line="276" w:lineRule="auto"/>
        <w:jc w:val="both"/>
        <w:rPr>
          <w:rFonts w:asciiTheme="majorHAnsi" w:eastAsiaTheme="minorEastAsia" w:hAnsiTheme="majorHAnsi" w:cstheme="majorHAnsi"/>
          <w:b w:val="0"/>
          <w:bCs w:val="0"/>
          <w:sz w:val="24"/>
          <w:szCs w:val="24"/>
        </w:rPr>
      </w:pPr>
      <w:r w:rsidRPr="00036EAE">
        <w:rPr>
          <w:rFonts w:asciiTheme="majorHAnsi" w:eastAsiaTheme="minorEastAsia" w:hAnsiTheme="majorHAnsi" w:cstheme="majorHAnsi"/>
          <w:b w:val="0"/>
          <w:bCs w:val="0"/>
          <w:sz w:val="24"/>
          <w:szCs w:val="24"/>
        </w:rPr>
        <w:t>Extinderea rețelelor de alimentare cu apă și canalizare şi</w:t>
      </w:r>
      <w:r w:rsidR="00D11009" w:rsidRPr="00036EAE">
        <w:rPr>
          <w:rFonts w:asciiTheme="majorHAnsi" w:eastAsiaTheme="minorEastAsia" w:hAnsiTheme="majorHAnsi" w:cstheme="majorHAnsi"/>
          <w:b w:val="0"/>
          <w:bCs w:val="0"/>
          <w:sz w:val="24"/>
          <w:szCs w:val="24"/>
        </w:rPr>
        <w:t>,</w:t>
      </w:r>
      <w:r w:rsidRPr="00036EAE">
        <w:rPr>
          <w:rFonts w:asciiTheme="majorHAnsi" w:eastAsiaTheme="minorEastAsia" w:hAnsiTheme="majorHAnsi" w:cstheme="majorHAnsi"/>
          <w:b w:val="0"/>
          <w:bCs w:val="0"/>
          <w:sz w:val="24"/>
          <w:szCs w:val="24"/>
        </w:rPr>
        <w:t xml:space="preserve"> ca rezultat</w:t>
      </w:r>
      <w:r w:rsidR="00D11009" w:rsidRPr="00036EAE">
        <w:rPr>
          <w:rFonts w:asciiTheme="majorHAnsi" w:eastAsiaTheme="minorEastAsia" w:hAnsiTheme="majorHAnsi" w:cstheme="majorHAnsi"/>
          <w:b w:val="0"/>
          <w:bCs w:val="0"/>
          <w:sz w:val="24"/>
          <w:szCs w:val="24"/>
        </w:rPr>
        <w:t>,</w:t>
      </w:r>
      <w:r w:rsidRPr="00036EAE">
        <w:rPr>
          <w:rFonts w:asciiTheme="majorHAnsi" w:eastAsiaTheme="minorEastAsia" w:hAnsiTheme="majorHAnsi" w:cstheme="majorHAnsi"/>
          <w:b w:val="0"/>
          <w:bCs w:val="0"/>
          <w:sz w:val="24"/>
          <w:szCs w:val="24"/>
        </w:rPr>
        <w:t xml:space="preserve"> creșterea numărului populației conectare la aceste servicii</w:t>
      </w:r>
      <w:r w:rsidR="00D11009" w:rsidRPr="00036EAE">
        <w:rPr>
          <w:rFonts w:asciiTheme="majorHAnsi" w:eastAsiaTheme="minorEastAsia" w:hAnsiTheme="majorHAnsi" w:cstheme="majorHAnsi"/>
          <w:b w:val="0"/>
          <w:bCs w:val="0"/>
          <w:sz w:val="24"/>
          <w:szCs w:val="24"/>
        </w:rPr>
        <w:t>,</w:t>
      </w:r>
      <w:r w:rsidRPr="00036EAE">
        <w:rPr>
          <w:rFonts w:asciiTheme="majorHAnsi" w:eastAsiaTheme="minorEastAsia" w:hAnsiTheme="majorHAnsi" w:cstheme="majorHAnsi"/>
          <w:b w:val="0"/>
          <w:bCs w:val="0"/>
          <w:sz w:val="24"/>
          <w:szCs w:val="24"/>
        </w:rPr>
        <w:t xml:space="preserve"> a fost unul din obiectivele atât a</w:t>
      </w:r>
      <w:r w:rsidR="00D11009" w:rsidRPr="00036EAE">
        <w:rPr>
          <w:rFonts w:asciiTheme="majorHAnsi" w:eastAsiaTheme="minorEastAsia" w:hAnsiTheme="majorHAnsi" w:cstheme="majorHAnsi"/>
          <w:b w:val="0"/>
          <w:bCs w:val="0"/>
          <w:sz w:val="24"/>
          <w:szCs w:val="24"/>
        </w:rPr>
        <w:t>le</w:t>
      </w:r>
      <w:r w:rsidRPr="00036EAE">
        <w:rPr>
          <w:rFonts w:asciiTheme="majorHAnsi" w:eastAsiaTheme="minorEastAsia" w:hAnsiTheme="majorHAnsi" w:cstheme="majorHAnsi"/>
          <w:b w:val="0"/>
          <w:bCs w:val="0"/>
          <w:sz w:val="24"/>
          <w:szCs w:val="24"/>
        </w:rPr>
        <w:t xml:space="preserve"> SAAS 2014-2030, cât şi a</w:t>
      </w:r>
      <w:r w:rsidR="00D11009" w:rsidRPr="00036EAE">
        <w:rPr>
          <w:rFonts w:asciiTheme="majorHAnsi" w:eastAsiaTheme="minorEastAsia" w:hAnsiTheme="majorHAnsi" w:cstheme="majorHAnsi"/>
          <w:b w:val="0"/>
          <w:bCs w:val="0"/>
          <w:sz w:val="24"/>
          <w:szCs w:val="24"/>
        </w:rPr>
        <w:t>le</w:t>
      </w:r>
      <w:r w:rsidRPr="00036EAE">
        <w:rPr>
          <w:rFonts w:asciiTheme="majorHAnsi" w:eastAsiaTheme="minorEastAsia" w:hAnsiTheme="majorHAnsi" w:cstheme="majorHAnsi"/>
          <w:b w:val="0"/>
          <w:bCs w:val="0"/>
          <w:sz w:val="24"/>
          <w:szCs w:val="24"/>
        </w:rPr>
        <w:t xml:space="preserve"> SNDR 2016-2020.</w:t>
      </w:r>
    </w:p>
    <w:p w:rsidR="00756AE7" w:rsidRPr="008376FC" w:rsidRDefault="00756AE7" w:rsidP="00F61756">
      <w:pPr>
        <w:tabs>
          <w:tab w:val="left" w:pos="426"/>
        </w:tabs>
        <w:spacing w:after="0" w:line="276" w:lineRule="auto"/>
        <w:jc w:val="both"/>
        <w:rPr>
          <w:rFonts w:asciiTheme="majorHAnsi" w:eastAsiaTheme="minorEastAsia" w:hAnsiTheme="majorHAnsi" w:cstheme="majorHAnsi"/>
          <w:b w:val="0"/>
          <w:bCs w:val="0"/>
          <w:sz w:val="24"/>
          <w:szCs w:val="24"/>
        </w:rPr>
      </w:pPr>
      <w:r w:rsidRPr="00036EAE">
        <w:rPr>
          <w:rFonts w:asciiTheme="majorHAnsi" w:eastAsiaTheme="minorEastAsia" w:hAnsiTheme="majorHAnsi" w:cstheme="majorHAnsi"/>
          <w:b w:val="0"/>
          <w:bCs w:val="0"/>
          <w:sz w:val="24"/>
          <w:szCs w:val="24"/>
        </w:rPr>
        <w:t xml:space="preserve">În perioada supusă auditării, în DUP 2013-2015 și </w:t>
      </w:r>
      <w:r w:rsidR="00D11009" w:rsidRPr="00036EAE">
        <w:rPr>
          <w:rFonts w:asciiTheme="majorHAnsi" w:eastAsiaTheme="minorEastAsia" w:hAnsiTheme="majorHAnsi" w:cstheme="majorHAnsi"/>
          <w:b w:val="0"/>
          <w:bCs w:val="0"/>
          <w:sz w:val="24"/>
          <w:szCs w:val="24"/>
        </w:rPr>
        <w:t xml:space="preserve">în </w:t>
      </w:r>
      <w:r w:rsidRPr="00036EAE">
        <w:rPr>
          <w:rFonts w:asciiTheme="majorHAnsi" w:eastAsiaTheme="minorEastAsia" w:hAnsiTheme="majorHAnsi" w:cstheme="majorHAnsi"/>
          <w:b w:val="0"/>
          <w:bCs w:val="0"/>
          <w:sz w:val="24"/>
          <w:szCs w:val="24"/>
        </w:rPr>
        <w:t>DUP 2017-2020 au fost inclu</w:t>
      </w:r>
      <w:r w:rsidR="00D11009" w:rsidRPr="00036EAE">
        <w:rPr>
          <w:rFonts w:asciiTheme="majorHAnsi" w:eastAsiaTheme="minorEastAsia" w:hAnsiTheme="majorHAnsi" w:cstheme="majorHAnsi"/>
          <w:b w:val="0"/>
          <w:bCs w:val="0"/>
          <w:sz w:val="24"/>
          <w:szCs w:val="24"/>
        </w:rPr>
        <w:t>s</w:t>
      </w:r>
      <w:r w:rsidRPr="00036EAE">
        <w:rPr>
          <w:rFonts w:asciiTheme="majorHAnsi" w:eastAsiaTheme="minorEastAsia" w:hAnsiTheme="majorHAnsi" w:cstheme="majorHAnsi"/>
          <w:b w:val="0"/>
          <w:bCs w:val="0"/>
          <w:sz w:val="24"/>
          <w:szCs w:val="24"/>
        </w:rPr>
        <w:t xml:space="preserve">e 32 de proiecte investiționale în valoare totală de </w:t>
      </w:r>
      <w:r w:rsidR="00BC28D6" w:rsidRPr="00036EAE">
        <w:rPr>
          <w:rFonts w:asciiTheme="majorHAnsi" w:eastAsiaTheme="minorEastAsia" w:hAnsiTheme="majorHAnsi" w:cstheme="majorHAnsi"/>
          <w:b w:val="0"/>
          <w:bCs w:val="0"/>
          <w:sz w:val="24"/>
          <w:szCs w:val="24"/>
        </w:rPr>
        <w:t>1.074,</w:t>
      </w:r>
      <w:r w:rsidR="004A1009" w:rsidRPr="00036EAE">
        <w:rPr>
          <w:rFonts w:asciiTheme="majorHAnsi" w:eastAsiaTheme="minorEastAsia" w:hAnsiTheme="majorHAnsi" w:cstheme="majorHAnsi"/>
          <w:b w:val="0"/>
          <w:bCs w:val="0"/>
          <w:sz w:val="24"/>
          <w:szCs w:val="24"/>
        </w:rPr>
        <w:t>2</w:t>
      </w:r>
      <w:r w:rsidR="00BC28D6" w:rsidRPr="00036EAE">
        <w:rPr>
          <w:rFonts w:asciiTheme="majorHAnsi" w:eastAsiaTheme="minorEastAsia" w:hAnsiTheme="majorHAnsi" w:cstheme="majorHAnsi"/>
          <w:b w:val="0"/>
          <w:bCs w:val="0"/>
          <w:sz w:val="24"/>
          <w:szCs w:val="24"/>
        </w:rPr>
        <w:t xml:space="preserve"> mil.lei</w:t>
      </w:r>
      <w:r w:rsidRPr="00036EAE">
        <w:rPr>
          <w:rFonts w:asciiTheme="majorHAnsi" w:eastAsiaTheme="minorEastAsia" w:hAnsiTheme="majorHAnsi" w:cstheme="majorHAnsi"/>
          <w:b w:val="0"/>
          <w:bCs w:val="0"/>
          <w:sz w:val="24"/>
          <w:szCs w:val="24"/>
        </w:rPr>
        <w:t>, din care</w:t>
      </w:r>
      <w:r w:rsidR="00D11009" w:rsidRPr="00036EAE">
        <w:rPr>
          <w:rFonts w:asciiTheme="majorHAnsi" w:eastAsiaTheme="minorEastAsia" w:hAnsiTheme="majorHAnsi" w:cstheme="majorHAnsi"/>
          <w:b w:val="0"/>
          <w:bCs w:val="0"/>
          <w:sz w:val="24"/>
          <w:szCs w:val="24"/>
        </w:rPr>
        <w:t>:</w:t>
      </w:r>
      <w:r w:rsidRPr="00036EAE">
        <w:rPr>
          <w:rFonts w:asciiTheme="majorHAnsi" w:eastAsiaTheme="minorEastAsia" w:hAnsiTheme="majorHAnsi" w:cstheme="majorHAnsi"/>
          <w:b w:val="0"/>
          <w:bCs w:val="0"/>
          <w:sz w:val="24"/>
          <w:szCs w:val="24"/>
        </w:rPr>
        <w:t xml:space="preserve"> din contul FNDR – 850,0 mil.lei, din sursele </w:t>
      </w:r>
      <w:r w:rsidR="00BC28D6" w:rsidRPr="00036EAE">
        <w:rPr>
          <w:rFonts w:asciiTheme="majorHAnsi" w:eastAsiaTheme="minorEastAsia" w:hAnsiTheme="majorHAnsi" w:cstheme="majorHAnsi"/>
          <w:b w:val="0"/>
          <w:bCs w:val="0"/>
          <w:sz w:val="24"/>
          <w:szCs w:val="24"/>
        </w:rPr>
        <w:t>GIZ – 40,9 mil.lei</w:t>
      </w:r>
      <w:r w:rsidR="00D11009" w:rsidRPr="00036EAE">
        <w:rPr>
          <w:rFonts w:asciiTheme="majorHAnsi" w:eastAsiaTheme="minorEastAsia" w:hAnsiTheme="majorHAnsi" w:cstheme="majorHAnsi"/>
          <w:b w:val="0"/>
          <w:bCs w:val="0"/>
          <w:sz w:val="24"/>
          <w:szCs w:val="24"/>
        </w:rPr>
        <w:t>,</w:t>
      </w:r>
      <w:r w:rsidRPr="00036EAE">
        <w:rPr>
          <w:rFonts w:asciiTheme="majorHAnsi" w:eastAsiaTheme="minorEastAsia" w:hAnsiTheme="majorHAnsi" w:cstheme="majorHAnsi"/>
          <w:b w:val="0"/>
          <w:bCs w:val="0"/>
          <w:sz w:val="24"/>
          <w:szCs w:val="24"/>
        </w:rPr>
        <w:t xml:space="preserve"> și din alte surse – 183,3 mil.lei. În perioada 2013-2020 au fost valorificate  în total </w:t>
      </w:r>
      <w:r w:rsidR="00526E98" w:rsidRPr="00036EAE">
        <w:rPr>
          <w:rFonts w:asciiTheme="majorHAnsi" w:eastAsiaTheme="minorEastAsia" w:hAnsiTheme="majorHAnsi" w:cstheme="majorHAnsi"/>
          <w:b w:val="0"/>
          <w:bCs w:val="0"/>
          <w:sz w:val="24"/>
          <w:szCs w:val="24"/>
        </w:rPr>
        <w:t>493,6</w:t>
      </w:r>
      <w:r w:rsidR="00036EAE">
        <w:rPr>
          <w:rFonts w:asciiTheme="majorHAnsi" w:eastAsiaTheme="minorEastAsia" w:hAnsiTheme="majorHAnsi" w:cstheme="majorHAnsi"/>
          <w:b w:val="0"/>
          <w:bCs w:val="0"/>
          <w:sz w:val="24"/>
          <w:szCs w:val="24"/>
        </w:rPr>
        <w:t xml:space="preserve"> </w:t>
      </w:r>
      <w:r w:rsidRPr="00036EAE">
        <w:rPr>
          <w:rFonts w:asciiTheme="majorHAnsi" w:eastAsiaTheme="minorEastAsia" w:hAnsiTheme="majorHAnsi" w:cstheme="majorHAnsi"/>
          <w:b w:val="0"/>
          <w:bCs w:val="0"/>
          <w:sz w:val="24"/>
          <w:szCs w:val="24"/>
        </w:rPr>
        <w:t xml:space="preserve">mil.lei, inclusiv din contul mijloacelor FNDR – 373,9 mil.lei, din mijloacele GIZ – </w:t>
      </w:r>
      <w:r w:rsidR="00526E98" w:rsidRPr="00036EAE">
        <w:rPr>
          <w:rFonts w:asciiTheme="majorHAnsi" w:eastAsiaTheme="minorEastAsia" w:hAnsiTheme="majorHAnsi" w:cstheme="majorHAnsi"/>
          <w:b w:val="0"/>
          <w:bCs w:val="0"/>
          <w:sz w:val="24"/>
          <w:szCs w:val="24"/>
        </w:rPr>
        <w:t xml:space="preserve"> 54,1</w:t>
      </w:r>
      <w:r w:rsidR="00BC28D6" w:rsidRPr="00036EAE">
        <w:rPr>
          <w:rFonts w:asciiTheme="majorHAnsi" w:eastAsiaTheme="minorEastAsia" w:hAnsiTheme="majorHAnsi" w:cstheme="majorHAnsi"/>
          <w:b w:val="0"/>
          <w:bCs w:val="0"/>
          <w:sz w:val="24"/>
          <w:szCs w:val="24"/>
        </w:rPr>
        <w:t xml:space="preserve"> mil.lei</w:t>
      </w:r>
      <w:r w:rsidR="00D11009" w:rsidRPr="00036EAE">
        <w:rPr>
          <w:rFonts w:asciiTheme="majorHAnsi" w:eastAsiaTheme="minorEastAsia" w:hAnsiTheme="majorHAnsi" w:cstheme="majorHAnsi"/>
          <w:b w:val="0"/>
          <w:bCs w:val="0"/>
          <w:sz w:val="24"/>
          <w:szCs w:val="24"/>
        </w:rPr>
        <w:t>,</w:t>
      </w:r>
      <w:r w:rsidRPr="00036EAE">
        <w:rPr>
          <w:rFonts w:asciiTheme="majorHAnsi" w:eastAsiaTheme="minorEastAsia" w:hAnsiTheme="majorHAnsi" w:cstheme="majorHAnsi"/>
          <w:b w:val="0"/>
          <w:bCs w:val="0"/>
          <w:sz w:val="24"/>
          <w:szCs w:val="24"/>
        </w:rPr>
        <w:t xml:space="preserve"> și </w:t>
      </w:r>
      <w:r w:rsidR="00BC28D6" w:rsidRPr="00036EAE">
        <w:rPr>
          <w:rFonts w:asciiTheme="majorHAnsi" w:eastAsiaTheme="minorEastAsia" w:hAnsiTheme="majorHAnsi" w:cstheme="majorHAnsi"/>
          <w:b w:val="0"/>
          <w:bCs w:val="0"/>
          <w:sz w:val="24"/>
          <w:szCs w:val="24"/>
        </w:rPr>
        <w:t>din alte surse – 65,6 mil.lei.</w:t>
      </w:r>
      <w:r w:rsidRPr="008376FC">
        <w:rPr>
          <w:rFonts w:asciiTheme="majorHAnsi" w:eastAsiaTheme="minorEastAsia" w:hAnsiTheme="majorHAnsi" w:cstheme="majorHAnsi"/>
          <w:b w:val="0"/>
          <w:bCs w:val="0"/>
          <w:sz w:val="24"/>
          <w:szCs w:val="24"/>
        </w:rPr>
        <w:t xml:space="preserve">  </w:t>
      </w:r>
    </w:p>
    <w:p w:rsidR="00756AE7" w:rsidRPr="008376FC" w:rsidRDefault="00756AE7" w:rsidP="00F61756">
      <w:pPr>
        <w:tabs>
          <w:tab w:val="left" w:pos="426"/>
        </w:tabs>
        <w:spacing w:after="0" w:line="276" w:lineRule="auto"/>
        <w:ind w:firstLine="567"/>
        <w:jc w:val="right"/>
        <w:rPr>
          <w:rFonts w:asciiTheme="majorHAnsi" w:eastAsiaTheme="minorEastAsia" w:hAnsiTheme="majorHAnsi" w:cstheme="majorHAnsi"/>
          <w:bCs w:val="0"/>
          <w:sz w:val="20"/>
          <w:szCs w:val="20"/>
        </w:rPr>
      </w:pPr>
      <w:r w:rsidRPr="008376FC">
        <w:rPr>
          <w:rFonts w:asciiTheme="majorHAnsi" w:eastAsiaTheme="minorEastAsia" w:hAnsiTheme="majorHAnsi" w:cstheme="majorHAnsi"/>
          <w:bCs w:val="0"/>
          <w:sz w:val="20"/>
          <w:szCs w:val="20"/>
        </w:rPr>
        <w:t xml:space="preserve">Tabelul nr. </w:t>
      </w:r>
      <w:r w:rsidR="00BD0D82" w:rsidRPr="008376FC">
        <w:rPr>
          <w:rFonts w:asciiTheme="majorHAnsi" w:eastAsiaTheme="minorEastAsia" w:hAnsiTheme="majorHAnsi" w:cstheme="majorHAnsi"/>
          <w:bCs w:val="0"/>
          <w:sz w:val="20"/>
          <w:szCs w:val="20"/>
        </w:rPr>
        <w:t>8</w:t>
      </w:r>
    </w:p>
    <w:p w:rsidR="00756AE7" w:rsidRPr="008376FC" w:rsidRDefault="00756AE7" w:rsidP="00F61756">
      <w:pPr>
        <w:tabs>
          <w:tab w:val="left" w:pos="426"/>
        </w:tabs>
        <w:spacing w:after="0" w:line="276" w:lineRule="auto"/>
        <w:ind w:firstLine="567"/>
        <w:jc w:val="center"/>
        <w:rPr>
          <w:rFonts w:asciiTheme="majorHAnsi" w:eastAsiaTheme="minorEastAsia" w:hAnsiTheme="majorHAnsi" w:cstheme="majorHAnsi"/>
          <w:bCs w:val="0"/>
          <w:sz w:val="20"/>
          <w:szCs w:val="20"/>
        </w:rPr>
      </w:pPr>
      <w:r w:rsidRPr="008376FC">
        <w:rPr>
          <w:rFonts w:asciiTheme="majorHAnsi" w:eastAsiaTheme="minorEastAsia" w:hAnsiTheme="majorHAnsi" w:cstheme="majorHAnsi"/>
          <w:bCs w:val="0"/>
          <w:sz w:val="20"/>
          <w:szCs w:val="20"/>
        </w:rPr>
        <w:t>PI de alimentare cu apă și sanitație implementate în cadrul FNDR în anii 2013-2020, mil.lei</w:t>
      </w:r>
    </w:p>
    <w:tbl>
      <w:tblPr>
        <w:tblStyle w:val="TableGrid10"/>
        <w:tblW w:w="9813" w:type="dxa"/>
        <w:tblLook w:val="04A0" w:firstRow="1" w:lastRow="0" w:firstColumn="1" w:lastColumn="0" w:noHBand="0" w:noVBand="1"/>
      </w:tblPr>
      <w:tblGrid>
        <w:gridCol w:w="2066"/>
        <w:gridCol w:w="704"/>
        <w:gridCol w:w="899"/>
        <w:gridCol w:w="992"/>
        <w:gridCol w:w="721"/>
        <w:gridCol w:w="891"/>
        <w:gridCol w:w="1273"/>
        <w:gridCol w:w="806"/>
        <w:gridCol w:w="775"/>
        <w:gridCol w:w="686"/>
      </w:tblGrid>
      <w:tr w:rsidR="00756AE7" w:rsidRPr="008376FC" w:rsidTr="00510CDB">
        <w:trPr>
          <w:trHeight w:val="356"/>
        </w:trPr>
        <w:tc>
          <w:tcPr>
            <w:tcW w:w="2066" w:type="dxa"/>
            <w:vMerge w:val="restart"/>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 xml:space="preserve">Indicatorii </w:t>
            </w:r>
          </w:p>
        </w:tc>
        <w:tc>
          <w:tcPr>
            <w:tcW w:w="704" w:type="dxa"/>
            <w:vMerge w:val="restart"/>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Nr. PI</w:t>
            </w:r>
          </w:p>
        </w:tc>
        <w:tc>
          <w:tcPr>
            <w:tcW w:w="899" w:type="dxa"/>
            <w:vMerge w:val="restart"/>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Co</w:t>
            </w:r>
            <w:r w:rsidR="00D11009">
              <w:rPr>
                <w:rFonts w:asciiTheme="majorHAnsi" w:eastAsiaTheme="minorEastAsia" w:hAnsiTheme="majorHAnsi" w:cstheme="majorHAnsi"/>
                <w:sz w:val="20"/>
                <w:szCs w:val="20"/>
              </w:rPr>
              <w:t>s</w:t>
            </w:r>
            <w:r w:rsidRPr="008376FC">
              <w:rPr>
                <w:rFonts w:asciiTheme="majorHAnsi" w:eastAsiaTheme="minorEastAsia" w:hAnsiTheme="majorHAnsi" w:cstheme="majorHAnsi"/>
                <w:sz w:val="20"/>
                <w:szCs w:val="20"/>
              </w:rPr>
              <w:t>tul total al PI</w:t>
            </w:r>
          </w:p>
        </w:tc>
        <w:tc>
          <w:tcPr>
            <w:tcW w:w="2604" w:type="dxa"/>
            <w:gridSpan w:val="3"/>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Inclusiv:</w:t>
            </w:r>
          </w:p>
        </w:tc>
        <w:tc>
          <w:tcPr>
            <w:tcW w:w="1273" w:type="dxa"/>
            <w:vMerge w:val="restart"/>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Valorificat, total</w:t>
            </w:r>
          </w:p>
        </w:tc>
        <w:tc>
          <w:tcPr>
            <w:tcW w:w="2267" w:type="dxa"/>
            <w:gridSpan w:val="3"/>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 xml:space="preserve">Inclusiv: </w:t>
            </w:r>
          </w:p>
        </w:tc>
      </w:tr>
      <w:tr w:rsidR="00756AE7" w:rsidRPr="008376FC" w:rsidTr="00510CDB">
        <w:trPr>
          <w:trHeight w:val="80"/>
        </w:trPr>
        <w:tc>
          <w:tcPr>
            <w:tcW w:w="2066" w:type="dxa"/>
            <w:vMerge/>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p>
        </w:tc>
        <w:tc>
          <w:tcPr>
            <w:tcW w:w="704" w:type="dxa"/>
            <w:vMerge/>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p>
        </w:tc>
        <w:tc>
          <w:tcPr>
            <w:tcW w:w="899" w:type="dxa"/>
            <w:vMerge/>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p>
        </w:tc>
        <w:tc>
          <w:tcPr>
            <w:tcW w:w="992"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FNDR</w:t>
            </w:r>
          </w:p>
        </w:tc>
        <w:tc>
          <w:tcPr>
            <w:tcW w:w="721"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GIZ</w:t>
            </w:r>
          </w:p>
        </w:tc>
        <w:tc>
          <w:tcPr>
            <w:tcW w:w="891"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Alte</w:t>
            </w:r>
          </w:p>
        </w:tc>
        <w:tc>
          <w:tcPr>
            <w:tcW w:w="1273" w:type="dxa"/>
            <w:vMerge/>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p>
        </w:tc>
        <w:tc>
          <w:tcPr>
            <w:tcW w:w="806"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FNDR</w:t>
            </w:r>
          </w:p>
        </w:tc>
        <w:tc>
          <w:tcPr>
            <w:tcW w:w="775"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GIZ</w:t>
            </w:r>
          </w:p>
        </w:tc>
        <w:tc>
          <w:tcPr>
            <w:tcW w:w="684"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Alte</w:t>
            </w:r>
          </w:p>
        </w:tc>
      </w:tr>
      <w:tr w:rsidR="00756AE7" w:rsidRPr="008376FC" w:rsidTr="00510CDB">
        <w:trPr>
          <w:trHeight w:val="262"/>
        </w:trPr>
        <w:tc>
          <w:tcPr>
            <w:tcW w:w="2066"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DUP 2013-2015</w:t>
            </w:r>
          </w:p>
        </w:tc>
        <w:tc>
          <w:tcPr>
            <w:tcW w:w="704"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13</w:t>
            </w:r>
          </w:p>
        </w:tc>
        <w:tc>
          <w:tcPr>
            <w:tcW w:w="899"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355,7</w:t>
            </w:r>
          </w:p>
        </w:tc>
        <w:tc>
          <w:tcPr>
            <w:tcW w:w="992"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317,0</w:t>
            </w:r>
          </w:p>
        </w:tc>
        <w:tc>
          <w:tcPr>
            <w:tcW w:w="721"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w:t>
            </w:r>
          </w:p>
        </w:tc>
        <w:tc>
          <w:tcPr>
            <w:tcW w:w="891"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38,7</w:t>
            </w:r>
          </w:p>
        </w:tc>
        <w:tc>
          <w:tcPr>
            <w:tcW w:w="1273" w:type="dxa"/>
          </w:tcPr>
          <w:p w:rsidR="00756AE7" w:rsidRPr="00E4274A" w:rsidRDefault="00526E98"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 xml:space="preserve"> 130,56</w:t>
            </w:r>
          </w:p>
        </w:tc>
        <w:tc>
          <w:tcPr>
            <w:tcW w:w="806"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118,9</w:t>
            </w:r>
          </w:p>
        </w:tc>
        <w:tc>
          <w:tcPr>
            <w:tcW w:w="775"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p>
        </w:tc>
        <w:tc>
          <w:tcPr>
            <w:tcW w:w="684"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11,7</w:t>
            </w:r>
          </w:p>
        </w:tc>
      </w:tr>
      <w:tr w:rsidR="00756AE7" w:rsidRPr="008376FC" w:rsidTr="00510CDB">
        <w:trPr>
          <w:trHeight w:val="265"/>
        </w:trPr>
        <w:tc>
          <w:tcPr>
            <w:tcW w:w="2066"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DUP 2017-2020</w:t>
            </w:r>
          </w:p>
        </w:tc>
        <w:tc>
          <w:tcPr>
            <w:tcW w:w="704"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19</w:t>
            </w:r>
          </w:p>
        </w:tc>
        <w:tc>
          <w:tcPr>
            <w:tcW w:w="899"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718,5</w:t>
            </w:r>
          </w:p>
        </w:tc>
        <w:tc>
          <w:tcPr>
            <w:tcW w:w="992"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533,0</w:t>
            </w:r>
          </w:p>
        </w:tc>
        <w:tc>
          <w:tcPr>
            <w:tcW w:w="721"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40,9</w:t>
            </w:r>
          </w:p>
        </w:tc>
        <w:tc>
          <w:tcPr>
            <w:tcW w:w="891"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144,6</w:t>
            </w:r>
          </w:p>
        </w:tc>
        <w:tc>
          <w:tcPr>
            <w:tcW w:w="1273"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363,0</w:t>
            </w:r>
          </w:p>
        </w:tc>
        <w:tc>
          <w:tcPr>
            <w:tcW w:w="806"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255,0</w:t>
            </w:r>
          </w:p>
        </w:tc>
        <w:tc>
          <w:tcPr>
            <w:tcW w:w="775"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54,1</w:t>
            </w:r>
          </w:p>
        </w:tc>
        <w:tc>
          <w:tcPr>
            <w:tcW w:w="684"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53,9</w:t>
            </w:r>
          </w:p>
        </w:tc>
      </w:tr>
      <w:tr w:rsidR="00756AE7" w:rsidRPr="008376FC" w:rsidTr="00510CDB">
        <w:trPr>
          <w:trHeight w:val="47"/>
        </w:trPr>
        <w:tc>
          <w:tcPr>
            <w:tcW w:w="2066"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 xml:space="preserve">Total </w:t>
            </w:r>
          </w:p>
        </w:tc>
        <w:tc>
          <w:tcPr>
            <w:tcW w:w="704"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32</w:t>
            </w:r>
          </w:p>
        </w:tc>
        <w:tc>
          <w:tcPr>
            <w:tcW w:w="899"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1</w:t>
            </w:r>
            <w:r w:rsidR="00D11009">
              <w:rPr>
                <w:rFonts w:asciiTheme="majorHAnsi" w:eastAsiaTheme="minorEastAsia" w:hAnsiTheme="majorHAnsi" w:cstheme="majorHAnsi"/>
                <w:sz w:val="20"/>
                <w:szCs w:val="20"/>
              </w:rPr>
              <w:t>.</w:t>
            </w:r>
            <w:r w:rsidRPr="008376FC">
              <w:rPr>
                <w:rFonts w:asciiTheme="majorHAnsi" w:eastAsiaTheme="minorEastAsia" w:hAnsiTheme="majorHAnsi" w:cstheme="majorHAnsi"/>
                <w:sz w:val="20"/>
                <w:szCs w:val="20"/>
              </w:rPr>
              <w:t>074,</w:t>
            </w:r>
            <w:r w:rsidR="004A1009">
              <w:rPr>
                <w:rFonts w:asciiTheme="majorHAnsi" w:eastAsiaTheme="minorEastAsia" w:hAnsiTheme="majorHAnsi" w:cstheme="majorHAnsi"/>
                <w:sz w:val="20"/>
                <w:szCs w:val="20"/>
              </w:rPr>
              <w:t>2</w:t>
            </w:r>
          </w:p>
        </w:tc>
        <w:tc>
          <w:tcPr>
            <w:tcW w:w="992"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850,0</w:t>
            </w:r>
          </w:p>
        </w:tc>
        <w:tc>
          <w:tcPr>
            <w:tcW w:w="721"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40,9</w:t>
            </w:r>
          </w:p>
        </w:tc>
        <w:tc>
          <w:tcPr>
            <w:tcW w:w="891"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183,3</w:t>
            </w:r>
          </w:p>
        </w:tc>
        <w:tc>
          <w:tcPr>
            <w:tcW w:w="1273" w:type="dxa"/>
            <w:shd w:val="clear" w:color="auto" w:fill="BDD6EE" w:themeFill="accent1" w:themeFillTint="66"/>
          </w:tcPr>
          <w:p w:rsidR="00756AE7" w:rsidRPr="008376FC" w:rsidRDefault="00526E98" w:rsidP="00F61756">
            <w:pPr>
              <w:tabs>
                <w:tab w:val="left" w:pos="426"/>
              </w:tabs>
              <w:spacing w:line="276" w:lineRule="auto"/>
              <w:jc w:val="both"/>
              <w:rPr>
                <w:rFonts w:asciiTheme="majorHAnsi" w:eastAsiaTheme="minorEastAsia" w:hAnsiTheme="majorHAnsi" w:cstheme="majorHAnsi"/>
                <w:sz w:val="20"/>
                <w:szCs w:val="20"/>
              </w:rPr>
            </w:pPr>
            <w:r>
              <w:rPr>
                <w:rFonts w:asciiTheme="majorHAnsi" w:eastAsiaTheme="minorEastAsia" w:hAnsiTheme="majorHAnsi" w:cstheme="majorHAnsi"/>
                <w:sz w:val="20"/>
                <w:szCs w:val="20"/>
              </w:rPr>
              <w:t xml:space="preserve"> 493,6</w:t>
            </w:r>
          </w:p>
        </w:tc>
        <w:tc>
          <w:tcPr>
            <w:tcW w:w="806"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373,9</w:t>
            </w:r>
          </w:p>
        </w:tc>
        <w:tc>
          <w:tcPr>
            <w:tcW w:w="775" w:type="dxa"/>
            <w:shd w:val="clear" w:color="auto" w:fill="BDD6EE" w:themeFill="accent1" w:themeFillTint="66"/>
          </w:tcPr>
          <w:p w:rsidR="00756AE7" w:rsidRPr="008376FC" w:rsidRDefault="00526E98" w:rsidP="00F61756">
            <w:pPr>
              <w:tabs>
                <w:tab w:val="left" w:pos="426"/>
              </w:tabs>
              <w:spacing w:line="276" w:lineRule="auto"/>
              <w:jc w:val="both"/>
              <w:rPr>
                <w:rFonts w:asciiTheme="majorHAnsi" w:eastAsiaTheme="minorEastAsia" w:hAnsiTheme="majorHAnsi" w:cstheme="majorHAnsi"/>
                <w:sz w:val="20"/>
                <w:szCs w:val="20"/>
              </w:rPr>
            </w:pPr>
            <w:r>
              <w:rPr>
                <w:rFonts w:asciiTheme="majorHAnsi" w:eastAsiaTheme="minorEastAsia" w:hAnsiTheme="majorHAnsi" w:cstheme="majorHAnsi"/>
                <w:sz w:val="20"/>
                <w:szCs w:val="20"/>
              </w:rPr>
              <w:t>54,1</w:t>
            </w:r>
          </w:p>
        </w:tc>
        <w:tc>
          <w:tcPr>
            <w:tcW w:w="684"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65,6</w:t>
            </w:r>
          </w:p>
        </w:tc>
      </w:tr>
    </w:tbl>
    <w:p w:rsidR="00756AE7" w:rsidRPr="008376FC" w:rsidRDefault="00756AE7" w:rsidP="00F61756">
      <w:pPr>
        <w:tabs>
          <w:tab w:val="left" w:pos="426"/>
        </w:tabs>
        <w:spacing w:after="0" w:line="276" w:lineRule="auto"/>
        <w:ind w:firstLine="567"/>
        <w:jc w:val="both"/>
        <w:rPr>
          <w:rFonts w:asciiTheme="majorHAnsi" w:eastAsiaTheme="minorEastAsia" w:hAnsiTheme="majorHAnsi" w:cstheme="majorHAnsi"/>
          <w:b w:val="0"/>
          <w:bCs w:val="0"/>
          <w:sz w:val="20"/>
          <w:szCs w:val="20"/>
        </w:rPr>
      </w:pPr>
      <w:r w:rsidRPr="00BF7900">
        <w:rPr>
          <w:rFonts w:asciiTheme="majorHAnsi" w:eastAsiaTheme="minorEastAsia" w:hAnsiTheme="majorHAnsi" w:cstheme="majorHAnsi"/>
          <w:bCs w:val="0"/>
          <w:i/>
          <w:sz w:val="20"/>
          <w:szCs w:val="20"/>
        </w:rPr>
        <w:t>Sursa:</w:t>
      </w:r>
      <w:r w:rsidRPr="00BF7900">
        <w:rPr>
          <w:rFonts w:asciiTheme="majorHAnsi" w:eastAsiaTheme="minorEastAsia" w:hAnsiTheme="majorHAnsi" w:cstheme="majorHAnsi"/>
          <w:b w:val="0"/>
          <w:bCs w:val="0"/>
          <w:i/>
          <w:sz w:val="20"/>
          <w:szCs w:val="20"/>
        </w:rPr>
        <w:t xml:space="preserve"> Date</w:t>
      </w:r>
      <w:r w:rsidR="00D11009">
        <w:rPr>
          <w:rFonts w:asciiTheme="majorHAnsi" w:eastAsiaTheme="minorEastAsia" w:hAnsiTheme="majorHAnsi" w:cstheme="majorHAnsi"/>
          <w:b w:val="0"/>
          <w:bCs w:val="0"/>
          <w:i/>
          <w:sz w:val="20"/>
          <w:szCs w:val="20"/>
        </w:rPr>
        <w:t xml:space="preserve"> oferite de</w:t>
      </w:r>
      <w:r w:rsidRPr="00BF7900">
        <w:rPr>
          <w:rFonts w:asciiTheme="majorHAnsi" w:eastAsiaTheme="minorEastAsia" w:hAnsiTheme="majorHAnsi" w:cstheme="majorHAnsi"/>
          <w:b w:val="0"/>
          <w:bCs w:val="0"/>
          <w:i/>
          <w:sz w:val="20"/>
          <w:szCs w:val="20"/>
        </w:rPr>
        <w:t xml:space="preserve"> </w:t>
      </w:r>
      <w:r w:rsidR="00462101" w:rsidRPr="00BF7900">
        <w:rPr>
          <w:rFonts w:asciiTheme="majorHAnsi" w:eastAsiaTheme="minorEastAsia" w:hAnsiTheme="majorHAnsi" w:cstheme="majorHAnsi"/>
          <w:b w:val="0"/>
          <w:bCs w:val="0"/>
          <w:i/>
          <w:sz w:val="20"/>
          <w:szCs w:val="20"/>
        </w:rPr>
        <w:t>ADR şi MIDR</w:t>
      </w:r>
      <w:r w:rsidRPr="008376FC">
        <w:rPr>
          <w:rFonts w:asciiTheme="majorHAnsi" w:eastAsiaTheme="minorEastAsia" w:hAnsiTheme="majorHAnsi" w:cstheme="majorHAnsi"/>
          <w:b w:val="0"/>
          <w:bCs w:val="0"/>
          <w:sz w:val="20"/>
          <w:szCs w:val="20"/>
        </w:rPr>
        <w:t xml:space="preserve">. </w:t>
      </w:r>
    </w:p>
    <w:p w:rsidR="00756AE7" w:rsidRPr="008376FC" w:rsidRDefault="00756AE7" w:rsidP="00F61756">
      <w:pPr>
        <w:tabs>
          <w:tab w:val="left" w:pos="426"/>
        </w:tabs>
        <w:spacing w:after="0" w:line="276" w:lineRule="auto"/>
        <w:ind w:firstLine="567"/>
        <w:jc w:val="both"/>
        <w:rPr>
          <w:rFonts w:asciiTheme="majorHAnsi" w:eastAsiaTheme="minorEastAsia" w:hAnsiTheme="majorHAnsi" w:cstheme="majorHAnsi"/>
          <w:b w:val="0"/>
          <w:bCs w:val="0"/>
          <w:sz w:val="24"/>
          <w:szCs w:val="24"/>
        </w:rPr>
      </w:pPr>
    </w:p>
    <w:p w:rsidR="00756AE7" w:rsidRPr="008376FC" w:rsidRDefault="00756AE7" w:rsidP="00F61756">
      <w:pPr>
        <w:tabs>
          <w:tab w:val="left" w:pos="426"/>
        </w:tabs>
        <w:spacing w:after="0" w:line="276" w:lineRule="auto"/>
        <w:ind w:firstLine="567"/>
        <w:jc w:val="both"/>
        <w:rPr>
          <w:rFonts w:asciiTheme="majorHAnsi" w:eastAsiaTheme="minorEastAsia" w:hAnsiTheme="majorHAnsi" w:cstheme="majorHAnsi"/>
          <w:b w:val="0"/>
          <w:bCs w:val="0"/>
          <w:sz w:val="24"/>
          <w:szCs w:val="24"/>
        </w:rPr>
      </w:pPr>
      <w:r w:rsidRPr="008376FC">
        <w:rPr>
          <w:rFonts w:asciiTheme="majorHAnsi" w:eastAsiaTheme="minorEastAsia" w:hAnsiTheme="majorHAnsi" w:cstheme="majorHAnsi"/>
          <w:b w:val="0"/>
          <w:bCs w:val="0"/>
          <w:sz w:val="24"/>
          <w:szCs w:val="24"/>
        </w:rPr>
        <w:t xml:space="preserve">În cadrul DUP, 18 PI au fost implementate la nivel de 100%, sub nivelul de 80% </w:t>
      </w:r>
      <w:r w:rsidR="006F57DC" w:rsidRPr="008376FC">
        <w:rPr>
          <w:rFonts w:asciiTheme="majorHAnsi" w:eastAsiaTheme="minorEastAsia" w:hAnsiTheme="majorHAnsi" w:cstheme="majorHAnsi"/>
          <w:b w:val="0"/>
          <w:bCs w:val="0"/>
          <w:sz w:val="24"/>
          <w:szCs w:val="24"/>
        </w:rPr>
        <w:t>–</w:t>
      </w:r>
      <w:r w:rsidRPr="008376FC">
        <w:rPr>
          <w:rFonts w:asciiTheme="majorHAnsi" w:eastAsiaTheme="minorEastAsia" w:hAnsiTheme="majorHAnsi" w:cstheme="majorHAnsi"/>
          <w:b w:val="0"/>
          <w:bCs w:val="0"/>
          <w:sz w:val="24"/>
          <w:szCs w:val="24"/>
        </w:rPr>
        <w:t xml:space="preserve"> 4 PI, sub nivel de 20% </w:t>
      </w:r>
      <w:r w:rsidR="006F57DC" w:rsidRPr="008376FC">
        <w:rPr>
          <w:rFonts w:asciiTheme="majorHAnsi" w:eastAsiaTheme="minorEastAsia" w:hAnsiTheme="majorHAnsi" w:cstheme="majorHAnsi"/>
          <w:b w:val="0"/>
          <w:bCs w:val="0"/>
          <w:sz w:val="24"/>
          <w:szCs w:val="24"/>
        </w:rPr>
        <w:t>–</w:t>
      </w:r>
      <w:r w:rsidRPr="008376FC">
        <w:rPr>
          <w:rFonts w:asciiTheme="majorHAnsi" w:eastAsiaTheme="minorEastAsia" w:hAnsiTheme="majorHAnsi" w:cstheme="majorHAnsi"/>
          <w:b w:val="0"/>
          <w:bCs w:val="0"/>
          <w:sz w:val="24"/>
          <w:szCs w:val="24"/>
        </w:rPr>
        <w:t xml:space="preserve"> 1 PI</w:t>
      </w:r>
      <w:r w:rsidR="006F57DC">
        <w:rPr>
          <w:rFonts w:asciiTheme="majorHAnsi" w:eastAsiaTheme="minorEastAsia" w:hAnsiTheme="majorHAnsi" w:cstheme="majorHAnsi"/>
          <w:b w:val="0"/>
          <w:bCs w:val="0"/>
          <w:sz w:val="24"/>
          <w:szCs w:val="24"/>
        </w:rPr>
        <w:t>,</w:t>
      </w:r>
      <w:r w:rsidRPr="008376FC">
        <w:rPr>
          <w:rFonts w:asciiTheme="majorHAnsi" w:eastAsiaTheme="minorEastAsia" w:hAnsiTheme="majorHAnsi" w:cstheme="majorHAnsi"/>
          <w:b w:val="0"/>
          <w:bCs w:val="0"/>
          <w:sz w:val="24"/>
          <w:szCs w:val="24"/>
        </w:rPr>
        <w:t xml:space="preserve"> și neinițiate – 9 PI.</w:t>
      </w:r>
    </w:p>
    <w:p w:rsidR="00756AE7" w:rsidRPr="008376FC" w:rsidRDefault="00756AE7" w:rsidP="00F61756">
      <w:pPr>
        <w:tabs>
          <w:tab w:val="left" w:pos="426"/>
        </w:tabs>
        <w:spacing w:after="0" w:line="276" w:lineRule="auto"/>
        <w:ind w:firstLine="567"/>
        <w:jc w:val="right"/>
        <w:rPr>
          <w:rFonts w:asciiTheme="majorHAnsi" w:eastAsiaTheme="minorEastAsia" w:hAnsiTheme="majorHAnsi" w:cstheme="majorHAnsi"/>
          <w:bCs w:val="0"/>
          <w:sz w:val="20"/>
          <w:szCs w:val="20"/>
        </w:rPr>
      </w:pPr>
      <w:r w:rsidRPr="008376FC">
        <w:rPr>
          <w:rFonts w:asciiTheme="majorHAnsi" w:eastAsiaTheme="minorEastAsia" w:hAnsiTheme="majorHAnsi" w:cstheme="majorHAnsi"/>
          <w:bCs w:val="0"/>
          <w:sz w:val="20"/>
          <w:szCs w:val="20"/>
        </w:rPr>
        <w:t xml:space="preserve">Tabelul nr. </w:t>
      </w:r>
      <w:r w:rsidR="00BD0D82" w:rsidRPr="008376FC">
        <w:rPr>
          <w:rFonts w:asciiTheme="majorHAnsi" w:eastAsiaTheme="minorEastAsia" w:hAnsiTheme="majorHAnsi" w:cstheme="majorHAnsi"/>
          <w:bCs w:val="0"/>
          <w:sz w:val="20"/>
          <w:szCs w:val="20"/>
        </w:rPr>
        <w:t>9</w:t>
      </w:r>
    </w:p>
    <w:p w:rsidR="00756AE7" w:rsidRPr="008376FC" w:rsidRDefault="006F57DC" w:rsidP="00F61756">
      <w:pPr>
        <w:tabs>
          <w:tab w:val="left" w:pos="426"/>
        </w:tabs>
        <w:spacing w:after="0" w:line="276" w:lineRule="auto"/>
        <w:ind w:firstLine="567"/>
        <w:jc w:val="center"/>
        <w:rPr>
          <w:rFonts w:asciiTheme="majorHAnsi" w:eastAsiaTheme="minorEastAsia" w:hAnsiTheme="majorHAnsi" w:cstheme="majorHAnsi"/>
          <w:bCs w:val="0"/>
          <w:sz w:val="20"/>
          <w:szCs w:val="20"/>
        </w:rPr>
      </w:pPr>
      <w:r>
        <w:rPr>
          <w:rFonts w:asciiTheme="majorHAnsi" w:eastAsiaTheme="minorEastAsia" w:hAnsiTheme="majorHAnsi" w:cstheme="majorHAnsi"/>
          <w:bCs w:val="0"/>
          <w:sz w:val="20"/>
          <w:szCs w:val="20"/>
        </w:rPr>
        <w:t>N</w:t>
      </w:r>
      <w:r w:rsidR="00756AE7" w:rsidRPr="008376FC">
        <w:rPr>
          <w:rFonts w:asciiTheme="majorHAnsi" w:eastAsiaTheme="minorEastAsia" w:hAnsiTheme="majorHAnsi" w:cstheme="majorHAnsi"/>
          <w:bCs w:val="0"/>
          <w:sz w:val="20"/>
          <w:szCs w:val="20"/>
        </w:rPr>
        <w:t xml:space="preserve">ivelul de implementare </w:t>
      </w:r>
      <w:r>
        <w:rPr>
          <w:rFonts w:asciiTheme="majorHAnsi" w:eastAsiaTheme="minorEastAsia" w:hAnsiTheme="majorHAnsi" w:cstheme="majorHAnsi"/>
          <w:bCs w:val="0"/>
          <w:sz w:val="20"/>
          <w:szCs w:val="20"/>
        </w:rPr>
        <w:t xml:space="preserve">a PI </w:t>
      </w:r>
      <w:r w:rsidR="00756AE7" w:rsidRPr="008376FC">
        <w:rPr>
          <w:rFonts w:asciiTheme="majorHAnsi" w:eastAsiaTheme="minorEastAsia" w:hAnsiTheme="majorHAnsi" w:cstheme="majorHAnsi"/>
          <w:bCs w:val="0"/>
          <w:sz w:val="20"/>
          <w:szCs w:val="20"/>
        </w:rPr>
        <w:t>în cadrul DUP</w:t>
      </w:r>
    </w:p>
    <w:tbl>
      <w:tblPr>
        <w:tblStyle w:val="TableGrid10"/>
        <w:tblW w:w="9791" w:type="dxa"/>
        <w:tblLayout w:type="fixed"/>
        <w:tblLook w:val="04A0" w:firstRow="1" w:lastRow="0" w:firstColumn="1" w:lastColumn="0" w:noHBand="0" w:noVBand="1"/>
      </w:tblPr>
      <w:tblGrid>
        <w:gridCol w:w="486"/>
        <w:gridCol w:w="1808"/>
        <w:gridCol w:w="718"/>
        <w:gridCol w:w="718"/>
        <w:gridCol w:w="743"/>
        <w:gridCol w:w="844"/>
        <w:gridCol w:w="847"/>
        <w:gridCol w:w="1159"/>
        <w:gridCol w:w="717"/>
        <w:gridCol w:w="862"/>
        <w:gridCol w:w="889"/>
      </w:tblGrid>
      <w:tr w:rsidR="00756AE7" w:rsidRPr="008376FC" w:rsidTr="00510CDB">
        <w:trPr>
          <w:trHeight w:val="566"/>
        </w:trPr>
        <w:tc>
          <w:tcPr>
            <w:tcW w:w="486" w:type="dxa"/>
            <w:vMerge w:val="restart"/>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Nr.</w:t>
            </w:r>
          </w:p>
          <w:p w:rsidR="00756AE7" w:rsidRPr="008376FC" w:rsidRDefault="006F57DC" w:rsidP="00F61756">
            <w:pPr>
              <w:tabs>
                <w:tab w:val="left" w:pos="426"/>
              </w:tabs>
              <w:spacing w:line="276" w:lineRule="auto"/>
              <w:ind w:right="-121"/>
              <w:jc w:val="both"/>
              <w:rPr>
                <w:rFonts w:asciiTheme="majorHAnsi" w:eastAsiaTheme="minorEastAsia" w:hAnsiTheme="majorHAnsi" w:cstheme="majorHAnsi"/>
                <w:sz w:val="20"/>
                <w:szCs w:val="20"/>
              </w:rPr>
            </w:pPr>
            <w:r>
              <w:rPr>
                <w:rFonts w:asciiTheme="majorHAnsi" w:eastAsiaTheme="minorEastAsia" w:hAnsiTheme="majorHAnsi" w:cstheme="majorHAnsi"/>
                <w:sz w:val="20"/>
                <w:szCs w:val="20"/>
              </w:rPr>
              <w:t>crt.</w:t>
            </w:r>
          </w:p>
        </w:tc>
        <w:tc>
          <w:tcPr>
            <w:tcW w:w="1808" w:type="dxa"/>
            <w:vMerge w:val="restart"/>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 xml:space="preserve">Indicatorii </w:t>
            </w:r>
          </w:p>
        </w:tc>
        <w:tc>
          <w:tcPr>
            <w:tcW w:w="718" w:type="dxa"/>
            <w:vMerge w:val="restart"/>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Nr. PI</w:t>
            </w:r>
            <w:r w:rsidR="006F57DC">
              <w:rPr>
                <w:rFonts w:asciiTheme="majorHAnsi" w:eastAsiaTheme="minorEastAsia" w:hAnsiTheme="majorHAnsi" w:cstheme="majorHAnsi"/>
                <w:sz w:val="20"/>
                <w:szCs w:val="20"/>
              </w:rPr>
              <w:t>,</w:t>
            </w:r>
            <w:r w:rsidRPr="008376FC">
              <w:rPr>
                <w:rFonts w:asciiTheme="majorHAnsi" w:eastAsiaTheme="minorEastAsia" w:hAnsiTheme="majorHAnsi" w:cstheme="majorHAnsi"/>
                <w:sz w:val="20"/>
                <w:szCs w:val="20"/>
              </w:rPr>
              <w:t xml:space="preserve"> total</w:t>
            </w:r>
          </w:p>
        </w:tc>
        <w:tc>
          <w:tcPr>
            <w:tcW w:w="3152" w:type="dxa"/>
            <w:gridSpan w:val="4"/>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Inclusiv conform nivelului de implementa</w:t>
            </w:r>
            <w:r w:rsidR="006F57DC">
              <w:rPr>
                <w:rFonts w:asciiTheme="majorHAnsi" w:eastAsiaTheme="minorEastAsia" w:hAnsiTheme="majorHAnsi" w:cstheme="majorHAnsi"/>
                <w:sz w:val="20"/>
                <w:szCs w:val="20"/>
              </w:rPr>
              <w:t>r</w:t>
            </w:r>
            <w:r w:rsidRPr="008376FC">
              <w:rPr>
                <w:rFonts w:asciiTheme="majorHAnsi" w:eastAsiaTheme="minorEastAsia" w:hAnsiTheme="majorHAnsi" w:cstheme="majorHAnsi"/>
                <w:sz w:val="20"/>
                <w:szCs w:val="20"/>
              </w:rPr>
              <w:t>e:</w:t>
            </w:r>
          </w:p>
        </w:tc>
        <w:tc>
          <w:tcPr>
            <w:tcW w:w="1159" w:type="dxa"/>
            <w:vMerge w:val="restart"/>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Valoarea investițiilor realizate</w:t>
            </w:r>
          </w:p>
        </w:tc>
        <w:tc>
          <w:tcPr>
            <w:tcW w:w="2468" w:type="dxa"/>
            <w:gridSpan w:val="3"/>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Inclusiv conform nivelul</w:t>
            </w:r>
            <w:r w:rsidR="006F57DC">
              <w:rPr>
                <w:rFonts w:asciiTheme="majorHAnsi" w:eastAsiaTheme="minorEastAsia" w:hAnsiTheme="majorHAnsi" w:cstheme="majorHAnsi"/>
                <w:sz w:val="20"/>
                <w:szCs w:val="20"/>
              </w:rPr>
              <w:t>ui</w:t>
            </w:r>
            <w:r w:rsidRPr="008376FC">
              <w:rPr>
                <w:rFonts w:asciiTheme="majorHAnsi" w:eastAsiaTheme="minorEastAsia" w:hAnsiTheme="majorHAnsi" w:cstheme="majorHAnsi"/>
                <w:sz w:val="20"/>
                <w:szCs w:val="20"/>
              </w:rPr>
              <w:t xml:space="preserve"> de  implementa</w:t>
            </w:r>
            <w:r w:rsidR="006F57DC">
              <w:rPr>
                <w:rFonts w:asciiTheme="majorHAnsi" w:eastAsiaTheme="minorEastAsia" w:hAnsiTheme="majorHAnsi" w:cstheme="majorHAnsi"/>
                <w:sz w:val="20"/>
                <w:szCs w:val="20"/>
              </w:rPr>
              <w:t>r</w:t>
            </w:r>
            <w:r w:rsidRPr="008376FC">
              <w:rPr>
                <w:rFonts w:asciiTheme="majorHAnsi" w:eastAsiaTheme="minorEastAsia" w:hAnsiTheme="majorHAnsi" w:cstheme="majorHAnsi"/>
                <w:sz w:val="20"/>
                <w:szCs w:val="20"/>
              </w:rPr>
              <w:t>e</w:t>
            </w:r>
          </w:p>
        </w:tc>
      </w:tr>
      <w:tr w:rsidR="00756AE7" w:rsidRPr="008376FC" w:rsidTr="00510CDB">
        <w:trPr>
          <w:cantSplit/>
          <w:trHeight w:val="529"/>
        </w:trPr>
        <w:tc>
          <w:tcPr>
            <w:tcW w:w="486" w:type="dxa"/>
            <w:vMerge/>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p>
        </w:tc>
        <w:tc>
          <w:tcPr>
            <w:tcW w:w="1808" w:type="dxa"/>
            <w:vMerge/>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p>
        </w:tc>
        <w:tc>
          <w:tcPr>
            <w:tcW w:w="718" w:type="dxa"/>
            <w:vMerge/>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p>
        </w:tc>
        <w:tc>
          <w:tcPr>
            <w:tcW w:w="718"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100%</w:t>
            </w:r>
          </w:p>
        </w:tc>
        <w:tc>
          <w:tcPr>
            <w:tcW w:w="743"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 80%</w:t>
            </w:r>
          </w:p>
        </w:tc>
        <w:tc>
          <w:tcPr>
            <w:tcW w:w="844"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  20%</w:t>
            </w:r>
          </w:p>
        </w:tc>
        <w:tc>
          <w:tcPr>
            <w:tcW w:w="845"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Ne</w:t>
            </w:r>
            <w:r w:rsidR="006F57DC">
              <w:rPr>
                <w:rFonts w:asciiTheme="majorHAnsi" w:eastAsiaTheme="minorEastAsia" w:hAnsiTheme="majorHAnsi" w:cstheme="majorHAnsi"/>
                <w:sz w:val="20"/>
                <w:szCs w:val="20"/>
              </w:rPr>
              <w:t>-</w:t>
            </w:r>
            <w:r w:rsidRPr="008376FC">
              <w:rPr>
                <w:rFonts w:asciiTheme="majorHAnsi" w:eastAsiaTheme="minorEastAsia" w:hAnsiTheme="majorHAnsi" w:cstheme="majorHAnsi"/>
                <w:sz w:val="20"/>
                <w:szCs w:val="20"/>
              </w:rPr>
              <w:t xml:space="preserve"> inițiate</w:t>
            </w:r>
          </w:p>
        </w:tc>
        <w:tc>
          <w:tcPr>
            <w:tcW w:w="1159" w:type="dxa"/>
            <w:vMerge/>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p>
        </w:tc>
        <w:tc>
          <w:tcPr>
            <w:tcW w:w="717"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100%</w:t>
            </w:r>
          </w:p>
        </w:tc>
        <w:tc>
          <w:tcPr>
            <w:tcW w:w="862"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 80%</w:t>
            </w:r>
          </w:p>
        </w:tc>
        <w:tc>
          <w:tcPr>
            <w:tcW w:w="888"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 20%</w:t>
            </w:r>
          </w:p>
        </w:tc>
      </w:tr>
      <w:tr w:rsidR="00756AE7" w:rsidRPr="008376FC" w:rsidTr="00510CDB">
        <w:trPr>
          <w:trHeight w:val="282"/>
        </w:trPr>
        <w:tc>
          <w:tcPr>
            <w:tcW w:w="486"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w:t>
            </w:r>
          </w:p>
        </w:tc>
        <w:tc>
          <w:tcPr>
            <w:tcW w:w="1808"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DIP 2013-2015</w:t>
            </w:r>
          </w:p>
        </w:tc>
        <w:tc>
          <w:tcPr>
            <w:tcW w:w="718"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13</w:t>
            </w:r>
          </w:p>
        </w:tc>
        <w:tc>
          <w:tcPr>
            <w:tcW w:w="718"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8</w:t>
            </w:r>
          </w:p>
        </w:tc>
        <w:tc>
          <w:tcPr>
            <w:tcW w:w="743"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w:t>
            </w:r>
          </w:p>
        </w:tc>
        <w:tc>
          <w:tcPr>
            <w:tcW w:w="844"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w:t>
            </w:r>
          </w:p>
        </w:tc>
        <w:tc>
          <w:tcPr>
            <w:tcW w:w="845"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3</w:t>
            </w:r>
          </w:p>
        </w:tc>
        <w:tc>
          <w:tcPr>
            <w:tcW w:w="1159"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184,7</w:t>
            </w:r>
          </w:p>
        </w:tc>
        <w:tc>
          <w:tcPr>
            <w:tcW w:w="717"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164,5</w:t>
            </w:r>
          </w:p>
        </w:tc>
        <w:tc>
          <w:tcPr>
            <w:tcW w:w="862"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14,4</w:t>
            </w:r>
          </w:p>
        </w:tc>
        <w:tc>
          <w:tcPr>
            <w:tcW w:w="888"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8,8</w:t>
            </w:r>
          </w:p>
        </w:tc>
      </w:tr>
      <w:tr w:rsidR="00756AE7" w:rsidRPr="008376FC" w:rsidTr="00510CDB">
        <w:trPr>
          <w:trHeight w:val="282"/>
        </w:trPr>
        <w:tc>
          <w:tcPr>
            <w:tcW w:w="486"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2</w:t>
            </w:r>
          </w:p>
        </w:tc>
        <w:tc>
          <w:tcPr>
            <w:tcW w:w="1808"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DUP 2017-2020</w:t>
            </w:r>
          </w:p>
        </w:tc>
        <w:tc>
          <w:tcPr>
            <w:tcW w:w="718"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19</w:t>
            </w:r>
          </w:p>
        </w:tc>
        <w:tc>
          <w:tcPr>
            <w:tcW w:w="718"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10</w:t>
            </w:r>
          </w:p>
        </w:tc>
        <w:tc>
          <w:tcPr>
            <w:tcW w:w="743"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3</w:t>
            </w:r>
          </w:p>
        </w:tc>
        <w:tc>
          <w:tcPr>
            <w:tcW w:w="844"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w:t>
            </w:r>
          </w:p>
        </w:tc>
        <w:tc>
          <w:tcPr>
            <w:tcW w:w="845"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6</w:t>
            </w:r>
          </w:p>
        </w:tc>
        <w:tc>
          <w:tcPr>
            <w:tcW w:w="1159"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363,0</w:t>
            </w:r>
          </w:p>
        </w:tc>
        <w:tc>
          <w:tcPr>
            <w:tcW w:w="717"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290,5</w:t>
            </w:r>
          </w:p>
        </w:tc>
        <w:tc>
          <w:tcPr>
            <w:tcW w:w="862"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72,5</w:t>
            </w:r>
          </w:p>
        </w:tc>
        <w:tc>
          <w:tcPr>
            <w:tcW w:w="888" w:type="dxa"/>
          </w:tcPr>
          <w:p w:rsidR="00756AE7" w:rsidRPr="00E4274A" w:rsidRDefault="00756AE7" w:rsidP="00F61756">
            <w:pPr>
              <w:tabs>
                <w:tab w:val="left" w:pos="426"/>
              </w:tabs>
              <w:spacing w:line="276" w:lineRule="auto"/>
              <w:jc w:val="both"/>
              <w:rPr>
                <w:rFonts w:asciiTheme="majorHAnsi" w:eastAsiaTheme="minorEastAsia" w:hAnsiTheme="majorHAnsi" w:cstheme="majorHAnsi"/>
                <w:b w:val="0"/>
                <w:sz w:val="20"/>
                <w:szCs w:val="20"/>
              </w:rPr>
            </w:pPr>
            <w:r w:rsidRPr="00E4274A">
              <w:rPr>
                <w:rFonts w:asciiTheme="majorHAnsi" w:eastAsiaTheme="minorEastAsia" w:hAnsiTheme="majorHAnsi" w:cstheme="majorHAnsi"/>
                <w:b w:val="0"/>
                <w:sz w:val="20"/>
                <w:szCs w:val="20"/>
              </w:rPr>
              <w:t>-</w:t>
            </w:r>
          </w:p>
        </w:tc>
      </w:tr>
      <w:tr w:rsidR="00756AE7" w:rsidRPr="008376FC" w:rsidTr="00510CDB">
        <w:trPr>
          <w:trHeight w:val="306"/>
        </w:trPr>
        <w:tc>
          <w:tcPr>
            <w:tcW w:w="486"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p>
        </w:tc>
        <w:tc>
          <w:tcPr>
            <w:tcW w:w="1808"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 xml:space="preserve">Total </w:t>
            </w:r>
          </w:p>
        </w:tc>
        <w:tc>
          <w:tcPr>
            <w:tcW w:w="718"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32</w:t>
            </w:r>
          </w:p>
        </w:tc>
        <w:tc>
          <w:tcPr>
            <w:tcW w:w="718"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18</w:t>
            </w:r>
          </w:p>
        </w:tc>
        <w:tc>
          <w:tcPr>
            <w:tcW w:w="743"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4</w:t>
            </w:r>
          </w:p>
        </w:tc>
        <w:tc>
          <w:tcPr>
            <w:tcW w:w="844"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1</w:t>
            </w:r>
          </w:p>
        </w:tc>
        <w:tc>
          <w:tcPr>
            <w:tcW w:w="845"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9</w:t>
            </w:r>
          </w:p>
        </w:tc>
        <w:tc>
          <w:tcPr>
            <w:tcW w:w="1159"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547,7</w:t>
            </w:r>
          </w:p>
        </w:tc>
        <w:tc>
          <w:tcPr>
            <w:tcW w:w="717"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452,0</w:t>
            </w:r>
          </w:p>
        </w:tc>
        <w:tc>
          <w:tcPr>
            <w:tcW w:w="862"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86,9</w:t>
            </w:r>
          </w:p>
        </w:tc>
        <w:tc>
          <w:tcPr>
            <w:tcW w:w="888" w:type="dxa"/>
            <w:shd w:val="clear" w:color="auto" w:fill="BDD6EE" w:themeFill="accent1" w:themeFillTint="66"/>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sz w:val="20"/>
                <w:szCs w:val="20"/>
              </w:rPr>
              <w:t>8,8</w:t>
            </w:r>
          </w:p>
        </w:tc>
      </w:tr>
    </w:tbl>
    <w:p w:rsidR="00756AE7" w:rsidRPr="00BF7900" w:rsidRDefault="000056B2" w:rsidP="00F61756">
      <w:pPr>
        <w:tabs>
          <w:tab w:val="left" w:pos="426"/>
        </w:tabs>
        <w:spacing w:after="0" w:line="276" w:lineRule="auto"/>
        <w:ind w:firstLine="567"/>
        <w:jc w:val="both"/>
        <w:rPr>
          <w:rFonts w:asciiTheme="majorHAnsi" w:eastAsiaTheme="minorEastAsia" w:hAnsiTheme="majorHAnsi" w:cstheme="majorHAnsi"/>
          <w:b w:val="0"/>
          <w:bCs w:val="0"/>
          <w:i/>
          <w:sz w:val="20"/>
          <w:szCs w:val="20"/>
        </w:rPr>
      </w:pPr>
      <w:r w:rsidRPr="00BF7900">
        <w:rPr>
          <w:rFonts w:asciiTheme="majorHAnsi" w:eastAsiaTheme="minorEastAsia" w:hAnsiTheme="majorHAnsi" w:cstheme="majorHAnsi"/>
          <w:bCs w:val="0"/>
          <w:i/>
          <w:sz w:val="20"/>
          <w:szCs w:val="20"/>
        </w:rPr>
        <w:t>Sursa:</w:t>
      </w:r>
      <w:r w:rsidRPr="00BF7900">
        <w:rPr>
          <w:rFonts w:asciiTheme="majorHAnsi" w:eastAsiaTheme="minorEastAsia" w:hAnsiTheme="majorHAnsi" w:cstheme="majorHAnsi"/>
          <w:b w:val="0"/>
          <w:bCs w:val="0"/>
          <w:i/>
          <w:sz w:val="20"/>
          <w:szCs w:val="20"/>
        </w:rPr>
        <w:t xml:space="preserve"> Datele </w:t>
      </w:r>
      <w:r w:rsidR="00462101" w:rsidRPr="00BF7900">
        <w:rPr>
          <w:rFonts w:asciiTheme="majorHAnsi" w:eastAsiaTheme="minorEastAsia" w:hAnsiTheme="majorHAnsi" w:cstheme="majorHAnsi"/>
          <w:b w:val="0"/>
          <w:bCs w:val="0"/>
          <w:i/>
          <w:sz w:val="20"/>
          <w:szCs w:val="20"/>
        </w:rPr>
        <w:t>ADR şi MIDR</w:t>
      </w:r>
      <w:r w:rsidR="00756AE7" w:rsidRPr="00BF7900">
        <w:rPr>
          <w:rFonts w:asciiTheme="majorHAnsi" w:eastAsiaTheme="minorEastAsia" w:hAnsiTheme="majorHAnsi" w:cstheme="majorHAnsi"/>
          <w:b w:val="0"/>
          <w:bCs w:val="0"/>
          <w:i/>
          <w:sz w:val="20"/>
          <w:szCs w:val="20"/>
        </w:rPr>
        <w:t>.</w:t>
      </w:r>
    </w:p>
    <w:p w:rsidR="00756AE7" w:rsidRPr="008376FC" w:rsidRDefault="00756AE7" w:rsidP="00F61756">
      <w:pPr>
        <w:tabs>
          <w:tab w:val="left" w:pos="426"/>
        </w:tabs>
        <w:spacing w:after="0" w:line="276" w:lineRule="auto"/>
        <w:ind w:firstLine="567"/>
        <w:jc w:val="both"/>
        <w:rPr>
          <w:rFonts w:asciiTheme="majorHAnsi" w:eastAsiaTheme="minorEastAsia" w:hAnsiTheme="majorHAnsi" w:cstheme="majorHAnsi"/>
          <w:b w:val="0"/>
          <w:bCs w:val="0"/>
          <w:sz w:val="24"/>
          <w:szCs w:val="24"/>
        </w:rPr>
      </w:pPr>
    </w:p>
    <w:p w:rsidR="00756AE7" w:rsidRPr="008376FC" w:rsidRDefault="00756AE7" w:rsidP="00F61756">
      <w:pPr>
        <w:tabs>
          <w:tab w:val="left" w:pos="426"/>
        </w:tabs>
        <w:spacing w:after="0" w:line="276" w:lineRule="auto"/>
        <w:jc w:val="both"/>
        <w:rPr>
          <w:rFonts w:asciiTheme="majorHAnsi" w:eastAsiaTheme="minorEastAsia" w:hAnsiTheme="majorHAnsi" w:cstheme="majorHAnsi"/>
          <w:b w:val="0"/>
          <w:bCs w:val="0"/>
          <w:sz w:val="24"/>
          <w:szCs w:val="24"/>
        </w:rPr>
      </w:pPr>
      <w:r w:rsidRPr="008376FC">
        <w:rPr>
          <w:rFonts w:asciiTheme="majorHAnsi" w:eastAsiaTheme="minorEastAsia" w:hAnsiTheme="majorHAnsi" w:cstheme="majorHAnsi"/>
          <w:b w:val="0"/>
          <w:bCs w:val="0"/>
          <w:sz w:val="24"/>
          <w:szCs w:val="24"/>
        </w:rPr>
        <w:t>Astfel, din totalul proiectelor planificate pentru implementare în cadrul DUP, 56,2%</w:t>
      </w:r>
      <w:r w:rsidRPr="008376FC">
        <w:rPr>
          <w:rFonts w:asciiTheme="majorHAnsi" w:eastAsiaTheme="minorEastAsia" w:hAnsiTheme="majorHAnsi" w:cstheme="majorHAnsi"/>
          <w:b w:val="0"/>
          <w:bCs w:val="0"/>
          <w:sz w:val="24"/>
          <w:szCs w:val="24"/>
          <w:vertAlign w:val="superscript"/>
        </w:rPr>
        <w:footnoteReference w:id="42"/>
      </w:r>
      <w:r w:rsidRPr="008376FC">
        <w:rPr>
          <w:rFonts w:asciiTheme="majorHAnsi" w:eastAsiaTheme="minorEastAsia" w:hAnsiTheme="majorHAnsi" w:cstheme="majorHAnsi"/>
          <w:b w:val="0"/>
          <w:bCs w:val="0"/>
          <w:sz w:val="24"/>
          <w:szCs w:val="24"/>
        </w:rPr>
        <w:t xml:space="preserve"> au fost finalizate, alte 15,6%</w:t>
      </w:r>
      <w:r w:rsidRPr="008376FC">
        <w:rPr>
          <w:rFonts w:asciiTheme="majorHAnsi" w:eastAsiaTheme="minorEastAsia" w:hAnsiTheme="majorHAnsi" w:cstheme="majorHAnsi"/>
          <w:b w:val="0"/>
          <w:bCs w:val="0"/>
          <w:sz w:val="24"/>
          <w:szCs w:val="24"/>
          <w:vertAlign w:val="superscript"/>
        </w:rPr>
        <w:footnoteReference w:id="43"/>
      </w:r>
      <w:r w:rsidRPr="008376FC">
        <w:rPr>
          <w:rFonts w:asciiTheme="majorHAnsi" w:eastAsiaTheme="minorEastAsia" w:hAnsiTheme="majorHAnsi" w:cstheme="majorHAnsi"/>
          <w:b w:val="0"/>
          <w:bCs w:val="0"/>
          <w:sz w:val="24"/>
          <w:szCs w:val="24"/>
        </w:rPr>
        <w:t xml:space="preserve"> sunt implementate parțial, iar altele 28,1%</w:t>
      </w:r>
      <w:r w:rsidRPr="008376FC">
        <w:rPr>
          <w:rFonts w:asciiTheme="majorHAnsi" w:eastAsiaTheme="minorEastAsia" w:hAnsiTheme="majorHAnsi" w:cstheme="majorHAnsi"/>
          <w:b w:val="0"/>
          <w:bCs w:val="0"/>
          <w:sz w:val="24"/>
          <w:szCs w:val="24"/>
          <w:vertAlign w:val="superscript"/>
        </w:rPr>
        <w:footnoteReference w:id="44"/>
      </w:r>
      <w:r w:rsidRPr="008376FC">
        <w:rPr>
          <w:rFonts w:asciiTheme="majorHAnsi" w:eastAsiaTheme="minorEastAsia" w:hAnsiTheme="majorHAnsi" w:cstheme="majorHAnsi"/>
          <w:b w:val="0"/>
          <w:bCs w:val="0"/>
          <w:sz w:val="24"/>
          <w:szCs w:val="24"/>
        </w:rPr>
        <w:t xml:space="preserve"> nici nu au fost inițiate. </w:t>
      </w:r>
    </w:p>
    <w:p w:rsidR="00756AE7" w:rsidRPr="008376FC" w:rsidRDefault="00756AE7" w:rsidP="00F61756">
      <w:pPr>
        <w:tabs>
          <w:tab w:val="left" w:pos="426"/>
        </w:tabs>
        <w:spacing w:after="0" w:line="276" w:lineRule="auto"/>
        <w:jc w:val="both"/>
        <w:rPr>
          <w:rFonts w:asciiTheme="majorHAnsi" w:eastAsiaTheme="minorEastAsia" w:hAnsiTheme="majorHAnsi" w:cstheme="majorHAnsi"/>
          <w:b w:val="0"/>
          <w:bCs w:val="0"/>
          <w:sz w:val="24"/>
          <w:szCs w:val="24"/>
        </w:rPr>
      </w:pPr>
      <w:r w:rsidRPr="008376FC">
        <w:rPr>
          <w:rFonts w:asciiTheme="majorHAnsi" w:eastAsiaTheme="minorEastAsia" w:hAnsiTheme="majorHAnsi" w:cstheme="majorHAnsi"/>
          <w:b w:val="0"/>
          <w:bCs w:val="0"/>
          <w:sz w:val="24"/>
          <w:szCs w:val="24"/>
        </w:rPr>
        <w:t xml:space="preserve">Cauza implementării parțiale sau a neinițierii PI este insuficiența resurselor financiare pentru implementarea tuturor PI incluse în DUP. </w:t>
      </w:r>
    </w:p>
    <w:p w:rsidR="004737C5" w:rsidRDefault="00756AE7" w:rsidP="00F61756">
      <w:pPr>
        <w:tabs>
          <w:tab w:val="left" w:pos="426"/>
        </w:tabs>
        <w:spacing w:after="0" w:line="276" w:lineRule="auto"/>
        <w:jc w:val="both"/>
        <w:rPr>
          <w:rFonts w:asciiTheme="majorHAnsi" w:eastAsiaTheme="minorEastAsia" w:hAnsiTheme="majorHAnsi" w:cstheme="majorHAnsi"/>
          <w:b w:val="0"/>
          <w:bCs w:val="0"/>
          <w:sz w:val="24"/>
          <w:szCs w:val="24"/>
        </w:rPr>
      </w:pPr>
      <w:r w:rsidRPr="008376FC">
        <w:rPr>
          <w:rFonts w:asciiTheme="majorHAnsi" w:eastAsiaTheme="minorEastAsia" w:hAnsiTheme="majorHAnsi" w:cstheme="majorHAnsi"/>
          <w:b w:val="0"/>
          <w:bCs w:val="0"/>
          <w:sz w:val="24"/>
          <w:szCs w:val="24"/>
        </w:rPr>
        <w:t>Cele mai multe PI incluse în ambele DUP sunt la ADR Centru și Nord, c</w:t>
      </w:r>
      <w:r w:rsidR="0043255C">
        <w:rPr>
          <w:rFonts w:asciiTheme="majorHAnsi" w:eastAsiaTheme="minorEastAsia" w:hAnsiTheme="majorHAnsi" w:cstheme="majorHAnsi"/>
          <w:b w:val="0"/>
          <w:bCs w:val="0"/>
          <w:sz w:val="24"/>
          <w:szCs w:val="24"/>
        </w:rPr>
        <w:t>â</w:t>
      </w:r>
      <w:r w:rsidRPr="008376FC">
        <w:rPr>
          <w:rFonts w:asciiTheme="majorHAnsi" w:eastAsiaTheme="minorEastAsia" w:hAnsiTheme="majorHAnsi" w:cstheme="majorHAnsi"/>
          <w:b w:val="0"/>
          <w:bCs w:val="0"/>
          <w:sz w:val="24"/>
          <w:szCs w:val="24"/>
        </w:rPr>
        <w:t>te 13 PI fiecare, ADR Sud – 5, ADR UAT G</w:t>
      </w:r>
      <w:r w:rsidR="0043255C">
        <w:rPr>
          <w:rFonts w:asciiTheme="majorHAnsi" w:eastAsiaTheme="minorEastAsia" w:hAnsiTheme="majorHAnsi" w:cstheme="majorHAnsi"/>
          <w:b w:val="0"/>
          <w:bCs w:val="0"/>
          <w:sz w:val="24"/>
          <w:szCs w:val="24"/>
        </w:rPr>
        <w:t>ă</w:t>
      </w:r>
      <w:r w:rsidRPr="008376FC">
        <w:rPr>
          <w:rFonts w:asciiTheme="majorHAnsi" w:eastAsiaTheme="minorEastAsia" w:hAnsiTheme="majorHAnsi" w:cstheme="majorHAnsi"/>
          <w:b w:val="0"/>
          <w:bCs w:val="0"/>
          <w:sz w:val="24"/>
          <w:szCs w:val="24"/>
        </w:rPr>
        <w:t>g</w:t>
      </w:r>
      <w:r w:rsidR="0043255C">
        <w:rPr>
          <w:rFonts w:asciiTheme="majorHAnsi" w:eastAsiaTheme="minorEastAsia" w:hAnsiTheme="majorHAnsi" w:cstheme="majorHAnsi"/>
          <w:b w:val="0"/>
          <w:bCs w:val="0"/>
          <w:sz w:val="24"/>
          <w:szCs w:val="24"/>
        </w:rPr>
        <w:t>ă</w:t>
      </w:r>
      <w:r w:rsidRPr="008376FC">
        <w:rPr>
          <w:rFonts w:asciiTheme="majorHAnsi" w:eastAsiaTheme="minorEastAsia" w:hAnsiTheme="majorHAnsi" w:cstheme="majorHAnsi"/>
          <w:b w:val="0"/>
          <w:bCs w:val="0"/>
          <w:sz w:val="24"/>
          <w:szCs w:val="24"/>
        </w:rPr>
        <w:t xml:space="preserve">uzia – 1 PI.  </w:t>
      </w:r>
    </w:p>
    <w:p w:rsidR="00E4274A" w:rsidRPr="008376FC" w:rsidRDefault="00E4274A" w:rsidP="00F61756">
      <w:pPr>
        <w:tabs>
          <w:tab w:val="left" w:pos="426"/>
        </w:tabs>
        <w:spacing w:after="0" w:line="276" w:lineRule="auto"/>
        <w:jc w:val="both"/>
        <w:rPr>
          <w:rFonts w:asciiTheme="majorHAnsi" w:eastAsiaTheme="minorEastAsia" w:hAnsiTheme="majorHAnsi" w:cstheme="majorHAnsi"/>
          <w:b w:val="0"/>
          <w:bCs w:val="0"/>
          <w:sz w:val="24"/>
          <w:szCs w:val="24"/>
        </w:rPr>
      </w:pPr>
    </w:p>
    <w:tbl>
      <w:tblPr>
        <w:tblStyle w:val="TableGrid10"/>
        <w:tblW w:w="0" w:type="auto"/>
        <w:tblLook w:val="04A0" w:firstRow="1" w:lastRow="0" w:firstColumn="1" w:lastColumn="0" w:noHBand="0" w:noVBand="1"/>
      </w:tblPr>
      <w:tblGrid>
        <w:gridCol w:w="4839"/>
        <w:gridCol w:w="4839"/>
      </w:tblGrid>
      <w:tr w:rsidR="008822E9" w:rsidRPr="008376FC" w:rsidTr="006A31EF">
        <w:tc>
          <w:tcPr>
            <w:tcW w:w="4673" w:type="dxa"/>
          </w:tcPr>
          <w:p w:rsidR="008822E9" w:rsidRPr="008376FC" w:rsidRDefault="008822E9" w:rsidP="00F61756">
            <w:pPr>
              <w:tabs>
                <w:tab w:val="left" w:pos="426"/>
              </w:tabs>
              <w:spacing w:line="276" w:lineRule="auto"/>
              <w:jc w:val="right"/>
              <w:rPr>
                <w:rFonts w:asciiTheme="majorHAnsi" w:eastAsiaTheme="minorEastAsia" w:hAnsiTheme="majorHAnsi" w:cstheme="majorHAnsi"/>
                <w:noProof/>
                <w:sz w:val="20"/>
                <w:szCs w:val="20"/>
                <w:lang w:eastAsia="ru-RU"/>
              </w:rPr>
            </w:pPr>
            <w:r w:rsidRPr="008376FC">
              <w:rPr>
                <w:rFonts w:asciiTheme="majorHAnsi" w:eastAsiaTheme="minorEastAsia" w:hAnsiTheme="majorHAnsi" w:cstheme="majorHAnsi"/>
                <w:noProof/>
                <w:sz w:val="20"/>
                <w:szCs w:val="20"/>
                <w:lang w:eastAsia="ru-RU"/>
              </w:rPr>
              <w:t>Figura nr.</w:t>
            </w:r>
            <w:r w:rsidR="00E21298" w:rsidRPr="008376FC">
              <w:rPr>
                <w:rFonts w:asciiTheme="majorHAnsi" w:eastAsiaTheme="minorEastAsia" w:hAnsiTheme="majorHAnsi" w:cstheme="majorHAnsi"/>
                <w:noProof/>
                <w:sz w:val="20"/>
                <w:szCs w:val="20"/>
                <w:lang w:eastAsia="ru-RU"/>
              </w:rPr>
              <w:t>6</w:t>
            </w:r>
          </w:p>
        </w:tc>
        <w:tc>
          <w:tcPr>
            <w:tcW w:w="4674" w:type="dxa"/>
          </w:tcPr>
          <w:p w:rsidR="008822E9" w:rsidRPr="008376FC" w:rsidRDefault="008822E9" w:rsidP="00F61756">
            <w:pPr>
              <w:tabs>
                <w:tab w:val="left" w:pos="426"/>
              </w:tabs>
              <w:spacing w:line="276" w:lineRule="auto"/>
              <w:jc w:val="right"/>
              <w:rPr>
                <w:rFonts w:asciiTheme="majorHAnsi" w:eastAsiaTheme="minorEastAsia" w:hAnsiTheme="majorHAnsi" w:cstheme="majorHAnsi"/>
                <w:noProof/>
                <w:sz w:val="20"/>
                <w:szCs w:val="20"/>
                <w:lang w:eastAsia="ru-RU"/>
              </w:rPr>
            </w:pPr>
            <w:r w:rsidRPr="008376FC">
              <w:rPr>
                <w:rFonts w:asciiTheme="majorHAnsi" w:eastAsiaTheme="minorEastAsia" w:hAnsiTheme="majorHAnsi" w:cstheme="majorHAnsi"/>
                <w:noProof/>
                <w:sz w:val="20"/>
                <w:szCs w:val="20"/>
                <w:lang w:eastAsia="ru-RU"/>
              </w:rPr>
              <w:t>Figura nr.</w:t>
            </w:r>
            <w:r w:rsidR="00E21298" w:rsidRPr="008376FC">
              <w:rPr>
                <w:rFonts w:asciiTheme="majorHAnsi" w:eastAsiaTheme="minorEastAsia" w:hAnsiTheme="majorHAnsi" w:cstheme="majorHAnsi"/>
                <w:noProof/>
                <w:sz w:val="20"/>
                <w:szCs w:val="20"/>
                <w:lang w:eastAsia="ru-RU"/>
              </w:rPr>
              <w:t>7</w:t>
            </w:r>
          </w:p>
        </w:tc>
      </w:tr>
      <w:tr w:rsidR="00756AE7" w:rsidRPr="008376FC" w:rsidTr="006A31EF">
        <w:tc>
          <w:tcPr>
            <w:tcW w:w="4673" w:type="dxa"/>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noProof/>
                <w:sz w:val="20"/>
                <w:szCs w:val="20"/>
                <w:lang w:val="ru-RU" w:eastAsia="ru-RU"/>
              </w:rPr>
              <w:drawing>
                <wp:inline distT="0" distB="0" distL="0" distR="0">
                  <wp:extent cx="3018155" cy="1981200"/>
                  <wp:effectExtent l="0" t="0" r="10795" b="0"/>
                  <wp:docPr id="68"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4674" w:type="dxa"/>
          </w:tcPr>
          <w:p w:rsidR="00756AE7" w:rsidRPr="008376FC" w:rsidRDefault="00756AE7" w:rsidP="00F61756">
            <w:pPr>
              <w:tabs>
                <w:tab w:val="left" w:pos="426"/>
              </w:tabs>
              <w:spacing w:line="276" w:lineRule="auto"/>
              <w:jc w:val="both"/>
              <w:rPr>
                <w:rFonts w:asciiTheme="majorHAnsi" w:eastAsiaTheme="minorEastAsia" w:hAnsiTheme="majorHAnsi" w:cstheme="majorHAnsi"/>
                <w:sz w:val="20"/>
                <w:szCs w:val="20"/>
              </w:rPr>
            </w:pPr>
            <w:r w:rsidRPr="008376FC">
              <w:rPr>
                <w:rFonts w:asciiTheme="majorHAnsi" w:eastAsiaTheme="minorEastAsia" w:hAnsiTheme="majorHAnsi" w:cstheme="majorHAnsi"/>
                <w:noProof/>
                <w:sz w:val="20"/>
                <w:szCs w:val="20"/>
                <w:lang w:val="ru-RU" w:eastAsia="ru-RU"/>
              </w:rPr>
              <w:drawing>
                <wp:inline distT="0" distB="0" distL="0" distR="0">
                  <wp:extent cx="3018692" cy="1981200"/>
                  <wp:effectExtent l="0" t="0" r="10795" b="0"/>
                  <wp:docPr id="69" name="Chart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rsidR="00756AE7" w:rsidRPr="00BF7900" w:rsidRDefault="00756AE7" w:rsidP="00F61756">
      <w:pPr>
        <w:tabs>
          <w:tab w:val="left" w:pos="426"/>
        </w:tabs>
        <w:spacing w:after="0" w:line="276" w:lineRule="auto"/>
        <w:ind w:firstLine="567"/>
        <w:jc w:val="both"/>
        <w:rPr>
          <w:rFonts w:asciiTheme="majorHAnsi" w:eastAsiaTheme="minorEastAsia" w:hAnsiTheme="majorHAnsi" w:cstheme="majorHAnsi"/>
          <w:b w:val="0"/>
          <w:bCs w:val="0"/>
          <w:i/>
          <w:sz w:val="20"/>
          <w:szCs w:val="20"/>
        </w:rPr>
      </w:pPr>
      <w:r w:rsidRPr="00BF7900">
        <w:rPr>
          <w:rFonts w:asciiTheme="majorHAnsi" w:eastAsiaTheme="minorEastAsia" w:hAnsiTheme="majorHAnsi" w:cstheme="majorHAnsi"/>
          <w:bCs w:val="0"/>
          <w:i/>
          <w:sz w:val="20"/>
          <w:szCs w:val="20"/>
        </w:rPr>
        <w:t>Sursa:</w:t>
      </w:r>
      <w:r w:rsidRPr="00BF7900">
        <w:rPr>
          <w:rFonts w:asciiTheme="majorHAnsi" w:eastAsiaTheme="minorEastAsia" w:hAnsiTheme="majorHAnsi" w:cstheme="majorHAnsi"/>
          <w:b w:val="0"/>
          <w:bCs w:val="0"/>
          <w:i/>
          <w:sz w:val="20"/>
          <w:szCs w:val="20"/>
        </w:rPr>
        <w:t xml:space="preserve"> Date</w:t>
      </w:r>
      <w:r w:rsidR="0043255C">
        <w:rPr>
          <w:rFonts w:asciiTheme="majorHAnsi" w:eastAsiaTheme="minorEastAsia" w:hAnsiTheme="majorHAnsi" w:cstheme="majorHAnsi"/>
          <w:b w:val="0"/>
          <w:bCs w:val="0"/>
          <w:i/>
          <w:sz w:val="20"/>
          <w:szCs w:val="20"/>
        </w:rPr>
        <w:t xml:space="preserve"> oferite de</w:t>
      </w:r>
      <w:r w:rsidRPr="00BF7900">
        <w:rPr>
          <w:rFonts w:asciiTheme="majorHAnsi" w:eastAsiaTheme="minorEastAsia" w:hAnsiTheme="majorHAnsi" w:cstheme="majorHAnsi"/>
          <w:b w:val="0"/>
          <w:bCs w:val="0"/>
          <w:i/>
          <w:sz w:val="20"/>
          <w:szCs w:val="20"/>
        </w:rPr>
        <w:t xml:space="preserve"> </w:t>
      </w:r>
      <w:r w:rsidR="00D8437C" w:rsidRPr="00BF7900">
        <w:rPr>
          <w:rFonts w:asciiTheme="majorHAnsi" w:eastAsiaTheme="minorEastAsia" w:hAnsiTheme="majorHAnsi" w:cstheme="majorHAnsi"/>
          <w:b w:val="0"/>
          <w:bCs w:val="0"/>
          <w:i/>
          <w:sz w:val="20"/>
          <w:szCs w:val="20"/>
        </w:rPr>
        <w:t>ADR şi MIDR</w:t>
      </w:r>
      <w:r w:rsidRPr="00BF7900">
        <w:rPr>
          <w:rFonts w:asciiTheme="majorHAnsi" w:eastAsiaTheme="minorEastAsia" w:hAnsiTheme="majorHAnsi" w:cstheme="majorHAnsi"/>
          <w:b w:val="0"/>
          <w:bCs w:val="0"/>
          <w:i/>
          <w:sz w:val="20"/>
          <w:szCs w:val="20"/>
        </w:rPr>
        <w:t>.</w:t>
      </w:r>
    </w:p>
    <w:p w:rsidR="00756AE7" w:rsidRPr="008376FC" w:rsidRDefault="00756AE7" w:rsidP="00F61756">
      <w:pPr>
        <w:tabs>
          <w:tab w:val="left" w:pos="426"/>
        </w:tabs>
        <w:spacing w:after="0" w:line="276" w:lineRule="auto"/>
        <w:ind w:firstLine="567"/>
        <w:jc w:val="both"/>
        <w:rPr>
          <w:rFonts w:asciiTheme="majorHAnsi" w:eastAsiaTheme="minorEastAsia" w:hAnsiTheme="majorHAnsi" w:cstheme="majorHAnsi"/>
          <w:b w:val="0"/>
          <w:bCs w:val="0"/>
          <w:sz w:val="24"/>
          <w:szCs w:val="24"/>
        </w:rPr>
      </w:pPr>
    </w:p>
    <w:p w:rsidR="00756AE7" w:rsidRDefault="00756AE7" w:rsidP="00F61756">
      <w:pPr>
        <w:tabs>
          <w:tab w:val="left" w:pos="426"/>
        </w:tabs>
        <w:spacing w:after="0" w:line="276" w:lineRule="auto"/>
        <w:jc w:val="both"/>
        <w:rPr>
          <w:rFonts w:asciiTheme="majorHAnsi" w:eastAsiaTheme="minorEastAsia" w:hAnsiTheme="majorHAnsi" w:cstheme="majorHAnsi"/>
          <w:b w:val="0"/>
          <w:bCs w:val="0"/>
          <w:sz w:val="24"/>
          <w:szCs w:val="24"/>
        </w:rPr>
      </w:pPr>
      <w:r w:rsidRPr="008376FC">
        <w:rPr>
          <w:rFonts w:asciiTheme="majorHAnsi" w:eastAsiaTheme="minorEastAsia" w:hAnsiTheme="majorHAnsi" w:cstheme="majorHAnsi"/>
          <w:b w:val="0"/>
          <w:bCs w:val="0"/>
          <w:sz w:val="24"/>
          <w:szCs w:val="24"/>
        </w:rPr>
        <w:t>Datele din figuri denotă că, de cele mai semnificative alocații a beneficiat zona de Nord (224,2 mil.lei),  urmată de  zona de Sud  (169,0 mil.lei) și de zona Centru (153,6 mil.lei), iar la ADR UAT G</w:t>
      </w:r>
      <w:r w:rsidR="0043255C">
        <w:rPr>
          <w:rFonts w:asciiTheme="majorHAnsi" w:eastAsiaTheme="minorEastAsia" w:hAnsiTheme="majorHAnsi" w:cstheme="majorHAnsi"/>
          <w:b w:val="0"/>
          <w:bCs w:val="0"/>
          <w:sz w:val="24"/>
          <w:szCs w:val="24"/>
        </w:rPr>
        <w:t>ă</w:t>
      </w:r>
      <w:r w:rsidRPr="008376FC">
        <w:rPr>
          <w:rFonts w:asciiTheme="majorHAnsi" w:eastAsiaTheme="minorEastAsia" w:hAnsiTheme="majorHAnsi" w:cstheme="majorHAnsi"/>
          <w:b w:val="0"/>
          <w:bCs w:val="0"/>
          <w:sz w:val="24"/>
          <w:szCs w:val="24"/>
        </w:rPr>
        <w:t>g</w:t>
      </w:r>
      <w:r w:rsidR="0043255C">
        <w:rPr>
          <w:rFonts w:asciiTheme="majorHAnsi" w:eastAsiaTheme="minorEastAsia" w:hAnsiTheme="majorHAnsi" w:cstheme="majorHAnsi"/>
          <w:b w:val="0"/>
          <w:bCs w:val="0"/>
          <w:sz w:val="24"/>
          <w:szCs w:val="24"/>
        </w:rPr>
        <w:t>ă</w:t>
      </w:r>
      <w:r w:rsidRPr="008376FC">
        <w:rPr>
          <w:rFonts w:asciiTheme="majorHAnsi" w:eastAsiaTheme="minorEastAsia" w:hAnsiTheme="majorHAnsi" w:cstheme="majorHAnsi"/>
          <w:b w:val="0"/>
          <w:bCs w:val="0"/>
          <w:sz w:val="24"/>
          <w:szCs w:val="24"/>
        </w:rPr>
        <w:t>uzia, deși a fost inclus un PI, acesta nu a fost inițiat.</w:t>
      </w:r>
    </w:p>
    <w:p w:rsidR="00376C62" w:rsidRPr="008376FC" w:rsidRDefault="00376C62" w:rsidP="00F61756">
      <w:pPr>
        <w:tabs>
          <w:tab w:val="left" w:pos="426"/>
        </w:tabs>
        <w:spacing w:after="0" w:line="276" w:lineRule="auto"/>
        <w:jc w:val="both"/>
        <w:rPr>
          <w:rFonts w:asciiTheme="majorHAnsi" w:eastAsiaTheme="minorEastAsia" w:hAnsiTheme="majorHAnsi" w:cstheme="majorHAnsi"/>
          <w:b w:val="0"/>
          <w:bCs w:val="0"/>
          <w:sz w:val="24"/>
          <w:szCs w:val="24"/>
        </w:rPr>
      </w:pPr>
    </w:p>
    <w:p w:rsidR="00756AE7" w:rsidRPr="008376FC" w:rsidRDefault="00756AE7" w:rsidP="00F61756">
      <w:pPr>
        <w:tabs>
          <w:tab w:val="left" w:pos="426"/>
        </w:tabs>
        <w:spacing w:after="0" w:line="276" w:lineRule="auto"/>
        <w:jc w:val="both"/>
        <w:rPr>
          <w:rFonts w:asciiTheme="majorHAnsi" w:eastAsiaTheme="minorEastAsia" w:hAnsiTheme="majorHAnsi" w:cstheme="majorHAnsi"/>
          <w:b w:val="0"/>
          <w:bCs w:val="0"/>
          <w:sz w:val="24"/>
          <w:szCs w:val="24"/>
        </w:rPr>
      </w:pPr>
      <w:r w:rsidRPr="008376FC">
        <w:rPr>
          <w:rFonts w:asciiTheme="majorHAnsi" w:eastAsiaTheme="minorEastAsia" w:hAnsiTheme="majorHAnsi" w:cstheme="majorHAnsi"/>
          <w:b w:val="0"/>
          <w:sz w:val="24"/>
          <w:szCs w:val="24"/>
        </w:rPr>
        <w:t xml:space="preserve">Chiar și cu aprobarea noii Strategii de dezvoltare regională </w:t>
      </w:r>
      <w:r w:rsidR="0043255C">
        <w:rPr>
          <w:rFonts w:asciiTheme="majorHAnsi" w:eastAsiaTheme="minorEastAsia" w:hAnsiTheme="majorHAnsi" w:cstheme="majorHAnsi"/>
          <w:b w:val="0"/>
          <w:sz w:val="24"/>
          <w:szCs w:val="24"/>
        </w:rPr>
        <w:t xml:space="preserve">și </w:t>
      </w:r>
      <w:r w:rsidRPr="008376FC">
        <w:rPr>
          <w:rFonts w:asciiTheme="majorHAnsi" w:eastAsiaTheme="minorEastAsia" w:hAnsiTheme="majorHAnsi" w:cstheme="majorHAnsi"/>
          <w:b w:val="0"/>
          <w:sz w:val="24"/>
          <w:szCs w:val="24"/>
        </w:rPr>
        <w:t>cu aplicarea noii paradigme de alocare a resurselor, de selectare a PI etc</w:t>
      </w:r>
      <w:r w:rsidR="0043255C">
        <w:rPr>
          <w:rFonts w:asciiTheme="majorHAnsi" w:eastAsiaTheme="minorEastAsia" w:hAnsiTheme="majorHAnsi" w:cstheme="majorHAnsi"/>
          <w:b w:val="0"/>
          <w:sz w:val="24"/>
          <w:szCs w:val="24"/>
        </w:rPr>
        <w:t>.</w:t>
      </w:r>
      <w:r w:rsidRPr="008376FC">
        <w:rPr>
          <w:rFonts w:asciiTheme="majorHAnsi" w:eastAsiaTheme="minorEastAsia" w:hAnsiTheme="majorHAnsi" w:cstheme="majorHAnsi"/>
          <w:b w:val="0"/>
          <w:sz w:val="24"/>
          <w:szCs w:val="24"/>
        </w:rPr>
        <w:t xml:space="preserve">, </w:t>
      </w:r>
      <w:r w:rsidRPr="008376FC">
        <w:rPr>
          <w:rFonts w:asciiTheme="majorHAnsi" w:eastAsiaTheme="minorEastAsia" w:hAnsiTheme="majorHAnsi" w:cstheme="majorHAnsi"/>
          <w:b w:val="0"/>
          <w:bCs w:val="0"/>
          <w:sz w:val="24"/>
          <w:szCs w:val="24"/>
        </w:rPr>
        <w:t xml:space="preserve">acoperirea proiectelor cu resurse financiare sigure rămâne o mare problemă. Planificarea DUP, deși este corelată cu resursele prevăzute în CBTM, </w:t>
      </w:r>
      <w:r w:rsidR="0043255C">
        <w:rPr>
          <w:rFonts w:asciiTheme="majorHAnsi" w:eastAsiaTheme="minorEastAsia" w:hAnsiTheme="majorHAnsi" w:cstheme="majorHAnsi"/>
          <w:b w:val="0"/>
          <w:bCs w:val="0"/>
          <w:sz w:val="24"/>
          <w:szCs w:val="24"/>
        </w:rPr>
        <w:t>este</w:t>
      </w:r>
      <w:r w:rsidRPr="008376FC">
        <w:rPr>
          <w:rFonts w:asciiTheme="majorHAnsi" w:eastAsiaTheme="minorEastAsia" w:hAnsiTheme="majorHAnsi" w:cstheme="majorHAnsi"/>
          <w:b w:val="0"/>
          <w:bCs w:val="0"/>
          <w:sz w:val="24"/>
          <w:szCs w:val="24"/>
        </w:rPr>
        <w:t xml:space="preserve"> insuficient</w:t>
      </w:r>
      <w:r w:rsidR="0043255C">
        <w:rPr>
          <w:rFonts w:asciiTheme="majorHAnsi" w:eastAsiaTheme="minorEastAsia" w:hAnsiTheme="majorHAnsi" w:cstheme="majorHAnsi"/>
          <w:b w:val="0"/>
          <w:bCs w:val="0"/>
          <w:sz w:val="24"/>
          <w:szCs w:val="24"/>
        </w:rPr>
        <w:t>ă</w:t>
      </w:r>
      <w:r w:rsidRPr="008376FC">
        <w:rPr>
          <w:rFonts w:asciiTheme="majorHAnsi" w:eastAsiaTheme="minorEastAsia" w:hAnsiTheme="majorHAnsi" w:cstheme="majorHAnsi"/>
          <w:b w:val="0"/>
          <w:bCs w:val="0"/>
          <w:sz w:val="24"/>
          <w:szCs w:val="24"/>
        </w:rPr>
        <w:t xml:space="preserve"> pentru realizarea integrală a PI incluse în DUP 2022-2024. </w:t>
      </w:r>
      <w:r w:rsidR="0043255C">
        <w:rPr>
          <w:rFonts w:asciiTheme="majorHAnsi" w:eastAsiaTheme="minorEastAsia" w:hAnsiTheme="majorHAnsi" w:cstheme="majorHAnsi"/>
          <w:b w:val="0"/>
          <w:bCs w:val="0"/>
          <w:sz w:val="24"/>
          <w:szCs w:val="24"/>
        </w:rPr>
        <w:t>În acest scop</w:t>
      </w:r>
      <w:r w:rsidRPr="008376FC">
        <w:rPr>
          <w:rFonts w:asciiTheme="majorHAnsi" w:eastAsiaTheme="minorEastAsia" w:hAnsiTheme="majorHAnsi" w:cstheme="majorHAnsi"/>
          <w:b w:val="0"/>
          <w:bCs w:val="0"/>
          <w:sz w:val="24"/>
          <w:szCs w:val="24"/>
        </w:rPr>
        <w:t xml:space="preserve"> urmează a fi consolidate eforturile și capacitățile de atragere a surselor externe.  </w:t>
      </w:r>
    </w:p>
    <w:p w:rsidR="00756AE7" w:rsidRPr="008376FC" w:rsidRDefault="00756AE7" w:rsidP="00F61756">
      <w:pPr>
        <w:tabs>
          <w:tab w:val="left" w:pos="426"/>
        </w:tabs>
        <w:spacing w:after="0" w:line="276" w:lineRule="auto"/>
        <w:ind w:firstLine="567"/>
        <w:jc w:val="both"/>
        <w:rPr>
          <w:rFonts w:asciiTheme="majorHAnsi" w:eastAsiaTheme="minorEastAsia" w:hAnsiTheme="majorHAnsi" w:cstheme="majorHAnsi"/>
          <w:b w:val="0"/>
          <w:bCs w:val="0"/>
          <w:sz w:val="24"/>
          <w:szCs w:val="24"/>
        </w:rPr>
      </w:pPr>
    </w:p>
    <w:p w:rsidR="00756AE7" w:rsidRPr="008376FC" w:rsidRDefault="00756AE7" w:rsidP="00376C62">
      <w:pPr>
        <w:pStyle w:val="a3"/>
        <w:numPr>
          <w:ilvl w:val="2"/>
          <w:numId w:val="38"/>
        </w:numPr>
        <w:tabs>
          <w:tab w:val="left" w:pos="426"/>
        </w:tabs>
        <w:spacing w:line="276" w:lineRule="auto"/>
        <w:ind w:left="0" w:firstLine="0"/>
        <w:jc w:val="both"/>
        <w:rPr>
          <w:rFonts w:asciiTheme="majorHAnsi" w:eastAsiaTheme="minorEastAsia" w:hAnsiTheme="majorHAnsi" w:cstheme="majorHAnsi"/>
          <w:b/>
          <w:color w:val="0070C0"/>
          <w:lang w:val="en-US"/>
        </w:rPr>
      </w:pPr>
      <w:r w:rsidRPr="008376FC">
        <w:rPr>
          <w:rFonts w:asciiTheme="majorHAnsi" w:eastAsiaTheme="minorEastAsia" w:hAnsiTheme="majorHAnsi" w:cstheme="majorHAnsi"/>
          <w:b/>
          <w:color w:val="0070C0"/>
          <w:lang w:val="en-US"/>
        </w:rPr>
        <w:t>Ponderea PI aferent</w:t>
      </w:r>
      <w:r w:rsidR="0043255C">
        <w:rPr>
          <w:rFonts w:asciiTheme="majorHAnsi" w:eastAsiaTheme="minorEastAsia" w:hAnsiTheme="majorHAnsi" w:cstheme="majorHAnsi"/>
          <w:b/>
          <w:color w:val="0070C0"/>
          <w:lang w:val="en-US"/>
        </w:rPr>
        <w:t>ă</w:t>
      </w:r>
      <w:r w:rsidRPr="008376FC">
        <w:rPr>
          <w:rFonts w:asciiTheme="majorHAnsi" w:eastAsiaTheme="minorEastAsia" w:hAnsiTheme="majorHAnsi" w:cstheme="majorHAnsi"/>
          <w:b/>
          <w:color w:val="0070C0"/>
          <w:lang w:val="en-US"/>
        </w:rPr>
        <w:t xml:space="preserve"> alimentării cu apă și sanitație</w:t>
      </w:r>
      <w:r w:rsidR="00282BE7">
        <w:rPr>
          <w:rFonts w:asciiTheme="majorHAnsi" w:eastAsiaTheme="minorEastAsia" w:hAnsiTheme="majorHAnsi" w:cstheme="majorHAnsi"/>
          <w:b/>
          <w:color w:val="0070C0"/>
          <w:lang w:val="en-US"/>
        </w:rPr>
        <w:t>i</w:t>
      </w:r>
      <w:r w:rsidRPr="008376FC">
        <w:rPr>
          <w:rFonts w:asciiTheme="majorHAnsi" w:eastAsiaTheme="minorEastAsia" w:hAnsiTheme="majorHAnsi" w:cstheme="majorHAnsi"/>
          <w:b/>
          <w:color w:val="0070C0"/>
          <w:lang w:val="en-US"/>
        </w:rPr>
        <w:t xml:space="preserve"> în totalul PI realizate în cadrul DUP este în creștere</w:t>
      </w:r>
      <w:r w:rsidR="0043255C">
        <w:rPr>
          <w:rFonts w:asciiTheme="majorHAnsi" w:eastAsiaTheme="minorEastAsia" w:hAnsiTheme="majorHAnsi" w:cstheme="majorHAnsi"/>
          <w:b/>
          <w:color w:val="0070C0"/>
          <w:lang w:val="en-US"/>
        </w:rPr>
        <w:t>.</w:t>
      </w:r>
    </w:p>
    <w:p w:rsidR="00756AE7" w:rsidRPr="008376FC" w:rsidRDefault="00756AE7" w:rsidP="00376C62">
      <w:pPr>
        <w:tabs>
          <w:tab w:val="left" w:pos="426"/>
        </w:tabs>
        <w:spacing w:after="0" w:line="276" w:lineRule="auto"/>
        <w:ind w:firstLine="567"/>
        <w:jc w:val="both"/>
        <w:rPr>
          <w:rFonts w:asciiTheme="majorHAnsi" w:eastAsiaTheme="minorEastAsia" w:hAnsiTheme="majorHAnsi" w:cstheme="majorHAnsi"/>
          <w:b w:val="0"/>
          <w:bCs w:val="0"/>
          <w:sz w:val="24"/>
          <w:szCs w:val="24"/>
        </w:rPr>
      </w:pPr>
    </w:p>
    <w:p w:rsidR="00036EAE" w:rsidRDefault="00756AE7" w:rsidP="00376C62">
      <w:pPr>
        <w:tabs>
          <w:tab w:val="left" w:pos="426"/>
        </w:tabs>
        <w:spacing w:after="0" w:line="276" w:lineRule="auto"/>
        <w:jc w:val="both"/>
        <w:rPr>
          <w:rFonts w:asciiTheme="majorHAnsi" w:eastAsiaTheme="minorEastAsia" w:hAnsiTheme="majorHAnsi" w:cstheme="majorHAnsi"/>
          <w:bCs w:val="0"/>
          <w:sz w:val="20"/>
          <w:szCs w:val="20"/>
        </w:rPr>
      </w:pPr>
      <w:r w:rsidRPr="008376FC">
        <w:rPr>
          <w:rFonts w:asciiTheme="majorHAnsi" w:eastAsiaTheme="minorEastAsia" w:hAnsiTheme="majorHAnsi" w:cstheme="majorHAnsi"/>
          <w:b w:val="0"/>
          <w:bCs w:val="0"/>
          <w:sz w:val="24"/>
          <w:szCs w:val="24"/>
        </w:rPr>
        <w:t xml:space="preserve">Analiza ponderii PI </w:t>
      </w:r>
      <w:r w:rsidR="00282BE7">
        <w:rPr>
          <w:rFonts w:asciiTheme="majorHAnsi" w:eastAsiaTheme="minorEastAsia" w:hAnsiTheme="majorHAnsi" w:cstheme="majorHAnsi"/>
          <w:b w:val="0"/>
          <w:bCs w:val="0"/>
          <w:sz w:val="24"/>
          <w:szCs w:val="24"/>
        </w:rPr>
        <w:t>incluse</w:t>
      </w:r>
      <w:r w:rsidRPr="008376FC">
        <w:rPr>
          <w:rFonts w:asciiTheme="majorHAnsi" w:eastAsiaTheme="minorEastAsia" w:hAnsiTheme="majorHAnsi" w:cstheme="majorHAnsi"/>
          <w:b w:val="0"/>
          <w:bCs w:val="0"/>
          <w:sz w:val="24"/>
          <w:szCs w:val="24"/>
        </w:rPr>
        <w:t xml:space="preserve"> în DUP </w:t>
      </w:r>
      <w:r w:rsidR="00282BE7">
        <w:rPr>
          <w:rFonts w:asciiTheme="majorHAnsi" w:eastAsiaTheme="minorEastAsia" w:hAnsiTheme="majorHAnsi" w:cstheme="majorHAnsi"/>
          <w:b w:val="0"/>
          <w:bCs w:val="0"/>
          <w:sz w:val="24"/>
          <w:szCs w:val="24"/>
        </w:rPr>
        <w:t>pe</w:t>
      </w:r>
      <w:r w:rsidRPr="008376FC">
        <w:rPr>
          <w:rFonts w:asciiTheme="majorHAnsi" w:eastAsiaTheme="minorEastAsia" w:hAnsiTheme="majorHAnsi" w:cstheme="majorHAnsi"/>
          <w:b w:val="0"/>
          <w:bCs w:val="0"/>
          <w:sz w:val="24"/>
          <w:szCs w:val="24"/>
        </w:rPr>
        <w:t xml:space="preserve"> ani</w:t>
      </w:r>
      <w:r w:rsidR="00282BE7">
        <w:rPr>
          <w:rFonts w:asciiTheme="majorHAnsi" w:eastAsiaTheme="minorEastAsia" w:hAnsiTheme="majorHAnsi" w:cstheme="majorHAnsi"/>
          <w:b w:val="0"/>
          <w:bCs w:val="0"/>
          <w:sz w:val="24"/>
          <w:szCs w:val="24"/>
        </w:rPr>
        <w:t>i</w:t>
      </w:r>
      <w:r w:rsidRPr="008376FC">
        <w:rPr>
          <w:rFonts w:asciiTheme="majorHAnsi" w:eastAsiaTheme="minorEastAsia" w:hAnsiTheme="majorHAnsi" w:cstheme="majorHAnsi"/>
          <w:b w:val="0"/>
          <w:bCs w:val="0"/>
          <w:sz w:val="24"/>
          <w:szCs w:val="24"/>
        </w:rPr>
        <w:t xml:space="preserve"> 2010-2024, realizate prin intermediul FNDR</w:t>
      </w:r>
      <w:r w:rsidR="00282BE7">
        <w:rPr>
          <w:rFonts w:asciiTheme="majorHAnsi" w:eastAsiaTheme="minorEastAsia" w:hAnsiTheme="majorHAnsi" w:cstheme="majorHAnsi"/>
          <w:b w:val="0"/>
          <w:bCs w:val="0"/>
          <w:sz w:val="24"/>
          <w:szCs w:val="24"/>
        </w:rPr>
        <w:t>,</w:t>
      </w:r>
      <w:r w:rsidRPr="008376FC">
        <w:rPr>
          <w:rFonts w:asciiTheme="majorHAnsi" w:eastAsiaTheme="minorEastAsia" w:hAnsiTheme="majorHAnsi" w:cstheme="majorHAnsi"/>
          <w:b w:val="0"/>
          <w:bCs w:val="0"/>
          <w:sz w:val="24"/>
          <w:szCs w:val="24"/>
        </w:rPr>
        <w:t xml:space="preserve"> a crescut de la 21,4% în cadrul DUP 2010-2012 până la 56,5% în cadrul DUP 2022-2024, iar numărul acestora a înregistrat o creștere de la 12 PI în DUP 2010-2012 până la 26 de PI în cadrul DUP 2022-2024. </w:t>
      </w:r>
    </w:p>
    <w:p w:rsidR="00756AE7" w:rsidRPr="008376FC" w:rsidRDefault="00756AE7" w:rsidP="00F61756">
      <w:pPr>
        <w:tabs>
          <w:tab w:val="left" w:pos="426"/>
        </w:tabs>
        <w:spacing w:after="0" w:line="276" w:lineRule="auto"/>
        <w:ind w:firstLine="567"/>
        <w:jc w:val="right"/>
        <w:rPr>
          <w:rFonts w:asciiTheme="majorHAnsi" w:eastAsiaTheme="minorEastAsia" w:hAnsiTheme="majorHAnsi" w:cstheme="majorHAnsi"/>
          <w:bCs w:val="0"/>
          <w:sz w:val="20"/>
          <w:szCs w:val="20"/>
        </w:rPr>
      </w:pPr>
      <w:r w:rsidRPr="008376FC">
        <w:rPr>
          <w:rFonts w:asciiTheme="majorHAnsi" w:eastAsiaTheme="minorEastAsia" w:hAnsiTheme="majorHAnsi" w:cstheme="majorHAnsi"/>
          <w:bCs w:val="0"/>
          <w:sz w:val="20"/>
          <w:szCs w:val="20"/>
        </w:rPr>
        <w:t xml:space="preserve">Tabelul nr. </w:t>
      </w:r>
      <w:r w:rsidR="007A5B58" w:rsidRPr="008376FC">
        <w:rPr>
          <w:rFonts w:asciiTheme="majorHAnsi" w:eastAsiaTheme="minorEastAsia" w:hAnsiTheme="majorHAnsi" w:cstheme="majorHAnsi"/>
          <w:bCs w:val="0"/>
          <w:sz w:val="20"/>
          <w:szCs w:val="20"/>
        </w:rPr>
        <w:t>10</w:t>
      </w:r>
    </w:p>
    <w:p w:rsidR="00756AE7" w:rsidRPr="008376FC" w:rsidRDefault="00756AE7" w:rsidP="00F61756">
      <w:pPr>
        <w:spacing w:after="0" w:line="276" w:lineRule="auto"/>
        <w:rPr>
          <w:rFonts w:asciiTheme="majorHAnsi" w:eastAsiaTheme="minorEastAsia" w:hAnsiTheme="majorHAnsi" w:cstheme="majorHAnsi"/>
          <w:sz w:val="20"/>
          <w:szCs w:val="20"/>
          <w:shd w:val="clear" w:color="auto" w:fill="FFFFFF"/>
        </w:rPr>
      </w:pPr>
      <w:r w:rsidRPr="008376FC">
        <w:rPr>
          <w:rFonts w:asciiTheme="majorHAnsi" w:eastAsiaTheme="minorEastAsia" w:hAnsiTheme="majorHAnsi" w:cstheme="majorHAnsi"/>
          <w:sz w:val="20"/>
          <w:szCs w:val="20"/>
          <w:shd w:val="clear" w:color="auto" w:fill="FFFFFF"/>
        </w:rPr>
        <w:t>Numărul de proiecte aferente construcției și dezvoltării sistemelor de alimentare cu apă și sanitație incluse în DUP pe anii 2010-2024</w:t>
      </w:r>
    </w:p>
    <w:tbl>
      <w:tblPr>
        <w:tblStyle w:val="TableGrid10"/>
        <w:tblW w:w="0" w:type="auto"/>
        <w:tblLook w:val="04A0" w:firstRow="1" w:lastRow="0" w:firstColumn="1" w:lastColumn="0" w:noHBand="0" w:noVBand="1"/>
      </w:tblPr>
      <w:tblGrid>
        <w:gridCol w:w="1914"/>
        <w:gridCol w:w="1939"/>
        <w:gridCol w:w="1945"/>
        <w:gridCol w:w="1935"/>
        <w:gridCol w:w="1945"/>
      </w:tblGrid>
      <w:tr w:rsidR="00756AE7" w:rsidRPr="008376FC" w:rsidTr="00036EAE">
        <w:trPr>
          <w:trHeight w:val="276"/>
        </w:trPr>
        <w:tc>
          <w:tcPr>
            <w:tcW w:w="1974" w:type="dxa"/>
            <w:shd w:val="clear" w:color="auto" w:fill="FFFFFF" w:themeFill="background1"/>
            <w:vAlign w:val="center"/>
          </w:tcPr>
          <w:p w:rsidR="00756AE7" w:rsidRPr="008376FC" w:rsidRDefault="00756AE7" w:rsidP="00F61756">
            <w:pPr>
              <w:spacing w:line="276" w:lineRule="auto"/>
              <w:jc w:val="both"/>
              <w:rPr>
                <w:rFonts w:asciiTheme="majorHAnsi" w:eastAsiaTheme="minorEastAsia" w:hAnsiTheme="majorHAnsi" w:cstheme="majorHAnsi"/>
                <w:sz w:val="20"/>
                <w:szCs w:val="20"/>
                <w:shd w:val="clear" w:color="auto" w:fill="FFFFFF"/>
              </w:rPr>
            </w:pPr>
            <w:r w:rsidRPr="008376FC">
              <w:rPr>
                <w:rFonts w:asciiTheme="majorHAnsi" w:eastAsiaTheme="minorEastAsia" w:hAnsiTheme="majorHAnsi" w:cstheme="majorHAnsi"/>
                <w:sz w:val="20"/>
                <w:szCs w:val="20"/>
                <w:shd w:val="clear" w:color="auto" w:fill="FFFFFF"/>
              </w:rPr>
              <w:t>DUP</w:t>
            </w:r>
          </w:p>
        </w:tc>
        <w:tc>
          <w:tcPr>
            <w:tcW w:w="1974" w:type="dxa"/>
            <w:shd w:val="clear" w:color="auto" w:fill="FFFFFF" w:themeFill="background1"/>
            <w:vAlign w:val="center"/>
          </w:tcPr>
          <w:p w:rsidR="00756AE7" w:rsidRPr="008376FC" w:rsidRDefault="00756AE7" w:rsidP="00F61756">
            <w:pPr>
              <w:spacing w:line="276" w:lineRule="auto"/>
              <w:jc w:val="both"/>
              <w:rPr>
                <w:rFonts w:asciiTheme="majorHAnsi" w:eastAsiaTheme="minorEastAsia" w:hAnsiTheme="majorHAnsi" w:cstheme="majorHAnsi"/>
                <w:sz w:val="20"/>
                <w:szCs w:val="20"/>
                <w:shd w:val="clear" w:color="auto" w:fill="FFFFFF"/>
              </w:rPr>
            </w:pPr>
            <w:r w:rsidRPr="008376FC">
              <w:rPr>
                <w:rFonts w:asciiTheme="majorHAnsi" w:eastAsiaTheme="minorEastAsia" w:hAnsiTheme="majorHAnsi" w:cstheme="majorHAnsi"/>
                <w:sz w:val="20"/>
                <w:szCs w:val="20"/>
                <w:shd w:val="clear" w:color="auto" w:fill="FFFFFF"/>
              </w:rPr>
              <w:t>Actul normativ de aprobare</w:t>
            </w:r>
          </w:p>
        </w:tc>
        <w:tc>
          <w:tcPr>
            <w:tcW w:w="1975" w:type="dxa"/>
            <w:shd w:val="clear" w:color="auto" w:fill="FFFFFF" w:themeFill="background1"/>
            <w:vAlign w:val="center"/>
          </w:tcPr>
          <w:p w:rsidR="00756AE7" w:rsidRPr="008376FC" w:rsidRDefault="00756AE7" w:rsidP="00F61756">
            <w:pPr>
              <w:spacing w:line="276" w:lineRule="auto"/>
              <w:jc w:val="both"/>
              <w:rPr>
                <w:rFonts w:asciiTheme="majorHAnsi" w:eastAsiaTheme="minorEastAsia" w:hAnsiTheme="majorHAnsi" w:cstheme="majorHAnsi"/>
                <w:sz w:val="20"/>
                <w:szCs w:val="20"/>
                <w:shd w:val="clear" w:color="auto" w:fill="FFFFFF"/>
              </w:rPr>
            </w:pPr>
            <w:r w:rsidRPr="008376FC">
              <w:rPr>
                <w:rFonts w:asciiTheme="majorHAnsi" w:eastAsiaTheme="minorEastAsia" w:hAnsiTheme="majorHAnsi" w:cstheme="majorHAnsi"/>
                <w:sz w:val="20"/>
                <w:szCs w:val="20"/>
                <w:shd w:val="clear" w:color="auto" w:fill="FFFFFF"/>
              </w:rPr>
              <w:t>Numărul proiectelor de aprovizionare cu apă și sanitație incluse în DUP</w:t>
            </w:r>
          </w:p>
        </w:tc>
        <w:tc>
          <w:tcPr>
            <w:tcW w:w="1975" w:type="dxa"/>
            <w:shd w:val="clear" w:color="auto" w:fill="FFFFFF" w:themeFill="background1"/>
            <w:vAlign w:val="center"/>
          </w:tcPr>
          <w:p w:rsidR="00756AE7" w:rsidRPr="008376FC" w:rsidRDefault="00756AE7" w:rsidP="00F61756">
            <w:pPr>
              <w:spacing w:line="276" w:lineRule="auto"/>
              <w:jc w:val="both"/>
              <w:rPr>
                <w:rFonts w:asciiTheme="majorHAnsi" w:eastAsiaTheme="minorEastAsia" w:hAnsiTheme="majorHAnsi" w:cstheme="majorHAnsi"/>
                <w:sz w:val="20"/>
                <w:szCs w:val="20"/>
                <w:shd w:val="clear" w:color="auto" w:fill="FFFFFF"/>
              </w:rPr>
            </w:pPr>
            <w:r w:rsidRPr="008376FC">
              <w:rPr>
                <w:rFonts w:asciiTheme="majorHAnsi" w:eastAsiaTheme="minorEastAsia" w:hAnsiTheme="majorHAnsi" w:cstheme="majorHAnsi"/>
                <w:sz w:val="20"/>
                <w:szCs w:val="20"/>
                <w:shd w:val="clear" w:color="auto" w:fill="FFFFFF"/>
              </w:rPr>
              <w:t>Numărul total al proiectelor</w:t>
            </w:r>
          </w:p>
        </w:tc>
        <w:tc>
          <w:tcPr>
            <w:tcW w:w="1975" w:type="dxa"/>
            <w:shd w:val="clear" w:color="auto" w:fill="FFFFFF" w:themeFill="background1"/>
            <w:vAlign w:val="center"/>
          </w:tcPr>
          <w:p w:rsidR="00756AE7" w:rsidRPr="008376FC" w:rsidRDefault="00756AE7" w:rsidP="00F61756">
            <w:pPr>
              <w:spacing w:line="276" w:lineRule="auto"/>
              <w:jc w:val="both"/>
              <w:rPr>
                <w:rFonts w:asciiTheme="majorHAnsi" w:eastAsiaTheme="minorEastAsia" w:hAnsiTheme="majorHAnsi" w:cstheme="majorHAnsi"/>
                <w:sz w:val="20"/>
                <w:szCs w:val="20"/>
                <w:shd w:val="clear" w:color="auto" w:fill="FFFFFF"/>
              </w:rPr>
            </w:pPr>
            <w:r w:rsidRPr="008376FC">
              <w:rPr>
                <w:rFonts w:asciiTheme="majorHAnsi" w:eastAsiaTheme="minorEastAsia" w:hAnsiTheme="majorHAnsi" w:cstheme="majorHAnsi"/>
                <w:sz w:val="20"/>
                <w:szCs w:val="20"/>
                <w:shd w:val="clear" w:color="auto" w:fill="FFFFFF"/>
              </w:rPr>
              <w:t>Ponderea proiectelor de aprovizionare cu apă și sanitație în totalul proiectelor aprobate</w:t>
            </w:r>
          </w:p>
        </w:tc>
      </w:tr>
      <w:tr w:rsidR="00756AE7" w:rsidRPr="008376FC" w:rsidTr="00036EAE">
        <w:trPr>
          <w:trHeight w:val="243"/>
        </w:trPr>
        <w:tc>
          <w:tcPr>
            <w:tcW w:w="1974"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DUP 2010-2012</w:t>
            </w:r>
          </w:p>
        </w:tc>
        <w:tc>
          <w:tcPr>
            <w:tcW w:w="1974"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HG</w:t>
            </w:r>
            <w:r w:rsidR="00282BE7">
              <w:rPr>
                <w:rFonts w:asciiTheme="majorHAnsi" w:eastAsiaTheme="minorEastAsia" w:hAnsiTheme="majorHAnsi" w:cstheme="majorHAnsi"/>
                <w:b w:val="0"/>
                <w:sz w:val="20"/>
                <w:szCs w:val="20"/>
                <w:shd w:val="clear" w:color="auto" w:fill="FFFFFF"/>
              </w:rPr>
              <w:t xml:space="preserve"> nr.</w:t>
            </w:r>
            <w:r w:rsidRPr="008376FC">
              <w:rPr>
                <w:rFonts w:asciiTheme="majorHAnsi" w:eastAsiaTheme="minorEastAsia" w:hAnsiTheme="majorHAnsi" w:cstheme="majorHAnsi"/>
                <w:b w:val="0"/>
                <w:sz w:val="20"/>
                <w:szCs w:val="20"/>
                <w:shd w:val="clear" w:color="auto" w:fill="FFFFFF"/>
              </w:rPr>
              <w:t>772/2010</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12</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56</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21,4%</w:t>
            </w:r>
          </w:p>
        </w:tc>
      </w:tr>
      <w:tr w:rsidR="00756AE7" w:rsidRPr="008376FC" w:rsidTr="00036EAE">
        <w:trPr>
          <w:trHeight w:val="243"/>
        </w:trPr>
        <w:tc>
          <w:tcPr>
            <w:tcW w:w="1974"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DUP 2013-2015</w:t>
            </w:r>
          </w:p>
        </w:tc>
        <w:tc>
          <w:tcPr>
            <w:tcW w:w="1974"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HG</w:t>
            </w:r>
            <w:r w:rsidR="00282BE7">
              <w:rPr>
                <w:rFonts w:asciiTheme="majorHAnsi" w:eastAsiaTheme="minorEastAsia" w:hAnsiTheme="majorHAnsi" w:cstheme="majorHAnsi"/>
                <w:b w:val="0"/>
                <w:sz w:val="20"/>
                <w:szCs w:val="20"/>
                <w:shd w:val="clear" w:color="auto" w:fill="FFFFFF"/>
              </w:rPr>
              <w:t xml:space="preserve"> nr.</w:t>
            </w:r>
            <w:r w:rsidRPr="008376FC">
              <w:rPr>
                <w:rFonts w:asciiTheme="majorHAnsi" w:eastAsiaTheme="minorEastAsia" w:hAnsiTheme="majorHAnsi" w:cstheme="majorHAnsi"/>
                <w:b w:val="0"/>
                <w:sz w:val="20"/>
                <w:szCs w:val="20"/>
                <w:shd w:val="clear" w:color="auto" w:fill="FFFFFF"/>
              </w:rPr>
              <w:t>933/2012</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13</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61</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21,3%</w:t>
            </w:r>
          </w:p>
        </w:tc>
      </w:tr>
      <w:tr w:rsidR="00756AE7" w:rsidRPr="008376FC" w:rsidTr="00036EAE">
        <w:trPr>
          <w:trHeight w:val="243"/>
        </w:trPr>
        <w:tc>
          <w:tcPr>
            <w:tcW w:w="1974"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DUP 2017-2020</w:t>
            </w:r>
          </w:p>
        </w:tc>
        <w:tc>
          <w:tcPr>
            <w:tcW w:w="1974"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HG</w:t>
            </w:r>
            <w:r w:rsidR="00282BE7">
              <w:rPr>
                <w:rFonts w:asciiTheme="majorHAnsi" w:eastAsiaTheme="minorEastAsia" w:hAnsiTheme="majorHAnsi" w:cstheme="majorHAnsi"/>
                <w:b w:val="0"/>
                <w:sz w:val="20"/>
                <w:szCs w:val="20"/>
                <w:shd w:val="clear" w:color="auto" w:fill="FFFFFF"/>
              </w:rPr>
              <w:t xml:space="preserve"> nr.</w:t>
            </w:r>
            <w:r w:rsidRPr="008376FC">
              <w:rPr>
                <w:rFonts w:asciiTheme="majorHAnsi" w:eastAsiaTheme="minorEastAsia" w:hAnsiTheme="majorHAnsi" w:cstheme="majorHAnsi"/>
                <w:b w:val="0"/>
                <w:sz w:val="20"/>
                <w:szCs w:val="20"/>
                <w:shd w:val="clear" w:color="auto" w:fill="FFFFFF"/>
              </w:rPr>
              <w:t>203/2017</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19</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62</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30,6%</w:t>
            </w:r>
          </w:p>
        </w:tc>
      </w:tr>
      <w:tr w:rsidR="00756AE7" w:rsidRPr="008376FC" w:rsidTr="00036EAE">
        <w:trPr>
          <w:trHeight w:val="258"/>
        </w:trPr>
        <w:tc>
          <w:tcPr>
            <w:tcW w:w="1974"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DUP 2022-2024</w:t>
            </w:r>
          </w:p>
        </w:tc>
        <w:tc>
          <w:tcPr>
            <w:tcW w:w="1974"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HG</w:t>
            </w:r>
            <w:r w:rsidR="00282BE7">
              <w:rPr>
                <w:rFonts w:asciiTheme="majorHAnsi" w:eastAsiaTheme="minorEastAsia" w:hAnsiTheme="majorHAnsi" w:cstheme="majorHAnsi"/>
                <w:b w:val="0"/>
                <w:sz w:val="20"/>
                <w:szCs w:val="20"/>
                <w:shd w:val="clear" w:color="auto" w:fill="FFFFFF"/>
              </w:rPr>
              <w:t xml:space="preserve"> nr.</w:t>
            </w:r>
            <w:r w:rsidRPr="008376FC">
              <w:rPr>
                <w:rFonts w:asciiTheme="majorHAnsi" w:eastAsiaTheme="minorEastAsia" w:hAnsiTheme="majorHAnsi" w:cstheme="majorHAnsi"/>
                <w:b w:val="0"/>
                <w:sz w:val="20"/>
                <w:szCs w:val="20"/>
                <w:shd w:val="clear" w:color="auto" w:fill="FFFFFF"/>
              </w:rPr>
              <w:t>23/2022</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26</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46</w:t>
            </w:r>
          </w:p>
        </w:tc>
        <w:tc>
          <w:tcPr>
            <w:tcW w:w="1975" w:type="dxa"/>
            <w:vAlign w:val="center"/>
          </w:tcPr>
          <w:p w:rsidR="00756AE7" w:rsidRPr="008376FC" w:rsidRDefault="00756AE7" w:rsidP="00F61756">
            <w:pPr>
              <w:spacing w:line="276" w:lineRule="auto"/>
              <w:jc w:val="both"/>
              <w:rPr>
                <w:rFonts w:asciiTheme="majorHAnsi" w:eastAsiaTheme="minorEastAsia" w:hAnsiTheme="majorHAnsi" w:cstheme="majorHAnsi"/>
                <w:b w:val="0"/>
                <w:sz w:val="20"/>
                <w:szCs w:val="20"/>
                <w:shd w:val="clear" w:color="auto" w:fill="FFFFFF"/>
              </w:rPr>
            </w:pPr>
            <w:r w:rsidRPr="008376FC">
              <w:rPr>
                <w:rFonts w:asciiTheme="majorHAnsi" w:eastAsiaTheme="minorEastAsia" w:hAnsiTheme="majorHAnsi" w:cstheme="majorHAnsi"/>
                <w:b w:val="0"/>
                <w:sz w:val="20"/>
                <w:szCs w:val="20"/>
                <w:shd w:val="clear" w:color="auto" w:fill="FFFFFF"/>
              </w:rPr>
              <w:t>56,5%</w:t>
            </w:r>
          </w:p>
        </w:tc>
      </w:tr>
    </w:tbl>
    <w:p w:rsidR="00756AE7" w:rsidRPr="00E23DC6" w:rsidRDefault="00756AE7" w:rsidP="00F61756">
      <w:pPr>
        <w:shd w:val="clear" w:color="auto" w:fill="FFFFFF"/>
        <w:spacing w:after="0" w:line="276" w:lineRule="auto"/>
        <w:ind w:firstLine="540"/>
        <w:jc w:val="both"/>
        <w:rPr>
          <w:rFonts w:asciiTheme="majorHAnsi" w:eastAsia="Times New Roman" w:hAnsiTheme="majorHAnsi" w:cstheme="majorHAnsi"/>
          <w:b w:val="0"/>
          <w:bCs w:val="0"/>
          <w:i/>
          <w:sz w:val="20"/>
          <w:szCs w:val="20"/>
          <w:lang w:bidi="he-IL"/>
        </w:rPr>
      </w:pPr>
      <w:r w:rsidRPr="00E23DC6">
        <w:rPr>
          <w:rFonts w:asciiTheme="majorHAnsi" w:eastAsia="Times New Roman" w:hAnsiTheme="majorHAnsi" w:cstheme="majorHAnsi"/>
          <w:i/>
          <w:sz w:val="20"/>
          <w:szCs w:val="20"/>
          <w:lang w:bidi="he-IL"/>
        </w:rPr>
        <w:t>Sursă:</w:t>
      </w:r>
      <w:r w:rsidRPr="00E23DC6">
        <w:rPr>
          <w:rFonts w:asciiTheme="majorHAnsi" w:eastAsia="Times New Roman" w:hAnsiTheme="majorHAnsi" w:cstheme="majorHAnsi"/>
          <w:b w:val="0"/>
          <w:bCs w:val="0"/>
          <w:i/>
          <w:sz w:val="20"/>
          <w:szCs w:val="20"/>
          <w:lang w:bidi="he-IL"/>
        </w:rPr>
        <w:t xml:space="preserve"> Hotărârile de Guvern de aprobare a DUP.</w:t>
      </w:r>
    </w:p>
    <w:p w:rsidR="00756AE7" w:rsidRPr="00E23DC6" w:rsidRDefault="00756AE7" w:rsidP="00F61756">
      <w:pPr>
        <w:tabs>
          <w:tab w:val="left" w:pos="426"/>
        </w:tabs>
        <w:spacing w:after="0" w:line="276" w:lineRule="auto"/>
        <w:ind w:firstLine="567"/>
        <w:jc w:val="both"/>
        <w:rPr>
          <w:rFonts w:asciiTheme="majorHAnsi" w:eastAsiaTheme="minorEastAsia" w:hAnsiTheme="majorHAnsi" w:cstheme="majorHAnsi"/>
          <w:b w:val="0"/>
          <w:bCs w:val="0"/>
          <w:i/>
          <w:sz w:val="20"/>
          <w:szCs w:val="20"/>
        </w:rPr>
      </w:pPr>
    </w:p>
    <w:p w:rsidR="00756AE7" w:rsidRPr="008376FC" w:rsidRDefault="00756AE7" w:rsidP="00F61756">
      <w:pPr>
        <w:pStyle w:val="a3"/>
        <w:numPr>
          <w:ilvl w:val="2"/>
          <w:numId w:val="38"/>
        </w:numPr>
        <w:tabs>
          <w:tab w:val="left" w:pos="426"/>
        </w:tabs>
        <w:spacing w:line="276" w:lineRule="auto"/>
        <w:ind w:left="0" w:firstLine="0"/>
        <w:jc w:val="both"/>
        <w:rPr>
          <w:rFonts w:asciiTheme="majorHAnsi" w:eastAsiaTheme="minorEastAsia" w:hAnsiTheme="majorHAnsi" w:cstheme="majorHAnsi"/>
          <w:b/>
          <w:color w:val="0070C0"/>
          <w:lang w:val="en-US"/>
        </w:rPr>
      </w:pPr>
      <w:r w:rsidRPr="008376FC">
        <w:rPr>
          <w:rFonts w:asciiTheme="majorHAnsi" w:eastAsiaTheme="minorEastAsia" w:hAnsiTheme="majorHAnsi" w:cstheme="majorHAnsi"/>
          <w:b/>
          <w:color w:val="0070C0"/>
          <w:lang w:val="en-US"/>
        </w:rPr>
        <w:t>Pragurile minime și maxime a</w:t>
      </w:r>
      <w:r w:rsidR="00282BE7">
        <w:rPr>
          <w:rFonts w:asciiTheme="majorHAnsi" w:eastAsiaTheme="minorEastAsia" w:hAnsiTheme="majorHAnsi" w:cstheme="majorHAnsi"/>
          <w:b/>
          <w:color w:val="0070C0"/>
          <w:lang w:val="en-US"/>
        </w:rPr>
        <w:t>le</w:t>
      </w:r>
      <w:r w:rsidRPr="008376FC">
        <w:rPr>
          <w:rFonts w:asciiTheme="majorHAnsi" w:eastAsiaTheme="minorEastAsia" w:hAnsiTheme="majorHAnsi" w:cstheme="majorHAnsi"/>
          <w:b/>
          <w:color w:val="0070C0"/>
          <w:lang w:val="en-US"/>
        </w:rPr>
        <w:t xml:space="preserve"> valorii contractelor de investiții considerate eligibile au înregistrat tendințe neuniforme, cele minime fiind în creștere, iar cele maxime – în diminuare</w:t>
      </w:r>
      <w:r w:rsidR="00282BE7">
        <w:rPr>
          <w:rFonts w:asciiTheme="majorHAnsi" w:eastAsiaTheme="minorEastAsia" w:hAnsiTheme="majorHAnsi" w:cstheme="majorHAnsi"/>
          <w:b/>
          <w:color w:val="0070C0"/>
          <w:lang w:val="en-US"/>
        </w:rPr>
        <w:t>.</w:t>
      </w:r>
    </w:p>
    <w:p w:rsidR="00756AE7" w:rsidRPr="00E23DC6" w:rsidRDefault="00756AE7" w:rsidP="00F61756">
      <w:pPr>
        <w:tabs>
          <w:tab w:val="left" w:pos="426"/>
        </w:tabs>
        <w:spacing w:after="0" w:line="276" w:lineRule="auto"/>
        <w:ind w:firstLine="567"/>
        <w:jc w:val="both"/>
        <w:rPr>
          <w:rFonts w:asciiTheme="majorHAnsi" w:eastAsiaTheme="minorEastAsia" w:hAnsiTheme="majorHAnsi" w:cstheme="majorHAnsi"/>
          <w:b w:val="0"/>
          <w:bCs w:val="0"/>
          <w:sz w:val="24"/>
          <w:szCs w:val="24"/>
          <w:lang w:val="en-US"/>
        </w:rPr>
      </w:pPr>
    </w:p>
    <w:p w:rsidR="00756AE7" w:rsidRPr="008376FC" w:rsidRDefault="00756AE7" w:rsidP="00F61756">
      <w:pPr>
        <w:tabs>
          <w:tab w:val="left" w:pos="426"/>
        </w:tabs>
        <w:spacing w:after="0" w:line="276" w:lineRule="auto"/>
        <w:jc w:val="both"/>
        <w:rPr>
          <w:rFonts w:asciiTheme="majorHAnsi" w:eastAsiaTheme="minorEastAsia" w:hAnsiTheme="majorHAnsi" w:cstheme="majorHAnsi"/>
          <w:b w:val="0"/>
          <w:bCs w:val="0"/>
          <w:sz w:val="24"/>
          <w:szCs w:val="24"/>
        </w:rPr>
      </w:pPr>
      <w:r w:rsidRPr="008376FC">
        <w:rPr>
          <w:rFonts w:asciiTheme="majorHAnsi" w:eastAsiaTheme="minorEastAsia" w:hAnsiTheme="majorHAnsi" w:cstheme="majorHAnsi"/>
          <w:b w:val="0"/>
          <w:bCs w:val="0"/>
          <w:sz w:val="24"/>
          <w:szCs w:val="24"/>
        </w:rPr>
        <w:t>Pragurile minime și maxime ale PI care întrunesc criteriile de eligibilitate sunt revizui</w:t>
      </w:r>
      <w:r w:rsidR="00282BE7">
        <w:rPr>
          <w:rFonts w:asciiTheme="majorHAnsi" w:eastAsiaTheme="minorEastAsia" w:hAnsiTheme="majorHAnsi" w:cstheme="majorHAnsi"/>
          <w:b w:val="0"/>
          <w:bCs w:val="0"/>
          <w:sz w:val="24"/>
          <w:szCs w:val="24"/>
        </w:rPr>
        <w:t>t</w:t>
      </w:r>
      <w:r w:rsidRPr="008376FC">
        <w:rPr>
          <w:rFonts w:asciiTheme="majorHAnsi" w:eastAsiaTheme="minorEastAsia" w:hAnsiTheme="majorHAnsi" w:cstheme="majorHAnsi"/>
          <w:b w:val="0"/>
          <w:bCs w:val="0"/>
          <w:sz w:val="24"/>
          <w:szCs w:val="24"/>
        </w:rPr>
        <w:t>e pentru fiecare DUP. Astfel, în cadrul DUP pentru anii 2013-2024 se atestă c</w:t>
      </w:r>
      <w:r w:rsidR="00282BE7">
        <w:rPr>
          <w:rFonts w:asciiTheme="majorHAnsi" w:eastAsiaTheme="minorEastAsia" w:hAnsiTheme="majorHAnsi" w:cstheme="majorHAnsi"/>
          <w:b w:val="0"/>
          <w:bCs w:val="0"/>
          <w:sz w:val="24"/>
          <w:szCs w:val="24"/>
        </w:rPr>
        <w:t>ă</w:t>
      </w:r>
      <w:r w:rsidRPr="008376FC">
        <w:rPr>
          <w:rFonts w:asciiTheme="majorHAnsi" w:eastAsiaTheme="minorEastAsia" w:hAnsiTheme="majorHAnsi" w:cstheme="majorHAnsi"/>
          <w:b w:val="0"/>
          <w:bCs w:val="0"/>
          <w:sz w:val="24"/>
          <w:szCs w:val="24"/>
        </w:rPr>
        <w:t xml:space="preserve"> pragurile minime pe parcursul anilor au fost revizuite spre majorare</w:t>
      </w:r>
      <w:r w:rsidR="00282BE7">
        <w:rPr>
          <w:rFonts w:asciiTheme="majorHAnsi" w:eastAsiaTheme="minorEastAsia" w:hAnsiTheme="majorHAnsi" w:cstheme="majorHAnsi"/>
          <w:b w:val="0"/>
          <w:bCs w:val="0"/>
          <w:sz w:val="24"/>
          <w:szCs w:val="24"/>
        </w:rPr>
        <w:t>,</w:t>
      </w:r>
      <w:r w:rsidRPr="008376FC">
        <w:rPr>
          <w:rFonts w:asciiTheme="majorHAnsi" w:eastAsiaTheme="minorEastAsia" w:hAnsiTheme="majorHAnsi" w:cstheme="majorHAnsi"/>
          <w:b w:val="0"/>
          <w:bCs w:val="0"/>
          <w:sz w:val="24"/>
          <w:szCs w:val="24"/>
        </w:rPr>
        <w:t xml:space="preserve"> de la 1,0 mil.lei în cadrul DUP 2013-2015 până la 10,0 mil.lei în cadrul DUP 2022-2024. Pragurile maxi</w:t>
      </w:r>
      <w:r w:rsidR="00282BE7">
        <w:rPr>
          <w:rFonts w:asciiTheme="majorHAnsi" w:eastAsiaTheme="minorEastAsia" w:hAnsiTheme="majorHAnsi" w:cstheme="majorHAnsi"/>
          <w:b w:val="0"/>
          <w:bCs w:val="0"/>
          <w:sz w:val="24"/>
          <w:szCs w:val="24"/>
        </w:rPr>
        <w:t>m</w:t>
      </w:r>
      <w:r w:rsidRPr="008376FC">
        <w:rPr>
          <w:rFonts w:asciiTheme="majorHAnsi" w:eastAsiaTheme="minorEastAsia" w:hAnsiTheme="majorHAnsi" w:cstheme="majorHAnsi"/>
          <w:b w:val="0"/>
          <w:bCs w:val="0"/>
          <w:sz w:val="24"/>
          <w:szCs w:val="24"/>
        </w:rPr>
        <w:t xml:space="preserve">e au fost diminuate, de la 100,0 mil.lei în cadrul DUP 2013-2015 până la 50,0 mil.lei în cadrul DUP 2022-2024. </w:t>
      </w:r>
    </w:p>
    <w:p w:rsidR="00756AE7" w:rsidRPr="008376FC" w:rsidRDefault="00756AE7" w:rsidP="00F61756">
      <w:pPr>
        <w:tabs>
          <w:tab w:val="left" w:pos="426"/>
        </w:tabs>
        <w:spacing w:after="0" w:line="276" w:lineRule="auto"/>
        <w:ind w:firstLine="567"/>
        <w:jc w:val="right"/>
        <w:rPr>
          <w:rFonts w:asciiTheme="majorHAnsi" w:eastAsiaTheme="minorEastAsia" w:hAnsiTheme="majorHAnsi" w:cstheme="majorHAnsi"/>
          <w:bCs w:val="0"/>
          <w:sz w:val="20"/>
          <w:szCs w:val="20"/>
        </w:rPr>
      </w:pPr>
      <w:r w:rsidRPr="008376FC">
        <w:rPr>
          <w:rFonts w:asciiTheme="majorHAnsi" w:eastAsiaTheme="minorEastAsia" w:hAnsiTheme="majorHAnsi" w:cstheme="majorHAnsi"/>
          <w:bCs w:val="0"/>
          <w:sz w:val="20"/>
          <w:szCs w:val="20"/>
        </w:rPr>
        <w:t xml:space="preserve">Tabelul nr. </w:t>
      </w:r>
      <w:r w:rsidR="007A5B58" w:rsidRPr="008376FC">
        <w:rPr>
          <w:rFonts w:asciiTheme="majorHAnsi" w:eastAsiaTheme="minorEastAsia" w:hAnsiTheme="majorHAnsi" w:cstheme="majorHAnsi"/>
          <w:bCs w:val="0"/>
          <w:sz w:val="20"/>
          <w:szCs w:val="20"/>
        </w:rPr>
        <w:t>11</w:t>
      </w:r>
    </w:p>
    <w:p w:rsidR="00756AE7" w:rsidRPr="008376FC" w:rsidRDefault="00756AE7" w:rsidP="00F61756">
      <w:pPr>
        <w:spacing w:after="0" w:line="276" w:lineRule="auto"/>
        <w:jc w:val="center"/>
        <w:rPr>
          <w:rFonts w:asciiTheme="majorHAnsi" w:eastAsiaTheme="minorEastAsia" w:hAnsiTheme="majorHAnsi" w:cstheme="majorHAnsi"/>
          <w:bCs w:val="0"/>
          <w:sz w:val="20"/>
          <w:szCs w:val="20"/>
        </w:rPr>
      </w:pPr>
      <w:r w:rsidRPr="008376FC">
        <w:rPr>
          <w:rFonts w:asciiTheme="majorHAnsi" w:eastAsiaTheme="minorEastAsia" w:hAnsiTheme="majorHAnsi" w:cstheme="majorHAnsi"/>
          <w:bCs w:val="0"/>
          <w:sz w:val="20"/>
          <w:szCs w:val="20"/>
        </w:rPr>
        <w:t>Limitele minime și maxime a</w:t>
      </w:r>
      <w:r w:rsidR="00282BE7">
        <w:rPr>
          <w:rFonts w:asciiTheme="majorHAnsi" w:eastAsiaTheme="minorEastAsia" w:hAnsiTheme="majorHAnsi" w:cstheme="majorHAnsi"/>
          <w:bCs w:val="0"/>
          <w:sz w:val="20"/>
          <w:szCs w:val="20"/>
        </w:rPr>
        <w:t>le</w:t>
      </w:r>
      <w:r w:rsidRPr="008376FC">
        <w:rPr>
          <w:rFonts w:asciiTheme="majorHAnsi" w:eastAsiaTheme="minorEastAsia" w:hAnsiTheme="majorHAnsi" w:cstheme="majorHAnsi"/>
          <w:bCs w:val="0"/>
          <w:sz w:val="20"/>
          <w:szCs w:val="20"/>
        </w:rPr>
        <w:t xml:space="preserve"> valorii proiectelor investițional</w:t>
      </w:r>
      <w:r w:rsidR="00282BE7">
        <w:rPr>
          <w:rFonts w:asciiTheme="majorHAnsi" w:eastAsiaTheme="minorEastAsia" w:hAnsiTheme="majorHAnsi" w:cstheme="majorHAnsi"/>
          <w:bCs w:val="0"/>
          <w:sz w:val="20"/>
          <w:szCs w:val="20"/>
        </w:rPr>
        <w:t>e</w:t>
      </w:r>
      <w:r w:rsidRPr="008376FC">
        <w:rPr>
          <w:rFonts w:asciiTheme="majorHAnsi" w:eastAsiaTheme="minorEastAsia" w:hAnsiTheme="majorHAnsi" w:cstheme="majorHAnsi"/>
          <w:bCs w:val="0"/>
          <w:sz w:val="20"/>
          <w:szCs w:val="20"/>
        </w:rPr>
        <w:t xml:space="preserve"> incluse în DUP</w:t>
      </w:r>
      <w:r w:rsidR="00282BE7">
        <w:rPr>
          <w:rFonts w:asciiTheme="majorHAnsi" w:eastAsiaTheme="minorEastAsia" w:hAnsiTheme="majorHAnsi" w:cstheme="majorHAnsi"/>
          <w:bCs w:val="0"/>
          <w:sz w:val="20"/>
          <w:szCs w:val="20"/>
        </w:rPr>
        <w:t xml:space="preserve"> pe anii</w:t>
      </w:r>
      <w:r w:rsidRPr="008376FC">
        <w:rPr>
          <w:rFonts w:asciiTheme="majorHAnsi" w:eastAsiaTheme="minorEastAsia" w:hAnsiTheme="majorHAnsi" w:cstheme="majorHAnsi"/>
          <w:bCs w:val="0"/>
          <w:sz w:val="20"/>
          <w:szCs w:val="20"/>
        </w:rPr>
        <w:t xml:space="preserve"> 2013-2024</w:t>
      </w:r>
    </w:p>
    <w:tbl>
      <w:tblPr>
        <w:tblStyle w:val="TableGrid10"/>
        <w:tblW w:w="9677" w:type="dxa"/>
        <w:jc w:val="center"/>
        <w:tblLook w:val="04A0" w:firstRow="1" w:lastRow="0" w:firstColumn="1" w:lastColumn="0" w:noHBand="0" w:noVBand="1"/>
      </w:tblPr>
      <w:tblGrid>
        <w:gridCol w:w="3225"/>
        <w:gridCol w:w="3226"/>
        <w:gridCol w:w="3226"/>
      </w:tblGrid>
      <w:tr w:rsidR="00756AE7" w:rsidRPr="008376FC" w:rsidTr="00036EAE">
        <w:trPr>
          <w:trHeight w:val="329"/>
          <w:jc w:val="center"/>
        </w:trPr>
        <w:tc>
          <w:tcPr>
            <w:tcW w:w="3225" w:type="dxa"/>
            <w:shd w:val="clear" w:color="auto" w:fill="BDD6EE" w:themeFill="accent1" w:themeFillTint="66"/>
          </w:tcPr>
          <w:p w:rsidR="00756AE7" w:rsidRPr="008376FC" w:rsidRDefault="00756AE7" w:rsidP="00F61756">
            <w:pPr>
              <w:spacing w:line="276" w:lineRule="auto"/>
              <w:jc w:val="both"/>
              <w:rPr>
                <w:rFonts w:asciiTheme="majorHAnsi" w:eastAsiaTheme="minorEastAsia" w:hAnsiTheme="majorHAnsi" w:cstheme="majorHAnsi"/>
                <w:iCs/>
                <w:sz w:val="20"/>
                <w:szCs w:val="20"/>
              </w:rPr>
            </w:pPr>
            <w:r w:rsidRPr="008376FC">
              <w:rPr>
                <w:rFonts w:asciiTheme="majorHAnsi" w:eastAsiaTheme="minorEastAsia" w:hAnsiTheme="majorHAnsi" w:cstheme="majorHAnsi"/>
                <w:iCs/>
                <w:sz w:val="20"/>
                <w:szCs w:val="20"/>
              </w:rPr>
              <w:t>Documentul unic de program</w:t>
            </w:r>
          </w:p>
        </w:tc>
        <w:tc>
          <w:tcPr>
            <w:tcW w:w="3226" w:type="dxa"/>
            <w:shd w:val="clear" w:color="auto" w:fill="BDD6EE" w:themeFill="accent1" w:themeFillTint="66"/>
          </w:tcPr>
          <w:p w:rsidR="00756AE7" w:rsidRPr="008376FC" w:rsidRDefault="00756AE7" w:rsidP="00F61756">
            <w:pPr>
              <w:spacing w:line="276" w:lineRule="auto"/>
              <w:jc w:val="both"/>
              <w:rPr>
                <w:rFonts w:asciiTheme="majorHAnsi" w:eastAsiaTheme="minorEastAsia" w:hAnsiTheme="majorHAnsi" w:cstheme="majorHAnsi"/>
                <w:iCs/>
                <w:sz w:val="20"/>
                <w:szCs w:val="20"/>
              </w:rPr>
            </w:pPr>
            <w:r w:rsidRPr="008376FC">
              <w:rPr>
                <w:rFonts w:asciiTheme="majorHAnsi" w:eastAsiaTheme="minorEastAsia" w:hAnsiTheme="majorHAnsi" w:cstheme="majorHAnsi"/>
                <w:iCs/>
                <w:sz w:val="20"/>
                <w:szCs w:val="20"/>
              </w:rPr>
              <w:t>Suma minimă, mln. lei</w:t>
            </w:r>
          </w:p>
        </w:tc>
        <w:tc>
          <w:tcPr>
            <w:tcW w:w="3226" w:type="dxa"/>
            <w:shd w:val="clear" w:color="auto" w:fill="BDD6EE" w:themeFill="accent1" w:themeFillTint="66"/>
          </w:tcPr>
          <w:p w:rsidR="00756AE7" w:rsidRPr="008376FC" w:rsidRDefault="00756AE7" w:rsidP="00F61756">
            <w:pPr>
              <w:spacing w:line="276" w:lineRule="auto"/>
              <w:jc w:val="both"/>
              <w:rPr>
                <w:rFonts w:asciiTheme="majorHAnsi" w:eastAsiaTheme="minorEastAsia" w:hAnsiTheme="majorHAnsi" w:cstheme="majorHAnsi"/>
                <w:iCs/>
                <w:sz w:val="20"/>
                <w:szCs w:val="20"/>
              </w:rPr>
            </w:pPr>
            <w:r w:rsidRPr="008376FC">
              <w:rPr>
                <w:rFonts w:asciiTheme="majorHAnsi" w:eastAsiaTheme="minorEastAsia" w:hAnsiTheme="majorHAnsi" w:cstheme="majorHAnsi"/>
                <w:iCs/>
                <w:sz w:val="20"/>
                <w:szCs w:val="20"/>
              </w:rPr>
              <w:t xml:space="preserve">Suma maximă, mln. </w:t>
            </w:r>
            <w:r w:rsidR="00282BE7">
              <w:rPr>
                <w:rFonts w:asciiTheme="majorHAnsi" w:eastAsiaTheme="minorEastAsia" w:hAnsiTheme="majorHAnsi" w:cstheme="majorHAnsi"/>
                <w:iCs/>
                <w:sz w:val="20"/>
                <w:szCs w:val="20"/>
              </w:rPr>
              <w:t>l</w:t>
            </w:r>
            <w:r w:rsidRPr="008376FC">
              <w:rPr>
                <w:rFonts w:asciiTheme="majorHAnsi" w:eastAsiaTheme="minorEastAsia" w:hAnsiTheme="majorHAnsi" w:cstheme="majorHAnsi"/>
                <w:iCs/>
                <w:sz w:val="20"/>
                <w:szCs w:val="20"/>
              </w:rPr>
              <w:t>ei</w:t>
            </w:r>
          </w:p>
        </w:tc>
      </w:tr>
      <w:tr w:rsidR="00756AE7" w:rsidRPr="008376FC" w:rsidTr="00036EAE">
        <w:trPr>
          <w:trHeight w:val="177"/>
          <w:jc w:val="center"/>
        </w:trPr>
        <w:tc>
          <w:tcPr>
            <w:tcW w:w="3225" w:type="dxa"/>
          </w:tcPr>
          <w:p w:rsidR="00756AE7" w:rsidRPr="00DA70D2" w:rsidRDefault="00756AE7" w:rsidP="00F61756">
            <w:pPr>
              <w:spacing w:line="276" w:lineRule="auto"/>
              <w:jc w:val="both"/>
              <w:rPr>
                <w:rFonts w:asciiTheme="majorHAnsi" w:eastAsiaTheme="minorEastAsia" w:hAnsiTheme="majorHAnsi" w:cstheme="majorHAnsi"/>
                <w:b w:val="0"/>
                <w:iCs/>
                <w:sz w:val="20"/>
                <w:szCs w:val="20"/>
              </w:rPr>
            </w:pPr>
            <w:r w:rsidRPr="00DA70D2">
              <w:rPr>
                <w:rFonts w:asciiTheme="majorHAnsi" w:eastAsiaTheme="minorEastAsia" w:hAnsiTheme="majorHAnsi" w:cstheme="majorHAnsi"/>
                <w:b w:val="0"/>
                <w:iCs/>
                <w:sz w:val="20"/>
                <w:szCs w:val="20"/>
              </w:rPr>
              <w:t>DUP 2013-2015</w:t>
            </w:r>
          </w:p>
        </w:tc>
        <w:tc>
          <w:tcPr>
            <w:tcW w:w="3226" w:type="dxa"/>
          </w:tcPr>
          <w:p w:rsidR="00756AE7" w:rsidRPr="00DA70D2" w:rsidRDefault="00756AE7" w:rsidP="00F61756">
            <w:pPr>
              <w:spacing w:line="276" w:lineRule="auto"/>
              <w:jc w:val="both"/>
              <w:rPr>
                <w:rFonts w:asciiTheme="majorHAnsi" w:eastAsiaTheme="minorEastAsia" w:hAnsiTheme="majorHAnsi" w:cstheme="majorHAnsi"/>
                <w:b w:val="0"/>
                <w:iCs/>
                <w:sz w:val="20"/>
                <w:szCs w:val="20"/>
              </w:rPr>
            </w:pPr>
            <w:r w:rsidRPr="00DA70D2">
              <w:rPr>
                <w:rFonts w:asciiTheme="majorHAnsi" w:eastAsiaTheme="minorEastAsia" w:hAnsiTheme="majorHAnsi" w:cstheme="majorHAnsi"/>
                <w:b w:val="0"/>
                <w:iCs/>
                <w:sz w:val="20"/>
                <w:szCs w:val="20"/>
              </w:rPr>
              <w:t>1</w:t>
            </w:r>
          </w:p>
        </w:tc>
        <w:tc>
          <w:tcPr>
            <w:tcW w:w="3226" w:type="dxa"/>
          </w:tcPr>
          <w:p w:rsidR="00756AE7" w:rsidRPr="00DA70D2" w:rsidRDefault="00756AE7" w:rsidP="00F61756">
            <w:pPr>
              <w:spacing w:line="276" w:lineRule="auto"/>
              <w:jc w:val="both"/>
              <w:rPr>
                <w:rFonts w:asciiTheme="majorHAnsi" w:eastAsiaTheme="minorEastAsia" w:hAnsiTheme="majorHAnsi" w:cstheme="majorHAnsi"/>
                <w:b w:val="0"/>
                <w:iCs/>
                <w:sz w:val="20"/>
                <w:szCs w:val="20"/>
              </w:rPr>
            </w:pPr>
            <w:r w:rsidRPr="00DA70D2">
              <w:rPr>
                <w:rFonts w:asciiTheme="majorHAnsi" w:eastAsiaTheme="minorEastAsia" w:hAnsiTheme="majorHAnsi" w:cstheme="majorHAnsi"/>
                <w:b w:val="0"/>
                <w:iCs/>
                <w:sz w:val="20"/>
                <w:szCs w:val="20"/>
              </w:rPr>
              <w:t>100</w:t>
            </w:r>
          </w:p>
        </w:tc>
      </w:tr>
      <w:tr w:rsidR="00756AE7" w:rsidRPr="008376FC" w:rsidTr="00036EAE">
        <w:trPr>
          <w:trHeight w:val="165"/>
          <w:jc w:val="center"/>
        </w:trPr>
        <w:tc>
          <w:tcPr>
            <w:tcW w:w="3225" w:type="dxa"/>
          </w:tcPr>
          <w:p w:rsidR="00756AE7" w:rsidRPr="00DA70D2" w:rsidRDefault="00756AE7" w:rsidP="00F61756">
            <w:pPr>
              <w:spacing w:line="276" w:lineRule="auto"/>
              <w:jc w:val="both"/>
              <w:rPr>
                <w:rFonts w:asciiTheme="majorHAnsi" w:eastAsiaTheme="minorEastAsia" w:hAnsiTheme="majorHAnsi" w:cstheme="majorHAnsi"/>
                <w:b w:val="0"/>
                <w:iCs/>
                <w:sz w:val="20"/>
                <w:szCs w:val="20"/>
              </w:rPr>
            </w:pPr>
            <w:r w:rsidRPr="00DA70D2">
              <w:rPr>
                <w:rFonts w:asciiTheme="majorHAnsi" w:eastAsiaTheme="minorEastAsia" w:hAnsiTheme="majorHAnsi" w:cstheme="majorHAnsi"/>
                <w:b w:val="0"/>
                <w:iCs/>
                <w:sz w:val="20"/>
                <w:szCs w:val="20"/>
              </w:rPr>
              <w:t>DUP 2017-2020</w:t>
            </w:r>
          </w:p>
        </w:tc>
        <w:tc>
          <w:tcPr>
            <w:tcW w:w="3226" w:type="dxa"/>
          </w:tcPr>
          <w:p w:rsidR="00756AE7" w:rsidRPr="00DA70D2" w:rsidRDefault="00756AE7" w:rsidP="00F61756">
            <w:pPr>
              <w:spacing w:line="276" w:lineRule="auto"/>
              <w:jc w:val="both"/>
              <w:rPr>
                <w:rFonts w:asciiTheme="majorHAnsi" w:eastAsiaTheme="minorEastAsia" w:hAnsiTheme="majorHAnsi" w:cstheme="majorHAnsi"/>
                <w:b w:val="0"/>
                <w:iCs/>
                <w:sz w:val="20"/>
                <w:szCs w:val="20"/>
              </w:rPr>
            </w:pPr>
            <w:r w:rsidRPr="00DA70D2">
              <w:rPr>
                <w:rFonts w:asciiTheme="majorHAnsi" w:eastAsiaTheme="minorEastAsia" w:hAnsiTheme="majorHAnsi" w:cstheme="majorHAnsi"/>
                <w:b w:val="0"/>
                <w:iCs/>
                <w:sz w:val="20"/>
                <w:szCs w:val="20"/>
              </w:rPr>
              <w:t>8</w:t>
            </w:r>
          </w:p>
        </w:tc>
        <w:tc>
          <w:tcPr>
            <w:tcW w:w="3226" w:type="dxa"/>
          </w:tcPr>
          <w:p w:rsidR="00756AE7" w:rsidRPr="00DA70D2" w:rsidRDefault="00756AE7" w:rsidP="00F61756">
            <w:pPr>
              <w:spacing w:line="276" w:lineRule="auto"/>
              <w:jc w:val="both"/>
              <w:rPr>
                <w:rFonts w:asciiTheme="majorHAnsi" w:eastAsiaTheme="minorEastAsia" w:hAnsiTheme="majorHAnsi" w:cstheme="majorHAnsi"/>
                <w:b w:val="0"/>
                <w:iCs/>
                <w:sz w:val="20"/>
                <w:szCs w:val="20"/>
              </w:rPr>
            </w:pPr>
            <w:r w:rsidRPr="00DA70D2">
              <w:rPr>
                <w:rFonts w:asciiTheme="majorHAnsi" w:eastAsiaTheme="minorEastAsia" w:hAnsiTheme="majorHAnsi" w:cstheme="majorHAnsi"/>
                <w:b w:val="0"/>
                <w:iCs/>
                <w:sz w:val="20"/>
                <w:szCs w:val="20"/>
              </w:rPr>
              <w:t>40</w:t>
            </w:r>
          </w:p>
        </w:tc>
      </w:tr>
      <w:tr w:rsidR="00756AE7" w:rsidRPr="008376FC" w:rsidTr="00036EAE">
        <w:trPr>
          <w:trHeight w:val="138"/>
          <w:jc w:val="center"/>
        </w:trPr>
        <w:tc>
          <w:tcPr>
            <w:tcW w:w="3225" w:type="dxa"/>
          </w:tcPr>
          <w:p w:rsidR="00756AE7" w:rsidRPr="00DA70D2" w:rsidRDefault="00756AE7" w:rsidP="00F61756">
            <w:pPr>
              <w:spacing w:line="276" w:lineRule="auto"/>
              <w:jc w:val="both"/>
              <w:rPr>
                <w:rFonts w:asciiTheme="majorHAnsi" w:eastAsiaTheme="minorEastAsia" w:hAnsiTheme="majorHAnsi" w:cstheme="majorHAnsi"/>
                <w:b w:val="0"/>
                <w:iCs/>
                <w:sz w:val="20"/>
                <w:szCs w:val="20"/>
              </w:rPr>
            </w:pPr>
            <w:r w:rsidRPr="00DA70D2">
              <w:rPr>
                <w:rFonts w:asciiTheme="majorHAnsi" w:eastAsiaTheme="minorEastAsia" w:hAnsiTheme="majorHAnsi" w:cstheme="majorHAnsi"/>
                <w:b w:val="0"/>
                <w:iCs/>
                <w:sz w:val="20"/>
                <w:szCs w:val="20"/>
              </w:rPr>
              <w:t>DUP 2022-2024</w:t>
            </w:r>
          </w:p>
        </w:tc>
        <w:tc>
          <w:tcPr>
            <w:tcW w:w="3226" w:type="dxa"/>
          </w:tcPr>
          <w:p w:rsidR="00756AE7" w:rsidRPr="00DA70D2" w:rsidRDefault="00756AE7" w:rsidP="00F61756">
            <w:pPr>
              <w:spacing w:line="276" w:lineRule="auto"/>
              <w:jc w:val="both"/>
              <w:rPr>
                <w:rFonts w:asciiTheme="majorHAnsi" w:eastAsiaTheme="minorEastAsia" w:hAnsiTheme="majorHAnsi" w:cstheme="majorHAnsi"/>
                <w:b w:val="0"/>
                <w:iCs/>
                <w:sz w:val="20"/>
                <w:szCs w:val="20"/>
              </w:rPr>
            </w:pPr>
            <w:r w:rsidRPr="00DA70D2">
              <w:rPr>
                <w:rFonts w:asciiTheme="majorHAnsi" w:eastAsiaTheme="minorEastAsia" w:hAnsiTheme="majorHAnsi" w:cstheme="majorHAnsi"/>
                <w:b w:val="0"/>
                <w:iCs/>
                <w:sz w:val="20"/>
                <w:szCs w:val="20"/>
              </w:rPr>
              <w:t>10</w:t>
            </w:r>
          </w:p>
        </w:tc>
        <w:tc>
          <w:tcPr>
            <w:tcW w:w="3226" w:type="dxa"/>
          </w:tcPr>
          <w:p w:rsidR="00756AE7" w:rsidRPr="00DA70D2" w:rsidRDefault="00756AE7" w:rsidP="00F61756">
            <w:pPr>
              <w:spacing w:line="276" w:lineRule="auto"/>
              <w:jc w:val="both"/>
              <w:rPr>
                <w:rFonts w:asciiTheme="majorHAnsi" w:eastAsiaTheme="minorEastAsia" w:hAnsiTheme="majorHAnsi" w:cstheme="majorHAnsi"/>
                <w:b w:val="0"/>
                <w:iCs/>
                <w:sz w:val="20"/>
                <w:szCs w:val="20"/>
              </w:rPr>
            </w:pPr>
            <w:r w:rsidRPr="00DA70D2">
              <w:rPr>
                <w:rFonts w:asciiTheme="majorHAnsi" w:eastAsiaTheme="minorEastAsia" w:hAnsiTheme="majorHAnsi" w:cstheme="majorHAnsi"/>
                <w:b w:val="0"/>
                <w:iCs/>
                <w:sz w:val="20"/>
                <w:szCs w:val="20"/>
              </w:rPr>
              <w:t>50</w:t>
            </w:r>
          </w:p>
        </w:tc>
      </w:tr>
    </w:tbl>
    <w:p w:rsidR="00756AE7" w:rsidRPr="00E23DC6" w:rsidRDefault="00756AE7" w:rsidP="00F61756">
      <w:pPr>
        <w:tabs>
          <w:tab w:val="left" w:pos="426"/>
        </w:tabs>
        <w:spacing w:after="0" w:line="276" w:lineRule="auto"/>
        <w:ind w:firstLine="567"/>
        <w:jc w:val="both"/>
        <w:rPr>
          <w:rFonts w:asciiTheme="majorHAnsi" w:eastAsia="Times New Roman" w:hAnsiTheme="majorHAnsi" w:cstheme="majorHAnsi"/>
          <w:b w:val="0"/>
          <w:bCs w:val="0"/>
          <w:i/>
          <w:sz w:val="20"/>
          <w:szCs w:val="20"/>
        </w:rPr>
      </w:pPr>
      <w:r w:rsidRPr="00E23DC6">
        <w:rPr>
          <w:rFonts w:asciiTheme="majorHAnsi" w:eastAsia="Times New Roman" w:hAnsiTheme="majorHAnsi" w:cstheme="majorHAnsi"/>
          <w:bCs w:val="0"/>
          <w:i/>
          <w:sz w:val="20"/>
          <w:szCs w:val="20"/>
        </w:rPr>
        <w:t>Sursa:</w:t>
      </w:r>
      <w:r w:rsidRPr="00E23DC6">
        <w:rPr>
          <w:rFonts w:asciiTheme="majorHAnsi" w:eastAsia="Times New Roman" w:hAnsiTheme="majorHAnsi" w:cstheme="majorHAnsi"/>
          <w:b w:val="0"/>
          <w:bCs w:val="0"/>
          <w:i/>
          <w:sz w:val="20"/>
          <w:szCs w:val="20"/>
        </w:rPr>
        <w:t xml:space="preserve"> </w:t>
      </w:r>
      <w:r w:rsidR="00CE6450" w:rsidRPr="00E23DC6">
        <w:rPr>
          <w:rFonts w:asciiTheme="majorHAnsi" w:eastAsia="Times New Roman" w:hAnsiTheme="majorHAnsi" w:cstheme="majorHAnsi"/>
          <w:b w:val="0"/>
          <w:bCs w:val="0"/>
          <w:i/>
          <w:sz w:val="20"/>
          <w:szCs w:val="20"/>
        </w:rPr>
        <w:t>Manualele operaţionale ale FNDR pentru anii 2013-2020</w:t>
      </w:r>
      <w:r w:rsidRPr="00E23DC6">
        <w:rPr>
          <w:rFonts w:asciiTheme="majorHAnsi" w:eastAsia="Times New Roman" w:hAnsiTheme="majorHAnsi" w:cstheme="majorHAnsi"/>
          <w:b w:val="0"/>
          <w:bCs w:val="0"/>
          <w:i/>
          <w:sz w:val="20"/>
          <w:szCs w:val="20"/>
        </w:rPr>
        <w:t xml:space="preserve">.  </w:t>
      </w:r>
    </w:p>
    <w:p w:rsidR="00756AE7" w:rsidRPr="008376FC" w:rsidRDefault="00756AE7" w:rsidP="00F61756">
      <w:pPr>
        <w:tabs>
          <w:tab w:val="left" w:pos="426"/>
        </w:tabs>
        <w:spacing w:after="0" w:line="276" w:lineRule="auto"/>
        <w:ind w:firstLine="567"/>
        <w:jc w:val="both"/>
        <w:rPr>
          <w:rFonts w:asciiTheme="majorHAnsi" w:eastAsiaTheme="minorEastAsia" w:hAnsiTheme="majorHAnsi" w:cstheme="majorHAnsi"/>
          <w:b w:val="0"/>
          <w:bCs w:val="0"/>
          <w:sz w:val="24"/>
          <w:szCs w:val="24"/>
        </w:rPr>
      </w:pPr>
    </w:p>
    <w:p w:rsidR="00756AE7" w:rsidRPr="008376FC" w:rsidRDefault="00756AE7" w:rsidP="00F61756">
      <w:pPr>
        <w:tabs>
          <w:tab w:val="left" w:pos="426"/>
        </w:tabs>
        <w:spacing w:after="0" w:line="276" w:lineRule="auto"/>
        <w:jc w:val="both"/>
        <w:rPr>
          <w:rFonts w:asciiTheme="majorHAnsi" w:eastAsiaTheme="minorEastAsia" w:hAnsiTheme="majorHAnsi" w:cstheme="majorHAnsi"/>
          <w:b w:val="0"/>
          <w:bCs w:val="0"/>
          <w:sz w:val="24"/>
          <w:szCs w:val="24"/>
        </w:rPr>
      </w:pPr>
      <w:r w:rsidRPr="008376FC">
        <w:rPr>
          <w:rFonts w:asciiTheme="majorHAnsi" w:eastAsiaTheme="minorEastAsia" w:hAnsiTheme="majorHAnsi" w:cstheme="majorHAnsi"/>
          <w:b w:val="0"/>
          <w:bCs w:val="0"/>
          <w:sz w:val="24"/>
          <w:szCs w:val="24"/>
        </w:rPr>
        <w:t>Deși nivelul de realizare integrală în cadrul DUP a PI aferente alimentării cu apă și sanitație</w:t>
      </w:r>
      <w:r w:rsidR="00282BE7">
        <w:rPr>
          <w:rFonts w:asciiTheme="majorHAnsi" w:eastAsiaTheme="minorEastAsia" w:hAnsiTheme="majorHAnsi" w:cstheme="majorHAnsi"/>
          <w:b w:val="0"/>
          <w:bCs w:val="0"/>
          <w:sz w:val="24"/>
          <w:szCs w:val="24"/>
        </w:rPr>
        <w:t>i</w:t>
      </w:r>
      <w:r w:rsidRPr="008376FC">
        <w:rPr>
          <w:rFonts w:asciiTheme="majorHAnsi" w:eastAsiaTheme="minorEastAsia" w:hAnsiTheme="majorHAnsi" w:cstheme="majorHAnsi"/>
          <w:b w:val="0"/>
          <w:bCs w:val="0"/>
          <w:sz w:val="24"/>
          <w:szCs w:val="24"/>
        </w:rPr>
        <w:t xml:space="preserve"> este de 56,2%, puține proiecte ating nivelul scontat de eficacitate. Calitatea pregătirii documentației tehnice și contribuția financiară a APL nu corespund așteptărilor, în DUP fiind inclu</w:t>
      </w:r>
      <w:r w:rsidR="00282BE7">
        <w:rPr>
          <w:rFonts w:asciiTheme="majorHAnsi" w:eastAsiaTheme="minorEastAsia" w:hAnsiTheme="majorHAnsi" w:cstheme="majorHAnsi"/>
          <w:b w:val="0"/>
          <w:bCs w:val="0"/>
          <w:sz w:val="24"/>
          <w:szCs w:val="24"/>
        </w:rPr>
        <w:t>s</w:t>
      </w:r>
      <w:r w:rsidRPr="008376FC">
        <w:rPr>
          <w:rFonts w:asciiTheme="majorHAnsi" w:eastAsiaTheme="minorEastAsia" w:hAnsiTheme="majorHAnsi" w:cstheme="majorHAnsi"/>
          <w:b w:val="0"/>
          <w:bCs w:val="0"/>
          <w:sz w:val="24"/>
          <w:szCs w:val="24"/>
        </w:rPr>
        <w:t xml:space="preserve">e PI de anvergură, complexe și costisitoare, </w:t>
      </w:r>
      <w:r w:rsidR="00282BE7">
        <w:rPr>
          <w:rFonts w:asciiTheme="majorHAnsi" w:eastAsiaTheme="minorEastAsia" w:hAnsiTheme="majorHAnsi" w:cstheme="majorHAnsi"/>
          <w:b w:val="0"/>
          <w:bCs w:val="0"/>
          <w:sz w:val="24"/>
          <w:szCs w:val="24"/>
        </w:rPr>
        <w:t xml:space="preserve">a căror </w:t>
      </w:r>
      <w:r w:rsidRPr="008376FC">
        <w:rPr>
          <w:rFonts w:asciiTheme="majorHAnsi" w:eastAsiaTheme="minorEastAsia" w:hAnsiTheme="majorHAnsi" w:cstheme="majorHAnsi"/>
          <w:b w:val="0"/>
          <w:bCs w:val="0"/>
          <w:sz w:val="24"/>
          <w:szCs w:val="24"/>
        </w:rPr>
        <w:t xml:space="preserve">valoare integrală nu se încadrează </w:t>
      </w:r>
      <w:r w:rsidR="00282BE7" w:rsidRPr="008376FC">
        <w:rPr>
          <w:rFonts w:asciiTheme="majorHAnsi" w:eastAsiaTheme="minorEastAsia" w:hAnsiTheme="majorHAnsi" w:cstheme="majorHAnsi"/>
          <w:b w:val="0"/>
          <w:bCs w:val="0"/>
          <w:sz w:val="24"/>
          <w:szCs w:val="24"/>
        </w:rPr>
        <w:t xml:space="preserve">în toate cazurile </w:t>
      </w:r>
      <w:r w:rsidRPr="008376FC">
        <w:rPr>
          <w:rFonts w:asciiTheme="majorHAnsi" w:eastAsiaTheme="minorEastAsia" w:hAnsiTheme="majorHAnsi" w:cstheme="majorHAnsi"/>
          <w:b w:val="0"/>
          <w:bCs w:val="0"/>
          <w:sz w:val="24"/>
          <w:szCs w:val="24"/>
        </w:rPr>
        <w:t xml:space="preserve">în plafoanele limită stabilite în cadrul normativ nou, beneficiarii proiectelor fiind nevoiți să le divizeze pentru a corespunde criteriilor de eligibilitate.  </w:t>
      </w:r>
    </w:p>
    <w:p w:rsidR="00756AE7" w:rsidRPr="008376FC" w:rsidRDefault="00756AE7" w:rsidP="00F61756">
      <w:pPr>
        <w:tabs>
          <w:tab w:val="left" w:pos="426"/>
        </w:tabs>
        <w:spacing w:after="0" w:line="276" w:lineRule="auto"/>
        <w:ind w:firstLine="567"/>
        <w:jc w:val="both"/>
        <w:rPr>
          <w:rFonts w:asciiTheme="majorHAnsi" w:eastAsiaTheme="minorEastAsia" w:hAnsiTheme="majorHAnsi" w:cstheme="majorHAnsi"/>
          <w:b w:val="0"/>
          <w:bCs w:val="0"/>
          <w:sz w:val="24"/>
          <w:szCs w:val="24"/>
        </w:rPr>
      </w:pPr>
    </w:p>
    <w:p w:rsidR="00756AE7" w:rsidRPr="008376FC" w:rsidRDefault="00F638F7" w:rsidP="00F61756">
      <w:pPr>
        <w:pStyle w:val="a3"/>
        <w:numPr>
          <w:ilvl w:val="2"/>
          <w:numId w:val="38"/>
        </w:numPr>
        <w:tabs>
          <w:tab w:val="left" w:pos="426"/>
          <w:tab w:val="left" w:pos="567"/>
        </w:tabs>
        <w:spacing w:line="276" w:lineRule="auto"/>
        <w:ind w:left="0" w:firstLine="0"/>
        <w:jc w:val="both"/>
        <w:rPr>
          <w:rFonts w:asciiTheme="majorHAnsi" w:hAnsiTheme="majorHAnsi" w:cstheme="majorHAnsi"/>
          <w:b/>
          <w:color w:val="0070C0"/>
          <w:lang w:val="en-US"/>
        </w:rPr>
      </w:pPr>
      <w:bookmarkStart w:id="32" w:name="_Toc78183097"/>
      <w:bookmarkStart w:id="33" w:name="_Toc26272559"/>
      <w:r w:rsidRPr="008376FC">
        <w:rPr>
          <w:rFonts w:asciiTheme="majorHAnsi" w:hAnsiTheme="majorHAnsi" w:cstheme="majorHAnsi"/>
          <w:b/>
          <w:color w:val="0070C0"/>
          <w:lang w:val="en-US"/>
        </w:rPr>
        <w:t xml:space="preserve"> </w:t>
      </w:r>
      <w:r w:rsidR="00756AE7" w:rsidRPr="008376FC">
        <w:rPr>
          <w:rFonts w:asciiTheme="majorHAnsi" w:hAnsiTheme="majorHAnsi" w:cstheme="majorHAnsi"/>
          <w:b/>
          <w:color w:val="0070C0"/>
          <w:lang w:val="en-US"/>
        </w:rPr>
        <w:t xml:space="preserve">Implementarea unor proiecte de aprovizionare cu apă și canalizare durează ani, neavând o finalitate </w:t>
      </w:r>
      <w:bookmarkEnd w:id="32"/>
      <w:r w:rsidR="00756AE7" w:rsidRPr="008376FC">
        <w:rPr>
          <w:rFonts w:asciiTheme="majorHAnsi" w:hAnsiTheme="majorHAnsi" w:cstheme="majorHAnsi"/>
          <w:b/>
          <w:color w:val="0070C0"/>
          <w:lang w:val="en-US"/>
        </w:rPr>
        <w:t>și previzibilitate</w:t>
      </w:r>
      <w:r w:rsidR="009F36ED">
        <w:rPr>
          <w:rFonts w:asciiTheme="majorHAnsi" w:hAnsiTheme="majorHAnsi" w:cstheme="majorHAnsi"/>
          <w:b/>
          <w:color w:val="0070C0"/>
          <w:lang w:val="en-US"/>
        </w:rPr>
        <w:t>.</w:t>
      </w:r>
    </w:p>
    <w:p w:rsidR="00756AE7" w:rsidRPr="00DA70D2" w:rsidRDefault="00756AE7" w:rsidP="00F61756">
      <w:pPr>
        <w:tabs>
          <w:tab w:val="left" w:pos="426"/>
          <w:tab w:val="left" w:pos="567"/>
        </w:tabs>
        <w:spacing w:after="0" w:line="276" w:lineRule="auto"/>
        <w:ind w:left="284"/>
        <w:contextualSpacing/>
        <w:jc w:val="both"/>
        <w:outlineLvl w:val="1"/>
        <w:rPr>
          <w:rFonts w:asciiTheme="majorHAnsi" w:hAnsiTheme="majorHAnsi" w:cstheme="majorHAnsi"/>
          <w:b w:val="0"/>
          <w:bCs w:val="0"/>
          <w:sz w:val="24"/>
          <w:szCs w:val="24"/>
          <w:lang w:val="en-US"/>
        </w:rPr>
      </w:pPr>
    </w:p>
    <w:p w:rsidR="00756AE7" w:rsidRPr="008376FC" w:rsidRDefault="00756AE7" w:rsidP="00F61756">
      <w:pPr>
        <w:tabs>
          <w:tab w:val="left" w:pos="426"/>
        </w:tabs>
        <w:spacing w:after="0" w:line="276" w:lineRule="auto"/>
        <w:jc w:val="both"/>
        <w:rPr>
          <w:rFonts w:asciiTheme="majorHAnsi" w:eastAsiaTheme="minorEastAsia" w:hAnsiTheme="majorHAnsi" w:cstheme="majorHAnsi"/>
          <w:b w:val="0"/>
          <w:bCs w:val="0"/>
          <w:sz w:val="24"/>
          <w:szCs w:val="24"/>
        </w:rPr>
      </w:pPr>
      <w:r w:rsidRPr="008376FC">
        <w:rPr>
          <w:rFonts w:asciiTheme="majorHAnsi" w:eastAsiaTheme="minorEastAsia" w:hAnsiTheme="majorHAnsi" w:cstheme="majorHAnsi"/>
          <w:b w:val="0"/>
          <w:bCs w:val="0"/>
          <w:sz w:val="24"/>
          <w:szCs w:val="24"/>
        </w:rPr>
        <w:t>Impactul PI în domeniul alimentării cu apă și sanitație</w:t>
      </w:r>
      <w:r w:rsidR="009F36ED">
        <w:rPr>
          <w:rFonts w:asciiTheme="majorHAnsi" w:eastAsiaTheme="minorEastAsia" w:hAnsiTheme="majorHAnsi" w:cstheme="majorHAnsi"/>
          <w:b w:val="0"/>
          <w:bCs w:val="0"/>
          <w:sz w:val="24"/>
          <w:szCs w:val="24"/>
        </w:rPr>
        <w:t>i</w:t>
      </w:r>
      <w:r w:rsidRPr="008376FC">
        <w:rPr>
          <w:rFonts w:asciiTheme="majorHAnsi" w:eastAsiaTheme="minorEastAsia" w:hAnsiTheme="majorHAnsi" w:cstheme="majorHAnsi"/>
          <w:b w:val="0"/>
          <w:bCs w:val="0"/>
          <w:sz w:val="24"/>
          <w:szCs w:val="24"/>
        </w:rPr>
        <w:t xml:space="preserve"> presupune ridicarea nivelului de trai a</w:t>
      </w:r>
      <w:r w:rsidR="009F36ED">
        <w:rPr>
          <w:rFonts w:asciiTheme="majorHAnsi" w:eastAsiaTheme="minorEastAsia" w:hAnsiTheme="majorHAnsi" w:cstheme="majorHAnsi"/>
          <w:b w:val="0"/>
          <w:bCs w:val="0"/>
          <w:sz w:val="24"/>
          <w:szCs w:val="24"/>
        </w:rPr>
        <w:t>l</w:t>
      </w:r>
      <w:r w:rsidRPr="008376FC">
        <w:rPr>
          <w:rFonts w:asciiTheme="majorHAnsi" w:eastAsiaTheme="minorEastAsia" w:hAnsiTheme="majorHAnsi" w:cstheme="majorHAnsi"/>
          <w:b w:val="0"/>
          <w:bCs w:val="0"/>
          <w:sz w:val="24"/>
          <w:szCs w:val="24"/>
        </w:rPr>
        <w:t xml:space="preserve"> populației și </w:t>
      </w:r>
      <w:r w:rsidR="009F36ED">
        <w:rPr>
          <w:rFonts w:asciiTheme="majorHAnsi" w:eastAsiaTheme="minorEastAsia" w:hAnsiTheme="majorHAnsi" w:cstheme="majorHAnsi"/>
          <w:b w:val="0"/>
          <w:bCs w:val="0"/>
          <w:sz w:val="24"/>
          <w:szCs w:val="24"/>
        </w:rPr>
        <w:t xml:space="preserve">a nivelului </w:t>
      </w:r>
      <w:r w:rsidRPr="008376FC">
        <w:rPr>
          <w:rFonts w:asciiTheme="majorHAnsi" w:eastAsiaTheme="minorEastAsia" w:hAnsiTheme="majorHAnsi" w:cstheme="majorHAnsi"/>
          <w:b w:val="0"/>
          <w:bCs w:val="0"/>
          <w:sz w:val="24"/>
          <w:szCs w:val="24"/>
        </w:rPr>
        <w:t xml:space="preserve">de acces la servicii publice calitative. </w:t>
      </w:r>
    </w:p>
    <w:p w:rsidR="00756AE7" w:rsidRPr="008376FC" w:rsidRDefault="00756AE7" w:rsidP="00F61756">
      <w:pPr>
        <w:tabs>
          <w:tab w:val="left" w:pos="851"/>
        </w:tabs>
        <w:spacing w:after="0" w:line="276" w:lineRule="auto"/>
        <w:contextualSpacing/>
        <w:jc w:val="both"/>
        <w:rPr>
          <w:rFonts w:asciiTheme="majorHAnsi" w:eastAsia="Calibri" w:hAnsiTheme="majorHAnsi" w:cstheme="majorHAnsi"/>
          <w:b w:val="0"/>
          <w:iCs/>
          <w:sz w:val="24"/>
          <w:szCs w:val="24"/>
        </w:rPr>
      </w:pPr>
      <w:r w:rsidRPr="008376FC">
        <w:rPr>
          <w:rFonts w:asciiTheme="majorHAnsi" w:eastAsia="Calibri" w:hAnsiTheme="majorHAnsi" w:cstheme="majorHAnsi"/>
          <w:b w:val="0"/>
          <w:iCs/>
          <w:sz w:val="24"/>
          <w:szCs w:val="24"/>
        </w:rPr>
        <w:t xml:space="preserve">Evaluarea implementării unor PI efectuate în cadrul FNDR a constatat deficiențe care afectează eficacitatea </w:t>
      </w:r>
      <w:r w:rsidR="006C7BF6">
        <w:rPr>
          <w:rFonts w:asciiTheme="majorHAnsi" w:eastAsia="Calibri" w:hAnsiTheme="majorHAnsi" w:cstheme="majorHAnsi"/>
          <w:b w:val="0"/>
          <w:iCs/>
          <w:sz w:val="24"/>
          <w:szCs w:val="24"/>
        </w:rPr>
        <w:t>lort</w:t>
      </w:r>
      <w:r w:rsidRPr="008376FC">
        <w:rPr>
          <w:rFonts w:asciiTheme="majorHAnsi" w:eastAsia="Calibri" w:hAnsiTheme="majorHAnsi" w:cstheme="majorHAnsi"/>
          <w:b w:val="0"/>
          <w:iCs/>
          <w:sz w:val="24"/>
          <w:szCs w:val="24"/>
        </w:rPr>
        <w:t xml:space="preserve">. </w:t>
      </w:r>
    </w:p>
    <w:p w:rsidR="00756AE7" w:rsidRPr="008376FC" w:rsidRDefault="008B0E0F" w:rsidP="00F61756">
      <w:pPr>
        <w:tabs>
          <w:tab w:val="left" w:pos="851"/>
        </w:tabs>
        <w:spacing w:after="0" w:line="276" w:lineRule="auto"/>
        <w:contextualSpacing/>
        <w:jc w:val="both"/>
        <w:rPr>
          <w:rFonts w:asciiTheme="majorHAnsi" w:eastAsia="Calibri" w:hAnsiTheme="majorHAnsi" w:cstheme="majorHAnsi"/>
          <w:b w:val="0"/>
          <w:iCs/>
          <w:sz w:val="24"/>
          <w:szCs w:val="24"/>
        </w:rPr>
      </w:pPr>
      <w:r w:rsidRPr="008376FC">
        <w:rPr>
          <w:rFonts w:asciiTheme="majorHAnsi" w:eastAsia="Calibri" w:hAnsiTheme="majorHAnsi" w:cstheme="majorHAnsi"/>
          <w:b w:val="0"/>
          <w:iCs/>
          <w:sz w:val="24"/>
          <w:szCs w:val="24"/>
        </w:rPr>
        <w:t xml:space="preserve">De </w:t>
      </w:r>
      <w:r w:rsidR="00756AE7" w:rsidRPr="008376FC">
        <w:rPr>
          <w:rFonts w:asciiTheme="majorHAnsi" w:eastAsia="Calibri" w:hAnsiTheme="majorHAnsi" w:cstheme="majorHAnsi"/>
          <w:b w:val="0"/>
          <w:iCs/>
          <w:sz w:val="24"/>
          <w:szCs w:val="24"/>
        </w:rPr>
        <w:t xml:space="preserve">menționat că, urmare a capacităților reduse de cofinanțare a proiectelor din partea Autorităților Publice Locale beneficiare, s-au constatat următoarele deficiențe: </w:t>
      </w:r>
    </w:p>
    <w:p w:rsidR="00756AE7" w:rsidRPr="008376FC" w:rsidRDefault="00756AE7" w:rsidP="00F61756">
      <w:pPr>
        <w:numPr>
          <w:ilvl w:val="0"/>
          <w:numId w:val="27"/>
        </w:numPr>
        <w:tabs>
          <w:tab w:val="left" w:pos="851"/>
        </w:tabs>
        <w:spacing w:after="0" w:line="276" w:lineRule="auto"/>
        <w:ind w:left="0" w:firstLine="644"/>
        <w:contextualSpacing/>
        <w:jc w:val="both"/>
        <w:rPr>
          <w:rFonts w:asciiTheme="majorHAnsi" w:eastAsia="Calibri" w:hAnsiTheme="majorHAnsi" w:cstheme="majorHAnsi"/>
          <w:b w:val="0"/>
          <w:iCs/>
          <w:sz w:val="24"/>
          <w:szCs w:val="24"/>
        </w:rPr>
      </w:pPr>
      <w:r w:rsidRPr="008376FC">
        <w:rPr>
          <w:rFonts w:asciiTheme="majorHAnsi" w:eastAsia="Calibri" w:hAnsiTheme="majorHAnsi" w:cstheme="majorHAnsi"/>
          <w:b w:val="0"/>
          <w:iCs/>
          <w:sz w:val="24"/>
          <w:szCs w:val="24"/>
        </w:rPr>
        <w:t>rețelele construite în cadrul a 3 proiecte</w:t>
      </w:r>
      <w:r w:rsidRPr="008376FC">
        <w:rPr>
          <w:rFonts w:asciiTheme="majorHAnsi" w:hAnsiTheme="majorHAnsi" w:cstheme="majorHAnsi"/>
          <w:b w:val="0"/>
          <w:bCs w:val="0"/>
          <w:iCs/>
          <w:sz w:val="24"/>
          <w:szCs w:val="24"/>
          <w:vertAlign w:val="superscript"/>
        </w:rPr>
        <w:footnoteReference w:id="45"/>
      </w:r>
      <w:r w:rsidR="006C7BF6">
        <w:rPr>
          <w:rFonts w:asciiTheme="majorHAnsi" w:eastAsia="Calibri" w:hAnsiTheme="majorHAnsi" w:cstheme="majorHAnsi"/>
          <w:b w:val="0"/>
          <w:iCs/>
          <w:sz w:val="24"/>
          <w:szCs w:val="24"/>
        </w:rPr>
        <w:t>,</w:t>
      </w:r>
      <w:r w:rsidRPr="008376FC">
        <w:rPr>
          <w:rFonts w:asciiTheme="majorHAnsi" w:eastAsia="Calibri" w:hAnsiTheme="majorHAnsi" w:cstheme="majorHAnsi"/>
          <w:b w:val="0"/>
          <w:iCs/>
          <w:sz w:val="24"/>
          <w:szCs w:val="24"/>
          <w:vertAlign w:val="superscript"/>
        </w:rPr>
        <w:t xml:space="preserve"> </w:t>
      </w:r>
      <w:r w:rsidRPr="008376FC">
        <w:rPr>
          <w:rFonts w:asciiTheme="majorHAnsi" w:eastAsia="Calibri" w:hAnsiTheme="majorHAnsi" w:cstheme="majorHAnsi"/>
          <w:b w:val="0"/>
          <w:iCs/>
          <w:sz w:val="24"/>
          <w:szCs w:val="24"/>
        </w:rPr>
        <w:t>în valoare totală de 87,4 mil.lei</w:t>
      </w:r>
      <w:r w:rsidR="006C7BF6">
        <w:rPr>
          <w:rFonts w:asciiTheme="majorHAnsi" w:eastAsia="Calibri" w:hAnsiTheme="majorHAnsi" w:cstheme="majorHAnsi"/>
          <w:b w:val="0"/>
          <w:iCs/>
          <w:sz w:val="24"/>
          <w:szCs w:val="24"/>
        </w:rPr>
        <w:t>,</w:t>
      </w:r>
      <w:r w:rsidRPr="008376FC">
        <w:rPr>
          <w:rFonts w:asciiTheme="majorHAnsi" w:eastAsia="Calibri" w:hAnsiTheme="majorHAnsi" w:cstheme="majorHAnsi"/>
          <w:b w:val="0"/>
          <w:iCs/>
          <w:sz w:val="24"/>
          <w:szCs w:val="24"/>
        </w:rPr>
        <w:t xml:space="preserve"> rămân neexploatate</w:t>
      </w:r>
      <w:r w:rsidR="006C7BF6">
        <w:rPr>
          <w:rFonts w:asciiTheme="majorHAnsi" w:eastAsia="Calibri" w:hAnsiTheme="majorHAnsi" w:cstheme="majorHAnsi"/>
          <w:b w:val="0"/>
          <w:iCs/>
          <w:sz w:val="24"/>
          <w:szCs w:val="24"/>
        </w:rPr>
        <w:t>;</w:t>
      </w:r>
    </w:p>
    <w:p w:rsidR="00756AE7" w:rsidRPr="008376FC" w:rsidRDefault="00756AE7" w:rsidP="00F61756">
      <w:pPr>
        <w:numPr>
          <w:ilvl w:val="0"/>
          <w:numId w:val="27"/>
        </w:numPr>
        <w:tabs>
          <w:tab w:val="left" w:pos="851"/>
        </w:tabs>
        <w:spacing w:after="0" w:line="276" w:lineRule="auto"/>
        <w:ind w:left="0" w:firstLine="567"/>
        <w:contextualSpacing/>
        <w:jc w:val="both"/>
        <w:rPr>
          <w:rFonts w:asciiTheme="majorHAnsi" w:eastAsia="Calibri" w:hAnsiTheme="majorHAnsi" w:cstheme="majorHAnsi"/>
          <w:b w:val="0"/>
          <w:iCs/>
          <w:sz w:val="24"/>
          <w:szCs w:val="24"/>
        </w:rPr>
      </w:pPr>
      <w:r w:rsidRPr="008376FC">
        <w:rPr>
          <w:rFonts w:asciiTheme="majorHAnsi" w:eastAsia="Calibri" w:hAnsiTheme="majorHAnsi" w:cstheme="majorHAnsi"/>
          <w:b w:val="0"/>
          <w:iCs/>
          <w:sz w:val="24"/>
          <w:szCs w:val="24"/>
        </w:rPr>
        <w:t>pregătirea necalitativă a documentației tehnice</w:t>
      </w:r>
      <w:r w:rsidRPr="008376FC" w:rsidDel="007A7FC9">
        <w:rPr>
          <w:rFonts w:asciiTheme="majorHAnsi" w:eastAsia="Calibri" w:hAnsiTheme="majorHAnsi" w:cstheme="majorHAnsi"/>
          <w:b w:val="0"/>
          <w:iCs/>
          <w:sz w:val="24"/>
          <w:szCs w:val="24"/>
        </w:rPr>
        <w:t xml:space="preserve"> </w:t>
      </w:r>
      <w:r w:rsidRPr="008376FC">
        <w:rPr>
          <w:rFonts w:asciiTheme="majorHAnsi" w:eastAsia="Calibri" w:hAnsiTheme="majorHAnsi" w:cstheme="majorHAnsi"/>
          <w:b w:val="0"/>
          <w:iCs/>
          <w:sz w:val="24"/>
          <w:szCs w:val="24"/>
        </w:rPr>
        <w:t>a unui proiect</w:t>
      </w:r>
      <w:r w:rsidRPr="008376FC">
        <w:rPr>
          <w:rFonts w:asciiTheme="majorHAnsi" w:eastAsia="Calibri" w:hAnsiTheme="majorHAnsi" w:cstheme="majorHAnsi"/>
          <w:b w:val="0"/>
          <w:iCs/>
          <w:sz w:val="24"/>
          <w:szCs w:val="24"/>
          <w:vertAlign w:val="superscript"/>
        </w:rPr>
        <w:footnoteReference w:id="46"/>
      </w:r>
      <w:r w:rsidR="006C7BF6">
        <w:rPr>
          <w:rFonts w:asciiTheme="majorHAnsi" w:eastAsia="Calibri" w:hAnsiTheme="majorHAnsi" w:cstheme="majorHAnsi"/>
          <w:b w:val="0"/>
          <w:iCs/>
          <w:sz w:val="24"/>
          <w:szCs w:val="24"/>
        </w:rPr>
        <w:t>,</w:t>
      </w:r>
      <w:r w:rsidRPr="008376FC">
        <w:rPr>
          <w:rFonts w:asciiTheme="majorHAnsi" w:eastAsia="Calibri" w:hAnsiTheme="majorHAnsi" w:cstheme="majorHAnsi"/>
          <w:b w:val="0"/>
          <w:iCs/>
          <w:sz w:val="24"/>
          <w:szCs w:val="24"/>
        </w:rPr>
        <w:t xml:space="preserve"> în valoare totală de 20,8 mil.lei, a determinat tergiversarea realizării în termen a acestuia;</w:t>
      </w:r>
    </w:p>
    <w:p w:rsidR="00756AE7" w:rsidRPr="008376FC" w:rsidRDefault="00756AE7" w:rsidP="00F61756">
      <w:pPr>
        <w:numPr>
          <w:ilvl w:val="0"/>
          <w:numId w:val="27"/>
        </w:numPr>
        <w:tabs>
          <w:tab w:val="left" w:pos="851"/>
        </w:tabs>
        <w:spacing w:after="0" w:line="276" w:lineRule="auto"/>
        <w:ind w:left="0" w:firstLine="644"/>
        <w:contextualSpacing/>
        <w:jc w:val="both"/>
        <w:rPr>
          <w:rFonts w:asciiTheme="majorHAnsi" w:eastAsia="Calibri" w:hAnsiTheme="majorHAnsi" w:cstheme="majorHAnsi"/>
          <w:b w:val="0"/>
          <w:iCs/>
          <w:sz w:val="24"/>
          <w:szCs w:val="24"/>
        </w:rPr>
      </w:pPr>
      <w:r w:rsidRPr="008376FC">
        <w:rPr>
          <w:rFonts w:asciiTheme="majorHAnsi" w:eastAsia="Calibri" w:hAnsiTheme="majorHAnsi" w:cstheme="majorHAnsi"/>
          <w:b w:val="0"/>
          <w:iCs/>
          <w:sz w:val="24"/>
          <w:szCs w:val="24"/>
        </w:rPr>
        <w:t>extinderea termen</w:t>
      </w:r>
      <w:r w:rsidR="006C7BF6">
        <w:rPr>
          <w:rFonts w:asciiTheme="majorHAnsi" w:eastAsia="Calibri" w:hAnsiTheme="majorHAnsi" w:cstheme="majorHAnsi"/>
          <w:b w:val="0"/>
          <w:iCs/>
          <w:sz w:val="24"/>
          <w:szCs w:val="24"/>
        </w:rPr>
        <w:t>e</w:t>
      </w:r>
      <w:r w:rsidRPr="008376FC">
        <w:rPr>
          <w:rFonts w:asciiTheme="majorHAnsi" w:eastAsia="Calibri" w:hAnsiTheme="majorHAnsi" w:cstheme="majorHAnsi"/>
          <w:b w:val="0"/>
          <w:iCs/>
          <w:sz w:val="24"/>
          <w:szCs w:val="24"/>
        </w:rPr>
        <w:t>lor de realizare și</w:t>
      </w:r>
      <w:r w:rsidR="006C7BF6">
        <w:rPr>
          <w:rFonts w:asciiTheme="majorHAnsi" w:eastAsia="Calibri" w:hAnsiTheme="majorHAnsi" w:cstheme="majorHAnsi"/>
          <w:b w:val="0"/>
          <w:iCs/>
          <w:sz w:val="24"/>
          <w:szCs w:val="24"/>
        </w:rPr>
        <w:t>,</w:t>
      </w:r>
      <w:r w:rsidRPr="008376FC">
        <w:rPr>
          <w:rFonts w:asciiTheme="majorHAnsi" w:eastAsia="Calibri" w:hAnsiTheme="majorHAnsi" w:cstheme="majorHAnsi"/>
          <w:b w:val="0"/>
          <w:iCs/>
          <w:sz w:val="24"/>
          <w:szCs w:val="24"/>
        </w:rPr>
        <w:t xml:space="preserve"> ca urmare</w:t>
      </w:r>
      <w:r w:rsidR="006C7BF6">
        <w:rPr>
          <w:rFonts w:asciiTheme="majorHAnsi" w:eastAsia="Calibri" w:hAnsiTheme="majorHAnsi" w:cstheme="majorHAnsi"/>
          <w:b w:val="0"/>
          <w:iCs/>
          <w:sz w:val="24"/>
          <w:szCs w:val="24"/>
        </w:rPr>
        <w:t>,</w:t>
      </w:r>
      <w:r w:rsidRPr="008376FC">
        <w:rPr>
          <w:rFonts w:asciiTheme="majorHAnsi" w:eastAsia="Calibri" w:hAnsiTheme="majorHAnsi" w:cstheme="majorHAnsi"/>
          <w:b w:val="0"/>
          <w:iCs/>
          <w:sz w:val="24"/>
          <w:szCs w:val="24"/>
        </w:rPr>
        <w:t xml:space="preserve"> includerea în mai multe DUP a 4 proiecte</w:t>
      </w:r>
      <w:r w:rsidRPr="008376FC">
        <w:rPr>
          <w:rFonts w:asciiTheme="majorHAnsi" w:eastAsia="Calibri" w:hAnsiTheme="majorHAnsi" w:cstheme="majorHAnsi"/>
          <w:b w:val="0"/>
          <w:iCs/>
          <w:sz w:val="24"/>
          <w:szCs w:val="24"/>
          <w:vertAlign w:val="superscript"/>
        </w:rPr>
        <w:footnoteReference w:id="47"/>
      </w:r>
      <w:r w:rsidRPr="008376FC">
        <w:rPr>
          <w:rFonts w:asciiTheme="majorHAnsi" w:eastAsia="Calibri" w:hAnsiTheme="majorHAnsi" w:cstheme="majorHAnsi"/>
          <w:b w:val="0"/>
          <w:iCs/>
          <w:sz w:val="24"/>
          <w:szCs w:val="24"/>
        </w:rPr>
        <w:t xml:space="preserve"> în valoare de 122,05 mil.lei.</w:t>
      </w:r>
    </w:p>
    <w:p w:rsidR="00756AE7" w:rsidRPr="008376FC" w:rsidRDefault="00756AE7" w:rsidP="00F61756">
      <w:pPr>
        <w:tabs>
          <w:tab w:val="left" w:pos="851"/>
        </w:tabs>
        <w:spacing w:after="0" w:line="276" w:lineRule="auto"/>
        <w:ind w:firstLine="284"/>
        <w:contextualSpacing/>
        <w:jc w:val="both"/>
        <w:rPr>
          <w:rFonts w:asciiTheme="majorHAnsi" w:eastAsia="Calibri" w:hAnsiTheme="majorHAnsi" w:cstheme="majorHAnsi"/>
          <w:b w:val="0"/>
          <w:iCs/>
          <w:sz w:val="24"/>
          <w:szCs w:val="24"/>
        </w:rPr>
      </w:pPr>
    </w:p>
    <w:p w:rsidR="00756AE7" w:rsidRPr="008376FC" w:rsidRDefault="00756AE7" w:rsidP="00F61756">
      <w:pPr>
        <w:tabs>
          <w:tab w:val="left" w:pos="851"/>
        </w:tabs>
        <w:spacing w:after="0" w:line="276" w:lineRule="auto"/>
        <w:ind w:firstLine="284"/>
        <w:contextualSpacing/>
        <w:jc w:val="both"/>
        <w:rPr>
          <w:rFonts w:asciiTheme="majorHAnsi" w:eastAsia="Calibri" w:hAnsiTheme="majorHAnsi" w:cstheme="majorHAnsi"/>
          <w:b w:val="0"/>
          <w:iCs/>
          <w:sz w:val="24"/>
          <w:szCs w:val="24"/>
        </w:rPr>
      </w:pPr>
      <w:r w:rsidRPr="008376FC">
        <w:rPr>
          <w:rFonts w:asciiTheme="majorHAnsi" w:eastAsia="Calibri" w:hAnsiTheme="majorHAnsi" w:cstheme="majorHAnsi"/>
          <w:b w:val="0"/>
          <w:iCs/>
          <w:sz w:val="24"/>
          <w:szCs w:val="24"/>
        </w:rPr>
        <w:t>În cadrul verificării unor PI s</w:t>
      </w:r>
      <w:r w:rsidR="002958B5">
        <w:rPr>
          <w:rFonts w:asciiTheme="majorHAnsi" w:eastAsia="Calibri" w:hAnsiTheme="majorHAnsi" w:cstheme="majorHAnsi"/>
          <w:b w:val="0"/>
          <w:iCs/>
          <w:sz w:val="24"/>
          <w:szCs w:val="24"/>
        </w:rPr>
        <w:t>-</w:t>
      </w:r>
      <w:r w:rsidRPr="008376FC">
        <w:rPr>
          <w:rFonts w:asciiTheme="majorHAnsi" w:eastAsia="Calibri" w:hAnsiTheme="majorHAnsi" w:cstheme="majorHAnsi"/>
          <w:b w:val="0"/>
          <w:iCs/>
          <w:sz w:val="24"/>
          <w:szCs w:val="24"/>
        </w:rPr>
        <w:t>au constatat următoarele deficiențe.</w:t>
      </w:r>
    </w:p>
    <w:p w:rsidR="00756AE7" w:rsidRPr="008376FC" w:rsidRDefault="00756AE7" w:rsidP="00F61756">
      <w:pPr>
        <w:tabs>
          <w:tab w:val="left" w:pos="851"/>
        </w:tabs>
        <w:spacing w:after="0" w:line="276" w:lineRule="auto"/>
        <w:ind w:firstLine="284"/>
        <w:contextualSpacing/>
        <w:jc w:val="both"/>
        <w:rPr>
          <w:rFonts w:asciiTheme="majorHAnsi" w:eastAsia="Calibri" w:hAnsiTheme="majorHAnsi" w:cstheme="majorHAnsi"/>
          <w:b w:val="0"/>
          <w:iCs/>
          <w:sz w:val="24"/>
          <w:szCs w:val="24"/>
        </w:rPr>
      </w:pPr>
    </w:p>
    <w:bookmarkEnd w:id="33"/>
    <w:p w:rsidR="00756AE7" w:rsidRPr="008376FC" w:rsidRDefault="00756AE7" w:rsidP="00F61756">
      <w:pPr>
        <w:numPr>
          <w:ilvl w:val="0"/>
          <w:numId w:val="28"/>
        </w:numPr>
        <w:spacing w:after="0" w:line="276" w:lineRule="auto"/>
        <w:ind w:left="0" w:firstLine="426"/>
        <w:contextualSpacing/>
        <w:jc w:val="both"/>
        <w:rPr>
          <w:rFonts w:asciiTheme="majorHAnsi" w:hAnsiTheme="majorHAnsi" w:cstheme="majorHAnsi"/>
          <w:sz w:val="24"/>
          <w:szCs w:val="24"/>
          <w:shd w:val="clear" w:color="auto" w:fill="FFFFFF"/>
        </w:rPr>
      </w:pPr>
      <w:r w:rsidRPr="008376FC">
        <w:rPr>
          <w:rFonts w:asciiTheme="majorHAnsi" w:hAnsiTheme="majorHAnsi" w:cstheme="majorHAnsi"/>
          <w:sz w:val="24"/>
          <w:szCs w:val="24"/>
          <w:shd w:val="clear" w:color="auto" w:fill="FFFFFF"/>
        </w:rPr>
        <w:t xml:space="preserve"> Proiectul „Îmbunătățirea calității vieții populației rurale prin construcția sistemelor de apă potabilă și de canalizare, regionalizarea serviciilor comunale în satele din lunca râului Lapușnița, raionul Hâncești”  inițiat în 2014</w:t>
      </w:r>
      <w:r w:rsidR="002958B5">
        <w:rPr>
          <w:rFonts w:asciiTheme="majorHAnsi" w:hAnsiTheme="majorHAnsi" w:cstheme="majorHAnsi"/>
          <w:sz w:val="24"/>
          <w:szCs w:val="24"/>
          <w:shd w:val="clear" w:color="auto" w:fill="FFFFFF"/>
        </w:rPr>
        <w:t>,</w:t>
      </w:r>
      <w:r w:rsidRPr="008376FC">
        <w:rPr>
          <w:rFonts w:asciiTheme="majorHAnsi" w:hAnsiTheme="majorHAnsi" w:cstheme="majorHAnsi"/>
          <w:sz w:val="24"/>
          <w:szCs w:val="24"/>
          <w:shd w:val="clear" w:color="auto" w:fill="FFFFFF"/>
        </w:rPr>
        <w:t xml:space="preserve"> în valoare </w:t>
      </w:r>
      <w:r w:rsidR="002958B5">
        <w:rPr>
          <w:rFonts w:asciiTheme="majorHAnsi" w:hAnsiTheme="majorHAnsi" w:cstheme="majorHAnsi"/>
          <w:sz w:val="24"/>
          <w:szCs w:val="24"/>
          <w:shd w:val="clear" w:color="auto" w:fill="FFFFFF"/>
        </w:rPr>
        <w:t xml:space="preserve">de </w:t>
      </w:r>
      <w:r w:rsidRPr="008376FC">
        <w:rPr>
          <w:rFonts w:asciiTheme="majorHAnsi" w:hAnsiTheme="majorHAnsi" w:cstheme="majorHAnsi"/>
          <w:sz w:val="24"/>
          <w:szCs w:val="24"/>
          <w:shd w:val="clear" w:color="auto" w:fill="FFFFFF"/>
        </w:rPr>
        <w:t>20,8 mil.lei.</w:t>
      </w:r>
    </w:p>
    <w:p w:rsidR="00987F71" w:rsidRDefault="00756AE7" w:rsidP="00376C62">
      <w:pPr>
        <w:spacing w:after="0" w:line="276" w:lineRule="auto"/>
        <w:jc w:val="both"/>
        <w:rPr>
          <w:rFonts w:asciiTheme="majorHAnsi" w:eastAsia="Calibri" w:hAnsiTheme="majorHAnsi" w:cstheme="majorHAnsi"/>
          <w:sz w:val="20"/>
          <w:szCs w:val="20"/>
        </w:rPr>
      </w:pPr>
      <w:r w:rsidRPr="008376FC">
        <w:rPr>
          <w:rFonts w:asciiTheme="majorHAnsi" w:eastAsia="Calibri" w:hAnsiTheme="majorHAnsi" w:cstheme="majorHAnsi"/>
          <w:b w:val="0"/>
          <w:sz w:val="24"/>
          <w:szCs w:val="24"/>
        </w:rPr>
        <w:t>Proiectul a prevăzut lucrări de construcție a sistemului de canalizare și apeduct în s. Sofia și a sistemului de canalizare în satele Bălceana și Negrea, fiind inclus în 3 DUP</w:t>
      </w:r>
      <w:r w:rsidRPr="008376FC">
        <w:rPr>
          <w:rFonts w:asciiTheme="majorHAnsi" w:eastAsia="Calibri" w:hAnsiTheme="majorHAnsi" w:cstheme="majorHAnsi"/>
          <w:b w:val="0"/>
          <w:sz w:val="24"/>
          <w:szCs w:val="24"/>
          <w:vertAlign w:val="superscript"/>
        </w:rPr>
        <w:footnoteReference w:id="48"/>
      </w:r>
      <w:r w:rsidRPr="008376FC">
        <w:rPr>
          <w:rFonts w:asciiTheme="majorHAnsi" w:eastAsia="Calibri" w:hAnsiTheme="majorHAnsi" w:cstheme="majorHAnsi"/>
          <w:b w:val="0"/>
          <w:sz w:val="24"/>
          <w:szCs w:val="24"/>
        </w:rPr>
        <w:t>. Pentru implementarea acestuia, din FNDR au fost alocate 20,8 mil.lei, fiind construite 27,6 km de rețele de canalizare, 1 stație de epurare a apelor uzate și 2 stații de pompare. Executarea lucrărilor s-a realizat cu tergiversare</w:t>
      </w:r>
      <w:r w:rsidR="002958B5">
        <w:rPr>
          <w:rFonts w:asciiTheme="majorHAnsi" w:eastAsia="Calibri" w:hAnsiTheme="majorHAnsi" w:cstheme="majorHAnsi"/>
          <w:b w:val="0"/>
          <w:sz w:val="24"/>
          <w:szCs w:val="24"/>
        </w:rPr>
        <w:t>a</w:t>
      </w:r>
      <w:r w:rsidRPr="008376FC">
        <w:rPr>
          <w:rFonts w:asciiTheme="majorHAnsi" w:eastAsia="Calibri" w:hAnsiTheme="majorHAnsi" w:cstheme="majorHAnsi"/>
          <w:b w:val="0"/>
          <w:sz w:val="24"/>
          <w:szCs w:val="24"/>
        </w:rPr>
        <w:t xml:space="preserve"> de 81 de luni față de termenul stabilit inițial în contract (8 luni), sau </w:t>
      </w:r>
      <w:r w:rsidR="002958B5">
        <w:rPr>
          <w:rFonts w:asciiTheme="majorHAnsi" w:eastAsia="Calibri" w:hAnsiTheme="majorHAnsi" w:cstheme="majorHAnsi"/>
          <w:b w:val="0"/>
          <w:sz w:val="24"/>
          <w:szCs w:val="24"/>
        </w:rPr>
        <w:t xml:space="preserve">cu </w:t>
      </w:r>
      <w:r w:rsidRPr="008376FC">
        <w:rPr>
          <w:rFonts w:asciiTheme="majorHAnsi" w:eastAsia="Calibri" w:hAnsiTheme="majorHAnsi" w:cstheme="majorHAnsi"/>
          <w:b w:val="0"/>
          <w:sz w:val="24"/>
          <w:szCs w:val="24"/>
        </w:rPr>
        <w:t>peste 6 ani.  Totodată</w:t>
      </w:r>
      <w:r w:rsidR="002958B5">
        <w:rPr>
          <w:rFonts w:asciiTheme="majorHAnsi" w:eastAsia="Calibri" w:hAnsiTheme="majorHAnsi" w:cstheme="majorHAnsi"/>
          <w:b w:val="0"/>
          <w:sz w:val="24"/>
          <w:szCs w:val="24"/>
        </w:rPr>
        <w:t>,</w:t>
      </w:r>
      <w:r w:rsidRPr="008376FC">
        <w:rPr>
          <w:rFonts w:asciiTheme="majorHAnsi" w:eastAsia="Calibri" w:hAnsiTheme="majorHAnsi" w:cstheme="majorHAnsi"/>
          <w:b w:val="0"/>
          <w:sz w:val="24"/>
          <w:szCs w:val="24"/>
        </w:rPr>
        <w:t xml:space="preserve"> pe parcursul implementării PI respectiv</w:t>
      </w:r>
      <w:r w:rsidR="002958B5">
        <w:rPr>
          <w:rFonts w:asciiTheme="majorHAnsi" w:eastAsia="Calibri" w:hAnsiTheme="majorHAnsi" w:cstheme="majorHAnsi"/>
          <w:b w:val="0"/>
          <w:sz w:val="24"/>
          <w:szCs w:val="24"/>
        </w:rPr>
        <w:t>,</w:t>
      </w:r>
      <w:r w:rsidRPr="008376FC">
        <w:rPr>
          <w:rFonts w:asciiTheme="majorHAnsi" w:eastAsia="Calibri" w:hAnsiTheme="majorHAnsi" w:cstheme="majorHAnsi"/>
          <w:b w:val="0"/>
          <w:sz w:val="24"/>
          <w:szCs w:val="24"/>
        </w:rPr>
        <w:t xml:space="preserve"> au fost încheiate 3 contracte pentru executarea lucrărilor, 2 fiind reziliate </w:t>
      </w:r>
      <w:r w:rsidR="002958B5">
        <w:rPr>
          <w:rFonts w:asciiTheme="majorHAnsi" w:eastAsia="Calibri" w:hAnsiTheme="majorHAnsi" w:cstheme="majorHAnsi"/>
          <w:b w:val="0"/>
          <w:sz w:val="24"/>
          <w:szCs w:val="24"/>
        </w:rPr>
        <w:t>din cauza</w:t>
      </w:r>
      <w:r w:rsidRPr="008376FC">
        <w:rPr>
          <w:rFonts w:asciiTheme="majorHAnsi" w:eastAsia="Calibri" w:hAnsiTheme="majorHAnsi" w:cstheme="majorHAnsi"/>
          <w:b w:val="0"/>
          <w:sz w:val="24"/>
          <w:szCs w:val="24"/>
        </w:rPr>
        <w:t xml:space="preserve"> neîndeplinirii lucrărilor în termenul stipulat în contract şi/sau executarea necalitativă a lucrărilor.  </w:t>
      </w:r>
    </w:p>
    <w:p w:rsidR="00036EAE" w:rsidRDefault="00756AE7" w:rsidP="00F61756">
      <w:pPr>
        <w:spacing w:after="0" w:line="276" w:lineRule="auto"/>
        <w:jc w:val="right"/>
        <w:rPr>
          <w:rFonts w:asciiTheme="majorHAnsi" w:eastAsiaTheme="minorEastAsia" w:hAnsiTheme="majorHAnsi" w:cstheme="majorHAnsi"/>
          <w:bCs w:val="0"/>
          <w:sz w:val="20"/>
          <w:szCs w:val="20"/>
        </w:rPr>
      </w:pPr>
      <w:r w:rsidRPr="008376FC">
        <w:rPr>
          <w:rFonts w:asciiTheme="majorHAnsi" w:eastAsia="Calibri" w:hAnsiTheme="majorHAnsi" w:cstheme="majorHAnsi"/>
          <w:sz w:val="20"/>
          <w:szCs w:val="20"/>
        </w:rPr>
        <w:t>Tabelul nr.</w:t>
      </w:r>
      <w:r w:rsidR="00E21298" w:rsidRPr="008376FC">
        <w:rPr>
          <w:rFonts w:asciiTheme="majorHAnsi" w:eastAsia="Calibri" w:hAnsiTheme="majorHAnsi" w:cstheme="majorHAnsi"/>
          <w:sz w:val="20"/>
          <w:szCs w:val="20"/>
        </w:rPr>
        <w:t>1</w:t>
      </w:r>
      <w:r w:rsidRPr="008376FC">
        <w:rPr>
          <w:rFonts w:asciiTheme="majorHAnsi" w:eastAsia="Calibri" w:hAnsiTheme="majorHAnsi" w:cstheme="majorHAnsi"/>
          <w:sz w:val="20"/>
          <w:szCs w:val="20"/>
        </w:rPr>
        <w:t>2</w:t>
      </w:r>
    </w:p>
    <w:p w:rsidR="00756AE7" w:rsidRPr="008376FC" w:rsidRDefault="00756AE7" w:rsidP="00F61756">
      <w:pPr>
        <w:spacing w:after="0" w:line="276" w:lineRule="auto"/>
        <w:jc w:val="both"/>
        <w:rPr>
          <w:rFonts w:asciiTheme="majorHAnsi" w:eastAsiaTheme="minorEastAsia" w:hAnsiTheme="majorHAnsi" w:cstheme="majorHAnsi"/>
          <w:bCs w:val="0"/>
          <w:sz w:val="20"/>
          <w:szCs w:val="20"/>
        </w:rPr>
      </w:pPr>
      <w:r w:rsidRPr="008376FC">
        <w:rPr>
          <w:rFonts w:asciiTheme="majorHAnsi" w:eastAsiaTheme="minorEastAsia" w:hAnsiTheme="majorHAnsi" w:cstheme="majorHAnsi"/>
          <w:bCs w:val="0"/>
          <w:sz w:val="20"/>
          <w:szCs w:val="20"/>
        </w:rPr>
        <w:t>Contractele încheiate în vederea executării lucrărilor în satele din lunca râului Lăpușnița, raionul H</w:t>
      </w:r>
      <w:r w:rsidR="002958B5">
        <w:rPr>
          <w:rFonts w:asciiTheme="majorHAnsi" w:eastAsiaTheme="minorEastAsia" w:hAnsiTheme="majorHAnsi" w:cstheme="majorHAnsi"/>
          <w:bCs w:val="0"/>
          <w:sz w:val="20"/>
          <w:szCs w:val="20"/>
        </w:rPr>
        <w:t>â</w:t>
      </w:r>
      <w:r w:rsidRPr="008376FC">
        <w:rPr>
          <w:rFonts w:asciiTheme="majorHAnsi" w:eastAsiaTheme="minorEastAsia" w:hAnsiTheme="majorHAnsi" w:cstheme="majorHAnsi"/>
          <w:bCs w:val="0"/>
          <w:sz w:val="20"/>
          <w:szCs w:val="20"/>
        </w:rPr>
        <w:t>ncești</w:t>
      </w:r>
    </w:p>
    <w:tbl>
      <w:tblPr>
        <w:tblStyle w:val="TableGrid10"/>
        <w:tblW w:w="9600" w:type="dxa"/>
        <w:tblInd w:w="108" w:type="dxa"/>
        <w:tblLook w:val="04A0" w:firstRow="1" w:lastRow="0" w:firstColumn="1" w:lastColumn="0" w:noHBand="0" w:noVBand="1"/>
      </w:tblPr>
      <w:tblGrid>
        <w:gridCol w:w="567"/>
        <w:gridCol w:w="1662"/>
        <w:gridCol w:w="1168"/>
        <w:gridCol w:w="856"/>
        <w:gridCol w:w="709"/>
        <w:gridCol w:w="886"/>
        <w:gridCol w:w="815"/>
        <w:gridCol w:w="921"/>
        <w:gridCol w:w="2016"/>
      </w:tblGrid>
      <w:tr w:rsidR="00756AE7" w:rsidRPr="008376FC" w:rsidTr="00B05EB5">
        <w:trPr>
          <w:trHeight w:val="511"/>
        </w:trPr>
        <w:tc>
          <w:tcPr>
            <w:tcW w:w="567" w:type="dxa"/>
            <w:vMerge w:val="restart"/>
            <w:shd w:val="clear" w:color="auto" w:fill="BDD6EE" w:themeFill="accent1" w:themeFillTint="66"/>
            <w:vAlign w:val="center"/>
          </w:tcPr>
          <w:p w:rsidR="00756AE7" w:rsidRPr="008376FC" w:rsidRDefault="00756AE7" w:rsidP="00F61756">
            <w:pPr>
              <w:spacing w:line="276" w:lineRule="auto"/>
              <w:jc w:val="both"/>
              <w:rPr>
                <w:rFonts w:asciiTheme="majorHAnsi" w:eastAsiaTheme="minorEastAsia" w:hAnsiTheme="majorHAnsi" w:cstheme="majorHAnsi"/>
                <w:sz w:val="18"/>
                <w:szCs w:val="18"/>
              </w:rPr>
            </w:pPr>
            <w:r w:rsidRPr="008376FC">
              <w:rPr>
                <w:rFonts w:asciiTheme="majorHAnsi" w:eastAsiaTheme="minorEastAsia" w:hAnsiTheme="majorHAnsi" w:cstheme="majorHAnsi"/>
                <w:sz w:val="18"/>
                <w:szCs w:val="18"/>
              </w:rPr>
              <w:t xml:space="preserve">Nr. </w:t>
            </w:r>
            <w:r w:rsidR="002958B5">
              <w:rPr>
                <w:rFonts w:asciiTheme="majorHAnsi" w:eastAsiaTheme="minorEastAsia" w:hAnsiTheme="majorHAnsi" w:cstheme="majorHAnsi"/>
                <w:sz w:val="18"/>
                <w:szCs w:val="18"/>
              </w:rPr>
              <w:t>crt.</w:t>
            </w:r>
          </w:p>
        </w:tc>
        <w:tc>
          <w:tcPr>
            <w:tcW w:w="1662" w:type="dxa"/>
            <w:vMerge w:val="restart"/>
            <w:shd w:val="clear" w:color="auto" w:fill="BDD6EE" w:themeFill="accent1" w:themeFillTint="66"/>
            <w:vAlign w:val="center"/>
          </w:tcPr>
          <w:p w:rsidR="00756AE7" w:rsidRPr="008376FC" w:rsidRDefault="00756AE7" w:rsidP="00F61756">
            <w:pPr>
              <w:spacing w:line="276" w:lineRule="auto"/>
              <w:jc w:val="both"/>
              <w:rPr>
                <w:rFonts w:asciiTheme="majorHAnsi" w:eastAsiaTheme="minorEastAsia" w:hAnsiTheme="majorHAnsi" w:cstheme="majorHAnsi"/>
                <w:sz w:val="18"/>
                <w:szCs w:val="18"/>
              </w:rPr>
            </w:pPr>
            <w:r w:rsidRPr="008376FC">
              <w:rPr>
                <w:rFonts w:asciiTheme="majorHAnsi" w:eastAsiaTheme="minorEastAsia" w:hAnsiTheme="majorHAnsi" w:cstheme="majorHAnsi"/>
                <w:sz w:val="18"/>
                <w:szCs w:val="18"/>
              </w:rPr>
              <w:t>Anreprenorul</w:t>
            </w:r>
          </w:p>
        </w:tc>
        <w:tc>
          <w:tcPr>
            <w:tcW w:w="1168" w:type="dxa"/>
            <w:vMerge w:val="restart"/>
            <w:shd w:val="clear" w:color="auto" w:fill="BDD6EE" w:themeFill="accent1" w:themeFillTint="66"/>
            <w:vAlign w:val="center"/>
          </w:tcPr>
          <w:p w:rsidR="00756AE7" w:rsidRPr="008376FC" w:rsidRDefault="00756AE7" w:rsidP="00F61756">
            <w:pPr>
              <w:spacing w:line="276" w:lineRule="auto"/>
              <w:jc w:val="both"/>
              <w:rPr>
                <w:rFonts w:asciiTheme="majorHAnsi" w:eastAsiaTheme="minorEastAsia" w:hAnsiTheme="majorHAnsi" w:cstheme="majorHAnsi"/>
                <w:sz w:val="18"/>
                <w:szCs w:val="18"/>
              </w:rPr>
            </w:pPr>
            <w:r w:rsidRPr="008376FC">
              <w:rPr>
                <w:rFonts w:asciiTheme="majorHAnsi" w:eastAsiaTheme="minorEastAsia" w:hAnsiTheme="majorHAnsi" w:cstheme="majorHAnsi"/>
                <w:sz w:val="18"/>
                <w:szCs w:val="18"/>
              </w:rPr>
              <w:t>Nr. şi data încheierii contractului</w:t>
            </w:r>
          </w:p>
        </w:tc>
        <w:tc>
          <w:tcPr>
            <w:tcW w:w="2451" w:type="dxa"/>
            <w:gridSpan w:val="3"/>
            <w:shd w:val="clear" w:color="auto" w:fill="BDD6EE" w:themeFill="accent1" w:themeFillTint="66"/>
            <w:vAlign w:val="center"/>
          </w:tcPr>
          <w:p w:rsidR="00756AE7" w:rsidRPr="008376FC" w:rsidRDefault="00756AE7" w:rsidP="00F61756">
            <w:pPr>
              <w:spacing w:line="276" w:lineRule="auto"/>
              <w:jc w:val="both"/>
              <w:rPr>
                <w:rFonts w:asciiTheme="majorHAnsi" w:eastAsiaTheme="minorEastAsia" w:hAnsiTheme="majorHAnsi" w:cstheme="majorHAnsi"/>
                <w:sz w:val="18"/>
                <w:szCs w:val="18"/>
              </w:rPr>
            </w:pPr>
            <w:r w:rsidRPr="008376FC">
              <w:rPr>
                <w:rFonts w:asciiTheme="majorHAnsi" w:eastAsiaTheme="minorEastAsia" w:hAnsiTheme="majorHAnsi" w:cstheme="majorHAnsi"/>
                <w:sz w:val="18"/>
                <w:szCs w:val="18"/>
              </w:rPr>
              <w:t>Valoarea, mil. lei</w:t>
            </w:r>
          </w:p>
        </w:tc>
        <w:tc>
          <w:tcPr>
            <w:tcW w:w="1736" w:type="dxa"/>
            <w:gridSpan w:val="2"/>
            <w:shd w:val="clear" w:color="auto" w:fill="BDD6EE" w:themeFill="accent1" w:themeFillTint="66"/>
            <w:vAlign w:val="center"/>
          </w:tcPr>
          <w:p w:rsidR="00756AE7" w:rsidRPr="008376FC" w:rsidRDefault="00756AE7" w:rsidP="00F61756">
            <w:pPr>
              <w:spacing w:line="276" w:lineRule="auto"/>
              <w:jc w:val="both"/>
              <w:rPr>
                <w:rFonts w:asciiTheme="majorHAnsi" w:eastAsiaTheme="minorEastAsia" w:hAnsiTheme="majorHAnsi" w:cstheme="majorHAnsi"/>
                <w:sz w:val="18"/>
                <w:szCs w:val="18"/>
              </w:rPr>
            </w:pPr>
            <w:r w:rsidRPr="008376FC">
              <w:rPr>
                <w:rFonts w:asciiTheme="majorHAnsi" w:eastAsiaTheme="minorEastAsia" w:hAnsiTheme="majorHAnsi" w:cstheme="majorHAnsi"/>
                <w:sz w:val="18"/>
                <w:szCs w:val="18"/>
              </w:rPr>
              <w:t>Termenul de executare a lucrărilor, luni</w:t>
            </w:r>
          </w:p>
        </w:tc>
        <w:tc>
          <w:tcPr>
            <w:tcW w:w="2016" w:type="dxa"/>
            <w:vMerge w:val="restart"/>
            <w:shd w:val="clear" w:color="auto" w:fill="BDD6EE" w:themeFill="accent1" w:themeFillTint="66"/>
            <w:vAlign w:val="center"/>
          </w:tcPr>
          <w:p w:rsidR="00756AE7" w:rsidRPr="008376FC" w:rsidRDefault="00756AE7" w:rsidP="00F61756">
            <w:pPr>
              <w:spacing w:line="276" w:lineRule="auto"/>
              <w:jc w:val="both"/>
              <w:rPr>
                <w:rFonts w:asciiTheme="majorHAnsi" w:eastAsiaTheme="minorEastAsia" w:hAnsiTheme="majorHAnsi" w:cstheme="majorHAnsi"/>
                <w:sz w:val="18"/>
                <w:szCs w:val="18"/>
              </w:rPr>
            </w:pPr>
            <w:r w:rsidRPr="008376FC">
              <w:rPr>
                <w:rFonts w:asciiTheme="majorHAnsi" w:eastAsiaTheme="minorEastAsia" w:hAnsiTheme="majorHAnsi" w:cstheme="majorHAnsi"/>
                <w:sz w:val="18"/>
                <w:szCs w:val="18"/>
              </w:rPr>
              <w:t>Data rezilierii contractului și motivul</w:t>
            </w:r>
          </w:p>
        </w:tc>
      </w:tr>
      <w:tr w:rsidR="00756AE7" w:rsidRPr="008376FC" w:rsidTr="00B05EB5">
        <w:trPr>
          <w:cantSplit/>
          <w:trHeight w:val="1265"/>
        </w:trPr>
        <w:tc>
          <w:tcPr>
            <w:tcW w:w="567" w:type="dxa"/>
            <w:vMerge/>
            <w:shd w:val="clear" w:color="auto" w:fill="BDD6EE" w:themeFill="accent1" w:themeFillTint="66"/>
          </w:tcPr>
          <w:p w:rsidR="00756AE7" w:rsidRPr="008376FC" w:rsidRDefault="00756AE7" w:rsidP="00F61756">
            <w:pPr>
              <w:spacing w:line="276" w:lineRule="auto"/>
              <w:jc w:val="both"/>
              <w:rPr>
                <w:rFonts w:asciiTheme="majorHAnsi" w:eastAsiaTheme="minorEastAsia" w:hAnsiTheme="majorHAnsi" w:cstheme="majorHAnsi"/>
                <w:sz w:val="18"/>
                <w:szCs w:val="18"/>
              </w:rPr>
            </w:pPr>
          </w:p>
        </w:tc>
        <w:tc>
          <w:tcPr>
            <w:tcW w:w="1662" w:type="dxa"/>
            <w:vMerge/>
          </w:tcPr>
          <w:p w:rsidR="00756AE7" w:rsidRPr="008376FC" w:rsidRDefault="00756AE7" w:rsidP="00F61756">
            <w:pPr>
              <w:spacing w:line="276" w:lineRule="auto"/>
              <w:jc w:val="both"/>
              <w:rPr>
                <w:rFonts w:asciiTheme="majorHAnsi" w:eastAsiaTheme="minorEastAsia" w:hAnsiTheme="majorHAnsi" w:cstheme="majorHAnsi"/>
                <w:sz w:val="18"/>
                <w:szCs w:val="18"/>
              </w:rPr>
            </w:pPr>
          </w:p>
        </w:tc>
        <w:tc>
          <w:tcPr>
            <w:tcW w:w="1168" w:type="dxa"/>
            <w:vMerge/>
          </w:tcPr>
          <w:p w:rsidR="00756AE7" w:rsidRPr="008376FC" w:rsidRDefault="00756AE7" w:rsidP="00F61756">
            <w:pPr>
              <w:spacing w:line="276" w:lineRule="auto"/>
              <w:jc w:val="both"/>
              <w:rPr>
                <w:rFonts w:asciiTheme="majorHAnsi" w:eastAsiaTheme="minorEastAsia" w:hAnsiTheme="majorHAnsi" w:cstheme="majorHAnsi"/>
                <w:sz w:val="18"/>
                <w:szCs w:val="18"/>
              </w:rPr>
            </w:pPr>
          </w:p>
        </w:tc>
        <w:tc>
          <w:tcPr>
            <w:tcW w:w="856" w:type="dxa"/>
            <w:shd w:val="clear" w:color="auto" w:fill="BDD6EE" w:themeFill="accent1" w:themeFillTint="66"/>
            <w:textDirection w:val="btLr"/>
            <w:vAlign w:val="center"/>
          </w:tcPr>
          <w:p w:rsidR="00756AE7" w:rsidRPr="008376FC" w:rsidRDefault="00756AE7" w:rsidP="00F61756">
            <w:pPr>
              <w:spacing w:line="276" w:lineRule="auto"/>
              <w:ind w:left="113" w:right="113"/>
              <w:jc w:val="both"/>
              <w:rPr>
                <w:rFonts w:asciiTheme="majorHAnsi" w:eastAsiaTheme="minorEastAsia" w:hAnsiTheme="majorHAnsi" w:cstheme="majorHAnsi"/>
                <w:sz w:val="18"/>
                <w:szCs w:val="18"/>
              </w:rPr>
            </w:pPr>
            <w:r w:rsidRPr="008376FC">
              <w:rPr>
                <w:rFonts w:asciiTheme="majorHAnsi" w:eastAsiaTheme="minorEastAsia" w:hAnsiTheme="majorHAnsi" w:cstheme="majorHAnsi"/>
                <w:sz w:val="18"/>
                <w:szCs w:val="18"/>
              </w:rPr>
              <w:t>totală a contractului</w:t>
            </w:r>
          </w:p>
        </w:tc>
        <w:tc>
          <w:tcPr>
            <w:tcW w:w="709" w:type="dxa"/>
            <w:shd w:val="clear" w:color="auto" w:fill="BDD6EE" w:themeFill="accent1" w:themeFillTint="66"/>
            <w:textDirection w:val="btLr"/>
            <w:vAlign w:val="center"/>
          </w:tcPr>
          <w:p w:rsidR="00756AE7" w:rsidRPr="008376FC" w:rsidRDefault="00756AE7" w:rsidP="00F61756">
            <w:pPr>
              <w:spacing w:line="276" w:lineRule="auto"/>
              <w:ind w:left="113" w:right="113"/>
              <w:jc w:val="both"/>
              <w:rPr>
                <w:rFonts w:asciiTheme="majorHAnsi" w:eastAsiaTheme="minorEastAsia" w:hAnsiTheme="majorHAnsi" w:cstheme="majorHAnsi"/>
                <w:sz w:val="18"/>
                <w:szCs w:val="18"/>
              </w:rPr>
            </w:pPr>
            <w:r w:rsidRPr="008376FC">
              <w:rPr>
                <w:rFonts w:asciiTheme="majorHAnsi" w:eastAsiaTheme="minorEastAsia" w:hAnsiTheme="majorHAnsi" w:cstheme="majorHAnsi"/>
                <w:sz w:val="18"/>
                <w:szCs w:val="18"/>
              </w:rPr>
              <w:t>lucrărilor executate</w:t>
            </w:r>
          </w:p>
        </w:tc>
        <w:tc>
          <w:tcPr>
            <w:tcW w:w="886" w:type="dxa"/>
            <w:shd w:val="clear" w:color="auto" w:fill="BDD6EE" w:themeFill="accent1" w:themeFillTint="66"/>
            <w:textDirection w:val="btLr"/>
            <w:vAlign w:val="center"/>
          </w:tcPr>
          <w:p w:rsidR="00756AE7" w:rsidRPr="008376FC" w:rsidRDefault="00756AE7" w:rsidP="00F61756">
            <w:pPr>
              <w:spacing w:line="276" w:lineRule="auto"/>
              <w:ind w:left="113" w:right="113"/>
              <w:jc w:val="both"/>
              <w:rPr>
                <w:rFonts w:asciiTheme="majorHAnsi" w:eastAsiaTheme="minorEastAsia" w:hAnsiTheme="majorHAnsi" w:cstheme="majorHAnsi"/>
                <w:sz w:val="18"/>
                <w:szCs w:val="18"/>
              </w:rPr>
            </w:pPr>
            <w:r w:rsidRPr="008376FC">
              <w:rPr>
                <w:rFonts w:asciiTheme="majorHAnsi" w:eastAsiaTheme="minorEastAsia" w:hAnsiTheme="majorHAnsi" w:cstheme="majorHAnsi"/>
                <w:sz w:val="18"/>
                <w:szCs w:val="18"/>
              </w:rPr>
              <w:t>lucrărilor restante</w:t>
            </w:r>
          </w:p>
        </w:tc>
        <w:tc>
          <w:tcPr>
            <w:tcW w:w="815" w:type="dxa"/>
            <w:shd w:val="clear" w:color="auto" w:fill="BDD6EE" w:themeFill="accent1" w:themeFillTint="66"/>
            <w:textDirection w:val="btLr"/>
            <w:vAlign w:val="center"/>
          </w:tcPr>
          <w:p w:rsidR="00756AE7" w:rsidRPr="008376FC" w:rsidRDefault="00756AE7" w:rsidP="00F61756">
            <w:pPr>
              <w:spacing w:line="276" w:lineRule="auto"/>
              <w:ind w:left="113" w:right="113"/>
              <w:jc w:val="both"/>
              <w:rPr>
                <w:rFonts w:asciiTheme="majorHAnsi" w:eastAsiaTheme="minorEastAsia" w:hAnsiTheme="majorHAnsi" w:cstheme="majorHAnsi"/>
                <w:sz w:val="18"/>
                <w:szCs w:val="18"/>
              </w:rPr>
            </w:pPr>
            <w:r w:rsidRPr="008376FC">
              <w:rPr>
                <w:rFonts w:asciiTheme="majorHAnsi" w:eastAsiaTheme="minorEastAsia" w:hAnsiTheme="majorHAnsi" w:cstheme="majorHAnsi"/>
                <w:sz w:val="18"/>
                <w:szCs w:val="18"/>
              </w:rPr>
              <w:t>Conform prevederilor contractuale</w:t>
            </w:r>
          </w:p>
        </w:tc>
        <w:tc>
          <w:tcPr>
            <w:tcW w:w="921" w:type="dxa"/>
            <w:shd w:val="clear" w:color="auto" w:fill="BDD6EE" w:themeFill="accent1" w:themeFillTint="66"/>
            <w:textDirection w:val="btLr"/>
            <w:vAlign w:val="center"/>
          </w:tcPr>
          <w:p w:rsidR="00756AE7" w:rsidRPr="008376FC" w:rsidRDefault="00756AE7" w:rsidP="00F61756">
            <w:pPr>
              <w:spacing w:line="276" w:lineRule="auto"/>
              <w:ind w:left="113" w:right="113"/>
              <w:jc w:val="both"/>
              <w:rPr>
                <w:rFonts w:asciiTheme="majorHAnsi" w:eastAsiaTheme="minorEastAsia" w:hAnsiTheme="majorHAnsi" w:cstheme="majorHAnsi"/>
                <w:sz w:val="18"/>
                <w:szCs w:val="18"/>
              </w:rPr>
            </w:pPr>
            <w:r w:rsidRPr="008376FC">
              <w:rPr>
                <w:rFonts w:asciiTheme="majorHAnsi" w:eastAsiaTheme="minorEastAsia" w:hAnsiTheme="majorHAnsi" w:cstheme="majorHAnsi"/>
                <w:sz w:val="18"/>
                <w:szCs w:val="18"/>
              </w:rPr>
              <w:t>De facto</w:t>
            </w:r>
          </w:p>
        </w:tc>
        <w:tc>
          <w:tcPr>
            <w:tcW w:w="2016" w:type="dxa"/>
            <w:vMerge/>
            <w:shd w:val="clear" w:color="auto" w:fill="BDD6EE" w:themeFill="accent1" w:themeFillTint="66"/>
          </w:tcPr>
          <w:p w:rsidR="00756AE7" w:rsidRPr="008376FC" w:rsidRDefault="00756AE7" w:rsidP="00F61756">
            <w:pPr>
              <w:spacing w:line="276" w:lineRule="auto"/>
              <w:jc w:val="both"/>
              <w:rPr>
                <w:rFonts w:asciiTheme="majorHAnsi" w:eastAsiaTheme="minorEastAsia" w:hAnsiTheme="majorHAnsi" w:cstheme="majorHAnsi"/>
                <w:sz w:val="18"/>
                <w:szCs w:val="18"/>
              </w:rPr>
            </w:pPr>
          </w:p>
        </w:tc>
      </w:tr>
      <w:tr w:rsidR="00756AE7" w:rsidRPr="008376FC" w:rsidTr="00B05EB5">
        <w:trPr>
          <w:trHeight w:val="404"/>
        </w:trPr>
        <w:tc>
          <w:tcPr>
            <w:tcW w:w="567" w:type="dxa"/>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1</w:t>
            </w:r>
          </w:p>
        </w:tc>
        <w:tc>
          <w:tcPr>
            <w:tcW w:w="1662" w:type="dxa"/>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S.A. „Verilarproiect”</w:t>
            </w:r>
          </w:p>
        </w:tc>
        <w:tc>
          <w:tcPr>
            <w:tcW w:w="1168" w:type="dxa"/>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Nr. 26/6 din 15.08.2014</w:t>
            </w:r>
          </w:p>
        </w:tc>
        <w:tc>
          <w:tcPr>
            <w:tcW w:w="856"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18,8</w:t>
            </w:r>
          </w:p>
        </w:tc>
        <w:tc>
          <w:tcPr>
            <w:tcW w:w="709"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0,7</w:t>
            </w:r>
          </w:p>
        </w:tc>
        <w:tc>
          <w:tcPr>
            <w:tcW w:w="886"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18,1</w:t>
            </w:r>
          </w:p>
        </w:tc>
        <w:tc>
          <w:tcPr>
            <w:tcW w:w="815"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8</w:t>
            </w:r>
          </w:p>
        </w:tc>
        <w:tc>
          <w:tcPr>
            <w:tcW w:w="921"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9</w:t>
            </w:r>
          </w:p>
        </w:tc>
        <w:tc>
          <w:tcPr>
            <w:tcW w:w="2016" w:type="dxa"/>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27.05.2015</w:t>
            </w:r>
            <w:r w:rsidR="002958B5">
              <w:rPr>
                <w:rFonts w:asciiTheme="majorHAnsi" w:eastAsiaTheme="minorEastAsia" w:hAnsiTheme="majorHAnsi" w:cstheme="majorHAnsi"/>
                <w:b w:val="0"/>
                <w:sz w:val="18"/>
                <w:szCs w:val="18"/>
              </w:rPr>
              <w:t>,</w:t>
            </w:r>
            <w:r w:rsidRPr="008376FC">
              <w:rPr>
                <w:rFonts w:asciiTheme="majorHAnsi" w:eastAsiaTheme="minorEastAsia" w:hAnsiTheme="majorHAnsi" w:cstheme="majorHAnsi"/>
                <w:b w:val="0"/>
                <w:sz w:val="18"/>
                <w:szCs w:val="18"/>
              </w:rPr>
              <w:t xml:space="preserve"> </w:t>
            </w:r>
          </w:p>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Tergiversarea implementării lucrărilor</w:t>
            </w:r>
          </w:p>
        </w:tc>
      </w:tr>
      <w:tr w:rsidR="00756AE7" w:rsidRPr="008376FC" w:rsidTr="00B05EB5">
        <w:trPr>
          <w:trHeight w:val="455"/>
        </w:trPr>
        <w:tc>
          <w:tcPr>
            <w:tcW w:w="567" w:type="dxa"/>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2</w:t>
            </w:r>
          </w:p>
        </w:tc>
        <w:tc>
          <w:tcPr>
            <w:tcW w:w="1662" w:type="dxa"/>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S.R.L. „Comalion” LCA</w:t>
            </w:r>
          </w:p>
        </w:tc>
        <w:tc>
          <w:tcPr>
            <w:tcW w:w="1168" w:type="dxa"/>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Nr. 17/6 din 08.10.2016</w:t>
            </w:r>
          </w:p>
        </w:tc>
        <w:tc>
          <w:tcPr>
            <w:tcW w:w="856"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20,6</w:t>
            </w:r>
          </w:p>
        </w:tc>
        <w:tc>
          <w:tcPr>
            <w:tcW w:w="709"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14,0</w:t>
            </w:r>
          </w:p>
        </w:tc>
        <w:tc>
          <w:tcPr>
            <w:tcW w:w="886"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6,6</w:t>
            </w:r>
          </w:p>
        </w:tc>
        <w:tc>
          <w:tcPr>
            <w:tcW w:w="815"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10</w:t>
            </w:r>
          </w:p>
        </w:tc>
        <w:tc>
          <w:tcPr>
            <w:tcW w:w="921" w:type="dxa"/>
            <w:vAlign w:val="center"/>
          </w:tcPr>
          <w:p w:rsidR="00756AE7" w:rsidRPr="008376FC" w:rsidRDefault="00756AE7" w:rsidP="00F61756">
            <w:pPr>
              <w:spacing w:line="276" w:lineRule="auto"/>
              <w:jc w:val="both"/>
              <w:rPr>
                <w:rFonts w:asciiTheme="majorHAnsi" w:eastAsiaTheme="minorEastAsia" w:hAnsiTheme="majorHAnsi" w:cstheme="majorHAnsi"/>
                <w:color w:val="FF0000"/>
                <w:sz w:val="18"/>
                <w:szCs w:val="18"/>
              </w:rPr>
            </w:pPr>
            <w:r w:rsidRPr="008376FC">
              <w:rPr>
                <w:rFonts w:asciiTheme="majorHAnsi" w:eastAsiaTheme="minorEastAsia" w:hAnsiTheme="majorHAnsi" w:cstheme="majorHAnsi"/>
                <w:color w:val="FF0000"/>
                <w:sz w:val="18"/>
                <w:szCs w:val="18"/>
              </w:rPr>
              <w:t>46</w:t>
            </w:r>
          </w:p>
        </w:tc>
        <w:tc>
          <w:tcPr>
            <w:tcW w:w="2016" w:type="dxa"/>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24.08.2020</w:t>
            </w:r>
            <w:r w:rsidR="002958B5">
              <w:rPr>
                <w:rFonts w:asciiTheme="majorHAnsi" w:eastAsiaTheme="minorEastAsia" w:hAnsiTheme="majorHAnsi" w:cstheme="majorHAnsi"/>
                <w:b w:val="0"/>
                <w:sz w:val="18"/>
                <w:szCs w:val="18"/>
              </w:rPr>
              <w:t>,</w:t>
            </w:r>
          </w:p>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obiecţii aferente calităţii lucrărilor</w:t>
            </w:r>
          </w:p>
        </w:tc>
      </w:tr>
      <w:tr w:rsidR="00756AE7" w:rsidRPr="008376FC" w:rsidTr="00B05EB5">
        <w:trPr>
          <w:trHeight w:val="771"/>
        </w:trPr>
        <w:tc>
          <w:tcPr>
            <w:tcW w:w="567" w:type="dxa"/>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3</w:t>
            </w:r>
          </w:p>
        </w:tc>
        <w:tc>
          <w:tcPr>
            <w:tcW w:w="1662" w:type="dxa"/>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S.C. „Izodromgaz” S.R.L.</w:t>
            </w:r>
          </w:p>
        </w:tc>
        <w:tc>
          <w:tcPr>
            <w:tcW w:w="1168" w:type="dxa"/>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Nr. 24/4 din 05.11.2020</w:t>
            </w:r>
          </w:p>
        </w:tc>
        <w:tc>
          <w:tcPr>
            <w:tcW w:w="856"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7,3</w:t>
            </w:r>
          </w:p>
        </w:tc>
        <w:tc>
          <w:tcPr>
            <w:tcW w:w="709"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6,1</w:t>
            </w:r>
          </w:p>
        </w:tc>
        <w:tc>
          <w:tcPr>
            <w:tcW w:w="886"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w:t>
            </w:r>
          </w:p>
        </w:tc>
        <w:tc>
          <w:tcPr>
            <w:tcW w:w="815" w:type="dxa"/>
            <w:vAlign w:val="center"/>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4</w:t>
            </w:r>
          </w:p>
        </w:tc>
        <w:tc>
          <w:tcPr>
            <w:tcW w:w="921" w:type="dxa"/>
            <w:vAlign w:val="center"/>
          </w:tcPr>
          <w:p w:rsidR="00756AE7" w:rsidRPr="008376FC" w:rsidRDefault="00756AE7" w:rsidP="00F61756">
            <w:pPr>
              <w:spacing w:line="276" w:lineRule="auto"/>
              <w:jc w:val="both"/>
              <w:rPr>
                <w:rFonts w:asciiTheme="majorHAnsi" w:eastAsiaTheme="minorEastAsia" w:hAnsiTheme="majorHAnsi" w:cstheme="majorHAnsi"/>
                <w:color w:val="FF0000"/>
                <w:sz w:val="18"/>
                <w:szCs w:val="18"/>
              </w:rPr>
            </w:pPr>
            <w:r w:rsidRPr="008376FC">
              <w:rPr>
                <w:rFonts w:asciiTheme="majorHAnsi" w:eastAsiaTheme="minorEastAsia" w:hAnsiTheme="majorHAnsi" w:cstheme="majorHAnsi"/>
                <w:color w:val="FF0000"/>
                <w:sz w:val="18"/>
                <w:szCs w:val="18"/>
              </w:rPr>
              <w:t>26</w:t>
            </w:r>
          </w:p>
        </w:tc>
        <w:tc>
          <w:tcPr>
            <w:tcW w:w="2016" w:type="dxa"/>
          </w:tcPr>
          <w:p w:rsidR="00756AE7" w:rsidRPr="008376FC" w:rsidRDefault="00756AE7" w:rsidP="00F61756">
            <w:pPr>
              <w:spacing w:line="276" w:lineRule="auto"/>
              <w:jc w:val="both"/>
              <w:rPr>
                <w:rFonts w:asciiTheme="majorHAnsi" w:eastAsiaTheme="minorEastAsia" w:hAnsiTheme="majorHAnsi" w:cstheme="majorHAnsi"/>
                <w:b w:val="0"/>
                <w:sz w:val="18"/>
                <w:szCs w:val="18"/>
              </w:rPr>
            </w:pPr>
            <w:r w:rsidRPr="008376FC">
              <w:rPr>
                <w:rFonts w:asciiTheme="majorHAnsi" w:eastAsiaTheme="minorEastAsia" w:hAnsiTheme="majorHAnsi" w:cstheme="majorHAnsi"/>
                <w:b w:val="0"/>
                <w:sz w:val="18"/>
                <w:szCs w:val="18"/>
              </w:rPr>
              <w:t>Nu a fost reziliat, recepția lucrărilor a avut loc în ianuarie 2023</w:t>
            </w:r>
          </w:p>
        </w:tc>
      </w:tr>
      <w:tr w:rsidR="00756AE7" w:rsidRPr="008376FC" w:rsidTr="00B05EB5">
        <w:trPr>
          <w:trHeight w:val="259"/>
        </w:trPr>
        <w:tc>
          <w:tcPr>
            <w:tcW w:w="3397" w:type="dxa"/>
            <w:gridSpan w:val="3"/>
            <w:shd w:val="clear" w:color="auto" w:fill="BDD6EE" w:themeFill="accent1" w:themeFillTint="66"/>
          </w:tcPr>
          <w:p w:rsidR="00756AE7" w:rsidRPr="008376FC" w:rsidRDefault="00756AE7" w:rsidP="00F61756">
            <w:pPr>
              <w:spacing w:line="276" w:lineRule="auto"/>
              <w:jc w:val="both"/>
              <w:rPr>
                <w:rFonts w:asciiTheme="majorHAnsi" w:eastAsiaTheme="minorEastAsia" w:hAnsiTheme="majorHAnsi" w:cstheme="majorHAnsi"/>
                <w:sz w:val="18"/>
                <w:szCs w:val="18"/>
              </w:rPr>
            </w:pPr>
            <w:r w:rsidRPr="008376FC">
              <w:rPr>
                <w:rFonts w:asciiTheme="majorHAnsi" w:eastAsiaTheme="minorEastAsia" w:hAnsiTheme="majorHAnsi" w:cstheme="majorHAnsi"/>
                <w:sz w:val="18"/>
                <w:szCs w:val="18"/>
              </w:rPr>
              <w:t>TOTAL</w:t>
            </w:r>
          </w:p>
        </w:tc>
        <w:tc>
          <w:tcPr>
            <w:tcW w:w="856" w:type="dxa"/>
            <w:shd w:val="clear" w:color="auto" w:fill="BDD6EE" w:themeFill="accent1" w:themeFillTint="66"/>
            <w:vAlign w:val="center"/>
          </w:tcPr>
          <w:p w:rsidR="00756AE7" w:rsidRPr="008376FC" w:rsidRDefault="00756AE7" w:rsidP="00F61756">
            <w:pPr>
              <w:spacing w:line="276" w:lineRule="auto"/>
              <w:jc w:val="both"/>
              <w:rPr>
                <w:rFonts w:asciiTheme="majorHAnsi" w:eastAsiaTheme="minorEastAsia" w:hAnsiTheme="majorHAnsi" w:cstheme="majorHAnsi"/>
                <w:sz w:val="18"/>
                <w:szCs w:val="18"/>
              </w:rPr>
            </w:pPr>
            <w:r w:rsidRPr="008376FC">
              <w:rPr>
                <w:rFonts w:asciiTheme="majorHAnsi" w:eastAsiaTheme="minorEastAsia" w:hAnsiTheme="majorHAnsi" w:cstheme="majorHAnsi"/>
                <w:sz w:val="18"/>
                <w:szCs w:val="18"/>
              </w:rPr>
              <w:t>-</w:t>
            </w:r>
          </w:p>
        </w:tc>
        <w:tc>
          <w:tcPr>
            <w:tcW w:w="709" w:type="dxa"/>
            <w:shd w:val="clear" w:color="auto" w:fill="BDD6EE" w:themeFill="accent1" w:themeFillTint="66"/>
            <w:vAlign w:val="center"/>
          </w:tcPr>
          <w:p w:rsidR="00756AE7" w:rsidRPr="008376FC" w:rsidRDefault="00756AE7" w:rsidP="00F61756">
            <w:pPr>
              <w:spacing w:line="276" w:lineRule="auto"/>
              <w:jc w:val="both"/>
              <w:rPr>
                <w:rFonts w:asciiTheme="majorHAnsi" w:eastAsiaTheme="minorEastAsia" w:hAnsiTheme="majorHAnsi" w:cstheme="majorHAnsi"/>
                <w:sz w:val="18"/>
                <w:szCs w:val="18"/>
              </w:rPr>
            </w:pPr>
            <w:r w:rsidRPr="008376FC">
              <w:rPr>
                <w:rFonts w:asciiTheme="majorHAnsi" w:eastAsiaTheme="minorEastAsia" w:hAnsiTheme="majorHAnsi" w:cstheme="majorHAnsi"/>
                <w:sz w:val="18"/>
                <w:szCs w:val="18"/>
              </w:rPr>
              <w:t>20,8</w:t>
            </w:r>
          </w:p>
        </w:tc>
        <w:tc>
          <w:tcPr>
            <w:tcW w:w="886" w:type="dxa"/>
            <w:shd w:val="clear" w:color="auto" w:fill="BDD6EE" w:themeFill="accent1" w:themeFillTint="66"/>
            <w:vAlign w:val="center"/>
          </w:tcPr>
          <w:p w:rsidR="00756AE7" w:rsidRPr="008376FC" w:rsidRDefault="00756AE7" w:rsidP="00F61756">
            <w:pPr>
              <w:spacing w:line="276" w:lineRule="auto"/>
              <w:jc w:val="both"/>
              <w:rPr>
                <w:rFonts w:asciiTheme="majorHAnsi" w:eastAsiaTheme="minorEastAsia" w:hAnsiTheme="majorHAnsi" w:cstheme="majorHAnsi"/>
                <w:sz w:val="18"/>
                <w:szCs w:val="18"/>
              </w:rPr>
            </w:pPr>
            <w:r w:rsidRPr="008376FC">
              <w:rPr>
                <w:rFonts w:asciiTheme="majorHAnsi" w:eastAsiaTheme="minorEastAsia" w:hAnsiTheme="majorHAnsi" w:cstheme="majorHAnsi"/>
                <w:sz w:val="18"/>
                <w:szCs w:val="18"/>
              </w:rPr>
              <w:t>-</w:t>
            </w:r>
          </w:p>
        </w:tc>
        <w:tc>
          <w:tcPr>
            <w:tcW w:w="815" w:type="dxa"/>
            <w:shd w:val="clear" w:color="auto" w:fill="BDD6EE" w:themeFill="accent1" w:themeFillTint="66"/>
            <w:vAlign w:val="center"/>
          </w:tcPr>
          <w:p w:rsidR="00756AE7" w:rsidRPr="008376FC" w:rsidRDefault="00756AE7" w:rsidP="00F61756">
            <w:pPr>
              <w:spacing w:line="276" w:lineRule="auto"/>
              <w:jc w:val="both"/>
              <w:rPr>
                <w:rFonts w:asciiTheme="majorHAnsi" w:eastAsiaTheme="minorEastAsia" w:hAnsiTheme="majorHAnsi" w:cstheme="majorHAnsi"/>
                <w:sz w:val="18"/>
                <w:szCs w:val="18"/>
              </w:rPr>
            </w:pPr>
            <w:r w:rsidRPr="008376FC">
              <w:rPr>
                <w:rFonts w:asciiTheme="majorHAnsi" w:eastAsiaTheme="minorEastAsia" w:hAnsiTheme="majorHAnsi" w:cstheme="majorHAnsi"/>
                <w:sz w:val="18"/>
                <w:szCs w:val="18"/>
              </w:rPr>
              <w:t>-</w:t>
            </w:r>
          </w:p>
        </w:tc>
        <w:tc>
          <w:tcPr>
            <w:tcW w:w="921" w:type="dxa"/>
            <w:shd w:val="clear" w:color="auto" w:fill="BDD6EE" w:themeFill="accent1" w:themeFillTint="66"/>
            <w:vAlign w:val="center"/>
          </w:tcPr>
          <w:p w:rsidR="00756AE7" w:rsidRPr="008376FC" w:rsidRDefault="00756AE7" w:rsidP="00F61756">
            <w:pPr>
              <w:spacing w:line="276" w:lineRule="auto"/>
              <w:jc w:val="both"/>
              <w:rPr>
                <w:rFonts w:asciiTheme="majorHAnsi" w:eastAsiaTheme="minorEastAsia" w:hAnsiTheme="majorHAnsi" w:cstheme="majorHAnsi"/>
                <w:color w:val="FF0000"/>
                <w:sz w:val="18"/>
                <w:szCs w:val="18"/>
              </w:rPr>
            </w:pPr>
            <w:r w:rsidRPr="008376FC">
              <w:rPr>
                <w:rFonts w:asciiTheme="majorHAnsi" w:eastAsiaTheme="minorEastAsia" w:hAnsiTheme="majorHAnsi" w:cstheme="majorHAnsi"/>
                <w:color w:val="FF0000"/>
                <w:sz w:val="18"/>
                <w:szCs w:val="18"/>
              </w:rPr>
              <w:t>81</w:t>
            </w:r>
          </w:p>
        </w:tc>
        <w:tc>
          <w:tcPr>
            <w:tcW w:w="2016" w:type="dxa"/>
            <w:shd w:val="clear" w:color="auto" w:fill="BDD6EE" w:themeFill="accent1" w:themeFillTint="66"/>
          </w:tcPr>
          <w:p w:rsidR="00756AE7" w:rsidRPr="008376FC" w:rsidRDefault="00756AE7" w:rsidP="00F61756">
            <w:pPr>
              <w:spacing w:line="276" w:lineRule="auto"/>
              <w:jc w:val="both"/>
              <w:rPr>
                <w:rFonts w:asciiTheme="majorHAnsi" w:eastAsiaTheme="minorEastAsia" w:hAnsiTheme="majorHAnsi" w:cstheme="majorHAnsi"/>
                <w:sz w:val="18"/>
                <w:szCs w:val="18"/>
              </w:rPr>
            </w:pPr>
            <w:r w:rsidRPr="008376FC">
              <w:rPr>
                <w:rFonts w:asciiTheme="majorHAnsi" w:eastAsiaTheme="minorEastAsia" w:hAnsiTheme="majorHAnsi" w:cstheme="majorHAnsi"/>
                <w:sz w:val="18"/>
                <w:szCs w:val="18"/>
              </w:rPr>
              <w:t>-</w:t>
            </w:r>
          </w:p>
        </w:tc>
      </w:tr>
    </w:tbl>
    <w:p w:rsidR="00756AE7" w:rsidRPr="00DA70D2" w:rsidRDefault="00756AE7" w:rsidP="00F61756">
      <w:pPr>
        <w:shd w:val="clear" w:color="auto" w:fill="FFFFFF"/>
        <w:spacing w:after="0" w:line="276" w:lineRule="auto"/>
        <w:jc w:val="both"/>
        <w:rPr>
          <w:rFonts w:asciiTheme="majorHAnsi" w:eastAsiaTheme="minorEastAsia" w:hAnsiTheme="majorHAnsi" w:cstheme="majorHAnsi"/>
          <w:b w:val="0"/>
          <w:bCs w:val="0"/>
          <w:i/>
          <w:sz w:val="20"/>
          <w:szCs w:val="20"/>
        </w:rPr>
      </w:pPr>
      <w:r w:rsidRPr="00DA70D2">
        <w:rPr>
          <w:rFonts w:asciiTheme="majorHAnsi" w:eastAsiaTheme="minorEastAsia" w:hAnsiTheme="majorHAnsi" w:cstheme="majorHAnsi"/>
          <w:bCs w:val="0"/>
          <w:i/>
          <w:sz w:val="20"/>
          <w:szCs w:val="20"/>
        </w:rPr>
        <w:t>Sursă:</w:t>
      </w:r>
      <w:r w:rsidRPr="00DA70D2">
        <w:rPr>
          <w:rFonts w:asciiTheme="majorHAnsi" w:eastAsiaTheme="minorEastAsia" w:hAnsiTheme="majorHAnsi" w:cstheme="majorHAnsi"/>
          <w:b w:val="0"/>
          <w:bCs w:val="0"/>
          <w:i/>
          <w:sz w:val="20"/>
          <w:szCs w:val="20"/>
        </w:rPr>
        <w:t xml:space="preserve"> Informațiile prezentate de ADR Centru.</w:t>
      </w:r>
    </w:p>
    <w:p w:rsidR="00756AE7" w:rsidRPr="008376FC" w:rsidRDefault="00756AE7" w:rsidP="00F61756">
      <w:pPr>
        <w:shd w:val="clear" w:color="auto" w:fill="FFFFFF"/>
        <w:spacing w:after="0" w:line="276" w:lineRule="auto"/>
        <w:jc w:val="both"/>
        <w:rPr>
          <w:rFonts w:asciiTheme="majorHAnsi" w:eastAsiaTheme="minorEastAsia" w:hAnsiTheme="majorHAnsi" w:cstheme="majorHAnsi"/>
          <w:sz w:val="20"/>
          <w:szCs w:val="20"/>
          <w:shd w:val="clear" w:color="auto" w:fill="FFFFFF"/>
        </w:rPr>
      </w:pPr>
    </w:p>
    <w:p w:rsidR="00756AE7" w:rsidRPr="008376FC" w:rsidRDefault="00756AE7" w:rsidP="00F61756">
      <w:pPr>
        <w:spacing w:after="0" w:line="276" w:lineRule="auto"/>
        <w:jc w:val="both"/>
        <w:rPr>
          <w:rFonts w:asciiTheme="majorHAnsi" w:eastAsia="Calibri" w:hAnsiTheme="majorHAnsi" w:cstheme="majorHAnsi"/>
          <w:b w:val="0"/>
          <w:sz w:val="24"/>
          <w:szCs w:val="24"/>
        </w:rPr>
      </w:pPr>
      <w:r w:rsidRPr="008376FC">
        <w:rPr>
          <w:rFonts w:asciiTheme="majorHAnsi" w:eastAsia="Calibri" w:hAnsiTheme="majorHAnsi" w:cstheme="majorHAnsi"/>
          <w:b w:val="0"/>
          <w:sz w:val="24"/>
          <w:szCs w:val="24"/>
        </w:rPr>
        <w:t>În consecință, valoarea inițială a contractului a crescut de la 18,8 mil.lei până la 20,8 mil.lei</w:t>
      </w:r>
      <w:r w:rsidR="001907C8">
        <w:rPr>
          <w:rFonts w:asciiTheme="majorHAnsi" w:eastAsia="Calibri" w:hAnsiTheme="majorHAnsi" w:cstheme="majorHAnsi"/>
          <w:b w:val="0"/>
          <w:sz w:val="24"/>
          <w:szCs w:val="24"/>
        </w:rPr>
        <w:t>,</w:t>
      </w:r>
      <w:r w:rsidRPr="008376FC">
        <w:rPr>
          <w:rFonts w:asciiTheme="majorHAnsi" w:eastAsia="Calibri" w:hAnsiTheme="majorHAnsi" w:cstheme="majorHAnsi"/>
          <w:b w:val="0"/>
          <w:sz w:val="24"/>
          <w:szCs w:val="24"/>
        </w:rPr>
        <w:t xml:space="preserve"> sau cu 2,0 mil.lei.</w:t>
      </w:r>
    </w:p>
    <w:p w:rsidR="00756AE7" w:rsidRPr="008376FC" w:rsidRDefault="00756AE7" w:rsidP="00F61756">
      <w:pPr>
        <w:spacing w:line="276" w:lineRule="auto"/>
        <w:jc w:val="both"/>
        <w:rPr>
          <w:rFonts w:asciiTheme="majorHAnsi" w:eastAsiaTheme="minorEastAsia" w:hAnsiTheme="majorHAnsi" w:cstheme="majorHAnsi"/>
          <w:b w:val="0"/>
          <w:bCs w:val="0"/>
          <w:sz w:val="24"/>
          <w:szCs w:val="24"/>
        </w:rPr>
      </w:pPr>
      <w:r w:rsidRPr="008376FC">
        <w:rPr>
          <w:rFonts w:asciiTheme="majorHAnsi" w:eastAsia="Calibri" w:hAnsiTheme="majorHAnsi" w:cstheme="majorHAnsi"/>
          <w:b w:val="0"/>
          <w:sz w:val="24"/>
          <w:szCs w:val="24"/>
        </w:rPr>
        <w:t>Totodată,  menționăm că, inițial</w:t>
      </w:r>
      <w:r w:rsidR="001907C8">
        <w:rPr>
          <w:rFonts w:asciiTheme="majorHAnsi" w:eastAsia="Calibri" w:hAnsiTheme="majorHAnsi" w:cstheme="majorHAnsi"/>
          <w:b w:val="0"/>
          <w:sz w:val="24"/>
          <w:szCs w:val="24"/>
        </w:rPr>
        <w:t>,</w:t>
      </w:r>
      <w:r w:rsidRPr="008376FC">
        <w:rPr>
          <w:rFonts w:asciiTheme="majorHAnsi" w:eastAsia="Calibri" w:hAnsiTheme="majorHAnsi" w:cstheme="majorHAnsi"/>
          <w:b w:val="0"/>
          <w:sz w:val="24"/>
          <w:szCs w:val="24"/>
        </w:rPr>
        <w:t xml:space="preserve"> fiecare localitate a avut intenți</w:t>
      </w:r>
      <w:r w:rsidR="001907C8">
        <w:rPr>
          <w:rFonts w:asciiTheme="majorHAnsi" w:eastAsia="Calibri" w:hAnsiTheme="majorHAnsi" w:cstheme="majorHAnsi"/>
          <w:b w:val="0"/>
          <w:sz w:val="24"/>
          <w:szCs w:val="24"/>
        </w:rPr>
        <w:t>a</w:t>
      </w:r>
      <w:r w:rsidRPr="008376FC">
        <w:rPr>
          <w:rFonts w:asciiTheme="majorHAnsi" w:eastAsia="Calibri" w:hAnsiTheme="majorHAnsi" w:cstheme="majorHAnsi"/>
          <w:b w:val="0"/>
          <w:sz w:val="24"/>
          <w:szCs w:val="24"/>
        </w:rPr>
        <w:t xml:space="preserve"> să construiască </w:t>
      </w:r>
      <w:r w:rsidR="001907C8">
        <w:rPr>
          <w:rFonts w:asciiTheme="majorHAnsi" w:eastAsia="Calibri" w:hAnsiTheme="majorHAnsi" w:cstheme="majorHAnsi"/>
          <w:b w:val="0"/>
          <w:sz w:val="24"/>
          <w:szCs w:val="24"/>
        </w:rPr>
        <w:t xml:space="preserve">separat </w:t>
      </w:r>
      <w:r w:rsidRPr="008376FC">
        <w:rPr>
          <w:rFonts w:asciiTheme="majorHAnsi" w:eastAsia="Calibri" w:hAnsiTheme="majorHAnsi" w:cstheme="majorHAnsi"/>
          <w:b w:val="0"/>
          <w:sz w:val="24"/>
          <w:szCs w:val="24"/>
        </w:rPr>
        <w:t>stațiile de epurare a apelor uza</w:t>
      </w:r>
      <w:r w:rsidR="001907C8">
        <w:rPr>
          <w:rFonts w:asciiTheme="majorHAnsi" w:eastAsia="Calibri" w:hAnsiTheme="majorHAnsi" w:cstheme="majorHAnsi"/>
          <w:b w:val="0"/>
          <w:sz w:val="24"/>
          <w:szCs w:val="24"/>
        </w:rPr>
        <w:t>t</w:t>
      </w:r>
      <w:r w:rsidRPr="008376FC">
        <w:rPr>
          <w:rFonts w:asciiTheme="majorHAnsi" w:eastAsia="Calibri" w:hAnsiTheme="majorHAnsi" w:cstheme="majorHAnsi"/>
          <w:b w:val="0"/>
          <w:sz w:val="24"/>
          <w:szCs w:val="24"/>
        </w:rPr>
        <w:t>e, apoi s-a convenit regionalizarea acestui serviciu, proiectele separate fiind revizuite pentru a crea un serviciu regional unic, dar nu s-a ținut cont de capacitatea insuficientă a tipului stației de epurare a apelor uzate incluse în proiectul regional aprobat. La executarea lucrărilor de constru</w:t>
      </w:r>
      <w:r w:rsidR="00F34C8A">
        <w:rPr>
          <w:rFonts w:asciiTheme="majorHAnsi" w:eastAsia="Calibri" w:hAnsiTheme="majorHAnsi" w:cstheme="majorHAnsi"/>
          <w:b w:val="0"/>
          <w:sz w:val="24"/>
          <w:szCs w:val="24"/>
        </w:rPr>
        <w:t>cț</w:t>
      </w:r>
      <w:r w:rsidRPr="008376FC">
        <w:rPr>
          <w:rFonts w:asciiTheme="majorHAnsi" w:eastAsia="Calibri" w:hAnsiTheme="majorHAnsi" w:cstheme="majorHAnsi"/>
          <w:b w:val="0"/>
          <w:sz w:val="24"/>
          <w:szCs w:val="24"/>
        </w:rPr>
        <w:t xml:space="preserve">ie a stației de epurare, care a demarat în anul 2017, </w:t>
      </w:r>
      <w:r w:rsidR="00F34C8A">
        <w:rPr>
          <w:rFonts w:asciiTheme="majorHAnsi" w:eastAsia="Calibri" w:hAnsiTheme="majorHAnsi" w:cstheme="majorHAnsi"/>
          <w:b w:val="0"/>
          <w:sz w:val="24"/>
          <w:szCs w:val="24"/>
        </w:rPr>
        <w:t>„</w:t>
      </w:r>
      <w:r w:rsidRPr="008376FC">
        <w:rPr>
          <w:rFonts w:asciiTheme="majorHAnsi" w:eastAsia="Calibri" w:hAnsiTheme="majorHAnsi" w:cstheme="majorHAnsi"/>
          <w:b w:val="0"/>
          <w:sz w:val="24"/>
          <w:szCs w:val="24"/>
        </w:rPr>
        <w:t>Urbanproiect</w:t>
      </w:r>
      <w:r w:rsidR="00F34C8A">
        <w:rPr>
          <w:rFonts w:asciiTheme="majorHAnsi" w:eastAsia="Calibri" w:hAnsiTheme="majorHAnsi" w:cstheme="majorHAnsi"/>
          <w:b w:val="0"/>
          <w:sz w:val="24"/>
          <w:szCs w:val="24"/>
        </w:rPr>
        <w:t>”</w:t>
      </w:r>
      <w:r w:rsidRPr="008376FC">
        <w:rPr>
          <w:rFonts w:asciiTheme="majorHAnsi" w:eastAsia="Calibri" w:hAnsiTheme="majorHAnsi" w:cstheme="majorHAnsi"/>
          <w:b w:val="0"/>
          <w:sz w:val="24"/>
          <w:szCs w:val="24"/>
          <w:vertAlign w:val="superscript"/>
        </w:rPr>
        <w:footnoteReference w:id="49"/>
      </w:r>
      <w:r w:rsidRPr="008376FC">
        <w:rPr>
          <w:rFonts w:asciiTheme="majorHAnsi" w:eastAsia="Calibri" w:hAnsiTheme="majorHAnsi" w:cstheme="majorHAnsi"/>
          <w:b w:val="0"/>
          <w:sz w:val="24"/>
          <w:szCs w:val="24"/>
        </w:rPr>
        <w:t>, elaborator al documentației de proiect pentru stația regională, s-a adresat primăriilor Sofia, Negrea, Bălceana și ADR Centru cu privire la necesitatea modificării proiectului de executare a lucrărilor de construcție a sistemului de canalizare, comunicând</w:t>
      </w:r>
      <w:r w:rsidR="001907C8">
        <w:rPr>
          <w:rFonts w:asciiTheme="majorHAnsi" w:eastAsia="Calibri" w:hAnsiTheme="majorHAnsi" w:cstheme="majorHAnsi"/>
          <w:b w:val="0"/>
          <w:sz w:val="24"/>
          <w:szCs w:val="24"/>
        </w:rPr>
        <w:t>u-le</w:t>
      </w:r>
      <w:r w:rsidRPr="008376FC">
        <w:rPr>
          <w:rFonts w:asciiTheme="majorHAnsi" w:eastAsia="Calibri" w:hAnsiTheme="majorHAnsi" w:cstheme="majorHAnsi"/>
          <w:b w:val="0"/>
          <w:sz w:val="24"/>
          <w:szCs w:val="24"/>
        </w:rPr>
        <w:t xml:space="preserve"> că documentația de </w:t>
      </w:r>
      <w:r w:rsidR="001907C8">
        <w:rPr>
          <w:rFonts w:asciiTheme="majorHAnsi" w:eastAsia="Calibri" w:hAnsiTheme="majorHAnsi" w:cstheme="majorHAnsi"/>
          <w:b w:val="0"/>
          <w:sz w:val="24"/>
          <w:szCs w:val="24"/>
        </w:rPr>
        <w:t>p</w:t>
      </w:r>
      <w:r w:rsidRPr="008376FC">
        <w:rPr>
          <w:rFonts w:asciiTheme="majorHAnsi" w:eastAsia="Calibri" w:hAnsiTheme="majorHAnsi" w:cstheme="majorHAnsi"/>
          <w:b w:val="0"/>
          <w:sz w:val="24"/>
          <w:szCs w:val="24"/>
        </w:rPr>
        <w:t>roiect și devizul  pentru sistemul de canalizare au fost elaborate în anul 2011, stația de epurare fiind proiectată pentru deservirea doar a s. Sofia, iar volumul apelor uza</w:t>
      </w:r>
      <w:r w:rsidR="001907C8">
        <w:rPr>
          <w:rFonts w:asciiTheme="majorHAnsi" w:eastAsia="Calibri" w:hAnsiTheme="majorHAnsi" w:cstheme="majorHAnsi"/>
          <w:b w:val="0"/>
          <w:sz w:val="24"/>
          <w:szCs w:val="24"/>
        </w:rPr>
        <w:t>t</w:t>
      </w:r>
      <w:r w:rsidRPr="008376FC">
        <w:rPr>
          <w:rFonts w:asciiTheme="majorHAnsi" w:eastAsia="Calibri" w:hAnsiTheme="majorHAnsi" w:cstheme="majorHAnsi"/>
          <w:b w:val="0"/>
          <w:sz w:val="24"/>
          <w:szCs w:val="24"/>
        </w:rPr>
        <w:t>e de epurare</w:t>
      </w:r>
      <w:r w:rsidR="001907C8">
        <w:rPr>
          <w:rFonts w:asciiTheme="majorHAnsi" w:eastAsia="Calibri" w:hAnsiTheme="majorHAnsi" w:cstheme="majorHAnsi"/>
          <w:b w:val="0"/>
          <w:sz w:val="24"/>
          <w:szCs w:val="24"/>
        </w:rPr>
        <w:t>,</w:t>
      </w:r>
      <w:r w:rsidRPr="008376FC">
        <w:rPr>
          <w:rFonts w:asciiTheme="majorHAnsi" w:eastAsia="Calibri" w:hAnsiTheme="majorHAnsi" w:cstheme="majorHAnsi"/>
          <w:b w:val="0"/>
          <w:sz w:val="24"/>
          <w:szCs w:val="24"/>
        </w:rPr>
        <w:t xml:space="preserve"> conf</w:t>
      </w:r>
      <w:r w:rsidR="001907C8">
        <w:rPr>
          <w:rFonts w:asciiTheme="majorHAnsi" w:eastAsia="Calibri" w:hAnsiTheme="majorHAnsi" w:cstheme="majorHAnsi"/>
          <w:b w:val="0"/>
          <w:sz w:val="24"/>
          <w:szCs w:val="24"/>
        </w:rPr>
        <w:t>o</w:t>
      </w:r>
      <w:r w:rsidRPr="008376FC">
        <w:rPr>
          <w:rFonts w:asciiTheme="majorHAnsi" w:eastAsia="Calibri" w:hAnsiTheme="majorHAnsi" w:cstheme="majorHAnsi"/>
          <w:b w:val="0"/>
          <w:sz w:val="24"/>
          <w:szCs w:val="24"/>
        </w:rPr>
        <w:t>rm documentației de proiect regional, ca urmare a conectării satelor Negrea și Bălceana</w:t>
      </w:r>
      <w:r w:rsidR="001907C8">
        <w:rPr>
          <w:rFonts w:asciiTheme="majorHAnsi" w:eastAsia="Calibri" w:hAnsiTheme="majorHAnsi" w:cstheme="majorHAnsi"/>
          <w:b w:val="0"/>
          <w:sz w:val="24"/>
          <w:szCs w:val="24"/>
        </w:rPr>
        <w:t>,</w:t>
      </w:r>
      <w:r w:rsidRPr="008376FC">
        <w:rPr>
          <w:rFonts w:asciiTheme="majorHAnsi" w:eastAsia="Calibri" w:hAnsiTheme="majorHAnsi" w:cstheme="majorHAnsi"/>
          <w:b w:val="0"/>
          <w:sz w:val="24"/>
          <w:szCs w:val="24"/>
        </w:rPr>
        <w:t xml:space="preserve"> a crescut </w:t>
      </w:r>
      <w:r w:rsidR="001907C8">
        <w:rPr>
          <w:rFonts w:asciiTheme="majorHAnsi" w:eastAsia="Calibri" w:hAnsiTheme="majorHAnsi" w:cstheme="majorHAnsi"/>
          <w:b w:val="0"/>
          <w:sz w:val="24"/>
          <w:szCs w:val="24"/>
        </w:rPr>
        <w:t xml:space="preserve">de </w:t>
      </w:r>
      <w:r w:rsidRPr="008376FC">
        <w:rPr>
          <w:rFonts w:asciiTheme="majorHAnsi" w:eastAsia="Calibri" w:hAnsiTheme="majorHAnsi" w:cstheme="majorHAnsi"/>
          <w:b w:val="0"/>
          <w:sz w:val="24"/>
          <w:szCs w:val="24"/>
        </w:rPr>
        <w:t>peste 2,5 ori</w:t>
      </w:r>
      <w:r w:rsidR="00F34C8A">
        <w:rPr>
          <w:rFonts w:asciiTheme="majorHAnsi" w:eastAsia="Calibri" w:hAnsiTheme="majorHAnsi" w:cstheme="majorHAnsi"/>
          <w:b w:val="0"/>
          <w:sz w:val="24"/>
          <w:szCs w:val="24"/>
        </w:rPr>
        <w:t>.</w:t>
      </w:r>
      <w:r w:rsidRPr="008376FC">
        <w:rPr>
          <w:rFonts w:asciiTheme="majorHAnsi" w:eastAsia="Calibri" w:hAnsiTheme="majorHAnsi" w:cstheme="majorHAnsi"/>
          <w:b w:val="0"/>
          <w:sz w:val="24"/>
          <w:szCs w:val="24"/>
        </w:rPr>
        <w:t xml:space="preserve"> </w:t>
      </w:r>
      <w:r w:rsidR="00F34C8A">
        <w:rPr>
          <w:rFonts w:asciiTheme="majorHAnsi" w:eastAsia="Calibri" w:hAnsiTheme="majorHAnsi" w:cstheme="majorHAnsi"/>
          <w:b w:val="0"/>
          <w:sz w:val="24"/>
          <w:szCs w:val="24"/>
        </w:rPr>
        <w:t>Prin urmare,</w:t>
      </w:r>
      <w:r w:rsidRPr="008376FC">
        <w:rPr>
          <w:rFonts w:asciiTheme="majorHAnsi" w:eastAsia="Calibri" w:hAnsiTheme="majorHAnsi" w:cstheme="majorHAnsi"/>
          <w:b w:val="0"/>
          <w:sz w:val="24"/>
          <w:szCs w:val="24"/>
        </w:rPr>
        <w:t xml:space="preserve"> n</w:t>
      </w:r>
      <w:r w:rsidRPr="008376FC">
        <w:rPr>
          <w:rFonts w:asciiTheme="majorHAnsi" w:eastAsiaTheme="minorEastAsia" w:hAnsiTheme="majorHAnsi" w:cstheme="majorHAnsi"/>
          <w:b w:val="0"/>
          <w:bCs w:val="0"/>
          <w:sz w:val="24"/>
          <w:szCs w:val="24"/>
        </w:rPr>
        <w:t>emodificarea documentației de proiect p</w:t>
      </w:r>
      <w:r w:rsidR="00F34C8A">
        <w:rPr>
          <w:rFonts w:asciiTheme="majorHAnsi" w:eastAsiaTheme="minorEastAsia" w:hAnsiTheme="majorHAnsi" w:cstheme="majorHAnsi"/>
          <w:b w:val="0"/>
          <w:bCs w:val="0"/>
          <w:sz w:val="24"/>
          <w:szCs w:val="24"/>
        </w:rPr>
        <w:t>utea</w:t>
      </w:r>
      <w:r w:rsidRPr="008376FC">
        <w:rPr>
          <w:rFonts w:asciiTheme="majorHAnsi" w:eastAsiaTheme="minorEastAsia" w:hAnsiTheme="majorHAnsi" w:cstheme="majorHAnsi"/>
          <w:b w:val="0"/>
          <w:bCs w:val="0"/>
          <w:sz w:val="24"/>
          <w:szCs w:val="24"/>
        </w:rPr>
        <w:t xml:space="preserve"> genera riscul că stația nu ar rezista volumelor pentru care este proiectată.</w:t>
      </w:r>
    </w:p>
    <w:p w:rsidR="00036EAE" w:rsidRDefault="00756AE7" w:rsidP="00F61756">
      <w:pPr>
        <w:spacing w:after="0" w:line="276" w:lineRule="auto"/>
        <w:jc w:val="both"/>
        <w:rPr>
          <w:rFonts w:asciiTheme="majorHAnsi" w:eastAsiaTheme="minorEastAsia" w:hAnsiTheme="majorHAnsi" w:cstheme="majorHAnsi"/>
          <w:b w:val="0"/>
          <w:bCs w:val="0"/>
          <w:sz w:val="24"/>
          <w:szCs w:val="24"/>
        </w:rPr>
      </w:pPr>
      <w:r w:rsidRPr="008376FC">
        <w:rPr>
          <w:rFonts w:asciiTheme="majorHAnsi" w:eastAsia="Calibri" w:hAnsiTheme="majorHAnsi" w:cstheme="majorHAnsi"/>
          <w:b w:val="0"/>
          <w:sz w:val="24"/>
          <w:szCs w:val="24"/>
        </w:rPr>
        <w:t>În cadrul vizitei la fa</w:t>
      </w:r>
      <w:r w:rsidR="00F34C8A">
        <w:rPr>
          <w:rFonts w:asciiTheme="majorHAnsi" w:eastAsia="Calibri" w:hAnsiTheme="majorHAnsi" w:cstheme="majorHAnsi"/>
          <w:b w:val="0"/>
          <w:sz w:val="24"/>
          <w:szCs w:val="24"/>
        </w:rPr>
        <w:t>ț</w:t>
      </w:r>
      <w:r w:rsidRPr="008376FC">
        <w:rPr>
          <w:rFonts w:asciiTheme="majorHAnsi" w:eastAsia="Calibri" w:hAnsiTheme="majorHAnsi" w:cstheme="majorHAnsi"/>
          <w:b w:val="0"/>
          <w:sz w:val="24"/>
          <w:szCs w:val="24"/>
        </w:rPr>
        <w:t xml:space="preserve">a locului </w:t>
      </w:r>
      <w:r w:rsidRPr="008376FC">
        <w:rPr>
          <w:rFonts w:asciiTheme="majorHAnsi" w:eastAsiaTheme="minorEastAsia" w:hAnsiTheme="majorHAnsi" w:cstheme="majorHAnsi"/>
          <w:b w:val="0"/>
          <w:bCs w:val="0"/>
          <w:sz w:val="24"/>
          <w:szCs w:val="24"/>
        </w:rPr>
        <w:t>au fost observate semne vizibile de deteriorare a investițiilor</w:t>
      </w:r>
      <w:r w:rsidR="00F34C8A">
        <w:rPr>
          <w:rFonts w:asciiTheme="majorHAnsi" w:eastAsiaTheme="minorEastAsia" w:hAnsiTheme="majorHAnsi" w:cstheme="majorHAnsi"/>
          <w:b w:val="0"/>
          <w:bCs w:val="0"/>
          <w:sz w:val="24"/>
          <w:szCs w:val="24"/>
        </w:rPr>
        <w:t>,</w:t>
      </w:r>
      <w:r w:rsidRPr="008376FC">
        <w:rPr>
          <w:rFonts w:asciiTheme="majorHAnsi" w:eastAsiaTheme="minorEastAsia" w:hAnsiTheme="majorHAnsi" w:cstheme="majorHAnsi"/>
          <w:b w:val="0"/>
          <w:bCs w:val="0"/>
          <w:sz w:val="24"/>
          <w:szCs w:val="24"/>
        </w:rPr>
        <w:t xml:space="preserve"> </w:t>
      </w:r>
      <w:r w:rsidR="00F34C8A">
        <w:rPr>
          <w:rFonts w:asciiTheme="majorHAnsi" w:eastAsiaTheme="minorEastAsia" w:hAnsiTheme="majorHAnsi" w:cstheme="majorHAnsi"/>
          <w:b w:val="0"/>
          <w:bCs w:val="0"/>
          <w:sz w:val="24"/>
          <w:szCs w:val="24"/>
        </w:rPr>
        <w:t>cauzate de</w:t>
      </w:r>
      <w:r w:rsidRPr="008376FC">
        <w:rPr>
          <w:rFonts w:asciiTheme="majorHAnsi" w:eastAsiaTheme="minorEastAsia" w:hAnsiTheme="majorHAnsi" w:cstheme="majorHAnsi"/>
          <w:b w:val="0"/>
          <w:bCs w:val="0"/>
          <w:sz w:val="24"/>
          <w:szCs w:val="24"/>
        </w:rPr>
        <w:t xml:space="preserve"> exploat</w:t>
      </w:r>
      <w:r w:rsidR="00F34C8A">
        <w:rPr>
          <w:rFonts w:asciiTheme="majorHAnsi" w:eastAsiaTheme="minorEastAsia" w:hAnsiTheme="majorHAnsi" w:cstheme="majorHAnsi"/>
          <w:b w:val="0"/>
          <w:bCs w:val="0"/>
          <w:sz w:val="24"/>
          <w:szCs w:val="24"/>
        </w:rPr>
        <w:t>area</w:t>
      </w:r>
      <w:r w:rsidRPr="008376FC">
        <w:rPr>
          <w:rFonts w:asciiTheme="majorHAnsi" w:eastAsiaTheme="minorEastAsia" w:hAnsiTheme="majorHAnsi" w:cstheme="majorHAnsi"/>
          <w:b w:val="0"/>
          <w:bCs w:val="0"/>
          <w:sz w:val="24"/>
          <w:szCs w:val="24"/>
        </w:rPr>
        <w:t xml:space="preserve"> și întreținer</w:t>
      </w:r>
      <w:r w:rsidR="00F34C8A">
        <w:rPr>
          <w:rFonts w:asciiTheme="majorHAnsi" w:eastAsiaTheme="minorEastAsia" w:hAnsiTheme="majorHAnsi" w:cstheme="majorHAnsi"/>
          <w:b w:val="0"/>
          <w:bCs w:val="0"/>
          <w:sz w:val="24"/>
          <w:szCs w:val="24"/>
        </w:rPr>
        <w:t>ea</w:t>
      </w:r>
      <w:r w:rsidRPr="008376FC">
        <w:rPr>
          <w:rFonts w:asciiTheme="majorHAnsi" w:eastAsiaTheme="minorEastAsia" w:hAnsiTheme="majorHAnsi" w:cstheme="majorHAnsi"/>
          <w:b w:val="0"/>
          <w:bCs w:val="0"/>
          <w:sz w:val="24"/>
          <w:szCs w:val="24"/>
        </w:rPr>
        <w:t xml:space="preserve"> necorespunzătoare (rugin</w:t>
      </w:r>
      <w:r w:rsidR="00F34C8A">
        <w:rPr>
          <w:rFonts w:asciiTheme="majorHAnsi" w:eastAsiaTheme="minorEastAsia" w:hAnsiTheme="majorHAnsi" w:cstheme="majorHAnsi"/>
          <w:b w:val="0"/>
          <w:bCs w:val="0"/>
          <w:sz w:val="24"/>
          <w:szCs w:val="24"/>
        </w:rPr>
        <w:t>ă</w:t>
      </w:r>
      <w:r w:rsidRPr="008376FC">
        <w:rPr>
          <w:rFonts w:asciiTheme="majorHAnsi" w:eastAsiaTheme="minorEastAsia" w:hAnsiTheme="majorHAnsi" w:cstheme="majorHAnsi"/>
          <w:b w:val="0"/>
          <w:bCs w:val="0"/>
          <w:sz w:val="24"/>
          <w:szCs w:val="24"/>
        </w:rPr>
        <w:t>, înnămolir</w:t>
      </w:r>
      <w:r w:rsidR="00F34C8A">
        <w:rPr>
          <w:rFonts w:asciiTheme="majorHAnsi" w:eastAsiaTheme="minorEastAsia" w:hAnsiTheme="majorHAnsi" w:cstheme="majorHAnsi"/>
          <w:b w:val="0"/>
          <w:bCs w:val="0"/>
          <w:sz w:val="24"/>
          <w:szCs w:val="24"/>
        </w:rPr>
        <w:t>e</w:t>
      </w:r>
      <w:r w:rsidRPr="008376FC">
        <w:rPr>
          <w:rFonts w:asciiTheme="majorHAnsi" w:eastAsiaTheme="minorEastAsia" w:hAnsiTheme="majorHAnsi" w:cstheme="majorHAnsi"/>
          <w:b w:val="0"/>
          <w:bCs w:val="0"/>
          <w:sz w:val="24"/>
          <w:szCs w:val="24"/>
        </w:rPr>
        <w:t xml:space="preserve"> ș.a.).</w:t>
      </w:r>
    </w:p>
    <w:p w:rsidR="00376C62" w:rsidRPr="008376FC" w:rsidRDefault="00376C62" w:rsidP="00F61756">
      <w:pPr>
        <w:spacing w:after="0" w:line="276" w:lineRule="auto"/>
        <w:jc w:val="both"/>
        <w:rPr>
          <w:rFonts w:asciiTheme="majorHAnsi" w:eastAsiaTheme="minorEastAsia" w:hAnsiTheme="majorHAnsi" w:cstheme="majorHAnsi"/>
          <w:b w:val="0"/>
          <w:bCs w:val="0"/>
          <w:sz w:val="24"/>
          <w:szCs w:val="24"/>
        </w:rPr>
      </w:pPr>
    </w:p>
    <w:tbl>
      <w:tblPr>
        <w:tblStyle w:val="af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99"/>
        <w:gridCol w:w="2880"/>
        <w:gridCol w:w="2736"/>
      </w:tblGrid>
      <w:tr w:rsidR="005D7EF2" w:rsidRPr="008376FC" w:rsidTr="00036EAE">
        <w:trPr>
          <w:trHeight w:val="324"/>
          <w:jc w:val="center"/>
        </w:trPr>
        <w:tc>
          <w:tcPr>
            <w:tcW w:w="3999" w:type="dxa"/>
          </w:tcPr>
          <w:p w:rsidR="005D7EF2" w:rsidRPr="008376FC" w:rsidRDefault="005D7EF2" w:rsidP="00F61756">
            <w:pPr>
              <w:spacing w:line="276" w:lineRule="auto"/>
              <w:jc w:val="both"/>
              <w:rPr>
                <w:rFonts w:asciiTheme="majorHAnsi" w:eastAsiaTheme="minorEastAsia" w:hAnsiTheme="majorHAnsi" w:cstheme="majorHAnsi"/>
                <w:bCs w:val="0"/>
                <w:sz w:val="18"/>
                <w:szCs w:val="18"/>
              </w:rPr>
            </w:pPr>
            <w:r w:rsidRPr="008376FC">
              <w:rPr>
                <w:rFonts w:asciiTheme="majorHAnsi" w:eastAsiaTheme="minorEastAsia" w:hAnsiTheme="majorHAnsi" w:cstheme="majorHAnsi"/>
                <w:bCs w:val="0"/>
                <w:sz w:val="18"/>
                <w:szCs w:val="18"/>
              </w:rPr>
              <w:t>Imagine</w:t>
            </w:r>
            <w:r w:rsidR="00F34C8A">
              <w:rPr>
                <w:rFonts w:asciiTheme="majorHAnsi" w:eastAsiaTheme="minorEastAsia" w:hAnsiTheme="majorHAnsi" w:cstheme="majorHAnsi"/>
                <w:bCs w:val="0"/>
                <w:sz w:val="18"/>
                <w:szCs w:val="18"/>
              </w:rPr>
              <w:t>a</w:t>
            </w:r>
            <w:r w:rsidRPr="008376FC">
              <w:rPr>
                <w:rFonts w:asciiTheme="majorHAnsi" w:eastAsiaTheme="minorEastAsia" w:hAnsiTheme="majorHAnsi" w:cstheme="majorHAnsi"/>
                <w:bCs w:val="0"/>
                <w:sz w:val="18"/>
                <w:szCs w:val="18"/>
              </w:rPr>
              <w:t xml:space="preserve"> nr.1</w:t>
            </w:r>
          </w:p>
        </w:tc>
        <w:tc>
          <w:tcPr>
            <w:tcW w:w="2880" w:type="dxa"/>
          </w:tcPr>
          <w:p w:rsidR="005D7EF2" w:rsidRPr="008376FC" w:rsidRDefault="005D7EF2" w:rsidP="00F61756">
            <w:pPr>
              <w:spacing w:line="276" w:lineRule="auto"/>
              <w:jc w:val="both"/>
              <w:rPr>
                <w:rFonts w:asciiTheme="majorHAnsi" w:eastAsiaTheme="minorEastAsia" w:hAnsiTheme="majorHAnsi" w:cstheme="majorHAnsi"/>
                <w:bCs w:val="0"/>
                <w:sz w:val="18"/>
                <w:szCs w:val="18"/>
              </w:rPr>
            </w:pPr>
            <w:r w:rsidRPr="008376FC">
              <w:rPr>
                <w:rFonts w:asciiTheme="majorHAnsi" w:eastAsiaTheme="minorEastAsia" w:hAnsiTheme="majorHAnsi" w:cstheme="majorHAnsi"/>
                <w:bCs w:val="0"/>
                <w:sz w:val="18"/>
                <w:szCs w:val="18"/>
              </w:rPr>
              <w:t>Imagine</w:t>
            </w:r>
            <w:r w:rsidR="00F34C8A">
              <w:rPr>
                <w:rFonts w:asciiTheme="majorHAnsi" w:eastAsiaTheme="minorEastAsia" w:hAnsiTheme="majorHAnsi" w:cstheme="majorHAnsi"/>
                <w:bCs w:val="0"/>
                <w:sz w:val="18"/>
                <w:szCs w:val="18"/>
              </w:rPr>
              <w:t>a</w:t>
            </w:r>
            <w:r w:rsidRPr="008376FC">
              <w:rPr>
                <w:rFonts w:asciiTheme="majorHAnsi" w:eastAsiaTheme="minorEastAsia" w:hAnsiTheme="majorHAnsi" w:cstheme="majorHAnsi"/>
                <w:bCs w:val="0"/>
                <w:sz w:val="18"/>
                <w:szCs w:val="18"/>
              </w:rPr>
              <w:t xml:space="preserve"> nr.2</w:t>
            </w:r>
          </w:p>
        </w:tc>
        <w:tc>
          <w:tcPr>
            <w:tcW w:w="2736" w:type="dxa"/>
          </w:tcPr>
          <w:p w:rsidR="005D7EF2" w:rsidRPr="008376FC" w:rsidRDefault="005D7EF2" w:rsidP="00F61756">
            <w:pPr>
              <w:spacing w:line="276" w:lineRule="auto"/>
              <w:jc w:val="both"/>
              <w:rPr>
                <w:rFonts w:asciiTheme="majorHAnsi" w:eastAsiaTheme="minorEastAsia" w:hAnsiTheme="majorHAnsi" w:cstheme="majorHAnsi"/>
                <w:bCs w:val="0"/>
                <w:sz w:val="18"/>
                <w:szCs w:val="18"/>
              </w:rPr>
            </w:pPr>
            <w:r w:rsidRPr="008376FC">
              <w:rPr>
                <w:rFonts w:asciiTheme="majorHAnsi" w:eastAsiaTheme="minorEastAsia" w:hAnsiTheme="majorHAnsi" w:cstheme="majorHAnsi"/>
                <w:bCs w:val="0"/>
                <w:sz w:val="18"/>
                <w:szCs w:val="18"/>
              </w:rPr>
              <w:t>Imagine</w:t>
            </w:r>
            <w:r w:rsidR="00F34C8A">
              <w:rPr>
                <w:rFonts w:asciiTheme="majorHAnsi" w:eastAsiaTheme="minorEastAsia" w:hAnsiTheme="majorHAnsi" w:cstheme="majorHAnsi"/>
                <w:bCs w:val="0"/>
                <w:sz w:val="18"/>
                <w:szCs w:val="18"/>
              </w:rPr>
              <w:t>a</w:t>
            </w:r>
            <w:r w:rsidRPr="008376FC">
              <w:rPr>
                <w:rFonts w:asciiTheme="majorHAnsi" w:eastAsiaTheme="minorEastAsia" w:hAnsiTheme="majorHAnsi" w:cstheme="majorHAnsi"/>
                <w:bCs w:val="0"/>
                <w:sz w:val="18"/>
                <w:szCs w:val="18"/>
              </w:rPr>
              <w:t xml:space="preserve"> nr.3</w:t>
            </w:r>
          </w:p>
        </w:tc>
      </w:tr>
    </w:tbl>
    <w:p w:rsidR="00756AE7" w:rsidRPr="008376FC" w:rsidRDefault="000846A6" w:rsidP="00F61756">
      <w:pPr>
        <w:spacing w:after="0" w:line="276" w:lineRule="auto"/>
        <w:ind w:firstLine="709"/>
        <w:jc w:val="both"/>
        <w:rPr>
          <w:rFonts w:asciiTheme="majorHAnsi" w:eastAsiaTheme="minorEastAsia" w:hAnsiTheme="majorHAnsi" w:cstheme="majorHAnsi"/>
          <w:b w:val="0"/>
          <w:bCs w:val="0"/>
          <w:sz w:val="24"/>
          <w:szCs w:val="24"/>
        </w:rPr>
      </w:pPr>
      <w:r>
        <w:rPr>
          <w:rFonts w:asciiTheme="majorHAnsi" w:eastAsiaTheme="minorEastAsia" w:hAnsiTheme="majorHAnsi" w:cstheme="majorHAnsi"/>
          <w:b w:val="0"/>
          <w:bCs w:val="0"/>
          <w:noProof/>
          <w:sz w:val="24"/>
          <w:szCs w:val="24"/>
          <w:lang w:val="ru-RU" w:eastAsia="ru-RU"/>
        </w:rPr>
        <mc:AlternateContent>
          <mc:Choice Requires="wpg">
            <w:drawing>
              <wp:anchor distT="0" distB="0" distL="114300" distR="114300" simplePos="0" relativeHeight="251663360" behindDoc="0" locked="0" layoutInCell="1" allowOverlap="1">
                <wp:simplePos x="0" y="0"/>
                <wp:positionH relativeFrom="column">
                  <wp:posOffset>-46355</wp:posOffset>
                </wp:positionH>
                <wp:positionV relativeFrom="paragraph">
                  <wp:posOffset>162560</wp:posOffset>
                </wp:positionV>
                <wp:extent cx="6038215" cy="1808480"/>
                <wp:effectExtent l="0" t="0" r="0" b="0"/>
                <wp:wrapSquare wrapText="bothSides"/>
                <wp:docPr id="58"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38215" cy="1808480"/>
                          <a:chOff x="0" y="0"/>
                          <a:chExt cx="6012815" cy="1856389"/>
                        </a:xfrm>
                      </wpg:grpSpPr>
                      <pic:pic xmlns:pic="http://schemas.openxmlformats.org/drawingml/2006/picture">
                        <pic:nvPicPr>
                          <pic:cNvPr id="65" name="Picture 16"/>
                          <pic:cNvPicPr>
                            <a:picLocks noChangeAspect="1"/>
                          </pic:cNvPicPr>
                        </pic:nvPicPr>
                        <pic:blipFill rotWithShape="1">
                          <a:blip r:embed="rId27" cstate="print">
                            <a:extLst>
                              <a:ext uri="{28A0092B-C50C-407E-A947-70E740481C1C}">
                                <a14:useLocalDpi xmlns:a14="http://schemas.microsoft.com/office/drawing/2010/main" val="0"/>
                              </a:ext>
                            </a:extLst>
                          </a:blip>
                          <a:srcRect l="15849" r="17831"/>
                          <a:stretch/>
                        </pic:blipFill>
                        <pic:spPr bwMode="auto">
                          <a:xfrm>
                            <a:off x="0" y="0"/>
                            <a:ext cx="2732314" cy="1856389"/>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6" name="Picture 17" descr="cid:image002.jpg@01D960A1.FEFDB020"/>
                          <pic:cNvPicPr>
                            <a:picLocks noChangeAspect="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2471058" y="0"/>
                            <a:ext cx="1898650" cy="1846580"/>
                          </a:xfrm>
                          <a:prstGeom prst="rect">
                            <a:avLst/>
                          </a:prstGeom>
                          <a:noFill/>
                          <a:ln>
                            <a:noFill/>
                          </a:ln>
                        </pic:spPr>
                      </pic:pic>
                      <pic:pic xmlns:pic="http://schemas.openxmlformats.org/drawingml/2006/picture">
                        <pic:nvPicPr>
                          <pic:cNvPr id="67" name="Picture 18" descr="cid:image003.jpg@01D960A1.FEFDB020"/>
                          <pic:cNvPicPr>
                            <a:picLocks noChangeAspect="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4287776" y="16329"/>
                            <a:ext cx="1725039" cy="1830251"/>
                          </a:xfrm>
                          <a:prstGeom prst="rect">
                            <a:avLst/>
                          </a:prstGeom>
                          <a:noFill/>
                          <a:ln>
                            <a:noFill/>
                          </a:ln>
                        </pic:spPr>
                      </pic:pic>
                    </wpg:wgp>
                  </a:graphicData>
                </a:graphic>
                <wp14:sizeRelH relativeFrom="page">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5C7E8ED" id="Group 15" o:spid="_x0000_s1026" style="position:absolute;margin-left:-3.65pt;margin-top:12.8pt;width:475.45pt;height:142.4pt;z-index:251663360;mso-height-relative:margin" coordsize="60128,185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">
                <v:shape id="Picture 16" o:spid="_x0000_s1027" type="#_x0000_t75" style="position:absolute;width:27323;height:18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">
                  <v:imagedata r:id="rId32" o:title="" cropleft="10387f" cropright="11686f"/>
                  <v:path arrowok="t"/>
                </v:shape>
                <v:shape id="Picture 17" o:spid="_x0000_s1028" type="#_x0000_t75" alt="cid:image002.jpg@01D960A1.FEFDB020" style="position:absolute;left:24710;width:18987;height:18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">
                  <v:imagedata r:id="rId33" r:href="rId34"/>
                  <v:path arrowok="t"/>
                </v:shape>
                <v:shape id="Picture 18" o:spid="_x0000_s1029" type="#_x0000_t75" alt="cid:image003.jpg@01D960A1.FEFDB020" style="position:absolute;left:42877;top:163;width:17251;height:18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">
                  <v:imagedata r:id="rId35" r:href="rId36"/>
                  <v:path arrowok="t"/>
                </v:shape>
                <w10:wrap type="square"/>
              </v:group>
            </w:pict>
          </mc:Fallback>
        </mc:AlternateContent>
      </w:r>
      <w:r w:rsidR="00B05EB5" w:rsidRPr="008376FC">
        <w:rPr>
          <w:rFonts w:asciiTheme="majorHAnsi" w:eastAsiaTheme="minorEastAsia" w:hAnsiTheme="majorHAnsi" w:cstheme="majorHAnsi"/>
          <w:b w:val="0"/>
          <w:bCs w:val="0"/>
          <w:sz w:val="24"/>
          <w:szCs w:val="24"/>
        </w:rPr>
        <w:t xml:space="preserve"> </w:t>
      </w:r>
    </w:p>
    <w:p w:rsidR="00B05EB5" w:rsidRPr="00900C8C" w:rsidRDefault="00B05EB5" w:rsidP="00F61756">
      <w:pPr>
        <w:spacing w:after="0" w:line="276" w:lineRule="auto"/>
        <w:ind w:firstLine="709"/>
        <w:jc w:val="both"/>
        <w:rPr>
          <w:rFonts w:asciiTheme="majorHAnsi" w:eastAsiaTheme="minorEastAsia" w:hAnsiTheme="majorHAnsi" w:cstheme="majorHAnsi"/>
          <w:b w:val="0"/>
          <w:bCs w:val="0"/>
          <w:i/>
          <w:sz w:val="20"/>
          <w:szCs w:val="20"/>
        </w:rPr>
      </w:pPr>
      <w:r w:rsidRPr="00900C8C">
        <w:rPr>
          <w:rFonts w:asciiTheme="majorHAnsi" w:hAnsiTheme="majorHAnsi" w:cs="Times New Roman"/>
          <w:i/>
          <w:noProof/>
          <w:sz w:val="20"/>
          <w:szCs w:val="20"/>
        </w:rPr>
        <w:t xml:space="preserve">Sursa: </w:t>
      </w:r>
      <w:r w:rsidRPr="00900C8C">
        <w:rPr>
          <w:rFonts w:asciiTheme="majorHAnsi" w:hAnsiTheme="majorHAnsi" w:cs="Times New Roman"/>
          <w:b w:val="0"/>
          <w:i/>
          <w:noProof/>
          <w:sz w:val="20"/>
          <w:szCs w:val="20"/>
        </w:rPr>
        <w:t>Imagini realizate de echipa de audit</w:t>
      </w:r>
      <w:r w:rsidR="00F34C8A" w:rsidRPr="00900C8C">
        <w:rPr>
          <w:rFonts w:asciiTheme="majorHAnsi" w:hAnsiTheme="majorHAnsi" w:cs="Times New Roman"/>
          <w:b w:val="0"/>
          <w:i/>
          <w:noProof/>
          <w:sz w:val="20"/>
          <w:szCs w:val="20"/>
        </w:rPr>
        <w:t>.</w:t>
      </w:r>
    </w:p>
    <w:p w:rsidR="00B05EB5" w:rsidRPr="008376FC" w:rsidRDefault="00B05EB5" w:rsidP="00F61756">
      <w:pPr>
        <w:spacing w:after="0" w:line="276" w:lineRule="auto"/>
        <w:ind w:firstLine="709"/>
        <w:jc w:val="both"/>
        <w:rPr>
          <w:rFonts w:asciiTheme="majorHAnsi" w:eastAsiaTheme="minorEastAsia" w:hAnsiTheme="majorHAnsi" w:cstheme="majorHAnsi"/>
          <w:b w:val="0"/>
          <w:bCs w:val="0"/>
          <w:sz w:val="24"/>
          <w:szCs w:val="24"/>
        </w:rPr>
      </w:pPr>
    </w:p>
    <w:p w:rsidR="00756AE7" w:rsidRPr="008376FC" w:rsidRDefault="00756AE7" w:rsidP="00F61756">
      <w:pPr>
        <w:spacing w:line="276" w:lineRule="auto"/>
        <w:jc w:val="both"/>
        <w:rPr>
          <w:rFonts w:asciiTheme="majorHAnsi" w:eastAsiaTheme="minorEastAsia" w:hAnsiTheme="majorHAnsi" w:cstheme="majorHAnsi"/>
          <w:b w:val="0"/>
          <w:bCs w:val="0"/>
          <w:sz w:val="24"/>
          <w:szCs w:val="24"/>
        </w:rPr>
      </w:pPr>
      <w:r w:rsidRPr="008376FC">
        <w:rPr>
          <w:rFonts w:asciiTheme="majorHAnsi" w:eastAsiaTheme="minorEastAsia" w:hAnsiTheme="majorHAnsi" w:cstheme="majorHAnsi"/>
          <w:b w:val="0"/>
          <w:bCs w:val="0"/>
          <w:sz w:val="24"/>
          <w:szCs w:val="24"/>
        </w:rPr>
        <w:t>De menționat că</w:t>
      </w:r>
      <w:r w:rsidRPr="00036EAE">
        <w:rPr>
          <w:rFonts w:asciiTheme="majorHAnsi" w:eastAsiaTheme="minorEastAsia" w:hAnsiTheme="majorHAnsi" w:cstheme="majorHAnsi"/>
          <w:b w:val="0"/>
          <w:bCs w:val="0"/>
          <w:sz w:val="24"/>
          <w:szCs w:val="24"/>
        </w:rPr>
        <w:t xml:space="preserve">, </w:t>
      </w:r>
      <w:r w:rsidR="00BC28D6" w:rsidRPr="00036EAE">
        <w:rPr>
          <w:rFonts w:asciiTheme="majorHAnsi" w:eastAsiaTheme="minorEastAsia" w:hAnsiTheme="majorHAnsi" w:cstheme="majorHAnsi"/>
          <w:b w:val="0"/>
          <w:bCs w:val="0"/>
          <w:sz w:val="24"/>
          <w:szCs w:val="24"/>
        </w:rPr>
        <w:t>una din 4 stații de pompare nu are generator pe bază de diesel, acesta nefiind inclus nici în documentația de proiect</w:t>
      </w:r>
      <w:r w:rsidRPr="00036EAE">
        <w:rPr>
          <w:rFonts w:asciiTheme="majorHAnsi" w:eastAsiaTheme="minorEastAsia" w:hAnsiTheme="majorHAnsi" w:cstheme="majorHAnsi"/>
          <w:b w:val="0"/>
          <w:bCs w:val="0"/>
          <w:sz w:val="24"/>
          <w:szCs w:val="24"/>
        </w:rPr>
        <w:t>.</w:t>
      </w:r>
      <w:r w:rsidRPr="008376FC">
        <w:rPr>
          <w:rFonts w:asciiTheme="majorHAnsi" w:eastAsiaTheme="minorEastAsia" w:hAnsiTheme="majorHAnsi" w:cstheme="majorHAnsi"/>
          <w:b w:val="0"/>
          <w:bCs w:val="0"/>
          <w:sz w:val="24"/>
          <w:szCs w:val="24"/>
        </w:rPr>
        <w:t xml:space="preserve"> La moment</w:t>
      </w:r>
      <w:r w:rsidR="00BB4D76">
        <w:rPr>
          <w:rFonts w:asciiTheme="majorHAnsi" w:eastAsiaTheme="minorEastAsia" w:hAnsiTheme="majorHAnsi" w:cstheme="majorHAnsi"/>
          <w:b w:val="0"/>
          <w:bCs w:val="0"/>
          <w:sz w:val="24"/>
          <w:szCs w:val="24"/>
        </w:rPr>
        <w:t>ul actual</w:t>
      </w:r>
      <w:r w:rsidRPr="008376FC">
        <w:rPr>
          <w:rFonts w:asciiTheme="majorHAnsi" w:eastAsiaTheme="minorEastAsia" w:hAnsiTheme="majorHAnsi" w:cstheme="majorHAnsi"/>
          <w:b w:val="0"/>
          <w:bCs w:val="0"/>
          <w:sz w:val="24"/>
          <w:szCs w:val="24"/>
        </w:rPr>
        <w:t>, proiectul se află la etapa de finalizare a lucrărilor. Nemodificarea documentației de proiect, poate genera riscul c</w:t>
      </w:r>
      <w:r w:rsidR="00BB4D76">
        <w:rPr>
          <w:rFonts w:asciiTheme="majorHAnsi" w:eastAsiaTheme="minorEastAsia" w:hAnsiTheme="majorHAnsi" w:cstheme="majorHAnsi"/>
          <w:b w:val="0"/>
          <w:bCs w:val="0"/>
          <w:sz w:val="24"/>
          <w:szCs w:val="24"/>
        </w:rPr>
        <w:t>a,</w:t>
      </w:r>
      <w:r w:rsidRPr="008376FC">
        <w:rPr>
          <w:rFonts w:asciiTheme="majorHAnsi" w:eastAsiaTheme="minorEastAsia" w:hAnsiTheme="majorHAnsi" w:cstheme="majorHAnsi"/>
          <w:b w:val="0"/>
          <w:bCs w:val="0"/>
          <w:sz w:val="24"/>
          <w:szCs w:val="24"/>
        </w:rPr>
        <w:t xml:space="preserve"> </w:t>
      </w:r>
      <w:r w:rsidR="00BB4D76">
        <w:rPr>
          <w:rFonts w:asciiTheme="majorHAnsi" w:eastAsiaTheme="minorEastAsia" w:hAnsiTheme="majorHAnsi" w:cstheme="majorHAnsi"/>
          <w:b w:val="0"/>
          <w:bCs w:val="0"/>
          <w:sz w:val="24"/>
          <w:szCs w:val="24"/>
        </w:rPr>
        <w:t>la</w:t>
      </w:r>
      <w:r w:rsidRPr="008376FC">
        <w:rPr>
          <w:rFonts w:asciiTheme="majorHAnsi" w:eastAsiaTheme="minorEastAsia" w:hAnsiTheme="majorHAnsi" w:cstheme="majorHAnsi"/>
          <w:b w:val="0"/>
          <w:bCs w:val="0"/>
          <w:sz w:val="24"/>
          <w:szCs w:val="24"/>
        </w:rPr>
        <w:t>l deconect</w:t>
      </w:r>
      <w:r w:rsidR="00BB4D76">
        <w:rPr>
          <w:rFonts w:asciiTheme="majorHAnsi" w:eastAsiaTheme="minorEastAsia" w:hAnsiTheme="majorHAnsi" w:cstheme="majorHAnsi"/>
          <w:b w:val="0"/>
          <w:bCs w:val="0"/>
          <w:sz w:val="24"/>
          <w:szCs w:val="24"/>
        </w:rPr>
        <w:t>area</w:t>
      </w:r>
      <w:r w:rsidRPr="008376FC">
        <w:rPr>
          <w:rFonts w:asciiTheme="majorHAnsi" w:eastAsiaTheme="minorEastAsia" w:hAnsiTheme="majorHAnsi" w:cstheme="majorHAnsi"/>
          <w:b w:val="0"/>
          <w:bCs w:val="0"/>
          <w:sz w:val="24"/>
          <w:szCs w:val="24"/>
        </w:rPr>
        <w:t xml:space="preserve"> energiei electrice, stația ar punea deveni nefuncțională, în consecință existând riscul poluării mediului. </w:t>
      </w:r>
    </w:p>
    <w:p w:rsidR="00756AE7" w:rsidRPr="008376FC" w:rsidRDefault="00756AE7" w:rsidP="00F61756">
      <w:pPr>
        <w:spacing w:line="276" w:lineRule="auto"/>
        <w:jc w:val="both"/>
        <w:rPr>
          <w:rFonts w:asciiTheme="majorHAnsi" w:eastAsia="Calibri" w:hAnsiTheme="majorHAnsi" w:cstheme="majorHAnsi"/>
          <w:b w:val="0"/>
          <w:sz w:val="24"/>
          <w:szCs w:val="24"/>
        </w:rPr>
      </w:pPr>
      <w:r w:rsidRPr="008376FC">
        <w:rPr>
          <w:rFonts w:asciiTheme="majorHAnsi" w:eastAsiaTheme="minorEastAsia" w:hAnsiTheme="majorHAnsi" w:cstheme="majorHAnsi"/>
          <w:b w:val="0"/>
          <w:bCs w:val="0"/>
          <w:sz w:val="24"/>
          <w:szCs w:val="24"/>
        </w:rPr>
        <w:t xml:space="preserve">Totodată, ca urmare a rezilierii unilaterale a contractului </w:t>
      </w:r>
      <w:r w:rsidRPr="008376FC">
        <w:rPr>
          <w:rFonts w:asciiTheme="majorHAnsi" w:eastAsia="Calibri" w:hAnsiTheme="majorHAnsi" w:cstheme="majorHAnsi"/>
          <w:b w:val="0"/>
          <w:sz w:val="24"/>
          <w:szCs w:val="24"/>
        </w:rPr>
        <w:t>de antrepriză cu S.R.L. „Comalion” LCA (antreprenorul nr.1)</w:t>
      </w:r>
      <w:r w:rsidR="00BB4D76">
        <w:rPr>
          <w:rFonts w:asciiTheme="majorHAnsi" w:eastAsia="Calibri" w:hAnsiTheme="majorHAnsi" w:cstheme="majorHAnsi"/>
          <w:b w:val="0"/>
          <w:sz w:val="24"/>
          <w:szCs w:val="24"/>
        </w:rPr>
        <w:t>,</w:t>
      </w:r>
      <w:r w:rsidRPr="008376FC">
        <w:rPr>
          <w:rFonts w:asciiTheme="majorHAnsi" w:eastAsia="Calibri" w:hAnsiTheme="majorHAnsi" w:cstheme="majorHAnsi"/>
          <w:b w:val="0"/>
          <w:sz w:val="24"/>
          <w:szCs w:val="24"/>
        </w:rPr>
        <w:t xml:space="preserve"> au fost generate două litigii în cadrul cărora antreprenorul a solicitat ADR Centru   onorarea plăţii unei facturi în valoare de 0,43 mil. lei, care reprezintă garanția de bună execuție, suma respectivă, ca urmare a </w:t>
      </w:r>
      <w:r w:rsidRPr="008376FC">
        <w:rPr>
          <w:rFonts w:asciiTheme="majorHAnsi" w:eastAsiaTheme="minorEastAsia" w:hAnsiTheme="majorHAnsi" w:cstheme="majorHAnsi"/>
          <w:b w:val="0"/>
          <w:sz w:val="24"/>
          <w:szCs w:val="24"/>
        </w:rPr>
        <w:t>deciziei adoptat</w:t>
      </w:r>
      <w:r w:rsidR="00BB4D76">
        <w:rPr>
          <w:rFonts w:asciiTheme="majorHAnsi" w:eastAsiaTheme="minorEastAsia" w:hAnsiTheme="majorHAnsi" w:cstheme="majorHAnsi"/>
          <w:b w:val="0"/>
          <w:sz w:val="24"/>
          <w:szCs w:val="24"/>
        </w:rPr>
        <w:t>e</w:t>
      </w:r>
      <w:r w:rsidRPr="008376FC">
        <w:rPr>
          <w:rFonts w:asciiTheme="majorHAnsi" w:eastAsiaTheme="minorEastAsia" w:hAnsiTheme="majorHAnsi" w:cstheme="majorHAnsi"/>
          <w:b w:val="0"/>
          <w:sz w:val="24"/>
          <w:szCs w:val="24"/>
        </w:rPr>
        <w:t xml:space="preserve"> la 26.10.2021 de instanța de insolvabilitate a Judecătoriei Chișinău, </w:t>
      </w:r>
      <w:r w:rsidRPr="008376FC">
        <w:rPr>
          <w:rFonts w:asciiTheme="majorHAnsi" w:eastAsia="Calibri" w:hAnsiTheme="majorHAnsi" w:cstheme="majorHAnsi"/>
          <w:b w:val="0"/>
          <w:sz w:val="24"/>
          <w:szCs w:val="24"/>
        </w:rPr>
        <w:t>fiind achitată antreprenorului</w:t>
      </w:r>
      <w:r w:rsidRPr="008376FC">
        <w:rPr>
          <w:rFonts w:asciiTheme="majorHAnsi" w:eastAsia="Calibri" w:hAnsiTheme="majorHAnsi" w:cstheme="majorHAnsi"/>
          <w:b w:val="0"/>
          <w:sz w:val="24"/>
          <w:szCs w:val="24"/>
          <w:vertAlign w:val="superscript"/>
        </w:rPr>
        <w:footnoteReference w:id="50"/>
      </w:r>
      <w:r w:rsidRPr="008376FC">
        <w:rPr>
          <w:rFonts w:asciiTheme="majorHAnsi" w:eastAsia="Calibri" w:hAnsiTheme="majorHAnsi" w:cstheme="majorHAnsi"/>
          <w:b w:val="0"/>
          <w:sz w:val="24"/>
          <w:szCs w:val="24"/>
        </w:rPr>
        <w:t>, iar în al</w:t>
      </w:r>
      <w:r w:rsidR="00BB4D76">
        <w:rPr>
          <w:rFonts w:asciiTheme="majorHAnsi" w:eastAsia="Calibri" w:hAnsiTheme="majorHAnsi" w:cstheme="majorHAnsi"/>
          <w:b w:val="0"/>
          <w:sz w:val="24"/>
          <w:szCs w:val="24"/>
        </w:rPr>
        <w:t>t</w:t>
      </w:r>
      <w:r w:rsidRPr="008376FC">
        <w:rPr>
          <w:rFonts w:asciiTheme="majorHAnsi" w:eastAsia="Calibri" w:hAnsiTheme="majorHAnsi" w:cstheme="majorHAnsi"/>
          <w:b w:val="0"/>
          <w:sz w:val="24"/>
          <w:szCs w:val="24"/>
        </w:rPr>
        <w:t xml:space="preserve"> caz, ADR Centru a</w:t>
      </w:r>
      <w:r w:rsidRPr="008376FC">
        <w:rPr>
          <w:rFonts w:asciiTheme="majorHAnsi" w:eastAsiaTheme="minorEastAsia" w:hAnsiTheme="majorHAnsi" w:cstheme="majorHAnsi"/>
          <w:b w:val="0"/>
          <w:sz w:val="24"/>
          <w:szCs w:val="24"/>
        </w:rPr>
        <w:t xml:space="preserve"> repus în termen cererea de admitere a creanţei faţă de S.R.L. „Comalion” LCA în valoare de 1,03 mil.lei, care reprezintă penalitățile pentru neexecutarea în termen a lucrărilor stipulate în contract. </w:t>
      </w:r>
      <w:r w:rsidRPr="008376FC">
        <w:rPr>
          <w:rFonts w:asciiTheme="majorHAnsi" w:eastAsia="Calibri" w:hAnsiTheme="majorHAnsi" w:cstheme="majorHAnsi"/>
          <w:b w:val="0"/>
          <w:sz w:val="24"/>
          <w:szCs w:val="24"/>
        </w:rPr>
        <w:t xml:space="preserve"> </w:t>
      </w:r>
    </w:p>
    <w:p w:rsidR="00756AE7" w:rsidRDefault="00756AE7" w:rsidP="00F61756">
      <w:pPr>
        <w:numPr>
          <w:ilvl w:val="0"/>
          <w:numId w:val="28"/>
        </w:numPr>
        <w:spacing w:line="276" w:lineRule="auto"/>
        <w:ind w:left="0" w:firstLine="284"/>
        <w:contextualSpacing/>
        <w:jc w:val="both"/>
        <w:rPr>
          <w:rFonts w:asciiTheme="majorHAnsi" w:hAnsiTheme="majorHAnsi" w:cstheme="majorHAnsi"/>
          <w:bCs w:val="0"/>
          <w:sz w:val="24"/>
          <w:szCs w:val="24"/>
        </w:rPr>
      </w:pPr>
      <w:r w:rsidRPr="008376FC">
        <w:rPr>
          <w:rFonts w:asciiTheme="majorHAnsi" w:hAnsiTheme="majorHAnsi" w:cstheme="majorHAnsi"/>
          <w:bCs w:val="0"/>
          <w:sz w:val="24"/>
          <w:szCs w:val="24"/>
        </w:rPr>
        <w:t>Proiectul „Asigurarea orașului Fălești cu apă din râul Prut”, inițiat în anul 2011, valoare</w:t>
      </w:r>
      <w:r w:rsidR="00904D93">
        <w:rPr>
          <w:rFonts w:asciiTheme="majorHAnsi" w:hAnsiTheme="majorHAnsi" w:cstheme="majorHAnsi"/>
          <w:bCs w:val="0"/>
          <w:sz w:val="24"/>
          <w:szCs w:val="24"/>
        </w:rPr>
        <w:t>a</w:t>
      </w:r>
      <w:r w:rsidRPr="008376FC">
        <w:rPr>
          <w:rFonts w:asciiTheme="majorHAnsi" w:hAnsiTheme="majorHAnsi" w:cstheme="majorHAnsi"/>
          <w:bCs w:val="0"/>
          <w:sz w:val="24"/>
          <w:szCs w:val="24"/>
        </w:rPr>
        <w:t xml:space="preserve"> estimată nu este disponibilă, lucrările se realizează în etape, la finele anului 2022 valoarea obiectivului aflat în execuție constitui</w:t>
      </w:r>
      <w:r w:rsidR="00904D93">
        <w:rPr>
          <w:rFonts w:asciiTheme="majorHAnsi" w:hAnsiTheme="majorHAnsi" w:cstheme="majorHAnsi"/>
          <w:bCs w:val="0"/>
          <w:sz w:val="24"/>
          <w:szCs w:val="24"/>
        </w:rPr>
        <w:t>a</w:t>
      </w:r>
      <w:r w:rsidRPr="008376FC">
        <w:rPr>
          <w:rFonts w:asciiTheme="majorHAnsi" w:hAnsiTheme="majorHAnsi" w:cstheme="majorHAnsi"/>
          <w:bCs w:val="0"/>
          <w:sz w:val="24"/>
          <w:szCs w:val="24"/>
        </w:rPr>
        <w:t xml:space="preserve"> 149,9 mil.lei.</w:t>
      </w:r>
    </w:p>
    <w:p w:rsidR="00F46FB7" w:rsidRPr="008376FC" w:rsidRDefault="00F46FB7" w:rsidP="00F46FB7">
      <w:pPr>
        <w:spacing w:line="276" w:lineRule="auto"/>
        <w:ind w:left="284"/>
        <w:contextualSpacing/>
        <w:jc w:val="both"/>
        <w:rPr>
          <w:rFonts w:asciiTheme="majorHAnsi" w:hAnsiTheme="majorHAnsi" w:cstheme="majorHAnsi"/>
          <w:bCs w:val="0"/>
          <w:sz w:val="24"/>
          <w:szCs w:val="24"/>
        </w:rPr>
      </w:pPr>
    </w:p>
    <w:p w:rsidR="00756AE7" w:rsidRPr="008376FC" w:rsidRDefault="00756AE7" w:rsidP="00F61756">
      <w:pPr>
        <w:autoSpaceDE w:val="0"/>
        <w:autoSpaceDN w:val="0"/>
        <w:adjustRightInd w:val="0"/>
        <w:spacing w:after="0" w:line="276" w:lineRule="auto"/>
        <w:ind w:firstLine="567"/>
        <w:jc w:val="both"/>
        <w:rPr>
          <w:rFonts w:asciiTheme="majorHAnsi" w:eastAsiaTheme="minorEastAsia" w:hAnsiTheme="majorHAnsi" w:cstheme="majorHAnsi"/>
          <w:b w:val="0"/>
          <w:bCs w:val="0"/>
          <w:sz w:val="24"/>
          <w:szCs w:val="24"/>
        </w:rPr>
      </w:pPr>
      <w:r w:rsidRPr="008376FC">
        <w:rPr>
          <w:rFonts w:asciiTheme="majorHAnsi" w:eastAsiaTheme="minorEastAsia" w:hAnsiTheme="majorHAnsi" w:cstheme="majorHAnsi"/>
          <w:b w:val="0"/>
          <w:bCs w:val="0"/>
          <w:sz w:val="24"/>
          <w:szCs w:val="24"/>
        </w:rPr>
        <w:t>Proiectul este realizat din mai multe surse, fiind atrase atât mijloacele FNDR și FEN</w:t>
      </w:r>
      <w:r w:rsidR="00904D93">
        <w:rPr>
          <w:rFonts w:asciiTheme="majorHAnsi" w:eastAsiaTheme="minorEastAsia" w:hAnsiTheme="majorHAnsi" w:cstheme="majorHAnsi"/>
          <w:b w:val="0"/>
          <w:bCs w:val="0"/>
          <w:sz w:val="24"/>
          <w:szCs w:val="24"/>
        </w:rPr>
        <w:t>,</w:t>
      </w:r>
      <w:r w:rsidRPr="008376FC">
        <w:rPr>
          <w:rFonts w:asciiTheme="majorHAnsi" w:eastAsiaTheme="minorEastAsia" w:hAnsiTheme="majorHAnsi" w:cstheme="majorHAnsi"/>
          <w:b w:val="0"/>
          <w:bCs w:val="0"/>
          <w:sz w:val="24"/>
          <w:szCs w:val="24"/>
        </w:rPr>
        <w:t xml:space="preserve"> cât și contribuția UAT. </w:t>
      </w:r>
    </w:p>
    <w:p w:rsidR="00036EAE" w:rsidRPr="00036EAE" w:rsidRDefault="00756AE7" w:rsidP="00F61756">
      <w:pPr>
        <w:autoSpaceDE w:val="0"/>
        <w:autoSpaceDN w:val="0"/>
        <w:adjustRightInd w:val="0"/>
        <w:spacing w:after="0" w:line="276" w:lineRule="auto"/>
        <w:contextualSpacing/>
        <w:jc w:val="both"/>
        <w:rPr>
          <w:rFonts w:asciiTheme="majorHAnsi" w:hAnsiTheme="majorHAnsi" w:cstheme="majorHAnsi"/>
          <w:b w:val="0"/>
          <w:bCs w:val="0"/>
          <w:i/>
          <w:sz w:val="24"/>
          <w:szCs w:val="24"/>
        </w:rPr>
      </w:pPr>
      <w:r w:rsidRPr="004737C5">
        <w:rPr>
          <w:rFonts w:asciiTheme="majorHAnsi" w:hAnsiTheme="majorHAnsi" w:cstheme="majorHAnsi"/>
          <w:b w:val="0"/>
          <w:bCs w:val="0"/>
          <w:i/>
          <w:sz w:val="24"/>
          <w:szCs w:val="24"/>
        </w:rPr>
        <w:t>Proiectul „Asigurarea orașului Fălești cu apă din râul Prut 1”.</w:t>
      </w:r>
      <w:r w:rsidRPr="004737C5">
        <w:rPr>
          <w:rFonts w:asciiTheme="majorHAnsi" w:hAnsiTheme="majorHAnsi" w:cstheme="majorHAnsi"/>
          <w:b w:val="0"/>
          <w:bCs w:val="0"/>
          <w:sz w:val="24"/>
          <w:szCs w:val="24"/>
        </w:rPr>
        <w:t xml:space="preserve"> Deși, conform Concluziei expertizei din 2012 în urma rezultatelor studiului de expertiză, s-a concluzionat că apeductul construit poate fi exploatat, iar următoarea diagnostică să fie efectuată nu mai târziu de august 2020, ca urmare a constru</w:t>
      </w:r>
      <w:r w:rsidR="00904D93" w:rsidRPr="004737C5">
        <w:rPr>
          <w:rFonts w:asciiTheme="majorHAnsi" w:hAnsiTheme="majorHAnsi" w:cstheme="majorHAnsi"/>
          <w:b w:val="0"/>
          <w:bCs w:val="0"/>
          <w:sz w:val="24"/>
          <w:szCs w:val="24"/>
        </w:rPr>
        <w:t>cție</w:t>
      </w:r>
      <w:r w:rsidRPr="004737C5">
        <w:rPr>
          <w:rFonts w:asciiTheme="majorHAnsi" w:hAnsiTheme="majorHAnsi" w:cstheme="majorHAnsi"/>
          <w:b w:val="0"/>
          <w:bCs w:val="0"/>
          <w:sz w:val="24"/>
          <w:szCs w:val="24"/>
        </w:rPr>
        <w:t xml:space="preserve"> în anul 2011 a unei stații noi de tratare a apei (11,25 mil</w:t>
      </w:r>
      <w:r w:rsidR="00904D93" w:rsidRPr="004737C5">
        <w:rPr>
          <w:rFonts w:asciiTheme="majorHAnsi" w:hAnsiTheme="majorHAnsi" w:cstheme="majorHAnsi"/>
          <w:b w:val="0"/>
          <w:bCs w:val="0"/>
          <w:sz w:val="24"/>
          <w:szCs w:val="24"/>
        </w:rPr>
        <w:t>.</w:t>
      </w:r>
      <w:r w:rsidRPr="004737C5">
        <w:rPr>
          <w:rFonts w:asciiTheme="majorHAnsi" w:hAnsiTheme="majorHAnsi" w:cstheme="majorHAnsi"/>
          <w:b w:val="0"/>
          <w:bCs w:val="0"/>
          <w:sz w:val="24"/>
          <w:szCs w:val="24"/>
        </w:rPr>
        <w:t xml:space="preserve">lei), apeductul magistral Prut-Fălești a </w:t>
      </w:r>
      <w:r w:rsidR="006668E4">
        <w:rPr>
          <w:rFonts w:asciiTheme="majorHAnsi" w:hAnsiTheme="majorHAnsi" w:cstheme="majorHAnsi"/>
          <w:b w:val="0"/>
          <w:bCs w:val="0"/>
          <w:sz w:val="24"/>
          <w:szCs w:val="24"/>
        </w:rPr>
        <w:t xml:space="preserve">fost </w:t>
      </w:r>
      <w:r w:rsidR="006668E4" w:rsidRPr="004737C5">
        <w:rPr>
          <w:rFonts w:asciiTheme="majorHAnsi" w:hAnsiTheme="majorHAnsi" w:cstheme="majorHAnsi"/>
          <w:b w:val="0"/>
          <w:bCs w:val="0"/>
          <w:sz w:val="24"/>
          <w:szCs w:val="24"/>
        </w:rPr>
        <w:t xml:space="preserve"> </w:t>
      </w:r>
      <w:r w:rsidRPr="004737C5">
        <w:rPr>
          <w:rFonts w:asciiTheme="majorHAnsi" w:hAnsiTheme="majorHAnsi" w:cstheme="majorHAnsi"/>
          <w:b w:val="0"/>
          <w:bCs w:val="0"/>
          <w:sz w:val="24"/>
          <w:szCs w:val="24"/>
        </w:rPr>
        <w:t xml:space="preserve">nefuncțional până în anul 2017. </w:t>
      </w:r>
    </w:p>
    <w:tbl>
      <w:tblPr>
        <w:tblStyle w:val="af2"/>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820"/>
      </w:tblGrid>
      <w:tr w:rsidR="00296B44" w:rsidRPr="00036EAE" w:rsidTr="00296B44">
        <w:tc>
          <w:tcPr>
            <w:tcW w:w="4678" w:type="dxa"/>
          </w:tcPr>
          <w:p w:rsidR="00296B44" w:rsidRPr="00F46FB7" w:rsidRDefault="00296B44" w:rsidP="00F61756">
            <w:pPr>
              <w:autoSpaceDE w:val="0"/>
              <w:autoSpaceDN w:val="0"/>
              <w:adjustRightInd w:val="0"/>
              <w:spacing w:line="276" w:lineRule="auto"/>
              <w:contextualSpacing/>
              <w:jc w:val="center"/>
              <w:rPr>
                <w:rFonts w:asciiTheme="majorHAnsi" w:hAnsiTheme="majorHAnsi" w:cstheme="majorHAnsi"/>
                <w:b w:val="0"/>
                <w:bCs w:val="0"/>
                <w:i/>
                <w:sz w:val="20"/>
                <w:szCs w:val="20"/>
              </w:rPr>
            </w:pPr>
            <w:r w:rsidRPr="00F46FB7">
              <w:rPr>
                <w:rFonts w:asciiTheme="majorHAnsi" w:hAnsiTheme="majorHAnsi" w:cstheme="majorHAnsi"/>
                <w:b w:val="0"/>
                <w:bCs w:val="0"/>
                <w:i/>
                <w:sz w:val="20"/>
                <w:szCs w:val="20"/>
              </w:rPr>
              <w:t>Imagine</w:t>
            </w:r>
            <w:r w:rsidR="00904D93" w:rsidRPr="00F46FB7">
              <w:rPr>
                <w:rFonts w:asciiTheme="majorHAnsi" w:hAnsiTheme="majorHAnsi" w:cstheme="majorHAnsi"/>
                <w:b w:val="0"/>
                <w:bCs w:val="0"/>
                <w:i/>
                <w:sz w:val="20"/>
                <w:szCs w:val="20"/>
              </w:rPr>
              <w:t>a</w:t>
            </w:r>
            <w:r w:rsidRPr="00F46FB7">
              <w:rPr>
                <w:rFonts w:asciiTheme="majorHAnsi" w:hAnsiTheme="majorHAnsi" w:cstheme="majorHAnsi"/>
                <w:b w:val="0"/>
                <w:bCs w:val="0"/>
                <w:i/>
                <w:sz w:val="20"/>
                <w:szCs w:val="20"/>
              </w:rPr>
              <w:t xml:space="preserve"> nr. </w:t>
            </w:r>
            <w:r w:rsidR="004501E8" w:rsidRPr="00F46FB7">
              <w:rPr>
                <w:rFonts w:asciiTheme="majorHAnsi" w:hAnsiTheme="majorHAnsi" w:cstheme="majorHAnsi"/>
                <w:b w:val="0"/>
                <w:bCs w:val="0"/>
                <w:i/>
                <w:sz w:val="20"/>
                <w:szCs w:val="20"/>
              </w:rPr>
              <w:t>4</w:t>
            </w:r>
          </w:p>
        </w:tc>
        <w:tc>
          <w:tcPr>
            <w:tcW w:w="4820" w:type="dxa"/>
          </w:tcPr>
          <w:p w:rsidR="00296B44" w:rsidRPr="00F46FB7" w:rsidRDefault="00296B44" w:rsidP="00F61756">
            <w:pPr>
              <w:autoSpaceDE w:val="0"/>
              <w:autoSpaceDN w:val="0"/>
              <w:adjustRightInd w:val="0"/>
              <w:spacing w:line="276" w:lineRule="auto"/>
              <w:contextualSpacing/>
              <w:jc w:val="center"/>
              <w:rPr>
                <w:rFonts w:asciiTheme="majorHAnsi" w:hAnsiTheme="majorHAnsi" w:cstheme="majorHAnsi"/>
                <w:b w:val="0"/>
                <w:bCs w:val="0"/>
                <w:i/>
                <w:sz w:val="20"/>
                <w:szCs w:val="20"/>
              </w:rPr>
            </w:pPr>
            <w:r w:rsidRPr="00F46FB7">
              <w:rPr>
                <w:rFonts w:asciiTheme="majorHAnsi" w:hAnsiTheme="majorHAnsi" w:cstheme="majorHAnsi"/>
                <w:b w:val="0"/>
                <w:bCs w:val="0"/>
                <w:i/>
                <w:sz w:val="20"/>
                <w:szCs w:val="20"/>
              </w:rPr>
              <w:t>Imagine</w:t>
            </w:r>
            <w:r w:rsidR="00904D93" w:rsidRPr="00F46FB7">
              <w:rPr>
                <w:rFonts w:asciiTheme="majorHAnsi" w:hAnsiTheme="majorHAnsi" w:cstheme="majorHAnsi"/>
                <w:b w:val="0"/>
                <w:bCs w:val="0"/>
                <w:i/>
                <w:sz w:val="20"/>
                <w:szCs w:val="20"/>
              </w:rPr>
              <w:t>a</w:t>
            </w:r>
            <w:r w:rsidRPr="00F46FB7">
              <w:rPr>
                <w:rFonts w:asciiTheme="majorHAnsi" w:hAnsiTheme="majorHAnsi" w:cstheme="majorHAnsi"/>
                <w:b w:val="0"/>
                <w:bCs w:val="0"/>
                <w:i/>
                <w:sz w:val="20"/>
                <w:szCs w:val="20"/>
              </w:rPr>
              <w:t xml:space="preserve"> nr. </w:t>
            </w:r>
            <w:r w:rsidR="004501E8" w:rsidRPr="00F46FB7">
              <w:rPr>
                <w:rFonts w:asciiTheme="majorHAnsi" w:hAnsiTheme="majorHAnsi" w:cstheme="majorHAnsi"/>
                <w:b w:val="0"/>
                <w:bCs w:val="0"/>
                <w:i/>
                <w:sz w:val="20"/>
                <w:szCs w:val="20"/>
              </w:rPr>
              <w:t>5</w:t>
            </w:r>
          </w:p>
        </w:tc>
      </w:tr>
    </w:tbl>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6"/>
        <w:gridCol w:w="4807"/>
      </w:tblGrid>
      <w:tr w:rsidR="007C41C0" w:rsidRPr="00036EAE" w:rsidTr="00F46FB7">
        <w:tc>
          <w:tcPr>
            <w:tcW w:w="4693" w:type="dxa"/>
          </w:tcPr>
          <w:p w:rsidR="007C41C0" w:rsidRPr="00036EAE" w:rsidRDefault="00756AE7" w:rsidP="00F61756">
            <w:pPr>
              <w:autoSpaceDE w:val="0"/>
              <w:autoSpaceDN w:val="0"/>
              <w:adjustRightInd w:val="0"/>
              <w:spacing w:line="276" w:lineRule="auto"/>
              <w:jc w:val="both"/>
              <w:rPr>
                <w:rFonts w:asciiTheme="majorHAnsi" w:hAnsiTheme="majorHAnsi" w:cstheme="majorHAnsi"/>
                <w:b w:val="0"/>
                <w:bCs w:val="0"/>
                <w:i/>
                <w:sz w:val="24"/>
                <w:szCs w:val="24"/>
              </w:rPr>
            </w:pPr>
            <w:r w:rsidRPr="00036EAE">
              <w:rPr>
                <w:rFonts w:asciiTheme="majorHAnsi" w:hAnsiTheme="majorHAnsi" w:cstheme="majorHAnsi"/>
                <w:b w:val="0"/>
                <w:bCs w:val="0"/>
                <w:i/>
                <w:sz w:val="24"/>
                <w:szCs w:val="24"/>
              </w:rPr>
              <w:t xml:space="preserve"> </w:t>
            </w:r>
            <w:r w:rsidR="007C41C0" w:rsidRPr="00036EAE">
              <w:rPr>
                <w:rFonts w:asciiTheme="majorHAnsi" w:hAnsiTheme="majorHAnsi" w:cstheme="majorHAnsi"/>
                <w:b w:val="0"/>
                <w:bCs w:val="0"/>
                <w:i/>
                <w:noProof/>
                <w:sz w:val="24"/>
                <w:szCs w:val="24"/>
                <w:lang w:val="ru-RU" w:eastAsia="ru-RU"/>
              </w:rPr>
              <w:drawing>
                <wp:inline distT="0" distB="0" distL="0" distR="0">
                  <wp:extent cx="2801723" cy="1506931"/>
                  <wp:effectExtent l="19050" t="0" r="0" b="0"/>
                  <wp:docPr id="42" name="Picture 9" descr="cid:image001.jpg@01D960A1.CB17D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1.jpg@01D960A1.CB17DC40"/>
                          <pic:cNvPicPr>
                            <a:picLocks noChangeAspect="1" noChangeArrowheads="1"/>
                          </pic:cNvPicPr>
                        </pic:nvPicPr>
                        <pic:blipFill>
                          <a:blip r:embed="rId37" r:link="rId38" cstate="print">
                            <a:extLst>
                              <a:ext uri="{28A0092B-C50C-407E-A947-70E740481C1C}">
                                <a14:useLocalDpi xmlns:a14="http://schemas.microsoft.com/office/drawing/2010/main" val="0"/>
                              </a:ext>
                            </a:extLst>
                          </a:blip>
                          <a:srcRect/>
                          <a:stretch>
                            <a:fillRect/>
                          </a:stretch>
                        </pic:blipFill>
                        <pic:spPr bwMode="auto">
                          <a:xfrm>
                            <a:off x="0" y="0"/>
                            <a:ext cx="2838284" cy="1526596"/>
                          </a:xfrm>
                          <a:prstGeom prst="rect">
                            <a:avLst/>
                          </a:prstGeom>
                          <a:noFill/>
                          <a:ln>
                            <a:noFill/>
                          </a:ln>
                        </pic:spPr>
                      </pic:pic>
                    </a:graphicData>
                  </a:graphic>
                </wp:inline>
              </w:drawing>
            </w:r>
          </w:p>
        </w:tc>
        <w:tc>
          <w:tcPr>
            <w:tcW w:w="4776" w:type="dxa"/>
          </w:tcPr>
          <w:p w:rsidR="007C41C0" w:rsidRPr="00036EAE" w:rsidRDefault="007C41C0" w:rsidP="00F61756">
            <w:pPr>
              <w:autoSpaceDE w:val="0"/>
              <w:autoSpaceDN w:val="0"/>
              <w:adjustRightInd w:val="0"/>
              <w:spacing w:line="276" w:lineRule="auto"/>
              <w:jc w:val="both"/>
              <w:rPr>
                <w:rFonts w:asciiTheme="majorHAnsi" w:hAnsiTheme="majorHAnsi" w:cstheme="majorHAnsi"/>
                <w:b w:val="0"/>
                <w:bCs w:val="0"/>
                <w:i/>
                <w:sz w:val="24"/>
                <w:szCs w:val="24"/>
              </w:rPr>
            </w:pPr>
            <w:r w:rsidRPr="00036EAE">
              <w:rPr>
                <w:rFonts w:asciiTheme="majorHAnsi" w:hAnsiTheme="majorHAnsi" w:cstheme="majorHAnsi"/>
                <w:b w:val="0"/>
                <w:bCs w:val="0"/>
                <w:i/>
                <w:noProof/>
                <w:sz w:val="24"/>
                <w:szCs w:val="24"/>
                <w:lang w:val="ru-RU" w:eastAsia="ru-RU"/>
              </w:rPr>
              <w:drawing>
                <wp:inline distT="0" distB="0" distL="0" distR="0">
                  <wp:extent cx="2896819" cy="1506931"/>
                  <wp:effectExtent l="19050" t="0" r="0" b="0"/>
                  <wp:docPr id="43" name="Picture 10" descr="cid:image002.jpg@01D960A1.CB17D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02.jpg@01D960A1.CB17DC40"/>
                          <pic:cNvPicPr>
                            <a:picLocks noChangeAspect="1" noChangeArrowheads="1"/>
                          </pic:cNvPicPr>
                        </pic:nvPicPr>
                        <pic:blipFill>
                          <a:blip r:embed="rId39" r:link="rId40" cstate="print">
                            <a:extLst>
                              <a:ext uri="{28A0092B-C50C-407E-A947-70E740481C1C}">
                                <a14:useLocalDpi xmlns:a14="http://schemas.microsoft.com/office/drawing/2010/main" val="0"/>
                              </a:ext>
                            </a:extLst>
                          </a:blip>
                          <a:srcRect/>
                          <a:stretch>
                            <a:fillRect/>
                          </a:stretch>
                        </pic:blipFill>
                        <pic:spPr bwMode="auto">
                          <a:xfrm>
                            <a:off x="0" y="0"/>
                            <a:ext cx="2919320" cy="1518636"/>
                          </a:xfrm>
                          <a:prstGeom prst="rect">
                            <a:avLst/>
                          </a:prstGeom>
                          <a:noFill/>
                          <a:ln>
                            <a:noFill/>
                          </a:ln>
                        </pic:spPr>
                      </pic:pic>
                    </a:graphicData>
                  </a:graphic>
                </wp:inline>
              </w:drawing>
            </w:r>
          </w:p>
        </w:tc>
      </w:tr>
      <w:tr w:rsidR="004501E8" w:rsidRPr="00036EAE" w:rsidTr="00F46FB7">
        <w:tc>
          <w:tcPr>
            <w:tcW w:w="4693" w:type="dxa"/>
          </w:tcPr>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0"/>
              <w:gridCol w:w="2077"/>
            </w:tblGrid>
            <w:tr w:rsidR="004501E8" w:rsidRPr="00F46FB7" w:rsidTr="004501E8">
              <w:tc>
                <w:tcPr>
                  <w:tcW w:w="2400" w:type="dxa"/>
                </w:tcPr>
                <w:p w:rsidR="004501E8" w:rsidRPr="00F46FB7" w:rsidRDefault="004501E8" w:rsidP="00F61756">
                  <w:pPr>
                    <w:autoSpaceDE w:val="0"/>
                    <w:autoSpaceDN w:val="0"/>
                    <w:adjustRightInd w:val="0"/>
                    <w:spacing w:line="276" w:lineRule="auto"/>
                    <w:contextualSpacing/>
                    <w:jc w:val="right"/>
                    <w:rPr>
                      <w:rFonts w:asciiTheme="majorHAnsi" w:hAnsiTheme="majorHAnsi" w:cstheme="majorHAnsi"/>
                      <w:b w:val="0"/>
                      <w:bCs w:val="0"/>
                      <w:i/>
                      <w:sz w:val="20"/>
                      <w:szCs w:val="20"/>
                    </w:rPr>
                  </w:pPr>
                  <w:r w:rsidRPr="00F46FB7">
                    <w:rPr>
                      <w:rFonts w:asciiTheme="majorHAnsi" w:hAnsiTheme="majorHAnsi" w:cstheme="majorHAnsi"/>
                      <w:b w:val="0"/>
                      <w:bCs w:val="0"/>
                      <w:i/>
                      <w:sz w:val="20"/>
                      <w:szCs w:val="20"/>
                    </w:rPr>
                    <w:t>Imagine nr. 6</w:t>
                  </w:r>
                </w:p>
              </w:tc>
              <w:tc>
                <w:tcPr>
                  <w:tcW w:w="2077" w:type="dxa"/>
                </w:tcPr>
                <w:p w:rsidR="004501E8" w:rsidRPr="00F46FB7" w:rsidRDefault="004501E8" w:rsidP="00F61756">
                  <w:pPr>
                    <w:autoSpaceDE w:val="0"/>
                    <w:autoSpaceDN w:val="0"/>
                    <w:adjustRightInd w:val="0"/>
                    <w:spacing w:line="276" w:lineRule="auto"/>
                    <w:contextualSpacing/>
                    <w:jc w:val="right"/>
                    <w:rPr>
                      <w:rFonts w:asciiTheme="majorHAnsi" w:hAnsiTheme="majorHAnsi" w:cstheme="majorHAnsi"/>
                      <w:b w:val="0"/>
                      <w:bCs w:val="0"/>
                      <w:i/>
                      <w:sz w:val="20"/>
                      <w:szCs w:val="20"/>
                    </w:rPr>
                  </w:pPr>
                </w:p>
              </w:tc>
            </w:tr>
          </w:tbl>
          <w:p w:rsidR="004501E8" w:rsidRPr="00F46FB7" w:rsidRDefault="004501E8" w:rsidP="00F61756">
            <w:pPr>
              <w:autoSpaceDE w:val="0"/>
              <w:autoSpaceDN w:val="0"/>
              <w:adjustRightInd w:val="0"/>
              <w:spacing w:line="276" w:lineRule="auto"/>
              <w:contextualSpacing/>
              <w:jc w:val="right"/>
              <w:rPr>
                <w:rFonts w:asciiTheme="majorHAnsi" w:hAnsiTheme="majorHAnsi" w:cstheme="majorHAnsi"/>
                <w:b w:val="0"/>
                <w:bCs w:val="0"/>
                <w:i/>
                <w:sz w:val="20"/>
                <w:szCs w:val="20"/>
              </w:rPr>
            </w:pPr>
          </w:p>
        </w:tc>
        <w:tc>
          <w:tcPr>
            <w:tcW w:w="4776" w:type="dxa"/>
          </w:tcPr>
          <w:p w:rsidR="004501E8" w:rsidRPr="00F46FB7" w:rsidRDefault="004501E8" w:rsidP="00F61756">
            <w:pPr>
              <w:autoSpaceDE w:val="0"/>
              <w:autoSpaceDN w:val="0"/>
              <w:adjustRightInd w:val="0"/>
              <w:spacing w:line="276" w:lineRule="auto"/>
              <w:jc w:val="center"/>
              <w:rPr>
                <w:rFonts w:asciiTheme="majorHAnsi" w:hAnsiTheme="majorHAnsi" w:cstheme="majorHAnsi"/>
                <w:b w:val="0"/>
                <w:bCs w:val="0"/>
                <w:noProof/>
                <w:sz w:val="20"/>
                <w:szCs w:val="20"/>
                <w:lang w:val="en-US"/>
              </w:rPr>
            </w:pPr>
            <w:r w:rsidRPr="00F46FB7">
              <w:rPr>
                <w:rFonts w:asciiTheme="majorHAnsi" w:hAnsiTheme="majorHAnsi" w:cstheme="majorHAnsi"/>
                <w:b w:val="0"/>
                <w:bCs w:val="0"/>
                <w:i/>
                <w:sz w:val="20"/>
                <w:szCs w:val="20"/>
              </w:rPr>
              <w:t>Imag</w:t>
            </w:r>
            <w:r w:rsidRPr="00F46FB7">
              <w:rPr>
                <w:rFonts w:asciiTheme="majorHAnsi" w:hAnsiTheme="majorHAnsi" w:cstheme="majorHAnsi"/>
                <w:b w:val="0"/>
                <w:bCs w:val="0"/>
                <w:sz w:val="20"/>
                <w:szCs w:val="20"/>
              </w:rPr>
              <w:t xml:space="preserve">ine </w:t>
            </w:r>
            <w:r w:rsidRPr="00F46FB7">
              <w:rPr>
                <w:rFonts w:asciiTheme="majorHAnsi" w:hAnsiTheme="majorHAnsi" w:cstheme="majorHAnsi"/>
                <w:b w:val="0"/>
                <w:bCs w:val="0"/>
                <w:i/>
                <w:sz w:val="20"/>
                <w:szCs w:val="20"/>
              </w:rPr>
              <w:t>nr.7</w:t>
            </w:r>
          </w:p>
        </w:tc>
      </w:tr>
      <w:tr w:rsidR="007C41C0" w:rsidRPr="00F46FB7" w:rsidTr="00F46FB7">
        <w:tc>
          <w:tcPr>
            <w:tcW w:w="4693" w:type="dxa"/>
          </w:tcPr>
          <w:p w:rsidR="007C41C0" w:rsidRPr="00F46FB7" w:rsidRDefault="007C41C0" w:rsidP="00F61756">
            <w:pPr>
              <w:autoSpaceDE w:val="0"/>
              <w:autoSpaceDN w:val="0"/>
              <w:adjustRightInd w:val="0"/>
              <w:spacing w:line="276" w:lineRule="auto"/>
              <w:jc w:val="both"/>
              <w:rPr>
                <w:rFonts w:asciiTheme="majorHAnsi" w:hAnsiTheme="majorHAnsi" w:cstheme="majorHAnsi"/>
                <w:b w:val="0"/>
                <w:bCs w:val="0"/>
                <w:noProof/>
                <w:sz w:val="20"/>
                <w:szCs w:val="20"/>
              </w:rPr>
            </w:pPr>
            <w:r w:rsidRPr="00F46FB7">
              <w:rPr>
                <w:rFonts w:asciiTheme="majorHAnsi" w:hAnsiTheme="majorHAnsi" w:cstheme="majorHAnsi"/>
                <w:b w:val="0"/>
                <w:bCs w:val="0"/>
                <w:noProof/>
                <w:sz w:val="20"/>
                <w:szCs w:val="20"/>
                <w:lang w:val="ru-RU" w:eastAsia="ru-RU"/>
              </w:rPr>
              <w:drawing>
                <wp:inline distT="0" distB="0" distL="0" distR="0">
                  <wp:extent cx="2835821" cy="1199693"/>
                  <wp:effectExtent l="19050" t="0" r="2629" b="0"/>
                  <wp:docPr id="44" name="Picture 11" descr="cid:image003.jpg@01D960A1.CB17D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03.jpg@01D960A1.CB17DC40"/>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2875510" cy="1216484"/>
                          </a:xfrm>
                          <a:prstGeom prst="rect">
                            <a:avLst/>
                          </a:prstGeom>
                          <a:noFill/>
                          <a:ln>
                            <a:noFill/>
                          </a:ln>
                        </pic:spPr>
                      </pic:pic>
                    </a:graphicData>
                  </a:graphic>
                </wp:inline>
              </w:drawing>
            </w:r>
          </w:p>
        </w:tc>
        <w:tc>
          <w:tcPr>
            <w:tcW w:w="4776" w:type="dxa"/>
          </w:tcPr>
          <w:p w:rsidR="007C41C0" w:rsidRPr="00F46FB7" w:rsidRDefault="007C41C0" w:rsidP="00F61756">
            <w:pPr>
              <w:autoSpaceDE w:val="0"/>
              <w:autoSpaceDN w:val="0"/>
              <w:adjustRightInd w:val="0"/>
              <w:spacing w:line="276" w:lineRule="auto"/>
              <w:jc w:val="both"/>
              <w:rPr>
                <w:rFonts w:asciiTheme="majorHAnsi" w:hAnsiTheme="majorHAnsi" w:cstheme="majorHAnsi"/>
                <w:b w:val="0"/>
                <w:bCs w:val="0"/>
                <w:noProof/>
                <w:sz w:val="20"/>
                <w:szCs w:val="20"/>
              </w:rPr>
            </w:pPr>
            <w:r w:rsidRPr="00F46FB7">
              <w:rPr>
                <w:rFonts w:asciiTheme="majorHAnsi" w:hAnsiTheme="majorHAnsi" w:cstheme="majorHAnsi"/>
                <w:b w:val="0"/>
                <w:bCs w:val="0"/>
                <w:noProof/>
                <w:sz w:val="20"/>
                <w:szCs w:val="20"/>
                <w:lang w:val="ru-RU" w:eastAsia="ru-RU"/>
              </w:rPr>
              <w:drawing>
                <wp:inline distT="0" distB="0" distL="0" distR="0">
                  <wp:extent cx="2889324" cy="1250899"/>
                  <wp:effectExtent l="19050" t="0" r="6276" b="0"/>
                  <wp:docPr id="45" name="Picture 12" descr="cid:image004.jpg@01D960A1.CB17DC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id:image004.jpg@01D960A1.CB17DC40"/>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2919683" cy="1264042"/>
                          </a:xfrm>
                          <a:prstGeom prst="rect">
                            <a:avLst/>
                          </a:prstGeom>
                          <a:noFill/>
                          <a:ln>
                            <a:noFill/>
                          </a:ln>
                        </pic:spPr>
                      </pic:pic>
                    </a:graphicData>
                  </a:graphic>
                </wp:inline>
              </w:drawing>
            </w:r>
          </w:p>
        </w:tc>
      </w:tr>
    </w:tbl>
    <w:p w:rsidR="00756AE7" w:rsidRPr="00F46FB7" w:rsidRDefault="007C41C0" w:rsidP="00F61756">
      <w:pPr>
        <w:autoSpaceDE w:val="0"/>
        <w:autoSpaceDN w:val="0"/>
        <w:adjustRightInd w:val="0"/>
        <w:spacing w:after="0" w:line="276" w:lineRule="auto"/>
        <w:jc w:val="both"/>
        <w:rPr>
          <w:rFonts w:asciiTheme="majorHAnsi" w:hAnsiTheme="majorHAnsi" w:cstheme="majorHAnsi"/>
          <w:b w:val="0"/>
          <w:bCs w:val="0"/>
          <w:i/>
          <w:noProof/>
          <w:sz w:val="20"/>
          <w:szCs w:val="20"/>
        </w:rPr>
      </w:pPr>
      <w:r w:rsidRPr="00F46FB7">
        <w:rPr>
          <w:rFonts w:asciiTheme="majorHAnsi" w:hAnsiTheme="majorHAnsi" w:cstheme="majorHAnsi"/>
          <w:b w:val="0"/>
          <w:bCs w:val="0"/>
          <w:i/>
          <w:noProof/>
          <w:sz w:val="20"/>
          <w:szCs w:val="20"/>
        </w:rPr>
        <w:t>Sursa: Imagini realizate de echipa de audit</w:t>
      </w:r>
      <w:r w:rsidR="00904D93" w:rsidRPr="00F46FB7">
        <w:rPr>
          <w:rFonts w:asciiTheme="majorHAnsi" w:hAnsiTheme="majorHAnsi" w:cstheme="majorHAnsi"/>
          <w:b w:val="0"/>
          <w:bCs w:val="0"/>
          <w:i/>
          <w:noProof/>
          <w:sz w:val="20"/>
          <w:szCs w:val="20"/>
        </w:rPr>
        <w:t>.</w:t>
      </w:r>
    </w:p>
    <w:p w:rsidR="007C41C0" w:rsidRPr="00036EAE" w:rsidRDefault="007C41C0" w:rsidP="00F61756">
      <w:pPr>
        <w:autoSpaceDE w:val="0"/>
        <w:autoSpaceDN w:val="0"/>
        <w:adjustRightInd w:val="0"/>
        <w:spacing w:after="0" w:line="276" w:lineRule="auto"/>
        <w:jc w:val="both"/>
        <w:rPr>
          <w:rFonts w:asciiTheme="majorHAnsi" w:eastAsiaTheme="minorEastAsia" w:hAnsiTheme="majorHAnsi" w:cstheme="majorHAnsi"/>
          <w:b w:val="0"/>
          <w:bCs w:val="0"/>
          <w:sz w:val="24"/>
          <w:szCs w:val="24"/>
        </w:rPr>
      </w:pPr>
    </w:p>
    <w:p w:rsidR="00F46FB7" w:rsidRPr="00D532B5" w:rsidRDefault="00756AE7" w:rsidP="00F61756">
      <w:pPr>
        <w:spacing w:after="0" w:line="276" w:lineRule="auto"/>
        <w:contextualSpacing/>
        <w:jc w:val="both"/>
        <w:rPr>
          <w:rFonts w:asciiTheme="majorHAnsi" w:eastAsiaTheme="minorEastAsia" w:hAnsiTheme="majorHAnsi" w:cstheme="majorHAnsi"/>
          <w:b w:val="0"/>
          <w:bCs w:val="0"/>
          <w:sz w:val="24"/>
          <w:szCs w:val="24"/>
        </w:rPr>
      </w:pPr>
      <w:r w:rsidRPr="00D532B5">
        <w:rPr>
          <w:rFonts w:asciiTheme="majorHAnsi" w:hAnsiTheme="majorHAnsi" w:cstheme="majorHAnsi"/>
          <w:b w:val="0"/>
          <w:bCs w:val="0"/>
          <w:sz w:val="24"/>
          <w:szCs w:val="24"/>
        </w:rPr>
        <w:t xml:space="preserve">De menționat că Proiectul „Asigurarea orașului Fălești cu apă din râul Prut” prevedea ca în etapele </w:t>
      </w:r>
      <w:r w:rsidR="00904D93" w:rsidRPr="00D532B5">
        <w:rPr>
          <w:rFonts w:asciiTheme="majorHAnsi" w:hAnsiTheme="majorHAnsi" w:cstheme="majorHAnsi"/>
          <w:b w:val="0"/>
          <w:bCs w:val="0"/>
          <w:sz w:val="24"/>
          <w:szCs w:val="24"/>
        </w:rPr>
        <w:t xml:space="preserve">a </w:t>
      </w:r>
      <w:r w:rsidRPr="00D532B5">
        <w:rPr>
          <w:rFonts w:asciiTheme="majorHAnsi" w:hAnsiTheme="majorHAnsi" w:cstheme="majorHAnsi"/>
          <w:b w:val="0"/>
          <w:bCs w:val="0"/>
          <w:sz w:val="24"/>
          <w:szCs w:val="24"/>
        </w:rPr>
        <w:t>2</w:t>
      </w:r>
      <w:r w:rsidR="00904D93" w:rsidRPr="00D532B5">
        <w:rPr>
          <w:rFonts w:asciiTheme="majorHAnsi" w:hAnsiTheme="majorHAnsi" w:cstheme="majorHAnsi"/>
          <w:b w:val="0"/>
          <w:bCs w:val="0"/>
          <w:sz w:val="24"/>
          <w:szCs w:val="24"/>
        </w:rPr>
        <w:t>-a</w:t>
      </w:r>
      <w:r w:rsidRPr="00D532B5">
        <w:rPr>
          <w:rFonts w:asciiTheme="majorHAnsi" w:hAnsiTheme="majorHAnsi" w:cstheme="majorHAnsi"/>
          <w:b w:val="0"/>
          <w:bCs w:val="0"/>
          <w:sz w:val="24"/>
          <w:szCs w:val="24"/>
        </w:rPr>
        <w:t xml:space="preserve"> şi </w:t>
      </w:r>
      <w:r w:rsidR="00904D93" w:rsidRPr="00D532B5">
        <w:rPr>
          <w:rFonts w:asciiTheme="majorHAnsi" w:hAnsiTheme="majorHAnsi" w:cstheme="majorHAnsi"/>
          <w:b w:val="0"/>
          <w:bCs w:val="0"/>
          <w:sz w:val="24"/>
          <w:szCs w:val="24"/>
        </w:rPr>
        <w:t xml:space="preserve">a </w:t>
      </w:r>
      <w:r w:rsidRPr="00D532B5">
        <w:rPr>
          <w:rFonts w:asciiTheme="majorHAnsi" w:hAnsiTheme="majorHAnsi" w:cstheme="majorHAnsi"/>
          <w:b w:val="0"/>
          <w:bCs w:val="0"/>
          <w:sz w:val="24"/>
          <w:szCs w:val="24"/>
        </w:rPr>
        <w:t>3</w:t>
      </w:r>
      <w:r w:rsidR="00904D93" w:rsidRPr="00D532B5">
        <w:rPr>
          <w:rFonts w:asciiTheme="majorHAnsi" w:hAnsiTheme="majorHAnsi" w:cstheme="majorHAnsi"/>
          <w:b w:val="0"/>
          <w:bCs w:val="0"/>
          <w:sz w:val="24"/>
          <w:szCs w:val="24"/>
        </w:rPr>
        <w:t>-a</w:t>
      </w:r>
      <w:r w:rsidRPr="00D532B5">
        <w:rPr>
          <w:rFonts w:asciiTheme="majorHAnsi" w:hAnsiTheme="majorHAnsi" w:cstheme="majorHAnsi"/>
          <w:b w:val="0"/>
          <w:bCs w:val="0"/>
          <w:sz w:val="24"/>
          <w:szCs w:val="24"/>
        </w:rPr>
        <w:t xml:space="preserve"> la apeduct urmau a fi conectate și localităţile adiacente din raioanele Făleşti, Ungheni şi Glodeni, în DUP 2013-2015 fiind inclus proiectul „Finalizarea apeductului Prut</w:t>
      </w:r>
      <w:r w:rsidR="00904D93" w:rsidRPr="00D532B5">
        <w:rPr>
          <w:rFonts w:asciiTheme="majorHAnsi" w:hAnsiTheme="majorHAnsi" w:cstheme="majorHAnsi"/>
          <w:b w:val="0"/>
          <w:bCs w:val="0"/>
          <w:sz w:val="24"/>
          <w:szCs w:val="24"/>
        </w:rPr>
        <w:t>-</w:t>
      </w:r>
      <w:r w:rsidRPr="00D532B5">
        <w:rPr>
          <w:rFonts w:asciiTheme="majorHAnsi" w:hAnsiTheme="majorHAnsi" w:cstheme="majorHAnsi"/>
          <w:b w:val="0"/>
          <w:bCs w:val="0"/>
          <w:sz w:val="24"/>
          <w:szCs w:val="24"/>
        </w:rPr>
        <w:t>Făleşti, premisă pentru asigurarea cu apă potabilă a 75 de localităţi din Regiunea Nord”</w:t>
      </w:r>
      <w:r w:rsidR="00904D93" w:rsidRPr="00D532B5">
        <w:rPr>
          <w:rFonts w:asciiTheme="majorHAnsi" w:hAnsiTheme="majorHAnsi" w:cstheme="majorHAnsi"/>
          <w:b w:val="0"/>
          <w:bCs w:val="0"/>
          <w:sz w:val="24"/>
          <w:szCs w:val="24"/>
        </w:rPr>
        <w:t>,</w:t>
      </w:r>
      <w:r w:rsidRPr="00D532B5">
        <w:rPr>
          <w:rFonts w:asciiTheme="majorHAnsi" w:hAnsiTheme="majorHAnsi" w:cstheme="majorHAnsi"/>
          <w:b w:val="0"/>
          <w:bCs w:val="0"/>
          <w:sz w:val="24"/>
          <w:szCs w:val="24"/>
        </w:rPr>
        <w:t xml:space="preserve"> în valoare de 14,6 mil.lei,</w:t>
      </w:r>
      <w:r w:rsidRPr="00D532B5">
        <w:rPr>
          <w:rFonts w:asciiTheme="majorHAnsi" w:hAnsiTheme="majorHAnsi" w:cstheme="majorHAnsi"/>
          <w:sz w:val="24"/>
          <w:szCs w:val="24"/>
          <w:shd w:val="clear" w:color="auto" w:fill="FFFFFF"/>
        </w:rPr>
        <w:t xml:space="preserve"> </w:t>
      </w:r>
      <w:r w:rsidRPr="00D532B5">
        <w:rPr>
          <w:rFonts w:asciiTheme="majorHAnsi" w:hAnsiTheme="majorHAnsi" w:cstheme="majorHAnsi"/>
          <w:b w:val="0"/>
          <w:bCs w:val="0"/>
          <w:sz w:val="24"/>
          <w:szCs w:val="24"/>
        </w:rPr>
        <w:t xml:space="preserve">care nu a fost inițiat/implementat din cauza nefuncționării apeductului magistral Prut-Fălești. În consecință, raioanele Ungheni și Glodeni </w:t>
      </w:r>
      <w:r w:rsidR="00904D93" w:rsidRPr="00D532B5">
        <w:rPr>
          <w:rFonts w:asciiTheme="majorHAnsi" w:hAnsiTheme="majorHAnsi" w:cstheme="majorHAnsi"/>
          <w:b w:val="0"/>
          <w:bCs w:val="0"/>
          <w:sz w:val="24"/>
          <w:szCs w:val="24"/>
        </w:rPr>
        <w:t>au fost</w:t>
      </w:r>
      <w:r w:rsidRPr="00D532B5">
        <w:rPr>
          <w:rFonts w:asciiTheme="majorHAnsi" w:hAnsiTheme="majorHAnsi" w:cstheme="majorHAnsi"/>
          <w:b w:val="0"/>
          <w:bCs w:val="0"/>
          <w:sz w:val="24"/>
          <w:szCs w:val="24"/>
        </w:rPr>
        <w:t xml:space="preserve"> nevoi</w:t>
      </w:r>
      <w:r w:rsidR="00904D93" w:rsidRPr="00D532B5">
        <w:rPr>
          <w:rFonts w:asciiTheme="majorHAnsi" w:hAnsiTheme="majorHAnsi" w:cstheme="majorHAnsi"/>
          <w:b w:val="0"/>
          <w:bCs w:val="0"/>
          <w:sz w:val="24"/>
          <w:szCs w:val="24"/>
        </w:rPr>
        <w:t>te</w:t>
      </w:r>
      <w:r w:rsidRPr="00D532B5">
        <w:rPr>
          <w:rFonts w:asciiTheme="majorHAnsi" w:hAnsiTheme="majorHAnsi" w:cstheme="majorHAnsi"/>
          <w:b w:val="0"/>
          <w:bCs w:val="0"/>
          <w:sz w:val="24"/>
          <w:szCs w:val="24"/>
        </w:rPr>
        <w:t xml:space="preserve"> să </w:t>
      </w:r>
      <w:r w:rsidR="003E1078" w:rsidRPr="00D532B5">
        <w:rPr>
          <w:rFonts w:asciiTheme="majorHAnsi" w:hAnsiTheme="majorHAnsi" w:cstheme="majorHAnsi"/>
          <w:b w:val="0"/>
          <w:bCs w:val="0"/>
          <w:sz w:val="24"/>
          <w:szCs w:val="24"/>
        </w:rPr>
        <w:t>identifice</w:t>
      </w:r>
      <w:r w:rsidRPr="00D532B5">
        <w:rPr>
          <w:rFonts w:asciiTheme="majorHAnsi" w:hAnsiTheme="majorHAnsi" w:cstheme="majorHAnsi"/>
          <w:b w:val="0"/>
          <w:bCs w:val="0"/>
          <w:sz w:val="24"/>
          <w:szCs w:val="24"/>
        </w:rPr>
        <w:t xml:space="preserve"> alte soliții pentru asigurarea localităților respective cu apă, în anul 2017 fiind inițiat un Proiect nou</w:t>
      </w:r>
      <w:r w:rsidR="00904D93" w:rsidRPr="00D532B5">
        <w:rPr>
          <w:rFonts w:asciiTheme="majorHAnsi" w:hAnsiTheme="majorHAnsi" w:cstheme="majorHAnsi"/>
          <w:b w:val="0"/>
          <w:bCs w:val="0"/>
          <w:sz w:val="24"/>
          <w:szCs w:val="24"/>
        </w:rPr>
        <w:t>,</w:t>
      </w:r>
      <w:r w:rsidRPr="00D532B5">
        <w:rPr>
          <w:rFonts w:asciiTheme="majorHAnsi" w:hAnsiTheme="majorHAnsi" w:cstheme="majorHAnsi"/>
          <w:b w:val="0"/>
          <w:bCs w:val="0"/>
          <w:sz w:val="24"/>
          <w:szCs w:val="24"/>
        </w:rPr>
        <w:t xml:space="preserve"> „Construcția sistemelor de alimentare cu apă în 10 localități din lunca r</w:t>
      </w:r>
      <w:r w:rsidR="00904D93" w:rsidRPr="00D532B5">
        <w:rPr>
          <w:rFonts w:asciiTheme="majorHAnsi" w:hAnsiTheme="majorHAnsi" w:cstheme="majorHAnsi"/>
          <w:b w:val="0"/>
          <w:bCs w:val="0"/>
          <w:sz w:val="24"/>
          <w:szCs w:val="24"/>
        </w:rPr>
        <w:t>â</w:t>
      </w:r>
      <w:r w:rsidRPr="00D532B5">
        <w:rPr>
          <w:rFonts w:asciiTheme="majorHAnsi" w:hAnsiTheme="majorHAnsi" w:cstheme="majorHAnsi"/>
          <w:b w:val="0"/>
          <w:bCs w:val="0"/>
          <w:sz w:val="24"/>
          <w:szCs w:val="24"/>
        </w:rPr>
        <w:t>ului Prut, raionul Glodeni (etapa I – comunele Cuhnești și Balatina)”, finanțat din FNDR, fiind aloca</w:t>
      </w:r>
      <w:r w:rsidR="00904D93" w:rsidRPr="00D532B5">
        <w:rPr>
          <w:rFonts w:asciiTheme="majorHAnsi" w:hAnsiTheme="majorHAnsi" w:cstheme="majorHAnsi"/>
          <w:b w:val="0"/>
          <w:bCs w:val="0"/>
          <w:sz w:val="24"/>
          <w:szCs w:val="24"/>
        </w:rPr>
        <w:t>te</w:t>
      </w:r>
      <w:r w:rsidRPr="00D532B5">
        <w:rPr>
          <w:rFonts w:asciiTheme="majorHAnsi" w:hAnsiTheme="majorHAnsi" w:cstheme="majorHAnsi"/>
          <w:b w:val="0"/>
          <w:bCs w:val="0"/>
          <w:sz w:val="24"/>
          <w:szCs w:val="24"/>
        </w:rPr>
        <w:t xml:space="preserve"> per total 37,6 mln.lei, și </w:t>
      </w:r>
      <w:r w:rsidR="00904D93" w:rsidRPr="00D532B5">
        <w:rPr>
          <w:rFonts w:asciiTheme="majorHAnsi" w:hAnsiTheme="majorHAnsi" w:cstheme="majorHAnsi"/>
          <w:b w:val="0"/>
          <w:bCs w:val="0"/>
          <w:sz w:val="24"/>
          <w:szCs w:val="24"/>
        </w:rPr>
        <w:t xml:space="preserve">fiind </w:t>
      </w:r>
      <w:r w:rsidRPr="00D532B5">
        <w:rPr>
          <w:rFonts w:asciiTheme="majorHAnsi" w:hAnsiTheme="majorHAnsi" w:cstheme="majorHAnsi"/>
          <w:b w:val="0"/>
          <w:bCs w:val="0"/>
          <w:sz w:val="24"/>
          <w:szCs w:val="24"/>
        </w:rPr>
        <w:t>efectuate lucrări de construcție-montaj a stației de pompare a apei din Prut din satul Bisericani, a apeductului magistral Prut-Balatina, cu o lungime de 9,36 km, a stației de tratare a apei din Balatina, cu o capacitate de 50 m</w:t>
      </w:r>
      <w:r w:rsidRPr="00D532B5">
        <w:rPr>
          <w:rFonts w:asciiTheme="majorHAnsi" w:hAnsiTheme="majorHAnsi" w:cstheme="majorHAnsi"/>
          <w:b w:val="0"/>
          <w:bCs w:val="0"/>
          <w:sz w:val="24"/>
          <w:szCs w:val="24"/>
          <w:vertAlign w:val="superscript"/>
        </w:rPr>
        <w:t>3</w:t>
      </w:r>
      <w:r w:rsidRPr="00D532B5">
        <w:rPr>
          <w:rFonts w:asciiTheme="majorHAnsi" w:hAnsiTheme="majorHAnsi" w:cstheme="majorHAnsi"/>
          <w:b w:val="0"/>
          <w:bCs w:val="0"/>
          <w:sz w:val="24"/>
          <w:szCs w:val="24"/>
        </w:rPr>
        <w:t xml:space="preserve">/h, și a aducției de la stația de tratare a apei până în satele Cuhnești și Balatina, cu o lungime de 10,71 km, proiectul fiind finalizat în anul 2022, iar stația de tratate nu este pusă în funcțiune, </w:t>
      </w:r>
      <w:r w:rsidRPr="00D532B5">
        <w:rPr>
          <w:rFonts w:asciiTheme="majorHAnsi" w:eastAsiaTheme="minorEastAsia" w:hAnsiTheme="majorHAnsi" w:cstheme="majorHAnsi"/>
          <w:b w:val="0"/>
          <w:bCs w:val="0"/>
          <w:sz w:val="24"/>
          <w:szCs w:val="24"/>
        </w:rPr>
        <w:t>deoarece localitățile Balatina și Cuhnești din r-l Glodeni nu dispun de un număr suficient de consumatori pentru a pune în funcțiune Stația de tratare și pompare. Din resursele FNDR a fost implementată doar Etapa 1 a proiectului. La moment</w:t>
      </w:r>
      <w:r w:rsidR="00904D93" w:rsidRPr="00D532B5">
        <w:rPr>
          <w:rFonts w:asciiTheme="majorHAnsi" w:eastAsiaTheme="minorEastAsia" w:hAnsiTheme="majorHAnsi" w:cstheme="majorHAnsi"/>
          <w:b w:val="0"/>
          <w:bCs w:val="0"/>
          <w:sz w:val="24"/>
          <w:szCs w:val="24"/>
        </w:rPr>
        <w:t>ul actual</w:t>
      </w:r>
      <w:r w:rsidRPr="00D532B5">
        <w:rPr>
          <w:rFonts w:asciiTheme="majorHAnsi" w:eastAsiaTheme="minorEastAsia" w:hAnsiTheme="majorHAnsi" w:cstheme="majorHAnsi"/>
          <w:b w:val="0"/>
          <w:bCs w:val="0"/>
          <w:sz w:val="24"/>
          <w:szCs w:val="24"/>
        </w:rPr>
        <w:t>, CR Glodeni este în procedură de negocieri cu parteneri</w:t>
      </w:r>
      <w:r w:rsidR="00904D93" w:rsidRPr="00D532B5">
        <w:rPr>
          <w:rFonts w:asciiTheme="majorHAnsi" w:eastAsiaTheme="minorEastAsia" w:hAnsiTheme="majorHAnsi" w:cstheme="majorHAnsi"/>
          <w:b w:val="0"/>
          <w:bCs w:val="0"/>
          <w:sz w:val="24"/>
          <w:szCs w:val="24"/>
        </w:rPr>
        <w:t>i</w:t>
      </w:r>
      <w:r w:rsidRPr="00D532B5">
        <w:rPr>
          <w:rFonts w:asciiTheme="majorHAnsi" w:eastAsiaTheme="minorEastAsia" w:hAnsiTheme="majorHAnsi" w:cstheme="majorHAnsi"/>
          <w:b w:val="0"/>
          <w:bCs w:val="0"/>
          <w:sz w:val="24"/>
          <w:szCs w:val="24"/>
        </w:rPr>
        <w:t xml:space="preserve"> străini pentru implementarea </w:t>
      </w:r>
      <w:r w:rsidR="00904D93" w:rsidRPr="00D532B5">
        <w:rPr>
          <w:rFonts w:asciiTheme="majorHAnsi" w:eastAsiaTheme="minorEastAsia" w:hAnsiTheme="majorHAnsi" w:cstheme="majorHAnsi"/>
          <w:b w:val="0"/>
          <w:bCs w:val="0"/>
          <w:sz w:val="24"/>
          <w:szCs w:val="24"/>
        </w:rPr>
        <w:t xml:space="preserve">a </w:t>
      </w:r>
      <w:r w:rsidRPr="00D532B5">
        <w:rPr>
          <w:rFonts w:asciiTheme="majorHAnsi" w:eastAsiaTheme="minorEastAsia" w:hAnsiTheme="majorHAnsi" w:cstheme="majorHAnsi"/>
          <w:b w:val="0"/>
          <w:bCs w:val="0"/>
          <w:sz w:val="24"/>
          <w:szCs w:val="24"/>
        </w:rPr>
        <w:t>celor 2 etape rămase ale proiectului</w:t>
      </w:r>
      <w:r w:rsidR="00904D93" w:rsidRPr="00D532B5">
        <w:rPr>
          <w:rFonts w:asciiTheme="majorHAnsi" w:eastAsiaTheme="minorEastAsia" w:hAnsiTheme="majorHAnsi" w:cstheme="majorHAnsi"/>
          <w:b w:val="0"/>
          <w:bCs w:val="0"/>
          <w:sz w:val="24"/>
          <w:szCs w:val="24"/>
        </w:rPr>
        <w:t>,</w:t>
      </w:r>
      <w:r w:rsidRPr="00D532B5">
        <w:rPr>
          <w:rFonts w:asciiTheme="majorHAnsi" w:eastAsiaTheme="minorEastAsia" w:hAnsiTheme="majorHAnsi" w:cstheme="majorHAnsi"/>
          <w:b w:val="0"/>
          <w:bCs w:val="0"/>
          <w:sz w:val="24"/>
          <w:szCs w:val="24"/>
        </w:rPr>
        <w:t xml:space="preserve"> ce va permite conectarea altor localități rurale din raion.​</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0"/>
        <w:gridCol w:w="4888"/>
      </w:tblGrid>
      <w:tr w:rsidR="00296B44" w:rsidRPr="00D532B5" w:rsidTr="004501E8">
        <w:trPr>
          <w:trHeight w:val="405"/>
        </w:trPr>
        <w:tc>
          <w:tcPr>
            <w:tcW w:w="4899" w:type="dxa"/>
          </w:tcPr>
          <w:p w:rsidR="00296B44" w:rsidRPr="00F46FB7" w:rsidRDefault="00296B44" w:rsidP="00F61756">
            <w:pPr>
              <w:spacing w:line="276" w:lineRule="auto"/>
              <w:contextualSpacing/>
              <w:jc w:val="center"/>
              <w:rPr>
                <w:rFonts w:asciiTheme="majorHAnsi" w:eastAsiaTheme="minorEastAsia" w:hAnsiTheme="majorHAnsi" w:cstheme="majorHAnsi"/>
                <w:bCs w:val="0"/>
                <w:sz w:val="20"/>
                <w:szCs w:val="20"/>
              </w:rPr>
            </w:pPr>
            <w:r w:rsidRPr="00F46FB7">
              <w:rPr>
                <w:rFonts w:asciiTheme="majorHAnsi" w:eastAsiaTheme="minorEastAsia" w:hAnsiTheme="majorHAnsi" w:cstheme="majorHAnsi"/>
                <w:bCs w:val="0"/>
                <w:sz w:val="20"/>
                <w:szCs w:val="20"/>
              </w:rPr>
              <w:t>Imagine</w:t>
            </w:r>
            <w:r w:rsidR="00904D93" w:rsidRPr="00F46FB7">
              <w:rPr>
                <w:rFonts w:asciiTheme="majorHAnsi" w:eastAsiaTheme="minorEastAsia" w:hAnsiTheme="majorHAnsi" w:cstheme="majorHAnsi"/>
                <w:bCs w:val="0"/>
                <w:sz w:val="20"/>
                <w:szCs w:val="20"/>
              </w:rPr>
              <w:t>a</w:t>
            </w:r>
            <w:r w:rsidRPr="00F46FB7">
              <w:rPr>
                <w:rFonts w:asciiTheme="majorHAnsi" w:eastAsiaTheme="minorEastAsia" w:hAnsiTheme="majorHAnsi" w:cstheme="majorHAnsi"/>
                <w:bCs w:val="0"/>
                <w:sz w:val="20"/>
                <w:szCs w:val="20"/>
              </w:rPr>
              <w:t xml:space="preserve"> nr.</w:t>
            </w:r>
            <w:r w:rsidR="004501E8" w:rsidRPr="00F46FB7">
              <w:rPr>
                <w:rFonts w:asciiTheme="majorHAnsi" w:eastAsiaTheme="minorEastAsia" w:hAnsiTheme="majorHAnsi" w:cstheme="majorHAnsi"/>
                <w:bCs w:val="0"/>
                <w:sz w:val="20"/>
                <w:szCs w:val="20"/>
              </w:rPr>
              <w:t>8</w:t>
            </w:r>
          </w:p>
        </w:tc>
        <w:tc>
          <w:tcPr>
            <w:tcW w:w="4990" w:type="dxa"/>
          </w:tcPr>
          <w:p w:rsidR="00296B44" w:rsidRPr="00F46FB7" w:rsidRDefault="00296B44" w:rsidP="00F61756">
            <w:pPr>
              <w:spacing w:line="276" w:lineRule="auto"/>
              <w:contextualSpacing/>
              <w:jc w:val="center"/>
              <w:rPr>
                <w:rFonts w:asciiTheme="majorHAnsi" w:eastAsiaTheme="minorEastAsia" w:hAnsiTheme="majorHAnsi" w:cstheme="majorHAnsi"/>
                <w:bCs w:val="0"/>
                <w:sz w:val="20"/>
                <w:szCs w:val="20"/>
              </w:rPr>
            </w:pPr>
            <w:r w:rsidRPr="00F46FB7">
              <w:rPr>
                <w:rFonts w:asciiTheme="majorHAnsi" w:eastAsiaTheme="minorEastAsia" w:hAnsiTheme="majorHAnsi" w:cstheme="majorHAnsi"/>
                <w:bCs w:val="0"/>
                <w:sz w:val="20"/>
                <w:szCs w:val="20"/>
              </w:rPr>
              <w:t>Imagine</w:t>
            </w:r>
            <w:r w:rsidR="00904D93" w:rsidRPr="00F46FB7">
              <w:rPr>
                <w:rFonts w:asciiTheme="majorHAnsi" w:eastAsiaTheme="minorEastAsia" w:hAnsiTheme="majorHAnsi" w:cstheme="majorHAnsi"/>
                <w:bCs w:val="0"/>
                <w:sz w:val="20"/>
                <w:szCs w:val="20"/>
              </w:rPr>
              <w:t>a</w:t>
            </w:r>
            <w:r w:rsidRPr="00F46FB7">
              <w:rPr>
                <w:rFonts w:asciiTheme="majorHAnsi" w:eastAsiaTheme="minorEastAsia" w:hAnsiTheme="majorHAnsi" w:cstheme="majorHAnsi"/>
                <w:bCs w:val="0"/>
                <w:sz w:val="20"/>
                <w:szCs w:val="20"/>
              </w:rPr>
              <w:t xml:space="preserve"> nr.</w:t>
            </w:r>
            <w:r w:rsidR="004501E8" w:rsidRPr="00F46FB7">
              <w:rPr>
                <w:rFonts w:asciiTheme="majorHAnsi" w:eastAsiaTheme="minorEastAsia" w:hAnsiTheme="majorHAnsi" w:cstheme="majorHAnsi"/>
                <w:bCs w:val="0"/>
                <w:sz w:val="20"/>
                <w:szCs w:val="20"/>
              </w:rPr>
              <w:t>9</w:t>
            </w:r>
          </w:p>
        </w:tc>
      </w:tr>
    </w:tbl>
    <w:tbl>
      <w:tblPr>
        <w:tblStyle w:val="TableGrid1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2"/>
        <w:gridCol w:w="4826"/>
      </w:tblGrid>
      <w:tr w:rsidR="00756AE7" w:rsidRPr="00D532B5" w:rsidTr="00F46FB7">
        <w:tc>
          <w:tcPr>
            <w:tcW w:w="4971" w:type="dxa"/>
          </w:tcPr>
          <w:p w:rsidR="00756AE7" w:rsidRPr="00D532B5" w:rsidRDefault="00756AE7" w:rsidP="00F61756">
            <w:pPr>
              <w:spacing w:line="276" w:lineRule="auto"/>
              <w:jc w:val="center"/>
              <w:rPr>
                <w:rFonts w:asciiTheme="majorHAnsi" w:eastAsiaTheme="minorEastAsia" w:hAnsiTheme="majorHAnsi" w:cstheme="majorHAnsi"/>
                <w:b w:val="0"/>
                <w:bCs w:val="0"/>
                <w:sz w:val="24"/>
                <w:szCs w:val="24"/>
              </w:rPr>
            </w:pPr>
            <w:r w:rsidRPr="00D532B5">
              <w:rPr>
                <w:rFonts w:asciiTheme="majorHAnsi" w:eastAsiaTheme="minorEastAsia" w:hAnsiTheme="majorHAnsi" w:cstheme="majorHAnsi"/>
                <w:b w:val="0"/>
                <w:bCs w:val="0"/>
                <w:noProof/>
                <w:sz w:val="24"/>
                <w:szCs w:val="24"/>
                <w:lang w:val="ru-RU" w:eastAsia="ru-RU"/>
              </w:rPr>
              <w:drawing>
                <wp:inline distT="0" distB="0" distL="0" distR="0">
                  <wp:extent cx="3094329" cy="1455725"/>
                  <wp:effectExtent l="19050" t="0" r="0" b="0"/>
                  <wp:docPr id="77" name="Picture 57" descr="cid:image001.jpg@01D960A1.9FF7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id:image001.jpg@01D960A1.9FF78420"/>
                          <pic:cNvPicPr>
                            <a:picLocks noChangeAspect="1" noChangeArrowheads="1"/>
                          </pic:cNvPicPr>
                        </pic:nvPicPr>
                        <pic:blipFill>
                          <a:blip r:embed="rId45" r:link="rId46" cstate="print">
                            <a:extLst>
                              <a:ext uri="{28A0092B-C50C-407E-A947-70E740481C1C}">
                                <a14:useLocalDpi xmlns:a14="http://schemas.microsoft.com/office/drawing/2010/main" val="0"/>
                              </a:ext>
                            </a:extLst>
                          </a:blip>
                          <a:srcRect/>
                          <a:stretch>
                            <a:fillRect/>
                          </a:stretch>
                        </pic:blipFill>
                        <pic:spPr bwMode="auto">
                          <a:xfrm>
                            <a:off x="0" y="0"/>
                            <a:ext cx="3094990" cy="1456036"/>
                          </a:xfrm>
                          <a:prstGeom prst="rect">
                            <a:avLst/>
                          </a:prstGeom>
                          <a:noFill/>
                          <a:ln>
                            <a:noFill/>
                          </a:ln>
                        </pic:spPr>
                      </pic:pic>
                    </a:graphicData>
                  </a:graphic>
                </wp:inline>
              </w:drawing>
            </w:r>
          </w:p>
        </w:tc>
        <w:tc>
          <w:tcPr>
            <w:tcW w:w="4934" w:type="dxa"/>
          </w:tcPr>
          <w:p w:rsidR="00756AE7" w:rsidRPr="00D532B5" w:rsidRDefault="00756AE7" w:rsidP="00F61756">
            <w:pPr>
              <w:spacing w:line="276" w:lineRule="auto"/>
              <w:jc w:val="center"/>
              <w:rPr>
                <w:rFonts w:asciiTheme="majorHAnsi" w:eastAsiaTheme="minorEastAsia" w:hAnsiTheme="majorHAnsi" w:cstheme="majorHAnsi"/>
                <w:b w:val="0"/>
                <w:bCs w:val="0"/>
                <w:sz w:val="24"/>
                <w:szCs w:val="24"/>
              </w:rPr>
            </w:pPr>
            <w:r w:rsidRPr="00D532B5">
              <w:rPr>
                <w:rFonts w:asciiTheme="majorHAnsi" w:eastAsiaTheme="minorEastAsia" w:hAnsiTheme="majorHAnsi" w:cstheme="majorHAnsi"/>
                <w:b w:val="0"/>
                <w:bCs w:val="0"/>
                <w:noProof/>
                <w:sz w:val="24"/>
                <w:szCs w:val="24"/>
                <w:lang w:val="ru-RU" w:eastAsia="ru-RU"/>
              </w:rPr>
              <w:drawing>
                <wp:inline distT="0" distB="0" distL="0" distR="0">
                  <wp:extent cx="3070813" cy="1455725"/>
                  <wp:effectExtent l="19050" t="0" r="0" b="0"/>
                  <wp:docPr id="78" name="Picture 58" descr="cid:image002.jpg@01D960A1.9FF78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jpg@01D960A1.9FF78420"/>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bwMode="auto">
                          <a:xfrm>
                            <a:off x="0" y="0"/>
                            <a:ext cx="3071495" cy="1456048"/>
                          </a:xfrm>
                          <a:prstGeom prst="rect">
                            <a:avLst/>
                          </a:prstGeom>
                          <a:noFill/>
                          <a:ln>
                            <a:noFill/>
                          </a:ln>
                        </pic:spPr>
                      </pic:pic>
                    </a:graphicData>
                  </a:graphic>
                </wp:inline>
              </w:drawing>
            </w:r>
          </w:p>
        </w:tc>
      </w:tr>
    </w:tbl>
    <w:p w:rsidR="003E1078" w:rsidRPr="00F46FB7" w:rsidRDefault="003E1078" w:rsidP="00F61756">
      <w:pPr>
        <w:spacing w:line="276" w:lineRule="auto"/>
        <w:rPr>
          <w:rFonts w:asciiTheme="majorHAnsi" w:hAnsiTheme="majorHAnsi" w:cstheme="majorHAnsi"/>
          <w:b w:val="0"/>
          <w:bCs w:val="0"/>
          <w:i/>
          <w:noProof/>
          <w:sz w:val="20"/>
          <w:szCs w:val="20"/>
        </w:rPr>
      </w:pPr>
      <w:r w:rsidRPr="00F46FB7">
        <w:rPr>
          <w:rFonts w:asciiTheme="majorHAnsi" w:hAnsiTheme="majorHAnsi" w:cstheme="majorHAnsi"/>
          <w:bCs w:val="0"/>
          <w:i/>
          <w:noProof/>
          <w:sz w:val="20"/>
          <w:szCs w:val="20"/>
        </w:rPr>
        <w:t>Sursa:</w:t>
      </w:r>
      <w:r w:rsidRPr="00F46FB7">
        <w:rPr>
          <w:rFonts w:asciiTheme="majorHAnsi" w:hAnsiTheme="majorHAnsi" w:cstheme="majorHAnsi"/>
          <w:b w:val="0"/>
          <w:bCs w:val="0"/>
          <w:i/>
          <w:noProof/>
          <w:sz w:val="20"/>
          <w:szCs w:val="20"/>
        </w:rPr>
        <w:t xml:space="preserve"> Imagini realizate de echipa de audit.</w:t>
      </w:r>
    </w:p>
    <w:p w:rsidR="00CA7B94" w:rsidRPr="000846A6" w:rsidRDefault="00756AE7" w:rsidP="00F61756">
      <w:pPr>
        <w:pStyle w:val="a3"/>
        <w:numPr>
          <w:ilvl w:val="0"/>
          <w:numId w:val="30"/>
        </w:numPr>
        <w:autoSpaceDE w:val="0"/>
        <w:autoSpaceDN w:val="0"/>
        <w:adjustRightInd w:val="0"/>
        <w:spacing w:line="276" w:lineRule="auto"/>
        <w:ind w:left="426" w:firstLine="567"/>
        <w:jc w:val="both"/>
        <w:rPr>
          <w:rFonts w:asciiTheme="majorHAnsi" w:hAnsiTheme="majorHAnsi" w:cstheme="majorHAnsi"/>
          <w:lang w:val="ro-RO"/>
        </w:rPr>
      </w:pPr>
      <w:r w:rsidRPr="00F46FB7">
        <w:rPr>
          <w:rFonts w:asciiTheme="majorHAnsi" w:hAnsiTheme="majorHAnsi" w:cstheme="majorHAnsi"/>
          <w:lang w:val="ro-RO"/>
        </w:rPr>
        <w:t>Ulterior, în cadrul  Proiectului „Asigurarea orașului Fălești cu apă din râul Prut”, în anul 2017  a fost inițiat proiectul „Asigurarea orașului Fălești cu apă din râul Prut 2”, în valoare de 35,14 mil. lei, în cadrul căr</w:t>
      </w:r>
      <w:r w:rsidR="00904D93" w:rsidRPr="00F46FB7">
        <w:rPr>
          <w:rFonts w:asciiTheme="majorHAnsi" w:hAnsiTheme="majorHAnsi" w:cstheme="majorHAnsi"/>
          <w:lang w:val="ro-RO"/>
        </w:rPr>
        <w:t>u</w:t>
      </w:r>
      <w:r w:rsidRPr="00F46FB7">
        <w:rPr>
          <w:rFonts w:asciiTheme="majorHAnsi" w:hAnsiTheme="majorHAnsi" w:cstheme="majorHAnsi"/>
          <w:lang w:val="ro-RO"/>
        </w:rPr>
        <w:t xml:space="preserve">ia </w:t>
      </w:r>
      <w:r w:rsidR="003E1078" w:rsidRPr="00F46FB7">
        <w:rPr>
          <w:rFonts w:asciiTheme="majorHAnsi" w:hAnsiTheme="majorHAnsi" w:cstheme="majorHAnsi"/>
          <w:lang w:val="ro-RO"/>
        </w:rPr>
        <w:t>au fost</w:t>
      </w:r>
      <w:r w:rsidRPr="00F46FB7">
        <w:rPr>
          <w:rFonts w:asciiTheme="majorHAnsi" w:hAnsiTheme="majorHAnsi" w:cstheme="majorHAnsi"/>
          <w:lang w:val="ro-RO"/>
        </w:rPr>
        <w:t xml:space="preserve"> înlocuite rețelele (17,9 km) care asigură transportarea apei din Prut la stația de trat</w:t>
      </w:r>
      <w:r w:rsidRPr="00F46FB7">
        <w:rPr>
          <w:rFonts w:asciiTheme="majorHAnsi" w:hAnsiTheme="majorHAnsi" w:cstheme="majorHAnsi"/>
          <w:shd w:val="clear" w:color="auto" w:fill="FFFFFF"/>
          <w:lang w:val="ro-RO"/>
        </w:rPr>
        <w:t>a</w:t>
      </w:r>
      <w:r w:rsidRPr="00F46FB7">
        <w:rPr>
          <w:rFonts w:asciiTheme="majorHAnsi" w:hAnsiTheme="majorHAnsi" w:cstheme="majorHAnsi"/>
          <w:lang w:val="ro-RO"/>
        </w:rPr>
        <w:t xml:space="preserve">re.   </w:t>
      </w:r>
    </w:p>
    <w:tbl>
      <w:tblPr>
        <w:tblStyle w:val="af2"/>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80"/>
      </w:tblGrid>
      <w:tr w:rsidR="00296B44" w:rsidRPr="00D532B5" w:rsidTr="00F46FB7">
        <w:tc>
          <w:tcPr>
            <w:tcW w:w="9479" w:type="dxa"/>
          </w:tcPr>
          <w:p w:rsidR="00296B44" w:rsidRPr="00F46FB7" w:rsidRDefault="00CA7B94" w:rsidP="00F61756">
            <w:pPr>
              <w:autoSpaceDE w:val="0"/>
              <w:autoSpaceDN w:val="0"/>
              <w:adjustRightInd w:val="0"/>
              <w:spacing w:line="276" w:lineRule="auto"/>
              <w:contextualSpacing/>
              <w:jc w:val="right"/>
              <w:rPr>
                <w:rFonts w:asciiTheme="majorHAnsi" w:hAnsiTheme="majorHAnsi" w:cstheme="majorHAnsi"/>
                <w:bCs w:val="0"/>
                <w:sz w:val="20"/>
                <w:szCs w:val="20"/>
              </w:rPr>
            </w:pPr>
            <w:r w:rsidRPr="00F46FB7">
              <w:rPr>
                <w:rFonts w:asciiTheme="majorHAnsi" w:eastAsiaTheme="minorEastAsia" w:hAnsiTheme="majorHAnsi" w:cstheme="majorHAnsi"/>
                <w:bCs w:val="0"/>
                <w:noProof/>
                <w:sz w:val="20"/>
                <w:szCs w:val="20"/>
                <w:lang w:val="ru-RU" w:eastAsia="ru-RU"/>
              </w:rPr>
              <w:drawing>
                <wp:anchor distT="0" distB="0" distL="114300" distR="114300" simplePos="0" relativeHeight="251652096" behindDoc="0" locked="0" layoutInCell="1" allowOverlap="1">
                  <wp:simplePos x="0" y="0"/>
                  <wp:positionH relativeFrom="margin">
                    <wp:posOffset>8255</wp:posOffset>
                  </wp:positionH>
                  <wp:positionV relativeFrom="paragraph">
                    <wp:posOffset>221615</wp:posOffset>
                  </wp:positionV>
                  <wp:extent cx="5967095" cy="1734820"/>
                  <wp:effectExtent l="0" t="0" r="0" b="0"/>
                  <wp:wrapSquare wrapText="bothSides"/>
                  <wp:docPr id="3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67095" cy="1734820"/>
                          </a:xfrm>
                          <a:prstGeom prst="rect">
                            <a:avLst/>
                          </a:prstGeom>
                        </pic:spPr>
                      </pic:pic>
                    </a:graphicData>
                  </a:graphic>
                </wp:anchor>
              </w:drawing>
            </w:r>
            <w:r w:rsidRPr="00F46FB7">
              <w:rPr>
                <w:rFonts w:asciiTheme="majorHAnsi" w:hAnsiTheme="majorHAnsi" w:cstheme="majorHAnsi"/>
                <w:bCs w:val="0"/>
                <w:sz w:val="20"/>
                <w:szCs w:val="20"/>
              </w:rPr>
              <w:t>Imagine</w:t>
            </w:r>
            <w:r w:rsidR="001B58C6" w:rsidRPr="00F46FB7">
              <w:rPr>
                <w:rFonts w:asciiTheme="majorHAnsi" w:hAnsiTheme="majorHAnsi" w:cstheme="majorHAnsi"/>
                <w:bCs w:val="0"/>
                <w:sz w:val="20"/>
                <w:szCs w:val="20"/>
              </w:rPr>
              <w:t>a</w:t>
            </w:r>
            <w:r w:rsidRPr="00F46FB7">
              <w:rPr>
                <w:rFonts w:asciiTheme="majorHAnsi" w:hAnsiTheme="majorHAnsi" w:cstheme="majorHAnsi"/>
                <w:bCs w:val="0"/>
                <w:sz w:val="20"/>
                <w:szCs w:val="20"/>
              </w:rPr>
              <w:t xml:space="preserve"> nr. </w:t>
            </w:r>
            <w:r w:rsidR="0092109D" w:rsidRPr="00F46FB7">
              <w:rPr>
                <w:rFonts w:asciiTheme="majorHAnsi" w:hAnsiTheme="majorHAnsi" w:cstheme="majorHAnsi"/>
                <w:bCs w:val="0"/>
                <w:sz w:val="20"/>
                <w:szCs w:val="20"/>
              </w:rPr>
              <w:t>10</w:t>
            </w:r>
          </w:p>
        </w:tc>
      </w:tr>
      <w:tr w:rsidR="00CA7B94" w:rsidRPr="00D532B5" w:rsidTr="00F46FB7">
        <w:trPr>
          <w:trHeight w:val="308"/>
        </w:trPr>
        <w:tc>
          <w:tcPr>
            <w:tcW w:w="9479" w:type="dxa"/>
          </w:tcPr>
          <w:p w:rsidR="00CA7B94" w:rsidRPr="00D532B5" w:rsidRDefault="00CA7B94" w:rsidP="00F61756">
            <w:pPr>
              <w:autoSpaceDE w:val="0"/>
              <w:autoSpaceDN w:val="0"/>
              <w:adjustRightInd w:val="0"/>
              <w:spacing w:line="276" w:lineRule="auto"/>
              <w:contextualSpacing/>
              <w:jc w:val="both"/>
              <w:rPr>
                <w:rFonts w:asciiTheme="majorHAnsi" w:hAnsiTheme="majorHAnsi" w:cstheme="majorHAnsi"/>
                <w:b w:val="0"/>
                <w:bCs w:val="0"/>
                <w:i/>
                <w:sz w:val="24"/>
                <w:szCs w:val="24"/>
              </w:rPr>
            </w:pPr>
            <w:r w:rsidRPr="00D532B5">
              <w:rPr>
                <w:rFonts w:asciiTheme="majorHAnsi" w:hAnsiTheme="majorHAnsi" w:cstheme="majorHAnsi"/>
                <w:b w:val="0"/>
                <w:bCs w:val="0"/>
                <w:i/>
                <w:noProof/>
                <w:sz w:val="16"/>
                <w:szCs w:val="16"/>
                <w:lang w:val="en-US"/>
              </w:rPr>
              <w:t>Notă: Imagine preluată din raportul de activitate a</w:t>
            </w:r>
            <w:r w:rsidR="001B58C6" w:rsidRPr="00D532B5">
              <w:rPr>
                <w:rFonts w:asciiTheme="majorHAnsi" w:hAnsiTheme="majorHAnsi" w:cstheme="majorHAnsi"/>
                <w:b w:val="0"/>
                <w:bCs w:val="0"/>
                <w:i/>
                <w:noProof/>
                <w:sz w:val="16"/>
                <w:szCs w:val="16"/>
                <w:lang w:val="en-US"/>
              </w:rPr>
              <w:t>l</w:t>
            </w:r>
            <w:r w:rsidRPr="00D532B5">
              <w:rPr>
                <w:rFonts w:asciiTheme="majorHAnsi" w:hAnsiTheme="majorHAnsi" w:cstheme="majorHAnsi"/>
                <w:b w:val="0"/>
                <w:bCs w:val="0"/>
                <w:i/>
                <w:noProof/>
                <w:sz w:val="16"/>
                <w:szCs w:val="16"/>
                <w:lang w:val="en-US"/>
              </w:rPr>
              <w:t xml:space="preserve"> ADR Nord.</w:t>
            </w:r>
          </w:p>
        </w:tc>
      </w:tr>
    </w:tbl>
    <w:p w:rsidR="003E1078" w:rsidRPr="00D532B5" w:rsidRDefault="003E1078" w:rsidP="00F61756">
      <w:pPr>
        <w:spacing w:line="276" w:lineRule="auto"/>
        <w:jc w:val="both"/>
        <w:rPr>
          <w:rFonts w:asciiTheme="majorHAnsi" w:hAnsiTheme="majorHAnsi" w:cstheme="majorHAnsi"/>
          <w:b w:val="0"/>
          <w:bCs w:val="0"/>
          <w:i/>
          <w:noProof/>
          <w:sz w:val="16"/>
          <w:szCs w:val="16"/>
          <w:lang w:val="en-US"/>
        </w:rPr>
      </w:pPr>
    </w:p>
    <w:p w:rsidR="00756AE7" w:rsidRPr="000846A6" w:rsidRDefault="00756AE7" w:rsidP="00F61756">
      <w:pPr>
        <w:pStyle w:val="a3"/>
        <w:numPr>
          <w:ilvl w:val="0"/>
          <w:numId w:val="30"/>
        </w:numPr>
        <w:autoSpaceDE w:val="0"/>
        <w:autoSpaceDN w:val="0"/>
        <w:adjustRightInd w:val="0"/>
        <w:spacing w:line="276" w:lineRule="auto"/>
        <w:ind w:left="0" w:firstLine="567"/>
        <w:jc w:val="both"/>
        <w:rPr>
          <w:rFonts w:asciiTheme="majorHAnsi" w:hAnsiTheme="majorHAnsi" w:cstheme="majorHAnsi"/>
          <w:lang w:val="en-US"/>
        </w:rPr>
      </w:pPr>
      <w:r w:rsidRPr="000846A6">
        <w:rPr>
          <w:rFonts w:asciiTheme="majorHAnsi" w:hAnsiTheme="majorHAnsi" w:cstheme="majorHAnsi"/>
          <w:shd w:val="clear" w:color="auto" w:fill="FFFFFF"/>
          <w:lang w:val="en-US"/>
        </w:rPr>
        <w:t>Tot în anul 2017 a fost inițial un alt Proiect</w:t>
      </w:r>
      <w:r w:rsidR="001B58C6" w:rsidRPr="000846A6">
        <w:rPr>
          <w:rFonts w:asciiTheme="majorHAnsi" w:hAnsiTheme="majorHAnsi" w:cstheme="majorHAnsi"/>
          <w:shd w:val="clear" w:color="auto" w:fill="FFFFFF"/>
          <w:lang w:val="en-US"/>
        </w:rPr>
        <w:t>,</w:t>
      </w:r>
      <w:r w:rsidRPr="000846A6">
        <w:rPr>
          <w:rFonts w:asciiTheme="majorHAnsi" w:hAnsiTheme="majorHAnsi" w:cstheme="majorHAnsi"/>
          <w:shd w:val="clear" w:color="auto" w:fill="FFFFFF"/>
          <w:lang w:val="en-US"/>
        </w:rPr>
        <w:t xml:space="preserve"> </w:t>
      </w:r>
      <w:r w:rsidRPr="000846A6">
        <w:rPr>
          <w:rFonts w:asciiTheme="majorHAnsi" w:hAnsiTheme="majorHAnsi" w:cstheme="majorHAnsi"/>
          <w:lang w:val="en-US"/>
        </w:rPr>
        <w:t>„Îmbunătățirea serviciilor de alimentare cu apă în or. Fălești”</w:t>
      </w:r>
      <w:r w:rsidR="001B58C6" w:rsidRPr="000846A6">
        <w:rPr>
          <w:rFonts w:asciiTheme="majorHAnsi" w:hAnsiTheme="majorHAnsi" w:cstheme="majorHAnsi"/>
          <w:lang w:val="en-US"/>
        </w:rPr>
        <w:t>,</w:t>
      </w:r>
      <w:r w:rsidRPr="000846A6">
        <w:rPr>
          <w:rFonts w:asciiTheme="majorHAnsi" w:hAnsiTheme="majorHAnsi" w:cstheme="majorHAnsi"/>
          <w:lang w:val="en-US"/>
        </w:rPr>
        <w:t xml:space="preserve"> în valoare de 35,88 mil.lei, care a fost implementat din surse externe și a prevăzut reabilitarea și extinderea în or. Fălești a rețelei de alimentare cu apă cu lungimea de 31,4 km. </w:t>
      </w:r>
    </w:p>
    <w:p w:rsidR="00756AE7" w:rsidRPr="000846A6" w:rsidRDefault="00BC28D6" w:rsidP="00F61756">
      <w:pPr>
        <w:pStyle w:val="a3"/>
        <w:numPr>
          <w:ilvl w:val="0"/>
          <w:numId w:val="30"/>
        </w:numPr>
        <w:autoSpaceDE w:val="0"/>
        <w:autoSpaceDN w:val="0"/>
        <w:adjustRightInd w:val="0"/>
        <w:spacing w:line="276" w:lineRule="auto"/>
        <w:ind w:left="0" w:firstLine="567"/>
        <w:jc w:val="both"/>
        <w:rPr>
          <w:rFonts w:asciiTheme="majorHAnsi" w:hAnsiTheme="majorHAnsi" w:cstheme="majorHAnsi"/>
          <w:lang w:val="en-US"/>
        </w:rPr>
      </w:pPr>
      <w:r w:rsidRPr="000846A6">
        <w:rPr>
          <w:rFonts w:asciiTheme="majorHAnsi" w:hAnsiTheme="majorHAnsi" w:cstheme="majorHAnsi"/>
          <w:lang w:val="en-US"/>
        </w:rPr>
        <w:t>De menționat că, în anul 2010, din FEN, pentru proiectul „Alimentarea cu apă din Prut”, au fost solicitate 38,9 mil.lei, fiind alocate în anii 2010-2014 și în 2020, per total, 32,7 mil. lei, întreruperea în finanțare constituind 6 ani, soldul nefinanțat de FEN constituind 6,2 mil.lei. Proiectul respectiv este inclus în Lista ce</w:t>
      </w:r>
      <w:r w:rsidRPr="000846A6">
        <w:rPr>
          <w:rFonts w:asciiTheme="majorHAnsi" w:hAnsiTheme="majorHAnsi" w:cstheme="majorHAnsi"/>
          <w:vertAlign w:val="superscript"/>
          <w:lang w:val="en-US"/>
        </w:rPr>
        <w:t>l</w:t>
      </w:r>
      <w:r w:rsidRPr="000846A6">
        <w:rPr>
          <w:rFonts w:asciiTheme="majorHAnsi" w:hAnsiTheme="majorHAnsi" w:cstheme="majorHAnsi"/>
          <w:lang w:val="en-US"/>
        </w:rPr>
        <w:t>or 95 de PI preluate din FEN, care urmează a finanțate din FM.</w:t>
      </w:r>
    </w:p>
    <w:p w:rsidR="00756AE7" w:rsidRPr="000846A6" w:rsidRDefault="00756AE7" w:rsidP="00F61756">
      <w:pPr>
        <w:pStyle w:val="a3"/>
        <w:numPr>
          <w:ilvl w:val="0"/>
          <w:numId w:val="30"/>
        </w:numPr>
        <w:autoSpaceDE w:val="0"/>
        <w:autoSpaceDN w:val="0"/>
        <w:adjustRightInd w:val="0"/>
        <w:spacing w:line="276" w:lineRule="auto"/>
        <w:ind w:left="0" w:firstLine="567"/>
        <w:jc w:val="both"/>
        <w:rPr>
          <w:rFonts w:asciiTheme="majorHAnsi" w:eastAsiaTheme="minorEastAsia" w:hAnsiTheme="majorHAnsi" w:cstheme="majorHAnsi"/>
          <w:lang w:val="en-US"/>
        </w:rPr>
      </w:pPr>
      <w:r w:rsidRPr="000846A6">
        <w:rPr>
          <w:rFonts w:asciiTheme="majorHAnsi" w:hAnsiTheme="majorHAnsi" w:cstheme="majorHAnsi"/>
          <w:lang w:val="en-US"/>
        </w:rPr>
        <w:t>În anul 2022</w:t>
      </w:r>
      <w:r w:rsidRPr="00D532B5">
        <w:rPr>
          <w:rFonts w:asciiTheme="majorHAnsi" w:hAnsiTheme="majorHAnsi" w:cstheme="majorHAnsi"/>
          <w:vertAlign w:val="superscript"/>
        </w:rPr>
        <w:footnoteReference w:id="51"/>
      </w:r>
      <w:r w:rsidRPr="000846A6">
        <w:rPr>
          <w:rFonts w:asciiTheme="majorHAnsi" w:hAnsiTheme="majorHAnsi" w:cstheme="majorHAnsi"/>
          <w:lang w:val="en-US"/>
        </w:rPr>
        <w:t xml:space="preserve"> au fost contractate servicii de proiectare pentru stabilirea costurilor necesare pentru finalizarea lucrărilor </w:t>
      </w:r>
      <w:r w:rsidR="001B58C6" w:rsidRPr="000846A6">
        <w:rPr>
          <w:rFonts w:asciiTheme="majorHAnsi" w:hAnsiTheme="majorHAnsi" w:cstheme="majorHAnsi"/>
          <w:lang w:val="en-US"/>
        </w:rPr>
        <w:t>de</w:t>
      </w:r>
      <w:r w:rsidRPr="000846A6">
        <w:rPr>
          <w:rFonts w:asciiTheme="majorHAnsi" w:hAnsiTheme="majorHAnsi" w:cstheme="majorHAnsi"/>
          <w:lang w:val="en-US"/>
        </w:rPr>
        <w:t xml:space="preserve"> aprovizion</w:t>
      </w:r>
      <w:r w:rsidRPr="000846A6">
        <w:rPr>
          <w:rFonts w:asciiTheme="majorHAnsi" w:eastAsiaTheme="minorEastAsia" w:hAnsiTheme="majorHAnsi" w:cstheme="majorHAnsi"/>
          <w:lang w:val="en-US"/>
        </w:rPr>
        <w:t>are cu apă potabilă a orașului Fălești și</w:t>
      </w:r>
      <w:r w:rsidR="001B58C6" w:rsidRPr="000846A6">
        <w:rPr>
          <w:rFonts w:asciiTheme="majorHAnsi" w:eastAsiaTheme="minorEastAsia" w:hAnsiTheme="majorHAnsi" w:cstheme="majorHAnsi"/>
          <w:lang w:val="en-US"/>
        </w:rPr>
        <w:t xml:space="preserve"> a</w:t>
      </w:r>
      <w:r w:rsidRPr="000846A6">
        <w:rPr>
          <w:rFonts w:asciiTheme="majorHAnsi" w:eastAsiaTheme="minorEastAsia" w:hAnsiTheme="majorHAnsi" w:cstheme="majorHAnsi"/>
          <w:lang w:val="en-US"/>
        </w:rPr>
        <w:t xml:space="preserve"> localităților ce fac parte din raion</w:t>
      </w:r>
      <w:r w:rsidR="001B58C6" w:rsidRPr="000846A6">
        <w:rPr>
          <w:rFonts w:asciiTheme="majorHAnsi" w:eastAsiaTheme="minorEastAsia" w:hAnsiTheme="majorHAnsi" w:cstheme="majorHAnsi"/>
          <w:lang w:val="en-US"/>
        </w:rPr>
        <w:t>,</w:t>
      </w:r>
      <w:r w:rsidRPr="000846A6">
        <w:rPr>
          <w:rFonts w:asciiTheme="majorHAnsi" w:eastAsiaTheme="minorEastAsia" w:hAnsiTheme="majorHAnsi" w:cstheme="majorHAnsi"/>
          <w:lang w:val="en-US"/>
        </w:rPr>
        <w:t xml:space="preserve"> în valoare de 0,47 mil.lei.  </w:t>
      </w:r>
    </w:p>
    <w:p w:rsidR="00756AE7" w:rsidRPr="000846A6" w:rsidRDefault="00756AE7" w:rsidP="00F61756">
      <w:pPr>
        <w:pStyle w:val="a3"/>
        <w:numPr>
          <w:ilvl w:val="0"/>
          <w:numId w:val="30"/>
        </w:numPr>
        <w:autoSpaceDE w:val="0"/>
        <w:autoSpaceDN w:val="0"/>
        <w:adjustRightInd w:val="0"/>
        <w:spacing w:line="276" w:lineRule="auto"/>
        <w:ind w:left="0" w:firstLine="567"/>
        <w:jc w:val="both"/>
        <w:rPr>
          <w:rFonts w:asciiTheme="majorHAnsi" w:hAnsiTheme="majorHAnsi" w:cstheme="majorHAnsi"/>
          <w:lang w:val="en-US"/>
        </w:rPr>
      </w:pPr>
      <w:r w:rsidRPr="000846A6">
        <w:rPr>
          <w:rFonts w:asciiTheme="majorHAnsi" w:eastAsiaTheme="minorEastAsia" w:hAnsiTheme="majorHAnsi" w:cstheme="majorHAnsi"/>
          <w:lang w:val="en-US"/>
        </w:rPr>
        <w:t>Concomitent, în anul 2014, din FNDR a fost  finanțat proiectul „Aprovizionarea cu apă potabilă și canalizare a locuitorilor satelor Risipeni şi Bocșa și a instituțiilor de menire social-culturală (Fălești)”, fiind efectuate investiți în sumă de 11,95 mil</w:t>
      </w:r>
      <w:r w:rsidR="002C5206" w:rsidRPr="000846A6">
        <w:rPr>
          <w:rFonts w:asciiTheme="majorHAnsi" w:eastAsiaTheme="minorEastAsia" w:hAnsiTheme="majorHAnsi" w:cstheme="majorHAnsi"/>
          <w:lang w:val="en-US"/>
        </w:rPr>
        <w:t>.</w:t>
      </w:r>
      <w:r w:rsidRPr="000846A6">
        <w:rPr>
          <w:rFonts w:asciiTheme="majorHAnsi" w:eastAsiaTheme="minorEastAsia" w:hAnsiTheme="majorHAnsi" w:cstheme="majorHAnsi"/>
          <w:lang w:val="en-US"/>
        </w:rPr>
        <w:t xml:space="preserve"> lei, acesta fiind </w:t>
      </w:r>
      <w:r w:rsidR="002C5206" w:rsidRPr="000846A6">
        <w:rPr>
          <w:rFonts w:asciiTheme="majorHAnsi" w:eastAsiaTheme="minorEastAsia" w:hAnsiTheme="majorHAnsi" w:cstheme="majorHAnsi"/>
          <w:lang w:val="en-US"/>
        </w:rPr>
        <w:t xml:space="preserve">finalizat </w:t>
      </w:r>
      <w:r w:rsidRPr="000846A6">
        <w:rPr>
          <w:rFonts w:asciiTheme="majorHAnsi" w:eastAsiaTheme="minorEastAsia" w:hAnsiTheme="majorHAnsi" w:cstheme="majorHAnsi"/>
          <w:lang w:val="en-US"/>
        </w:rPr>
        <w:t>în anul 2018. Obiectivul investițional n</w:t>
      </w:r>
      <w:r w:rsidRPr="000846A6">
        <w:rPr>
          <w:rFonts w:asciiTheme="majorHAnsi" w:hAnsiTheme="majorHAnsi" w:cstheme="majorHAnsi"/>
          <w:lang w:val="en-US"/>
        </w:rPr>
        <w:t xml:space="preserve">u </w:t>
      </w:r>
      <w:r w:rsidR="002F04B0" w:rsidRPr="000846A6">
        <w:rPr>
          <w:rFonts w:asciiTheme="majorHAnsi" w:hAnsiTheme="majorHAnsi" w:cstheme="majorHAnsi"/>
          <w:lang w:val="en-US"/>
        </w:rPr>
        <w:t xml:space="preserve">este </w:t>
      </w:r>
      <w:r w:rsidRPr="000846A6">
        <w:rPr>
          <w:rFonts w:asciiTheme="majorHAnsi" w:hAnsiTheme="majorHAnsi" w:cstheme="majorHAnsi"/>
          <w:lang w:val="en-US"/>
        </w:rPr>
        <w:t>utilizat din cauza nefuncționării apeductului magistral Prut-Fălești, la ca</w:t>
      </w:r>
      <w:r w:rsidR="002C5206" w:rsidRPr="000846A6">
        <w:rPr>
          <w:rFonts w:asciiTheme="majorHAnsi" w:hAnsiTheme="majorHAnsi" w:cstheme="majorHAnsi"/>
          <w:lang w:val="en-US"/>
        </w:rPr>
        <w:t>r</w:t>
      </w:r>
      <w:r w:rsidRPr="000846A6">
        <w:rPr>
          <w:rFonts w:asciiTheme="majorHAnsi" w:hAnsiTheme="majorHAnsi" w:cstheme="majorHAnsi"/>
          <w:lang w:val="en-US"/>
        </w:rPr>
        <w:t>e urmează să fie conectată rețeaua din Risipeni. De menționat că</w:t>
      </w:r>
      <w:r w:rsidR="002C5206" w:rsidRPr="000846A6">
        <w:rPr>
          <w:rFonts w:asciiTheme="majorHAnsi" w:hAnsiTheme="majorHAnsi" w:cstheme="majorHAnsi"/>
          <w:lang w:val="en-US"/>
        </w:rPr>
        <w:t>,</w:t>
      </w:r>
      <w:r w:rsidRPr="000846A6">
        <w:rPr>
          <w:rFonts w:asciiTheme="majorHAnsi" w:hAnsiTheme="majorHAnsi" w:cstheme="majorHAnsi"/>
          <w:lang w:val="en-US"/>
        </w:rPr>
        <w:t xml:space="preserve"> conectarea la rețea va fi  prevăzută în cadrul proiectul</w:t>
      </w:r>
      <w:r w:rsidR="002F04B0" w:rsidRPr="000846A6">
        <w:rPr>
          <w:rFonts w:asciiTheme="majorHAnsi" w:hAnsiTheme="majorHAnsi" w:cstheme="majorHAnsi"/>
          <w:lang w:val="en-US"/>
        </w:rPr>
        <w:t>ui</w:t>
      </w:r>
      <w:r w:rsidRPr="000846A6">
        <w:rPr>
          <w:rFonts w:asciiTheme="majorHAnsi" w:hAnsiTheme="majorHAnsi" w:cstheme="majorHAnsi"/>
          <w:lang w:val="en-US"/>
        </w:rPr>
        <w:t xml:space="preserve"> care va fi creat ca urmare a stabilirii costurilor necesare pentru finalizarea lucrărilor </w:t>
      </w:r>
      <w:r w:rsidR="002C5206" w:rsidRPr="000846A6">
        <w:rPr>
          <w:rFonts w:asciiTheme="majorHAnsi" w:hAnsiTheme="majorHAnsi" w:cstheme="majorHAnsi"/>
          <w:lang w:val="en-US"/>
        </w:rPr>
        <w:t>de</w:t>
      </w:r>
      <w:r w:rsidRPr="000846A6">
        <w:rPr>
          <w:rFonts w:asciiTheme="majorHAnsi" w:hAnsiTheme="majorHAnsi" w:cstheme="majorHAnsi"/>
          <w:lang w:val="en-US"/>
        </w:rPr>
        <w:t xml:space="preserve"> aprovizionare cu apă potabilă a orașului Fălești și </w:t>
      </w:r>
      <w:r w:rsidR="002C5206" w:rsidRPr="000846A6">
        <w:rPr>
          <w:rFonts w:asciiTheme="majorHAnsi" w:hAnsiTheme="majorHAnsi" w:cstheme="majorHAnsi"/>
          <w:lang w:val="en-US"/>
        </w:rPr>
        <w:t xml:space="preserve">a </w:t>
      </w:r>
      <w:r w:rsidRPr="000846A6">
        <w:rPr>
          <w:rFonts w:asciiTheme="majorHAnsi" w:hAnsiTheme="majorHAnsi" w:cstheme="majorHAnsi"/>
          <w:lang w:val="en-US"/>
        </w:rPr>
        <w:t xml:space="preserve">localităților din acesta. </w:t>
      </w:r>
    </w:p>
    <w:p w:rsidR="00756AE7" w:rsidRPr="008376FC" w:rsidRDefault="00756AE7" w:rsidP="00F61756">
      <w:pPr>
        <w:autoSpaceDE w:val="0"/>
        <w:autoSpaceDN w:val="0"/>
        <w:adjustRightInd w:val="0"/>
        <w:spacing w:after="0" w:line="276" w:lineRule="auto"/>
        <w:ind w:firstLine="709"/>
        <w:jc w:val="both"/>
        <w:rPr>
          <w:rFonts w:asciiTheme="majorHAnsi" w:eastAsiaTheme="minorEastAsia" w:hAnsiTheme="majorHAnsi" w:cstheme="majorHAnsi"/>
          <w:b w:val="0"/>
          <w:bCs w:val="0"/>
          <w:sz w:val="24"/>
          <w:szCs w:val="24"/>
        </w:rPr>
      </w:pPr>
      <w:r w:rsidRPr="008376FC">
        <w:rPr>
          <w:rFonts w:asciiTheme="majorHAnsi" w:eastAsiaTheme="minorEastAsia" w:hAnsiTheme="majorHAnsi" w:cstheme="majorHAnsi"/>
          <w:b w:val="0"/>
          <w:bCs w:val="0"/>
          <w:sz w:val="24"/>
          <w:szCs w:val="24"/>
        </w:rPr>
        <w:t>Aspectele menționate supra demonstrează lipsa unei viziuni strategice privind aprovizionarea cu apă</w:t>
      </w:r>
      <w:r w:rsidR="002C5206">
        <w:rPr>
          <w:rFonts w:asciiTheme="majorHAnsi" w:eastAsiaTheme="minorEastAsia" w:hAnsiTheme="majorHAnsi" w:cstheme="majorHAnsi"/>
          <w:b w:val="0"/>
          <w:bCs w:val="0"/>
          <w:sz w:val="24"/>
          <w:szCs w:val="24"/>
        </w:rPr>
        <w:t xml:space="preserve"> a</w:t>
      </w:r>
      <w:r w:rsidRPr="008376FC">
        <w:rPr>
          <w:rFonts w:asciiTheme="majorHAnsi" w:eastAsiaTheme="minorEastAsia" w:hAnsiTheme="majorHAnsi" w:cstheme="majorHAnsi"/>
          <w:b w:val="0"/>
          <w:bCs w:val="0"/>
          <w:sz w:val="24"/>
          <w:szCs w:val="24"/>
        </w:rPr>
        <w:t xml:space="preserve"> raioanelor/regiunilor și lips</w:t>
      </w:r>
      <w:r w:rsidR="002C5206">
        <w:rPr>
          <w:rFonts w:asciiTheme="majorHAnsi" w:eastAsiaTheme="minorEastAsia" w:hAnsiTheme="majorHAnsi" w:cstheme="majorHAnsi"/>
          <w:b w:val="0"/>
          <w:bCs w:val="0"/>
          <w:sz w:val="24"/>
          <w:szCs w:val="24"/>
        </w:rPr>
        <w:t>a</w:t>
      </w:r>
      <w:r w:rsidRPr="008376FC">
        <w:rPr>
          <w:rFonts w:asciiTheme="majorHAnsi" w:eastAsiaTheme="minorEastAsia" w:hAnsiTheme="majorHAnsi" w:cstheme="majorHAnsi"/>
          <w:b w:val="0"/>
          <w:bCs w:val="0"/>
          <w:sz w:val="24"/>
          <w:szCs w:val="24"/>
        </w:rPr>
        <w:t xml:space="preserve"> unei abordări sistemice la nivel național în implementarea unor astfel de proiecte, ceea ce</w:t>
      </w:r>
      <w:r w:rsidR="002C5206">
        <w:rPr>
          <w:rFonts w:asciiTheme="majorHAnsi" w:eastAsiaTheme="minorEastAsia" w:hAnsiTheme="majorHAnsi" w:cstheme="majorHAnsi"/>
          <w:b w:val="0"/>
          <w:bCs w:val="0"/>
          <w:sz w:val="24"/>
          <w:szCs w:val="24"/>
        </w:rPr>
        <w:t>,</w:t>
      </w:r>
      <w:r w:rsidRPr="008376FC">
        <w:rPr>
          <w:rFonts w:asciiTheme="majorHAnsi" w:eastAsiaTheme="minorEastAsia" w:hAnsiTheme="majorHAnsi" w:cstheme="majorHAnsi"/>
          <w:b w:val="0"/>
          <w:bCs w:val="0"/>
          <w:sz w:val="24"/>
          <w:szCs w:val="24"/>
        </w:rPr>
        <w:t xml:space="preserve"> în consecință</w:t>
      </w:r>
      <w:r w:rsidR="002C5206">
        <w:rPr>
          <w:rFonts w:asciiTheme="majorHAnsi" w:eastAsiaTheme="minorEastAsia" w:hAnsiTheme="majorHAnsi" w:cstheme="majorHAnsi"/>
          <w:b w:val="0"/>
          <w:bCs w:val="0"/>
          <w:sz w:val="24"/>
          <w:szCs w:val="24"/>
        </w:rPr>
        <w:t>,</w:t>
      </w:r>
      <w:r w:rsidRPr="008376FC">
        <w:rPr>
          <w:rFonts w:asciiTheme="majorHAnsi" w:eastAsiaTheme="minorEastAsia" w:hAnsiTheme="majorHAnsi" w:cstheme="majorHAnsi"/>
          <w:b w:val="0"/>
          <w:bCs w:val="0"/>
          <w:sz w:val="24"/>
          <w:szCs w:val="24"/>
        </w:rPr>
        <w:t xml:space="preserve"> duce la neutilizarea pe parcursul mai multor ani a obiectivelor create, tergiversarea implementării proiectelor, neatingerea obiectivelor propuse pentru realizare și utilizarea neeficiență a banilor publici. </w:t>
      </w:r>
    </w:p>
    <w:p w:rsidR="00C92495" w:rsidRPr="000846A6" w:rsidRDefault="00756AE7" w:rsidP="00F61756">
      <w:pPr>
        <w:pStyle w:val="a3"/>
        <w:numPr>
          <w:ilvl w:val="0"/>
          <w:numId w:val="79"/>
        </w:numPr>
        <w:tabs>
          <w:tab w:val="left" w:pos="993"/>
        </w:tabs>
        <w:autoSpaceDE w:val="0"/>
        <w:autoSpaceDN w:val="0"/>
        <w:adjustRightInd w:val="0"/>
        <w:spacing w:line="276" w:lineRule="auto"/>
        <w:ind w:left="0" w:firstLine="567"/>
        <w:jc w:val="both"/>
        <w:rPr>
          <w:rFonts w:asciiTheme="majorHAnsi" w:hAnsiTheme="majorHAnsi" w:cstheme="majorHAnsi"/>
          <w:lang w:val="en-US"/>
        </w:rPr>
      </w:pPr>
      <w:r w:rsidRPr="000846A6">
        <w:rPr>
          <w:rFonts w:asciiTheme="majorHAnsi" w:hAnsiTheme="majorHAnsi" w:cstheme="majorHAnsi"/>
          <w:lang w:val="en-US"/>
        </w:rPr>
        <w:t xml:space="preserve"> </w:t>
      </w:r>
      <w:r w:rsidR="004364D0" w:rsidRPr="000846A6">
        <w:rPr>
          <w:rFonts w:asciiTheme="majorHAnsi" w:hAnsiTheme="majorHAnsi" w:cstheme="majorHAnsi"/>
          <w:lang w:val="en-US"/>
        </w:rPr>
        <w:t xml:space="preserve">Tot  în acest context, menționăm că, </w:t>
      </w:r>
      <w:r w:rsidR="00C92495" w:rsidRPr="000846A6">
        <w:rPr>
          <w:rFonts w:asciiTheme="majorHAnsi" w:hAnsiTheme="majorHAnsi" w:cstheme="majorHAnsi"/>
          <w:lang w:val="en-US"/>
        </w:rPr>
        <w:t xml:space="preserve"> urmare a tergiversării implementării proiectului „Asigurarea orașului Fălești cu apă din râul Prut”, a fost luată decizi</w:t>
      </w:r>
      <w:r w:rsidR="00AE4681" w:rsidRPr="000846A6">
        <w:rPr>
          <w:rFonts w:asciiTheme="majorHAnsi" w:hAnsiTheme="majorHAnsi" w:cstheme="majorHAnsi"/>
          <w:lang w:val="en-US"/>
        </w:rPr>
        <w:t>a</w:t>
      </w:r>
      <w:r w:rsidR="00C92495" w:rsidRPr="000846A6">
        <w:rPr>
          <w:rFonts w:asciiTheme="majorHAnsi" w:hAnsiTheme="majorHAnsi" w:cstheme="majorHAnsi"/>
          <w:lang w:val="en-US"/>
        </w:rPr>
        <w:t xml:space="preserve"> că una din opțiunile pentru redresarea situaţiei ar fi ca toate investițiile realizate în cadrul proiectelor menționate, să fie preluate pentru implementare în cadrul Acordului dintre Guvernul Republicii Moldova și Guvernul României privind reglementarea constru</w:t>
      </w:r>
      <w:r w:rsidR="00F14033" w:rsidRPr="000846A6">
        <w:rPr>
          <w:rFonts w:asciiTheme="majorHAnsi" w:hAnsiTheme="majorHAnsi" w:cstheme="majorHAnsi"/>
          <w:lang w:val="en-US"/>
        </w:rPr>
        <w:t>cț</w:t>
      </w:r>
      <w:r w:rsidR="00C92495" w:rsidRPr="000846A6">
        <w:rPr>
          <w:rFonts w:asciiTheme="majorHAnsi" w:hAnsiTheme="majorHAnsi" w:cstheme="majorHAnsi"/>
          <w:lang w:val="en-US"/>
        </w:rPr>
        <w:t>i</w:t>
      </w:r>
      <w:r w:rsidR="00F14033" w:rsidRPr="000846A6">
        <w:rPr>
          <w:rFonts w:asciiTheme="majorHAnsi" w:hAnsiTheme="majorHAnsi" w:cstheme="majorHAnsi"/>
          <w:lang w:val="en-US"/>
        </w:rPr>
        <w:t>e</w:t>
      </w:r>
      <w:r w:rsidR="00C92495" w:rsidRPr="000846A6">
        <w:rPr>
          <w:rFonts w:asciiTheme="majorHAnsi" w:hAnsiTheme="majorHAnsi" w:cstheme="majorHAnsi"/>
          <w:lang w:val="en-US"/>
        </w:rPr>
        <w:t>i unor apeducte, semnat la Chişinău pe data de 20.05.2021. În anul 2022 a fost încheiat Protocolul de amendare, ambele documente fiind ratificate prin Legea nr. 326/2022.</w:t>
      </w:r>
    </w:p>
    <w:p w:rsidR="00E37F5D" w:rsidRPr="000846A6" w:rsidRDefault="00E37F5D" w:rsidP="00F61756">
      <w:pPr>
        <w:pStyle w:val="a3"/>
        <w:tabs>
          <w:tab w:val="left" w:pos="993"/>
        </w:tabs>
        <w:autoSpaceDE w:val="0"/>
        <w:autoSpaceDN w:val="0"/>
        <w:adjustRightInd w:val="0"/>
        <w:spacing w:line="276" w:lineRule="auto"/>
        <w:ind w:left="0"/>
        <w:jc w:val="both"/>
        <w:rPr>
          <w:rFonts w:asciiTheme="majorHAnsi" w:hAnsiTheme="majorHAnsi" w:cstheme="majorHAnsi"/>
          <w:lang w:val="en-US"/>
        </w:rPr>
      </w:pPr>
    </w:p>
    <w:p w:rsidR="00756AE7" w:rsidRDefault="00F14033" w:rsidP="00F61756">
      <w:pPr>
        <w:tabs>
          <w:tab w:val="left" w:pos="993"/>
        </w:tabs>
        <w:autoSpaceDE w:val="0"/>
        <w:autoSpaceDN w:val="0"/>
        <w:adjustRightInd w:val="0"/>
        <w:spacing w:after="0" w:line="276" w:lineRule="auto"/>
        <w:contextualSpacing/>
        <w:jc w:val="both"/>
        <w:rPr>
          <w:rFonts w:asciiTheme="majorHAnsi" w:eastAsiaTheme="minorEastAsia" w:hAnsiTheme="majorHAnsi" w:cstheme="majorHAnsi"/>
          <w:b w:val="0"/>
          <w:bCs w:val="0"/>
          <w:sz w:val="24"/>
          <w:szCs w:val="24"/>
        </w:rPr>
      </w:pPr>
      <w:r>
        <w:rPr>
          <w:rFonts w:asciiTheme="majorHAnsi" w:eastAsiaTheme="minorEastAsia" w:hAnsiTheme="majorHAnsi" w:cstheme="majorHAnsi"/>
          <w:b w:val="0"/>
          <w:bCs w:val="0"/>
          <w:sz w:val="24"/>
          <w:szCs w:val="24"/>
        </w:rPr>
        <w:t>I</w:t>
      </w:r>
      <w:r w:rsidR="00756AE7" w:rsidRPr="008376FC">
        <w:rPr>
          <w:rFonts w:asciiTheme="majorHAnsi" w:eastAsiaTheme="minorEastAsia" w:hAnsiTheme="majorHAnsi" w:cstheme="majorHAnsi"/>
          <w:b w:val="0"/>
          <w:bCs w:val="0"/>
          <w:sz w:val="24"/>
          <w:szCs w:val="24"/>
        </w:rPr>
        <w:t>nițial, Acordul prevedea amplasamentele exacte ale apeductelor (punctele de subtraversare a râului Prut)</w:t>
      </w:r>
      <w:r w:rsidR="00756AE7" w:rsidRPr="008376FC">
        <w:rPr>
          <w:rFonts w:asciiTheme="majorHAnsi" w:eastAsiaTheme="minorEastAsia" w:hAnsiTheme="majorHAnsi" w:cstheme="majorHAnsi"/>
          <w:b w:val="0"/>
          <w:bCs w:val="0"/>
          <w:sz w:val="24"/>
          <w:szCs w:val="24"/>
          <w:vertAlign w:val="superscript"/>
        </w:rPr>
        <w:footnoteReference w:id="52"/>
      </w:r>
      <w:r w:rsidR="00756AE7" w:rsidRPr="008376FC">
        <w:rPr>
          <w:rFonts w:asciiTheme="majorHAnsi" w:eastAsiaTheme="minorEastAsia" w:hAnsiTheme="majorHAnsi" w:cstheme="majorHAnsi"/>
          <w:b w:val="0"/>
          <w:bCs w:val="0"/>
          <w:sz w:val="24"/>
          <w:szCs w:val="24"/>
        </w:rPr>
        <w:t>, iar prin Protocolul de amendare, amplasamentele exacte au fost excluse din textul Acordului, aprobarea acestora urmând a fi stabilit</w:t>
      </w:r>
      <w:r>
        <w:rPr>
          <w:rFonts w:asciiTheme="majorHAnsi" w:eastAsiaTheme="minorEastAsia" w:hAnsiTheme="majorHAnsi" w:cstheme="majorHAnsi"/>
          <w:b w:val="0"/>
          <w:bCs w:val="0"/>
          <w:sz w:val="24"/>
          <w:szCs w:val="24"/>
        </w:rPr>
        <w:t>ă</w:t>
      </w:r>
      <w:r w:rsidR="00756AE7" w:rsidRPr="008376FC">
        <w:rPr>
          <w:rFonts w:asciiTheme="majorHAnsi" w:eastAsiaTheme="minorEastAsia" w:hAnsiTheme="majorHAnsi" w:cstheme="majorHAnsi"/>
          <w:b w:val="0"/>
          <w:bCs w:val="0"/>
          <w:sz w:val="24"/>
          <w:szCs w:val="24"/>
        </w:rPr>
        <w:t xml:space="preserve"> prin hotărâri ale Comisiei hidrotehnice interguvernamentale pentru aplicarea Acordului între Guvernul României și Guvernul Republicii Moldova privind cooperarea pentru protecția și utilizarea durabilă a apelor Prutului și Dunării</w:t>
      </w:r>
      <w:r w:rsidR="00756AE7" w:rsidRPr="008376FC">
        <w:rPr>
          <w:rFonts w:asciiTheme="majorHAnsi" w:eastAsiaTheme="minorEastAsia" w:hAnsiTheme="majorHAnsi" w:cstheme="majorHAnsi"/>
          <w:b w:val="0"/>
          <w:bCs w:val="0"/>
          <w:sz w:val="24"/>
          <w:szCs w:val="24"/>
          <w:vertAlign w:val="superscript"/>
        </w:rPr>
        <w:footnoteReference w:id="53"/>
      </w:r>
      <w:r w:rsidR="00756AE7" w:rsidRPr="008376FC">
        <w:rPr>
          <w:rFonts w:asciiTheme="majorHAnsi" w:eastAsiaTheme="minorEastAsia" w:hAnsiTheme="majorHAnsi" w:cstheme="majorHAnsi"/>
          <w:b w:val="0"/>
          <w:bCs w:val="0"/>
          <w:sz w:val="24"/>
          <w:szCs w:val="24"/>
        </w:rPr>
        <w:t xml:space="preserve">. </w:t>
      </w:r>
    </w:p>
    <w:p w:rsidR="00E37F5D" w:rsidRPr="008376FC" w:rsidRDefault="00E37F5D" w:rsidP="00F61756">
      <w:pPr>
        <w:tabs>
          <w:tab w:val="left" w:pos="993"/>
        </w:tabs>
        <w:autoSpaceDE w:val="0"/>
        <w:autoSpaceDN w:val="0"/>
        <w:adjustRightInd w:val="0"/>
        <w:spacing w:after="0" w:line="276" w:lineRule="auto"/>
        <w:contextualSpacing/>
        <w:jc w:val="both"/>
        <w:rPr>
          <w:rFonts w:asciiTheme="majorHAnsi" w:eastAsiaTheme="minorEastAsia" w:hAnsiTheme="majorHAnsi" w:cstheme="majorHAnsi"/>
          <w:b w:val="0"/>
          <w:bCs w:val="0"/>
          <w:sz w:val="24"/>
          <w:szCs w:val="24"/>
        </w:rPr>
      </w:pPr>
    </w:p>
    <w:p w:rsidR="00756AE7" w:rsidRPr="008376FC" w:rsidRDefault="00756AE7" w:rsidP="00F61756">
      <w:pPr>
        <w:spacing w:after="0" w:line="276" w:lineRule="auto"/>
        <w:jc w:val="both"/>
        <w:rPr>
          <w:rFonts w:asciiTheme="majorHAnsi" w:eastAsiaTheme="minorEastAsia" w:hAnsiTheme="majorHAnsi" w:cstheme="majorHAnsi"/>
          <w:b w:val="0"/>
          <w:bCs w:val="0"/>
          <w:sz w:val="24"/>
          <w:szCs w:val="24"/>
        </w:rPr>
      </w:pPr>
      <w:r w:rsidRPr="008376FC">
        <w:rPr>
          <w:rFonts w:asciiTheme="majorHAnsi" w:eastAsiaTheme="minorEastAsia" w:hAnsiTheme="majorHAnsi" w:cstheme="majorHAnsi"/>
          <w:b w:val="0"/>
          <w:bCs w:val="0"/>
          <w:sz w:val="24"/>
          <w:szCs w:val="24"/>
        </w:rPr>
        <w:t>La moment</w:t>
      </w:r>
      <w:r w:rsidR="00F14033">
        <w:rPr>
          <w:rFonts w:asciiTheme="majorHAnsi" w:eastAsiaTheme="minorEastAsia" w:hAnsiTheme="majorHAnsi" w:cstheme="majorHAnsi"/>
          <w:b w:val="0"/>
          <w:bCs w:val="0"/>
          <w:sz w:val="24"/>
          <w:szCs w:val="24"/>
        </w:rPr>
        <w:t>ul actual</w:t>
      </w:r>
      <w:r w:rsidRPr="008376FC">
        <w:rPr>
          <w:rFonts w:asciiTheme="majorHAnsi" w:eastAsiaTheme="minorEastAsia" w:hAnsiTheme="majorHAnsi" w:cstheme="majorHAnsi"/>
          <w:b w:val="0"/>
          <w:bCs w:val="0"/>
          <w:sz w:val="24"/>
          <w:szCs w:val="24"/>
        </w:rPr>
        <w:t xml:space="preserve">, MIDR este în proces de instituire a unui Grup de lucru responsabil de identificarea punctelor de subtraversare a râului Prut, precum și </w:t>
      </w:r>
      <w:r w:rsidR="00F14033">
        <w:rPr>
          <w:rFonts w:asciiTheme="majorHAnsi" w:eastAsiaTheme="minorEastAsia" w:hAnsiTheme="majorHAnsi" w:cstheme="majorHAnsi"/>
          <w:b w:val="0"/>
          <w:bCs w:val="0"/>
          <w:sz w:val="24"/>
          <w:szCs w:val="24"/>
        </w:rPr>
        <w:t xml:space="preserve">de </w:t>
      </w:r>
      <w:r w:rsidRPr="008376FC">
        <w:rPr>
          <w:rFonts w:asciiTheme="majorHAnsi" w:eastAsiaTheme="minorEastAsia" w:hAnsiTheme="majorHAnsi" w:cstheme="majorHAnsi"/>
          <w:b w:val="0"/>
          <w:bCs w:val="0"/>
          <w:sz w:val="24"/>
          <w:szCs w:val="24"/>
        </w:rPr>
        <w:t>promovarea spre aprobare a acestora de către Comisia hidrotehnică interguvernamentală menționată. În ceea ce privește exploatarea sistemului public de alimentare cu apă potabilă și epurarea apelor uzate</w:t>
      </w:r>
      <w:r w:rsidR="00F14033">
        <w:rPr>
          <w:rFonts w:asciiTheme="majorHAnsi" w:eastAsiaTheme="minorEastAsia" w:hAnsiTheme="majorHAnsi" w:cstheme="majorHAnsi"/>
          <w:b w:val="0"/>
          <w:bCs w:val="0"/>
          <w:sz w:val="24"/>
          <w:szCs w:val="24"/>
        </w:rPr>
        <w:t>,</w:t>
      </w:r>
      <w:r w:rsidRPr="008376FC">
        <w:rPr>
          <w:rFonts w:asciiTheme="majorHAnsi" w:eastAsiaTheme="minorEastAsia" w:hAnsiTheme="majorHAnsi" w:cstheme="majorHAnsi"/>
          <w:b w:val="0"/>
          <w:bCs w:val="0"/>
          <w:sz w:val="24"/>
          <w:szCs w:val="24"/>
        </w:rPr>
        <w:t xml:space="preserve"> care vor fi localizate pe teritoriul Republicii Moldova, acestea vor fi exploatate în corespundere cu cadrul normativ </w:t>
      </w:r>
      <w:r w:rsidR="00F14033">
        <w:rPr>
          <w:rFonts w:asciiTheme="majorHAnsi" w:eastAsiaTheme="minorEastAsia" w:hAnsiTheme="majorHAnsi" w:cstheme="majorHAnsi"/>
          <w:b w:val="0"/>
          <w:bCs w:val="0"/>
          <w:sz w:val="24"/>
          <w:szCs w:val="24"/>
        </w:rPr>
        <w:t>național</w:t>
      </w:r>
      <w:r w:rsidRPr="008376FC">
        <w:rPr>
          <w:rFonts w:asciiTheme="majorHAnsi" w:eastAsiaTheme="minorEastAsia" w:hAnsiTheme="majorHAnsi" w:cstheme="majorHAnsi"/>
          <w:b w:val="0"/>
          <w:bCs w:val="0"/>
          <w:sz w:val="24"/>
          <w:szCs w:val="24"/>
        </w:rPr>
        <w:t>.</w:t>
      </w:r>
    </w:p>
    <w:p w:rsidR="00756AE7" w:rsidRPr="00F64460" w:rsidRDefault="00F14033" w:rsidP="00F61756">
      <w:pPr>
        <w:numPr>
          <w:ilvl w:val="0"/>
          <w:numId w:val="29"/>
        </w:numPr>
        <w:spacing w:after="0" w:line="276" w:lineRule="auto"/>
        <w:ind w:left="0" w:firstLine="567"/>
        <w:contextualSpacing/>
        <w:jc w:val="both"/>
        <w:rPr>
          <w:rFonts w:asciiTheme="majorHAnsi" w:hAnsiTheme="majorHAnsi" w:cstheme="majorHAnsi"/>
          <w:b w:val="0"/>
          <w:bCs w:val="0"/>
          <w:sz w:val="24"/>
          <w:szCs w:val="24"/>
        </w:rPr>
      </w:pPr>
      <w:r w:rsidRPr="00F64460">
        <w:rPr>
          <w:rFonts w:asciiTheme="majorHAnsi" w:hAnsiTheme="majorHAnsi" w:cstheme="majorHAnsi"/>
          <w:b w:val="0"/>
          <w:bCs w:val="0"/>
          <w:sz w:val="24"/>
          <w:szCs w:val="24"/>
        </w:rPr>
        <w:t>Î</w:t>
      </w:r>
      <w:r w:rsidR="00756AE7" w:rsidRPr="00F64460">
        <w:rPr>
          <w:rFonts w:asciiTheme="majorHAnsi" w:hAnsiTheme="majorHAnsi" w:cstheme="majorHAnsi"/>
          <w:b w:val="0"/>
          <w:bCs w:val="0"/>
          <w:sz w:val="24"/>
          <w:szCs w:val="24"/>
        </w:rPr>
        <w:t>ncepând cu anul 2022, se află în proces de implementare proiectul de dezvoltare regională „Îmbunătățirea calității vieții populației rurale prin construcția apeductului de interconexiune a r</w:t>
      </w:r>
      <w:r w:rsidRPr="00C743C7">
        <w:rPr>
          <w:rFonts w:asciiTheme="majorHAnsi" w:hAnsiTheme="majorHAnsi" w:cstheme="majorHAnsi"/>
          <w:b w:val="0"/>
          <w:bCs w:val="0"/>
          <w:sz w:val="24"/>
          <w:szCs w:val="24"/>
        </w:rPr>
        <w:t>â</w:t>
      </w:r>
      <w:r w:rsidR="00756AE7" w:rsidRPr="00ED79FC">
        <w:rPr>
          <w:rFonts w:asciiTheme="majorHAnsi" w:hAnsiTheme="majorHAnsi" w:cstheme="majorHAnsi"/>
          <w:b w:val="0"/>
          <w:bCs w:val="0"/>
          <w:sz w:val="24"/>
          <w:szCs w:val="24"/>
        </w:rPr>
        <w:t xml:space="preserve">ului Prut </w:t>
      </w:r>
      <w:r w:rsidR="00F64460" w:rsidRPr="00977451">
        <w:rPr>
          <w:rFonts w:asciiTheme="majorHAnsi" w:hAnsiTheme="majorHAnsi" w:cstheme="majorHAnsi"/>
          <w:b w:val="0"/>
          <w:bCs w:val="0"/>
          <w:sz w:val="24"/>
          <w:szCs w:val="24"/>
        </w:rPr>
        <w:t>–</w:t>
      </w:r>
      <w:r w:rsidR="00756AE7" w:rsidRPr="00977451">
        <w:rPr>
          <w:rFonts w:asciiTheme="majorHAnsi" w:hAnsiTheme="majorHAnsi" w:cstheme="majorHAnsi"/>
          <w:b w:val="0"/>
          <w:bCs w:val="0"/>
          <w:sz w:val="24"/>
          <w:szCs w:val="24"/>
        </w:rPr>
        <w:t xml:space="preserve"> s. Măcărești cu apă potabilă a 13 localități din raioanele Nisporeni și Ungheni”, finanțat din mijloacele FNDRL</w:t>
      </w:r>
      <w:r w:rsidR="00756AE7" w:rsidRPr="008376FC">
        <w:rPr>
          <w:rFonts w:asciiTheme="majorHAnsi" w:hAnsiTheme="majorHAnsi" w:cstheme="majorHAnsi"/>
          <w:b w:val="0"/>
          <w:bCs w:val="0"/>
          <w:sz w:val="24"/>
          <w:szCs w:val="24"/>
          <w:vertAlign w:val="superscript"/>
        </w:rPr>
        <w:footnoteReference w:id="54"/>
      </w:r>
      <w:r w:rsidR="00756AE7" w:rsidRPr="00F64460">
        <w:rPr>
          <w:rFonts w:asciiTheme="majorHAnsi" w:hAnsiTheme="majorHAnsi" w:cstheme="majorHAnsi"/>
          <w:b w:val="0"/>
          <w:bCs w:val="0"/>
          <w:sz w:val="24"/>
          <w:szCs w:val="24"/>
        </w:rPr>
        <w:t>, care urmează a fi finalizat în anul 2024. Costul total al proiectului este de 62,2 mil</w:t>
      </w:r>
      <w:r w:rsidR="00F64460">
        <w:rPr>
          <w:rFonts w:asciiTheme="majorHAnsi" w:hAnsiTheme="majorHAnsi" w:cstheme="majorHAnsi"/>
          <w:b w:val="0"/>
          <w:bCs w:val="0"/>
          <w:sz w:val="24"/>
          <w:szCs w:val="24"/>
        </w:rPr>
        <w:t>.</w:t>
      </w:r>
      <w:r w:rsidR="00756AE7" w:rsidRPr="00F64460">
        <w:rPr>
          <w:rFonts w:asciiTheme="majorHAnsi" w:hAnsiTheme="majorHAnsi" w:cstheme="majorHAnsi"/>
          <w:b w:val="0"/>
          <w:bCs w:val="0"/>
          <w:sz w:val="24"/>
          <w:szCs w:val="24"/>
        </w:rPr>
        <w:t>lei, suma solicitată din FNDRL fiind de 55,7 mil</w:t>
      </w:r>
      <w:r w:rsidR="00F64460">
        <w:rPr>
          <w:rFonts w:asciiTheme="majorHAnsi" w:hAnsiTheme="majorHAnsi" w:cstheme="majorHAnsi"/>
          <w:b w:val="0"/>
          <w:bCs w:val="0"/>
          <w:sz w:val="24"/>
          <w:szCs w:val="24"/>
        </w:rPr>
        <w:t>.</w:t>
      </w:r>
      <w:r w:rsidR="00756AE7" w:rsidRPr="00F64460">
        <w:rPr>
          <w:rFonts w:asciiTheme="majorHAnsi" w:hAnsiTheme="majorHAnsi" w:cstheme="majorHAnsi"/>
          <w:b w:val="0"/>
          <w:bCs w:val="0"/>
          <w:sz w:val="24"/>
          <w:szCs w:val="24"/>
        </w:rPr>
        <w:t>lei, contribuția beneficiarilor</w:t>
      </w:r>
      <w:r w:rsidR="00F64460">
        <w:rPr>
          <w:rFonts w:asciiTheme="majorHAnsi" w:hAnsiTheme="majorHAnsi" w:cstheme="majorHAnsi"/>
          <w:b w:val="0"/>
          <w:bCs w:val="0"/>
          <w:sz w:val="24"/>
          <w:szCs w:val="24"/>
        </w:rPr>
        <w:t xml:space="preserve"> </w:t>
      </w:r>
      <w:r w:rsidR="00756AE7" w:rsidRPr="00F64460">
        <w:rPr>
          <w:rFonts w:asciiTheme="majorHAnsi" w:hAnsiTheme="majorHAnsi" w:cstheme="majorHAnsi"/>
          <w:b w:val="0"/>
          <w:bCs w:val="0"/>
          <w:sz w:val="24"/>
          <w:szCs w:val="24"/>
        </w:rPr>
        <w:t>– 6,5 mil</w:t>
      </w:r>
      <w:r w:rsidR="00F64460">
        <w:rPr>
          <w:rFonts w:asciiTheme="majorHAnsi" w:hAnsiTheme="majorHAnsi" w:cstheme="majorHAnsi"/>
          <w:b w:val="0"/>
          <w:bCs w:val="0"/>
          <w:sz w:val="24"/>
          <w:szCs w:val="24"/>
        </w:rPr>
        <w:t>.</w:t>
      </w:r>
      <w:r w:rsidR="00756AE7" w:rsidRPr="00F64460">
        <w:rPr>
          <w:rFonts w:asciiTheme="majorHAnsi" w:hAnsiTheme="majorHAnsi" w:cstheme="majorHAnsi"/>
          <w:b w:val="0"/>
          <w:bCs w:val="0"/>
          <w:sz w:val="24"/>
          <w:szCs w:val="24"/>
        </w:rPr>
        <w:t>lei, în anul 2022 fiind valorificate 13,4 mil.lei. Apeductul magistral care urmează a fi construit în cadrul proiectului va fi racordat la unul din punctele de subtraversarea râului Prut pe teritoriul Republicii Moldova, în proximitatea satului Măcărești, raionul Ungheni.</w:t>
      </w:r>
    </w:p>
    <w:p w:rsidR="00756AE7" w:rsidRPr="008376FC" w:rsidRDefault="00756AE7" w:rsidP="00F61756">
      <w:pPr>
        <w:numPr>
          <w:ilvl w:val="0"/>
          <w:numId w:val="28"/>
        </w:numPr>
        <w:autoSpaceDE w:val="0"/>
        <w:autoSpaceDN w:val="0"/>
        <w:adjustRightInd w:val="0"/>
        <w:spacing w:after="0" w:line="276" w:lineRule="auto"/>
        <w:ind w:left="0" w:firstLine="360"/>
        <w:contextualSpacing/>
        <w:jc w:val="both"/>
        <w:rPr>
          <w:rFonts w:asciiTheme="majorHAnsi" w:hAnsiTheme="majorHAnsi" w:cstheme="majorHAnsi"/>
          <w:b w:val="0"/>
          <w:bCs w:val="0"/>
          <w:sz w:val="24"/>
          <w:szCs w:val="24"/>
        </w:rPr>
      </w:pPr>
      <w:r w:rsidRPr="008376FC">
        <w:rPr>
          <w:rFonts w:asciiTheme="majorHAnsi" w:hAnsiTheme="majorHAnsi" w:cstheme="majorHAnsi"/>
          <w:sz w:val="24"/>
          <w:szCs w:val="24"/>
        </w:rPr>
        <w:t>Proiectul „12000 cetăţeni aprovizionaţi cu apă potabilă în 12 localităţi</w:t>
      </w:r>
      <w:r w:rsidRPr="008376FC">
        <w:rPr>
          <w:rFonts w:asciiTheme="majorHAnsi" w:hAnsiTheme="majorHAnsi" w:cstheme="majorHAnsi"/>
          <w:sz w:val="24"/>
          <w:szCs w:val="24"/>
          <w:vertAlign w:val="superscript"/>
        </w:rPr>
        <w:footnoteReference w:id="55"/>
      </w:r>
      <w:r w:rsidRPr="008376FC">
        <w:rPr>
          <w:rFonts w:asciiTheme="majorHAnsi" w:hAnsiTheme="majorHAnsi" w:cstheme="majorHAnsi"/>
          <w:sz w:val="24"/>
          <w:szCs w:val="24"/>
        </w:rPr>
        <w:t xml:space="preserve"> defavorizate”, inițiat în anul 2012, dat în exploatare în anul 2015, </w:t>
      </w:r>
      <w:r w:rsidR="00505FFD">
        <w:rPr>
          <w:rFonts w:asciiTheme="majorHAnsi" w:hAnsiTheme="majorHAnsi" w:cstheme="majorHAnsi"/>
          <w:sz w:val="24"/>
          <w:szCs w:val="24"/>
        </w:rPr>
        <w:t xml:space="preserve">în </w:t>
      </w:r>
      <w:r w:rsidRPr="008376FC">
        <w:rPr>
          <w:rFonts w:asciiTheme="majorHAnsi" w:hAnsiTheme="majorHAnsi" w:cstheme="majorHAnsi"/>
          <w:sz w:val="24"/>
          <w:szCs w:val="24"/>
        </w:rPr>
        <w:t>valoare totală 53,8 mil.lei.</w:t>
      </w:r>
    </w:p>
    <w:p w:rsidR="00756AE7" w:rsidRPr="008376FC" w:rsidRDefault="00756AE7" w:rsidP="00F61756">
      <w:pPr>
        <w:autoSpaceDE w:val="0"/>
        <w:autoSpaceDN w:val="0"/>
        <w:adjustRightInd w:val="0"/>
        <w:spacing w:after="0" w:line="276" w:lineRule="auto"/>
        <w:ind w:firstLine="709"/>
        <w:jc w:val="both"/>
        <w:rPr>
          <w:rFonts w:asciiTheme="majorHAnsi" w:hAnsiTheme="majorHAnsi" w:cstheme="majorHAnsi"/>
          <w:b w:val="0"/>
          <w:bCs w:val="0"/>
          <w:sz w:val="24"/>
          <w:szCs w:val="24"/>
        </w:rPr>
      </w:pPr>
      <w:r w:rsidRPr="008376FC">
        <w:rPr>
          <w:rFonts w:asciiTheme="majorHAnsi" w:hAnsiTheme="majorHAnsi" w:cstheme="majorHAnsi"/>
          <w:b w:val="0"/>
          <w:sz w:val="24"/>
          <w:szCs w:val="24"/>
        </w:rPr>
        <w:t xml:space="preserve">Proiectul </w:t>
      </w:r>
      <w:r w:rsidRPr="008376FC">
        <w:rPr>
          <w:rFonts w:asciiTheme="majorHAnsi" w:hAnsiTheme="majorHAnsi" w:cstheme="majorHAnsi"/>
          <w:b w:val="0"/>
          <w:bCs w:val="0"/>
          <w:sz w:val="24"/>
          <w:szCs w:val="24"/>
        </w:rPr>
        <w:t xml:space="preserve"> a prevăzut construcţia reţelei magistrale de apeduct pentru 5 comune</w:t>
      </w:r>
      <w:r w:rsidR="003E1078" w:rsidRPr="008376FC">
        <w:rPr>
          <w:rStyle w:val="ab"/>
          <w:rFonts w:asciiTheme="majorHAnsi" w:hAnsiTheme="majorHAnsi" w:cstheme="majorHAnsi"/>
          <w:b w:val="0"/>
          <w:bCs w:val="0"/>
          <w:sz w:val="24"/>
          <w:szCs w:val="24"/>
        </w:rPr>
        <w:footnoteReference w:id="56"/>
      </w:r>
      <w:r w:rsidRPr="008376FC">
        <w:rPr>
          <w:rFonts w:asciiTheme="majorHAnsi" w:hAnsiTheme="majorHAnsi" w:cstheme="majorHAnsi"/>
          <w:b w:val="0"/>
          <w:bCs w:val="0"/>
          <w:sz w:val="24"/>
          <w:szCs w:val="24"/>
        </w:rPr>
        <w:t xml:space="preserve"> (Mănoileşti, Alexeevca, Cetireni, Floriţoaia Veche şi Unţeşti) din raionul Ungheni </w:t>
      </w:r>
      <w:r w:rsidR="00505FFD">
        <w:rPr>
          <w:rFonts w:asciiTheme="majorHAnsi" w:hAnsiTheme="majorHAnsi" w:cstheme="majorHAnsi"/>
          <w:b w:val="0"/>
          <w:bCs w:val="0"/>
          <w:sz w:val="24"/>
          <w:szCs w:val="24"/>
        </w:rPr>
        <w:t xml:space="preserve">și </w:t>
      </w:r>
      <w:r w:rsidRPr="008376FC">
        <w:rPr>
          <w:rFonts w:asciiTheme="majorHAnsi" w:hAnsiTheme="majorHAnsi" w:cstheme="majorHAnsi"/>
          <w:b w:val="0"/>
          <w:bCs w:val="0"/>
          <w:sz w:val="24"/>
          <w:szCs w:val="24"/>
        </w:rPr>
        <w:t xml:space="preserve">a fost finanțat </w:t>
      </w:r>
      <w:r w:rsidR="00505FFD">
        <w:rPr>
          <w:rFonts w:asciiTheme="majorHAnsi" w:hAnsiTheme="majorHAnsi" w:cstheme="majorHAnsi"/>
          <w:b w:val="0"/>
          <w:bCs w:val="0"/>
          <w:sz w:val="24"/>
          <w:szCs w:val="24"/>
        </w:rPr>
        <w:t>d</w:t>
      </w:r>
      <w:r w:rsidRPr="008376FC">
        <w:rPr>
          <w:rFonts w:asciiTheme="majorHAnsi" w:hAnsiTheme="majorHAnsi" w:cstheme="majorHAnsi"/>
          <w:b w:val="0"/>
          <w:bCs w:val="0"/>
          <w:sz w:val="24"/>
          <w:szCs w:val="24"/>
        </w:rPr>
        <w:t>in FNDR</w:t>
      </w:r>
      <w:r w:rsidR="00505FFD">
        <w:rPr>
          <w:rFonts w:asciiTheme="majorHAnsi" w:hAnsiTheme="majorHAnsi" w:cstheme="majorHAnsi"/>
          <w:b w:val="0"/>
          <w:bCs w:val="0"/>
          <w:sz w:val="24"/>
          <w:szCs w:val="24"/>
        </w:rPr>
        <w:t>, în sumă de</w:t>
      </w:r>
      <w:r w:rsidRPr="008376FC">
        <w:rPr>
          <w:rFonts w:asciiTheme="majorHAnsi" w:hAnsiTheme="majorHAnsi" w:cstheme="majorHAnsi"/>
          <w:b w:val="0"/>
          <w:bCs w:val="0"/>
          <w:sz w:val="24"/>
          <w:szCs w:val="24"/>
        </w:rPr>
        <w:t xml:space="preserve"> </w:t>
      </w:r>
      <w:r w:rsidRPr="008376FC">
        <w:rPr>
          <w:rFonts w:asciiTheme="majorHAnsi" w:hAnsiTheme="majorHAnsi" w:cstheme="majorHAnsi"/>
          <w:b w:val="0"/>
          <w:bCs w:val="0"/>
          <w:sz w:val="24"/>
          <w:szCs w:val="24"/>
          <w:shd w:val="clear" w:color="auto" w:fill="FFFFFF"/>
        </w:rPr>
        <w:t>32,75 mil.lei</w:t>
      </w:r>
      <w:r w:rsidR="00505FFD">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 și din FEN </w:t>
      </w:r>
      <w:r w:rsidR="00505FFD">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 </w:t>
      </w:r>
      <w:r w:rsidR="004C0F04">
        <w:rPr>
          <w:rFonts w:asciiTheme="majorHAnsi" w:hAnsiTheme="majorHAnsi" w:cstheme="majorHAnsi"/>
          <w:b w:val="0"/>
          <w:bCs w:val="0"/>
          <w:sz w:val="24"/>
          <w:szCs w:val="24"/>
          <w:shd w:val="clear" w:color="auto" w:fill="FFFFFF"/>
        </w:rPr>
        <w:t xml:space="preserve">în sumă de </w:t>
      </w:r>
      <w:r w:rsidRPr="008376FC">
        <w:rPr>
          <w:rFonts w:asciiTheme="majorHAnsi" w:hAnsiTheme="majorHAnsi" w:cstheme="majorHAnsi"/>
          <w:b w:val="0"/>
          <w:bCs w:val="0"/>
          <w:sz w:val="24"/>
          <w:szCs w:val="24"/>
          <w:shd w:val="clear" w:color="auto" w:fill="FFFFFF"/>
        </w:rPr>
        <w:t>21,02 mil.lei.</w:t>
      </w:r>
    </w:p>
    <w:p w:rsidR="00756AE7" w:rsidRPr="008376FC" w:rsidRDefault="00756AE7" w:rsidP="00F61756">
      <w:pPr>
        <w:autoSpaceDE w:val="0"/>
        <w:autoSpaceDN w:val="0"/>
        <w:adjustRightInd w:val="0"/>
        <w:spacing w:after="0" w:line="276" w:lineRule="auto"/>
        <w:ind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 xml:space="preserve">Dat fiind faptul că apele subterane locale conțin concentrații înalte de calciu și sulf, proiectul </w:t>
      </w:r>
      <w:r w:rsidR="004C0F04">
        <w:rPr>
          <w:rFonts w:asciiTheme="majorHAnsi" w:hAnsiTheme="majorHAnsi" w:cstheme="majorHAnsi"/>
          <w:b w:val="0"/>
          <w:bCs w:val="0"/>
          <w:sz w:val="24"/>
          <w:szCs w:val="24"/>
        </w:rPr>
        <w:t xml:space="preserve"> </w:t>
      </w:r>
      <w:r w:rsidRPr="008376FC">
        <w:rPr>
          <w:rFonts w:asciiTheme="majorHAnsi" w:hAnsiTheme="majorHAnsi" w:cstheme="majorHAnsi"/>
          <w:b w:val="0"/>
          <w:bCs w:val="0"/>
          <w:sz w:val="24"/>
          <w:szCs w:val="24"/>
        </w:rPr>
        <w:t xml:space="preserve">urma să asigure cu apă potabilă populația din localitățile respective.  </w:t>
      </w:r>
    </w:p>
    <w:p w:rsidR="00756AE7" w:rsidRPr="008376FC" w:rsidRDefault="00756AE7" w:rsidP="00F61756">
      <w:pPr>
        <w:spacing w:after="0" w:line="276" w:lineRule="auto"/>
        <w:ind w:firstLine="567"/>
        <w:jc w:val="both"/>
        <w:rPr>
          <w:rFonts w:asciiTheme="majorHAnsi" w:eastAsiaTheme="minorEastAsia" w:hAnsiTheme="majorHAnsi" w:cstheme="majorHAnsi"/>
          <w:b w:val="0"/>
          <w:bCs w:val="0"/>
          <w:sz w:val="24"/>
          <w:szCs w:val="24"/>
          <w:shd w:val="clear" w:color="auto" w:fill="FFFFFF"/>
        </w:rPr>
      </w:pPr>
      <w:r w:rsidRPr="008376FC">
        <w:rPr>
          <w:rFonts w:asciiTheme="majorHAnsi" w:eastAsiaTheme="minorEastAsia" w:hAnsiTheme="majorHAnsi" w:cstheme="majorHAnsi"/>
          <w:b w:val="0"/>
          <w:bCs w:val="0"/>
          <w:sz w:val="24"/>
          <w:szCs w:val="24"/>
          <w:shd w:val="clear" w:color="auto" w:fill="FFFFFF"/>
        </w:rPr>
        <w:t xml:space="preserve">Deși scopul proiectului a fost asigurarea populației cu apă potabilă, la </w:t>
      </w:r>
      <w:r w:rsidR="004C0F04">
        <w:rPr>
          <w:rFonts w:asciiTheme="majorHAnsi" w:eastAsiaTheme="minorEastAsia" w:hAnsiTheme="majorHAnsi" w:cstheme="majorHAnsi"/>
          <w:b w:val="0"/>
          <w:bCs w:val="0"/>
          <w:sz w:val="24"/>
          <w:szCs w:val="24"/>
          <w:shd w:val="clear" w:color="auto" w:fill="FFFFFF"/>
        </w:rPr>
        <w:t>situația de a</w:t>
      </w:r>
      <w:r w:rsidRPr="008376FC">
        <w:rPr>
          <w:rFonts w:asciiTheme="majorHAnsi" w:eastAsiaTheme="minorEastAsia" w:hAnsiTheme="majorHAnsi" w:cstheme="majorHAnsi"/>
          <w:b w:val="0"/>
          <w:bCs w:val="0"/>
          <w:sz w:val="24"/>
          <w:szCs w:val="24"/>
          <w:shd w:val="clear" w:color="auto" w:fill="FFFFFF"/>
        </w:rPr>
        <w:t>zi, apa consumată nu este tratată integral conform capacităţilor proiectate la stația de tratare, din cauza că cheltuielile de tratare sunt semnificative și vor duce la majorarea costurilor de produc</w:t>
      </w:r>
      <w:r w:rsidR="004C0F04">
        <w:rPr>
          <w:rFonts w:asciiTheme="majorHAnsi" w:eastAsiaTheme="minorEastAsia" w:hAnsiTheme="majorHAnsi" w:cstheme="majorHAnsi"/>
          <w:b w:val="0"/>
          <w:bCs w:val="0"/>
          <w:sz w:val="24"/>
          <w:szCs w:val="24"/>
          <w:shd w:val="clear" w:color="auto" w:fill="FFFFFF"/>
        </w:rPr>
        <w:t>ți</w:t>
      </w:r>
      <w:r w:rsidRPr="008376FC">
        <w:rPr>
          <w:rFonts w:asciiTheme="majorHAnsi" w:eastAsiaTheme="minorEastAsia" w:hAnsiTheme="majorHAnsi" w:cstheme="majorHAnsi"/>
          <w:b w:val="0"/>
          <w:bCs w:val="0"/>
          <w:sz w:val="24"/>
          <w:szCs w:val="24"/>
          <w:shd w:val="clear" w:color="auto" w:fill="FFFFFF"/>
        </w:rPr>
        <w:t xml:space="preserve">e şi, </w:t>
      </w:r>
      <w:r w:rsidR="004C0F04">
        <w:rPr>
          <w:rFonts w:asciiTheme="majorHAnsi" w:eastAsiaTheme="minorEastAsia" w:hAnsiTheme="majorHAnsi" w:cstheme="majorHAnsi"/>
          <w:b w:val="0"/>
          <w:bCs w:val="0"/>
          <w:sz w:val="24"/>
          <w:szCs w:val="24"/>
          <w:shd w:val="clear" w:color="auto" w:fill="FFFFFF"/>
        </w:rPr>
        <w:t>implicit</w:t>
      </w:r>
      <w:r w:rsidRPr="008376FC">
        <w:rPr>
          <w:rFonts w:asciiTheme="majorHAnsi" w:eastAsiaTheme="minorEastAsia" w:hAnsiTheme="majorHAnsi" w:cstheme="majorHAnsi"/>
          <w:b w:val="0"/>
          <w:bCs w:val="0"/>
          <w:sz w:val="24"/>
          <w:szCs w:val="24"/>
          <w:shd w:val="clear" w:color="auto" w:fill="FFFFFF"/>
        </w:rPr>
        <w:t>, la majorarea tarifului</w:t>
      </w:r>
      <w:r w:rsidRPr="008376FC">
        <w:rPr>
          <w:rFonts w:asciiTheme="majorHAnsi" w:eastAsiaTheme="minorEastAsia" w:hAnsiTheme="majorHAnsi" w:cstheme="majorHAnsi"/>
          <w:b w:val="0"/>
          <w:bCs w:val="0"/>
          <w:sz w:val="24"/>
          <w:szCs w:val="24"/>
          <w:shd w:val="clear" w:color="auto" w:fill="FFFFFF"/>
          <w:vertAlign w:val="superscript"/>
        </w:rPr>
        <w:footnoteReference w:id="57"/>
      </w:r>
      <w:r w:rsidRPr="008376FC">
        <w:rPr>
          <w:rFonts w:asciiTheme="majorHAnsi" w:eastAsiaTheme="minorEastAsia" w:hAnsiTheme="majorHAnsi" w:cstheme="majorHAnsi"/>
          <w:b w:val="0"/>
          <w:bCs w:val="0"/>
          <w:sz w:val="24"/>
          <w:szCs w:val="24"/>
          <w:shd w:val="clear" w:color="auto" w:fill="FFFFFF"/>
        </w:rPr>
        <w:t xml:space="preserve">. În aceste condiții, neutilizarea conformă a stației de tratare, poate influența negativ asupra sănătății cetățenilor și a mediului încunjurător. </w:t>
      </w:r>
    </w:p>
    <w:p w:rsidR="00756AE7" w:rsidRPr="008376FC" w:rsidRDefault="00756AE7" w:rsidP="00F61756">
      <w:pPr>
        <w:numPr>
          <w:ilvl w:val="0"/>
          <w:numId w:val="28"/>
        </w:numPr>
        <w:spacing w:after="0" w:line="276" w:lineRule="auto"/>
        <w:ind w:left="0" w:firstLine="426"/>
        <w:contextualSpacing/>
        <w:jc w:val="both"/>
        <w:rPr>
          <w:rFonts w:asciiTheme="majorHAnsi" w:hAnsiTheme="majorHAnsi" w:cstheme="majorHAnsi"/>
          <w:sz w:val="24"/>
          <w:szCs w:val="24"/>
          <w:shd w:val="clear" w:color="auto" w:fill="FFFFFF"/>
        </w:rPr>
      </w:pPr>
      <w:r w:rsidRPr="008376FC">
        <w:rPr>
          <w:rFonts w:asciiTheme="majorHAnsi" w:hAnsiTheme="majorHAnsi" w:cstheme="majorHAnsi"/>
          <w:sz w:val="24"/>
          <w:szCs w:val="24"/>
          <w:shd w:val="clear" w:color="auto" w:fill="FFFFFF"/>
        </w:rPr>
        <w:t xml:space="preserve">Proiectul </w:t>
      </w:r>
      <w:r w:rsidR="004C0F04">
        <w:rPr>
          <w:rFonts w:asciiTheme="majorHAnsi" w:hAnsiTheme="majorHAnsi" w:cstheme="majorHAnsi"/>
          <w:sz w:val="24"/>
          <w:szCs w:val="24"/>
          <w:shd w:val="clear" w:color="auto" w:fill="FFFFFF"/>
        </w:rPr>
        <w:t>„</w:t>
      </w:r>
      <w:r w:rsidRPr="008376FC">
        <w:rPr>
          <w:rFonts w:asciiTheme="majorHAnsi" w:hAnsiTheme="majorHAnsi" w:cstheme="majorHAnsi"/>
          <w:sz w:val="24"/>
          <w:szCs w:val="24"/>
          <w:shd w:val="clear" w:color="auto" w:fill="FFFFFF"/>
        </w:rPr>
        <w:t xml:space="preserve">Îmbunătățirea infrastructurii de apă în Moldova Centrală” în privinţa construcţei apeductului magistral Chişinău-Străşeni-Călăraşi se află la etapa incipientă de implementare. </w:t>
      </w:r>
    </w:p>
    <w:p w:rsidR="00756AE7" w:rsidRPr="008376FC" w:rsidRDefault="00756AE7" w:rsidP="00F61756">
      <w:pPr>
        <w:spacing w:after="0" w:line="276" w:lineRule="auto"/>
        <w:ind w:firstLine="567"/>
        <w:jc w:val="both"/>
        <w:rPr>
          <w:rFonts w:asciiTheme="majorHAnsi" w:eastAsiaTheme="minorEastAsia" w:hAnsiTheme="majorHAnsi" w:cstheme="majorHAnsi"/>
          <w:b w:val="0"/>
          <w:bCs w:val="0"/>
          <w:sz w:val="24"/>
          <w:szCs w:val="24"/>
          <w:shd w:val="clear" w:color="auto" w:fill="FFFFFF"/>
        </w:rPr>
      </w:pPr>
      <w:r w:rsidRPr="008376FC">
        <w:rPr>
          <w:rFonts w:asciiTheme="majorHAnsi" w:eastAsiaTheme="minorEastAsia" w:hAnsiTheme="majorHAnsi" w:cstheme="majorHAnsi"/>
          <w:b w:val="0"/>
          <w:bCs w:val="0"/>
          <w:sz w:val="24"/>
          <w:szCs w:val="24"/>
          <w:shd w:val="clear" w:color="auto" w:fill="FFFFFF"/>
        </w:rPr>
        <w:tab/>
        <w:t xml:space="preserve">La 27.05.2019 a fost semnat Acordul de Finanțare între Banca germană Kreditanstalt für Wiederaufbau (KfW), Republica Moldova (reprezentată de Ministerul Finanţelor) şi ADR Centru (în calitate de Unitate de Implementare) pentru implementarea Proiectului </w:t>
      </w:r>
      <w:r w:rsidR="004C0F04">
        <w:rPr>
          <w:rFonts w:asciiTheme="majorHAnsi" w:eastAsiaTheme="minorEastAsia" w:hAnsiTheme="majorHAnsi" w:cstheme="majorHAnsi"/>
          <w:b w:val="0"/>
          <w:bCs w:val="0"/>
          <w:sz w:val="24"/>
          <w:szCs w:val="24"/>
          <w:shd w:val="clear" w:color="auto" w:fill="FFFFFF"/>
        </w:rPr>
        <w:t>„</w:t>
      </w:r>
      <w:r w:rsidRPr="008376FC">
        <w:rPr>
          <w:rFonts w:asciiTheme="majorHAnsi" w:eastAsiaTheme="minorEastAsia" w:hAnsiTheme="majorHAnsi" w:cstheme="majorHAnsi"/>
          <w:b w:val="0"/>
          <w:bCs w:val="0"/>
          <w:sz w:val="24"/>
          <w:szCs w:val="24"/>
          <w:shd w:val="clear" w:color="auto" w:fill="FFFFFF"/>
        </w:rPr>
        <w:t>Îmbunătățirea infrastructurii de apă în Moldova Centrală”</w:t>
      </w:r>
      <w:r w:rsidR="004C0F04">
        <w:rPr>
          <w:rFonts w:asciiTheme="majorHAnsi" w:eastAsiaTheme="minorEastAsia" w:hAnsiTheme="majorHAnsi" w:cstheme="majorHAnsi"/>
          <w:b w:val="0"/>
          <w:bCs w:val="0"/>
          <w:sz w:val="24"/>
          <w:szCs w:val="24"/>
          <w:shd w:val="clear" w:color="auto" w:fill="FFFFFF"/>
        </w:rPr>
        <w:t>,</w:t>
      </w:r>
      <w:r w:rsidRPr="008376FC">
        <w:rPr>
          <w:rFonts w:asciiTheme="majorHAnsi" w:eastAsiaTheme="minorEastAsia" w:hAnsiTheme="majorHAnsi" w:cstheme="majorHAnsi"/>
          <w:b w:val="0"/>
          <w:bCs w:val="0"/>
          <w:sz w:val="24"/>
          <w:szCs w:val="24"/>
          <w:shd w:val="clear" w:color="auto" w:fill="FFFFFF"/>
        </w:rPr>
        <w:t xml:space="preserve"> în vederea oferirii unui grant de 15,0 mil. </w:t>
      </w:r>
      <w:r w:rsidR="004C0F04">
        <w:rPr>
          <w:rFonts w:asciiTheme="majorHAnsi" w:eastAsiaTheme="minorEastAsia" w:hAnsiTheme="majorHAnsi" w:cstheme="majorHAnsi"/>
          <w:b w:val="0"/>
          <w:bCs w:val="0"/>
          <w:sz w:val="24"/>
          <w:szCs w:val="24"/>
          <w:shd w:val="clear" w:color="auto" w:fill="FFFFFF"/>
        </w:rPr>
        <w:t>euro</w:t>
      </w:r>
      <w:r w:rsidR="004C0F04" w:rsidRPr="008376FC">
        <w:rPr>
          <w:rFonts w:asciiTheme="majorHAnsi" w:eastAsiaTheme="minorEastAsia" w:hAnsiTheme="majorHAnsi" w:cstheme="majorHAnsi"/>
          <w:b w:val="0"/>
          <w:bCs w:val="0"/>
          <w:sz w:val="24"/>
          <w:szCs w:val="24"/>
          <w:shd w:val="clear" w:color="auto" w:fill="FFFFFF"/>
        </w:rPr>
        <w:t xml:space="preserve"> </w:t>
      </w:r>
      <w:r w:rsidRPr="008376FC">
        <w:rPr>
          <w:rFonts w:asciiTheme="majorHAnsi" w:eastAsiaTheme="minorEastAsia" w:hAnsiTheme="majorHAnsi" w:cstheme="majorHAnsi"/>
          <w:b w:val="0"/>
          <w:bCs w:val="0"/>
          <w:sz w:val="24"/>
          <w:szCs w:val="24"/>
          <w:shd w:val="clear" w:color="auto" w:fill="FFFFFF"/>
        </w:rPr>
        <w:t xml:space="preserve">care urmează a fi valorificate pentru: </w:t>
      </w:r>
    </w:p>
    <w:p w:rsidR="00756AE7" w:rsidRPr="008376FC" w:rsidRDefault="00756AE7" w:rsidP="00F61756">
      <w:pPr>
        <w:numPr>
          <w:ilvl w:val="0"/>
          <w:numId w:val="29"/>
        </w:numPr>
        <w:spacing w:after="0" w:line="276" w:lineRule="auto"/>
        <w:ind w:left="0" w:firstLine="426"/>
        <w:contextualSpacing/>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construcția apeductului magistral Chișinău – Strășeni – Călărași, cu o lungime de aproximativ 52 km, și conectarea la acesta a rezervoarelo</w:t>
      </w:r>
      <w:r w:rsidR="004C0F04">
        <w:rPr>
          <w:rFonts w:asciiTheme="majorHAnsi" w:hAnsiTheme="majorHAnsi" w:cstheme="majorHAnsi"/>
          <w:b w:val="0"/>
          <w:bCs w:val="0"/>
          <w:sz w:val="24"/>
          <w:szCs w:val="24"/>
          <w:shd w:val="clear" w:color="auto" w:fill="FFFFFF"/>
        </w:rPr>
        <w:t>r</w:t>
      </w:r>
      <w:r w:rsidRPr="008376FC">
        <w:rPr>
          <w:rFonts w:asciiTheme="majorHAnsi" w:hAnsiTheme="majorHAnsi" w:cstheme="majorHAnsi"/>
          <w:b w:val="0"/>
          <w:bCs w:val="0"/>
          <w:sz w:val="24"/>
          <w:szCs w:val="24"/>
          <w:shd w:val="clear" w:color="auto" w:fill="FFFFFF"/>
        </w:rPr>
        <w:t xml:space="preserve"> existențe din </w:t>
      </w:r>
      <w:r w:rsidRPr="00D97D77">
        <w:rPr>
          <w:rFonts w:asciiTheme="majorHAnsi" w:hAnsiTheme="majorHAnsi" w:cstheme="majorHAnsi"/>
          <w:b w:val="0"/>
          <w:bCs w:val="0"/>
          <w:sz w:val="24"/>
          <w:szCs w:val="24"/>
          <w:shd w:val="clear" w:color="auto" w:fill="FFFFFF"/>
        </w:rPr>
        <w:t>ambele</w:t>
      </w:r>
      <w:r w:rsidRPr="008376FC">
        <w:rPr>
          <w:rFonts w:asciiTheme="majorHAnsi" w:hAnsiTheme="majorHAnsi" w:cstheme="majorHAnsi"/>
          <w:b w:val="0"/>
          <w:bCs w:val="0"/>
          <w:sz w:val="24"/>
          <w:szCs w:val="24"/>
          <w:shd w:val="clear" w:color="auto" w:fill="FFFFFF"/>
        </w:rPr>
        <w:t xml:space="preserve"> localități, </w:t>
      </w:r>
      <w:r w:rsidR="004C0F04">
        <w:rPr>
          <w:rFonts w:asciiTheme="majorHAnsi" w:hAnsiTheme="majorHAnsi" w:cstheme="majorHAnsi"/>
          <w:b w:val="0"/>
          <w:bCs w:val="0"/>
          <w:sz w:val="24"/>
          <w:szCs w:val="24"/>
          <w:shd w:val="clear" w:color="auto" w:fill="FFFFFF"/>
        </w:rPr>
        <w:t>iar</w:t>
      </w:r>
      <w:r w:rsidRPr="008376FC">
        <w:rPr>
          <w:rFonts w:asciiTheme="majorHAnsi" w:hAnsiTheme="majorHAnsi" w:cstheme="majorHAnsi"/>
          <w:b w:val="0"/>
          <w:bCs w:val="0"/>
          <w:sz w:val="24"/>
          <w:szCs w:val="24"/>
          <w:shd w:val="clear" w:color="auto" w:fill="FFFFFF"/>
        </w:rPr>
        <w:t xml:space="preserve"> în caz de </w:t>
      </w:r>
      <w:r w:rsidR="004C0F04">
        <w:rPr>
          <w:rFonts w:asciiTheme="majorHAnsi" w:hAnsiTheme="majorHAnsi" w:cstheme="majorHAnsi"/>
          <w:b w:val="0"/>
          <w:bCs w:val="0"/>
          <w:sz w:val="24"/>
          <w:szCs w:val="24"/>
          <w:shd w:val="clear" w:color="auto" w:fill="FFFFFF"/>
        </w:rPr>
        <w:t>disponibilitate</w:t>
      </w:r>
      <w:r w:rsidRPr="008376FC">
        <w:rPr>
          <w:rFonts w:asciiTheme="majorHAnsi" w:hAnsiTheme="majorHAnsi" w:cstheme="majorHAnsi"/>
          <w:b w:val="0"/>
          <w:bCs w:val="0"/>
          <w:sz w:val="24"/>
          <w:szCs w:val="24"/>
          <w:shd w:val="clear" w:color="auto" w:fill="FFFFFF"/>
        </w:rPr>
        <w:t xml:space="preserve"> a resurselor financiare, conectarea satelor din raioa</w:t>
      </w:r>
      <w:r w:rsidR="004C0F04">
        <w:rPr>
          <w:rFonts w:asciiTheme="majorHAnsi" w:hAnsiTheme="majorHAnsi" w:cstheme="majorHAnsi"/>
          <w:b w:val="0"/>
          <w:bCs w:val="0"/>
          <w:sz w:val="24"/>
          <w:szCs w:val="24"/>
          <w:shd w:val="clear" w:color="auto" w:fill="FFFFFF"/>
        </w:rPr>
        <w:t>ne</w:t>
      </w:r>
      <w:r w:rsidRPr="008376FC">
        <w:rPr>
          <w:rFonts w:asciiTheme="majorHAnsi" w:hAnsiTheme="majorHAnsi" w:cstheme="majorHAnsi"/>
          <w:b w:val="0"/>
          <w:bCs w:val="0"/>
          <w:sz w:val="24"/>
          <w:szCs w:val="24"/>
          <w:shd w:val="clear" w:color="auto" w:fill="FFFFFF"/>
        </w:rPr>
        <w:t>le Strășeni și Călărași la apeductul magistral</w:t>
      </w:r>
      <w:r w:rsidR="004C0F04">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 </w:t>
      </w:r>
    </w:p>
    <w:p w:rsidR="00756AE7" w:rsidRPr="008376FC" w:rsidRDefault="00756AE7" w:rsidP="00F61756">
      <w:pPr>
        <w:numPr>
          <w:ilvl w:val="0"/>
          <w:numId w:val="29"/>
        </w:numPr>
        <w:spacing w:after="0" w:line="276" w:lineRule="auto"/>
        <w:ind w:left="0" w:firstLine="284"/>
        <w:contextualSpacing/>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reabilitarea și extinderea rețelei de aprovizionare cu apă în Călărași și Strășeni. În urma extinderii apeductului Chișinău-Strășeni-Călărași</w:t>
      </w:r>
      <w:r w:rsidR="004C0F04">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 peste 170.000 mii de persoane, locuitori ai raioanelor Strășeni și Călărași, vor fi asigurați cu apă potabilă și sisteme de canalizare.</w:t>
      </w:r>
    </w:p>
    <w:p w:rsidR="00756AE7" w:rsidRPr="008376FC" w:rsidRDefault="00756AE7" w:rsidP="00F61756">
      <w:pPr>
        <w:spacing w:after="0" w:line="276" w:lineRule="auto"/>
        <w:jc w:val="both"/>
        <w:rPr>
          <w:rFonts w:asciiTheme="majorHAnsi" w:eastAsiaTheme="minorEastAsia" w:hAnsiTheme="majorHAnsi" w:cstheme="majorHAnsi"/>
          <w:b w:val="0"/>
          <w:bCs w:val="0"/>
          <w:sz w:val="24"/>
          <w:szCs w:val="24"/>
          <w:shd w:val="clear" w:color="auto" w:fill="FFFFFF"/>
        </w:rPr>
      </w:pPr>
      <w:r w:rsidRPr="008376FC">
        <w:rPr>
          <w:rFonts w:asciiTheme="majorHAnsi" w:eastAsiaTheme="minorEastAsia" w:hAnsiTheme="majorHAnsi" w:cstheme="majorHAnsi"/>
          <w:b w:val="0"/>
          <w:bCs w:val="0"/>
          <w:sz w:val="24"/>
          <w:szCs w:val="24"/>
          <w:shd w:val="clear" w:color="auto" w:fill="FFFFFF"/>
        </w:rPr>
        <w:t>Ulterior, la 12.01.2021</w:t>
      </w:r>
      <w:r w:rsidR="004C0F04">
        <w:rPr>
          <w:rFonts w:asciiTheme="majorHAnsi" w:eastAsiaTheme="minorEastAsia" w:hAnsiTheme="majorHAnsi" w:cstheme="majorHAnsi"/>
          <w:b w:val="0"/>
          <w:bCs w:val="0"/>
          <w:sz w:val="24"/>
          <w:szCs w:val="24"/>
          <w:shd w:val="clear" w:color="auto" w:fill="FFFFFF"/>
        </w:rPr>
        <w:t>,</w:t>
      </w:r>
      <w:r w:rsidRPr="008376FC">
        <w:rPr>
          <w:rFonts w:asciiTheme="majorHAnsi" w:eastAsiaTheme="minorEastAsia" w:hAnsiTheme="majorHAnsi" w:cstheme="majorHAnsi"/>
          <w:b w:val="0"/>
          <w:bCs w:val="0"/>
          <w:sz w:val="24"/>
          <w:szCs w:val="24"/>
          <w:shd w:val="clear" w:color="auto" w:fill="FFFFFF"/>
        </w:rPr>
        <w:t xml:space="preserve"> Acordul de finanțare inițial a fost modificat prin majorarea sumei grantului destinat lucrărilor de construcţie</w:t>
      </w:r>
      <w:r w:rsidR="004C0F04">
        <w:rPr>
          <w:rFonts w:asciiTheme="majorHAnsi" w:eastAsiaTheme="minorEastAsia" w:hAnsiTheme="majorHAnsi" w:cstheme="majorHAnsi"/>
          <w:b w:val="0"/>
          <w:bCs w:val="0"/>
          <w:sz w:val="24"/>
          <w:szCs w:val="24"/>
          <w:shd w:val="clear" w:color="auto" w:fill="FFFFFF"/>
        </w:rPr>
        <w:t>,</w:t>
      </w:r>
      <w:r w:rsidRPr="008376FC">
        <w:rPr>
          <w:rFonts w:asciiTheme="majorHAnsi" w:eastAsiaTheme="minorEastAsia" w:hAnsiTheme="majorHAnsi" w:cstheme="majorHAnsi"/>
          <w:b w:val="0"/>
          <w:bCs w:val="0"/>
          <w:sz w:val="24"/>
          <w:szCs w:val="24"/>
          <w:shd w:val="clear" w:color="auto" w:fill="FFFFFF"/>
        </w:rPr>
        <w:t xml:space="preserve"> până la 23,5 mil. </w:t>
      </w:r>
      <w:r w:rsidR="004C0F04">
        <w:rPr>
          <w:rFonts w:asciiTheme="majorHAnsi" w:eastAsiaTheme="minorEastAsia" w:hAnsiTheme="majorHAnsi" w:cstheme="majorHAnsi"/>
          <w:b w:val="0"/>
          <w:bCs w:val="0"/>
          <w:sz w:val="24"/>
          <w:szCs w:val="24"/>
          <w:shd w:val="clear" w:color="auto" w:fill="FFFFFF"/>
        </w:rPr>
        <w:t>euro</w:t>
      </w:r>
      <w:r w:rsidRPr="008376FC">
        <w:rPr>
          <w:rFonts w:asciiTheme="majorHAnsi" w:eastAsiaTheme="minorEastAsia" w:hAnsiTheme="majorHAnsi" w:cstheme="majorHAnsi"/>
          <w:b w:val="0"/>
          <w:bCs w:val="0"/>
          <w:sz w:val="24"/>
          <w:szCs w:val="24"/>
          <w:shd w:val="clear" w:color="auto" w:fill="FFFFFF"/>
        </w:rPr>
        <w:t xml:space="preserve">, termenul de debursare fiind extins cu 2 luni, de la 30.10.2025 la 31.12.2025. Tot atunci a fost semnat un Acord de grant privind acordarea grantului adițional în valoare de 1,5 mil. </w:t>
      </w:r>
      <w:r w:rsidR="004C0F04">
        <w:rPr>
          <w:rFonts w:asciiTheme="majorHAnsi" w:eastAsiaTheme="minorEastAsia" w:hAnsiTheme="majorHAnsi" w:cstheme="majorHAnsi"/>
          <w:b w:val="0"/>
          <w:bCs w:val="0"/>
          <w:sz w:val="24"/>
          <w:szCs w:val="24"/>
          <w:shd w:val="clear" w:color="auto" w:fill="FFFFFF"/>
        </w:rPr>
        <w:t>euro</w:t>
      </w:r>
      <w:r w:rsidRPr="008376FC">
        <w:rPr>
          <w:rFonts w:asciiTheme="majorHAnsi" w:eastAsiaTheme="minorEastAsia" w:hAnsiTheme="majorHAnsi" w:cstheme="majorHAnsi"/>
          <w:b w:val="0"/>
          <w:bCs w:val="0"/>
          <w:sz w:val="24"/>
          <w:szCs w:val="24"/>
          <w:shd w:val="clear" w:color="auto" w:fill="FFFFFF"/>
        </w:rPr>
        <w:t xml:space="preserve"> pentru serviciile de consultanță tehnică aferente implementării proiectului, termenul limită pentru efectuarea debursărilor fiind de 31.12.2023. </w:t>
      </w:r>
    </w:p>
    <w:p w:rsidR="00756AE7" w:rsidRPr="008376FC" w:rsidRDefault="00756AE7" w:rsidP="00F61756">
      <w:pPr>
        <w:spacing w:after="0" w:line="276" w:lineRule="auto"/>
        <w:jc w:val="both"/>
        <w:rPr>
          <w:rFonts w:asciiTheme="majorHAnsi" w:eastAsiaTheme="minorEastAsia" w:hAnsiTheme="majorHAnsi" w:cstheme="majorHAnsi"/>
          <w:b w:val="0"/>
          <w:bCs w:val="0"/>
          <w:sz w:val="24"/>
          <w:szCs w:val="24"/>
          <w:shd w:val="clear" w:color="auto" w:fill="FFFFFF"/>
        </w:rPr>
      </w:pPr>
      <w:r w:rsidRPr="008376FC">
        <w:rPr>
          <w:rFonts w:asciiTheme="majorHAnsi" w:eastAsiaTheme="minorEastAsia" w:hAnsiTheme="majorHAnsi" w:cstheme="majorHAnsi"/>
          <w:b w:val="0"/>
          <w:bCs w:val="0"/>
          <w:sz w:val="24"/>
          <w:szCs w:val="24"/>
          <w:shd w:val="clear" w:color="auto" w:fill="FFFFFF"/>
        </w:rPr>
        <w:t xml:space="preserve">Pe parcursul anilor 2021 şi 2022, din grantul aferent asistenței tehnice au fost valorificate 0,87 mil. </w:t>
      </w:r>
      <w:r w:rsidR="00497211">
        <w:rPr>
          <w:rFonts w:asciiTheme="majorHAnsi" w:eastAsiaTheme="minorEastAsia" w:hAnsiTheme="majorHAnsi" w:cstheme="majorHAnsi"/>
          <w:b w:val="0"/>
          <w:bCs w:val="0"/>
          <w:sz w:val="24"/>
          <w:szCs w:val="24"/>
          <w:shd w:val="clear" w:color="auto" w:fill="FFFFFF"/>
        </w:rPr>
        <w:t>euro</w:t>
      </w:r>
      <w:r w:rsidRPr="008376FC">
        <w:rPr>
          <w:rFonts w:asciiTheme="majorHAnsi" w:eastAsiaTheme="minorEastAsia" w:hAnsiTheme="majorHAnsi" w:cstheme="majorHAnsi"/>
          <w:b w:val="0"/>
          <w:bCs w:val="0"/>
          <w:sz w:val="24"/>
          <w:szCs w:val="24"/>
          <w:shd w:val="clear" w:color="auto" w:fill="FFFFFF"/>
          <w:vertAlign w:val="superscript"/>
        </w:rPr>
        <w:footnoteReference w:id="58"/>
      </w:r>
      <w:r w:rsidRPr="008376FC">
        <w:rPr>
          <w:rFonts w:asciiTheme="majorHAnsi" w:eastAsiaTheme="minorEastAsia" w:hAnsiTheme="majorHAnsi" w:cstheme="majorHAnsi"/>
          <w:b w:val="0"/>
          <w:bCs w:val="0"/>
          <w:sz w:val="24"/>
          <w:szCs w:val="24"/>
          <w:shd w:val="clear" w:color="auto" w:fill="FFFFFF"/>
        </w:rPr>
        <w:t xml:space="preserve"> pentru serviciile de proiectare, fiind finalizat proiectul tehnic al apeductului magistral Chişinău-Străşeni-Călăraşi</w:t>
      </w:r>
      <w:r w:rsidR="00497211">
        <w:rPr>
          <w:rFonts w:asciiTheme="majorHAnsi" w:eastAsiaTheme="minorEastAsia" w:hAnsiTheme="majorHAnsi" w:cstheme="majorHAnsi"/>
          <w:b w:val="0"/>
          <w:bCs w:val="0"/>
          <w:sz w:val="24"/>
          <w:szCs w:val="24"/>
          <w:shd w:val="clear" w:color="auto" w:fill="FFFFFF"/>
        </w:rPr>
        <w:t>,</w:t>
      </w:r>
      <w:r w:rsidRPr="008376FC">
        <w:rPr>
          <w:rFonts w:asciiTheme="majorHAnsi" w:eastAsiaTheme="minorEastAsia" w:hAnsiTheme="majorHAnsi" w:cstheme="majorHAnsi"/>
          <w:b w:val="0"/>
          <w:bCs w:val="0"/>
          <w:sz w:val="24"/>
          <w:szCs w:val="24"/>
          <w:shd w:val="clear" w:color="auto" w:fill="FFFFFF"/>
        </w:rPr>
        <w:t xml:space="preserve"> cu o lungime de 53 km, au fost transmise spre aprobare conceptele privind măsurile de reablitare a oraşelor Străşeni şi Călăraşi şi iniţiate proiectele tehnice pentru satele Sireţi şi Seliştea Nouă. De asemenea, în vederea fortificării capacităţii de management şi operare a sistemelor de aprovizionare cu apă construite din cadrul proiectului, a</w:t>
      </w:r>
      <w:r w:rsidR="00497211">
        <w:rPr>
          <w:rFonts w:asciiTheme="majorHAnsi" w:eastAsiaTheme="minorEastAsia" w:hAnsiTheme="majorHAnsi" w:cstheme="majorHAnsi"/>
          <w:b w:val="0"/>
          <w:bCs w:val="0"/>
          <w:sz w:val="24"/>
          <w:szCs w:val="24"/>
          <w:shd w:val="clear" w:color="auto" w:fill="FFFFFF"/>
        </w:rPr>
        <w:t>u</w:t>
      </w:r>
      <w:r w:rsidRPr="008376FC">
        <w:rPr>
          <w:rFonts w:asciiTheme="majorHAnsi" w:eastAsiaTheme="minorEastAsia" w:hAnsiTheme="majorHAnsi" w:cstheme="majorHAnsi"/>
          <w:b w:val="0"/>
          <w:bCs w:val="0"/>
          <w:sz w:val="24"/>
          <w:szCs w:val="24"/>
          <w:shd w:val="clear" w:color="auto" w:fill="FFFFFF"/>
        </w:rPr>
        <w:t xml:space="preserve"> fost oferite servicii de consultanţă şi suport operatorilor apă</w:t>
      </w:r>
      <w:r w:rsidR="00497211">
        <w:rPr>
          <w:rFonts w:asciiTheme="majorHAnsi" w:eastAsiaTheme="minorEastAsia" w:hAnsiTheme="majorHAnsi" w:cstheme="majorHAnsi"/>
          <w:b w:val="0"/>
          <w:bCs w:val="0"/>
          <w:sz w:val="24"/>
          <w:szCs w:val="24"/>
          <w:shd w:val="clear" w:color="auto" w:fill="FFFFFF"/>
        </w:rPr>
        <w:t>-</w:t>
      </w:r>
      <w:r w:rsidRPr="008376FC">
        <w:rPr>
          <w:rFonts w:asciiTheme="majorHAnsi" w:eastAsiaTheme="minorEastAsia" w:hAnsiTheme="majorHAnsi" w:cstheme="majorHAnsi"/>
          <w:b w:val="0"/>
          <w:bCs w:val="0"/>
          <w:sz w:val="24"/>
          <w:szCs w:val="24"/>
          <w:shd w:val="clear" w:color="auto" w:fill="FFFFFF"/>
        </w:rPr>
        <w:t>canal din Străşeni şi Călăraşi.</w:t>
      </w:r>
    </w:p>
    <w:p w:rsidR="00756AE7" w:rsidRPr="008376FC" w:rsidRDefault="00756AE7" w:rsidP="00F61756">
      <w:pPr>
        <w:shd w:val="clear" w:color="auto" w:fill="FFFFFF"/>
        <w:tabs>
          <w:tab w:val="left" w:pos="851"/>
        </w:tabs>
        <w:spacing w:after="0" w:line="276" w:lineRule="auto"/>
        <w:jc w:val="both"/>
        <w:textAlignment w:val="baseline"/>
        <w:rPr>
          <w:rFonts w:asciiTheme="majorHAnsi" w:eastAsia="Times New Roman" w:hAnsiTheme="majorHAnsi" w:cstheme="majorHAnsi"/>
          <w:b w:val="0"/>
          <w:bCs w:val="0"/>
          <w:spacing w:val="8"/>
          <w:sz w:val="24"/>
          <w:szCs w:val="24"/>
        </w:rPr>
      </w:pPr>
      <w:r w:rsidRPr="008376FC">
        <w:rPr>
          <w:rFonts w:asciiTheme="majorHAnsi" w:eastAsia="Times New Roman" w:hAnsiTheme="majorHAnsi" w:cstheme="majorHAnsi"/>
          <w:b w:val="0"/>
          <w:bCs w:val="0"/>
          <w:spacing w:val="8"/>
          <w:sz w:val="24"/>
          <w:szCs w:val="24"/>
        </w:rPr>
        <w:t xml:space="preserve">Proiectul a fost inițiat în baza Studiului de </w:t>
      </w:r>
      <w:r w:rsidR="00534DEE">
        <w:rPr>
          <w:rFonts w:asciiTheme="majorHAnsi" w:eastAsia="Times New Roman" w:hAnsiTheme="majorHAnsi" w:cstheme="majorHAnsi"/>
          <w:b w:val="0"/>
          <w:bCs w:val="0"/>
          <w:spacing w:val="8"/>
          <w:sz w:val="24"/>
          <w:szCs w:val="24"/>
        </w:rPr>
        <w:t>f</w:t>
      </w:r>
      <w:r w:rsidRPr="008376FC">
        <w:rPr>
          <w:rFonts w:asciiTheme="majorHAnsi" w:eastAsia="Times New Roman" w:hAnsiTheme="majorHAnsi" w:cstheme="majorHAnsi"/>
          <w:b w:val="0"/>
          <w:bCs w:val="0"/>
          <w:spacing w:val="8"/>
          <w:sz w:val="24"/>
          <w:szCs w:val="24"/>
        </w:rPr>
        <w:t>ezabilitate „Îmbunătățirea infrastructurii de apă în Moldova centrală”</w:t>
      </w:r>
      <w:r w:rsidR="00497211">
        <w:rPr>
          <w:rFonts w:asciiTheme="majorHAnsi" w:eastAsia="Times New Roman" w:hAnsiTheme="majorHAnsi" w:cstheme="majorHAnsi"/>
          <w:b w:val="0"/>
          <w:bCs w:val="0"/>
          <w:spacing w:val="8"/>
          <w:sz w:val="24"/>
          <w:szCs w:val="24"/>
        </w:rPr>
        <w:t>,</w:t>
      </w:r>
      <w:r w:rsidRPr="008376FC">
        <w:rPr>
          <w:rFonts w:asciiTheme="majorHAnsi" w:eastAsia="Times New Roman" w:hAnsiTheme="majorHAnsi" w:cstheme="majorHAnsi"/>
          <w:b w:val="0"/>
          <w:bCs w:val="0"/>
          <w:spacing w:val="8"/>
          <w:sz w:val="24"/>
          <w:szCs w:val="24"/>
        </w:rPr>
        <w:t xml:space="preserve"> elaborat de </w:t>
      </w:r>
      <w:r w:rsidR="00497211">
        <w:rPr>
          <w:rFonts w:asciiTheme="majorHAnsi" w:eastAsia="Times New Roman" w:hAnsiTheme="majorHAnsi" w:cstheme="majorHAnsi"/>
          <w:b w:val="0"/>
          <w:bCs w:val="0"/>
          <w:spacing w:val="8"/>
          <w:sz w:val="24"/>
          <w:szCs w:val="24"/>
        </w:rPr>
        <w:t>C</w:t>
      </w:r>
      <w:r w:rsidRPr="008376FC">
        <w:rPr>
          <w:rFonts w:asciiTheme="majorHAnsi" w:eastAsia="Times New Roman" w:hAnsiTheme="majorHAnsi" w:cstheme="majorHAnsi"/>
          <w:b w:val="0"/>
          <w:bCs w:val="0"/>
          <w:spacing w:val="8"/>
          <w:sz w:val="24"/>
          <w:szCs w:val="24"/>
        </w:rPr>
        <w:t xml:space="preserve">ompania de consultanță </w:t>
      </w:r>
      <w:r w:rsidR="00497211">
        <w:rPr>
          <w:rFonts w:asciiTheme="majorHAnsi" w:eastAsia="Times New Roman" w:hAnsiTheme="majorHAnsi" w:cstheme="majorHAnsi"/>
          <w:b w:val="0"/>
          <w:bCs w:val="0"/>
          <w:spacing w:val="8"/>
          <w:sz w:val="24"/>
          <w:szCs w:val="24"/>
        </w:rPr>
        <w:t>„</w:t>
      </w:r>
      <w:r w:rsidRPr="008376FC">
        <w:rPr>
          <w:rFonts w:asciiTheme="majorHAnsi" w:eastAsia="Times New Roman" w:hAnsiTheme="majorHAnsi" w:cstheme="majorHAnsi"/>
          <w:b w:val="0"/>
          <w:bCs w:val="0"/>
          <w:spacing w:val="8"/>
          <w:sz w:val="24"/>
          <w:szCs w:val="24"/>
        </w:rPr>
        <w:t>Consulting Engineers Salzgitter GmbH</w:t>
      </w:r>
      <w:r w:rsidR="00497211">
        <w:rPr>
          <w:rFonts w:asciiTheme="majorHAnsi" w:eastAsia="Times New Roman" w:hAnsiTheme="majorHAnsi" w:cstheme="majorHAnsi"/>
          <w:b w:val="0"/>
          <w:bCs w:val="0"/>
          <w:spacing w:val="8"/>
          <w:sz w:val="24"/>
          <w:szCs w:val="24"/>
        </w:rPr>
        <w:t>”</w:t>
      </w:r>
      <w:r w:rsidRPr="008376FC">
        <w:rPr>
          <w:rFonts w:asciiTheme="majorHAnsi" w:eastAsia="Times New Roman" w:hAnsiTheme="majorHAnsi" w:cstheme="majorHAnsi"/>
          <w:b w:val="0"/>
          <w:bCs w:val="0"/>
          <w:spacing w:val="8"/>
          <w:sz w:val="24"/>
          <w:szCs w:val="24"/>
        </w:rPr>
        <w:t>, la cererea Ministerului Mediului (februarie</w:t>
      </w:r>
      <w:r w:rsidR="00497211">
        <w:rPr>
          <w:rFonts w:asciiTheme="majorHAnsi" w:eastAsia="Times New Roman" w:hAnsiTheme="majorHAnsi" w:cstheme="majorHAnsi"/>
          <w:b w:val="0"/>
          <w:bCs w:val="0"/>
          <w:spacing w:val="8"/>
          <w:sz w:val="24"/>
          <w:szCs w:val="24"/>
        </w:rPr>
        <w:t>,</w:t>
      </w:r>
      <w:r w:rsidRPr="008376FC">
        <w:rPr>
          <w:rFonts w:asciiTheme="majorHAnsi" w:eastAsia="Times New Roman" w:hAnsiTheme="majorHAnsi" w:cstheme="majorHAnsi"/>
          <w:b w:val="0"/>
          <w:bCs w:val="0"/>
          <w:spacing w:val="8"/>
          <w:sz w:val="24"/>
          <w:szCs w:val="24"/>
        </w:rPr>
        <w:t xml:space="preserve"> 2017), prezentat MADRM în martie 2018. Proiectul este implementat de către ADR Centru, cu participarea S.A. „Apă</w:t>
      </w:r>
      <w:r w:rsidR="00497211">
        <w:rPr>
          <w:rFonts w:asciiTheme="majorHAnsi" w:eastAsia="Times New Roman" w:hAnsiTheme="majorHAnsi" w:cstheme="majorHAnsi"/>
          <w:b w:val="0"/>
          <w:bCs w:val="0"/>
          <w:spacing w:val="8"/>
          <w:sz w:val="24"/>
          <w:szCs w:val="24"/>
        </w:rPr>
        <w:t>-</w:t>
      </w:r>
      <w:r w:rsidRPr="008376FC">
        <w:rPr>
          <w:rFonts w:asciiTheme="majorHAnsi" w:eastAsia="Times New Roman" w:hAnsiTheme="majorHAnsi" w:cstheme="majorHAnsi"/>
          <w:b w:val="0"/>
          <w:bCs w:val="0"/>
          <w:spacing w:val="8"/>
          <w:sz w:val="24"/>
          <w:szCs w:val="24"/>
        </w:rPr>
        <w:t>Canal Chișinău” și primăriil</w:t>
      </w:r>
      <w:r w:rsidR="00497211">
        <w:rPr>
          <w:rFonts w:asciiTheme="majorHAnsi" w:eastAsia="Times New Roman" w:hAnsiTheme="majorHAnsi" w:cstheme="majorHAnsi"/>
          <w:b w:val="0"/>
          <w:bCs w:val="0"/>
          <w:spacing w:val="8"/>
          <w:sz w:val="24"/>
          <w:szCs w:val="24"/>
        </w:rPr>
        <w:t>or</w:t>
      </w:r>
      <w:r w:rsidRPr="008376FC">
        <w:rPr>
          <w:rFonts w:asciiTheme="majorHAnsi" w:eastAsia="Times New Roman" w:hAnsiTheme="majorHAnsi" w:cstheme="majorHAnsi"/>
          <w:b w:val="0"/>
          <w:bCs w:val="0"/>
          <w:spacing w:val="8"/>
          <w:sz w:val="24"/>
          <w:szCs w:val="24"/>
        </w:rPr>
        <w:t xml:space="preserve"> Strășeni și Călărași, responsabili de operabilitatea infrastructurii după finalizarea lucrărilor de construcție. </w:t>
      </w:r>
    </w:p>
    <w:p w:rsidR="00756AE7" w:rsidRPr="008376FC" w:rsidRDefault="00756AE7" w:rsidP="00F61756">
      <w:pPr>
        <w:shd w:val="clear" w:color="auto" w:fill="FFFFFF"/>
        <w:tabs>
          <w:tab w:val="left" w:pos="851"/>
        </w:tabs>
        <w:spacing w:after="0" w:line="276" w:lineRule="auto"/>
        <w:jc w:val="both"/>
        <w:textAlignment w:val="baseline"/>
        <w:rPr>
          <w:rFonts w:asciiTheme="majorHAnsi" w:eastAsia="Times New Roman" w:hAnsiTheme="majorHAnsi" w:cstheme="majorHAnsi"/>
          <w:b w:val="0"/>
          <w:bCs w:val="0"/>
          <w:spacing w:val="8"/>
          <w:sz w:val="24"/>
          <w:szCs w:val="24"/>
        </w:rPr>
      </w:pPr>
      <w:r w:rsidRPr="008376FC">
        <w:rPr>
          <w:rFonts w:asciiTheme="majorHAnsi" w:eastAsia="Times New Roman" w:hAnsiTheme="majorHAnsi" w:cstheme="majorHAnsi"/>
          <w:b w:val="0"/>
          <w:bCs w:val="0"/>
          <w:spacing w:val="8"/>
          <w:sz w:val="24"/>
          <w:szCs w:val="24"/>
        </w:rPr>
        <w:t xml:space="preserve">Inițial, potrivit Acordului era prevăzut că proprietar al magistralei va fi Agenția </w:t>
      </w:r>
      <w:r w:rsidR="00497211">
        <w:rPr>
          <w:rFonts w:asciiTheme="majorHAnsi" w:eastAsia="Times New Roman" w:hAnsiTheme="majorHAnsi" w:cstheme="majorHAnsi"/>
          <w:b w:val="0"/>
          <w:bCs w:val="0"/>
          <w:spacing w:val="8"/>
          <w:sz w:val="24"/>
          <w:szCs w:val="24"/>
        </w:rPr>
        <w:t>„</w:t>
      </w:r>
      <w:r w:rsidRPr="008376FC">
        <w:rPr>
          <w:rFonts w:asciiTheme="majorHAnsi" w:eastAsia="Times New Roman" w:hAnsiTheme="majorHAnsi" w:cstheme="majorHAnsi"/>
          <w:b w:val="0"/>
          <w:bCs w:val="0"/>
          <w:spacing w:val="8"/>
          <w:sz w:val="24"/>
          <w:szCs w:val="24"/>
        </w:rPr>
        <w:t>Apele Moldovei</w:t>
      </w:r>
      <w:r w:rsidR="00497211">
        <w:rPr>
          <w:rFonts w:asciiTheme="majorHAnsi" w:eastAsia="Times New Roman" w:hAnsiTheme="majorHAnsi" w:cstheme="majorHAnsi"/>
          <w:b w:val="0"/>
          <w:bCs w:val="0"/>
          <w:spacing w:val="8"/>
          <w:sz w:val="24"/>
          <w:szCs w:val="24"/>
        </w:rPr>
        <w:t>”</w:t>
      </w:r>
      <w:r w:rsidRPr="008376FC">
        <w:rPr>
          <w:rFonts w:asciiTheme="majorHAnsi" w:eastAsia="Times New Roman" w:hAnsiTheme="majorHAnsi" w:cstheme="majorHAnsi"/>
          <w:b w:val="0"/>
          <w:bCs w:val="0"/>
          <w:spacing w:val="8"/>
          <w:sz w:val="24"/>
          <w:szCs w:val="24"/>
        </w:rPr>
        <w:t>, iar primăriile Strășeni și Călărași vor fi proprietari ai infrastructurii conexe construite în cadrul proiectului. Ulterior, ca urmare a reformelor inițiate, funcția de proprietar al apeductului magistral a fost transmisă Agenției Proprietății Publice</w:t>
      </w:r>
      <w:r w:rsidRPr="008376FC">
        <w:rPr>
          <w:rFonts w:asciiTheme="majorHAnsi" w:eastAsia="Times New Roman" w:hAnsiTheme="majorHAnsi" w:cstheme="majorHAnsi"/>
          <w:b w:val="0"/>
          <w:bCs w:val="0"/>
          <w:spacing w:val="8"/>
          <w:sz w:val="24"/>
          <w:szCs w:val="24"/>
          <w:vertAlign w:val="superscript"/>
        </w:rPr>
        <w:footnoteReference w:id="59"/>
      </w:r>
      <w:r w:rsidRPr="008376FC">
        <w:rPr>
          <w:rFonts w:asciiTheme="majorHAnsi" w:eastAsia="Times New Roman" w:hAnsiTheme="majorHAnsi" w:cstheme="majorHAnsi"/>
          <w:b w:val="0"/>
          <w:bCs w:val="0"/>
          <w:spacing w:val="8"/>
          <w:sz w:val="24"/>
          <w:szCs w:val="24"/>
        </w:rPr>
        <w:t>.</w:t>
      </w:r>
    </w:p>
    <w:p w:rsidR="00756AE7" w:rsidRPr="008376FC" w:rsidRDefault="00756AE7" w:rsidP="00F61756">
      <w:pPr>
        <w:shd w:val="clear" w:color="auto" w:fill="FFFFFF"/>
        <w:tabs>
          <w:tab w:val="left" w:pos="851"/>
        </w:tabs>
        <w:spacing w:after="0" w:line="276" w:lineRule="auto"/>
        <w:jc w:val="both"/>
        <w:textAlignment w:val="baseline"/>
        <w:rPr>
          <w:rFonts w:asciiTheme="majorHAnsi" w:eastAsia="Times New Roman" w:hAnsiTheme="majorHAnsi" w:cstheme="majorHAnsi"/>
          <w:b w:val="0"/>
          <w:bCs w:val="0"/>
          <w:spacing w:val="8"/>
          <w:sz w:val="24"/>
          <w:szCs w:val="24"/>
        </w:rPr>
      </w:pPr>
      <w:r w:rsidRPr="008376FC">
        <w:rPr>
          <w:rFonts w:asciiTheme="majorHAnsi" w:eastAsia="Times New Roman" w:hAnsiTheme="majorHAnsi" w:cstheme="majorHAnsi"/>
          <w:b w:val="0"/>
          <w:bCs w:val="0"/>
          <w:spacing w:val="8"/>
          <w:sz w:val="24"/>
          <w:szCs w:val="24"/>
        </w:rPr>
        <w:t>Comitetul de supraveghere al proiectului este constituit din: MIDR, MF, ADR Centru, APP, S.A. „Apă</w:t>
      </w:r>
      <w:r w:rsidR="00497211">
        <w:rPr>
          <w:rFonts w:asciiTheme="majorHAnsi" w:eastAsia="Times New Roman" w:hAnsiTheme="majorHAnsi" w:cstheme="majorHAnsi"/>
          <w:b w:val="0"/>
          <w:bCs w:val="0"/>
          <w:spacing w:val="8"/>
          <w:sz w:val="24"/>
          <w:szCs w:val="24"/>
        </w:rPr>
        <w:t>-</w:t>
      </w:r>
      <w:r w:rsidRPr="008376FC">
        <w:rPr>
          <w:rFonts w:asciiTheme="majorHAnsi" w:eastAsia="Times New Roman" w:hAnsiTheme="majorHAnsi" w:cstheme="majorHAnsi"/>
          <w:b w:val="0"/>
          <w:bCs w:val="0"/>
          <w:spacing w:val="8"/>
          <w:sz w:val="24"/>
          <w:szCs w:val="24"/>
        </w:rPr>
        <w:t xml:space="preserve">Canal Chișinău”, Primăria orașului Strășeni, Primăria </w:t>
      </w:r>
      <w:r w:rsidR="00497211">
        <w:rPr>
          <w:rFonts w:asciiTheme="majorHAnsi" w:eastAsia="Times New Roman" w:hAnsiTheme="majorHAnsi" w:cstheme="majorHAnsi"/>
          <w:b w:val="0"/>
          <w:bCs w:val="0"/>
          <w:spacing w:val="8"/>
          <w:sz w:val="24"/>
          <w:szCs w:val="24"/>
        </w:rPr>
        <w:t>o</w:t>
      </w:r>
      <w:r w:rsidRPr="008376FC">
        <w:rPr>
          <w:rFonts w:asciiTheme="majorHAnsi" w:eastAsia="Times New Roman" w:hAnsiTheme="majorHAnsi" w:cstheme="majorHAnsi"/>
          <w:b w:val="0"/>
          <w:bCs w:val="0"/>
          <w:spacing w:val="8"/>
          <w:sz w:val="24"/>
          <w:szCs w:val="24"/>
        </w:rPr>
        <w:t xml:space="preserve">rașului Călărași, Consiliul </w:t>
      </w:r>
      <w:r w:rsidR="005A40E8">
        <w:rPr>
          <w:rFonts w:asciiTheme="majorHAnsi" w:eastAsia="Times New Roman" w:hAnsiTheme="majorHAnsi" w:cstheme="majorHAnsi"/>
          <w:b w:val="0"/>
          <w:bCs w:val="0"/>
          <w:spacing w:val="8"/>
          <w:sz w:val="24"/>
          <w:szCs w:val="24"/>
        </w:rPr>
        <w:t>r</w:t>
      </w:r>
      <w:r w:rsidRPr="008376FC">
        <w:rPr>
          <w:rFonts w:asciiTheme="majorHAnsi" w:eastAsia="Times New Roman" w:hAnsiTheme="majorHAnsi" w:cstheme="majorHAnsi"/>
          <w:b w:val="0"/>
          <w:bCs w:val="0"/>
          <w:spacing w:val="8"/>
          <w:sz w:val="24"/>
          <w:szCs w:val="24"/>
        </w:rPr>
        <w:t xml:space="preserve">aional Strășeni, Consiliul </w:t>
      </w:r>
      <w:r w:rsidR="005A40E8">
        <w:rPr>
          <w:rFonts w:asciiTheme="majorHAnsi" w:eastAsia="Times New Roman" w:hAnsiTheme="majorHAnsi" w:cstheme="majorHAnsi"/>
          <w:b w:val="0"/>
          <w:bCs w:val="0"/>
          <w:spacing w:val="8"/>
          <w:sz w:val="24"/>
          <w:szCs w:val="24"/>
        </w:rPr>
        <w:t>r</w:t>
      </w:r>
      <w:r w:rsidRPr="008376FC">
        <w:rPr>
          <w:rFonts w:asciiTheme="majorHAnsi" w:eastAsia="Times New Roman" w:hAnsiTheme="majorHAnsi" w:cstheme="majorHAnsi"/>
          <w:b w:val="0"/>
          <w:bCs w:val="0"/>
          <w:spacing w:val="8"/>
          <w:sz w:val="24"/>
          <w:szCs w:val="24"/>
        </w:rPr>
        <w:t>aional Călărași, operatorii de apă</w:t>
      </w:r>
      <w:r w:rsidR="005A40E8">
        <w:rPr>
          <w:rFonts w:asciiTheme="majorHAnsi" w:eastAsia="Times New Roman" w:hAnsiTheme="majorHAnsi" w:cstheme="majorHAnsi"/>
          <w:b w:val="0"/>
          <w:bCs w:val="0"/>
          <w:spacing w:val="8"/>
          <w:sz w:val="24"/>
          <w:szCs w:val="24"/>
        </w:rPr>
        <w:t>-</w:t>
      </w:r>
      <w:r w:rsidRPr="008376FC">
        <w:rPr>
          <w:rFonts w:asciiTheme="majorHAnsi" w:eastAsia="Times New Roman" w:hAnsiTheme="majorHAnsi" w:cstheme="majorHAnsi"/>
          <w:b w:val="0"/>
          <w:bCs w:val="0"/>
          <w:spacing w:val="8"/>
          <w:sz w:val="24"/>
          <w:szCs w:val="24"/>
        </w:rPr>
        <w:t>canal din Strășeni și Călărași, reprezentanți ai societății civile și ai organizației donator (GIZ, KfW și alții).</w:t>
      </w:r>
    </w:p>
    <w:p w:rsidR="00756AE7" w:rsidRPr="008376FC" w:rsidRDefault="00756AE7" w:rsidP="00F61756">
      <w:pPr>
        <w:tabs>
          <w:tab w:val="left" w:pos="851"/>
        </w:tabs>
        <w:spacing w:line="276" w:lineRule="auto"/>
        <w:jc w:val="both"/>
        <w:rPr>
          <w:rFonts w:asciiTheme="majorHAnsi" w:eastAsiaTheme="minorEastAsia" w:hAnsiTheme="majorHAnsi" w:cstheme="majorHAnsi"/>
          <w:b w:val="0"/>
          <w:bCs w:val="0"/>
          <w:sz w:val="24"/>
          <w:szCs w:val="24"/>
        </w:rPr>
      </w:pPr>
      <w:r w:rsidRPr="008376FC">
        <w:rPr>
          <w:rFonts w:asciiTheme="majorHAnsi" w:eastAsiaTheme="minorEastAsia" w:hAnsiTheme="majorHAnsi" w:cstheme="majorHAnsi"/>
          <w:b w:val="0"/>
          <w:bCs w:val="0"/>
          <w:sz w:val="24"/>
          <w:szCs w:val="24"/>
        </w:rPr>
        <w:t>Proiectul a fost declarat priorita</w:t>
      </w:r>
      <w:r w:rsidR="00877C27">
        <w:rPr>
          <w:rFonts w:asciiTheme="majorHAnsi" w:eastAsiaTheme="minorEastAsia" w:hAnsiTheme="majorHAnsi" w:cstheme="majorHAnsi"/>
          <w:b w:val="0"/>
          <w:bCs w:val="0"/>
          <w:sz w:val="24"/>
          <w:szCs w:val="24"/>
        </w:rPr>
        <w:t>r</w:t>
      </w:r>
      <w:r w:rsidRPr="008376FC">
        <w:rPr>
          <w:rFonts w:asciiTheme="majorHAnsi" w:eastAsiaTheme="minorEastAsia" w:hAnsiTheme="majorHAnsi" w:cstheme="majorHAnsi"/>
          <w:b w:val="0"/>
          <w:bCs w:val="0"/>
          <w:sz w:val="24"/>
          <w:szCs w:val="24"/>
        </w:rPr>
        <w:t xml:space="preserve"> de către Guvernul Republicii Moldova,  prin </w:t>
      </w:r>
      <w:r w:rsidR="00877C27">
        <w:rPr>
          <w:rFonts w:asciiTheme="majorHAnsi" w:eastAsiaTheme="minorEastAsia" w:hAnsiTheme="majorHAnsi" w:cstheme="majorHAnsi"/>
          <w:b w:val="0"/>
          <w:bCs w:val="0"/>
          <w:sz w:val="24"/>
          <w:szCs w:val="24"/>
        </w:rPr>
        <w:t>L</w:t>
      </w:r>
      <w:r w:rsidRPr="008376FC">
        <w:rPr>
          <w:rFonts w:asciiTheme="majorHAnsi" w:eastAsiaTheme="minorEastAsia" w:hAnsiTheme="majorHAnsi" w:cstheme="majorHAnsi"/>
          <w:b w:val="0"/>
          <w:bCs w:val="0"/>
          <w:sz w:val="24"/>
          <w:szCs w:val="24"/>
        </w:rPr>
        <w:t>egea nr</w:t>
      </w:r>
      <w:r w:rsidR="00877C27">
        <w:rPr>
          <w:rFonts w:asciiTheme="majorHAnsi" w:eastAsiaTheme="minorEastAsia" w:hAnsiTheme="majorHAnsi" w:cstheme="majorHAnsi"/>
          <w:b w:val="0"/>
          <w:bCs w:val="0"/>
          <w:sz w:val="24"/>
          <w:szCs w:val="24"/>
        </w:rPr>
        <w:t>.</w:t>
      </w:r>
      <w:r w:rsidRPr="008376FC">
        <w:rPr>
          <w:rFonts w:asciiTheme="majorHAnsi" w:eastAsiaTheme="minorEastAsia" w:hAnsiTheme="majorHAnsi" w:cstheme="majorHAnsi"/>
          <w:b w:val="0"/>
          <w:bCs w:val="0"/>
          <w:sz w:val="24"/>
          <w:szCs w:val="24"/>
        </w:rPr>
        <w:t xml:space="preserve"> 296 din 27.10.2022</w:t>
      </w:r>
      <w:r w:rsidRPr="008376FC">
        <w:rPr>
          <w:rFonts w:asciiTheme="majorHAnsi" w:eastAsiaTheme="minorEastAsia" w:hAnsiTheme="majorHAnsi" w:cstheme="majorHAnsi"/>
          <w:b w:val="0"/>
          <w:bCs w:val="0"/>
          <w:sz w:val="24"/>
          <w:szCs w:val="24"/>
          <w:vertAlign w:val="superscript"/>
        </w:rPr>
        <w:footnoteReference w:id="60"/>
      </w:r>
      <w:r w:rsidRPr="008376FC">
        <w:rPr>
          <w:rFonts w:asciiTheme="majorHAnsi" w:eastAsiaTheme="minorEastAsia" w:hAnsiTheme="majorHAnsi" w:cstheme="majorHAnsi"/>
          <w:b w:val="0"/>
          <w:bCs w:val="0"/>
          <w:sz w:val="24"/>
          <w:szCs w:val="24"/>
        </w:rPr>
        <w:t xml:space="preserve"> privind declararea utilității publice de interes național pentru lucrările de construcție a apeductului magistral Chișinău</w:t>
      </w:r>
      <w:r w:rsidR="00877C27">
        <w:rPr>
          <w:rFonts w:asciiTheme="majorHAnsi" w:eastAsiaTheme="minorEastAsia" w:hAnsiTheme="majorHAnsi" w:cstheme="majorHAnsi"/>
          <w:b w:val="0"/>
          <w:bCs w:val="0"/>
          <w:sz w:val="24"/>
          <w:szCs w:val="24"/>
        </w:rPr>
        <w:t xml:space="preserve"> </w:t>
      </w:r>
      <w:r w:rsidRPr="008376FC">
        <w:rPr>
          <w:rFonts w:asciiTheme="majorHAnsi" w:eastAsiaTheme="minorEastAsia" w:hAnsiTheme="majorHAnsi" w:cstheme="majorHAnsi"/>
          <w:b w:val="0"/>
          <w:bCs w:val="0"/>
          <w:sz w:val="24"/>
          <w:szCs w:val="24"/>
        </w:rPr>
        <w:t>–</w:t>
      </w:r>
      <w:r w:rsidR="00877C27">
        <w:rPr>
          <w:rFonts w:asciiTheme="majorHAnsi" w:eastAsiaTheme="minorEastAsia" w:hAnsiTheme="majorHAnsi" w:cstheme="majorHAnsi"/>
          <w:b w:val="0"/>
          <w:bCs w:val="0"/>
          <w:sz w:val="24"/>
          <w:szCs w:val="24"/>
        </w:rPr>
        <w:t xml:space="preserve"> </w:t>
      </w:r>
      <w:r w:rsidRPr="008376FC">
        <w:rPr>
          <w:rFonts w:asciiTheme="majorHAnsi" w:eastAsiaTheme="minorEastAsia" w:hAnsiTheme="majorHAnsi" w:cstheme="majorHAnsi"/>
          <w:b w:val="0"/>
          <w:bCs w:val="0"/>
          <w:sz w:val="24"/>
          <w:szCs w:val="24"/>
        </w:rPr>
        <w:t>Strășeni</w:t>
      </w:r>
      <w:r w:rsidR="00877C27">
        <w:rPr>
          <w:rFonts w:asciiTheme="majorHAnsi" w:eastAsiaTheme="minorEastAsia" w:hAnsiTheme="majorHAnsi" w:cstheme="majorHAnsi"/>
          <w:b w:val="0"/>
          <w:bCs w:val="0"/>
          <w:sz w:val="24"/>
          <w:szCs w:val="24"/>
        </w:rPr>
        <w:t xml:space="preserve"> </w:t>
      </w:r>
      <w:r w:rsidRPr="008376FC">
        <w:rPr>
          <w:rFonts w:asciiTheme="majorHAnsi" w:eastAsiaTheme="minorEastAsia" w:hAnsiTheme="majorHAnsi" w:cstheme="majorHAnsi"/>
          <w:b w:val="0"/>
          <w:bCs w:val="0"/>
          <w:sz w:val="24"/>
          <w:szCs w:val="24"/>
        </w:rPr>
        <w:t>–</w:t>
      </w:r>
      <w:r w:rsidR="00877C27">
        <w:rPr>
          <w:rFonts w:asciiTheme="majorHAnsi" w:eastAsiaTheme="minorEastAsia" w:hAnsiTheme="majorHAnsi" w:cstheme="majorHAnsi"/>
          <w:b w:val="0"/>
          <w:bCs w:val="0"/>
          <w:sz w:val="24"/>
          <w:szCs w:val="24"/>
        </w:rPr>
        <w:t xml:space="preserve"> </w:t>
      </w:r>
      <w:r w:rsidRPr="008376FC">
        <w:rPr>
          <w:rFonts w:asciiTheme="majorHAnsi" w:eastAsiaTheme="minorEastAsia" w:hAnsiTheme="majorHAnsi" w:cstheme="majorHAnsi"/>
          <w:b w:val="0"/>
          <w:bCs w:val="0"/>
          <w:sz w:val="24"/>
          <w:szCs w:val="24"/>
        </w:rPr>
        <w:t>Călărași.</w:t>
      </w:r>
    </w:p>
    <w:p w:rsidR="00756AE7" w:rsidRPr="008376FC" w:rsidRDefault="00756AE7" w:rsidP="00F61756">
      <w:pPr>
        <w:pStyle w:val="a3"/>
        <w:numPr>
          <w:ilvl w:val="2"/>
          <w:numId w:val="38"/>
        </w:numPr>
        <w:spacing w:before="120" w:line="276" w:lineRule="auto"/>
        <w:ind w:left="0" w:firstLine="0"/>
        <w:jc w:val="both"/>
        <w:rPr>
          <w:rFonts w:asciiTheme="majorHAnsi" w:hAnsiTheme="majorHAnsi" w:cstheme="majorHAnsi"/>
          <w:b/>
          <w:color w:val="0070C0"/>
          <w:lang w:val="en-US"/>
        </w:rPr>
      </w:pPr>
      <w:r w:rsidRPr="008376FC">
        <w:rPr>
          <w:rFonts w:asciiTheme="majorHAnsi" w:hAnsiTheme="majorHAnsi" w:cstheme="majorHAnsi"/>
          <w:lang w:val="en-US"/>
        </w:rPr>
        <w:t xml:space="preserve"> </w:t>
      </w:r>
      <w:r w:rsidR="00ED48E5" w:rsidRPr="008376FC">
        <w:rPr>
          <w:rFonts w:asciiTheme="majorHAnsi" w:hAnsiTheme="majorHAnsi" w:cstheme="majorHAnsi"/>
          <w:b/>
          <w:color w:val="0070C0"/>
          <w:lang w:val="en-US"/>
        </w:rPr>
        <w:t>Ca</w:t>
      </w:r>
      <w:r w:rsidR="00ED48E5" w:rsidRPr="008376FC">
        <w:rPr>
          <w:rFonts w:asciiTheme="majorHAnsi" w:hAnsiTheme="majorHAnsi" w:cstheme="majorHAnsi"/>
          <w:lang w:val="en-US"/>
        </w:rPr>
        <w:t xml:space="preserve"> </w:t>
      </w:r>
      <w:r w:rsidR="00614D9A" w:rsidRPr="008376FC">
        <w:rPr>
          <w:rFonts w:asciiTheme="majorHAnsi" w:hAnsiTheme="majorHAnsi" w:cstheme="majorHAnsi"/>
          <w:b/>
          <w:color w:val="0070C0"/>
          <w:lang w:val="en-US"/>
        </w:rPr>
        <w:t xml:space="preserve">urmare a reorganizării FNDR în FNDRL, </w:t>
      </w:r>
      <w:r w:rsidR="00ED48E5" w:rsidRPr="008376FC">
        <w:rPr>
          <w:rFonts w:asciiTheme="majorHAnsi" w:hAnsiTheme="majorHAnsi" w:cstheme="majorHAnsi"/>
          <w:b/>
          <w:color w:val="0070C0"/>
          <w:lang w:val="en-US"/>
        </w:rPr>
        <w:t xml:space="preserve">din anul 2022 </w:t>
      </w:r>
      <w:r w:rsidRPr="008376FC">
        <w:rPr>
          <w:rFonts w:asciiTheme="majorHAnsi" w:hAnsiTheme="majorHAnsi" w:cstheme="majorHAnsi"/>
          <w:b/>
          <w:color w:val="0070C0"/>
          <w:lang w:val="en-US"/>
        </w:rPr>
        <w:t>proiectele aferente infrastructurii de alimentare cu apă şi sanitaţie se realizează din contul FNDRL, componenta locală</w:t>
      </w:r>
      <w:r w:rsidR="00877C27">
        <w:rPr>
          <w:rFonts w:asciiTheme="majorHAnsi" w:hAnsiTheme="majorHAnsi" w:cstheme="majorHAnsi"/>
          <w:b/>
          <w:color w:val="0070C0"/>
          <w:lang w:val="en-US"/>
        </w:rPr>
        <w:t>.</w:t>
      </w:r>
    </w:p>
    <w:p w:rsidR="00756AE7" w:rsidRPr="008376FC" w:rsidRDefault="00614D9A" w:rsidP="00F61756">
      <w:pPr>
        <w:spacing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sz w:val="24"/>
          <w:szCs w:val="24"/>
          <w:lang w:eastAsia="ru-RU"/>
        </w:rPr>
        <w:t>MIDR</w:t>
      </w:r>
      <w:r w:rsidR="00756AE7" w:rsidRPr="008376FC">
        <w:rPr>
          <w:rFonts w:asciiTheme="majorHAnsi" w:eastAsia="Times New Roman" w:hAnsiTheme="majorHAnsi" w:cstheme="majorHAnsi"/>
          <w:b w:val="0"/>
          <w:bCs w:val="0"/>
          <w:sz w:val="24"/>
          <w:szCs w:val="24"/>
          <w:lang w:eastAsia="ru-RU"/>
        </w:rPr>
        <w:t>, în conformitate cu prevederile art.7 din Legea nr.27/2022 privind FNDRL și în vederea inițierii etapei de planificare și programare în domeniul dezvoltării locale, începând cu data de 22 martie 2022, a inițiat Concursul în cadrul Programului Național „Satul European”, pentru identificarea, evaluarea și aprobarea proiectelor de dezvoltare locală propuse spre finanțare din FNDRL</w:t>
      </w:r>
      <w:r w:rsidR="00534DEE">
        <w:rPr>
          <w:rFonts w:asciiTheme="majorHAnsi" w:eastAsia="Times New Roman" w:hAnsiTheme="majorHAnsi" w:cstheme="majorHAnsi"/>
          <w:b w:val="0"/>
          <w:bCs w:val="0"/>
          <w:sz w:val="24"/>
          <w:szCs w:val="24"/>
          <w:lang w:eastAsia="ru-RU"/>
        </w:rPr>
        <w:t>,</w:t>
      </w:r>
      <w:r w:rsidR="00756AE7" w:rsidRPr="008376FC">
        <w:rPr>
          <w:rFonts w:asciiTheme="majorHAnsi" w:eastAsia="Times New Roman" w:hAnsiTheme="majorHAnsi" w:cstheme="majorHAnsi"/>
          <w:b w:val="0"/>
          <w:bCs w:val="0"/>
          <w:sz w:val="24"/>
          <w:szCs w:val="24"/>
          <w:lang w:eastAsia="ru-RU"/>
        </w:rPr>
        <w:t xml:space="preserve"> cu termenul limită 20 aprilie 2022. </w:t>
      </w:r>
    </w:p>
    <w:p w:rsidR="00756AE7" w:rsidRPr="008376FC" w:rsidRDefault="00756AE7" w:rsidP="00F61756">
      <w:pPr>
        <w:spacing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sz w:val="24"/>
          <w:szCs w:val="24"/>
          <w:lang w:eastAsia="ru-RU"/>
        </w:rPr>
        <w:t xml:space="preserve">Dosarele cu cererile de finanțare pentru proiectele de dezvoltare a infrastructurii locale au fost depuse la sediul </w:t>
      </w:r>
      <w:r w:rsidR="00614D9A" w:rsidRPr="008376FC">
        <w:rPr>
          <w:rFonts w:asciiTheme="majorHAnsi" w:eastAsia="Times New Roman" w:hAnsiTheme="majorHAnsi" w:cstheme="majorHAnsi"/>
          <w:b w:val="0"/>
          <w:bCs w:val="0"/>
          <w:sz w:val="24"/>
          <w:szCs w:val="24"/>
          <w:lang w:eastAsia="ru-RU"/>
        </w:rPr>
        <w:t>ADR</w:t>
      </w:r>
      <w:r w:rsidRPr="008376FC">
        <w:rPr>
          <w:rFonts w:asciiTheme="majorHAnsi" w:eastAsia="Times New Roman" w:hAnsiTheme="majorHAnsi" w:cstheme="majorHAnsi"/>
          <w:b w:val="0"/>
          <w:bCs w:val="0"/>
          <w:sz w:val="24"/>
          <w:szCs w:val="24"/>
          <w:lang w:eastAsia="ru-RU"/>
        </w:rPr>
        <w:t xml:space="preserve"> (Nord, Centru, Sud, Găgăuzia), unde a avut loc evaluarea administrativă a cererii de finanțare, a completitudinii și veridicității datelor și a conformității, după care dosarele au fost transmise către ONDRL. Desfășurarea etapei finale de selectare a dosarelor</w:t>
      </w:r>
      <w:r w:rsidR="00534DEE">
        <w:rPr>
          <w:rFonts w:asciiTheme="majorHAnsi" w:eastAsia="Times New Roman" w:hAnsiTheme="majorHAnsi" w:cstheme="majorHAnsi"/>
          <w:b w:val="0"/>
          <w:bCs w:val="0"/>
          <w:sz w:val="24"/>
          <w:szCs w:val="24"/>
          <w:lang w:eastAsia="ru-RU"/>
        </w:rPr>
        <w:t>,</w:t>
      </w:r>
      <w:r w:rsidRPr="008376FC">
        <w:rPr>
          <w:rFonts w:asciiTheme="majorHAnsi" w:eastAsia="Times New Roman" w:hAnsiTheme="majorHAnsi" w:cstheme="majorHAnsi"/>
          <w:b w:val="0"/>
          <w:bCs w:val="0"/>
          <w:sz w:val="24"/>
          <w:szCs w:val="24"/>
          <w:lang w:eastAsia="ru-RU"/>
        </w:rPr>
        <w:t xml:space="preserve"> </w:t>
      </w:r>
      <w:r w:rsidRPr="008376FC">
        <w:rPr>
          <w:rFonts w:asciiTheme="majorHAnsi" w:eastAsia="Times New Roman" w:hAnsiTheme="majorHAnsi" w:cstheme="majorHAnsi"/>
          <w:b w:val="0"/>
          <w:bCs w:val="0"/>
          <w:i/>
          <w:sz w:val="24"/>
          <w:szCs w:val="24"/>
          <w:lang w:eastAsia="ru-RU"/>
        </w:rPr>
        <w:t>evaluarea tehnică</w:t>
      </w:r>
      <w:r w:rsidR="00534DEE">
        <w:rPr>
          <w:rFonts w:asciiTheme="majorHAnsi" w:eastAsia="Times New Roman" w:hAnsiTheme="majorHAnsi" w:cstheme="majorHAnsi"/>
          <w:b w:val="0"/>
          <w:bCs w:val="0"/>
          <w:i/>
          <w:sz w:val="24"/>
          <w:szCs w:val="24"/>
          <w:lang w:eastAsia="ru-RU"/>
        </w:rPr>
        <w:t>,</w:t>
      </w:r>
      <w:r w:rsidRPr="008376FC">
        <w:rPr>
          <w:rFonts w:asciiTheme="majorHAnsi" w:eastAsia="Times New Roman" w:hAnsiTheme="majorHAnsi" w:cstheme="majorHAnsi"/>
          <w:b w:val="0"/>
          <w:bCs w:val="0"/>
          <w:sz w:val="24"/>
          <w:szCs w:val="24"/>
          <w:lang w:eastAsia="ru-RU"/>
        </w:rPr>
        <w:t xml:space="preserve"> s-a realizat în cadrul ONDRL prin intermediul Comisiei</w:t>
      </w:r>
      <w:r w:rsidRPr="008376FC">
        <w:rPr>
          <w:rFonts w:asciiTheme="majorHAnsi" w:eastAsia="Times New Roman" w:hAnsiTheme="majorHAnsi" w:cstheme="majorHAnsi"/>
          <w:b w:val="0"/>
          <w:bCs w:val="0"/>
          <w:sz w:val="24"/>
          <w:szCs w:val="24"/>
          <w:vertAlign w:val="superscript"/>
          <w:lang w:eastAsia="ru-RU"/>
        </w:rPr>
        <w:footnoteReference w:id="61"/>
      </w:r>
      <w:r w:rsidRPr="008376FC">
        <w:rPr>
          <w:rFonts w:asciiTheme="majorHAnsi" w:eastAsia="Times New Roman" w:hAnsiTheme="majorHAnsi" w:cstheme="majorHAnsi"/>
          <w:b w:val="0"/>
          <w:bCs w:val="0"/>
          <w:sz w:val="24"/>
          <w:szCs w:val="24"/>
          <w:lang w:eastAsia="ru-RU"/>
        </w:rPr>
        <w:t xml:space="preserve"> de evaluare tehnică a cererilor de finanțare. </w:t>
      </w:r>
    </w:p>
    <w:p w:rsidR="00756AE7" w:rsidRPr="008376FC" w:rsidRDefault="00756AE7" w:rsidP="00F61756">
      <w:pPr>
        <w:spacing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sz w:val="24"/>
          <w:szCs w:val="24"/>
          <w:lang w:eastAsia="ru-RU"/>
        </w:rPr>
        <w:t xml:space="preserve">În </w:t>
      </w:r>
      <w:r w:rsidR="007C3571">
        <w:rPr>
          <w:rFonts w:asciiTheme="majorHAnsi" w:eastAsia="Times New Roman" w:hAnsiTheme="majorHAnsi" w:cstheme="majorHAnsi"/>
          <w:b w:val="0"/>
          <w:bCs w:val="0"/>
          <w:sz w:val="24"/>
          <w:szCs w:val="24"/>
          <w:lang w:eastAsia="ru-RU"/>
        </w:rPr>
        <w:t>urma</w:t>
      </w:r>
      <w:r w:rsidR="007C3571" w:rsidRPr="008376FC">
        <w:rPr>
          <w:rFonts w:asciiTheme="majorHAnsi" w:eastAsia="Times New Roman" w:hAnsiTheme="majorHAnsi" w:cstheme="majorHAnsi"/>
          <w:b w:val="0"/>
          <w:bCs w:val="0"/>
          <w:sz w:val="24"/>
          <w:szCs w:val="24"/>
          <w:lang w:eastAsia="ru-RU"/>
        </w:rPr>
        <w:t xml:space="preserve"> </w:t>
      </w:r>
      <w:r w:rsidRPr="008376FC">
        <w:rPr>
          <w:rFonts w:asciiTheme="majorHAnsi" w:eastAsia="Times New Roman" w:hAnsiTheme="majorHAnsi" w:cstheme="majorHAnsi"/>
          <w:b w:val="0"/>
          <w:bCs w:val="0"/>
          <w:sz w:val="24"/>
          <w:szCs w:val="24"/>
          <w:lang w:eastAsia="ru-RU"/>
        </w:rPr>
        <w:t>concursului desfășurat, prin Hotărârea Guvernului nr. 536/2022 au fost aprobate 492 de proiecte</w:t>
      </w:r>
      <w:r w:rsidR="00791573" w:rsidRPr="008376FC">
        <w:rPr>
          <w:rFonts w:asciiTheme="majorHAnsi" w:eastAsia="Times New Roman" w:hAnsiTheme="majorHAnsi" w:cstheme="majorHAnsi"/>
          <w:b w:val="0"/>
          <w:bCs w:val="0"/>
          <w:sz w:val="24"/>
          <w:szCs w:val="24"/>
          <w:lang w:eastAsia="ru-RU"/>
        </w:rPr>
        <w:t xml:space="preserve"> </w:t>
      </w:r>
      <w:r w:rsidR="00174C86" w:rsidRPr="008376FC">
        <w:rPr>
          <w:rFonts w:asciiTheme="majorHAnsi" w:eastAsia="Times New Roman" w:hAnsiTheme="majorHAnsi" w:cstheme="majorHAnsi"/>
          <w:b w:val="0"/>
          <w:bCs w:val="0"/>
          <w:sz w:val="24"/>
          <w:szCs w:val="24"/>
          <w:lang w:eastAsia="ru-RU"/>
        </w:rPr>
        <w:t xml:space="preserve">în valoare totală de </w:t>
      </w:r>
      <w:r w:rsidR="00435979" w:rsidRPr="008376FC">
        <w:rPr>
          <w:rFonts w:asciiTheme="majorHAnsi" w:eastAsia="Times New Roman" w:hAnsiTheme="majorHAnsi" w:cstheme="majorHAnsi"/>
          <w:b w:val="0"/>
          <w:bCs w:val="0"/>
          <w:sz w:val="24"/>
          <w:szCs w:val="24"/>
          <w:lang w:eastAsia="ru-RU"/>
        </w:rPr>
        <w:t>2</w:t>
      </w:r>
      <w:r w:rsidR="007C3571">
        <w:rPr>
          <w:rFonts w:asciiTheme="majorHAnsi" w:eastAsia="Times New Roman" w:hAnsiTheme="majorHAnsi" w:cstheme="majorHAnsi"/>
          <w:b w:val="0"/>
          <w:bCs w:val="0"/>
          <w:sz w:val="24"/>
          <w:szCs w:val="24"/>
          <w:lang w:eastAsia="ru-RU"/>
        </w:rPr>
        <w:t>.</w:t>
      </w:r>
      <w:r w:rsidR="00435979" w:rsidRPr="008376FC">
        <w:rPr>
          <w:rFonts w:asciiTheme="majorHAnsi" w:eastAsia="Times New Roman" w:hAnsiTheme="majorHAnsi" w:cstheme="majorHAnsi"/>
          <w:b w:val="0"/>
          <w:bCs w:val="0"/>
          <w:sz w:val="24"/>
          <w:szCs w:val="24"/>
          <w:lang w:eastAsia="ru-RU"/>
        </w:rPr>
        <w:t xml:space="preserve">240,6 </w:t>
      </w:r>
      <w:r w:rsidR="000056B2" w:rsidRPr="008376FC">
        <w:rPr>
          <w:rFonts w:asciiTheme="majorHAnsi" w:eastAsia="Times New Roman" w:hAnsiTheme="majorHAnsi" w:cstheme="majorHAnsi"/>
          <w:b w:val="0"/>
          <w:bCs w:val="0"/>
          <w:sz w:val="24"/>
          <w:szCs w:val="24"/>
          <w:lang w:eastAsia="ru-RU"/>
        </w:rPr>
        <w:t>mil.lei</w:t>
      </w:r>
      <w:r w:rsidR="007C3571">
        <w:rPr>
          <w:rFonts w:asciiTheme="majorHAnsi" w:eastAsia="Times New Roman" w:hAnsiTheme="majorHAnsi" w:cstheme="majorHAnsi"/>
          <w:b w:val="0"/>
          <w:bCs w:val="0"/>
          <w:sz w:val="24"/>
          <w:szCs w:val="24"/>
          <w:lang w:eastAsia="ru-RU"/>
        </w:rPr>
        <w:t>,</w:t>
      </w:r>
      <w:r w:rsidRPr="008376FC">
        <w:rPr>
          <w:rFonts w:asciiTheme="majorHAnsi" w:eastAsia="Times New Roman" w:hAnsiTheme="majorHAnsi" w:cstheme="majorHAnsi"/>
          <w:b w:val="0"/>
          <w:bCs w:val="0"/>
          <w:sz w:val="24"/>
          <w:szCs w:val="24"/>
          <w:lang w:eastAsia="ru-RU"/>
        </w:rPr>
        <w:t xml:space="preserve"> pentru finanțare din FNDRL</w:t>
      </w:r>
      <w:r w:rsidR="00D56F38" w:rsidRPr="008376FC">
        <w:rPr>
          <w:rFonts w:asciiTheme="majorHAnsi" w:eastAsia="Times New Roman" w:hAnsiTheme="majorHAnsi" w:cstheme="majorHAnsi"/>
          <w:b w:val="0"/>
          <w:bCs w:val="0"/>
          <w:sz w:val="24"/>
          <w:szCs w:val="24"/>
          <w:lang w:eastAsia="ru-RU"/>
        </w:rPr>
        <w:t>, componenta locală</w:t>
      </w:r>
      <w:r w:rsidR="007F6CB1" w:rsidRPr="008376FC">
        <w:rPr>
          <w:rFonts w:asciiTheme="majorHAnsi" w:eastAsia="Times New Roman" w:hAnsiTheme="majorHAnsi" w:cstheme="majorHAnsi"/>
          <w:b w:val="0"/>
          <w:bCs w:val="0"/>
          <w:sz w:val="24"/>
          <w:szCs w:val="24"/>
          <w:lang w:eastAsia="ru-RU"/>
        </w:rPr>
        <w:t>,</w:t>
      </w:r>
      <w:r w:rsidRPr="008376FC">
        <w:rPr>
          <w:rFonts w:asciiTheme="majorHAnsi" w:eastAsia="Times New Roman" w:hAnsiTheme="majorHAnsi" w:cstheme="majorHAnsi"/>
          <w:b w:val="0"/>
          <w:bCs w:val="0"/>
          <w:sz w:val="24"/>
          <w:szCs w:val="24"/>
          <w:lang w:eastAsia="ru-RU"/>
        </w:rPr>
        <w:t xml:space="preserve"> în perioada 2022-2023, cu includerea proiectelor vizate în Documentul unic de program, dintre care 152 </w:t>
      </w:r>
      <w:r w:rsidR="007C3571">
        <w:rPr>
          <w:rFonts w:asciiTheme="majorHAnsi" w:eastAsia="Times New Roman" w:hAnsiTheme="majorHAnsi" w:cstheme="majorHAnsi"/>
          <w:b w:val="0"/>
          <w:bCs w:val="0"/>
          <w:sz w:val="24"/>
          <w:szCs w:val="24"/>
          <w:lang w:eastAsia="ru-RU"/>
        </w:rPr>
        <w:t xml:space="preserve">de </w:t>
      </w:r>
      <w:r w:rsidRPr="008376FC">
        <w:rPr>
          <w:rFonts w:asciiTheme="majorHAnsi" w:eastAsia="Times New Roman" w:hAnsiTheme="majorHAnsi" w:cstheme="majorHAnsi"/>
          <w:b w:val="0"/>
          <w:bCs w:val="0"/>
          <w:sz w:val="24"/>
          <w:szCs w:val="24"/>
          <w:lang w:eastAsia="ru-RU"/>
        </w:rPr>
        <w:t>proiecte</w:t>
      </w:r>
      <w:r w:rsidR="008B77A3">
        <w:rPr>
          <w:rFonts w:asciiTheme="majorHAnsi" w:eastAsia="Times New Roman" w:hAnsiTheme="majorHAnsi" w:cstheme="majorHAnsi"/>
          <w:b w:val="0"/>
          <w:bCs w:val="0"/>
          <w:sz w:val="24"/>
          <w:szCs w:val="24"/>
          <w:lang w:eastAsia="ru-RU"/>
        </w:rPr>
        <w:t xml:space="preserve"> în valoare de </w:t>
      </w:r>
      <w:r w:rsidR="00DB2FE1">
        <w:rPr>
          <w:rFonts w:asciiTheme="majorHAnsi" w:eastAsia="Times New Roman" w:hAnsiTheme="majorHAnsi" w:cstheme="majorHAnsi"/>
          <w:b w:val="0"/>
          <w:bCs w:val="0"/>
          <w:sz w:val="24"/>
          <w:szCs w:val="24"/>
          <w:lang w:eastAsia="ru-RU"/>
        </w:rPr>
        <w:t>1039,3</w:t>
      </w:r>
      <w:r w:rsidR="008B77A3">
        <w:rPr>
          <w:rFonts w:asciiTheme="majorHAnsi" w:eastAsia="Times New Roman" w:hAnsiTheme="majorHAnsi" w:cstheme="majorHAnsi"/>
          <w:b w:val="0"/>
          <w:bCs w:val="0"/>
          <w:sz w:val="24"/>
          <w:szCs w:val="24"/>
          <w:lang w:eastAsia="ru-RU"/>
        </w:rPr>
        <w:t xml:space="preserve"> mil.lei </w:t>
      </w:r>
      <w:r w:rsidRPr="008376FC">
        <w:rPr>
          <w:rFonts w:asciiTheme="majorHAnsi" w:eastAsia="Times New Roman" w:hAnsiTheme="majorHAnsi" w:cstheme="majorHAnsi"/>
          <w:b w:val="0"/>
          <w:bCs w:val="0"/>
          <w:sz w:val="24"/>
          <w:szCs w:val="24"/>
          <w:lang w:eastAsia="ru-RU"/>
        </w:rPr>
        <w:t>s</w:t>
      </w:r>
      <w:r w:rsidR="007C3571">
        <w:rPr>
          <w:rFonts w:asciiTheme="majorHAnsi" w:eastAsia="Times New Roman" w:hAnsiTheme="majorHAnsi" w:cstheme="majorHAnsi"/>
          <w:b w:val="0"/>
          <w:bCs w:val="0"/>
          <w:sz w:val="24"/>
          <w:szCs w:val="24"/>
          <w:lang w:eastAsia="ru-RU"/>
        </w:rPr>
        <w:t>unt</w:t>
      </w:r>
      <w:r w:rsidRPr="008376FC">
        <w:rPr>
          <w:rFonts w:asciiTheme="majorHAnsi" w:eastAsia="Times New Roman" w:hAnsiTheme="majorHAnsi" w:cstheme="majorHAnsi"/>
          <w:b w:val="0"/>
          <w:bCs w:val="0"/>
          <w:sz w:val="24"/>
          <w:szCs w:val="24"/>
          <w:lang w:eastAsia="ru-RU"/>
        </w:rPr>
        <w:t xml:space="preserve"> atribui</w:t>
      </w:r>
      <w:r w:rsidR="007C3571">
        <w:rPr>
          <w:rFonts w:asciiTheme="majorHAnsi" w:eastAsia="Times New Roman" w:hAnsiTheme="majorHAnsi" w:cstheme="majorHAnsi"/>
          <w:b w:val="0"/>
          <w:bCs w:val="0"/>
          <w:sz w:val="24"/>
          <w:szCs w:val="24"/>
          <w:lang w:eastAsia="ru-RU"/>
        </w:rPr>
        <w:t>t</w:t>
      </w:r>
      <w:r w:rsidRPr="008376FC">
        <w:rPr>
          <w:rFonts w:asciiTheme="majorHAnsi" w:eastAsia="Times New Roman" w:hAnsiTheme="majorHAnsi" w:cstheme="majorHAnsi"/>
          <w:b w:val="0"/>
          <w:bCs w:val="0"/>
          <w:sz w:val="24"/>
          <w:szCs w:val="24"/>
          <w:lang w:eastAsia="ru-RU"/>
        </w:rPr>
        <w:t xml:space="preserve">e la Măsura 1.1. </w:t>
      </w:r>
    </w:p>
    <w:p w:rsidR="00756AE7" w:rsidRPr="008376FC" w:rsidRDefault="00756AE7" w:rsidP="00F61756">
      <w:pPr>
        <w:spacing w:after="0" w:line="276" w:lineRule="auto"/>
        <w:jc w:val="both"/>
        <w:rPr>
          <w:rFonts w:asciiTheme="majorHAnsi" w:hAnsiTheme="majorHAnsi" w:cstheme="majorHAnsi"/>
          <w:b w:val="0"/>
          <w:bCs w:val="0"/>
          <w:sz w:val="24"/>
          <w:szCs w:val="24"/>
        </w:rPr>
      </w:pPr>
      <w:r w:rsidRPr="008376FC">
        <w:rPr>
          <w:rFonts w:asciiTheme="majorHAnsi" w:eastAsia="Times New Roman" w:hAnsiTheme="majorHAnsi" w:cstheme="majorHAnsi"/>
          <w:b w:val="0"/>
          <w:bCs w:val="0"/>
          <w:sz w:val="24"/>
          <w:szCs w:val="24"/>
          <w:lang w:eastAsia="ru-RU"/>
        </w:rPr>
        <w:t xml:space="preserve">Este de menționat </w:t>
      </w:r>
      <w:r w:rsidR="00355CEF">
        <w:rPr>
          <w:rFonts w:asciiTheme="majorHAnsi" w:eastAsia="Times New Roman" w:hAnsiTheme="majorHAnsi" w:cstheme="majorHAnsi"/>
          <w:b w:val="0"/>
          <w:bCs w:val="0"/>
          <w:sz w:val="24"/>
          <w:szCs w:val="24"/>
          <w:lang w:eastAsia="ru-RU"/>
        </w:rPr>
        <w:t xml:space="preserve">faptul </w:t>
      </w:r>
      <w:r w:rsidRPr="008376FC">
        <w:rPr>
          <w:rFonts w:asciiTheme="majorHAnsi" w:eastAsia="Times New Roman" w:hAnsiTheme="majorHAnsi" w:cstheme="majorHAnsi"/>
          <w:b w:val="0"/>
          <w:bCs w:val="0"/>
          <w:sz w:val="24"/>
          <w:szCs w:val="24"/>
          <w:lang w:eastAsia="ru-RU"/>
        </w:rPr>
        <w:t>că reorganizarea Fondului Ecologic Național a impus beneficiarii proiectelor de aprovizionare cu apă și sanitație, care nu pot fi finalizate cu mijloacele financiare alocate din FEN, să solicit</w:t>
      </w:r>
      <w:r w:rsidR="00355CEF">
        <w:rPr>
          <w:rFonts w:asciiTheme="majorHAnsi" w:eastAsia="Times New Roman" w:hAnsiTheme="majorHAnsi" w:cstheme="majorHAnsi"/>
          <w:b w:val="0"/>
          <w:bCs w:val="0"/>
          <w:sz w:val="24"/>
          <w:szCs w:val="24"/>
          <w:lang w:eastAsia="ru-RU"/>
        </w:rPr>
        <w:t>e</w:t>
      </w:r>
      <w:r w:rsidRPr="008376FC">
        <w:rPr>
          <w:rFonts w:asciiTheme="majorHAnsi" w:eastAsia="Times New Roman" w:hAnsiTheme="majorHAnsi" w:cstheme="majorHAnsi"/>
          <w:b w:val="0"/>
          <w:bCs w:val="0"/>
          <w:sz w:val="24"/>
          <w:szCs w:val="24"/>
          <w:lang w:eastAsia="ru-RU"/>
        </w:rPr>
        <w:t xml:space="preserve"> suport financiar suplimentar în cadrul programelor oferite de FNDRL sau</w:t>
      </w:r>
      <w:r w:rsidR="00355CEF">
        <w:rPr>
          <w:rFonts w:asciiTheme="majorHAnsi" w:eastAsia="Times New Roman" w:hAnsiTheme="majorHAnsi" w:cstheme="majorHAnsi"/>
          <w:b w:val="0"/>
          <w:bCs w:val="0"/>
          <w:sz w:val="24"/>
          <w:szCs w:val="24"/>
          <w:lang w:eastAsia="ru-RU"/>
        </w:rPr>
        <w:t xml:space="preserve"> de la</w:t>
      </w:r>
      <w:r w:rsidRPr="008376FC">
        <w:rPr>
          <w:rFonts w:asciiTheme="majorHAnsi" w:eastAsia="Times New Roman" w:hAnsiTheme="majorHAnsi" w:cstheme="majorHAnsi"/>
          <w:b w:val="0"/>
          <w:bCs w:val="0"/>
          <w:sz w:val="24"/>
          <w:szCs w:val="24"/>
          <w:lang w:eastAsia="ru-RU"/>
        </w:rPr>
        <w:t xml:space="preserve"> alți finanțatori. În acest sens, în DUP 2022-2024 au fost incluse 47 de proiecte</w:t>
      </w:r>
      <w:r w:rsidR="008B77A3">
        <w:rPr>
          <w:rFonts w:asciiTheme="majorHAnsi" w:eastAsia="Times New Roman" w:hAnsiTheme="majorHAnsi" w:cstheme="majorHAnsi"/>
          <w:b w:val="0"/>
          <w:bCs w:val="0"/>
          <w:sz w:val="24"/>
          <w:szCs w:val="24"/>
          <w:lang w:eastAsia="ru-RU"/>
        </w:rPr>
        <w:t xml:space="preserve"> în valoare totală </w:t>
      </w:r>
      <w:r w:rsidR="008B77A3" w:rsidRPr="00230EED">
        <w:rPr>
          <w:rFonts w:asciiTheme="majorHAnsi" w:eastAsia="Times New Roman" w:hAnsiTheme="majorHAnsi" w:cstheme="majorHAnsi"/>
          <w:b w:val="0"/>
          <w:bCs w:val="0"/>
          <w:sz w:val="24"/>
          <w:szCs w:val="24"/>
          <w:lang w:eastAsia="ru-RU"/>
        </w:rPr>
        <w:t xml:space="preserve">de </w:t>
      </w:r>
      <w:r w:rsidR="00230EED">
        <w:rPr>
          <w:rFonts w:asciiTheme="majorHAnsi" w:eastAsia="Times New Roman" w:hAnsiTheme="majorHAnsi" w:cstheme="majorHAnsi"/>
          <w:b w:val="0"/>
          <w:bCs w:val="0"/>
          <w:sz w:val="24"/>
          <w:szCs w:val="24"/>
          <w:lang w:eastAsia="ru-RU"/>
        </w:rPr>
        <w:t>320,8</w:t>
      </w:r>
      <w:r w:rsidR="008B77A3">
        <w:rPr>
          <w:rFonts w:asciiTheme="majorHAnsi" w:eastAsia="Times New Roman" w:hAnsiTheme="majorHAnsi" w:cstheme="majorHAnsi"/>
          <w:b w:val="0"/>
          <w:bCs w:val="0"/>
          <w:sz w:val="24"/>
          <w:szCs w:val="24"/>
          <w:lang w:eastAsia="ru-RU"/>
        </w:rPr>
        <w:t xml:space="preserve"> mil.lei</w:t>
      </w:r>
      <w:r w:rsidRPr="008376FC">
        <w:rPr>
          <w:rFonts w:asciiTheme="majorHAnsi" w:eastAsia="Times New Roman" w:hAnsiTheme="majorHAnsi" w:cstheme="majorHAnsi"/>
          <w:b w:val="0"/>
          <w:bCs w:val="0"/>
          <w:sz w:val="24"/>
          <w:szCs w:val="24"/>
          <w:lang w:eastAsia="ru-RU"/>
        </w:rPr>
        <w:t xml:space="preserve">. Totodată, au fost incluse în DUP 3 proiecte implementate din sursele FNDAMR, prin care vor continua desfășurarea etapelor următoare de dezvoltare a </w:t>
      </w:r>
      <w:r w:rsidRPr="008376FC">
        <w:rPr>
          <w:rFonts w:asciiTheme="majorHAnsi" w:hAnsiTheme="majorHAnsi" w:cstheme="majorHAnsi"/>
          <w:b w:val="0"/>
          <w:bCs w:val="0"/>
          <w:sz w:val="24"/>
          <w:szCs w:val="24"/>
        </w:rPr>
        <w:t>obiectivelor de infrastructură.</w:t>
      </w:r>
    </w:p>
    <w:p w:rsidR="00614D9A" w:rsidRPr="008376FC" w:rsidRDefault="00756AE7" w:rsidP="00F61756">
      <w:pPr>
        <w:spacing w:after="0" w:line="276" w:lineRule="auto"/>
        <w:jc w:val="both"/>
        <w:rPr>
          <w:rFonts w:asciiTheme="majorHAnsi" w:hAnsiTheme="majorHAnsi" w:cstheme="majorHAnsi"/>
          <w:b w:val="0"/>
          <w:bCs w:val="0"/>
          <w:i/>
          <w:sz w:val="24"/>
          <w:szCs w:val="24"/>
        </w:rPr>
      </w:pPr>
      <w:r w:rsidRPr="008376FC">
        <w:rPr>
          <w:rFonts w:asciiTheme="majorHAnsi" w:eastAsia="Times New Roman" w:hAnsiTheme="majorHAnsi" w:cstheme="majorHAnsi"/>
          <w:b w:val="0"/>
          <w:bCs w:val="0"/>
          <w:sz w:val="24"/>
          <w:szCs w:val="24"/>
          <w:lang w:eastAsia="ru-RU"/>
        </w:rPr>
        <w:t>În perioada iulie-septembrie 2022 au fost recepționate 3 cereri de finanțare cu solicitare</w:t>
      </w:r>
      <w:r w:rsidR="00355CEF">
        <w:rPr>
          <w:rFonts w:asciiTheme="majorHAnsi" w:eastAsia="Times New Roman" w:hAnsiTheme="majorHAnsi" w:cstheme="majorHAnsi"/>
          <w:b w:val="0"/>
          <w:bCs w:val="0"/>
          <w:sz w:val="24"/>
          <w:szCs w:val="24"/>
          <w:lang w:eastAsia="ru-RU"/>
        </w:rPr>
        <w:t>a</w:t>
      </w:r>
      <w:r w:rsidRPr="008376FC">
        <w:rPr>
          <w:rFonts w:asciiTheme="majorHAnsi" w:eastAsia="Times New Roman" w:hAnsiTheme="majorHAnsi" w:cstheme="majorHAnsi"/>
          <w:b w:val="0"/>
          <w:bCs w:val="0"/>
          <w:sz w:val="24"/>
          <w:szCs w:val="24"/>
          <w:lang w:eastAsia="ru-RU"/>
        </w:rPr>
        <w:t xml:space="preserve"> de includere în DUP pentru anii 2022-</w:t>
      </w:r>
      <w:r w:rsidR="007F6CB1" w:rsidRPr="008376FC">
        <w:rPr>
          <w:rFonts w:asciiTheme="majorHAnsi" w:eastAsia="Times New Roman" w:hAnsiTheme="majorHAnsi" w:cstheme="majorHAnsi"/>
          <w:b w:val="0"/>
          <w:bCs w:val="0"/>
          <w:sz w:val="24"/>
          <w:szCs w:val="24"/>
          <w:lang w:eastAsia="ru-RU"/>
        </w:rPr>
        <w:t xml:space="preserve">2023 </w:t>
      </w:r>
      <w:r w:rsidRPr="008376FC">
        <w:rPr>
          <w:rFonts w:asciiTheme="majorHAnsi" w:eastAsia="Times New Roman" w:hAnsiTheme="majorHAnsi" w:cstheme="majorHAnsi"/>
          <w:b w:val="0"/>
          <w:bCs w:val="0"/>
          <w:sz w:val="24"/>
          <w:szCs w:val="24"/>
          <w:lang w:eastAsia="ru-RU"/>
        </w:rPr>
        <w:t>a proiectelor de alimentare cu apă şi sanitație (Măsura nr.1.1.)</w:t>
      </w:r>
      <w:r w:rsidR="00355CEF">
        <w:rPr>
          <w:rFonts w:asciiTheme="majorHAnsi" w:eastAsia="Times New Roman" w:hAnsiTheme="majorHAnsi" w:cstheme="majorHAnsi"/>
          <w:b w:val="0"/>
          <w:bCs w:val="0"/>
          <w:sz w:val="24"/>
          <w:szCs w:val="24"/>
          <w:lang w:eastAsia="ru-RU"/>
        </w:rPr>
        <w:t>,</w:t>
      </w:r>
      <w:r w:rsidRPr="008376FC">
        <w:rPr>
          <w:rFonts w:asciiTheme="majorHAnsi" w:eastAsia="Times New Roman" w:hAnsiTheme="majorHAnsi" w:cstheme="majorHAnsi"/>
          <w:b w:val="0"/>
          <w:bCs w:val="0"/>
          <w:sz w:val="24"/>
          <w:szCs w:val="24"/>
          <w:lang w:eastAsia="ru-RU"/>
        </w:rPr>
        <w:t xml:space="preserve"> care reprezintă continuarea lucrărilor pentru etapele anterioare finanțate din </w:t>
      </w:r>
      <w:r w:rsidR="00614D9A" w:rsidRPr="008376FC">
        <w:rPr>
          <w:rFonts w:asciiTheme="majorHAnsi" w:eastAsia="Times New Roman" w:hAnsiTheme="majorHAnsi" w:cstheme="majorHAnsi"/>
          <w:b w:val="0"/>
          <w:bCs w:val="0"/>
          <w:sz w:val="24"/>
          <w:szCs w:val="24"/>
          <w:lang w:eastAsia="ru-RU"/>
        </w:rPr>
        <w:t>F</w:t>
      </w:r>
      <w:r w:rsidRPr="008376FC">
        <w:rPr>
          <w:rFonts w:asciiTheme="majorHAnsi" w:eastAsia="Times New Roman" w:hAnsiTheme="majorHAnsi" w:cstheme="majorHAnsi"/>
          <w:b w:val="0"/>
          <w:bCs w:val="0"/>
          <w:sz w:val="24"/>
          <w:szCs w:val="24"/>
          <w:lang w:eastAsia="ru-RU"/>
        </w:rPr>
        <w:t>EN</w:t>
      </w:r>
      <w:r w:rsidRPr="008376FC">
        <w:rPr>
          <w:rFonts w:asciiTheme="majorHAnsi" w:eastAsia="Times New Roman" w:hAnsiTheme="majorHAnsi" w:cstheme="majorHAnsi"/>
          <w:b w:val="0"/>
          <w:bCs w:val="0"/>
          <w:sz w:val="24"/>
          <w:szCs w:val="24"/>
          <w:vertAlign w:val="superscript"/>
          <w:lang w:eastAsia="ru-RU"/>
        </w:rPr>
        <w:footnoteReference w:id="62"/>
      </w:r>
      <w:r w:rsidR="007F6CB1" w:rsidRPr="008376FC">
        <w:rPr>
          <w:rFonts w:asciiTheme="majorHAnsi" w:eastAsia="Times New Roman" w:hAnsiTheme="majorHAnsi" w:cstheme="majorHAnsi"/>
          <w:b w:val="0"/>
          <w:bCs w:val="0"/>
          <w:sz w:val="24"/>
          <w:szCs w:val="24"/>
          <w:lang w:eastAsia="ru-RU"/>
        </w:rPr>
        <w:t>, numărul total al proiectelor ce reprezintă o continuitate a etapelor FEN în cadrul DUP 2022-2023 fiind majorat la 50 de proiecte.</w:t>
      </w:r>
    </w:p>
    <w:p w:rsidR="00756AE7" w:rsidRPr="008376FC" w:rsidRDefault="003F7F00" w:rsidP="00F46FB7">
      <w:pPr>
        <w:spacing w:after="0" w:line="276" w:lineRule="auto"/>
        <w:jc w:val="right"/>
        <w:rPr>
          <w:rFonts w:asciiTheme="majorHAnsi" w:eastAsia="Times New Roman" w:hAnsiTheme="majorHAnsi" w:cstheme="majorHAnsi"/>
          <w:bCs w:val="0"/>
          <w:sz w:val="20"/>
          <w:szCs w:val="20"/>
          <w:lang w:eastAsia="ru-RU"/>
        </w:rPr>
      </w:pPr>
      <w:r w:rsidRPr="008376FC">
        <w:rPr>
          <w:rFonts w:asciiTheme="majorHAnsi" w:hAnsiTheme="majorHAnsi" w:cstheme="majorHAnsi"/>
          <w:bCs w:val="0"/>
          <w:sz w:val="20"/>
          <w:szCs w:val="20"/>
        </w:rPr>
        <w:t>Tabel</w:t>
      </w:r>
      <w:r w:rsidR="00466160" w:rsidRPr="008376FC">
        <w:rPr>
          <w:rFonts w:asciiTheme="majorHAnsi" w:hAnsiTheme="majorHAnsi" w:cstheme="majorHAnsi"/>
          <w:bCs w:val="0"/>
          <w:sz w:val="20"/>
          <w:szCs w:val="20"/>
        </w:rPr>
        <w:t>ul</w:t>
      </w:r>
      <w:r w:rsidRPr="008376FC">
        <w:rPr>
          <w:rFonts w:asciiTheme="majorHAnsi" w:hAnsiTheme="majorHAnsi" w:cstheme="majorHAnsi"/>
          <w:bCs w:val="0"/>
          <w:sz w:val="20"/>
          <w:szCs w:val="20"/>
        </w:rPr>
        <w:t xml:space="preserve"> nr.</w:t>
      </w:r>
      <w:r w:rsidR="008D23D2" w:rsidRPr="008376FC">
        <w:rPr>
          <w:rFonts w:asciiTheme="majorHAnsi" w:hAnsiTheme="majorHAnsi" w:cstheme="majorHAnsi"/>
          <w:bCs w:val="0"/>
          <w:sz w:val="20"/>
          <w:szCs w:val="20"/>
        </w:rPr>
        <w:t>1</w:t>
      </w:r>
      <w:r w:rsidR="0092109D" w:rsidRPr="008376FC">
        <w:rPr>
          <w:rFonts w:asciiTheme="majorHAnsi" w:hAnsiTheme="majorHAnsi" w:cstheme="majorHAnsi"/>
          <w:bCs w:val="0"/>
          <w:sz w:val="20"/>
          <w:szCs w:val="20"/>
        </w:rPr>
        <w:t>3</w:t>
      </w:r>
    </w:p>
    <w:tbl>
      <w:tblPr>
        <w:tblStyle w:val="TableGrid6"/>
        <w:tblW w:w="9929" w:type="dxa"/>
        <w:tblLayout w:type="fixed"/>
        <w:tblLook w:val="01E0" w:firstRow="1" w:lastRow="1" w:firstColumn="1" w:lastColumn="1" w:noHBand="0" w:noVBand="0"/>
      </w:tblPr>
      <w:tblGrid>
        <w:gridCol w:w="675"/>
        <w:gridCol w:w="1163"/>
        <w:gridCol w:w="3402"/>
        <w:gridCol w:w="1418"/>
        <w:gridCol w:w="1275"/>
        <w:gridCol w:w="1996"/>
      </w:tblGrid>
      <w:tr w:rsidR="00756AE7" w:rsidRPr="008376FC" w:rsidTr="00445735">
        <w:trPr>
          <w:trHeight w:val="439"/>
        </w:trPr>
        <w:tc>
          <w:tcPr>
            <w:tcW w:w="9929" w:type="dxa"/>
            <w:gridSpan w:val="6"/>
            <w:tcBorders>
              <w:top w:val="nil"/>
              <w:left w:val="nil"/>
              <w:bottom w:val="single" w:sz="4" w:space="0" w:color="auto"/>
              <w:right w:val="nil"/>
            </w:tcBorders>
            <w:vAlign w:val="center"/>
          </w:tcPr>
          <w:p w:rsidR="00756AE7" w:rsidRPr="008376FC" w:rsidRDefault="00756AE7" w:rsidP="00F46FB7">
            <w:pPr>
              <w:widowControl w:val="0"/>
              <w:autoSpaceDE w:val="0"/>
              <w:autoSpaceDN w:val="0"/>
              <w:spacing w:line="276" w:lineRule="auto"/>
              <w:rPr>
                <w:rFonts w:asciiTheme="majorHAnsi" w:eastAsia="Calibri" w:hAnsiTheme="majorHAnsi" w:cstheme="majorHAnsi"/>
                <w:sz w:val="20"/>
                <w:szCs w:val="20"/>
              </w:rPr>
            </w:pPr>
            <w:r w:rsidRPr="008376FC">
              <w:rPr>
                <w:rFonts w:asciiTheme="majorHAnsi" w:eastAsia="Times New Roman" w:hAnsiTheme="majorHAnsi" w:cstheme="majorHAnsi"/>
                <w:bCs w:val="0"/>
                <w:sz w:val="20"/>
                <w:szCs w:val="20"/>
                <w:lang w:eastAsia="ru-RU"/>
              </w:rPr>
              <w:t>Lista proiectelor incluse adițional în DUP</w:t>
            </w:r>
            <w:r w:rsidR="00355CEF">
              <w:rPr>
                <w:rFonts w:asciiTheme="majorHAnsi" w:eastAsia="Times New Roman" w:hAnsiTheme="majorHAnsi" w:cstheme="majorHAnsi"/>
                <w:bCs w:val="0"/>
                <w:sz w:val="20"/>
                <w:szCs w:val="20"/>
                <w:lang w:eastAsia="ru-RU"/>
              </w:rPr>
              <w:t>,</w:t>
            </w:r>
            <w:r w:rsidRPr="008376FC">
              <w:rPr>
                <w:rFonts w:asciiTheme="majorHAnsi" w:eastAsia="Times New Roman" w:hAnsiTheme="majorHAnsi" w:cstheme="majorHAnsi"/>
                <w:bCs w:val="0"/>
                <w:sz w:val="20"/>
                <w:szCs w:val="20"/>
                <w:lang w:eastAsia="ru-RU"/>
              </w:rPr>
              <w:t xml:space="preserve"> la Măsura 1.1</w:t>
            </w:r>
          </w:p>
        </w:tc>
      </w:tr>
      <w:tr w:rsidR="00756AE7" w:rsidRPr="008376FC" w:rsidTr="00445735">
        <w:trPr>
          <w:trHeight w:val="640"/>
        </w:trPr>
        <w:tc>
          <w:tcPr>
            <w:tcW w:w="6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sz w:val="20"/>
                <w:szCs w:val="20"/>
              </w:rPr>
            </w:pPr>
            <w:r w:rsidRPr="008376FC">
              <w:rPr>
                <w:rFonts w:asciiTheme="majorHAnsi" w:eastAsia="Calibri" w:hAnsiTheme="majorHAnsi" w:cstheme="majorHAnsi"/>
                <w:sz w:val="20"/>
                <w:szCs w:val="20"/>
              </w:rPr>
              <w:t>Nr.</w:t>
            </w:r>
            <w:r w:rsidRPr="008376FC">
              <w:rPr>
                <w:rFonts w:asciiTheme="majorHAnsi" w:eastAsia="Calibri" w:hAnsiTheme="majorHAnsi" w:cstheme="majorHAnsi"/>
                <w:spacing w:val="-37"/>
                <w:sz w:val="20"/>
                <w:szCs w:val="20"/>
              </w:rPr>
              <w:t xml:space="preserve"> </w:t>
            </w:r>
            <w:r w:rsidRPr="008376FC">
              <w:rPr>
                <w:rFonts w:asciiTheme="majorHAnsi" w:eastAsia="Calibri" w:hAnsiTheme="majorHAnsi" w:cstheme="majorHAnsi"/>
                <w:sz w:val="20"/>
                <w:szCs w:val="20"/>
              </w:rPr>
              <w:t>crt.</w:t>
            </w:r>
          </w:p>
        </w:tc>
        <w:tc>
          <w:tcPr>
            <w:tcW w:w="1163"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sz w:val="20"/>
                <w:szCs w:val="20"/>
              </w:rPr>
            </w:pPr>
            <w:r w:rsidRPr="008376FC">
              <w:rPr>
                <w:rFonts w:asciiTheme="majorHAnsi" w:eastAsia="Calibri" w:hAnsiTheme="majorHAnsi" w:cstheme="majorHAnsi"/>
                <w:sz w:val="20"/>
                <w:szCs w:val="20"/>
              </w:rPr>
              <w:t>Codul</w:t>
            </w:r>
            <w:r w:rsidRPr="008376FC">
              <w:rPr>
                <w:rFonts w:asciiTheme="majorHAnsi" w:eastAsia="Calibri" w:hAnsiTheme="majorHAnsi" w:cstheme="majorHAnsi"/>
                <w:spacing w:val="-3"/>
                <w:sz w:val="20"/>
                <w:szCs w:val="20"/>
              </w:rPr>
              <w:t xml:space="preserve"> </w:t>
            </w:r>
            <w:r w:rsidRPr="008376FC">
              <w:rPr>
                <w:rFonts w:asciiTheme="majorHAnsi" w:eastAsia="Calibri" w:hAnsiTheme="majorHAnsi" w:cstheme="majorHAnsi"/>
                <w:sz w:val="20"/>
                <w:szCs w:val="20"/>
              </w:rPr>
              <w:t>proiectului</w:t>
            </w:r>
          </w:p>
        </w:tc>
        <w:tc>
          <w:tcPr>
            <w:tcW w:w="3402"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sz w:val="20"/>
                <w:szCs w:val="20"/>
              </w:rPr>
            </w:pPr>
            <w:r w:rsidRPr="008376FC">
              <w:rPr>
                <w:rFonts w:asciiTheme="majorHAnsi" w:eastAsia="Calibri" w:hAnsiTheme="majorHAnsi" w:cstheme="majorHAnsi"/>
                <w:sz w:val="20"/>
                <w:szCs w:val="20"/>
              </w:rPr>
              <w:t>Denumirea</w:t>
            </w:r>
            <w:r w:rsidRPr="008376FC">
              <w:rPr>
                <w:rFonts w:asciiTheme="majorHAnsi" w:eastAsia="Calibri" w:hAnsiTheme="majorHAnsi" w:cstheme="majorHAnsi"/>
                <w:spacing w:val="-4"/>
                <w:sz w:val="20"/>
                <w:szCs w:val="20"/>
              </w:rPr>
              <w:t xml:space="preserve"> </w:t>
            </w:r>
            <w:r w:rsidRPr="008376FC">
              <w:rPr>
                <w:rFonts w:asciiTheme="majorHAnsi" w:eastAsia="Calibri" w:hAnsiTheme="majorHAnsi" w:cstheme="majorHAnsi"/>
                <w:sz w:val="20"/>
                <w:szCs w:val="20"/>
              </w:rPr>
              <w:t>proiectului</w:t>
            </w:r>
          </w:p>
        </w:tc>
        <w:tc>
          <w:tcPr>
            <w:tcW w:w="1418"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sz w:val="20"/>
                <w:szCs w:val="20"/>
              </w:rPr>
            </w:pPr>
            <w:r w:rsidRPr="008376FC">
              <w:rPr>
                <w:rFonts w:asciiTheme="majorHAnsi" w:eastAsia="Calibri" w:hAnsiTheme="majorHAnsi" w:cstheme="majorHAnsi"/>
                <w:spacing w:val="-1"/>
                <w:sz w:val="20"/>
                <w:szCs w:val="20"/>
              </w:rPr>
              <w:t xml:space="preserve">Regiunea </w:t>
            </w:r>
            <w:r w:rsidRPr="008376FC">
              <w:rPr>
                <w:rFonts w:asciiTheme="majorHAnsi" w:eastAsia="Calibri" w:hAnsiTheme="majorHAnsi" w:cstheme="majorHAnsi"/>
                <w:sz w:val="20"/>
                <w:szCs w:val="20"/>
              </w:rPr>
              <w:t>de</w:t>
            </w:r>
            <w:r w:rsidRPr="008376FC">
              <w:rPr>
                <w:rFonts w:asciiTheme="majorHAnsi" w:eastAsia="Calibri" w:hAnsiTheme="majorHAnsi" w:cstheme="majorHAnsi"/>
                <w:spacing w:val="-37"/>
                <w:sz w:val="20"/>
                <w:szCs w:val="20"/>
              </w:rPr>
              <w:t xml:space="preserve"> </w:t>
            </w:r>
            <w:r w:rsidRPr="008376FC">
              <w:rPr>
                <w:rFonts w:asciiTheme="majorHAnsi" w:eastAsia="Calibri" w:hAnsiTheme="majorHAnsi" w:cstheme="majorHAnsi"/>
                <w:sz w:val="20"/>
                <w:szCs w:val="20"/>
              </w:rPr>
              <w:t>dezvoltare</w:t>
            </w:r>
          </w:p>
        </w:tc>
        <w:tc>
          <w:tcPr>
            <w:tcW w:w="127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sz w:val="20"/>
                <w:szCs w:val="20"/>
              </w:rPr>
            </w:pPr>
            <w:r w:rsidRPr="008376FC">
              <w:rPr>
                <w:rFonts w:asciiTheme="majorHAnsi" w:eastAsia="Calibri" w:hAnsiTheme="majorHAnsi" w:cstheme="majorHAnsi"/>
                <w:sz w:val="20"/>
                <w:szCs w:val="20"/>
              </w:rPr>
              <w:t>Localizarea</w:t>
            </w:r>
            <w:r w:rsidRPr="008376FC">
              <w:rPr>
                <w:rFonts w:asciiTheme="majorHAnsi" w:eastAsia="Calibri" w:hAnsiTheme="majorHAnsi" w:cstheme="majorHAnsi"/>
                <w:spacing w:val="-37"/>
                <w:sz w:val="20"/>
                <w:szCs w:val="20"/>
              </w:rPr>
              <w:t xml:space="preserve"> </w:t>
            </w:r>
            <w:r w:rsidRPr="008376FC">
              <w:rPr>
                <w:rFonts w:asciiTheme="majorHAnsi" w:eastAsia="Calibri" w:hAnsiTheme="majorHAnsi" w:cstheme="majorHAnsi"/>
                <w:sz w:val="20"/>
                <w:szCs w:val="20"/>
              </w:rPr>
              <w:t>proiectului</w:t>
            </w:r>
          </w:p>
        </w:tc>
        <w:tc>
          <w:tcPr>
            <w:tcW w:w="199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rsidR="00355CEF" w:rsidRDefault="00756AE7" w:rsidP="00F61756">
            <w:pPr>
              <w:widowControl w:val="0"/>
              <w:autoSpaceDE w:val="0"/>
              <w:autoSpaceDN w:val="0"/>
              <w:spacing w:line="276" w:lineRule="auto"/>
              <w:jc w:val="both"/>
              <w:rPr>
                <w:rFonts w:asciiTheme="majorHAnsi" w:eastAsia="Calibri" w:hAnsiTheme="majorHAnsi" w:cstheme="majorHAnsi"/>
                <w:spacing w:val="-37"/>
                <w:sz w:val="20"/>
                <w:szCs w:val="20"/>
              </w:rPr>
            </w:pPr>
            <w:r w:rsidRPr="008376FC">
              <w:rPr>
                <w:rFonts w:asciiTheme="majorHAnsi" w:eastAsia="Calibri" w:hAnsiTheme="majorHAnsi" w:cstheme="majorHAnsi"/>
                <w:sz w:val="20"/>
                <w:szCs w:val="20"/>
              </w:rPr>
              <w:t>Solicitantul</w:t>
            </w:r>
            <w:r w:rsidRPr="008376FC">
              <w:rPr>
                <w:rFonts w:asciiTheme="majorHAnsi" w:eastAsia="Calibri" w:hAnsiTheme="majorHAnsi" w:cstheme="majorHAnsi"/>
                <w:spacing w:val="-37"/>
                <w:sz w:val="20"/>
                <w:szCs w:val="20"/>
              </w:rPr>
              <w:t xml:space="preserve"> </w:t>
            </w:r>
          </w:p>
          <w:p w:rsidR="00756AE7" w:rsidRPr="008376FC" w:rsidRDefault="00756AE7" w:rsidP="00F61756">
            <w:pPr>
              <w:widowControl w:val="0"/>
              <w:autoSpaceDE w:val="0"/>
              <w:autoSpaceDN w:val="0"/>
              <w:spacing w:line="276" w:lineRule="auto"/>
              <w:jc w:val="both"/>
              <w:rPr>
                <w:rFonts w:asciiTheme="majorHAnsi" w:eastAsia="Calibri" w:hAnsiTheme="majorHAnsi" w:cstheme="majorHAnsi"/>
                <w:sz w:val="20"/>
                <w:szCs w:val="20"/>
              </w:rPr>
            </w:pPr>
            <w:r w:rsidRPr="008376FC">
              <w:rPr>
                <w:rFonts w:asciiTheme="majorHAnsi" w:eastAsia="Calibri" w:hAnsiTheme="majorHAnsi" w:cstheme="majorHAnsi"/>
                <w:sz w:val="20"/>
                <w:szCs w:val="20"/>
              </w:rPr>
              <w:t>proiectului</w:t>
            </w:r>
          </w:p>
        </w:tc>
      </w:tr>
      <w:tr w:rsidR="00756AE7" w:rsidRPr="008376FC" w:rsidTr="00445735">
        <w:trPr>
          <w:trHeight w:val="690"/>
        </w:trPr>
        <w:tc>
          <w:tcPr>
            <w:tcW w:w="675" w:type="dxa"/>
            <w:tcBorders>
              <w:top w:val="single" w:sz="4" w:space="0" w:color="auto"/>
            </w:tcBorders>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34</w:t>
            </w:r>
            <w:r w:rsidRPr="008376FC">
              <w:rPr>
                <w:rFonts w:asciiTheme="majorHAnsi" w:eastAsia="Calibri" w:hAnsiTheme="majorHAnsi" w:cstheme="majorHAnsi"/>
                <w:b w:val="0"/>
                <w:bCs w:val="0"/>
                <w:sz w:val="20"/>
                <w:szCs w:val="20"/>
                <w:vertAlign w:val="superscript"/>
              </w:rPr>
              <w:t>1</w:t>
            </w:r>
          </w:p>
        </w:tc>
        <w:tc>
          <w:tcPr>
            <w:tcW w:w="1163" w:type="dxa"/>
            <w:tcBorders>
              <w:top w:val="single" w:sz="4" w:space="0" w:color="auto"/>
            </w:tcBorders>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N  11153DL</w:t>
            </w:r>
          </w:p>
        </w:tc>
        <w:tc>
          <w:tcPr>
            <w:tcW w:w="3402" w:type="dxa"/>
            <w:tcBorders>
              <w:top w:val="single" w:sz="4" w:space="0" w:color="auto"/>
            </w:tcBorders>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Construcția</w:t>
            </w:r>
            <w:r w:rsidRPr="008376FC">
              <w:rPr>
                <w:rFonts w:asciiTheme="majorHAnsi" w:eastAsia="Calibri" w:hAnsiTheme="majorHAnsi" w:cstheme="majorHAnsi"/>
                <w:b w:val="0"/>
                <w:bCs w:val="0"/>
                <w:spacing w:val="22"/>
                <w:sz w:val="20"/>
                <w:szCs w:val="20"/>
              </w:rPr>
              <w:t xml:space="preserve"> </w:t>
            </w:r>
            <w:r w:rsidRPr="008376FC">
              <w:rPr>
                <w:rFonts w:asciiTheme="majorHAnsi" w:eastAsia="Calibri" w:hAnsiTheme="majorHAnsi" w:cstheme="majorHAnsi"/>
                <w:b w:val="0"/>
                <w:bCs w:val="0"/>
                <w:sz w:val="20"/>
                <w:szCs w:val="20"/>
              </w:rPr>
              <w:t>rețelelor de apeduct pentru aprovizionarea cu apă potabilă a s. Prajila, r-nul Florești</w:t>
            </w:r>
          </w:p>
        </w:tc>
        <w:tc>
          <w:tcPr>
            <w:tcW w:w="1418" w:type="dxa"/>
            <w:tcBorders>
              <w:top w:val="single" w:sz="4" w:space="0" w:color="auto"/>
            </w:tcBorders>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 xml:space="preserve">    Nord</w:t>
            </w:r>
          </w:p>
        </w:tc>
        <w:tc>
          <w:tcPr>
            <w:tcW w:w="1275" w:type="dxa"/>
            <w:tcBorders>
              <w:top w:val="single" w:sz="4" w:space="0" w:color="auto"/>
            </w:tcBorders>
          </w:tcPr>
          <w:p w:rsidR="00355CEF"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 xml:space="preserve">s. Prajila, </w:t>
            </w:r>
          </w:p>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 xml:space="preserve">r-nul Florești </w:t>
            </w:r>
          </w:p>
        </w:tc>
        <w:tc>
          <w:tcPr>
            <w:tcW w:w="1996" w:type="dxa"/>
            <w:tcBorders>
              <w:top w:val="single" w:sz="4" w:space="0" w:color="auto"/>
              <w:right w:val="single" w:sz="4" w:space="0" w:color="auto"/>
            </w:tcBorders>
          </w:tcPr>
          <w:p w:rsidR="00756AE7" w:rsidRPr="008376FC" w:rsidRDefault="00756AE7"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 xml:space="preserve">s. Prajila, r-nul Florești </w:t>
            </w:r>
          </w:p>
        </w:tc>
      </w:tr>
      <w:tr w:rsidR="00756AE7" w:rsidRPr="008376FC" w:rsidTr="00445735">
        <w:trPr>
          <w:trHeight w:val="690"/>
        </w:trPr>
        <w:tc>
          <w:tcPr>
            <w:tcW w:w="675" w:type="dxa"/>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110</w:t>
            </w:r>
            <w:r w:rsidRPr="008376FC">
              <w:rPr>
                <w:rFonts w:asciiTheme="majorHAnsi" w:eastAsia="Calibri" w:hAnsiTheme="majorHAnsi" w:cstheme="majorHAnsi"/>
                <w:b w:val="0"/>
                <w:bCs w:val="0"/>
                <w:sz w:val="20"/>
                <w:szCs w:val="20"/>
                <w:vertAlign w:val="superscript"/>
              </w:rPr>
              <w:t>1</w:t>
            </w:r>
          </w:p>
        </w:tc>
        <w:tc>
          <w:tcPr>
            <w:tcW w:w="1163" w:type="dxa"/>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C11688DL</w:t>
            </w:r>
          </w:p>
        </w:tc>
        <w:tc>
          <w:tcPr>
            <w:tcW w:w="3402" w:type="dxa"/>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Evacuarea și epurarea apelor uzate din s. Verejeni, r-nul Telenești</w:t>
            </w:r>
          </w:p>
        </w:tc>
        <w:tc>
          <w:tcPr>
            <w:tcW w:w="1418" w:type="dxa"/>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 xml:space="preserve">    Centru</w:t>
            </w:r>
          </w:p>
        </w:tc>
        <w:tc>
          <w:tcPr>
            <w:tcW w:w="1275" w:type="dxa"/>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s. Verejeni, r-nul Telenești</w:t>
            </w:r>
          </w:p>
        </w:tc>
        <w:tc>
          <w:tcPr>
            <w:tcW w:w="1996" w:type="dxa"/>
            <w:tcBorders>
              <w:bottom w:val="single" w:sz="4" w:space="0" w:color="auto"/>
              <w:right w:val="single" w:sz="4" w:space="0" w:color="auto"/>
            </w:tcBorders>
          </w:tcPr>
          <w:p w:rsidR="00756AE7" w:rsidRPr="008376FC" w:rsidRDefault="00756AE7"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s. Verejeni, r-nul Telenești</w:t>
            </w:r>
          </w:p>
        </w:tc>
      </w:tr>
      <w:tr w:rsidR="00756AE7" w:rsidRPr="008376FC" w:rsidTr="00445735">
        <w:trPr>
          <w:trHeight w:val="204"/>
        </w:trPr>
        <w:tc>
          <w:tcPr>
            <w:tcW w:w="675" w:type="dxa"/>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123</w:t>
            </w:r>
            <w:r w:rsidRPr="008376FC">
              <w:rPr>
                <w:rFonts w:asciiTheme="majorHAnsi" w:eastAsia="Calibri" w:hAnsiTheme="majorHAnsi" w:cstheme="majorHAnsi"/>
                <w:b w:val="0"/>
                <w:bCs w:val="0"/>
                <w:sz w:val="20"/>
                <w:szCs w:val="20"/>
                <w:vertAlign w:val="superscript"/>
              </w:rPr>
              <w:t>1</w:t>
            </w:r>
          </w:p>
        </w:tc>
        <w:tc>
          <w:tcPr>
            <w:tcW w:w="1163" w:type="dxa"/>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M11590DL</w:t>
            </w:r>
          </w:p>
        </w:tc>
        <w:tc>
          <w:tcPr>
            <w:tcW w:w="3402" w:type="dxa"/>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Rețelele de alimentare cu apă din cartierul locativ nou pe străzile  Gh. Asachi, C. Negruzzi, Trandafirilor, Vatra, N. Testimițanu, Viilor, Pucioasa, Șt. Neaga, Băile Herculane, E. Loteanu, E. Doga, A. Bernardazzi, M. Manole, Cuza-Vodă din or. Vadul lui Vodă, mun. Chișinău</w:t>
            </w:r>
          </w:p>
        </w:tc>
        <w:tc>
          <w:tcPr>
            <w:tcW w:w="1418" w:type="dxa"/>
          </w:tcPr>
          <w:p w:rsidR="00756AE7" w:rsidRPr="008376FC" w:rsidRDefault="00756AE7" w:rsidP="00F61756">
            <w:pPr>
              <w:widowControl w:val="0"/>
              <w:autoSpaceDE w:val="0"/>
              <w:autoSpaceDN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Chișinău</w:t>
            </w:r>
          </w:p>
        </w:tc>
        <w:tc>
          <w:tcPr>
            <w:tcW w:w="1275" w:type="dxa"/>
          </w:tcPr>
          <w:p w:rsidR="00756AE7" w:rsidRPr="008376FC" w:rsidRDefault="00355CEF" w:rsidP="00F61756">
            <w:pPr>
              <w:widowControl w:val="0"/>
              <w:autoSpaceDE w:val="0"/>
              <w:autoSpaceDN w:val="0"/>
              <w:spacing w:line="276" w:lineRule="auto"/>
              <w:jc w:val="both"/>
              <w:rPr>
                <w:rFonts w:asciiTheme="majorHAnsi" w:eastAsia="Calibri" w:hAnsiTheme="majorHAnsi" w:cstheme="majorHAnsi"/>
                <w:b w:val="0"/>
                <w:bCs w:val="0"/>
                <w:sz w:val="20"/>
                <w:szCs w:val="20"/>
              </w:rPr>
            </w:pPr>
            <w:r>
              <w:rPr>
                <w:rFonts w:asciiTheme="majorHAnsi" w:eastAsia="Calibri" w:hAnsiTheme="majorHAnsi" w:cstheme="majorHAnsi"/>
                <w:b w:val="0"/>
                <w:bCs w:val="0"/>
                <w:sz w:val="20"/>
                <w:szCs w:val="20"/>
              </w:rPr>
              <w:t>o</w:t>
            </w:r>
            <w:r w:rsidR="00756AE7" w:rsidRPr="008376FC">
              <w:rPr>
                <w:rFonts w:asciiTheme="majorHAnsi" w:eastAsia="Calibri" w:hAnsiTheme="majorHAnsi" w:cstheme="majorHAnsi"/>
                <w:b w:val="0"/>
                <w:bCs w:val="0"/>
                <w:sz w:val="20"/>
                <w:szCs w:val="20"/>
              </w:rPr>
              <w:t>r. Vadul lui Vodă, mun. Chișinău</w:t>
            </w:r>
          </w:p>
        </w:tc>
        <w:tc>
          <w:tcPr>
            <w:tcW w:w="1996" w:type="dxa"/>
            <w:tcBorders>
              <w:top w:val="single" w:sz="4" w:space="0" w:color="auto"/>
              <w:right w:val="single" w:sz="4" w:space="0" w:color="auto"/>
            </w:tcBorders>
          </w:tcPr>
          <w:p w:rsidR="00756AE7" w:rsidRPr="008376FC" w:rsidRDefault="00756AE7" w:rsidP="00F61756">
            <w:pPr>
              <w:spacing w:line="276" w:lineRule="auto"/>
              <w:jc w:val="both"/>
              <w:rPr>
                <w:rFonts w:asciiTheme="majorHAnsi" w:hAnsiTheme="majorHAnsi" w:cstheme="majorHAnsi"/>
                <w:b w:val="0"/>
                <w:bCs w:val="0"/>
                <w:sz w:val="20"/>
                <w:szCs w:val="20"/>
              </w:rPr>
            </w:pPr>
            <w:r w:rsidRPr="008376FC">
              <w:rPr>
                <w:rFonts w:asciiTheme="majorHAnsi" w:hAnsiTheme="majorHAnsi" w:cstheme="majorHAnsi"/>
                <w:b w:val="0"/>
                <w:bCs w:val="0"/>
                <w:sz w:val="20"/>
                <w:szCs w:val="20"/>
              </w:rPr>
              <w:t>Primăria or. Vadul lui Vodă, mun. Chișinău</w:t>
            </w:r>
          </w:p>
        </w:tc>
      </w:tr>
    </w:tbl>
    <w:p w:rsidR="00756AE7" w:rsidRPr="00355CEF" w:rsidRDefault="00756AE7" w:rsidP="00F61756">
      <w:pPr>
        <w:spacing w:before="120" w:after="0" w:line="276" w:lineRule="auto"/>
        <w:jc w:val="both"/>
        <w:rPr>
          <w:rFonts w:asciiTheme="majorHAnsi" w:eastAsia="Times New Roman" w:hAnsiTheme="majorHAnsi" w:cstheme="majorHAnsi"/>
          <w:b w:val="0"/>
          <w:bCs w:val="0"/>
          <w:i/>
          <w:sz w:val="16"/>
          <w:szCs w:val="16"/>
          <w:lang w:eastAsia="ru-RU"/>
        </w:rPr>
      </w:pPr>
      <w:r w:rsidRPr="00355CEF">
        <w:rPr>
          <w:rFonts w:asciiTheme="majorHAnsi" w:eastAsia="Times New Roman" w:hAnsiTheme="majorHAnsi" w:cstheme="majorHAnsi"/>
          <w:bCs w:val="0"/>
          <w:i/>
          <w:sz w:val="16"/>
          <w:szCs w:val="16"/>
          <w:lang w:eastAsia="ru-RU"/>
        </w:rPr>
        <w:t>Sursa</w:t>
      </w:r>
      <w:r w:rsidRPr="00355CEF">
        <w:rPr>
          <w:rFonts w:asciiTheme="majorHAnsi" w:eastAsia="Times New Roman" w:hAnsiTheme="majorHAnsi" w:cstheme="majorHAnsi"/>
          <w:b w:val="0"/>
          <w:bCs w:val="0"/>
          <w:i/>
          <w:sz w:val="16"/>
          <w:szCs w:val="16"/>
          <w:lang w:eastAsia="ru-RU"/>
        </w:rPr>
        <w:t xml:space="preserve">: </w:t>
      </w:r>
      <w:r w:rsidRPr="00D97D77">
        <w:rPr>
          <w:rFonts w:asciiTheme="majorHAnsi" w:eastAsia="Times New Roman" w:hAnsiTheme="majorHAnsi" w:cstheme="majorHAnsi"/>
          <w:b w:val="0"/>
          <w:bCs w:val="0"/>
          <w:i/>
          <w:sz w:val="16"/>
          <w:szCs w:val="16"/>
          <w:lang w:eastAsia="ru-RU"/>
        </w:rPr>
        <w:t>HG nr.912 din 21.12.2022</w:t>
      </w:r>
      <w:r w:rsidR="00355CEF">
        <w:rPr>
          <w:rFonts w:asciiTheme="majorHAnsi" w:eastAsia="Times New Roman" w:hAnsiTheme="majorHAnsi" w:cstheme="majorHAnsi"/>
          <w:b w:val="0"/>
          <w:bCs w:val="0"/>
          <w:i/>
          <w:sz w:val="16"/>
          <w:szCs w:val="16"/>
          <w:lang w:eastAsia="ru-RU"/>
        </w:rPr>
        <w:t xml:space="preserve"> „P</w:t>
      </w:r>
      <w:r w:rsidRPr="00D97D77">
        <w:rPr>
          <w:rFonts w:asciiTheme="majorHAnsi" w:eastAsia="Times New Roman" w:hAnsiTheme="majorHAnsi" w:cstheme="majorHAnsi"/>
          <w:b w:val="0"/>
          <w:bCs w:val="0"/>
          <w:i/>
          <w:sz w:val="16"/>
          <w:szCs w:val="16"/>
          <w:lang w:eastAsia="ru-RU"/>
        </w:rPr>
        <w:t>entru modificarea anexei nr. 2 la Documentul unic de program pentru anii 2022-2024, aprobat prin Hotărârea Guvernului nr. 23/2022</w:t>
      </w:r>
      <w:r w:rsidR="00355CEF">
        <w:rPr>
          <w:rFonts w:asciiTheme="majorHAnsi" w:eastAsia="Times New Roman" w:hAnsiTheme="majorHAnsi" w:cstheme="majorHAnsi"/>
          <w:b w:val="0"/>
          <w:bCs w:val="0"/>
          <w:i/>
          <w:sz w:val="16"/>
          <w:szCs w:val="16"/>
          <w:lang w:eastAsia="ru-RU"/>
        </w:rPr>
        <w:t>”.</w:t>
      </w:r>
      <w:r w:rsidRPr="00355CEF">
        <w:rPr>
          <w:rFonts w:asciiTheme="majorHAnsi" w:eastAsia="Times New Roman" w:hAnsiTheme="majorHAnsi" w:cstheme="majorHAnsi"/>
          <w:b w:val="0"/>
          <w:bCs w:val="0"/>
          <w:i/>
          <w:sz w:val="16"/>
          <w:szCs w:val="16"/>
          <w:lang w:eastAsia="ru-RU"/>
        </w:rPr>
        <w:t xml:space="preserve"> </w:t>
      </w:r>
    </w:p>
    <w:p w:rsidR="00756AE7" w:rsidRPr="008376FC" w:rsidRDefault="00756AE7" w:rsidP="00F61756">
      <w:pPr>
        <w:spacing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sz w:val="24"/>
          <w:szCs w:val="24"/>
          <w:lang w:eastAsia="ru-RU"/>
        </w:rPr>
        <w:t>În acest context, mărimea FNDRL pentru anul 2022 nu a fost modificat</w:t>
      </w:r>
      <w:r w:rsidR="00ED48E5" w:rsidRPr="008376FC">
        <w:rPr>
          <w:rFonts w:asciiTheme="majorHAnsi" w:eastAsia="Times New Roman" w:hAnsiTheme="majorHAnsi" w:cstheme="majorHAnsi"/>
          <w:b w:val="0"/>
          <w:bCs w:val="0"/>
          <w:sz w:val="24"/>
          <w:szCs w:val="24"/>
          <w:lang w:eastAsia="ru-RU"/>
        </w:rPr>
        <w:t>ă</w:t>
      </w:r>
      <w:r w:rsidRPr="008376FC">
        <w:rPr>
          <w:rFonts w:asciiTheme="majorHAnsi" w:eastAsia="Times New Roman" w:hAnsiTheme="majorHAnsi" w:cstheme="majorHAnsi"/>
          <w:b w:val="0"/>
          <w:bCs w:val="0"/>
          <w:sz w:val="24"/>
          <w:szCs w:val="24"/>
          <w:lang w:eastAsia="ru-RU"/>
        </w:rPr>
        <w:t xml:space="preserve">, finanțarea implementării celor 3 proiecte </w:t>
      </w:r>
      <w:r w:rsidR="008E1C9C">
        <w:rPr>
          <w:rFonts w:asciiTheme="majorHAnsi" w:eastAsia="Times New Roman" w:hAnsiTheme="majorHAnsi" w:cstheme="majorHAnsi"/>
          <w:b w:val="0"/>
          <w:bCs w:val="0"/>
          <w:sz w:val="24"/>
          <w:szCs w:val="24"/>
          <w:lang w:eastAsia="ru-RU"/>
        </w:rPr>
        <w:t>fiind</w:t>
      </w:r>
      <w:r w:rsidRPr="008376FC">
        <w:rPr>
          <w:rFonts w:asciiTheme="majorHAnsi" w:eastAsia="Times New Roman" w:hAnsiTheme="majorHAnsi" w:cstheme="majorHAnsi"/>
          <w:b w:val="0"/>
          <w:bCs w:val="0"/>
          <w:sz w:val="24"/>
          <w:szCs w:val="24"/>
          <w:lang w:eastAsia="ru-RU"/>
        </w:rPr>
        <w:t xml:space="preserve"> prevăzută în Planul anual de finanțare din FNDRL pentru anul 2023, aprobat de CNCDRL</w:t>
      </w:r>
      <w:r w:rsidRPr="008376FC">
        <w:rPr>
          <w:rFonts w:asciiTheme="majorHAnsi" w:eastAsia="Times New Roman" w:hAnsiTheme="majorHAnsi" w:cstheme="majorHAnsi"/>
          <w:b w:val="0"/>
          <w:bCs w:val="0"/>
          <w:sz w:val="24"/>
          <w:szCs w:val="24"/>
          <w:vertAlign w:val="superscript"/>
          <w:lang w:eastAsia="ru-RU"/>
        </w:rPr>
        <w:footnoteReference w:id="63"/>
      </w:r>
      <w:r w:rsidRPr="008376FC">
        <w:rPr>
          <w:rFonts w:asciiTheme="majorHAnsi" w:eastAsia="Times New Roman" w:hAnsiTheme="majorHAnsi" w:cstheme="majorHAnsi"/>
          <w:b w:val="0"/>
          <w:bCs w:val="0"/>
          <w:sz w:val="24"/>
          <w:szCs w:val="24"/>
          <w:lang w:eastAsia="ru-RU"/>
        </w:rPr>
        <w:t>.</w:t>
      </w:r>
    </w:p>
    <w:p w:rsidR="00756AE7" w:rsidRPr="008376FC" w:rsidRDefault="008E1C9C" w:rsidP="00F61756">
      <w:pPr>
        <w:spacing w:after="0" w:line="276" w:lineRule="auto"/>
        <w:jc w:val="both"/>
        <w:rPr>
          <w:rFonts w:asciiTheme="majorHAnsi" w:eastAsia="Times New Roman" w:hAnsiTheme="majorHAnsi" w:cstheme="majorHAnsi"/>
          <w:b w:val="0"/>
          <w:bCs w:val="0"/>
          <w:sz w:val="24"/>
          <w:szCs w:val="24"/>
          <w:lang w:eastAsia="ru-RU"/>
        </w:rPr>
      </w:pPr>
      <w:r>
        <w:rPr>
          <w:rFonts w:asciiTheme="majorHAnsi" w:eastAsia="Times New Roman" w:hAnsiTheme="majorHAnsi" w:cstheme="majorHAnsi"/>
          <w:b w:val="0"/>
          <w:bCs w:val="0"/>
          <w:sz w:val="24"/>
          <w:szCs w:val="24"/>
          <w:lang w:eastAsia="ru-RU"/>
        </w:rPr>
        <w:t>Pe</w:t>
      </w:r>
      <w:r w:rsidR="00756AE7" w:rsidRPr="008376FC">
        <w:rPr>
          <w:rFonts w:asciiTheme="majorHAnsi" w:eastAsia="Times New Roman" w:hAnsiTheme="majorHAnsi" w:cstheme="majorHAnsi"/>
          <w:b w:val="0"/>
          <w:bCs w:val="0"/>
          <w:sz w:val="24"/>
          <w:szCs w:val="24"/>
          <w:lang w:eastAsia="ru-RU"/>
        </w:rPr>
        <w:t xml:space="preserve">ntru evitarea dublei finanțări </w:t>
      </w:r>
      <w:r>
        <w:rPr>
          <w:rFonts w:asciiTheme="majorHAnsi" w:eastAsia="Times New Roman" w:hAnsiTheme="majorHAnsi" w:cstheme="majorHAnsi"/>
          <w:b w:val="0"/>
          <w:bCs w:val="0"/>
          <w:sz w:val="24"/>
          <w:szCs w:val="24"/>
          <w:lang w:eastAsia="ru-RU"/>
        </w:rPr>
        <w:t>a</w:t>
      </w:r>
      <w:r w:rsidR="00756AE7" w:rsidRPr="008376FC">
        <w:rPr>
          <w:rFonts w:asciiTheme="majorHAnsi" w:eastAsia="Times New Roman" w:hAnsiTheme="majorHAnsi" w:cstheme="majorHAnsi"/>
          <w:b w:val="0"/>
          <w:bCs w:val="0"/>
          <w:sz w:val="24"/>
          <w:szCs w:val="24"/>
          <w:lang w:eastAsia="ru-RU"/>
        </w:rPr>
        <w:t xml:space="preserve"> lucrăril</w:t>
      </w:r>
      <w:r>
        <w:rPr>
          <w:rFonts w:asciiTheme="majorHAnsi" w:eastAsia="Times New Roman" w:hAnsiTheme="majorHAnsi" w:cstheme="majorHAnsi"/>
          <w:b w:val="0"/>
          <w:bCs w:val="0"/>
          <w:sz w:val="24"/>
          <w:szCs w:val="24"/>
          <w:lang w:eastAsia="ru-RU"/>
        </w:rPr>
        <w:t>or</w:t>
      </w:r>
      <w:r w:rsidR="00756AE7" w:rsidRPr="008376FC">
        <w:rPr>
          <w:rFonts w:asciiTheme="majorHAnsi" w:eastAsia="Times New Roman" w:hAnsiTheme="majorHAnsi" w:cstheme="majorHAnsi"/>
          <w:b w:val="0"/>
          <w:bCs w:val="0"/>
          <w:sz w:val="24"/>
          <w:szCs w:val="24"/>
          <w:lang w:eastAsia="ru-RU"/>
        </w:rPr>
        <w:t xml:space="preserve"> executate, ONDRL a întreprins inspecții în teren, verificarea volumelor de lucrări îndeplinite în cadrul proiectelor preluate din FEN/FNDAMR, delimitarea lucrărilor neexecutate și actualizarea valorilor eligibile pentru finanțare. În acest sens, verificarea de audit efectuată pe un eșantion de 18 proiecte</w:t>
      </w:r>
      <w:r w:rsidR="00756AE7" w:rsidRPr="008376FC">
        <w:rPr>
          <w:rFonts w:asciiTheme="majorHAnsi" w:eastAsia="Times New Roman" w:hAnsiTheme="majorHAnsi" w:cstheme="majorHAnsi"/>
          <w:b w:val="0"/>
          <w:bCs w:val="0"/>
          <w:sz w:val="24"/>
          <w:szCs w:val="24"/>
          <w:vertAlign w:val="superscript"/>
          <w:lang w:eastAsia="ru-RU"/>
        </w:rPr>
        <w:footnoteReference w:id="64"/>
      </w:r>
      <w:r w:rsidR="00756AE7" w:rsidRPr="008376FC">
        <w:rPr>
          <w:rFonts w:asciiTheme="majorHAnsi" w:eastAsia="Times New Roman" w:hAnsiTheme="majorHAnsi" w:cstheme="majorHAnsi"/>
          <w:b w:val="0"/>
          <w:bCs w:val="0"/>
          <w:sz w:val="24"/>
          <w:szCs w:val="24"/>
          <w:lang w:eastAsia="ru-RU"/>
        </w:rPr>
        <w:t>, nu a depistat situații de dublă finanțare.</w:t>
      </w:r>
    </w:p>
    <w:p w:rsidR="00756AE7" w:rsidRPr="008376FC" w:rsidRDefault="00756AE7" w:rsidP="00F61756">
      <w:pPr>
        <w:spacing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sz w:val="24"/>
          <w:szCs w:val="24"/>
          <w:lang w:eastAsia="ru-RU"/>
        </w:rPr>
        <w:t xml:space="preserve">După aprobarea Listei proiectelor prioritare de dezvoltare locală pentru finanțare din mijloacele FNDRL, prin Decizia CNCDRL nr. 13/22 din 08.08.2022 a </w:t>
      </w:r>
      <w:r w:rsidR="008E1C9C">
        <w:rPr>
          <w:rFonts w:asciiTheme="majorHAnsi" w:eastAsia="Times New Roman" w:hAnsiTheme="majorHAnsi" w:cstheme="majorHAnsi"/>
          <w:b w:val="0"/>
          <w:bCs w:val="0"/>
          <w:sz w:val="24"/>
          <w:szCs w:val="24"/>
          <w:lang w:eastAsia="ru-RU"/>
        </w:rPr>
        <w:t xml:space="preserve">fost </w:t>
      </w:r>
      <w:r w:rsidRPr="008376FC">
        <w:rPr>
          <w:rFonts w:asciiTheme="majorHAnsi" w:eastAsia="Times New Roman" w:hAnsiTheme="majorHAnsi" w:cstheme="majorHAnsi"/>
          <w:b w:val="0"/>
          <w:bCs w:val="0"/>
          <w:sz w:val="24"/>
          <w:szCs w:val="24"/>
          <w:lang w:eastAsia="ru-RU"/>
        </w:rPr>
        <w:t xml:space="preserve">aprobat Planul anual de finanțare a domeniului dezvoltare locală (PAF DL-2022). </w:t>
      </w:r>
    </w:p>
    <w:p w:rsidR="00D47DB9" w:rsidRPr="008376FC" w:rsidRDefault="00756AE7" w:rsidP="00F61756">
      <w:pPr>
        <w:spacing w:after="0" w:line="276" w:lineRule="auto"/>
        <w:jc w:val="both"/>
        <w:rPr>
          <w:rFonts w:asciiTheme="majorHAnsi" w:hAnsiTheme="majorHAnsi" w:cstheme="majorHAnsi"/>
          <w:bCs w:val="0"/>
          <w:sz w:val="20"/>
          <w:szCs w:val="20"/>
        </w:rPr>
      </w:pPr>
      <w:r w:rsidRPr="008376FC">
        <w:rPr>
          <w:rFonts w:asciiTheme="majorHAnsi" w:eastAsia="Times New Roman" w:hAnsiTheme="majorHAnsi" w:cstheme="majorHAnsi"/>
          <w:b w:val="0"/>
          <w:bCs w:val="0"/>
          <w:sz w:val="24"/>
          <w:szCs w:val="24"/>
          <w:lang w:eastAsia="ru-RU"/>
        </w:rPr>
        <w:t>Pe parcursul implementării proiectelor</w:t>
      </w:r>
      <w:r w:rsidR="008E1C9C">
        <w:rPr>
          <w:rFonts w:asciiTheme="majorHAnsi" w:eastAsia="Times New Roman" w:hAnsiTheme="majorHAnsi" w:cstheme="majorHAnsi"/>
          <w:b w:val="0"/>
          <w:bCs w:val="0"/>
          <w:sz w:val="24"/>
          <w:szCs w:val="24"/>
          <w:lang w:eastAsia="ru-RU"/>
        </w:rPr>
        <w:t>,</w:t>
      </w:r>
      <w:r w:rsidRPr="008376FC">
        <w:rPr>
          <w:rFonts w:asciiTheme="majorHAnsi" w:eastAsia="Times New Roman" w:hAnsiTheme="majorHAnsi" w:cstheme="majorHAnsi"/>
          <w:b w:val="0"/>
          <w:bCs w:val="0"/>
          <w:sz w:val="24"/>
          <w:szCs w:val="24"/>
          <w:lang w:eastAsia="ru-RU"/>
        </w:rPr>
        <w:t xml:space="preserve"> valorile bugetului au fost modificate, acest</w:t>
      </w:r>
      <w:r w:rsidR="008E1C9C">
        <w:rPr>
          <w:rFonts w:asciiTheme="majorHAnsi" w:eastAsia="Times New Roman" w:hAnsiTheme="majorHAnsi" w:cstheme="majorHAnsi"/>
          <w:b w:val="0"/>
          <w:bCs w:val="0"/>
          <w:sz w:val="24"/>
          <w:szCs w:val="24"/>
          <w:lang w:eastAsia="ru-RU"/>
        </w:rPr>
        <w:t xml:space="preserve"> fapt</w:t>
      </w:r>
      <w:r w:rsidRPr="008376FC">
        <w:rPr>
          <w:rFonts w:asciiTheme="majorHAnsi" w:eastAsia="Times New Roman" w:hAnsiTheme="majorHAnsi" w:cstheme="majorHAnsi"/>
          <w:b w:val="0"/>
          <w:bCs w:val="0"/>
          <w:sz w:val="24"/>
          <w:szCs w:val="24"/>
          <w:lang w:eastAsia="ru-RU"/>
        </w:rPr>
        <w:t xml:space="preserve"> fiind condiționat de necesitatea actualizării devizelor de cheltuieli și atribuirea contractelor de antrepriză, precum și </w:t>
      </w:r>
      <w:r w:rsidR="008E1C9C">
        <w:rPr>
          <w:rFonts w:asciiTheme="majorHAnsi" w:eastAsia="Times New Roman" w:hAnsiTheme="majorHAnsi" w:cstheme="majorHAnsi"/>
          <w:b w:val="0"/>
          <w:bCs w:val="0"/>
          <w:sz w:val="24"/>
          <w:szCs w:val="24"/>
          <w:lang w:eastAsia="ru-RU"/>
        </w:rPr>
        <w:t xml:space="preserve">ca </w:t>
      </w:r>
      <w:r w:rsidRPr="008376FC">
        <w:rPr>
          <w:rFonts w:asciiTheme="majorHAnsi" w:eastAsia="Times New Roman" w:hAnsiTheme="majorHAnsi" w:cstheme="majorHAnsi"/>
          <w:b w:val="0"/>
          <w:bCs w:val="0"/>
          <w:sz w:val="24"/>
          <w:szCs w:val="24"/>
          <w:lang w:eastAsia="ru-RU"/>
        </w:rPr>
        <w:t>urmare a prognozelor pentru proiectele aflate în procesul achiziției publice sau în proceduri nelansate.</w:t>
      </w:r>
      <w:r w:rsidR="00F7749A" w:rsidRPr="008376FC">
        <w:rPr>
          <w:rFonts w:asciiTheme="majorHAnsi" w:eastAsia="Times New Roman" w:hAnsiTheme="majorHAnsi" w:cstheme="majorHAnsi"/>
          <w:b w:val="0"/>
          <w:bCs w:val="0"/>
          <w:sz w:val="24"/>
          <w:szCs w:val="24"/>
          <w:lang w:eastAsia="ru-RU"/>
        </w:rPr>
        <w:t xml:space="preserve"> </w:t>
      </w:r>
    </w:p>
    <w:p w:rsidR="00466160" w:rsidRPr="008376FC" w:rsidRDefault="00466160" w:rsidP="00F61756">
      <w:pPr>
        <w:spacing w:after="0" w:line="276" w:lineRule="auto"/>
        <w:jc w:val="right"/>
        <w:rPr>
          <w:rFonts w:asciiTheme="majorHAnsi" w:hAnsiTheme="majorHAnsi" w:cstheme="majorHAnsi"/>
          <w:bCs w:val="0"/>
          <w:sz w:val="20"/>
          <w:szCs w:val="20"/>
        </w:rPr>
      </w:pPr>
      <w:r w:rsidRPr="008376FC">
        <w:rPr>
          <w:rFonts w:asciiTheme="majorHAnsi" w:hAnsiTheme="majorHAnsi" w:cstheme="majorHAnsi"/>
          <w:bCs w:val="0"/>
          <w:sz w:val="20"/>
          <w:szCs w:val="20"/>
        </w:rPr>
        <w:t>Tabel</w:t>
      </w:r>
      <w:r w:rsidR="00C120C5" w:rsidRPr="008376FC">
        <w:rPr>
          <w:rFonts w:asciiTheme="majorHAnsi" w:hAnsiTheme="majorHAnsi" w:cstheme="majorHAnsi"/>
          <w:bCs w:val="0"/>
          <w:sz w:val="20"/>
          <w:szCs w:val="20"/>
        </w:rPr>
        <w:t xml:space="preserve">ul </w:t>
      </w:r>
      <w:r w:rsidRPr="008376FC">
        <w:rPr>
          <w:rFonts w:asciiTheme="majorHAnsi" w:hAnsiTheme="majorHAnsi" w:cstheme="majorHAnsi"/>
          <w:bCs w:val="0"/>
          <w:sz w:val="20"/>
          <w:szCs w:val="20"/>
        </w:rPr>
        <w:t xml:space="preserve"> nr.</w:t>
      </w:r>
      <w:r w:rsidR="00C120C5" w:rsidRPr="008376FC">
        <w:rPr>
          <w:rFonts w:asciiTheme="majorHAnsi" w:hAnsiTheme="majorHAnsi" w:cstheme="majorHAnsi"/>
          <w:bCs w:val="0"/>
          <w:sz w:val="20"/>
          <w:szCs w:val="20"/>
        </w:rPr>
        <w:t>1</w:t>
      </w:r>
      <w:r w:rsidR="0092109D" w:rsidRPr="008376FC">
        <w:rPr>
          <w:rFonts w:asciiTheme="majorHAnsi" w:hAnsiTheme="majorHAnsi" w:cstheme="majorHAnsi"/>
          <w:bCs w:val="0"/>
          <w:sz w:val="20"/>
          <w:szCs w:val="20"/>
        </w:rPr>
        <w:t>4</w:t>
      </w:r>
    </w:p>
    <w:tbl>
      <w:tblPr>
        <w:tblW w:w="9781" w:type="dxa"/>
        <w:tblInd w:w="-5" w:type="dxa"/>
        <w:tblLook w:val="04A0" w:firstRow="1" w:lastRow="0" w:firstColumn="1" w:lastColumn="0" w:noHBand="0" w:noVBand="1"/>
      </w:tblPr>
      <w:tblGrid>
        <w:gridCol w:w="3402"/>
        <w:gridCol w:w="1276"/>
        <w:gridCol w:w="1559"/>
        <w:gridCol w:w="1701"/>
        <w:gridCol w:w="1843"/>
      </w:tblGrid>
      <w:tr w:rsidR="00756AE7" w:rsidRPr="008376FC" w:rsidTr="006A31EF">
        <w:trPr>
          <w:trHeight w:val="260"/>
          <w:tblHeader/>
        </w:trPr>
        <w:tc>
          <w:tcPr>
            <w:tcW w:w="9781"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tcPr>
          <w:p w:rsidR="00756AE7" w:rsidRPr="008376FC" w:rsidRDefault="00756AE7" w:rsidP="00F61756">
            <w:pPr>
              <w:spacing w:after="0" w:line="276" w:lineRule="auto"/>
              <w:jc w:val="center"/>
              <w:rPr>
                <w:rFonts w:asciiTheme="majorHAnsi" w:eastAsia="Times New Roman" w:hAnsiTheme="majorHAnsi" w:cstheme="majorHAnsi"/>
                <w:bCs w:val="0"/>
                <w:sz w:val="20"/>
                <w:szCs w:val="20"/>
              </w:rPr>
            </w:pPr>
            <w:r w:rsidRPr="008376FC">
              <w:rPr>
                <w:rFonts w:asciiTheme="majorHAnsi" w:hAnsiTheme="majorHAnsi" w:cstheme="majorHAnsi"/>
                <w:bCs w:val="0"/>
                <w:sz w:val="20"/>
                <w:szCs w:val="20"/>
              </w:rPr>
              <w:t>Alocațiile pentru proiectele investiționale incluse în Măsura 1.1.</w:t>
            </w:r>
            <w:r w:rsidR="008E1C9C">
              <w:rPr>
                <w:rFonts w:asciiTheme="majorHAnsi" w:hAnsiTheme="majorHAnsi" w:cstheme="majorHAnsi"/>
                <w:bCs w:val="0"/>
                <w:sz w:val="20"/>
                <w:szCs w:val="20"/>
              </w:rPr>
              <w:t>,</w:t>
            </w:r>
            <w:r w:rsidRPr="008376FC">
              <w:rPr>
                <w:rFonts w:asciiTheme="majorHAnsi" w:hAnsiTheme="majorHAnsi" w:cstheme="majorHAnsi"/>
                <w:bCs w:val="0"/>
                <w:sz w:val="20"/>
                <w:szCs w:val="20"/>
              </w:rPr>
              <w:t xml:space="preserve"> aprobate pentru anul 2022</w:t>
            </w:r>
          </w:p>
        </w:tc>
      </w:tr>
      <w:tr w:rsidR="00756AE7" w:rsidRPr="008376FC" w:rsidTr="006A31EF">
        <w:trPr>
          <w:trHeight w:val="260"/>
          <w:tblHeader/>
        </w:trPr>
        <w:tc>
          <w:tcPr>
            <w:tcW w:w="3402"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rsidR="00756AE7" w:rsidRPr="008376FC" w:rsidRDefault="00756AE7" w:rsidP="00F61756">
            <w:pPr>
              <w:spacing w:after="0" w:line="276" w:lineRule="auto"/>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Indicator</w:t>
            </w:r>
          </w:p>
        </w:tc>
        <w:tc>
          <w:tcPr>
            <w:tcW w:w="1276"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756AE7" w:rsidRPr="008376FC" w:rsidRDefault="00756AE7" w:rsidP="00F61756">
            <w:pPr>
              <w:spacing w:after="0" w:line="276" w:lineRule="auto"/>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Aprobat</w:t>
            </w:r>
            <w:r w:rsidR="008E1C9C">
              <w:rPr>
                <w:rFonts w:asciiTheme="majorHAnsi" w:eastAsia="Times New Roman" w:hAnsiTheme="majorHAnsi" w:cstheme="majorHAnsi"/>
                <w:bCs w:val="0"/>
                <w:sz w:val="20"/>
                <w:szCs w:val="20"/>
              </w:rPr>
              <w:t>,</w:t>
            </w:r>
            <w:r w:rsidRPr="008376FC">
              <w:rPr>
                <w:rFonts w:asciiTheme="majorHAnsi" w:eastAsia="Times New Roman" w:hAnsiTheme="majorHAnsi" w:cstheme="majorHAnsi"/>
                <w:bCs w:val="0"/>
                <w:sz w:val="20"/>
                <w:szCs w:val="20"/>
              </w:rPr>
              <w:t xml:space="preserve"> 2022</w:t>
            </w:r>
          </w:p>
        </w:tc>
        <w:tc>
          <w:tcPr>
            <w:tcW w:w="1559"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756AE7" w:rsidRPr="008376FC" w:rsidRDefault="00756AE7" w:rsidP="00F61756">
            <w:pPr>
              <w:spacing w:after="0" w:line="276" w:lineRule="auto"/>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Precizat</w:t>
            </w:r>
            <w:r w:rsidR="008E1C9C">
              <w:rPr>
                <w:rFonts w:asciiTheme="majorHAnsi" w:eastAsia="Times New Roman" w:hAnsiTheme="majorHAnsi" w:cstheme="majorHAnsi"/>
                <w:bCs w:val="0"/>
                <w:sz w:val="20"/>
                <w:szCs w:val="20"/>
              </w:rPr>
              <w:t>,</w:t>
            </w:r>
            <w:r w:rsidRPr="008376FC">
              <w:rPr>
                <w:rFonts w:asciiTheme="majorHAnsi" w:eastAsia="Times New Roman" w:hAnsiTheme="majorHAnsi" w:cstheme="majorHAnsi"/>
                <w:bCs w:val="0"/>
                <w:sz w:val="20"/>
                <w:szCs w:val="20"/>
              </w:rPr>
              <w:t xml:space="preserve"> octombrie 2022</w:t>
            </w:r>
          </w:p>
        </w:tc>
        <w:tc>
          <w:tcPr>
            <w:tcW w:w="170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rsidR="00756AE7" w:rsidRPr="008376FC" w:rsidRDefault="00756AE7" w:rsidP="00F61756">
            <w:pPr>
              <w:spacing w:after="0" w:line="276" w:lineRule="auto"/>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Precizat</w:t>
            </w:r>
            <w:r w:rsidR="008E1C9C">
              <w:rPr>
                <w:rFonts w:asciiTheme="majorHAnsi" w:eastAsia="Times New Roman" w:hAnsiTheme="majorHAnsi" w:cstheme="majorHAnsi"/>
                <w:bCs w:val="0"/>
                <w:sz w:val="20"/>
                <w:szCs w:val="20"/>
              </w:rPr>
              <w:t>,</w:t>
            </w:r>
            <w:r w:rsidRPr="008376FC">
              <w:rPr>
                <w:rFonts w:asciiTheme="majorHAnsi" w:eastAsia="Times New Roman" w:hAnsiTheme="majorHAnsi" w:cstheme="majorHAnsi"/>
                <w:bCs w:val="0"/>
                <w:sz w:val="20"/>
                <w:szCs w:val="20"/>
              </w:rPr>
              <w:t xml:space="preserve"> decembrie 2022</w:t>
            </w:r>
          </w:p>
        </w:tc>
        <w:tc>
          <w:tcPr>
            <w:tcW w:w="1843" w:type="dxa"/>
            <w:tcBorders>
              <w:top w:val="single" w:sz="4" w:space="0" w:color="auto"/>
              <w:left w:val="nil"/>
              <w:bottom w:val="single" w:sz="4" w:space="0" w:color="auto"/>
              <w:right w:val="single" w:sz="4" w:space="0" w:color="auto"/>
            </w:tcBorders>
            <w:shd w:val="clear" w:color="auto" w:fill="DEEAF6" w:themeFill="accent1" w:themeFillTint="33"/>
            <w:vAlign w:val="center"/>
          </w:tcPr>
          <w:p w:rsidR="00756AE7" w:rsidRPr="008376FC" w:rsidRDefault="00756AE7" w:rsidP="00F61756">
            <w:pPr>
              <w:spacing w:after="0" w:line="276" w:lineRule="auto"/>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Valorificat la 31.12.2022</w:t>
            </w:r>
          </w:p>
        </w:tc>
      </w:tr>
      <w:tr w:rsidR="00756AE7" w:rsidRPr="008376FC" w:rsidTr="006A31EF">
        <w:trPr>
          <w:trHeight w:val="26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Alocații în FNDRL pentru dezvoltare locală</w:t>
            </w:r>
          </w:p>
        </w:tc>
        <w:tc>
          <w:tcPr>
            <w:tcW w:w="1276"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670.000,00</w:t>
            </w:r>
          </w:p>
        </w:tc>
        <w:tc>
          <w:tcPr>
            <w:tcW w:w="1559"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468.783,30</w:t>
            </w:r>
          </w:p>
        </w:tc>
        <w:tc>
          <w:tcPr>
            <w:tcW w:w="1701"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448.116,86</w:t>
            </w:r>
          </w:p>
        </w:tc>
        <w:tc>
          <w:tcPr>
            <w:tcW w:w="1843" w:type="dxa"/>
            <w:tcBorders>
              <w:top w:val="nil"/>
              <w:left w:val="nil"/>
              <w:bottom w:val="single" w:sz="4" w:space="0" w:color="auto"/>
              <w:right w:val="single" w:sz="4" w:space="0" w:color="auto"/>
            </w:tcBorders>
            <w:vAlign w:val="bottom"/>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348.796,57</w:t>
            </w:r>
          </w:p>
        </w:tc>
      </w:tr>
      <w:tr w:rsidR="00756AE7" w:rsidRPr="008376FC" w:rsidTr="006A31EF">
        <w:trPr>
          <w:trHeight w:val="26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Total pentru proiecte de dezvoltare locală</w:t>
            </w:r>
          </w:p>
        </w:tc>
        <w:tc>
          <w:tcPr>
            <w:tcW w:w="1276"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662.516,94</w:t>
            </w:r>
          </w:p>
        </w:tc>
        <w:tc>
          <w:tcPr>
            <w:tcW w:w="1559"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462.371,24</w:t>
            </w:r>
          </w:p>
        </w:tc>
        <w:tc>
          <w:tcPr>
            <w:tcW w:w="1701"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441.704,80</w:t>
            </w:r>
          </w:p>
        </w:tc>
        <w:tc>
          <w:tcPr>
            <w:tcW w:w="1843" w:type="dxa"/>
            <w:tcBorders>
              <w:top w:val="nil"/>
              <w:left w:val="nil"/>
              <w:bottom w:val="single" w:sz="4" w:space="0" w:color="auto"/>
              <w:right w:val="single" w:sz="4" w:space="0" w:color="auto"/>
            </w:tcBorders>
            <w:vAlign w:val="bottom"/>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343.938,54</w:t>
            </w:r>
          </w:p>
        </w:tc>
      </w:tr>
      <w:tr w:rsidR="00756AE7" w:rsidRPr="008376FC" w:rsidTr="006A31EF">
        <w:trPr>
          <w:trHeight w:val="260"/>
        </w:trPr>
        <w:tc>
          <w:tcPr>
            <w:tcW w:w="3402" w:type="dxa"/>
            <w:tcBorders>
              <w:top w:val="nil"/>
              <w:left w:val="single" w:sz="4" w:space="0" w:color="auto"/>
              <w:bottom w:val="single" w:sz="4" w:space="0" w:color="auto"/>
              <w:right w:val="single" w:sz="4" w:space="0" w:color="auto"/>
            </w:tcBorders>
            <w:shd w:val="clear" w:color="auto" w:fill="auto"/>
            <w:noWrap/>
            <w:vAlign w:val="bottom"/>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Nr. proiecte incluse în DUP</w:t>
            </w:r>
            <w:r w:rsidR="008E1C9C">
              <w:rPr>
                <w:rFonts w:asciiTheme="majorHAnsi" w:eastAsia="Times New Roman" w:hAnsiTheme="majorHAnsi" w:cstheme="majorHAnsi"/>
                <w:b w:val="0"/>
                <w:bCs w:val="0"/>
                <w:sz w:val="20"/>
                <w:szCs w:val="20"/>
              </w:rPr>
              <w:t>,</w:t>
            </w:r>
            <w:r w:rsidRPr="008376FC">
              <w:rPr>
                <w:rFonts w:asciiTheme="majorHAnsi" w:eastAsia="Times New Roman" w:hAnsiTheme="majorHAnsi" w:cstheme="majorHAnsi"/>
                <w:b w:val="0"/>
                <w:bCs w:val="0"/>
                <w:sz w:val="20"/>
                <w:szCs w:val="20"/>
              </w:rPr>
              <w:t xml:space="preserve"> Măsura 1.1.</w:t>
            </w:r>
          </w:p>
        </w:tc>
        <w:tc>
          <w:tcPr>
            <w:tcW w:w="1276" w:type="dxa"/>
            <w:tcBorders>
              <w:top w:val="nil"/>
              <w:left w:val="nil"/>
              <w:bottom w:val="single" w:sz="4" w:space="0" w:color="auto"/>
              <w:right w:val="single" w:sz="4" w:space="0" w:color="auto"/>
            </w:tcBorders>
            <w:shd w:val="clear" w:color="auto" w:fill="auto"/>
            <w:noWrap/>
            <w:vAlign w:val="bottom"/>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152</w:t>
            </w:r>
          </w:p>
        </w:tc>
        <w:tc>
          <w:tcPr>
            <w:tcW w:w="1559" w:type="dxa"/>
            <w:tcBorders>
              <w:top w:val="nil"/>
              <w:left w:val="nil"/>
              <w:bottom w:val="single" w:sz="4" w:space="0" w:color="auto"/>
              <w:right w:val="single" w:sz="4" w:space="0" w:color="auto"/>
            </w:tcBorders>
            <w:shd w:val="clear" w:color="auto" w:fill="auto"/>
            <w:noWrap/>
            <w:vAlign w:val="bottom"/>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152</w:t>
            </w:r>
          </w:p>
        </w:tc>
        <w:tc>
          <w:tcPr>
            <w:tcW w:w="1701" w:type="dxa"/>
            <w:tcBorders>
              <w:top w:val="nil"/>
              <w:left w:val="nil"/>
              <w:bottom w:val="single" w:sz="4" w:space="0" w:color="auto"/>
              <w:right w:val="single" w:sz="4" w:space="0" w:color="auto"/>
            </w:tcBorders>
            <w:shd w:val="clear" w:color="auto" w:fill="auto"/>
            <w:noWrap/>
            <w:vAlign w:val="bottom"/>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155</w:t>
            </w:r>
          </w:p>
        </w:tc>
        <w:tc>
          <w:tcPr>
            <w:tcW w:w="1843" w:type="dxa"/>
            <w:tcBorders>
              <w:top w:val="nil"/>
              <w:left w:val="nil"/>
              <w:bottom w:val="single" w:sz="4" w:space="0" w:color="auto"/>
              <w:right w:val="single" w:sz="4" w:space="0" w:color="auto"/>
            </w:tcBorders>
            <w:vAlign w:val="bottom"/>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155</w:t>
            </w:r>
          </w:p>
        </w:tc>
      </w:tr>
      <w:tr w:rsidR="00756AE7" w:rsidRPr="008376FC" w:rsidTr="006A31EF">
        <w:trPr>
          <w:trHeight w:val="26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Măsura 1.1. (7503)</w:t>
            </w:r>
          </w:p>
        </w:tc>
        <w:tc>
          <w:tcPr>
            <w:tcW w:w="1276"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257.647,37</w:t>
            </w:r>
          </w:p>
        </w:tc>
        <w:tc>
          <w:tcPr>
            <w:tcW w:w="1559"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245.037,70</w:t>
            </w:r>
          </w:p>
        </w:tc>
        <w:tc>
          <w:tcPr>
            <w:tcW w:w="1701"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228.478,43</w:t>
            </w:r>
          </w:p>
        </w:tc>
        <w:tc>
          <w:tcPr>
            <w:tcW w:w="1843" w:type="dxa"/>
            <w:tcBorders>
              <w:top w:val="nil"/>
              <w:left w:val="nil"/>
              <w:bottom w:val="single" w:sz="4" w:space="0" w:color="auto"/>
              <w:right w:val="single" w:sz="4" w:space="0" w:color="auto"/>
            </w:tcBorders>
            <w:vAlign w:val="bottom"/>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178.891,68</w:t>
            </w:r>
          </w:p>
        </w:tc>
      </w:tr>
      <w:tr w:rsidR="00756AE7" w:rsidRPr="008376FC" w:rsidTr="00D47DB9">
        <w:trPr>
          <w:trHeight w:val="260"/>
        </w:trPr>
        <w:tc>
          <w:tcPr>
            <w:tcW w:w="3402" w:type="dxa"/>
            <w:tcBorders>
              <w:top w:val="nil"/>
              <w:left w:val="single" w:sz="4" w:space="0" w:color="auto"/>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Cheltuieli de organizare</w:t>
            </w:r>
            <w:r w:rsidR="008E1C9C">
              <w:rPr>
                <w:rFonts w:asciiTheme="majorHAnsi" w:eastAsia="Times New Roman" w:hAnsiTheme="majorHAnsi" w:cstheme="majorHAnsi"/>
                <w:b w:val="0"/>
                <w:bCs w:val="0"/>
                <w:sz w:val="20"/>
                <w:szCs w:val="20"/>
              </w:rPr>
              <w:t>,</w:t>
            </w:r>
            <w:r w:rsidRPr="008376FC">
              <w:rPr>
                <w:rFonts w:asciiTheme="majorHAnsi" w:eastAsia="Times New Roman" w:hAnsiTheme="majorHAnsi" w:cstheme="majorHAnsi"/>
                <w:b w:val="0"/>
                <w:bCs w:val="0"/>
                <w:sz w:val="20"/>
                <w:szCs w:val="20"/>
              </w:rPr>
              <w:t xml:space="preserve"> ONDRL</w:t>
            </w:r>
          </w:p>
        </w:tc>
        <w:tc>
          <w:tcPr>
            <w:tcW w:w="1276"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7.483,06</w:t>
            </w:r>
          </w:p>
        </w:tc>
        <w:tc>
          <w:tcPr>
            <w:tcW w:w="1559"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6.412,06</w:t>
            </w:r>
          </w:p>
        </w:tc>
        <w:tc>
          <w:tcPr>
            <w:tcW w:w="1701" w:type="dxa"/>
            <w:tcBorders>
              <w:top w:val="nil"/>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6.412,06</w:t>
            </w:r>
          </w:p>
        </w:tc>
        <w:tc>
          <w:tcPr>
            <w:tcW w:w="1843" w:type="dxa"/>
            <w:tcBorders>
              <w:top w:val="nil"/>
              <w:left w:val="nil"/>
              <w:bottom w:val="single" w:sz="4" w:space="0" w:color="auto"/>
              <w:right w:val="single" w:sz="4" w:space="0" w:color="auto"/>
            </w:tcBorders>
            <w:vAlign w:val="bottom"/>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4.858,03</w:t>
            </w:r>
          </w:p>
        </w:tc>
      </w:tr>
      <w:tr w:rsidR="00756AE7" w:rsidRPr="008376FC" w:rsidTr="00D47DB9">
        <w:trPr>
          <w:trHeight w:val="26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 xml:space="preserve">Ponderea alocațiilor pentru </w:t>
            </w:r>
            <w:r w:rsidR="008E1C9C">
              <w:rPr>
                <w:rFonts w:asciiTheme="majorHAnsi" w:eastAsia="Times New Roman" w:hAnsiTheme="majorHAnsi" w:cstheme="majorHAnsi"/>
                <w:b w:val="0"/>
                <w:bCs w:val="0"/>
                <w:sz w:val="20"/>
                <w:szCs w:val="20"/>
              </w:rPr>
              <w:t>M</w:t>
            </w:r>
            <w:r w:rsidRPr="008376FC">
              <w:rPr>
                <w:rFonts w:asciiTheme="majorHAnsi" w:eastAsia="Times New Roman" w:hAnsiTheme="majorHAnsi" w:cstheme="majorHAnsi"/>
                <w:b w:val="0"/>
                <w:bCs w:val="0"/>
                <w:sz w:val="20"/>
                <w:szCs w:val="20"/>
              </w:rPr>
              <w:t>ăsura 1.1.</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38,45%</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52,27%</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50,99%</w:t>
            </w:r>
          </w:p>
        </w:tc>
        <w:tc>
          <w:tcPr>
            <w:tcW w:w="1843" w:type="dxa"/>
            <w:tcBorders>
              <w:top w:val="single" w:sz="4" w:space="0" w:color="auto"/>
              <w:left w:val="nil"/>
              <w:bottom w:val="single" w:sz="4" w:space="0" w:color="auto"/>
              <w:right w:val="single" w:sz="4" w:space="0" w:color="auto"/>
            </w:tcBorders>
            <w:vAlign w:val="bottom"/>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51,29%</w:t>
            </w:r>
          </w:p>
        </w:tc>
      </w:tr>
      <w:tr w:rsidR="00756AE7" w:rsidRPr="008376FC" w:rsidTr="00D47DB9">
        <w:trPr>
          <w:trHeight w:val="260"/>
        </w:trPr>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Ponderea cheltuielilor</w:t>
            </w:r>
            <w:r w:rsidR="008E1C9C">
              <w:rPr>
                <w:rFonts w:asciiTheme="majorHAnsi" w:eastAsia="Times New Roman" w:hAnsiTheme="majorHAnsi" w:cstheme="majorHAnsi"/>
                <w:b w:val="0"/>
                <w:bCs w:val="0"/>
                <w:sz w:val="20"/>
                <w:szCs w:val="20"/>
              </w:rPr>
              <w:t>,</w:t>
            </w:r>
            <w:r w:rsidRPr="008376FC">
              <w:rPr>
                <w:rFonts w:asciiTheme="majorHAnsi" w:eastAsia="Times New Roman" w:hAnsiTheme="majorHAnsi" w:cstheme="majorHAnsi"/>
                <w:b w:val="0"/>
                <w:bCs w:val="0"/>
                <w:sz w:val="20"/>
                <w:szCs w:val="20"/>
              </w:rPr>
              <w:t xml:space="preserve"> ONDRL</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1,1%</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1,4%</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1,4%</w:t>
            </w:r>
          </w:p>
        </w:tc>
        <w:tc>
          <w:tcPr>
            <w:tcW w:w="1843" w:type="dxa"/>
            <w:tcBorders>
              <w:top w:val="single" w:sz="4" w:space="0" w:color="auto"/>
              <w:left w:val="nil"/>
              <w:bottom w:val="single" w:sz="4" w:space="0" w:color="auto"/>
              <w:right w:val="single" w:sz="4" w:space="0" w:color="auto"/>
            </w:tcBorders>
            <w:vAlign w:val="bottom"/>
          </w:tcPr>
          <w:p w:rsidR="00756AE7" w:rsidRPr="008376FC" w:rsidRDefault="00756AE7" w:rsidP="00F61756">
            <w:pPr>
              <w:spacing w:after="0"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1,4%</w:t>
            </w:r>
          </w:p>
        </w:tc>
      </w:tr>
      <w:tr w:rsidR="00756AE7" w:rsidRPr="008376FC" w:rsidTr="00D47DB9">
        <w:trPr>
          <w:trHeight w:val="260"/>
        </w:trPr>
        <w:tc>
          <w:tcPr>
            <w:tcW w:w="9781" w:type="dxa"/>
            <w:gridSpan w:val="5"/>
            <w:tcBorders>
              <w:top w:val="single" w:sz="4" w:space="0" w:color="auto"/>
            </w:tcBorders>
            <w:shd w:val="clear" w:color="auto" w:fill="auto"/>
            <w:noWrap/>
            <w:vAlign w:val="bottom"/>
          </w:tcPr>
          <w:p w:rsidR="00756AE7" w:rsidRPr="00D97D77" w:rsidRDefault="00756AE7" w:rsidP="00F61756">
            <w:pPr>
              <w:spacing w:after="0" w:line="276" w:lineRule="auto"/>
              <w:rPr>
                <w:rFonts w:asciiTheme="majorHAnsi" w:eastAsia="Times New Roman" w:hAnsiTheme="majorHAnsi" w:cstheme="majorHAnsi"/>
                <w:b w:val="0"/>
                <w:bCs w:val="0"/>
                <w:i/>
                <w:sz w:val="20"/>
                <w:szCs w:val="20"/>
              </w:rPr>
            </w:pPr>
            <w:r w:rsidRPr="00D97D77">
              <w:rPr>
                <w:rFonts w:asciiTheme="majorHAnsi" w:eastAsia="Times New Roman" w:hAnsiTheme="majorHAnsi" w:cstheme="majorHAnsi"/>
                <w:i/>
                <w:sz w:val="20"/>
                <w:szCs w:val="20"/>
                <w:lang w:eastAsia="ru-RU"/>
              </w:rPr>
              <w:t>Sursa:</w:t>
            </w:r>
            <w:r w:rsidRPr="00D97D77">
              <w:rPr>
                <w:rFonts w:asciiTheme="majorHAnsi" w:eastAsia="Times New Roman" w:hAnsiTheme="majorHAnsi" w:cstheme="majorHAnsi"/>
                <w:b w:val="0"/>
                <w:bCs w:val="0"/>
                <w:i/>
                <w:sz w:val="20"/>
                <w:szCs w:val="20"/>
                <w:lang w:eastAsia="ru-RU"/>
              </w:rPr>
              <w:t xml:space="preserve"> </w:t>
            </w:r>
            <w:r w:rsidR="008E1C9C">
              <w:rPr>
                <w:rFonts w:asciiTheme="majorHAnsi" w:eastAsia="Times New Roman" w:hAnsiTheme="majorHAnsi" w:cstheme="majorHAnsi"/>
                <w:b w:val="0"/>
                <w:bCs w:val="0"/>
                <w:i/>
                <w:sz w:val="20"/>
                <w:szCs w:val="20"/>
                <w:lang w:eastAsia="ru-RU"/>
              </w:rPr>
              <w:t>T</w:t>
            </w:r>
            <w:r w:rsidRPr="00D97D77">
              <w:rPr>
                <w:rFonts w:asciiTheme="majorHAnsi" w:eastAsia="Times New Roman" w:hAnsiTheme="majorHAnsi" w:cstheme="majorHAnsi"/>
                <w:b w:val="0"/>
                <w:bCs w:val="0"/>
                <w:i/>
                <w:sz w:val="20"/>
                <w:szCs w:val="20"/>
                <w:lang w:eastAsia="ru-RU"/>
              </w:rPr>
              <w:t>abel întocmit în baza informațiilor prezentate de ONDRL.</w:t>
            </w:r>
          </w:p>
        </w:tc>
      </w:tr>
    </w:tbl>
    <w:p w:rsidR="00F2485C" w:rsidRPr="008376FC" w:rsidRDefault="00756AE7" w:rsidP="00F61756">
      <w:pPr>
        <w:spacing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sz w:val="24"/>
          <w:szCs w:val="24"/>
          <w:lang w:eastAsia="ru-RU"/>
        </w:rPr>
        <w:t>În 2022</w:t>
      </w:r>
      <w:r w:rsidR="008E1C9C">
        <w:rPr>
          <w:rFonts w:asciiTheme="majorHAnsi" w:eastAsia="Times New Roman" w:hAnsiTheme="majorHAnsi" w:cstheme="majorHAnsi"/>
          <w:b w:val="0"/>
          <w:bCs w:val="0"/>
          <w:sz w:val="24"/>
          <w:szCs w:val="24"/>
          <w:lang w:eastAsia="ru-RU"/>
        </w:rPr>
        <w:t>,</w:t>
      </w:r>
      <w:r w:rsidRPr="008376FC">
        <w:rPr>
          <w:rFonts w:asciiTheme="majorHAnsi" w:eastAsia="Times New Roman" w:hAnsiTheme="majorHAnsi" w:cstheme="majorHAnsi"/>
          <w:b w:val="0"/>
          <w:bCs w:val="0"/>
          <w:sz w:val="24"/>
          <w:szCs w:val="24"/>
          <w:lang w:eastAsia="ru-RU"/>
        </w:rPr>
        <w:t xml:space="preserve"> din 152 de proiecte incluse în DUP la Măsura 1.1.</w:t>
      </w:r>
      <w:r w:rsidR="008E1C9C">
        <w:rPr>
          <w:rFonts w:asciiTheme="majorHAnsi" w:eastAsia="Times New Roman" w:hAnsiTheme="majorHAnsi" w:cstheme="majorHAnsi"/>
          <w:b w:val="0"/>
          <w:bCs w:val="0"/>
          <w:sz w:val="24"/>
          <w:szCs w:val="24"/>
          <w:lang w:eastAsia="ru-RU"/>
        </w:rPr>
        <w:t>,</w:t>
      </w:r>
      <w:r w:rsidRPr="008376FC">
        <w:rPr>
          <w:rFonts w:asciiTheme="majorHAnsi" w:eastAsia="Times New Roman" w:hAnsiTheme="majorHAnsi" w:cstheme="majorHAnsi"/>
          <w:b w:val="0"/>
          <w:bCs w:val="0"/>
          <w:sz w:val="24"/>
          <w:szCs w:val="24"/>
          <w:lang w:eastAsia="ru-RU"/>
        </w:rPr>
        <w:t xml:space="preserve"> au fost finalizate lucrările și </w:t>
      </w:r>
      <w:r w:rsidR="00E353CD">
        <w:rPr>
          <w:rFonts w:asciiTheme="majorHAnsi" w:eastAsia="Times New Roman" w:hAnsiTheme="majorHAnsi" w:cstheme="majorHAnsi"/>
          <w:b w:val="0"/>
          <w:bCs w:val="0"/>
          <w:sz w:val="24"/>
          <w:szCs w:val="24"/>
          <w:lang w:eastAsia="ru-RU"/>
        </w:rPr>
        <w:t xml:space="preserve">au fost </w:t>
      </w:r>
      <w:r w:rsidRPr="008376FC">
        <w:rPr>
          <w:rFonts w:asciiTheme="majorHAnsi" w:eastAsia="Times New Roman" w:hAnsiTheme="majorHAnsi" w:cstheme="majorHAnsi"/>
          <w:b w:val="0"/>
          <w:bCs w:val="0"/>
          <w:sz w:val="24"/>
          <w:szCs w:val="24"/>
          <w:lang w:eastAsia="ru-RU"/>
        </w:rPr>
        <w:t>întocmite procese</w:t>
      </w:r>
      <w:r w:rsidR="00E353CD">
        <w:rPr>
          <w:rFonts w:asciiTheme="majorHAnsi" w:eastAsia="Times New Roman" w:hAnsiTheme="majorHAnsi" w:cstheme="majorHAnsi"/>
          <w:b w:val="0"/>
          <w:bCs w:val="0"/>
          <w:sz w:val="24"/>
          <w:szCs w:val="24"/>
          <w:lang w:eastAsia="ru-RU"/>
        </w:rPr>
        <w:t>le</w:t>
      </w:r>
      <w:r w:rsidRPr="008376FC">
        <w:rPr>
          <w:rFonts w:asciiTheme="majorHAnsi" w:eastAsia="Times New Roman" w:hAnsiTheme="majorHAnsi" w:cstheme="majorHAnsi"/>
          <w:b w:val="0"/>
          <w:bCs w:val="0"/>
          <w:sz w:val="24"/>
          <w:szCs w:val="24"/>
          <w:lang w:eastAsia="ru-RU"/>
        </w:rPr>
        <w:t>-verbale de recepție la terminarea lucrărilor pentru 11 proiecte în valoare de 23,5 mil</w:t>
      </w:r>
      <w:r w:rsidR="00E353CD">
        <w:rPr>
          <w:rFonts w:asciiTheme="majorHAnsi" w:eastAsia="Times New Roman" w:hAnsiTheme="majorHAnsi" w:cstheme="majorHAnsi"/>
          <w:b w:val="0"/>
          <w:bCs w:val="0"/>
          <w:sz w:val="24"/>
          <w:szCs w:val="24"/>
          <w:lang w:eastAsia="ru-RU"/>
        </w:rPr>
        <w:t>.</w:t>
      </w:r>
      <w:r w:rsidRPr="008376FC">
        <w:rPr>
          <w:rFonts w:asciiTheme="majorHAnsi" w:eastAsia="Times New Roman" w:hAnsiTheme="majorHAnsi" w:cstheme="majorHAnsi"/>
          <w:b w:val="0"/>
          <w:bCs w:val="0"/>
          <w:sz w:val="24"/>
          <w:szCs w:val="24"/>
          <w:lang w:eastAsia="ru-RU"/>
        </w:rPr>
        <w:t>lei, dintre care</w:t>
      </w:r>
      <w:r w:rsidR="001902D3">
        <w:rPr>
          <w:rFonts w:asciiTheme="majorHAnsi" w:eastAsia="Times New Roman" w:hAnsiTheme="majorHAnsi" w:cstheme="majorHAnsi"/>
          <w:b w:val="0"/>
          <w:bCs w:val="0"/>
          <w:sz w:val="24"/>
          <w:szCs w:val="24"/>
          <w:lang w:eastAsia="ru-RU"/>
        </w:rPr>
        <w:t>:</w:t>
      </w:r>
      <w:r w:rsidRPr="008376FC">
        <w:rPr>
          <w:rFonts w:asciiTheme="majorHAnsi" w:eastAsia="Times New Roman" w:hAnsiTheme="majorHAnsi" w:cstheme="majorHAnsi"/>
          <w:b w:val="0"/>
          <w:bCs w:val="0"/>
          <w:sz w:val="24"/>
          <w:szCs w:val="24"/>
          <w:lang w:eastAsia="ru-RU"/>
        </w:rPr>
        <w:t xml:space="preserve"> preluate din FEN </w:t>
      </w:r>
      <w:r w:rsidR="00E353CD">
        <w:rPr>
          <w:rFonts w:asciiTheme="majorHAnsi" w:eastAsia="Times New Roman" w:hAnsiTheme="majorHAnsi" w:cstheme="majorHAnsi"/>
          <w:b w:val="0"/>
          <w:bCs w:val="0"/>
          <w:sz w:val="24"/>
          <w:szCs w:val="24"/>
          <w:lang w:eastAsia="ru-RU"/>
        </w:rPr>
        <w:t xml:space="preserve">– </w:t>
      </w:r>
      <w:r w:rsidRPr="008376FC">
        <w:rPr>
          <w:rFonts w:asciiTheme="majorHAnsi" w:eastAsia="Times New Roman" w:hAnsiTheme="majorHAnsi" w:cstheme="majorHAnsi"/>
          <w:b w:val="0"/>
          <w:bCs w:val="0"/>
          <w:sz w:val="24"/>
          <w:szCs w:val="24"/>
          <w:lang w:eastAsia="ru-RU"/>
        </w:rPr>
        <w:t>5 proiecte</w:t>
      </w:r>
      <w:r w:rsidR="00E353CD">
        <w:rPr>
          <w:rFonts w:asciiTheme="majorHAnsi" w:eastAsia="Times New Roman" w:hAnsiTheme="majorHAnsi" w:cstheme="majorHAnsi"/>
          <w:b w:val="0"/>
          <w:bCs w:val="0"/>
          <w:sz w:val="24"/>
          <w:szCs w:val="24"/>
          <w:lang w:eastAsia="ru-RU"/>
        </w:rPr>
        <w:t>,</w:t>
      </w:r>
      <w:r w:rsidRPr="008376FC">
        <w:rPr>
          <w:rFonts w:asciiTheme="majorHAnsi" w:eastAsia="Times New Roman" w:hAnsiTheme="majorHAnsi" w:cstheme="majorHAnsi"/>
          <w:b w:val="0"/>
          <w:bCs w:val="0"/>
          <w:sz w:val="24"/>
          <w:szCs w:val="24"/>
          <w:lang w:eastAsia="ru-RU"/>
        </w:rPr>
        <w:t xml:space="preserve"> </w:t>
      </w:r>
      <w:r w:rsidR="00B26470" w:rsidRPr="008376FC">
        <w:rPr>
          <w:rFonts w:asciiTheme="majorHAnsi" w:eastAsia="Times New Roman" w:hAnsiTheme="majorHAnsi" w:cstheme="majorHAnsi"/>
          <w:b w:val="0"/>
          <w:bCs w:val="0"/>
          <w:sz w:val="24"/>
          <w:szCs w:val="24"/>
          <w:lang w:eastAsia="ru-RU"/>
        </w:rPr>
        <w:t xml:space="preserve">în valoare de </w:t>
      </w:r>
      <w:r w:rsidRPr="008376FC">
        <w:rPr>
          <w:rFonts w:asciiTheme="majorHAnsi" w:eastAsia="Times New Roman" w:hAnsiTheme="majorHAnsi" w:cstheme="majorHAnsi"/>
          <w:b w:val="0"/>
          <w:bCs w:val="0"/>
          <w:sz w:val="24"/>
          <w:szCs w:val="24"/>
          <w:lang w:eastAsia="ru-RU"/>
        </w:rPr>
        <w:t>17,5 mil</w:t>
      </w:r>
      <w:r w:rsidR="00E353CD">
        <w:rPr>
          <w:rFonts w:asciiTheme="majorHAnsi" w:eastAsia="Times New Roman" w:hAnsiTheme="majorHAnsi" w:cstheme="majorHAnsi"/>
          <w:b w:val="0"/>
          <w:bCs w:val="0"/>
          <w:sz w:val="24"/>
          <w:szCs w:val="24"/>
          <w:lang w:eastAsia="ru-RU"/>
        </w:rPr>
        <w:t>.</w:t>
      </w:r>
      <w:r w:rsidRPr="008376FC">
        <w:rPr>
          <w:rFonts w:asciiTheme="majorHAnsi" w:eastAsia="Times New Roman" w:hAnsiTheme="majorHAnsi" w:cstheme="majorHAnsi"/>
          <w:b w:val="0"/>
          <w:bCs w:val="0"/>
          <w:sz w:val="24"/>
          <w:szCs w:val="24"/>
          <w:lang w:eastAsia="ru-RU"/>
        </w:rPr>
        <w:t>lei. În derulare se află 107 proiecte cu valoare</w:t>
      </w:r>
      <w:r w:rsidR="001902D3">
        <w:rPr>
          <w:rFonts w:asciiTheme="majorHAnsi" w:eastAsia="Times New Roman" w:hAnsiTheme="majorHAnsi" w:cstheme="majorHAnsi"/>
          <w:b w:val="0"/>
          <w:bCs w:val="0"/>
          <w:sz w:val="24"/>
          <w:szCs w:val="24"/>
          <w:lang w:eastAsia="ru-RU"/>
        </w:rPr>
        <w:t>a</w:t>
      </w:r>
      <w:r w:rsidRPr="008376FC">
        <w:rPr>
          <w:rFonts w:asciiTheme="majorHAnsi" w:eastAsia="Times New Roman" w:hAnsiTheme="majorHAnsi" w:cstheme="majorHAnsi"/>
          <w:b w:val="0"/>
          <w:bCs w:val="0"/>
          <w:sz w:val="24"/>
          <w:szCs w:val="24"/>
          <w:lang w:eastAsia="ru-RU"/>
        </w:rPr>
        <w:t xml:space="preserve"> de 740,3 mil</w:t>
      </w:r>
      <w:r w:rsidR="001902D3">
        <w:rPr>
          <w:rFonts w:asciiTheme="majorHAnsi" w:eastAsia="Times New Roman" w:hAnsiTheme="majorHAnsi" w:cstheme="majorHAnsi"/>
          <w:b w:val="0"/>
          <w:bCs w:val="0"/>
          <w:sz w:val="24"/>
          <w:szCs w:val="24"/>
          <w:lang w:eastAsia="ru-RU"/>
        </w:rPr>
        <w:t>.</w:t>
      </w:r>
      <w:r w:rsidRPr="008376FC">
        <w:rPr>
          <w:rFonts w:asciiTheme="majorHAnsi" w:eastAsia="Times New Roman" w:hAnsiTheme="majorHAnsi" w:cstheme="majorHAnsi"/>
          <w:b w:val="0"/>
          <w:bCs w:val="0"/>
          <w:sz w:val="24"/>
          <w:szCs w:val="24"/>
          <w:lang w:eastAsia="ru-RU"/>
        </w:rPr>
        <w:t xml:space="preserve">lei, 32 </w:t>
      </w:r>
      <w:r w:rsidR="001902D3">
        <w:rPr>
          <w:rFonts w:asciiTheme="majorHAnsi" w:eastAsia="Times New Roman" w:hAnsiTheme="majorHAnsi" w:cstheme="majorHAnsi"/>
          <w:b w:val="0"/>
          <w:bCs w:val="0"/>
          <w:sz w:val="24"/>
          <w:szCs w:val="24"/>
          <w:lang w:eastAsia="ru-RU"/>
        </w:rPr>
        <w:t xml:space="preserve">de </w:t>
      </w:r>
      <w:r w:rsidRPr="008376FC">
        <w:rPr>
          <w:rFonts w:asciiTheme="majorHAnsi" w:eastAsia="Times New Roman" w:hAnsiTheme="majorHAnsi" w:cstheme="majorHAnsi"/>
          <w:b w:val="0"/>
          <w:bCs w:val="0"/>
          <w:sz w:val="24"/>
          <w:szCs w:val="24"/>
          <w:lang w:eastAsia="ru-RU"/>
        </w:rPr>
        <w:t>proiecte sunt în procedura de achiziții publice, și 2 proiecte au lansat procedura de achiziții publice în 2023</w:t>
      </w:r>
      <w:r w:rsidR="00B26470" w:rsidRPr="008376FC">
        <w:rPr>
          <w:rFonts w:asciiTheme="majorHAnsi" w:eastAsia="Times New Roman" w:hAnsiTheme="majorHAnsi" w:cstheme="majorHAnsi"/>
          <w:b w:val="0"/>
          <w:bCs w:val="0"/>
          <w:sz w:val="24"/>
          <w:szCs w:val="24"/>
          <w:lang w:eastAsia="ru-RU"/>
        </w:rPr>
        <w:t xml:space="preserve">. </w:t>
      </w:r>
      <w:r w:rsidR="001902D3">
        <w:rPr>
          <w:rFonts w:asciiTheme="majorHAnsi" w:eastAsia="Times New Roman" w:hAnsiTheme="majorHAnsi" w:cstheme="majorHAnsi"/>
          <w:b w:val="0"/>
          <w:bCs w:val="0"/>
          <w:sz w:val="24"/>
          <w:szCs w:val="24"/>
          <w:lang w:eastAsia="ru-RU"/>
        </w:rPr>
        <w:t xml:space="preserve">Informații detaliate sunt </w:t>
      </w:r>
      <w:r w:rsidR="00D97D77">
        <w:rPr>
          <w:rFonts w:asciiTheme="majorHAnsi" w:eastAsia="Times New Roman" w:hAnsiTheme="majorHAnsi" w:cstheme="majorHAnsi"/>
          <w:b w:val="0"/>
          <w:bCs w:val="0"/>
          <w:sz w:val="24"/>
          <w:szCs w:val="24"/>
          <w:lang w:eastAsia="ru-RU"/>
        </w:rPr>
        <w:t xml:space="preserve">prezentate </w:t>
      </w:r>
      <w:r w:rsidR="001902D3">
        <w:rPr>
          <w:rFonts w:asciiTheme="majorHAnsi" w:eastAsia="Times New Roman" w:hAnsiTheme="majorHAnsi" w:cstheme="majorHAnsi"/>
          <w:b w:val="0"/>
          <w:bCs w:val="0"/>
          <w:sz w:val="24"/>
          <w:szCs w:val="24"/>
          <w:lang w:eastAsia="ru-RU"/>
        </w:rPr>
        <w:t xml:space="preserve"> în</w:t>
      </w:r>
      <w:r w:rsidR="00B26470" w:rsidRPr="008376FC">
        <w:rPr>
          <w:rFonts w:asciiTheme="majorHAnsi" w:eastAsia="Times New Roman" w:hAnsiTheme="majorHAnsi" w:cstheme="majorHAnsi"/>
          <w:b w:val="0"/>
          <w:bCs w:val="0"/>
          <w:sz w:val="24"/>
          <w:szCs w:val="24"/>
          <w:lang w:eastAsia="ru-RU"/>
        </w:rPr>
        <w:t xml:space="preserve"> tabelul de mai jos.</w:t>
      </w:r>
    </w:p>
    <w:p w:rsidR="00D47DB9" w:rsidRPr="008376FC" w:rsidRDefault="00D47DB9" w:rsidP="00F61756">
      <w:pPr>
        <w:spacing w:after="0" w:line="276" w:lineRule="auto"/>
        <w:jc w:val="right"/>
        <w:rPr>
          <w:rFonts w:asciiTheme="majorHAnsi" w:hAnsiTheme="majorHAnsi" w:cstheme="majorHAnsi"/>
          <w:bCs w:val="0"/>
          <w:sz w:val="20"/>
          <w:szCs w:val="20"/>
        </w:rPr>
      </w:pPr>
      <w:r w:rsidRPr="008376FC">
        <w:rPr>
          <w:rFonts w:asciiTheme="majorHAnsi" w:hAnsiTheme="majorHAnsi" w:cstheme="majorHAnsi"/>
          <w:bCs w:val="0"/>
          <w:sz w:val="20"/>
          <w:szCs w:val="20"/>
        </w:rPr>
        <w:t>Tabelul nr.1</w:t>
      </w:r>
      <w:r w:rsidR="0092109D" w:rsidRPr="008376FC">
        <w:rPr>
          <w:rFonts w:asciiTheme="majorHAnsi" w:hAnsiTheme="majorHAnsi" w:cstheme="majorHAnsi"/>
          <w:bCs w:val="0"/>
          <w:sz w:val="20"/>
          <w:szCs w:val="20"/>
        </w:rPr>
        <w:t>5</w:t>
      </w:r>
    </w:p>
    <w:tbl>
      <w:tblPr>
        <w:tblW w:w="5000" w:type="pct"/>
        <w:tblCellMar>
          <w:left w:w="74" w:type="dxa"/>
          <w:right w:w="74" w:type="dxa"/>
        </w:tblCellMar>
        <w:tblLook w:val="04A0" w:firstRow="1" w:lastRow="0" w:firstColumn="1" w:lastColumn="0" w:noHBand="0" w:noVBand="1"/>
      </w:tblPr>
      <w:tblGrid>
        <w:gridCol w:w="1071"/>
        <w:gridCol w:w="1110"/>
        <w:gridCol w:w="973"/>
        <w:gridCol w:w="1389"/>
        <w:gridCol w:w="1252"/>
        <w:gridCol w:w="1157"/>
        <w:gridCol w:w="1366"/>
        <w:gridCol w:w="1370"/>
      </w:tblGrid>
      <w:tr w:rsidR="00756AE7" w:rsidRPr="008376FC" w:rsidTr="00D47DB9">
        <w:trPr>
          <w:trHeight w:val="101"/>
        </w:trPr>
        <w:tc>
          <w:tcPr>
            <w:tcW w:w="5000" w:type="pct"/>
            <w:gridSpan w:val="8"/>
            <w:tcBorders>
              <w:bottom w:val="single" w:sz="4" w:space="0" w:color="auto"/>
            </w:tcBorders>
            <w:shd w:val="clear" w:color="auto" w:fill="FFFFFF" w:themeFill="background1"/>
            <w:tcMar>
              <w:top w:w="0" w:type="dxa"/>
              <w:left w:w="19" w:type="dxa"/>
              <w:bottom w:w="0" w:type="dxa"/>
              <w:right w:w="19" w:type="dxa"/>
            </w:tcMar>
            <w:vAlign w:val="center"/>
          </w:tcPr>
          <w:p w:rsidR="00756AE7" w:rsidRPr="008376FC" w:rsidRDefault="00756AE7" w:rsidP="00AA4DFA">
            <w:pPr>
              <w:spacing w:after="0" w:line="240" w:lineRule="auto"/>
              <w:jc w:val="center"/>
              <w:rPr>
                <w:rFonts w:asciiTheme="majorHAnsi" w:eastAsia="Times New Roman" w:hAnsiTheme="majorHAnsi" w:cstheme="majorHAnsi"/>
                <w:sz w:val="20"/>
                <w:szCs w:val="20"/>
              </w:rPr>
            </w:pPr>
            <w:r w:rsidRPr="008376FC">
              <w:rPr>
                <w:rFonts w:asciiTheme="majorHAnsi" w:hAnsiTheme="majorHAnsi" w:cstheme="majorHAnsi"/>
                <w:bCs w:val="0"/>
                <w:sz w:val="20"/>
                <w:szCs w:val="20"/>
              </w:rPr>
              <w:t>Statutul proiectelor</w:t>
            </w:r>
            <w:r w:rsidR="00D47DB9" w:rsidRPr="008376FC">
              <w:rPr>
                <w:rFonts w:asciiTheme="majorHAnsi" w:hAnsiTheme="majorHAnsi" w:cstheme="majorHAnsi"/>
                <w:bCs w:val="0"/>
                <w:sz w:val="20"/>
                <w:szCs w:val="20"/>
              </w:rPr>
              <w:t xml:space="preserve"> finanțate din DUP 2022-2024</w:t>
            </w:r>
          </w:p>
        </w:tc>
      </w:tr>
      <w:tr w:rsidR="00756AE7" w:rsidRPr="008376FC" w:rsidTr="00D47DB9">
        <w:trPr>
          <w:trHeight w:val="220"/>
        </w:trPr>
        <w:tc>
          <w:tcPr>
            <w:tcW w:w="553"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9" w:type="dxa"/>
              <w:bottom w:w="0" w:type="dxa"/>
              <w:right w:w="19" w:type="dxa"/>
            </w:tcMar>
            <w:vAlign w:val="center"/>
            <w:hideMark/>
          </w:tcPr>
          <w:p w:rsidR="00756AE7" w:rsidRPr="008376FC" w:rsidRDefault="00756AE7" w:rsidP="00AA4DFA">
            <w:pPr>
              <w:spacing w:after="0" w:line="240"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Măsura de intervenție</w:t>
            </w:r>
          </w:p>
        </w:tc>
        <w:tc>
          <w:tcPr>
            <w:tcW w:w="573"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9" w:type="dxa"/>
              <w:bottom w:w="0" w:type="dxa"/>
              <w:right w:w="19" w:type="dxa"/>
            </w:tcMar>
            <w:vAlign w:val="center"/>
            <w:hideMark/>
          </w:tcPr>
          <w:p w:rsidR="00756AE7" w:rsidRPr="008376FC" w:rsidRDefault="00756AE7" w:rsidP="00AA4DFA">
            <w:pPr>
              <w:spacing w:after="0" w:line="240"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Proiecte incluse în DUP</w:t>
            </w:r>
          </w:p>
        </w:tc>
        <w:tc>
          <w:tcPr>
            <w:tcW w:w="502"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9" w:type="dxa"/>
              <w:bottom w:w="0" w:type="dxa"/>
              <w:right w:w="19" w:type="dxa"/>
            </w:tcMar>
            <w:vAlign w:val="center"/>
            <w:hideMark/>
          </w:tcPr>
          <w:p w:rsidR="00756AE7" w:rsidRPr="008376FC" w:rsidRDefault="00756AE7" w:rsidP="00AA4DFA">
            <w:pPr>
              <w:spacing w:after="0" w:line="240"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Proiecte sistate</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56AE7" w:rsidRPr="008376FC" w:rsidRDefault="00756AE7" w:rsidP="00AA4DFA">
            <w:pPr>
              <w:spacing w:after="0" w:line="240"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Proiecte cu finanțare aprobată</w:t>
            </w:r>
          </w:p>
        </w:tc>
        <w:tc>
          <w:tcPr>
            <w:tcW w:w="2655" w:type="pct"/>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56AE7" w:rsidRPr="008376FC" w:rsidRDefault="00756AE7" w:rsidP="00AA4DFA">
            <w:pPr>
              <w:spacing w:after="0" w:line="240"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Inclusiv proiectele cu finanțarea aprobată (490):</w:t>
            </w:r>
          </w:p>
        </w:tc>
      </w:tr>
      <w:tr w:rsidR="00756AE7" w:rsidRPr="008376FC" w:rsidTr="00D47DB9">
        <w:trPr>
          <w:trHeight w:val="637"/>
        </w:trPr>
        <w:tc>
          <w:tcPr>
            <w:tcW w:w="553"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56AE7" w:rsidRPr="008376FC" w:rsidRDefault="00756AE7" w:rsidP="00AA4DFA">
            <w:pPr>
              <w:spacing w:after="0" w:line="240" w:lineRule="auto"/>
              <w:jc w:val="both"/>
              <w:rPr>
                <w:rFonts w:asciiTheme="majorHAnsi" w:eastAsia="Times New Roman" w:hAnsiTheme="majorHAnsi" w:cstheme="majorHAnsi"/>
                <w:sz w:val="20"/>
                <w:szCs w:val="20"/>
              </w:rPr>
            </w:pPr>
          </w:p>
        </w:tc>
        <w:tc>
          <w:tcPr>
            <w:tcW w:w="573"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56AE7" w:rsidRPr="008376FC" w:rsidRDefault="00756AE7" w:rsidP="00AA4DFA">
            <w:pPr>
              <w:spacing w:after="0" w:line="240" w:lineRule="auto"/>
              <w:jc w:val="both"/>
              <w:rPr>
                <w:rFonts w:asciiTheme="majorHAnsi" w:eastAsia="Times New Roman" w:hAnsiTheme="majorHAnsi" w:cstheme="majorHAnsi"/>
                <w:sz w:val="20"/>
                <w:szCs w:val="20"/>
              </w:rPr>
            </w:pPr>
          </w:p>
        </w:tc>
        <w:tc>
          <w:tcPr>
            <w:tcW w:w="502"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56AE7" w:rsidRPr="008376FC" w:rsidRDefault="00756AE7" w:rsidP="00AA4DFA">
            <w:pPr>
              <w:spacing w:after="0" w:line="240" w:lineRule="auto"/>
              <w:jc w:val="both"/>
              <w:rPr>
                <w:rFonts w:asciiTheme="majorHAnsi" w:eastAsia="Times New Roman" w:hAnsiTheme="majorHAnsi" w:cstheme="majorHAnsi"/>
                <w:sz w:val="20"/>
                <w:szCs w:val="20"/>
              </w:rPr>
            </w:pPr>
          </w:p>
        </w:tc>
        <w:tc>
          <w:tcPr>
            <w:tcW w:w="717" w:type="pct"/>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56AE7" w:rsidRPr="008376FC" w:rsidRDefault="00756AE7" w:rsidP="00AA4DFA">
            <w:pPr>
              <w:spacing w:after="0" w:line="240" w:lineRule="auto"/>
              <w:jc w:val="both"/>
              <w:rPr>
                <w:rFonts w:asciiTheme="majorHAnsi" w:eastAsia="Times New Roman" w:hAnsiTheme="majorHAnsi" w:cstheme="majorHAnsi"/>
                <w:sz w:val="20"/>
                <w:szCs w:val="20"/>
              </w:rPr>
            </w:pPr>
          </w:p>
        </w:tc>
        <w:tc>
          <w:tcPr>
            <w:tcW w:w="64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56AE7" w:rsidRPr="008376FC" w:rsidRDefault="0062443B" w:rsidP="00AA4DFA">
            <w:p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f</w:t>
            </w:r>
            <w:r w:rsidR="00756AE7" w:rsidRPr="008376FC">
              <w:rPr>
                <w:rFonts w:asciiTheme="majorHAnsi" w:eastAsia="Times New Roman" w:hAnsiTheme="majorHAnsi" w:cstheme="majorHAnsi"/>
                <w:sz w:val="20"/>
                <w:szCs w:val="20"/>
              </w:rPr>
              <w:t>inalizate</w:t>
            </w:r>
          </w:p>
        </w:tc>
        <w:tc>
          <w:tcPr>
            <w:tcW w:w="597" w:type="pct"/>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9" w:type="dxa"/>
              <w:bottom w:w="0" w:type="dxa"/>
              <w:right w:w="19" w:type="dxa"/>
            </w:tcMar>
            <w:vAlign w:val="center"/>
            <w:hideMark/>
          </w:tcPr>
          <w:p w:rsidR="00756AE7" w:rsidRPr="008376FC" w:rsidRDefault="0062443B" w:rsidP="00AA4DFA">
            <w:p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î</w:t>
            </w:r>
            <w:r w:rsidR="00756AE7" w:rsidRPr="008376FC">
              <w:rPr>
                <w:rFonts w:asciiTheme="majorHAnsi" w:eastAsia="Times New Roman" w:hAnsiTheme="majorHAnsi" w:cstheme="majorHAnsi"/>
                <w:sz w:val="20"/>
                <w:szCs w:val="20"/>
              </w:rPr>
              <w:t>n derulare</w:t>
            </w:r>
          </w:p>
        </w:tc>
        <w:tc>
          <w:tcPr>
            <w:tcW w:w="70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rsidR="00756AE7" w:rsidRPr="008376FC" w:rsidRDefault="0062443B" w:rsidP="00AA4DFA">
            <w:p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î</w:t>
            </w:r>
            <w:r w:rsidR="00756AE7" w:rsidRPr="008376FC">
              <w:rPr>
                <w:rFonts w:asciiTheme="majorHAnsi" w:eastAsia="Times New Roman" w:hAnsiTheme="majorHAnsi" w:cstheme="majorHAnsi"/>
                <w:sz w:val="20"/>
                <w:szCs w:val="20"/>
              </w:rPr>
              <w:t>n proceduri de achiziții publice</w:t>
            </w:r>
          </w:p>
        </w:tc>
        <w:tc>
          <w:tcPr>
            <w:tcW w:w="707" w:type="pct"/>
            <w:tcBorders>
              <w:top w:val="single" w:sz="4" w:space="0" w:color="auto"/>
              <w:left w:val="single" w:sz="4" w:space="0" w:color="auto"/>
              <w:bottom w:val="single" w:sz="4" w:space="0" w:color="auto"/>
              <w:right w:val="single" w:sz="4" w:space="0" w:color="auto"/>
            </w:tcBorders>
            <w:shd w:val="clear" w:color="auto" w:fill="DEEAF6" w:themeFill="accent1" w:themeFillTint="33"/>
            <w:tcMar>
              <w:top w:w="0" w:type="dxa"/>
              <w:left w:w="19" w:type="dxa"/>
              <w:bottom w:w="0" w:type="dxa"/>
              <w:right w:w="19" w:type="dxa"/>
            </w:tcMar>
            <w:vAlign w:val="center"/>
            <w:hideMark/>
          </w:tcPr>
          <w:p w:rsidR="00756AE7" w:rsidRPr="008376FC" w:rsidRDefault="0062443B" w:rsidP="00AA4DFA">
            <w:p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c</w:t>
            </w:r>
            <w:r w:rsidR="00756AE7" w:rsidRPr="008376FC">
              <w:rPr>
                <w:rFonts w:asciiTheme="majorHAnsi" w:eastAsia="Times New Roman" w:hAnsiTheme="majorHAnsi" w:cstheme="majorHAnsi"/>
                <w:sz w:val="20"/>
                <w:szCs w:val="20"/>
              </w:rPr>
              <w:t>u proceduri de achiziții nelansate</w:t>
            </w:r>
          </w:p>
        </w:tc>
      </w:tr>
      <w:tr w:rsidR="00D47DB9" w:rsidRPr="008376FC" w:rsidTr="00D47DB9">
        <w:tc>
          <w:tcPr>
            <w:tcW w:w="553" w:type="pct"/>
            <w:tcBorders>
              <w:top w:val="single" w:sz="4" w:space="0" w:color="auto"/>
              <w:left w:val="single" w:sz="2" w:space="0" w:color="auto"/>
              <w:bottom w:val="single" w:sz="2" w:space="0" w:color="auto"/>
              <w:right w:val="single" w:sz="2" w:space="0" w:color="auto"/>
            </w:tcBorders>
            <w:tcMar>
              <w:top w:w="0" w:type="dxa"/>
              <w:left w:w="19" w:type="dxa"/>
              <w:bottom w:w="0" w:type="dxa"/>
              <w:right w:w="19" w:type="dxa"/>
            </w:tcMar>
            <w:vAlign w:val="center"/>
            <w:hideMark/>
          </w:tcPr>
          <w:p w:rsidR="00D47DB9" w:rsidRPr="008376FC" w:rsidRDefault="00D47DB9" w:rsidP="00AA4DFA">
            <w:pPr>
              <w:spacing w:after="0" w:line="240" w:lineRule="auto"/>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Total:</w:t>
            </w:r>
          </w:p>
        </w:tc>
        <w:tc>
          <w:tcPr>
            <w:tcW w:w="573" w:type="pct"/>
            <w:tcBorders>
              <w:top w:val="single" w:sz="4" w:space="0" w:color="auto"/>
              <w:left w:val="nil"/>
              <w:bottom w:val="single" w:sz="2" w:space="0" w:color="auto"/>
              <w:right w:val="single" w:sz="2" w:space="0" w:color="auto"/>
            </w:tcBorders>
            <w:shd w:val="clear" w:color="auto" w:fill="FFFFFF"/>
            <w:tcMar>
              <w:top w:w="0" w:type="dxa"/>
              <w:left w:w="19" w:type="dxa"/>
              <w:bottom w:w="0" w:type="dxa"/>
              <w:right w:w="19" w:type="dxa"/>
            </w:tcMar>
            <w:vAlign w:val="center"/>
            <w:hideMark/>
          </w:tcPr>
          <w:p w:rsidR="00D47DB9" w:rsidRPr="008376FC" w:rsidRDefault="00D47DB9" w:rsidP="00AA4DFA">
            <w:pPr>
              <w:spacing w:after="0" w:line="240" w:lineRule="auto"/>
              <w:jc w:val="center"/>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492</w:t>
            </w:r>
          </w:p>
        </w:tc>
        <w:tc>
          <w:tcPr>
            <w:tcW w:w="502" w:type="pct"/>
            <w:tcBorders>
              <w:top w:val="single" w:sz="4" w:space="0" w:color="auto"/>
              <w:left w:val="nil"/>
              <w:bottom w:val="single" w:sz="2" w:space="0" w:color="auto"/>
              <w:right w:val="single" w:sz="2" w:space="0" w:color="auto"/>
            </w:tcBorders>
            <w:tcMar>
              <w:top w:w="0" w:type="dxa"/>
              <w:left w:w="19" w:type="dxa"/>
              <w:bottom w:w="0" w:type="dxa"/>
              <w:right w:w="19" w:type="dxa"/>
            </w:tcMar>
            <w:vAlign w:val="center"/>
          </w:tcPr>
          <w:p w:rsidR="00D47DB9" w:rsidRPr="008376FC" w:rsidRDefault="00D47DB9" w:rsidP="00AA4DFA">
            <w:pPr>
              <w:spacing w:after="0" w:line="240" w:lineRule="auto"/>
              <w:jc w:val="center"/>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2</w:t>
            </w:r>
          </w:p>
        </w:tc>
        <w:tc>
          <w:tcPr>
            <w:tcW w:w="717" w:type="pct"/>
            <w:tcBorders>
              <w:top w:val="single" w:sz="4" w:space="0" w:color="auto"/>
              <w:left w:val="nil"/>
              <w:bottom w:val="single" w:sz="2" w:space="0" w:color="auto"/>
              <w:right w:val="single" w:sz="2" w:space="0" w:color="auto"/>
            </w:tcBorders>
            <w:shd w:val="clear" w:color="auto" w:fill="FFFFFF" w:themeFill="background1"/>
            <w:vAlign w:val="center"/>
            <w:hideMark/>
          </w:tcPr>
          <w:p w:rsidR="00D47DB9" w:rsidRPr="008376FC" w:rsidRDefault="00D47DB9" w:rsidP="00AA4DFA">
            <w:pPr>
              <w:spacing w:after="0" w:line="240" w:lineRule="auto"/>
              <w:jc w:val="center"/>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490</w:t>
            </w:r>
          </w:p>
        </w:tc>
        <w:tc>
          <w:tcPr>
            <w:tcW w:w="646" w:type="pct"/>
            <w:tcBorders>
              <w:top w:val="single" w:sz="4" w:space="0" w:color="auto"/>
              <w:left w:val="nil"/>
              <w:bottom w:val="single" w:sz="2" w:space="0" w:color="auto"/>
              <w:right w:val="single" w:sz="2" w:space="0" w:color="auto"/>
            </w:tcBorders>
            <w:vAlign w:val="center"/>
            <w:hideMark/>
          </w:tcPr>
          <w:p w:rsidR="00D47DB9" w:rsidRPr="008376FC" w:rsidRDefault="00D47DB9" w:rsidP="00AA4DFA">
            <w:pPr>
              <w:spacing w:after="0" w:line="240" w:lineRule="auto"/>
              <w:jc w:val="center"/>
              <w:rPr>
                <w:rFonts w:asciiTheme="majorHAnsi" w:eastAsia="Times New Roman" w:hAnsiTheme="majorHAnsi" w:cstheme="majorHAnsi"/>
                <w:sz w:val="20"/>
                <w:szCs w:val="20"/>
                <w:lang w:eastAsia="ru-RU"/>
              </w:rPr>
            </w:pPr>
            <w:r w:rsidRPr="008376FC">
              <w:rPr>
                <w:rFonts w:asciiTheme="majorHAnsi" w:eastAsia="Times New Roman" w:hAnsiTheme="majorHAnsi" w:cstheme="majorHAnsi"/>
                <w:sz w:val="20"/>
                <w:szCs w:val="20"/>
                <w:lang w:eastAsia="ru-RU"/>
              </w:rPr>
              <w:t>51</w:t>
            </w:r>
          </w:p>
        </w:tc>
        <w:tc>
          <w:tcPr>
            <w:tcW w:w="597" w:type="pct"/>
            <w:tcBorders>
              <w:top w:val="single" w:sz="4" w:space="0" w:color="auto"/>
              <w:left w:val="nil"/>
              <w:bottom w:val="single" w:sz="2" w:space="0" w:color="auto"/>
              <w:right w:val="single" w:sz="2" w:space="0" w:color="auto"/>
            </w:tcBorders>
            <w:noWrap/>
            <w:tcMar>
              <w:top w:w="0" w:type="dxa"/>
              <w:left w:w="19" w:type="dxa"/>
              <w:bottom w:w="0" w:type="dxa"/>
              <w:right w:w="19" w:type="dxa"/>
            </w:tcMar>
            <w:vAlign w:val="center"/>
            <w:hideMark/>
          </w:tcPr>
          <w:p w:rsidR="00D47DB9" w:rsidRPr="008376FC" w:rsidRDefault="00D47DB9" w:rsidP="00AA4DFA">
            <w:pPr>
              <w:spacing w:after="0" w:line="240" w:lineRule="auto"/>
              <w:jc w:val="center"/>
              <w:rPr>
                <w:rFonts w:asciiTheme="majorHAnsi" w:eastAsia="Times New Roman" w:hAnsiTheme="majorHAnsi" w:cstheme="majorHAnsi"/>
                <w:sz w:val="20"/>
                <w:szCs w:val="20"/>
                <w:lang w:eastAsia="ru-RU"/>
              </w:rPr>
            </w:pPr>
            <w:r w:rsidRPr="008376FC">
              <w:rPr>
                <w:rFonts w:asciiTheme="majorHAnsi" w:eastAsia="Times New Roman" w:hAnsiTheme="majorHAnsi" w:cstheme="majorHAnsi"/>
                <w:sz w:val="20"/>
                <w:szCs w:val="20"/>
                <w:lang w:eastAsia="ru-RU"/>
              </w:rPr>
              <w:t>313</w:t>
            </w:r>
          </w:p>
        </w:tc>
        <w:tc>
          <w:tcPr>
            <w:tcW w:w="705" w:type="pct"/>
            <w:tcBorders>
              <w:top w:val="single" w:sz="4" w:space="0" w:color="auto"/>
              <w:left w:val="nil"/>
              <w:bottom w:val="single" w:sz="2" w:space="0" w:color="auto"/>
              <w:right w:val="single" w:sz="2" w:space="0" w:color="auto"/>
            </w:tcBorders>
            <w:vAlign w:val="center"/>
            <w:hideMark/>
          </w:tcPr>
          <w:p w:rsidR="00D47DB9" w:rsidRPr="008376FC" w:rsidRDefault="00D47DB9" w:rsidP="00AA4DFA">
            <w:pPr>
              <w:spacing w:after="0" w:line="240" w:lineRule="auto"/>
              <w:jc w:val="center"/>
              <w:rPr>
                <w:rFonts w:asciiTheme="majorHAnsi" w:eastAsia="Times New Roman" w:hAnsiTheme="majorHAnsi" w:cstheme="majorHAnsi"/>
                <w:sz w:val="20"/>
                <w:szCs w:val="20"/>
                <w:lang w:eastAsia="ru-RU"/>
              </w:rPr>
            </w:pPr>
            <w:r w:rsidRPr="008376FC">
              <w:rPr>
                <w:rFonts w:asciiTheme="majorHAnsi" w:eastAsia="Times New Roman" w:hAnsiTheme="majorHAnsi" w:cstheme="majorHAnsi"/>
                <w:sz w:val="20"/>
                <w:szCs w:val="20"/>
                <w:lang w:eastAsia="ru-RU"/>
              </w:rPr>
              <w:t>113</w:t>
            </w:r>
          </w:p>
        </w:tc>
        <w:tc>
          <w:tcPr>
            <w:tcW w:w="707" w:type="pct"/>
            <w:tcBorders>
              <w:top w:val="single" w:sz="4" w:space="0" w:color="auto"/>
              <w:left w:val="nil"/>
              <w:bottom w:val="single" w:sz="2" w:space="0" w:color="auto"/>
              <w:right w:val="single" w:sz="2" w:space="0" w:color="auto"/>
            </w:tcBorders>
            <w:noWrap/>
            <w:tcMar>
              <w:top w:w="0" w:type="dxa"/>
              <w:left w:w="19" w:type="dxa"/>
              <w:bottom w:w="0" w:type="dxa"/>
              <w:right w:w="19" w:type="dxa"/>
            </w:tcMar>
            <w:vAlign w:val="center"/>
            <w:hideMark/>
          </w:tcPr>
          <w:p w:rsidR="00D47DB9" w:rsidRPr="008376FC" w:rsidRDefault="00D47DB9" w:rsidP="00AA4DFA">
            <w:pPr>
              <w:spacing w:after="0" w:line="240" w:lineRule="auto"/>
              <w:jc w:val="center"/>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13</w:t>
            </w:r>
          </w:p>
        </w:tc>
      </w:tr>
      <w:tr w:rsidR="00D47DB9" w:rsidRPr="008376FC" w:rsidTr="00D47DB9">
        <w:tc>
          <w:tcPr>
            <w:tcW w:w="553" w:type="pct"/>
            <w:tcBorders>
              <w:top w:val="single" w:sz="4" w:space="0" w:color="auto"/>
              <w:left w:val="single" w:sz="2" w:space="0" w:color="auto"/>
              <w:bottom w:val="single" w:sz="2" w:space="0" w:color="auto"/>
              <w:right w:val="single" w:sz="2" w:space="0" w:color="auto"/>
            </w:tcBorders>
            <w:tcMar>
              <w:top w:w="0" w:type="dxa"/>
              <w:left w:w="19" w:type="dxa"/>
              <w:bottom w:w="0" w:type="dxa"/>
              <w:right w:w="19" w:type="dxa"/>
            </w:tcMar>
            <w:vAlign w:val="center"/>
            <w:hideMark/>
          </w:tcPr>
          <w:p w:rsidR="00D47DB9" w:rsidRPr="008376FC" w:rsidRDefault="00D47DB9" w:rsidP="00AA4DFA">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Inclusiv:</w:t>
            </w:r>
          </w:p>
        </w:tc>
        <w:tc>
          <w:tcPr>
            <w:tcW w:w="573" w:type="pct"/>
            <w:tcBorders>
              <w:top w:val="single" w:sz="4" w:space="0" w:color="auto"/>
              <w:left w:val="nil"/>
              <w:bottom w:val="single" w:sz="2" w:space="0" w:color="auto"/>
              <w:right w:val="single" w:sz="2" w:space="0" w:color="auto"/>
            </w:tcBorders>
            <w:shd w:val="clear" w:color="auto" w:fill="FFFFFF"/>
            <w:tcMar>
              <w:top w:w="0" w:type="dxa"/>
              <w:left w:w="19" w:type="dxa"/>
              <w:bottom w:w="0" w:type="dxa"/>
              <w:right w:w="19" w:type="dxa"/>
            </w:tcMar>
            <w:vAlign w:val="center"/>
            <w:hideMark/>
          </w:tcPr>
          <w:p w:rsidR="00D47DB9" w:rsidRPr="008376FC" w:rsidRDefault="00D47DB9" w:rsidP="00AA4DFA">
            <w:pPr>
              <w:spacing w:after="0" w:line="240" w:lineRule="auto"/>
              <w:jc w:val="center"/>
              <w:rPr>
                <w:rFonts w:asciiTheme="majorHAnsi" w:eastAsia="Times New Roman" w:hAnsiTheme="majorHAnsi" w:cstheme="majorHAnsi"/>
                <w:b w:val="0"/>
                <w:bCs w:val="0"/>
                <w:sz w:val="20"/>
                <w:szCs w:val="20"/>
              </w:rPr>
            </w:pPr>
          </w:p>
        </w:tc>
        <w:tc>
          <w:tcPr>
            <w:tcW w:w="502" w:type="pct"/>
            <w:tcBorders>
              <w:top w:val="single" w:sz="4" w:space="0" w:color="auto"/>
              <w:left w:val="nil"/>
              <w:bottom w:val="single" w:sz="2" w:space="0" w:color="auto"/>
              <w:right w:val="single" w:sz="2" w:space="0" w:color="auto"/>
            </w:tcBorders>
            <w:tcMar>
              <w:top w:w="0" w:type="dxa"/>
              <w:left w:w="19" w:type="dxa"/>
              <w:bottom w:w="0" w:type="dxa"/>
              <w:right w:w="19" w:type="dxa"/>
            </w:tcMar>
            <w:vAlign w:val="center"/>
          </w:tcPr>
          <w:p w:rsidR="00D47DB9" w:rsidRPr="008376FC" w:rsidRDefault="00D47DB9" w:rsidP="00AA4DFA">
            <w:pPr>
              <w:spacing w:after="0" w:line="240" w:lineRule="auto"/>
              <w:jc w:val="center"/>
              <w:rPr>
                <w:rFonts w:asciiTheme="majorHAnsi" w:eastAsia="Times New Roman" w:hAnsiTheme="majorHAnsi" w:cstheme="majorHAnsi"/>
                <w:b w:val="0"/>
                <w:bCs w:val="0"/>
                <w:sz w:val="20"/>
                <w:szCs w:val="20"/>
              </w:rPr>
            </w:pPr>
          </w:p>
        </w:tc>
        <w:tc>
          <w:tcPr>
            <w:tcW w:w="717" w:type="pct"/>
            <w:tcBorders>
              <w:top w:val="single" w:sz="4" w:space="0" w:color="auto"/>
              <w:left w:val="nil"/>
              <w:bottom w:val="single" w:sz="2" w:space="0" w:color="auto"/>
              <w:right w:val="single" w:sz="2" w:space="0" w:color="auto"/>
            </w:tcBorders>
            <w:shd w:val="clear" w:color="auto" w:fill="FFFFFF" w:themeFill="background1"/>
            <w:vAlign w:val="center"/>
            <w:hideMark/>
          </w:tcPr>
          <w:p w:rsidR="00D47DB9" w:rsidRPr="008376FC" w:rsidRDefault="00D47DB9" w:rsidP="00AA4DFA">
            <w:pPr>
              <w:spacing w:after="0" w:line="240" w:lineRule="auto"/>
              <w:jc w:val="center"/>
              <w:rPr>
                <w:rFonts w:asciiTheme="majorHAnsi" w:eastAsia="Times New Roman" w:hAnsiTheme="majorHAnsi" w:cstheme="majorHAnsi"/>
                <w:bCs w:val="0"/>
                <w:sz w:val="20"/>
                <w:szCs w:val="20"/>
              </w:rPr>
            </w:pPr>
          </w:p>
        </w:tc>
        <w:tc>
          <w:tcPr>
            <w:tcW w:w="646" w:type="pct"/>
            <w:tcBorders>
              <w:top w:val="single" w:sz="4" w:space="0" w:color="auto"/>
              <w:left w:val="nil"/>
              <w:bottom w:val="single" w:sz="2" w:space="0" w:color="auto"/>
              <w:right w:val="single" w:sz="2" w:space="0" w:color="auto"/>
            </w:tcBorders>
            <w:vAlign w:val="center"/>
            <w:hideMark/>
          </w:tcPr>
          <w:p w:rsidR="00D47DB9" w:rsidRPr="008376FC" w:rsidRDefault="00D47DB9" w:rsidP="00AA4DFA">
            <w:pPr>
              <w:spacing w:after="0" w:line="240" w:lineRule="auto"/>
              <w:jc w:val="center"/>
              <w:rPr>
                <w:rFonts w:asciiTheme="majorHAnsi" w:eastAsia="Times New Roman" w:hAnsiTheme="majorHAnsi" w:cstheme="majorHAnsi"/>
                <w:b w:val="0"/>
                <w:sz w:val="20"/>
                <w:szCs w:val="20"/>
                <w:lang w:eastAsia="ru-RU"/>
              </w:rPr>
            </w:pPr>
          </w:p>
        </w:tc>
        <w:tc>
          <w:tcPr>
            <w:tcW w:w="597" w:type="pct"/>
            <w:tcBorders>
              <w:top w:val="single" w:sz="4" w:space="0" w:color="auto"/>
              <w:left w:val="nil"/>
              <w:bottom w:val="single" w:sz="2" w:space="0" w:color="auto"/>
              <w:right w:val="single" w:sz="2" w:space="0" w:color="auto"/>
            </w:tcBorders>
            <w:noWrap/>
            <w:tcMar>
              <w:top w:w="0" w:type="dxa"/>
              <w:left w:w="19" w:type="dxa"/>
              <w:bottom w:w="0" w:type="dxa"/>
              <w:right w:w="19" w:type="dxa"/>
            </w:tcMar>
            <w:vAlign w:val="center"/>
            <w:hideMark/>
          </w:tcPr>
          <w:p w:rsidR="00D47DB9" w:rsidRPr="008376FC" w:rsidRDefault="00D47DB9" w:rsidP="00AA4DFA">
            <w:pPr>
              <w:spacing w:after="0" w:line="240" w:lineRule="auto"/>
              <w:jc w:val="center"/>
              <w:rPr>
                <w:rFonts w:asciiTheme="majorHAnsi" w:eastAsia="Times New Roman" w:hAnsiTheme="majorHAnsi" w:cstheme="majorHAnsi"/>
                <w:b w:val="0"/>
                <w:sz w:val="20"/>
                <w:szCs w:val="20"/>
                <w:lang w:eastAsia="ru-RU"/>
              </w:rPr>
            </w:pPr>
          </w:p>
        </w:tc>
        <w:tc>
          <w:tcPr>
            <w:tcW w:w="705" w:type="pct"/>
            <w:tcBorders>
              <w:top w:val="single" w:sz="4" w:space="0" w:color="auto"/>
              <w:left w:val="nil"/>
              <w:bottom w:val="single" w:sz="2" w:space="0" w:color="auto"/>
              <w:right w:val="single" w:sz="2" w:space="0" w:color="auto"/>
            </w:tcBorders>
            <w:vAlign w:val="center"/>
            <w:hideMark/>
          </w:tcPr>
          <w:p w:rsidR="00D47DB9" w:rsidRPr="008376FC" w:rsidRDefault="00D47DB9" w:rsidP="00AA4DFA">
            <w:pPr>
              <w:spacing w:after="0" w:line="240" w:lineRule="auto"/>
              <w:jc w:val="center"/>
              <w:rPr>
                <w:rFonts w:asciiTheme="majorHAnsi" w:eastAsia="Times New Roman" w:hAnsiTheme="majorHAnsi" w:cstheme="majorHAnsi"/>
                <w:b w:val="0"/>
                <w:sz w:val="20"/>
                <w:szCs w:val="20"/>
                <w:lang w:eastAsia="ru-RU"/>
              </w:rPr>
            </w:pPr>
          </w:p>
        </w:tc>
        <w:tc>
          <w:tcPr>
            <w:tcW w:w="707" w:type="pct"/>
            <w:tcBorders>
              <w:top w:val="single" w:sz="4" w:space="0" w:color="auto"/>
              <w:left w:val="nil"/>
              <w:bottom w:val="single" w:sz="2" w:space="0" w:color="auto"/>
              <w:right w:val="single" w:sz="2" w:space="0" w:color="auto"/>
            </w:tcBorders>
            <w:noWrap/>
            <w:tcMar>
              <w:top w:w="0" w:type="dxa"/>
              <w:left w:w="19" w:type="dxa"/>
              <w:bottom w:w="0" w:type="dxa"/>
              <w:right w:w="19" w:type="dxa"/>
            </w:tcMar>
            <w:vAlign w:val="center"/>
            <w:hideMark/>
          </w:tcPr>
          <w:p w:rsidR="00D47DB9" w:rsidRPr="008376FC" w:rsidRDefault="00D47DB9" w:rsidP="00AA4DFA">
            <w:pPr>
              <w:spacing w:after="0" w:line="240" w:lineRule="auto"/>
              <w:jc w:val="center"/>
              <w:rPr>
                <w:rFonts w:asciiTheme="majorHAnsi" w:eastAsia="Times New Roman" w:hAnsiTheme="majorHAnsi" w:cstheme="majorHAnsi"/>
                <w:b w:val="0"/>
                <w:sz w:val="20"/>
                <w:szCs w:val="20"/>
                <w:lang w:eastAsia="ru-RU"/>
              </w:rPr>
            </w:pPr>
          </w:p>
        </w:tc>
      </w:tr>
      <w:tr w:rsidR="00D47DB9" w:rsidRPr="008376FC" w:rsidTr="00D47DB9">
        <w:tc>
          <w:tcPr>
            <w:tcW w:w="553" w:type="pct"/>
            <w:tcBorders>
              <w:top w:val="single" w:sz="2" w:space="0" w:color="auto"/>
              <w:left w:val="single" w:sz="2" w:space="0" w:color="auto"/>
              <w:bottom w:val="single" w:sz="2" w:space="0" w:color="auto"/>
              <w:right w:val="single" w:sz="2" w:space="0" w:color="auto"/>
            </w:tcBorders>
            <w:tcMar>
              <w:top w:w="0" w:type="dxa"/>
              <w:left w:w="19" w:type="dxa"/>
              <w:bottom w:w="0" w:type="dxa"/>
              <w:right w:w="19" w:type="dxa"/>
            </w:tcMar>
            <w:vAlign w:val="center"/>
          </w:tcPr>
          <w:p w:rsidR="00D47DB9" w:rsidRPr="008376FC" w:rsidRDefault="00D47DB9" w:rsidP="00AA4DFA">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M-1.1 AAS</w:t>
            </w:r>
          </w:p>
        </w:tc>
        <w:tc>
          <w:tcPr>
            <w:tcW w:w="573" w:type="pct"/>
            <w:tcBorders>
              <w:top w:val="single" w:sz="2" w:space="0" w:color="auto"/>
              <w:left w:val="nil"/>
              <w:bottom w:val="single" w:sz="2" w:space="0" w:color="auto"/>
              <w:right w:val="single" w:sz="2" w:space="0" w:color="auto"/>
            </w:tcBorders>
            <w:shd w:val="clear" w:color="auto" w:fill="FFFFFF"/>
            <w:tcMar>
              <w:top w:w="0" w:type="dxa"/>
              <w:left w:w="19" w:type="dxa"/>
              <w:bottom w:w="0" w:type="dxa"/>
              <w:right w:w="19" w:type="dxa"/>
            </w:tcMar>
            <w:vAlign w:val="center"/>
          </w:tcPr>
          <w:p w:rsidR="00D47DB9" w:rsidRPr="008376FC" w:rsidRDefault="00D47DB9" w:rsidP="00AA4DFA">
            <w:pPr>
              <w:spacing w:after="0" w:line="240" w:lineRule="auto"/>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152</w:t>
            </w:r>
          </w:p>
        </w:tc>
        <w:tc>
          <w:tcPr>
            <w:tcW w:w="502" w:type="pct"/>
            <w:tcBorders>
              <w:top w:val="single" w:sz="2" w:space="0" w:color="auto"/>
              <w:left w:val="nil"/>
              <w:bottom w:val="single" w:sz="2" w:space="0" w:color="auto"/>
              <w:right w:val="single" w:sz="2" w:space="0" w:color="auto"/>
            </w:tcBorders>
            <w:tcMar>
              <w:top w:w="0" w:type="dxa"/>
              <w:left w:w="19" w:type="dxa"/>
              <w:bottom w:w="0" w:type="dxa"/>
              <w:right w:w="19" w:type="dxa"/>
            </w:tcMar>
            <w:vAlign w:val="center"/>
          </w:tcPr>
          <w:p w:rsidR="00D47DB9" w:rsidRPr="008376FC" w:rsidRDefault="00D47DB9" w:rsidP="00AA4DFA">
            <w:pPr>
              <w:spacing w:after="0" w:line="240" w:lineRule="auto"/>
              <w:jc w:val="center"/>
              <w:rPr>
                <w:rFonts w:asciiTheme="majorHAnsi" w:eastAsia="Times New Roman" w:hAnsiTheme="majorHAnsi" w:cstheme="majorHAnsi"/>
                <w:b w:val="0"/>
                <w:bCs w:val="0"/>
                <w:sz w:val="20"/>
                <w:szCs w:val="20"/>
              </w:rPr>
            </w:pPr>
          </w:p>
        </w:tc>
        <w:tc>
          <w:tcPr>
            <w:tcW w:w="717" w:type="pct"/>
            <w:tcBorders>
              <w:top w:val="single" w:sz="2" w:space="0" w:color="auto"/>
              <w:left w:val="nil"/>
              <w:bottom w:val="single" w:sz="2" w:space="0" w:color="auto"/>
              <w:right w:val="single" w:sz="2" w:space="0" w:color="auto"/>
            </w:tcBorders>
            <w:shd w:val="clear" w:color="auto" w:fill="FFFFFF" w:themeFill="background1"/>
            <w:vAlign w:val="center"/>
          </w:tcPr>
          <w:p w:rsidR="00D47DB9" w:rsidRPr="008376FC" w:rsidRDefault="00D47DB9" w:rsidP="00AA4DFA">
            <w:pPr>
              <w:spacing w:after="0" w:line="240" w:lineRule="auto"/>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152</w:t>
            </w:r>
          </w:p>
        </w:tc>
        <w:tc>
          <w:tcPr>
            <w:tcW w:w="646" w:type="pct"/>
            <w:tcBorders>
              <w:top w:val="single" w:sz="2" w:space="0" w:color="auto"/>
              <w:left w:val="nil"/>
              <w:bottom w:val="single" w:sz="2" w:space="0" w:color="auto"/>
              <w:right w:val="single" w:sz="2" w:space="0" w:color="auto"/>
            </w:tcBorders>
            <w:vAlign w:val="center"/>
          </w:tcPr>
          <w:p w:rsidR="00D47DB9" w:rsidRPr="008376FC" w:rsidRDefault="00D47DB9" w:rsidP="00AA4DFA">
            <w:pPr>
              <w:spacing w:after="0" w:line="240" w:lineRule="auto"/>
              <w:jc w:val="center"/>
              <w:rPr>
                <w:rFonts w:asciiTheme="majorHAnsi" w:eastAsia="Times New Roman" w:hAnsiTheme="majorHAnsi" w:cstheme="majorHAnsi"/>
                <w:b w:val="0"/>
                <w:sz w:val="20"/>
                <w:szCs w:val="20"/>
                <w:lang w:eastAsia="ru-RU"/>
              </w:rPr>
            </w:pPr>
            <w:r w:rsidRPr="008376FC">
              <w:rPr>
                <w:rFonts w:asciiTheme="majorHAnsi" w:eastAsia="Times New Roman" w:hAnsiTheme="majorHAnsi" w:cstheme="majorHAnsi"/>
                <w:b w:val="0"/>
                <w:sz w:val="20"/>
                <w:szCs w:val="20"/>
                <w:lang w:eastAsia="ru-RU"/>
              </w:rPr>
              <w:t>11</w:t>
            </w:r>
          </w:p>
        </w:tc>
        <w:tc>
          <w:tcPr>
            <w:tcW w:w="597" w:type="pct"/>
            <w:tcBorders>
              <w:top w:val="single" w:sz="2" w:space="0" w:color="auto"/>
              <w:left w:val="nil"/>
              <w:bottom w:val="single" w:sz="2" w:space="0" w:color="auto"/>
              <w:right w:val="single" w:sz="2" w:space="0" w:color="auto"/>
            </w:tcBorders>
            <w:noWrap/>
            <w:tcMar>
              <w:top w:w="0" w:type="dxa"/>
              <w:left w:w="19" w:type="dxa"/>
              <w:bottom w:w="0" w:type="dxa"/>
              <w:right w:w="19" w:type="dxa"/>
            </w:tcMar>
            <w:vAlign w:val="center"/>
          </w:tcPr>
          <w:p w:rsidR="00D47DB9" w:rsidRPr="008376FC" w:rsidRDefault="00D47DB9" w:rsidP="00AA4DFA">
            <w:pPr>
              <w:spacing w:after="0" w:line="240" w:lineRule="auto"/>
              <w:jc w:val="center"/>
              <w:rPr>
                <w:rFonts w:asciiTheme="majorHAnsi" w:eastAsia="Times New Roman" w:hAnsiTheme="majorHAnsi" w:cstheme="majorHAnsi"/>
                <w:b w:val="0"/>
                <w:sz w:val="20"/>
                <w:szCs w:val="20"/>
                <w:lang w:eastAsia="ru-RU"/>
              </w:rPr>
            </w:pPr>
            <w:r w:rsidRPr="008376FC">
              <w:rPr>
                <w:rFonts w:asciiTheme="majorHAnsi" w:eastAsia="Times New Roman" w:hAnsiTheme="majorHAnsi" w:cstheme="majorHAnsi"/>
                <w:b w:val="0"/>
                <w:sz w:val="20"/>
                <w:szCs w:val="20"/>
                <w:lang w:eastAsia="ru-RU"/>
              </w:rPr>
              <w:t>107</w:t>
            </w:r>
          </w:p>
        </w:tc>
        <w:tc>
          <w:tcPr>
            <w:tcW w:w="705" w:type="pct"/>
            <w:tcBorders>
              <w:top w:val="single" w:sz="2" w:space="0" w:color="auto"/>
              <w:left w:val="nil"/>
              <w:bottom w:val="single" w:sz="2" w:space="0" w:color="auto"/>
              <w:right w:val="single" w:sz="2" w:space="0" w:color="auto"/>
            </w:tcBorders>
            <w:vAlign w:val="center"/>
          </w:tcPr>
          <w:p w:rsidR="00D47DB9" w:rsidRPr="008376FC" w:rsidRDefault="00D47DB9" w:rsidP="00AA4DFA">
            <w:pPr>
              <w:spacing w:after="0" w:line="240" w:lineRule="auto"/>
              <w:jc w:val="center"/>
              <w:rPr>
                <w:rFonts w:asciiTheme="majorHAnsi" w:eastAsia="Times New Roman" w:hAnsiTheme="majorHAnsi" w:cstheme="majorHAnsi"/>
                <w:b w:val="0"/>
                <w:sz w:val="20"/>
                <w:szCs w:val="20"/>
                <w:lang w:eastAsia="ru-RU"/>
              </w:rPr>
            </w:pPr>
            <w:r w:rsidRPr="008376FC">
              <w:rPr>
                <w:rFonts w:asciiTheme="majorHAnsi" w:eastAsia="Times New Roman" w:hAnsiTheme="majorHAnsi" w:cstheme="majorHAnsi"/>
                <w:b w:val="0"/>
                <w:sz w:val="20"/>
                <w:szCs w:val="20"/>
                <w:lang w:eastAsia="ru-RU"/>
              </w:rPr>
              <w:t>32</w:t>
            </w:r>
          </w:p>
        </w:tc>
        <w:tc>
          <w:tcPr>
            <w:tcW w:w="707" w:type="pct"/>
            <w:tcBorders>
              <w:top w:val="single" w:sz="2" w:space="0" w:color="auto"/>
              <w:left w:val="nil"/>
              <w:bottom w:val="single" w:sz="2" w:space="0" w:color="auto"/>
              <w:right w:val="single" w:sz="2" w:space="0" w:color="auto"/>
            </w:tcBorders>
            <w:noWrap/>
            <w:tcMar>
              <w:top w:w="0" w:type="dxa"/>
              <w:left w:w="19" w:type="dxa"/>
              <w:bottom w:w="0" w:type="dxa"/>
              <w:right w:w="19" w:type="dxa"/>
            </w:tcMar>
            <w:vAlign w:val="center"/>
          </w:tcPr>
          <w:p w:rsidR="00D47DB9" w:rsidRPr="008376FC" w:rsidRDefault="00D47DB9" w:rsidP="00AA4DFA">
            <w:pPr>
              <w:spacing w:after="0" w:line="240" w:lineRule="auto"/>
              <w:jc w:val="center"/>
              <w:rPr>
                <w:rFonts w:asciiTheme="majorHAnsi" w:eastAsia="Times New Roman" w:hAnsiTheme="majorHAnsi" w:cstheme="majorHAnsi"/>
                <w:b w:val="0"/>
                <w:sz w:val="20"/>
                <w:szCs w:val="20"/>
                <w:lang w:eastAsia="ru-RU"/>
              </w:rPr>
            </w:pPr>
            <w:r w:rsidRPr="008376FC">
              <w:rPr>
                <w:rFonts w:asciiTheme="majorHAnsi" w:eastAsia="Times New Roman" w:hAnsiTheme="majorHAnsi" w:cstheme="majorHAnsi"/>
                <w:b w:val="0"/>
                <w:sz w:val="20"/>
                <w:szCs w:val="20"/>
                <w:lang w:eastAsia="ru-RU"/>
              </w:rPr>
              <w:t>2</w:t>
            </w:r>
          </w:p>
        </w:tc>
      </w:tr>
      <w:tr w:rsidR="00D47DB9" w:rsidRPr="008376FC" w:rsidTr="00B26470">
        <w:tc>
          <w:tcPr>
            <w:tcW w:w="553" w:type="pct"/>
            <w:tcBorders>
              <w:top w:val="single" w:sz="2" w:space="0" w:color="auto"/>
              <w:left w:val="single" w:sz="2" w:space="0" w:color="auto"/>
              <w:bottom w:val="single" w:sz="2" w:space="0" w:color="auto"/>
              <w:right w:val="single" w:sz="2" w:space="0" w:color="auto"/>
            </w:tcBorders>
            <w:shd w:val="clear" w:color="auto" w:fill="BDD6EE" w:themeFill="accent1" w:themeFillTint="66"/>
            <w:tcMar>
              <w:top w:w="0" w:type="dxa"/>
              <w:left w:w="19" w:type="dxa"/>
              <w:bottom w:w="0" w:type="dxa"/>
              <w:right w:w="19" w:type="dxa"/>
            </w:tcMar>
            <w:vAlign w:val="center"/>
          </w:tcPr>
          <w:p w:rsidR="00D47DB9" w:rsidRPr="008376FC" w:rsidRDefault="00D47DB9" w:rsidP="00AA4DFA">
            <w:pPr>
              <w:spacing w:after="0" w:line="240" w:lineRule="auto"/>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Ponderea, %</w:t>
            </w:r>
          </w:p>
        </w:tc>
        <w:tc>
          <w:tcPr>
            <w:tcW w:w="573" w:type="pct"/>
            <w:tcBorders>
              <w:top w:val="single" w:sz="2" w:space="0" w:color="auto"/>
              <w:left w:val="nil"/>
              <w:bottom w:val="single" w:sz="2" w:space="0" w:color="auto"/>
              <w:right w:val="single" w:sz="2" w:space="0" w:color="auto"/>
            </w:tcBorders>
            <w:shd w:val="clear" w:color="auto" w:fill="BDD6EE" w:themeFill="accent1" w:themeFillTint="66"/>
            <w:tcMar>
              <w:top w:w="0" w:type="dxa"/>
              <w:left w:w="19" w:type="dxa"/>
              <w:bottom w:w="0" w:type="dxa"/>
              <w:right w:w="19" w:type="dxa"/>
            </w:tcMar>
            <w:vAlign w:val="center"/>
          </w:tcPr>
          <w:p w:rsidR="00D47DB9" w:rsidRPr="008376FC" w:rsidRDefault="00B26470" w:rsidP="00AA4DFA">
            <w:pPr>
              <w:spacing w:after="0" w:line="240" w:lineRule="auto"/>
              <w:jc w:val="center"/>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30,9%</w:t>
            </w:r>
          </w:p>
        </w:tc>
        <w:tc>
          <w:tcPr>
            <w:tcW w:w="502" w:type="pct"/>
            <w:tcBorders>
              <w:top w:val="single" w:sz="2" w:space="0" w:color="auto"/>
              <w:left w:val="nil"/>
              <w:bottom w:val="single" w:sz="2" w:space="0" w:color="auto"/>
              <w:right w:val="single" w:sz="2" w:space="0" w:color="auto"/>
            </w:tcBorders>
            <w:shd w:val="clear" w:color="auto" w:fill="BDD6EE" w:themeFill="accent1" w:themeFillTint="66"/>
            <w:tcMar>
              <w:top w:w="0" w:type="dxa"/>
              <w:left w:w="19" w:type="dxa"/>
              <w:bottom w:w="0" w:type="dxa"/>
              <w:right w:w="19" w:type="dxa"/>
            </w:tcMar>
            <w:vAlign w:val="center"/>
          </w:tcPr>
          <w:p w:rsidR="00D47DB9" w:rsidRPr="008376FC" w:rsidRDefault="00B26470" w:rsidP="00AA4DFA">
            <w:pPr>
              <w:spacing w:after="0" w:line="240" w:lineRule="auto"/>
              <w:jc w:val="center"/>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w:t>
            </w:r>
          </w:p>
        </w:tc>
        <w:tc>
          <w:tcPr>
            <w:tcW w:w="717" w:type="pct"/>
            <w:tcBorders>
              <w:top w:val="single" w:sz="2" w:space="0" w:color="auto"/>
              <w:left w:val="nil"/>
              <w:bottom w:val="single" w:sz="2" w:space="0" w:color="auto"/>
              <w:right w:val="single" w:sz="2" w:space="0" w:color="auto"/>
            </w:tcBorders>
            <w:shd w:val="clear" w:color="auto" w:fill="BDD6EE" w:themeFill="accent1" w:themeFillTint="66"/>
            <w:vAlign w:val="center"/>
          </w:tcPr>
          <w:p w:rsidR="00D47DB9" w:rsidRPr="008376FC" w:rsidRDefault="00B26470" w:rsidP="00AA4DFA">
            <w:pPr>
              <w:spacing w:after="0" w:line="240" w:lineRule="auto"/>
              <w:jc w:val="center"/>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31,0%</w:t>
            </w:r>
          </w:p>
        </w:tc>
        <w:tc>
          <w:tcPr>
            <w:tcW w:w="646" w:type="pct"/>
            <w:tcBorders>
              <w:top w:val="single" w:sz="2" w:space="0" w:color="auto"/>
              <w:left w:val="nil"/>
              <w:bottom w:val="single" w:sz="2" w:space="0" w:color="auto"/>
              <w:right w:val="single" w:sz="2" w:space="0" w:color="auto"/>
            </w:tcBorders>
            <w:shd w:val="clear" w:color="auto" w:fill="BDD6EE" w:themeFill="accent1" w:themeFillTint="66"/>
            <w:vAlign w:val="center"/>
          </w:tcPr>
          <w:p w:rsidR="00D47DB9" w:rsidRPr="008376FC" w:rsidRDefault="00B26470" w:rsidP="00AA4DFA">
            <w:pPr>
              <w:spacing w:after="0" w:line="240" w:lineRule="auto"/>
              <w:jc w:val="center"/>
              <w:rPr>
                <w:rFonts w:asciiTheme="majorHAnsi" w:eastAsia="Times New Roman" w:hAnsiTheme="majorHAnsi" w:cstheme="majorHAnsi"/>
                <w:sz w:val="20"/>
                <w:szCs w:val="20"/>
                <w:lang w:eastAsia="ru-RU"/>
              </w:rPr>
            </w:pPr>
            <w:r w:rsidRPr="008376FC">
              <w:rPr>
                <w:rFonts w:asciiTheme="majorHAnsi" w:eastAsia="Times New Roman" w:hAnsiTheme="majorHAnsi" w:cstheme="majorHAnsi"/>
                <w:sz w:val="20"/>
                <w:szCs w:val="20"/>
                <w:lang w:eastAsia="ru-RU"/>
              </w:rPr>
              <w:t>21,6%</w:t>
            </w:r>
          </w:p>
        </w:tc>
        <w:tc>
          <w:tcPr>
            <w:tcW w:w="597" w:type="pct"/>
            <w:tcBorders>
              <w:top w:val="single" w:sz="2" w:space="0" w:color="auto"/>
              <w:left w:val="nil"/>
              <w:bottom w:val="single" w:sz="2" w:space="0" w:color="auto"/>
              <w:right w:val="single" w:sz="2" w:space="0" w:color="auto"/>
            </w:tcBorders>
            <w:shd w:val="clear" w:color="auto" w:fill="BDD6EE" w:themeFill="accent1" w:themeFillTint="66"/>
            <w:noWrap/>
            <w:tcMar>
              <w:top w:w="0" w:type="dxa"/>
              <w:left w:w="19" w:type="dxa"/>
              <w:bottom w:w="0" w:type="dxa"/>
              <w:right w:w="19" w:type="dxa"/>
            </w:tcMar>
            <w:vAlign w:val="center"/>
          </w:tcPr>
          <w:p w:rsidR="00D47DB9" w:rsidRPr="008376FC" w:rsidRDefault="00B26470" w:rsidP="00AA4DFA">
            <w:pPr>
              <w:spacing w:after="0" w:line="240" w:lineRule="auto"/>
              <w:jc w:val="center"/>
              <w:rPr>
                <w:rFonts w:asciiTheme="majorHAnsi" w:eastAsia="Times New Roman" w:hAnsiTheme="majorHAnsi" w:cstheme="majorHAnsi"/>
                <w:sz w:val="20"/>
                <w:szCs w:val="20"/>
                <w:lang w:eastAsia="ru-RU"/>
              </w:rPr>
            </w:pPr>
            <w:r w:rsidRPr="008376FC">
              <w:rPr>
                <w:rFonts w:asciiTheme="majorHAnsi" w:eastAsia="Times New Roman" w:hAnsiTheme="majorHAnsi" w:cstheme="majorHAnsi"/>
                <w:sz w:val="20"/>
                <w:szCs w:val="20"/>
                <w:lang w:eastAsia="ru-RU"/>
              </w:rPr>
              <w:t>34,2%</w:t>
            </w:r>
          </w:p>
        </w:tc>
        <w:tc>
          <w:tcPr>
            <w:tcW w:w="705" w:type="pct"/>
            <w:tcBorders>
              <w:top w:val="single" w:sz="2" w:space="0" w:color="auto"/>
              <w:left w:val="nil"/>
              <w:bottom w:val="single" w:sz="2" w:space="0" w:color="auto"/>
              <w:right w:val="single" w:sz="2" w:space="0" w:color="auto"/>
            </w:tcBorders>
            <w:shd w:val="clear" w:color="auto" w:fill="BDD6EE" w:themeFill="accent1" w:themeFillTint="66"/>
            <w:vAlign w:val="center"/>
          </w:tcPr>
          <w:p w:rsidR="00D47DB9" w:rsidRPr="008376FC" w:rsidRDefault="00B26470" w:rsidP="00AA4DFA">
            <w:pPr>
              <w:spacing w:after="0" w:line="240" w:lineRule="auto"/>
              <w:jc w:val="center"/>
              <w:rPr>
                <w:rFonts w:asciiTheme="majorHAnsi" w:eastAsia="Times New Roman" w:hAnsiTheme="majorHAnsi" w:cstheme="majorHAnsi"/>
                <w:sz w:val="20"/>
                <w:szCs w:val="20"/>
                <w:lang w:eastAsia="ru-RU"/>
              </w:rPr>
            </w:pPr>
            <w:r w:rsidRPr="008376FC">
              <w:rPr>
                <w:rFonts w:asciiTheme="majorHAnsi" w:eastAsia="Times New Roman" w:hAnsiTheme="majorHAnsi" w:cstheme="majorHAnsi"/>
                <w:sz w:val="20"/>
                <w:szCs w:val="20"/>
                <w:lang w:eastAsia="ru-RU"/>
              </w:rPr>
              <w:t>28,3%</w:t>
            </w:r>
          </w:p>
        </w:tc>
        <w:tc>
          <w:tcPr>
            <w:tcW w:w="707" w:type="pct"/>
            <w:tcBorders>
              <w:top w:val="single" w:sz="2" w:space="0" w:color="auto"/>
              <w:left w:val="nil"/>
              <w:bottom w:val="single" w:sz="2" w:space="0" w:color="auto"/>
              <w:right w:val="single" w:sz="2" w:space="0" w:color="auto"/>
            </w:tcBorders>
            <w:shd w:val="clear" w:color="auto" w:fill="BDD6EE" w:themeFill="accent1" w:themeFillTint="66"/>
            <w:noWrap/>
            <w:tcMar>
              <w:top w:w="0" w:type="dxa"/>
              <w:left w:w="19" w:type="dxa"/>
              <w:bottom w:w="0" w:type="dxa"/>
              <w:right w:w="19" w:type="dxa"/>
            </w:tcMar>
            <w:vAlign w:val="center"/>
          </w:tcPr>
          <w:p w:rsidR="00B26470" w:rsidRPr="008376FC" w:rsidRDefault="00B26470" w:rsidP="00AA4DFA">
            <w:pPr>
              <w:spacing w:after="0" w:line="240" w:lineRule="auto"/>
              <w:jc w:val="center"/>
              <w:rPr>
                <w:rFonts w:asciiTheme="majorHAnsi" w:eastAsia="Times New Roman" w:hAnsiTheme="majorHAnsi" w:cstheme="majorHAnsi"/>
                <w:sz w:val="20"/>
                <w:szCs w:val="20"/>
                <w:lang w:eastAsia="ru-RU"/>
              </w:rPr>
            </w:pPr>
            <w:r w:rsidRPr="008376FC">
              <w:rPr>
                <w:rFonts w:asciiTheme="majorHAnsi" w:eastAsia="Times New Roman" w:hAnsiTheme="majorHAnsi" w:cstheme="majorHAnsi"/>
                <w:sz w:val="20"/>
                <w:szCs w:val="20"/>
                <w:lang w:eastAsia="ru-RU"/>
              </w:rPr>
              <w:t>15,4%</w:t>
            </w:r>
          </w:p>
        </w:tc>
      </w:tr>
    </w:tbl>
    <w:p w:rsidR="00756AE7" w:rsidRPr="00D97D77" w:rsidRDefault="00756AE7" w:rsidP="00F61756">
      <w:pPr>
        <w:spacing w:before="120" w:after="0" w:line="276" w:lineRule="auto"/>
        <w:jc w:val="both"/>
        <w:rPr>
          <w:rFonts w:asciiTheme="majorHAnsi" w:hAnsiTheme="majorHAnsi" w:cstheme="majorHAnsi"/>
          <w:b w:val="0"/>
          <w:bCs w:val="0"/>
          <w:i/>
          <w:sz w:val="20"/>
          <w:szCs w:val="20"/>
        </w:rPr>
      </w:pPr>
      <w:r w:rsidRPr="00D97D77">
        <w:rPr>
          <w:rFonts w:asciiTheme="majorHAnsi" w:eastAsia="Times New Roman" w:hAnsiTheme="majorHAnsi" w:cstheme="majorHAnsi"/>
          <w:bCs w:val="0"/>
          <w:i/>
          <w:sz w:val="20"/>
          <w:szCs w:val="20"/>
          <w:lang w:eastAsia="ru-RU"/>
        </w:rPr>
        <w:t>Sursa:</w:t>
      </w:r>
      <w:r w:rsidRPr="00D97D77">
        <w:rPr>
          <w:rFonts w:asciiTheme="majorHAnsi" w:eastAsia="Times New Roman" w:hAnsiTheme="majorHAnsi" w:cstheme="majorHAnsi"/>
          <w:b w:val="0"/>
          <w:bCs w:val="0"/>
          <w:i/>
          <w:sz w:val="20"/>
          <w:szCs w:val="20"/>
          <w:lang w:eastAsia="ru-RU"/>
        </w:rPr>
        <w:t xml:space="preserve"> Raportul de bilanț privind implementarea Planul</w:t>
      </w:r>
      <w:r w:rsidR="0062443B">
        <w:rPr>
          <w:rFonts w:asciiTheme="majorHAnsi" w:eastAsia="Times New Roman" w:hAnsiTheme="majorHAnsi" w:cstheme="majorHAnsi"/>
          <w:b w:val="0"/>
          <w:bCs w:val="0"/>
          <w:i/>
          <w:sz w:val="20"/>
          <w:szCs w:val="20"/>
          <w:lang w:eastAsia="ru-RU"/>
        </w:rPr>
        <w:t>ui</w:t>
      </w:r>
      <w:r w:rsidRPr="00D97D77">
        <w:rPr>
          <w:rFonts w:asciiTheme="majorHAnsi" w:eastAsia="Times New Roman" w:hAnsiTheme="majorHAnsi" w:cstheme="majorHAnsi"/>
          <w:b w:val="0"/>
          <w:bCs w:val="0"/>
          <w:i/>
          <w:sz w:val="20"/>
          <w:szCs w:val="20"/>
          <w:lang w:eastAsia="ru-RU"/>
        </w:rPr>
        <w:t xml:space="preserve"> anual de finanțare din FNDRL</w:t>
      </w:r>
      <w:r w:rsidR="0062443B">
        <w:rPr>
          <w:rFonts w:asciiTheme="majorHAnsi" w:eastAsia="Times New Roman" w:hAnsiTheme="majorHAnsi" w:cstheme="majorHAnsi"/>
          <w:b w:val="0"/>
          <w:bCs w:val="0"/>
          <w:i/>
          <w:sz w:val="20"/>
          <w:szCs w:val="20"/>
          <w:lang w:eastAsia="ru-RU"/>
        </w:rPr>
        <w:t>.</w:t>
      </w:r>
    </w:p>
    <w:p w:rsidR="00756AE7" w:rsidRPr="008376FC" w:rsidRDefault="00E042DB" w:rsidP="00F61756">
      <w:pPr>
        <w:spacing w:before="120" w:after="0" w:line="276" w:lineRule="auto"/>
        <w:jc w:val="both"/>
        <w:rPr>
          <w:rFonts w:asciiTheme="majorHAnsi" w:eastAsia="Times New Roman" w:hAnsiTheme="majorHAnsi" w:cstheme="majorHAnsi"/>
          <w:b w:val="0"/>
          <w:bCs w:val="0"/>
          <w:sz w:val="24"/>
          <w:szCs w:val="24"/>
          <w:lang w:eastAsia="ru-RU"/>
        </w:rPr>
      </w:pPr>
      <w:r>
        <w:rPr>
          <w:rFonts w:asciiTheme="majorHAnsi" w:eastAsia="Times New Roman" w:hAnsiTheme="majorHAnsi" w:cstheme="majorHAnsi"/>
          <w:b w:val="0"/>
          <w:bCs w:val="0"/>
          <w:sz w:val="24"/>
          <w:szCs w:val="24"/>
          <w:lang w:eastAsia="ru-RU"/>
        </w:rPr>
        <w:t>Ca</w:t>
      </w:r>
      <w:r w:rsidR="00756AE7" w:rsidRPr="008376FC">
        <w:rPr>
          <w:rFonts w:asciiTheme="majorHAnsi" w:eastAsia="Times New Roman" w:hAnsiTheme="majorHAnsi" w:cstheme="majorHAnsi"/>
          <w:b w:val="0"/>
          <w:bCs w:val="0"/>
          <w:sz w:val="24"/>
          <w:szCs w:val="24"/>
          <w:lang w:eastAsia="ru-RU"/>
        </w:rPr>
        <w:t xml:space="preserve"> rezultat</w:t>
      </w:r>
      <w:r>
        <w:rPr>
          <w:rFonts w:asciiTheme="majorHAnsi" w:eastAsia="Times New Roman" w:hAnsiTheme="majorHAnsi" w:cstheme="majorHAnsi"/>
          <w:b w:val="0"/>
          <w:bCs w:val="0"/>
          <w:sz w:val="24"/>
          <w:szCs w:val="24"/>
          <w:lang w:eastAsia="ru-RU"/>
        </w:rPr>
        <w:t xml:space="preserve"> a</w:t>
      </w:r>
      <w:r w:rsidR="00756AE7" w:rsidRPr="008376FC">
        <w:rPr>
          <w:rFonts w:asciiTheme="majorHAnsi" w:eastAsia="Times New Roman" w:hAnsiTheme="majorHAnsi" w:cstheme="majorHAnsi"/>
          <w:b w:val="0"/>
          <w:bCs w:val="0"/>
          <w:sz w:val="24"/>
          <w:szCs w:val="24"/>
          <w:lang w:eastAsia="ru-RU"/>
        </w:rPr>
        <w:t xml:space="preserve">l concursului de selectare, între ONDRL și APL </w:t>
      </w:r>
      <w:r>
        <w:rPr>
          <w:rFonts w:asciiTheme="majorHAnsi" w:eastAsia="Times New Roman" w:hAnsiTheme="majorHAnsi" w:cstheme="majorHAnsi"/>
          <w:b w:val="0"/>
          <w:bCs w:val="0"/>
          <w:sz w:val="24"/>
          <w:szCs w:val="24"/>
          <w:lang w:eastAsia="ru-RU"/>
        </w:rPr>
        <w:t>a fost</w:t>
      </w:r>
      <w:r w:rsidRPr="008376FC">
        <w:rPr>
          <w:rFonts w:asciiTheme="majorHAnsi" w:eastAsia="Times New Roman" w:hAnsiTheme="majorHAnsi" w:cstheme="majorHAnsi"/>
          <w:b w:val="0"/>
          <w:bCs w:val="0"/>
          <w:sz w:val="24"/>
          <w:szCs w:val="24"/>
          <w:lang w:eastAsia="ru-RU"/>
        </w:rPr>
        <w:t xml:space="preserve"> </w:t>
      </w:r>
      <w:r w:rsidR="00756AE7" w:rsidRPr="008376FC">
        <w:rPr>
          <w:rFonts w:asciiTheme="majorHAnsi" w:eastAsia="Times New Roman" w:hAnsiTheme="majorHAnsi" w:cstheme="majorHAnsi"/>
          <w:b w:val="0"/>
          <w:bCs w:val="0"/>
          <w:sz w:val="24"/>
          <w:szCs w:val="24"/>
          <w:lang w:eastAsia="ru-RU"/>
        </w:rPr>
        <w:t>semnat un contract de finanțare. Plățile se efectuează către beneficiari în tranșe de minim 10% din valoarea contractului de antrepriză, pentru volumele de lucrări executate, în baza solicitărilor de plată prezentate cu anexarea documentelor confirmative (procesul-verbal de executare a lucrărilor, factura fiscală, devizul de cheltuieli cu catalogul de prețuri, extrasul din Cartea tehnică, raportul narativ al responsabilului tehnic și nota informativ</w:t>
      </w:r>
      <w:r>
        <w:rPr>
          <w:rFonts w:asciiTheme="majorHAnsi" w:eastAsia="Times New Roman" w:hAnsiTheme="majorHAnsi" w:cstheme="majorHAnsi"/>
          <w:b w:val="0"/>
          <w:bCs w:val="0"/>
          <w:sz w:val="24"/>
          <w:szCs w:val="24"/>
          <w:lang w:eastAsia="ru-RU"/>
        </w:rPr>
        <w:t>ă</w:t>
      </w:r>
      <w:r w:rsidR="00756AE7" w:rsidRPr="008376FC">
        <w:rPr>
          <w:rFonts w:asciiTheme="majorHAnsi" w:eastAsia="Times New Roman" w:hAnsiTheme="majorHAnsi" w:cstheme="majorHAnsi"/>
          <w:b w:val="0"/>
          <w:bCs w:val="0"/>
          <w:sz w:val="24"/>
          <w:szCs w:val="24"/>
          <w:lang w:eastAsia="ru-RU"/>
        </w:rPr>
        <w:t xml:space="preserve"> privind valoarea lucrărilor executate). La recepția solicitării de plată, se verifică corectitudinea și plenitudinea perfectării, precum și prezența tuturor semnăturilor și ștampilelor. Procesul</w:t>
      </w:r>
      <w:r>
        <w:rPr>
          <w:rFonts w:asciiTheme="majorHAnsi" w:eastAsia="Times New Roman" w:hAnsiTheme="majorHAnsi" w:cstheme="majorHAnsi"/>
          <w:b w:val="0"/>
          <w:bCs w:val="0"/>
          <w:sz w:val="24"/>
          <w:szCs w:val="24"/>
          <w:lang w:eastAsia="ru-RU"/>
        </w:rPr>
        <w:t>-</w:t>
      </w:r>
      <w:r w:rsidR="00756AE7" w:rsidRPr="008376FC">
        <w:rPr>
          <w:rFonts w:asciiTheme="majorHAnsi" w:eastAsia="Times New Roman" w:hAnsiTheme="majorHAnsi" w:cstheme="majorHAnsi"/>
          <w:b w:val="0"/>
          <w:bCs w:val="0"/>
          <w:sz w:val="24"/>
          <w:szCs w:val="24"/>
          <w:lang w:eastAsia="ru-RU"/>
        </w:rPr>
        <w:t>verbal neconform nu se recepționează și se restituie pentru corec</w:t>
      </w:r>
      <w:r>
        <w:rPr>
          <w:rFonts w:asciiTheme="majorHAnsi" w:eastAsia="Times New Roman" w:hAnsiTheme="majorHAnsi" w:cstheme="majorHAnsi"/>
          <w:b w:val="0"/>
          <w:bCs w:val="0"/>
          <w:sz w:val="24"/>
          <w:szCs w:val="24"/>
          <w:lang w:eastAsia="ru-RU"/>
        </w:rPr>
        <w:t>tare</w:t>
      </w:r>
      <w:r w:rsidR="00756AE7" w:rsidRPr="008376FC">
        <w:rPr>
          <w:rFonts w:asciiTheme="majorHAnsi" w:eastAsia="Times New Roman" w:hAnsiTheme="majorHAnsi" w:cstheme="majorHAnsi"/>
          <w:b w:val="0"/>
          <w:bCs w:val="0"/>
          <w:sz w:val="24"/>
          <w:szCs w:val="24"/>
          <w:lang w:eastAsia="ru-RU"/>
        </w:rPr>
        <w:t xml:space="preserve"> Direcției control implementare. În baza verificărilor efectuate</w:t>
      </w:r>
      <w:r>
        <w:rPr>
          <w:rFonts w:asciiTheme="majorHAnsi" w:eastAsia="Times New Roman" w:hAnsiTheme="majorHAnsi" w:cstheme="majorHAnsi"/>
          <w:b w:val="0"/>
          <w:bCs w:val="0"/>
          <w:sz w:val="24"/>
          <w:szCs w:val="24"/>
          <w:lang w:eastAsia="ru-RU"/>
        </w:rPr>
        <w:t>,</w:t>
      </w:r>
      <w:r w:rsidR="00756AE7" w:rsidRPr="008376FC">
        <w:rPr>
          <w:rFonts w:asciiTheme="majorHAnsi" w:eastAsia="Times New Roman" w:hAnsiTheme="majorHAnsi" w:cstheme="majorHAnsi"/>
          <w:b w:val="0"/>
          <w:bCs w:val="0"/>
          <w:sz w:val="24"/>
          <w:szCs w:val="24"/>
          <w:lang w:eastAsia="ru-RU"/>
        </w:rPr>
        <w:t xml:space="preserve"> se perfectează solicitarea de debursare, care ulterior este transmisă MIDR. În </w:t>
      </w:r>
      <w:r>
        <w:rPr>
          <w:rFonts w:asciiTheme="majorHAnsi" w:eastAsia="Times New Roman" w:hAnsiTheme="majorHAnsi" w:cstheme="majorHAnsi"/>
          <w:b w:val="0"/>
          <w:bCs w:val="0"/>
          <w:sz w:val="24"/>
          <w:szCs w:val="24"/>
          <w:lang w:eastAsia="ru-RU"/>
        </w:rPr>
        <w:t>conformitate cu</w:t>
      </w:r>
      <w:r w:rsidR="00756AE7" w:rsidRPr="008376FC">
        <w:rPr>
          <w:rFonts w:asciiTheme="majorHAnsi" w:eastAsia="Times New Roman" w:hAnsiTheme="majorHAnsi" w:cstheme="majorHAnsi"/>
          <w:b w:val="0"/>
          <w:bCs w:val="0"/>
          <w:sz w:val="24"/>
          <w:szCs w:val="24"/>
          <w:lang w:eastAsia="ru-RU"/>
        </w:rPr>
        <w:t xml:space="preserve"> art. 3 alin.(3) din LP nr. 27/2022 prin care FNDRL se află în gestiunea autorității de elaborare a politicii de dezvoltare regională (MIDR), care efectuează alocarea mijloacelor acestuia, în cadrul MIDR este perfectat ordinul de plată prin care plățile se transferă către beneficiar la contul unic trezorerial. Astfel, prin pct. 32 din HG nr.152/2022</w:t>
      </w:r>
      <w:r>
        <w:rPr>
          <w:rFonts w:asciiTheme="majorHAnsi" w:eastAsia="Times New Roman" w:hAnsiTheme="majorHAnsi" w:cstheme="majorHAnsi"/>
          <w:b w:val="0"/>
          <w:bCs w:val="0"/>
          <w:sz w:val="24"/>
          <w:szCs w:val="24"/>
          <w:lang w:eastAsia="ru-RU"/>
        </w:rPr>
        <w:t>,</w:t>
      </w:r>
      <w:r w:rsidR="00756AE7" w:rsidRPr="008376FC">
        <w:rPr>
          <w:rFonts w:asciiTheme="majorHAnsi" w:eastAsia="Times New Roman" w:hAnsiTheme="majorHAnsi" w:cstheme="majorHAnsi"/>
          <w:b w:val="0"/>
          <w:bCs w:val="0"/>
          <w:sz w:val="24"/>
          <w:szCs w:val="24"/>
          <w:lang w:eastAsia="ru-RU"/>
        </w:rPr>
        <w:t xml:space="preserve"> contabilitatea privind utilizarea mijloacelor Fondului se asigură de către MIDR. Respectiv, în baza HG nr.271/2022</w:t>
      </w:r>
      <w:r>
        <w:rPr>
          <w:rFonts w:asciiTheme="majorHAnsi" w:eastAsia="Times New Roman" w:hAnsiTheme="majorHAnsi" w:cstheme="majorHAnsi"/>
          <w:b w:val="0"/>
          <w:bCs w:val="0"/>
          <w:sz w:val="24"/>
          <w:szCs w:val="24"/>
          <w:lang w:eastAsia="ru-RU"/>
        </w:rPr>
        <w:t>,</w:t>
      </w:r>
      <w:r w:rsidR="00756AE7" w:rsidRPr="008376FC">
        <w:rPr>
          <w:rFonts w:asciiTheme="majorHAnsi" w:eastAsia="Times New Roman" w:hAnsiTheme="majorHAnsi" w:cstheme="majorHAnsi"/>
          <w:b w:val="0"/>
          <w:bCs w:val="0"/>
          <w:sz w:val="24"/>
          <w:szCs w:val="24"/>
          <w:lang w:eastAsia="ru-RU"/>
        </w:rPr>
        <w:t xml:space="preserve"> prin care este stipulat că Oficiul asigură managementul și monitorizarea resurselor financiare alocate pentru implementarea programelor și proiectelor finanțate din resursele Fondului, în cadrul ONDRL se efectuează doar monitorizarea transferului mijloacelor bănești către beneficiari în baza extrasului din cont prezentat de MIDR. </w:t>
      </w:r>
    </w:p>
    <w:p w:rsidR="00756AE7" w:rsidRPr="008376FC" w:rsidRDefault="00756AE7" w:rsidP="00F61756">
      <w:pPr>
        <w:spacing w:before="120"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sz w:val="24"/>
          <w:szCs w:val="24"/>
          <w:lang w:eastAsia="ru-RU"/>
        </w:rPr>
        <w:t xml:space="preserve">În acest sens, cu toate că MIDR </w:t>
      </w:r>
      <w:r w:rsidR="00E042DB">
        <w:rPr>
          <w:rFonts w:asciiTheme="majorHAnsi" w:eastAsia="Times New Roman" w:hAnsiTheme="majorHAnsi" w:cstheme="majorHAnsi"/>
          <w:b w:val="0"/>
          <w:bCs w:val="0"/>
          <w:sz w:val="24"/>
          <w:szCs w:val="24"/>
          <w:lang w:eastAsia="ru-RU"/>
        </w:rPr>
        <w:t xml:space="preserve">îi </w:t>
      </w:r>
      <w:r w:rsidRPr="008376FC">
        <w:rPr>
          <w:rFonts w:asciiTheme="majorHAnsi" w:eastAsia="Times New Roman" w:hAnsiTheme="majorHAnsi" w:cstheme="majorHAnsi"/>
          <w:b w:val="0"/>
          <w:bCs w:val="0"/>
          <w:sz w:val="24"/>
          <w:szCs w:val="24"/>
          <w:lang w:eastAsia="ru-RU"/>
        </w:rPr>
        <w:t>revine calitatea de finanțator, acesta nu se regăsește ca parte a contractului de finanțare, contractele cu APL fiind încheiate cu ONDRL. Respectiv, forma centralizată a transferurilor efectuate de MIDR direct către APL duce la modificarea rechizitelor bancare indicate în contractele de finanțare.</w:t>
      </w:r>
    </w:p>
    <w:p w:rsidR="00756AE7" w:rsidRPr="008376FC" w:rsidRDefault="00756AE7" w:rsidP="00F61756">
      <w:pPr>
        <w:spacing w:before="120"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sz w:val="24"/>
          <w:szCs w:val="24"/>
          <w:lang w:eastAsia="ru-RU"/>
        </w:rPr>
        <w:t>Monitorizarea și controlul utilizării eficiente a mijloacelor Fondului sunt efectuate de către Consiliu.</w:t>
      </w:r>
    </w:p>
    <w:p w:rsidR="008B77A3" w:rsidRPr="008376FC" w:rsidRDefault="00756AE7" w:rsidP="00F61756">
      <w:pPr>
        <w:spacing w:before="120" w:after="0" w:line="276" w:lineRule="auto"/>
        <w:ind w:firstLine="709"/>
        <w:jc w:val="both"/>
        <w:rPr>
          <w:rFonts w:asciiTheme="majorHAnsi" w:hAnsiTheme="majorHAnsi" w:cstheme="majorHAnsi"/>
          <w:b w:val="0"/>
          <w:sz w:val="24"/>
          <w:szCs w:val="24"/>
        </w:rPr>
      </w:pPr>
      <w:r w:rsidRPr="008376FC">
        <w:rPr>
          <w:rFonts w:asciiTheme="majorHAnsi" w:hAnsiTheme="majorHAnsi" w:cstheme="majorHAnsi"/>
          <w:b w:val="0"/>
          <w:bCs w:val="0"/>
          <w:iCs/>
          <w:sz w:val="24"/>
          <w:szCs w:val="24"/>
          <w:shd w:val="clear" w:color="auto" w:fill="FFFFFF"/>
        </w:rPr>
        <w:t xml:space="preserve">Implementarea programelor și proiectelor în domeniile stabilite </w:t>
      </w:r>
      <w:r w:rsidR="00E042DB">
        <w:rPr>
          <w:rFonts w:asciiTheme="majorHAnsi" w:hAnsiTheme="majorHAnsi" w:cstheme="majorHAnsi"/>
          <w:b w:val="0"/>
          <w:bCs w:val="0"/>
          <w:iCs/>
          <w:sz w:val="24"/>
          <w:szCs w:val="24"/>
          <w:shd w:val="clear" w:color="auto" w:fill="FFFFFF"/>
        </w:rPr>
        <w:t>de</w:t>
      </w:r>
      <w:r w:rsidRPr="008376FC">
        <w:rPr>
          <w:rFonts w:asciiTheme="majorHAnsi" w:hAnsiTheme="majorHAnsi" w:cstheme="majorHAnsi"/>
          <w:b w:val="0"/>
          <w:bCs w:val="0"/>
          <w:iCs/>
          <w:sz w:val="24"/>
          <w:szCs w:val="24"/>
          <w:shd w:val="clear" w:color="auto" w:fill="FFFFFF"/>
        </w:rPr>
        <w:t xml:space="preserve"> Legea nr. 27/2022 privind FNDRL este asigurată de ONDRL</w:t>
      </w:r>
      <w:r w:rsidR="00E042DB">
        <w:rPr>
          <w:rFonts w:asciiTheme="majorHAnsi" w:hAnsiTheme="majorHAnsi" w:cstheme="majorHAnsi"/>
          <w:b w:val="0"/>
          <w:bCs w:val="0"/>
          <w:iCs/>
          <w:sz w:val="24"/>
          <w:szCs w:val="24"/>
          <w:shd w:val="clear" w:color="auto" w:fill="FFFFFF"/>
        </w:rPr>
        <w:t>,</w:t>
      </w:r>
      <w:r w:rsidRPr="008376FC">
        <w:rPr>
          <w:rFonts w:asciiTheme="majorHAnsi" w:hAnsiTheme="majorHAnsi" w:cstheme="majorHAnsi"/>
          <w:b w:val="0"/>
          <w:bCs w:val="0"/>
          <w:iCs/>
          <w:sz w:val="24"/>
          <w:szCs w:val="24"/>
          <w:shd w:val="clear" w:color="auto" w:fill="FFFFFF"/>
        </w:rPr>
        <w:t xml:space="preserve"> creat în anul 2022 prin modificarea Instituției Publice Fondul de Investiții Sociale din Moldova (FISM).</w:t>
      </w:r>
      <w:r w:rsidRPr="008376FC">
        <w:rPr>
          <w:rFonts w:asciiTheme="majorHAnsi" w:hAnsiTheme="majorHAnsi" w:cstheme="majorHAnsi"/>
          <w:iCs/>
          <w:sz w:val="24"/>
          <w:szCs w:val="24"/>
          <w:shd w:val="clear" w:color="auto" w:fill="FFFFFF"/>
        </w:rPr>
        <w:t xml:space="preserve"> </w:t>
      </w:r>
      <w:r w:rsidRPr="008376FC">
        <w:rPr>
          <w:rFonts w:asciiTheme="majorHAnsi" w:hAnsiTheme="majorHAnsi" w:cstheme="majorHAnsi"/>
          <w:b w:val="0"/>
          <w:bCs w:val="0"/>
          <w:sz w:val="24"/>
          <w:szCs w:val="24"/>
        </w:rPr>
        <w:t xml:space="preserve">Oficiul desfășoară activitatea sa în baza Manualului </w:t>
      </w:r>
      <w:r w:rsidR="00E042DB">
        <w:rPr>
          <w:rFonts w:asciiTheme="majorHAnsi" w:hAnsiTheme="majorHAnsi" w:cstheme="majorHAnsi"/>
          <w:b w:val="0"/>
          <w:bCs w:val="0"/>
          <w:sz w:val="24"/>
          <w:szCs w:val="24"/>
        </w:rPr>
        <w:t>o</w:t>
      </w:r>
      <w:r w:rsidRPr="008376FC">
        <w:rPr>
          <w:rFonts w:asciiTheme="majorHAnsi" w:hAnsiTheme="majorHAnsi" w:cstheme="majorHAnsi"/>
          <w:b w:val="0"/>
          <w:bCs w:val="0"/>
          <w:sz w:val="24"/>
          <w:szCs w:val="24"/>
        </w:rPr>
        <w:t>perațional</w:t>
      </w:r>
      <w:r w:rsidRPr="008376FC">
        <w:rPr>
          <w:rFonts w:asciiTheme="majorHAnsi" w:hAnsiTheme="majorHAnsi" w:cstheme="majorHAnsi"/>
          <w:b w:val="0"/>
          <w:bCs w:val="0"/>
          <w:sz w:val="24"/>
          <w:szCs w:val="24"/>
          <w:vertAlign w:val="superscript"/>
        </w:rPr>
        <w:footnoteReference w:id="65"/>
      </w:r>
      <w:r w:rsidR="00E042DB">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 xml:space="preserve"> aprobat prin ordinul ministrului. </w:t>
      </w:r>
      <w:r w:rsidRPr="008376FC">
        <w:rPr>
          <w:rFonts w:asciiTheme="majorHAnsi" w:hAnsiTheme="majorHAnsi" w:cstheme="majorHAnsi"/>
          <w:b w:val="0"/>
          <w:sz w:val="24"/>
          <w:szCs w:val="24"/>
        </w:rPr>
        <w:t>Cu toate că activitatea Oficiului se desfășoară din iunie 2022, Manualul operațional încă nu a fost aprobat</w:t>
      </w:r>
      <w:r w:rsidRPr="00510CDB">
        <w:rPr>
          <w:rFonts w:asciiTheme="majorHAnsi" w:hAnsiTheme="majorHAnsi" w:cstheme="majorHAnsi"/>
          <w:b w:val="0"/>
          <w:sz w:val="24"/>
          <w:szCs w:val="24"/>
        </w:rPr>
        <w:t xml:space="preserve">. </w:t>
      </w:r>
      <w:r w:rsidR="008B77A3" w:rsidRPr="00510CDB">
        <w:rPr>
          <w:rFonts w:asciiTheme="majorHAnsi" w:hAnsiTheme="majorHAnsi" w:cstheme="majorHAnsi"/>
          <w:b w:val="0"/>
          <w:sz w:val="24"/>
          <w:szCs w:val="24"/>
        </w:rPr>
        <w:t xml:space="preserve">Modul de transmitere a costurilor </w:t>
      </w:r>
      <w:r w:rsidR="008B77A3" w:rsidRPr="00510CDB">
        <w:rPr>
          <w:rFonts w:asciiTheme="majorHAnsi" w:hAnsiTheme="majorHAnsi" w:cstheme="majorHAnsi"/>
          <w:b w:val="0"/>
          <w:bCs w:val="0"/>
          <w:sz w:val="24"/>
          <w:szCs w:val="24"/>
        </w:rPr>
        <w:t xml:space="preserve">formate la beneficiar în urma achiziționării de bunuri, servicii, construcții, reconstrucții sau îmbunătățirii acestora din contul mijloacelor FNDRL se prezintă în Anexa nr. </w:t>
      </w:r>
      <w:r w:rsidR="00561C2D" w:rsidRPr="00510CDB">
        <w:rPr>
          <w:rFonts w:asciiTheme="majorHAnsi" w:hAnsiTheme="majorHAnsi" w:cstheme="majorHAnsi"/>
          <w:b w:val="0"/>
          <w:bCs w:val="0"/>
          <w:sz w:val="24"/>
          <w:szCs w:val="24"/>
        </w:rPr>
        <w:t xml:space="preserve">22 </w:t>
      </w:r>
      <w:r w:rsidR="008B77A3" w:rsidRPr="00510CDB">
        <w:rPr>
          <w:rFonts w:asciiTheme="majorHAnsi" w:hAnsiTheme="majorHAnsi" w:cstheme="majorHAnsi"/>
          <w:b w:val="0"/>
          <w:bCs w:val="0"/>
          <w:sz w:val="24"/>
          <w:szCs w:val="24"/>
        </w:rPr>
        <w:t xml:space="preserve"> la prezentul Raport de audit.</w:t>
      </w:r>
    </w:p>
    <w:p w:rsidR="00756AE7" w:rsidRPr="008376FC" w:rsidRDefault="00770FD5" w:rsidP="00F61756">
      <w:pPr>
        <w:pStyle w:val="a3"/>
        <w:numPr>
          <w:ilvl w:val="2"/>
          <w:numId w:val="38"/>
        </w:numPr>
        <w:spacing w:before="120" w:line="276" w:lineRule="auto"/>
        <w:ind w:left="0" w:firstLine="0"/>
        <w:jc w:val="both"/>
        <w:rPr>
          <w:rFonts w:asciiTheme="majorHAnsi" w:hAnsiTheme="majorHAnsi" w:cstheme="majorHAnsi"/>
          <w:b/>
          <w:color w:val="0070C0"/>
          <w:lang w:val="en-US"/>
        </w:rPr>
      </w:pPr>
      <w:r w:rsidRPr="008376FC">
        <w:rPr>
          <w:rFonts w:asciiTheme="majorHAnsi" w:hAnsiTheme="majorHAnsi" w:cstheme="majorHAnsi"/>
          <w:b/>
          <w:color w:val="0070C0"/>
          <w:lang w:val="en-US"/>
        </w:rPr>
        <w:t>O parte din pr</w:t>
      </w:r>
      <w:r w:rsidR="00756AE7" w:rsidRPr="008376FC">
        <w:rPr>
          <w:rFonts w:asciiTheme="majorHAnsi" w:hAnsiTheme="majorHAnsi" w:cstheme="majorHAnsi"/>
          <w:b/>
          <w:color w:val="0070C0"/>
          <w:lang w:val="en-US"/>
        </w:rPr>
        <w:t>oiecte</w:t>
      </w:r>
      <w:r w:rsidR="00977181">
        <w:rPr>
          <w:rFonts w:asciiTheme="majorHAnsi" w:hAnsiTheme="majorHAnsi" w:cstheme="majorHAnsi"/>
          <w:b/>
          <w:color w:val="0070C0"/>
          <w:lang w:val="en-US"/>
        </w:rPr>
        <w:t>le</w:t>
      </w:r>
      <w:r w:rsidRPr="008376FC">
        <w:rPr>
          <w:rFonts w:asciiTheme="majorHAnsi" w:hAnsiTheme="majorHAnsi" w:cstheme="majorHAnsi"/>
          <w:b/>
          <w:color w:val="0070C0"/>
          <w:lang w:val="en-US"/>
        </w:rPr>
        <w:t xml:space="preserve"> aferente </w:t>
      </w:r>
      <w:r w:rsidR="00756AE7" w:rsidRPr="008376FC">
        <w:rPr>
          <w:rFonts w:asciiTheme="majorHAnsi" w:hAnsiTheme="majorHAnsi" w:cstheme="majorHAnsi"/>
          <w:b/>
          <w:color w:val="0070C0"/>
          <w:lang w:val="en-US"/>
        </w:rPr>
        <w:t>AAS s-a</w:t>
      </w:r>
      <w:r w:rsidRPr="008376FC">
        <w:rPr>
          <w:rFonts w:asciiTheme="majorHAnsi" w:hAnsiTheme="majorHAnsi" w:cstheme="majorHAnsi"/>
          <w:b/>
          <w:color w:val="0070C0"/>
          <w:lang w:val="en-US"/>
        </w:rPr>
        <w:t>u</w:t>
      </w:r>
      <w:r w:rsidR="00756AE7" w:rsidRPr="008376FC">
        <w:rPr>
          <w:rFonts w:asciiTheme="majorHAnsi" w:hAnsiTheme="majorHAnsi" w:cstheme="majorHAnsi"/>
          <w:b/>
          <w:color w:val="0070C0"/>
          <w:lang w:val="en-US"/>
        </w:rPr>
        <w:t xml:space="preserve"> realizat din contul mijloacelor FNDAMR</w:t>
      </w:r>
      <w:r w:rsidR="00977181">
        <w:rPr>
          <w:rFonts w:asciiTheme="majorHAnsi" w:hAnsiTheme="majorHAnsi" w:cstheme="majorHAnsi"/>
          <w:b/>
          <w:color w:val="0070C0"/>
          <w:lang w:val="en-US"/>
        </w:rPr>
        <w:t>.</w:t>
      </w:r>
    </w:p>
    <w:p w:rsidR="00756AE7" w:rsidRPr="008376FC" w:rsidRDefault="00770FD5"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bCs w:val="0"/>
          <w:sz w:val="24"/>
          <w:szCs w:val="24"/>
          <w:lang w:bidi="he-IL"/>
        </w:rPr>
        <w:t>Pe parcursul anilor 2020-2022, î</w:t>
      </w:r>
      <w:r w:rsidR="00756AE7" w:rsidRPr="008376FC">
        <w:rPr>
          <w:rFonts w:asciiTheme="majorHAnsi" w:eastAsia="Times New Roman" w:hAnsiTheme="majorHAnsi" w:cstheme="majorHAnsi"/>
          <w:b w:val="0"/>
          <w:bCs w:val="0"/>
          <w:sz w:val="24"/>
          <w:szCs w:val="24"/>
          <w:lang w:bidi="he-IL"/>
        </w:rPr>
        <w:t xml:space="preserve">n scopul implementării prevederilor HG nr.476/2019, au fost lansate 4 apeluri de depunere a dosarelor, </w:t>
      </w:r>
      <w:r w:rsidR="00977181">
        <w:rPr>
          <w:rFonts w:asciiTheme="majorHAnsi" w:eastAsia="Times New Roman" w:hAnsiTheme="majorHAnsi" w:cstheme="majorHAnsi"/>
          <w:b w:val="0"/>
          <w:bCs w:val="0"/>
          <w:sz w:val="24"/>
          <w:szCs w:val="24"/>
          <w:lang w:bidi="he-IL"/>
        </w:rPr>
        <w:t>din care</w:t>
      </w:r>
      <w:r w:rsidR="00756AE7" w:rsidRPr="008376FC">
        <w:rPr>
          <w:rFonts w:asciiTheme="majorHAnsi" w:eastAsia="Times New Roman" w:hAnsiTheme="majorHAnsi" w:cstheme="majorHAnsi"/>
          <w:b w:val="0"/>
          <w:bCs w:val="0"/>
          <w:sz w:val="24"/>
          <w:szCs w:val="24"/>
          <w:lang w:bidi="he-IL"/>
        </w:rPr>
        <w:t xml:space="preserve"> 3 apeluri pentru Măsura nr.1</w:t>
      </w:r>
      <w:r w:rsidR="00C43BF2">
        <w:rPr>
          <w:rFonts w:asciiTheme="majorHAnsi" w:eastAsia="Times New Roman" w:hAnsiTheme="majorHAnsi" w:cstheme="majorHAnsi"/>
          <w:b w:val="0"/>
          <w:bCs w:val="0"/>
          <w:sz w:val="24"/>
          <w:szCs w:val="24"/>
          <w:lang w:bidi="he-IL"/>
        </w:rPr>
        <w:t xml:space="preserve"> „</w:t>
      </w:r>
      <w:r w:rsidR="00F2485C" w:rsidRPr="00F2485C">
        <w:rPr>
          <w:rFonts w:asciiTheme="majorHAnsi" w:eastAsia="Times New Roman" w:hAnsiTheme="majorHAnsi" w:cstheme="majorHAnsi"/>
          <w:b w:val="0"/>
          <w:sz w:val="24"/>
          <w:szCs w:val="24"/>
          <w:lang w:bidi="he-IL"/>
        </w:rPr>
        <w:t>Îmbunătățirea și dezvoltarea infrastructurii  economice rurale</w:t>
      </w:r>
      <w:r w:rsidR="00C43BF2" w:rsidRPr="00F2485C">
        <w:rPr>
          <w:rFonts w:asciiTheme="majorHAnsi" w:eastAsia="Times New Roman" w:hAnsiTheme="majorHAnsi" w:cstheme="majorHAnsi"/>
          <w:b w:val="0"/>
          <w:bCs w:val="0"/>
          <w:sz w:val="24"/>
          <w:szCs w:val="24"/>
          <w:lang w:bidi="he-IL"/>
        </w:rPr>
        <w:t>”</w:t>
      </w:r>
      <w:r w:rsidR="00756AE7" w:rsidRPr="00F2485C">
        <w:rPr>
          <w:rFonts w:asciiTheme="majorHAnsi" w:eastAsia="Times New Roman" w:hAnsiTheme="majorHAnsi" w:cstheme="majorHAnsi"/>
          <w:b w:val="0"/>
          <w:bCs w:val="0"/>
          <w:sz w:val="24"/>
          <w:szCs w:val="24"/>
          <w:lang w:bidi="he-IL"/>
        </w:rPr>
        <w:t xml:space="preserve">. </w:t>
      </w:r>
      <w:r w:rsidR="00977181">
        <w:rPr>
          <w:rFonts w:asciiTheme="majorHAnsi" w:eastAsia="Times New Roman" w:hAnsiTheme="majorHAnsi" w:cstheme="majorHAnsi"/>
          <w:b w:val="0"/>
          <w:bCs w:val="0"/>
          <w:sz w:val="24"/>
          <w:szCs w:val="24"/>
          <w:lang w:bidi="he-IL"/>
        </w:rPr>
        <w:t>Pe</w:t>
      </w:r>
      <w:r w:rsidR="00756AE7" w:rsidRPr="008376FC">
        <w:rPr>
          <w:rFonts w:asciiTheme="majorHAnsi" w:eastAsia="Times New Roman" w:hAnsiTheme="majorHAnsi" w:cstheme="majorHAnsi"/>
          <w:b w:val="0"/>
          <w:bCs w:val="0"/>
          <w:sz w:val="24"/>
          <w:szCs w:val="24"/>
          <w:lang w:bidi="he-IL"/>
        </w:rPr>
        <w:t xml:space="preserve">ntru asigurarea implementării măsurii nr.1, prin </w:t>
      </w:r>
      <w:r w:rsidR="00977181">
        <w:rPr>
          <w:rFonts w:asciiTheme="majorHAnsi" w:eastAsia="Times New Roman" w:hAnsiTheme="majorHAnsi" w:cstheme="majorHAnsi"/>
          <w:b w:val="0"/>
          <w:bCs w:val="0"/>
          <w:sz w:val="24"/>
          <w:szCs w:val="24"/>
          <w:lang w:bidi="he-IL"/>
        </w:rPr>
        <w:t>O</w:t>
      </w:r>
      <w:r w:rsidR="00756AE7" w:rsidRPr="008376FC">
        <w:rPr>
          <w:rFonts w:asciiTheme="majorHAnsi" w:eastAsia="Times New Roman" w:hAnsiTheme="majorHAnsi" w:cstheme="majorHAnsi"/>
          <w:b w:val="0"/>
          <w:bCs w:val="0"/>
          <w:sz w:val="24"/>
          <w:szCs w:val="24"/>
          <w:lang w:bidi="he-IL"/>
        </w:rPr>
        <w:t>rdinul AIPA nr.98 din 19.05.2020 a fost instituită Comisia de evaluare și selectare a proiectelor investiționale pentru îmbunătățirea nivelului de trai și de muncă în mediul rural.</w:t>
      </w:r>
    </w:p>
    <w:p w:rsidR="00756AE7" w:rsidRPr="008376FC" w:rsidRDefault="00756AE7"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D327FA">
        <w:rPr>
          <w:rFonts w:asciiTheme="majorHAnsi" w:eastAsia="Times New Roman" w:hAnsiTheme="majorHAnsi" w:cstheme="majorHAnsi"/>
          <w:b w:val="0"/>
          <w:bCs w:val="0"/>
          <w:sz w:val="24"/>
          <w:szCs w:val="24"/>
          <w:lang w:bidi="he-IL"/>
        </w:rPr>
        <w:t>Pentru a beneficia de subvenții în avans în cadrul acestei măsuri, pe parcursul anilor 2020 şi 2021 au depus cereri 25 APL de nivelul I</w:t>
      </w:r>
      <w:r w:rsidR="00977181" w:rsidRPr="00D327FA">
        <w:rPr>
          <w:rFonts w:asciiTheme="majorHAnsi" w:eastAsia="Times New Roman" w:hAnsiTheme="majorHAnsi" w:cstheme="majorHAnsi"/>
          <w:b w:val="0"/>
          <w:bCs w:val="0"/>
          <w:sz w:val="24"/>
          <w:szCs w:val="24"/>
          <w:lang w:bidi="he-IL"/>
        </w:rPr>
        <w:t>,</w:t>
      </w:r>
      <w:r w:rsidRPr="00D327FA">
        <w:rPr>
          <w:rFonts w:asciiTheme="majorHAnsi" w:eastAsia="Times New Roman" w:hAnsiTheme="majorHAnsi" w:cstheme="majorHAnsi"/>
          <w:b w:val="0"/>
          <w:bCs w:val="0"/>
          <w:sz w:val="24"/>
          <w:szCs w:val="24"/>
          <w:lang w:bidi="he-IL"/>
        </w:rPr>
        <w:t xml:space="preserve"> pentru proiecte de investiții în domeniul aprovizionării cu apă și/sau canalizare</w:t>
      </w:r>
      <w:r w:rsidR="00977181" w:rsidRPr="00D327FA">
        <w:rPr>
          <w:rFonts w:asciiTheme="majorHAnsi" w:eastAsia="Times New Roman" w:hAnsiTheme="majorHAnsi" w:cstheme="majorHAnsi"/>
          <w:b w:val="0"/>
          <w:bCs w:val="0"/>
          <w:sz w:val="24"/>
          <w:szCs w:val="24"/>
          <w:lang w:bidi="he-IL"/>
        </w:rPr>
        <w:t>,</w:t>
      </w:r>
      <w:r w:rsidRPr="00D327FA">
        <w:rPr>
          <w:rFonts w:asciiTheme="majorHAnsi" w:eastAsia="Times New Roman" w:hAnsiTheme="majorHAnsi" w:cstheme="majorHAnsi"/>
          <w:b w:val="0"/>
          <w:bCs w:val="0"/>
          <w:sz w:val="24"/>
          <w:szCs w:val="24"/>
          <w:lang w:bidi="he-IL"/>
        </w:rPr>
        <w:t xml:space="preserve"> valoare</w:t>
      </w:r>
      <w:r w:rsidR="00C43BF2" w:rsidRPr="00D327FA">
        <w:rPr>
          <w:rFonts w:asciiTheme="majorHAnsi" w:eastAsia="Times New Roman" w:hAnsiTheme="majorHAnsi" w:cstheme="majorHAnsi"/>
          <w:b w:val="0"/>
          <w:bCs w:val="0"/>
          <w:sz w:val="24"/>
          <w:szCs w:val="24"/>
          <w:lang w:bidi="he-IL"/>
        </w:rPr>
        <w:t>a</w:t>
      </w:r>
      <w:r w:rsidRPr="00D327FA">
        <w:rPr>
          <w:rFonts w:asciiTheme="majorHAnsi" w:eastAsia="Times New Roman" w:hAnsiTheme="majorHAnsi" w:cstheme="majorHAnsi"/>
          <w:b w:val="0"/>
          <w:bCs w:val="0"/>
          <w:sz w:val="24"/>
          <w:szCs w:val="24"/>
          <w:lang w:bidi="he-IL"/>
        </w:rPr>
        <w:t xml:space="preserve"> totală</w:t>
      </w:r>
      <w:r w:rsidR="00C43BF2" w:rsidRPr="00D327FA">
        <w:rPr>
          <w:rFonts w:asciiTheme="majorHAnsi" w:eastAsia="Times New Roman" w:hAnsiTheme="majorHAnsi" w:cstheme="majorHAnsi"/>
          <w:b w:val="0"/>
          <w:bCs w:val="0"/>
          <w:sz w:val="24"/>
          <w:szCs w:val="24"/>
          <w:lang w:bidi="he-IL"/>
        </w:rPr>
        <w:t xml:space="preserve"> a proiectelor constituind</w:t>
      </w:r>
      <w:r w:rsidRPr="00D327FA">
        <w:rPr>
          <w:rFonts w:asciiTheme="majorHAnsi" w:eastAsia="Times New Roman" w:hAnsiTheme="majorHAnsi" w:cstheme="majorHAnsi"/>
          <w:b w:val="0"/>
          <w:bCs w:val="0"/>
          <w:sz w:val="24"/>
          <w:szCs w:val="24"/>
          <w:lang w:bidi="he-IL"/>
        </w:rPr>
        <w:t xml:space="preserve"> 64,1 mil. lei,</w:t>
      </w:r>
      <w:r w:rsidR="00C43BF2" w:rsidRPr="00D327FA">
        <w:rPr>
          <w:rFonts w:asciiTheme="majorHAnsi" w:eastAsia="Times New Roman" w:hAnsiTheme="majorHAnsi" w:cstheme="majorHAnsi"/>
          <w:b w:val="0"/>
          <w:bCs w:val="0"/>
          <w:sz w:val="24"/>
          <w:szCs w:val="24"/>
          <w:lang w:bidi="he-IL"/>
        </w:rPr>
        <w:t xml:space="preserve"> fiind acceptate spre </w:t>
      </w:r>
      <w:r w:rsidRPr="00D327FA">
        <w:rPr>
          <w:rFonts w:asciiTheme="majorHAnsi" w:eastAsia="Times New Roman" w:hAnsiTheme="majorHAnsi" w:cstheme="majorHAnsi"/>
          <w:b w:val="0"/>
          <w:bCs w:val="0"/>
          <w:sz w:val="24"/>
          <w:szCs w:val="24"/>
          <w:lang w:bidi="he-IL"/>
        </w:rPr>
        <w:t xml:space="preserve"> finanțare din FNDAMR </w:t>
      </w:r>
      <w:r w:rsidR="00C43BF2" w:rsidRPr="00D327FA">
        <w:rPr>
          <w:rFonts w:asciiTheme="majorHAnsi" w:eastAsia="Times New Roman" w:hAnsiTheme="majorHAnsi" w:cstheme="majorHAnsi"/>
          <w:b w:val="0"/>
          <w:bCs w:val="0"/>
          <w:sz w:val="24"/>
          <w:szCs w:val="24"/>
          <w:lang w:bidi="he-IL"/>
        </w:rPr>
        <w:t xml:space="preserve"> 27,0 </w:t>
      </w:r>
      <w:r w:rsidRPr="00D327FA">
        <w:rPr>
          <w:rFonts w:asciiTheme="majorHAnsi" w:eastAsia="Times New Roman" w:hAnsiTheme="majorHAnsi" w:cstheme="majorHAnsi"/>
          <w:b w:val="0"/>
          <w:bCs w:val="0"/>
          <w:sz w:val="24"/>
          <w:szCs w:val="24"/>
          <w:lang w:bidi="he-IL"/>
        </w:rPr>
        <w:t>mil. lei (22</w:t>
      </w:r>
      <w:r w:rsidR="00977181" w:rsidRPr="00D327FA">
        <w:rPr>
          <w:rFonts w:asciiTheme="majorHAnsi" w:eastAsia="Times New Roman" w:hAnsiTheme="majorHAnsi" w:cstheme="majorHAnsi"/>
          <w:b w:val="0"/>
          <w:bCs w:val="0"/>
          <w:sz w:val="24"/>
          <w:szCs w:val="24"/>
          <w:lang w:bidi="he-IL"/>
        </w:rPr>
        <w:t xml:space="preserve"> de</w:t>
      </w:r>
      <w:r w:rsidRPr="00D327FA">
        <w:rPr>
          <w:rFonts w:asciiTheme="majorHAnsi" w:eastAsia="Times New Roman" w:hAnsiTheme="majorHAnsi" w:cstheme="majorHAnsi"/>
          <w:b w:val="0"/>
          <w:bCs w:val="0"/>
          <w:sz w:val="24"/>
          <w:szCs w:val="24"/>
          <w:lang w:bidi="he-IL"/>
        </w:rPr>
        <w:t xml:space="preserve"> proiecte)</w:t>
      </w:r>
      <w:r w:rsidRPr="00D327FA">
        <w:rPr>
          <w:rStyle w:val="ab"/>
          <w:rFonts w:asciiTheme="majorHAnsi" w:eastAsia="Times New Roman" w:hAnsiTheme="majorHAnsi" w:cstheme="majorHAnsi"/>
          <w:b w:val="0"/>
          <w:bCs w:val="0"/>
          <w:sz w:val="24"/>
          <w:szCs w:val="24"/>
          <w:lang w:bidi="he-IL"/>
        </w:rPr>
        <w:footnoteReference w:id="66"/>
      </w:r>
      <w:r w:rsidRPr="00D327FA">
        <w:rPr>
          <w:rFonts w:asciiTheme="majorHAnsi" w:eastAsia="Times New Roman" w:hAnsiTheme="majorHAnsi" w:cstheme="majorHAnsi"/>
          <w:b w:val="0"/>
          <w:bCs w:val="0"/>
          <w:sz w:val="24"/>
          <w:szCs w:val="24"/>
          <w:lang w:bidi="he-IL"/>
        </w:rPr>
        <w:t xml:space="preserve">, dintre care au fost finalizate 17 proiecte în valoare de </w:t>
      </w:r>
      <w:r w:rsidR="00C43BF2" w:rsidRPr="00D327FA">
        <w:rPr>
          <w:rFonts w:asciiTheme="majorHAnsi" w:eastAsia="Times New Roman" w:hAnsiTheme="majorHAnsi" w:cstheme="majorHAnsi"/>
          <w:b w:val="0"/>
          <w:bCs w:val="0"/>
          <w:sz w:val="24"/>
          <w:szCs w:val="24"/>
          <w:lang w:bidi="he-IL"/>
        </w:rPr>
        <w:t xml:space="preserve">20,4 </w:t>
      </w:r>
      <w:r w:rsidRPr="00D327FA">
        <w:rPr>
          <w:rFonts w:asciiTheme="majorHAnsi" w:eastAsia="Times New Roman" w:hAnsiTheme="majorHAnsi" w:cstheme="majorHAnsi"/>
          <w:b w:val="0"/>
          <w:bCs w:val="0"/>
          <w:sz w:val="24"/>
          <w:szCs w:val="24"/>
          <w:lang w:bidi="he-IL"/>
        </w:rPr>
        <w:t xml:space="preserve"> mil. lei</w:t>
      </w:r>
      <w:r w:rsidR="00977181" w:rsidRPr="00D327FA">
        <w:rPr>
          <w:rFonts w:asciiTheme="majorHAnsi" w:eastAsia="Times New Roman" w:hAnsiTheme="majorHAnsi" w:cstheme="majorHAnsi"/>
          <w:b w:val="0"/>
          <w:bCs w:val="0"/>
          <w:sz w:val="24"/>
          <w:szCs w:val="24"/>
          <w:lang w:bidi="he-IL"/>
        </w:rPr>
        <w:t>,</w:t>
      </w:r>
      <w:r w:rsidRPr="00D327FA">
        <w:rPr>
          <w:rFonts w:asciiTheme="majorHAnsi" w:eastAsia="Times New Roman" w:hAnsiTheme="majorHAnsi" w:cstheme="majorHAnsi"/>
          <w:b w:val="0"/>
          <w:bCs w:val="0"/>
          <w:sz w:val="24"/>
          <w:szCs w:val="24"/>
          <w:lang w:bidi="he-IL"/>
        </w:rPr>
        <w:t xml:space="preserve"> </w:t>
      </w:r>
      <w:r w:rsidR="00354ECD" w:rsidRPr="00D327FA">
        <w:rPr>
          <w:rFonts w:asciiTheme="majorHAnsi" w:eastAsia="Times New Roman" w:hAnsiTheme="majorHAnsi" w:cstheme="majorHAnsi"/>
          <w:b w:val="0"/>
          <w:bCs w:val="0"/>
          <w:sz w:val="24"/>
          <w:szCs w:val="24"/>
          <w:lang w:bidi="he-IL"/>
        </w:rPr>
        <w:t>s</w:t>
      </w:r>
      <w:r w:rsidR="00C43BF2" w:rsidRPr="00D327FA">
        <w:rPr>
          <w:rFonts w:asciiTheme="majorHAnsi" w:eastAsia="Times New Roman" w:hAnsiTheme="majorHAnsi" w:cstheme="majorHAnsi"/>
          <w:b w:val="0"/>
          <w:bCs w:val="0"/>
          <w:sz w:val="24"/>
          <w:szCs w:val="24"/>
          <w:lang w:bidi="he-IL"/>
        </w:rPr>
        <w:t>old</w:t>
      </w:r>
      <w:r w:rsidR="00354ECD" w:rsidRPr="00D327FA">
        <w:rPr>
          <w:rFonts w:asciiTheme="majorHAnsi" w:eastAsia="Times New Roman" w:hAnsiTheme="majorHAnsi" w:cstheme="majorHAnsi"/>
          <w:b w:val="0"/>
          <w:bCs w:val="0"/>
          <w:sz w:val="24"/>
          <w:szCs w:val="24"/>
          <w:lang w:bidi="he-IL"/>
        </w:rPr>
        <w:t>ul</w:t>
      </w:r>
      <w:r w:rsidR="00C43BF2" w:rsidRPr="00D327FA">
        <w:rPr>
          <w:rFonts w:asciiTheme="majorHAnsi" w:eastAsia="Times New Roman" w:hAnsiTheme="majorHAnsi" w:cstheme="majorHAnsi"/>
          <w:b w:val="0"/>
          <w:bCs w:val="0"/>
          <w:sz w:val="24"/>
          <w:szCs w:val="24"/>
          <w:lang w:bidi="he-IL"/>
        </w:rPr>
        <w:t xml:space="preserve"> nefinanțat constituind 6,9 mil.lei pentru 5 proiecte.</w:t>
      </w:r>
    </w:p>
    <w:p w:rsidR="00756AE7" w:rsidRPr="008376FC" w:rsidRDefault="00756AE7"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bCs w:val="0"/>
          <w:sz w:val="24"/>
          <w:szCs w:val="24"/>
          <w:lang w:bidi="he-IL"/>
        </w:rPr>
        <w:t>Actualmente, din 22 de proiecte selectate spre implementare</w:t>
      </w:r>
      <w:r w:rsidR="00770FD5" w:rsidRPr="008376FC">
        <w:rPr>
          <w:rFonts w:asciiTheme="majorHAnsi" w:eastAsia="Times New Roman" w:hAnsiTheme="majorHAnsi" w:cstheme="majorHAnsi"/>
          <w:b w:val="0"/>
          <w:bCs w:val="0"/>
          <w:sz w:val="24"/>
          <w:szCs w:val="24"/>
          <w:lang w:bidi="he-IL"/>
        </w:rPr>
        <w:t>,</w:t>
      </w:r>
      <w:r w:rsidRPr="008376FC">
        <w:rPr>
          <w:rFonts w:asciiTheme="majorHAnsi" w:eastAsia="Times New Roman" w:hAnsiTheme="majorHAnsi" w:cstheme="majorHAnsi"/>
          <w:b w:val="0"/>
          <w:bCs w:val="0"/>
          <w:sz w:val="24"/>
          <w:szCs w:val="24"/>
          <w:lang w:bidi="he-IL"/>
        </w:rPr>
        <w:t xml:space="preserve"> 3 se află în curs de executare (valoarea investiției </w:t>
      </w:r>
      <w:r w:rsidR="00977181">
        <w:rPr>
          <w:rFonts w:asciiTheme="majorHAnsi" w:eastAsia="Times New Roman" w:hAnsiTheme="majorHAnsi" w:cstheme="majorHAnsi"/>
          <w:b w:val="0"/>
          <w:bCs w:val="0"/>
          <w:sz w:val="24"/>
          <w:szCs w:val="24"/>
          <w:lang w:bidi="he-IL"/>
        </w:rPr>
        <w:t>constituie</w:t>
      </w:r>
      <w:r w:rsidRPr="008376FC">
        <w:rPr>
          <w:rFonts w:asciiTheme="majorHAnsi" w:eastAsia="Times New Roman" w:hAnsiTheme="majorHAnsi" w:cstheme="majorHAnsi"/>
          <w:b w:val="0"/>
          <w:bCs w:val="0"/>
          <w:sz w:val="24"/>
          <w:szCs w:val="24"/>
          <w:lang w:bidi="he-IL"/>
        </w:rPr>
        <w:t xml:space="preserve"> 6,6 mil</w:t>
      </w:r>
      <w:r w:rsidR="00977181">
        <w:rPr>
          <w:rFonts w:asciiTheme="majorHAnsi" w:eastAsia="Times New Roman" w:hAnsiTheme="majorHAnsi" w:cstheme="majorHAnsi"/>
          <w:b w:val="0"/>
          <w:bCs w:val="0"/>
          <w:sz w:val="24"/>
          <w:szCs w:val="24"/>
          <w:lang w:bidi="he-IL"/>
        </w:rPr>
        <w:t>.</w:t>
      </w:r>
      <w:r w:rsidRPr="008376FC">
        <w:rPr>
          <w:rFonts w:asciiTheme="majorHAnsi" w:eastAsia="Times New Roman" w:hAnsiTheme="majorHAnsi" w:cstheme="majorHAnsi"/>
          <w:b w:val="0"/>
          <w:bCs w:val="0"/>
          <w:sz w:val="24"/>
          <w:szCs w:val="24"/>
          <w:lang w:bidi="he-IL"/>
        </w:rPr>
        <w:t xml:space="preserve">lei), iar 2 sunt în examinare pentru transferul ultimei tranșe (valoarea investiției </w:t>
      </w:r>
      <w:r w:rsidR="00977181">
        <w:rPr>
          <w:rFonts w:asciiTheme="majorHAnsi" w:eastAsia="Times New Roman" w:hAnsiTheme="majorHAnsi" w:cstheme="majorHAnsi"/>
          <w:b w:val="0"/>
          <w:bCs w:val="0"/>
          <w:sz w:val="24"/>
          <w:szCs w:val="24"/>
          <w:lang w:bidi="he-IL"/>
        </w:rPr>
        <w:t>este de</w:t>
      </w:r>
      <w:r w:rsidRPr="008376FC">
        <w:rPr>
          <w:rFonts w:asciiTheme="majorHAnsi" w:eastAsia="Times New Roman" w:hAnsiTheme="majorHAnsi" w:cstheme="majorHAnsi"/>
          <w:b w:val="0"/>
          <w:bCs w:val="0"/>
          <w:sz w:val="24"/>
          <w:szCs w:val="24"/>
          <w:lang w:bidi="he-IL"/>
        </w:rPr>
        <w:t xml:space="preserve"> 4,99 mil</w:t>
      </w:r>
      <w:r w:rsidR="00977181">
        <w:rPr>
          <w:rFonts w:asciiTheme="majorHAnsi" w:eastAsia="Times New Roman" w:hAnsiTheme="majorHAnsi" w:cstheme="majorHAnsi"/>
          <w:b w:val="0"/>
          <w:bCs w:val="0"/>
          <w:sz w:val="24"/>
          <w:szCs w:val="24"/>
          <w:lang w:bidi="he-IL"/>
        </w:rPr>
        <w:t>.</w:t>
      </w:r>
      <w:r w:rsidRPr="008376FC">
        <w:rPr>
          <w:rFonts w:asciiTheme="majorHAnsi" w:eastAsia="Times New Roman" w:hAnsiTheme="majorHAnsi" w:cstheme="majorHAnsi"/>
          <w:b w:val="0"/>
          <w:bCs w:val="0"/>
          <w:sz w:val="24"/>
          <w:szCs w:val="24"/>
          <w:lang w:bidi="he-IL"/>
        </w:rPr>
        <w:t>lei).</w:t>
      </w:r>
    </w:p>
    <w:p w:rsidR="00756AE7" w:rsidRPr="008376FC" w:rsidRDefault="00756AE7"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bCs w:val="0"/>
          <w:sz w:val="24"/>
          <w:szCs w:val="24"/>
          <w:lang w:bidi="he-IL"/>
        </w:rPr>
        <w:t xml:space="preserve">Cumulativ, </w:t>
      </w:r>
      <w:r w:rsidR="00931444">
        <w:rPr>
          <w:rFonts w:asciiTheme="majorHAnsi" w:eastAsia="Times New Roman" w:hAnsiTheme="majorHAnsi" w:cstheme="majorHAnsi"/>
          <w:b w:val="0"/>
          <w:bCs w:val="0"/>
          <w:sz w:val="24"/>
          <w:szCs w:val="24"/>
          <w:lang w:bidi="he-IL"/>
        </w:rPr>
        <w:t xml:space="preserve">ca </w:t>
      </w:r>
      <w:r w:rsidRPr="008376FC">
        <w:rPr>
          <w:rFonts w:asciiTheme="majorHAnsi" w:eastAsia="Times New Roman" w:hAnsiTheme="majorHAnsi" w:cstheme="majorHAnsi"/>
          <w:b w:val="0"/>
          <w:bCs w:val="0"/>
          <w:sz w:val="24"/>
          <w:szCs w:val="24"/>
          <w:lang w:bidi="he-IL"/>
        </w:rPr>
        <w:t>urmare a implementării proiectelor în baza Măsurii nr.1, de servicii AAS au beneficiat 40,0 mii de locuitori</w:t>
      </w:r>
      <w:r w:rsidR="00931444">
        <w:rPr>
          <w:rFonts w:asciiTheme="majorHAnsi" w:eastAsia="Times New Roman" w:hAnsiTheme="majorHAnsi" w:cstheme="majorHAnsi"/>
          <w:b w:val="0"/>
          <w:bCs w:val="0"/>
          <w:sz w:val="24"/>
          <w:szCs w:val="24"/>
          <w:lang w:bidi="he-IL"/>
        </w:rPr>
        <w:t>,</w:t>
      </w:r>
      <w:r w:rsidRPr="008376FC">
        <w:rPr>
          <w:rFonts w:asciiTheme="majorHAnsi" w:eastAsia="Times New Roman" w:hAnsiTheme="majorHAnsi" w:cstheme="majorHAnsi"/>
          <w:b w:val="0"/>
          <w:bCs w:val="0"/>
          <w:sz w:val="24"/>
          <w:szCs w:val="24"/>
          <w:lang w:bidi="he-IL"/>
        </w:rPr>
        <w:t xml:space="preserve"> fiind asigurată: </w:t>
      </w:r>
    </w:p>
    <w:p w:rsidR="00756AE7" w:rsidRPr="008376FC" w:rsidRDefault="00756AE7" w:rsidP="00F61756">
      <w:pPr>
        <w:shd w:val="clear" w:color="auto" w:fill="FFFFFF"/>
        <w:spacing w:before="120" w:after="0" w:line="276" w:lineRule="auto"/>
        <w:ind w:firstLine="709"/>
        <w:jc w:val="both"/>
        <w:rPr>
          <w:rFonts w:asciiTheme="majorHAnsi" w:eastAsia="Times New Roman" w:hAnsiTheme="majorHAnsi" w:cstheme="majorHAnsi"/>
          <w:b w:val="0"/>
          <w:bCs w:val="0"/>
          <w:sz w:val="24"/>
          <w:szCs w:val="24"/>
          <w:lang w:bidi="he-IL"/>
        </w:rPr>
      </w:pPr>
      <w:r w:rsidRPr="008376FC">
        <w:rPr>
          <w:rFonts w:ascii="MS Gothic" w:eastAsia="MS Gothic" w:hAnsi="MS Gothic" w:cs="MS Gothic" w:hint="eastAsia"/>
          <w:b w:val="0"/>
          <w:bCs w:val="0"/>
          <w:sz w:val="24"/>
          <w:szCs w:val="24"/>
          <w:lang w:bidi="he-IL"/>
        </w:rPr>
        <w:t>✓</w:t>
      </w:r>
      <w:r w:rsidRPr="008376FC">
        <w:rPr>
          <w:rFonts w:asciiTheme="majorHAnsi" w:eastAsia="Times New Roman" w:hAnsiTheme="majorHAnsi" w:cstheme="majorHAnsi"/>
          <w:b w:val="0"/>
          <w:bCs w:val="0"/>
          <w:sz w:val="24"/>
          <w:szCs w:val="24"/>
          <w:lang w:bidi="he-IL"/>
        </w:rPr>
        <w:t xml:space="preserve"> construcția sistemului de apeduct pe o lungime de 63,9 km;</w:t>
      </w:r>
    </w:p>
    <w:p w:rsidR="00756AE7" w:rsidRPr="008376FC" w:rsidRDefault="00756AE7" w:rsidP="00F61756">
      <w:pPr>
        <w:shd w:val="clear" w:color="auto" w:fill="FFFFFF"/>
        <w:spacing w:before="120" w:after="0" w:line="276" w:lineRule="auto"/>
        <w:ind w:firstLine="709"/>
        <w:jc w:val="both"/>
        <w:rPr>
          <w:rFonts w:asciiTheme="majorHAnsi" w:eastAsia="Times New Roman" w:hAnsiTheme="majorHAnsi" w:cstheme="majorHAnsi"/>
          <w:b w:val="0"/>
          <w:bCs w:val="0"/>
          <w:sz w:val="24"/>
          <w:szCs w:val="24"/>
          <w:lang w:bidi="he-IL"/>
        </w:rPr>
      </w:pPr>
      <w:r w:rsidRPr="008376FC">
        <w:rPr>
          <w:rFonts w:ascii="MS Gothic" w:eastAsia="MS Gothic" w:hAnsi="MS Gothic" w:cs="MS Gothic" w:hint="eastAsia"/>
          <w:b w:val="0"/>
          <w:bCs w:val="0"/>
          <w:sz w:val="24"/>
          <w:szCs w:val="24"/>
          <w:lang w:bidi="he-IL"/>
        </w:rPr>
        <w:t>✓</w:t>
      </w:r>
      <w:r w:rsidRPr="008376FC">
        <w:rPr>
          <w:rFonts w:asciiTheme="majorHAnsi" w:eastAsia="Times New Roman" w:hAnsiTheme="majorHAnsi" w:cstheme="majorHAnsi"/>
          <w:b w:val="0"/>
          <w:bCs w:val="0"/>
          <w:sz w:val="24"/>
          <w:szCs w:val="24"/>
          <w:lang w:bidi="he-IL"/>
        </w:rPr>
        <w:t xml:space="preserve"> extinderea sistemului de canalizare cu o lungime de 13,4 km.</w:t>
      </w:r>
    </w:p>
    <w:p w:rsidR="00756AE7" w:rsidRPr="008376FC" w:rsidRDefault="00756AE7"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bCs w:val="0"/>
          <w:sz w:val="24"/>
          <w:szCs w:val="24"/>
          <w:lang w:bidi="he-IL"/>
        </w:rPr>
        <w:t xml:space="preserve">În  condițiile modificărilor din anul 2022 asupra HG nr.476/2019, în baza </w:t>
      </w:r>
      <w:r w:rsidR="00D82A8E">
        <w:rPr>
          <w:rFonts w:asciiTheme="majorHAnsi" w:eastAsia="Times New Roman" w:hAnsiTheme="majorHAnsi" w:cstheme="majorHAnsi"/>
          <w:b w:val="0"/>
          <w:bCs w:val="0"/>
          <w:sz w:val="24"/>
          <w:szCs w:val="24"/>
          <w:lang w:bidi="he-IL"/>
        </w:rPr>
        <w:t>O</w:t>
      </w:r>
      <w:r w:rsidRPr="008376FC">
        <w:rPr>
          <w:rFonts w:asciiTheme="majorHAnsi" w:eastAsia="Times New Roman" w:hAnsiTheme="majorHAnsi" w:cstheme="majorHAnsi"/>
          <w:b w:val="0"/>
          <w:bCs w:val="0"/>
          <w:sz w:val="24"/>
          <w:szCs w:val="24"/>
          <w:lang w:bidi="he-IL"/>
        </w:rPr>
        <w:t>rdinului AIPA nr. 94 din 30.05.2022 de lansare a apelul</w:t>
      </w:r>
      <w:r w:rsidR="00D82A8E">
        <w:rPr>
          <w:rFonts w:asciiTheme="majorHAnsi" w:eastAsia="Times New Roman" w:hAnsiTheme="majorHAnsi" w:cstheme="majorHAnsi"/>
          <w:b w:val="0"/>
          <w:bCs w:val="0"/>
          <w:sz w:val="24"/>
          <w:szCs w:val="24"/>
          <w:lang w:bidi="he-IL"/>
        </w:rPr>
        <w:t>ui</w:t>
      </w:r>
      <w:r w:rsidRPr="008376FC">
        <w:rPr>
          <w:rFonts w:asciiTheme="majorHAnsi" w:eastAsia="Times New Roman" w:hAnsiTheme="majorHAnsi" w:cstheme="majorHAnsi"/>
          <w:b w:val="0"/>
          <w:bCs w:val="0"/>
          <w:sz w:val="24"/>
          <w:szCs w:val="24"/>
          <w:lang w:bidi="he-IL"/>
        </w:rPr>
        <w:t xml:space="preserve"> IV de depunere a dosarelor de solicitare a subvenției în avans pentru perioada 01.06.2022-23.08.2022, au fost depuse 2 dosare</w:t>
      </w:r>
      <w:r w:rsidRPr="008376FC">
        <w:rPr>
          <w:rStyle w:val="ab"/>
          <w:rFonts w:asciiTheme="majorHAnsi" w:eastAsia="Times New Roman" w:hAnsiTheme="majorHAnsi" w:cstheme="majorHAnsi"/>
          <w:b w:val="0"/>
          <w:bCs w:val="0"/>
          <w:sz w:val="24"/>
          <w:szCs w:val="24"/>
          <w:lang w:bidi="he-IL"/>
        </w:rPr>
        <w:footnoteReference w:id="67"/>
      </w:r>
      <w:r w:rsidRPr="008376FC">
        <w:rPr>
          <w:rFonts w:asciiTheme="majorHAnsi" w:eastAsia="Times New Roman" w:hAnsiTheme="majorHAnsi" w:cstheme="majorHAnsi"/>
          <w:b w:val="0"/>
          <w:bCs w:val="0"/>
          <w:sz w:val="24"/>
          <w:szCs w:val="24"/>
          <w:lang w:bidi="he-IL"/>
        </w:rPr>
        <w:t xml:space="preserve"> - pentru extinderea/reabilitarea/</w:t>
      </w:r>
      <w:r w:rsidR="00F1660F" w:rsidRPr="008376FC">
        <w:rPr>
          <w:rFonts w:asciiTheme="majorHAnsi" w:eastAsia="Times New Roman" w:hAnsiTheme="majorHAnsi" w:cstheme="majorHAnsi"/>
          <w:b w:val="0"/>
          <w:bCs w:val="0"/>
          <w:sz w:val="24"/>
          <w:szCs w:val="24"/>
          <w:lang w:bidi="he-IL"/>
        </w:rPr>
        <w:t xml:space="preserve"> </w:t>
      </w:r>
      <w:r w:rsidRPr="008376FC">
        <w:rPr>
          <w:rFonts w:asciiTheme="majorHAnsi" w:eastAsia="Times New Roman" w:hAnsiTheme="majorHAnsi" w:cstheme="majorHAnsi"/>
          <w:b w:val="0"/>
          <w:bCs w:val="0"/>
          <w:sz w:val="24"/>
          <w:szCs w:val="24"/>
          <w:lang w:bidi="he-IL"/>
        </w:rPr>
        <w:t>modernizarea sistemelor de alimentare cu apă, de epurare a apei şi de canalizare, destinate obiectivelor publice de interes local. Potrivit Procesului-verbal a</w:t>
      </w:r>
      <w:r w:rsidR="00D82A8E">
        <w:rPr>
          <w:rFonts w:asciiTheme="majorHAnsi" w:eastAsia="Times New Roman" w:hAnsiTheme="majorHAnsi" w:cstheme="majorHAnsi"/>
          <w:b w:val="0"/>
          <w:bCs w:val="0"/>
          <w:sz w:val="24"/>
          <w:szCs w:val="24"/>
          <w:lang w:bidi="he-IL"/>
        </w:rPr>
        <w:t>l</w:t>
      </w:r>
      <w:r w:rsidRPr="008376FC">
        <w:rPr>
          <w:rFonts w:asciiTheme="majorHAnsi" w:eastAsia="Times New Roman" w:hAnsiTheme="majorHAnsi" w:cstheme="majorHAnsi"/>
          <w:b w:val="0"/>
          <w:bCs w:val="0"/>
          <w:sz w:val="24"/>
          <w:szCs w:val="24"/>
          <w:lang w:bidi="he-IL"/>
        </w:rPr>
        <w:t xml:space="preserve"> Comisiei de evaluare</w:t>
      </w:r>
      <w:r w:rsidRPr="008376FC">
        <w:rPr>
          <w:rStyle w:val="ab"/>
          <w:rFonts w:asciiTheme="majorHAnsi" w:eastAsia="Times New Roman" w:hAnsiTheme="majorHAnsi" w:cstheme="majorHAnsi"/>
          <w:b w:val="0"/>
          <w:bCs w:val="0"/>
          <w:sz w:val="24"/>
          <w:szCs w:val="24"/>
          <w:lang w:bidi="he-IL"/>
        </w:rPr>
        <w:footnoteReference w:id="68"/>
      </w:r>
      <w:r w:rsidR="00D82A8E">
        <w:rPr>
          <w:rFonts w:asciiTheme="majorHAnsi" w:eastAsia="Times New Roman" w:hAnsiTheme="majorHAnsi" w:cstheme="majorHAnsi"/>
          <w:b w:val="0"/>
          <w:bCs w:val="0"/>
          <w:sz w:val="24"/>
          <w:szCs w:val="24"/>
          <w:lang w:bidi="he-IL"/>
        </w:rPr>
        <w:t>,</w:t>
      </w:r>
      <w:r w:rsidRPr="008376FC">
        <w:rPr>
          <w:rFonts w:asciiTheme="majorHAnsi" w:eastAsia="Times New Roman" w:hAnsiTheme="majorHAnsi" w:cstheme="majorHAnsi"/>
          <w:b w:val="0"/>
          <w:bCs w:val="0"/>
          <w:sz w:val="24"/>
          <w:szCs w:val="24"/>
          <w:lang w:bidi="he-IL"/>
        </w:rPr>
        <w:t xml:space="preserve"> aceste dosare au fost declarate neeligibile, conform actului normativ în vigoare.</w:t>
      </w:r>
    </w:p>
    <w:p w:rsidR="00756AE7" w:rsidRPr="008376FC" w:rsidRDefault="00756AE7" w:rsidP="00F61756">
      <w:pPr>
        <w:shd w:val="clear" w:color="auto" w:fill="FFFFFF"/>
        <w:spacing w:before="120" w:after="0" w:line="276" w:lineRule="auto"/>
        <w:ind w:firstLine="709"/>
        <w:jc w:val="both"/>
        <w:rPr>
          <w:rFonts w:asciiTheme="majorHAnsi" w:eastAsia="Times New Roman" w:hAnsiTheme="majorHAnsi" w:cstheme="majorHAnsi"/>
          <w:sz w:val="24"/>
          <w:szCs w:val="24"/>
          <w:lang w:bidi="he-IL"/>
        </w:rPr>
      </w:pPr>
      <w:r w:rsidRPr="008376FC">
        <w:rPr>
          <w:rFonts w:asciiTheme="majorHAnsi" w:eastAsia="Times New Roman" w:hAnsiTheme="majorHAnsi" w:cstheme="majorHAnsi"/>
          <w:sz w:val="24"/>
          <w:szCs w:val="24"/>
          <w:lang w:bidi="he-IL"/>
        </w:rPr>
        <w:t>Obligațiunea beneficiarilor de prezentare a Procesului-verbal de recepție finală la finalizarea implementării proiectului generează riscul de a pierde dreptul la perioada de garanție stabilită în contract.</w:t>
      </w:r>
    </w:p>
    <w:p w:rsidR="00D82A8E" w:rsidRDefault="00756AE7"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bCs w:val="0"/>
          <w:sz w:val="24"/>
          <w:szCs w:val="24"/>
          <w:lang w:bidi="he-IL"/>
        </w:rPr>
        <w:t>În condițiile în care beneficiarul de subvenții este obligat ca</w:t>
      </w:r>
      <w:r w:rsidR="00D82A8E">
        <w:rPr>
          <w:rFonts w:asciiTheme="majorHAnsi" w:eastAsia="Times New Roman" w:hAnsiTheme="majorHAnsi" w:cstheme="majorHAnsi"/>
          <w:b w:val="0"/>
          <w:bCs w:val="0"/>
          <w:sz w:val="24"/>
          <w:szCs w:val="24"/>
          <w:lang w:bidi="he-IL"/>
        </w:rPr>
        <w:t>,</w:t>
      </w:r>
      <w:r w:rsidRPr="008376FC">
        <w:rPr>
          <w:rFonts w:asciiTheme="majorHAnsi" w:eastAsia="Times New Roman" w:hAnsiTheme="majorHAnsi" w:cstheme="majorHAnsi"/>
          <w:b w:val="0"/>
          <w:bCs w:val="0"/>
          <w:sz w:val="24"/>
          <w:szCs w:val="24"/>
          <w:lang w:bidi="he-IL"/>
        </w:rPr>
        <w:t xml:space="preserve"> după finalizarea proiectului</w:t>
      </w:r>
      <w:r w:rsidR="00D82A8E">
        <w:rPr>
          <w:rFonts w:asciiTheme="majorHAnsi" w:eastAsia="Times New Roman" w:hAnsiTheme="majorHAnsi" w:cstheme="majorHAnsi"/>
          <w:b w:val="0"/>
          <w:bCs w:val="0"/>
          <w:sz w:val="24"/>
          <w:szCs w:val="24"/>
          <w:lang w:bidi="he-IL"/>
        </w:rPr>
        <w:t>,</w:t>
      </w:r>
      <w:r w:rsidRPr="008376FC">
        <w:rPr>
          <w:rFonts w:asciiTheme="majorHAnsi" w:eastAsia="Times New Roman" w:hAnsiTheme="majorHAnsi" w:cstheme="majorHAnsi"/>
          <w:b w:val="0"/>
          <w:bCs w:val="0"/>
          <w:sz w:val="24"/>
          <w:szCs w:val="24"/>
          <w:lang w:bidi="he-IL"/>
        </w:rPr>
        <w:t xml:space="preserve"> să prezinte cu documentația financiară necesară și procesul-verbal de recepție finală</w:t>
      </w:r>
      <w:r w:rsidRPr="008376FC">
        <w:rPr>
          <w:rStyle w:val="ab"/>
          <w:rFonts w:asciiTheme="majorHAnsi" w:eastAsia="Times New Roman" w:hAnsiTheme="majorHAnsi" w:cstheme="majorHAnsi"/>
          <w:b w:val="0"/>
          <w:bCs w:val="0"/>
          <w:sz w:val="24"/>
          <w:szCs w:val="24"/>
          <w:lang w:bidi="he-IL"/>
        </w:rPr>
        <w:footnoteReference w:id="69"/>
      </w:r>
      <w:r w:rsidRPr="008376FC">
        <w:rPr>
          <w:rFonts w:asciiTheme="majorHAnsi" w:eastAsia="Times New Roman" w:hAnsiTheme="majorHAnsi" w:cstheme="majorHAnsi"/>
          <w:b w:val="0"/>
          <w:bCs w:val="0"/>
          <w:sz w:val="24"/>
          <w:szCs w:val="24"/>
          <w:lang w:bidi="he-IL"/>
        </w:rPr>
        <w:t xml:space="preserve">, </w:t>
      </w:r>
      <w:r w:rsidR="00D82A8E">
        <w:rPr>
          <w:rFonts w:asciiTheme="majorHAnsi" w:eastAsia="Times New Roman" w:hAnsiTheme="majorHAnsi" w:cstheme="majorHAnsi"/>
          <w:b w:val="0"/>
          <w:bCs w:val="0"/>
          <w:sz w:val="24"/>
          <w:szCs w:val="24"/>
          <w:lang w:bidi="he-IL"/>
        </w:rPr>
        <w:t>ca</w:t>
      </w:r>
      <w:r w:rsidRPr="008376FC">
        <w:rPr>
          <w:rFonts w:asciiTheme="majorHAnsi" w:eastAsia="Times New Roman" w:hAnsiTheme="majorHAnsi" w:cstheme="majorHAnsi"/>
          <w:b w:val="0"/>
          <w:bCs w:val="0"/>
          <w:sz w:val="24"/>
          <w:szCs w:val="24"/>
          <w:lang w:bidi="he-IL"/>
        </w:rPr>
        <w:t xml:space="preserve"> rezultat</w:t>
      </w:r>
      <w:r w:rsidR="00D82A8E">
        <w:rPr>
          <w:rFonts w:asciiTheme="majorHAnsi" w:eastAsia="Times New Roman" w:hAnsiTheme="majorHAnsi" w:cstheme="majorHAnsi"/>
          <w:b w:val="0"/>
          <w:bCs w:val="0"/>
          <w:sz w:val="24"/>
          <w:szCs w:val="24"/>
          <w:lang w:bidi="he-IL"/>
        </w:rPr>
        <w:t xml:space="preserve"> a</w:t>
      </w:r>
      <w:r w:rsidRPr="008376FC">
        <w:rPr>
          <w:rFonts w:asciiTheme="majorHAnsi" w:eastAsia="Times New Roman" w:hAnsiTheme="majorHAnsi" w:cstheme="majorHAnsi"/>
          <w:b w:val="0"/>
          <w:bCs w:val="0"/>
          <w:sz w:val="24"/>
          <w:szCs w:val="24"/>
          <w:lang w:bidi="he-IL"/>
        </w:rPr>
        <w:t xml:space="preserve">l verificării dosarelor depuse pentru obținerea subvențiilor în avans, auditul atestă întocmirea Proceselor-verbale de recepție finală contrar prevederilor cadrului normativ în vigoare, nefiind respectat termenul perioadei de garanție. În baza pct. 36 din </w:t>
      </w:r>
      <w:r w:rsidR="00D82A8E">
        <w:rPr>
          <w:rFonts w:asciiTheme="majorHAnsi" w:eastAsia="Times New Roman" w:hAnsiTheme="majorHAnsi" w:cstheme="majorHAnsi"/>
          <w:b w:val="0"/>
          <w:bCs w:val="0"/>
          <w:sz w:val="24"/>
          <w:szCs w:val="24"/>
          <w:lang w:bidi="he-IL"/>
        </w:rPr>
        <w:t>A</w:t>
      </w:r>
      <w:r w:rsidRPr="008376FC">
        <w:rPr>
          <w:rFonts w:asciiTheme="majorHAnsi" w:eastAsia="Times New Roman" w:hAnsiTheme="majorHAnsi" w:cstheme="majorHAnsi"/>
          <w:b w:val="0"/>
          <w:bCs w:val="0"/>
          <w:sz w:val="24"/>
          <w:szCs w:val="24"/>
          <w:lang w:bidi="he-IL"/>
        </w:rPr>
        <w:t>nexa nr.1 la HG nr.285/1996</w:t>
      </w:r>
      <w:r w:rsidRPr="008376FC">
        <w:rPr>
          <w:rStyle w:val="ab"/>
          <w:rFonts w:asciiTheme="majorHAnsi" w:eastAsia="Times New Roman" w:hAnsiTheme="majorHAnsi" w:cstheme="majorHAnsi"/>
          <w:b w:val="0"/>
          <w:bCs w:val="0"/>
          <w:sz w:val="24"/>
          <w:szCs w:val="24"/>
          <w:lang w:bidi="he-IL"/>
        </w:rPr>
        <w:footnoteReference w:id="70"/>
      </w:r>
      <w:r w:rsidR="00D82A8E">
        <w:rPr>
          <w:rFonts w:asciiTheme="majorHAnsi" w:eastAsia="Times New Roman" w:hAnsiTheme="majorHAnsi" w:cstheme="majorHAnsi"/>
          <w:b w:val="0"/>
          <w:bCs w:val="0"/>
          <w:sz w:val="24"/>
          <w:szCs w:val="24"/>
          <w:lang w:bidi="he-IL"/>
        </w:rPr>
        <w:t>,</w:t>
      </w:r>
      <w:r w:rsidRPr="008376FC">
        <w:rPr>
          <w:rFonts w:asciiTheme="majorHAnsi" w:eastAsia="Times New Roman" w:hAnsiTheme="majorHAnsi" w:cstheme="majorHAnsi"/>
          <w:b w:val="0"/>
          <w:bCs w:val="0"/>
          <w:sz w:val="24"/>
          <w:szCs w:val="24"/>
          <w:lang w:bidi="he-IL"/>
        </w:rPr>
        <w:t xml:space="preserve"> desfășurarea recepției finale este prevăzută după expirarea perioadei de garanție indicat</w:t>
      </w:r>
      <w:r w:rsidR="00D82A8E">
        <w:rPr>
          <w:rFonts w:asciiTheme="majorHAnsi" w:eastAsia="Times New Roman" w:hAnsiTheme="majorHAnsi" w:cstheme="majorHAnsi"/>
          <w:b w:val="0"/>
          <w:bCs w:val="0"/>
          <w:sz w:val="24"/>
          <w:szCs w:val="24"/>
          <w:lang w:bidi="he-IL"/>
        </w:rPr>
        <w:t>e</w:t>
      </w:r>
      <w:r w:rsidRPr="008376FC">
        <w:rPr>
          <w:rFonts w:asciiTheme="majorHAnsi" w:eastAsia="Times New Roman" w:hAnsiTheme="majorHAnsi" w:cstheme="majorHAnsi"/>
          <w:b w:val="0"/>
          <w:bCs w:val="0"/>
          <w:sz w:val="24"/>
          <w:szCs w:val="24"/>
          <w:lang w:bidi="he-IL"/>
        </w:rPr>
        <w:t xml:space="preserve"> în contract. Totodată, în cazul a 10 proiecte a căror valoare depășește 2,0 mil</w:t>
      </w:r>
      <w:r w:rsidR="00D82A8E">
        <w:rPr>
          <w:rFonts w:asciiTheme="majorHAnsi" w:eastAsia="Times New Roman" w:hAnsiTheme="majorHAnsi" w:cstheme="majorHAnsi"/>
          <w:b w:val="0"/>
          <w:bCs w:val="0"/>
          <w:sz w:val="24"/>
          <w:szCs w:val="24"/>
          <w:lang w:bidi="he-IL"/>
        </w:rPr>
        <w:t>.</w:t>
      </w:r>
      <w:r w:rsidRPr="008376FC">
        <w:rPr>
          <w:rFonts w:asciiTheme="majorHAnsi" w:eastAsia="Times New Roman" w:hAnsiTheme="majorHAnsi" w:cstheme="majorHAnsi"/>
          <w:b w:val="0"/>
          <w:bCs w:val="0"/>
          <w:sz w:val="24"/>
          <w:szCs w:val="24"/>
          <w:lang w:bidi="he-IL"/>
        </w:rPr>
        <w:t>lei, a fost constituită garanția de bună execuție</w:t>
      </w:r>
      <w:r w:rsidR="00D82A8E">
        <w:rPr>
          <w:rFonts w:asciiTheme="majorHAnsi" w:eastAsia="Times New Roman" w:hAnsiTheme="majorHAnsi" w:cstheme="majorHAnsi"/>
          <w:b w:val="0"/>
          <w:bCs w:val="0"/>
          <w:sz w:val="24"/>
          <w:szCs w:val="24"/>
          <w:lang w:bidi="he-IL"/>
        </w:rPr>
        <w:t>,</w:t>
      </w:r>
      <w:r w:rsidRPr="008376FC">
        <w:rPr>
          <w:rFonts w:asciiTheme="majorHAnsi" w:eastAsia="Times New Roman" w:hAnsiTheme="majorHAnsi" w:cstheme="majorHAnsi"/>
          <w:b w:val="0"/>
          <w:bCs w:val="0"/>
          <w:sz w:val="24"/>
          <w:szCs w:val="24"/>
          <w:lang w:bidi="he-IL"/>
        </w:rPr>
        <w:t xml:space="preserve"> în valoare de 5% din valoarea contractului din partea unei bănci sau ca reținere succesivă a 10% din valoare</w:t>
      </w:r>
      <w:r w:rsidR="00D82A8E">
        <w:rPr>
          <w:rFonts w:asciiTheme="majorHAnsi" w:eastAsia="Times New Roman" w:hAnsiTheme="majorHAnsi" w:cstheme="majorHAnsi"/>
          <w:b w:val="0"/>
          <w:bCs w:val="0"/>
          <w:sz w:val="24"/>
          <w:szCs w:val="24"/>
          <w:lang w:bidi="he-IL"/>
        </w:rPr>
        <w:t>a</w:t>
      </w:r>
      <w:r w:rsidRPr="008376FC">
        <w:rPr>
          <w:rFonts w:asciiTheme="majorHAnsi" w:eastAsia="Times New Roman" w:hAnsiTheme="majorHAnsi" w:cstheme="majorHAnsi"/>
          <w:b w:val="0"/>
          <w:bCs w:val="0"/>
          <w:sz w:val="24"/>
          <w:szCs w:val="24"/>
          <w:lang w:bidi="he-IL"/>
        </w:rPr>
        <w:t xml:space="preserve"> contractului. </w:t>
      </w:r>
      <w:r w:rsidR="00D82A8E">
        <w:rPr>
          <w:rFonts w:asciiTheme="majorHAnsi" w:eastAsia="Times New Roman" w:hAnsiTheme="majorHAnsi" w:cstheme="majorHAnsi"/>
          <w:b w:val="0"/>
          <w:bCs w:val="0"/>
          <w:sz w:val="24"/>
          <w:szCs w:val="24"/>
          <w:lang w:bidi="he-IL"/>
        </w:rPr>
        <w:t>S</w:t>
      </w:r>
      <w:r w:rsidRPr="008376FC">
        <w:rPr>
          <w:rFonts w:asciiTheme="majorHAnsi" w:eastAsia="Times New Roman" w:hAnsiTheme="majorHAnsi" w:cstheme="majorHAnsi"/>
          <w:b w:val="0"/>
          <w:bCs w:val="0"/>
          <w:sz w:val="24"/>
          <w:szCs w:val="24"/>
          <w:lang w:bidi="he-IL"/>
        </w:rPr>
        <w:t xml:space="preserve">copul garanției de bună execuție este acela de a asigura autoritatea contractantă că operatorul economic desemnat câștigător și devenit contractant își va îndeplini obligațiile contractuale pe întreaga durată a contractului. </w:t>
      </w:r>
    </w:p>
    <w:p w:rsidR="00756AE7" w:rsidRPr="008376FC" w:rsidRDefault="00756AE7"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bCs w:val="0"/>
          <w:sz w:val="24"/>
          <w:szCs w:val="24"/>
          <w:lang w:bidi="he-IL"/>
        </w:rPr>
        <w:t>Întocmirea procesului-verbal de recepție finală a lucrărilor anterior expirării perioadei de garanție, duce la restituirea garanției de bună execuție, ceea ce generează riscul de nerecuperare a eventualelor prejudicii cauzate de contractant prin neîndeplinirea culpabilă a obligațiilor asumate prin contractul de achiziție publică.</w:t>
      </w:r>
    </w:p>
    <w:p w:rsidR="00756AE7" w:rsidRPr="008376FC" w:rsidRDefault="00756AE7" w:rsidP="00F61756">
      <w:pPr>
        <w:shd w:val="clear" w:color="auto" w:fill="FFFFFF"/>
        <w:spacing w:before="120" w:after="0" w:line="276" w:lineRule="auto"/>
        <w:jc w:val="both"/>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b w:val="0"/>
          <w:bCs w:val="0"/>
          <w:sz w:val="24"/>
          <w:szCs w:val="24"/>
          <w:lang w:bidi="he-IL"/>
        </w:rPr>
        <w:t xml:space="preserve">La acest subiect este de menționat </w:t>
      </w:r>
      <w:r w:rsidR="00C743C7">
        <w:rPr>
          <w:rFonts w:asciiTheme="majorHAnsi" w:eastAsia="Times New Roman" w:hAnsiTheme="majorHAnsi" w:cstheme="majorHAnsi"/>
          <w:b w:val="0"/>
          <w:bCs w:val="0"/>
          <w:sz w:val="24"/>
          <w:szCs w:val="24"/>
          <w:lang w:bidi="he-IL"/>
        </w:rPr>
        <w:t xml:space="preserve">și </w:t>
      </w:r>
      <w:r w:rsidRPr="008376FC">
        <w:rPr>
          <w:rFonts w:asciiTheme="majorHAnsi" w:eastAsia="Times New Roman" w:hAnsiTheme="majorHAnsi" w:cstheme="majorHAnsi"/>
          <w:b w:val="0"/>
          <w:bCs w:val="0"/>
          <w:sz w:val="24"/>
          <w:szCs w:val="24"/>
          <w:lang w:bidi="he-IL"/>
        </w:rPr>
        <w:t>faptul stabilirii într-un contract a diferitor condiții de restituire a garanției de bună execuție. În cazul a 5 contracte</w:t>
      </w:r>
      <w:r w:rsidRPr="008376FC">
        <w:rPr>
          <w:rStyle w:val="ab"/>
          <w:rFonts w:asciiTheme="majorHAnsi" w:eastAsia="Times New Roman" w:hAnsiTheme="majorHAnsi" w:cstheme="majorHAnsi"/>
          <w:b w:val="0"/>
          <w:bCs w:val="0"/>
          <w:sz w:val="24"/>
          <w:szCs w:val="24"/>
          <w:lang w:bidi="he-IL"/>
        </w:rPr>
        <w:footnoteReference w:id="71"/>
      </w:r>
      <w:r w:rsidRPr="008376FC">
        <w:rPr>
          <w:rFonts w:asciiTheme="majorHAnsi" w:eastAsia="Times New Roman" w:hAnsiTheme="majorHAnsi" w:cstheme="majorHAnsi"/>
          <w:b w:val="0"/>
          <w:bCs w:val="0"/>
          <w:sz w:val="24"/>
          <w:szCs w:val="24"/>
          <w:lang w:bidi="he-IL"/>
        </w:rPr>
        <w:t>, nu au fost revizuite clauzele contractuale, prin care garanția de bună execuție poate fi restituită atât după semnarea procesului-verbal de recepție la terminarea lucrărilor, cât și după semnarea procesului-verbal de recepție finală.</w:t>
      </w:r>
    </w:p>
    <w:p w:rsidR="00756AE7" w:rsidRPr="008376FC" w:rsidRDefault="00756AE7" w:rsidP="00F61756">
      <w:pPr>
        <w:pStyle w:val="a3"/>
        <w:tabs>
          <w:tab w:val="left" w:pos="851"/>
        </w:tabs>
        <w:spacing w:line="276" w:lineRule="auto"/>
        <w:ind w:left="0" w:firstLine="709"/>
        <w:jc w:val="both"/>
        <w:rPr>
          <w:rFonts w:asciiTheme="majorHAnsi" w:eastAsia="Calibri" w:hAnsiTheme="majorHAnsi"/>
          <w:b/>
          <w:sz w:val="28"/>
          <w:szCs w:val="28"/>
          <w:lang w:val="ro-RO"/>
        </w:rPr>
      </w:pPr>
    </w:p>
    <w:p w:rsidR="007055A5" w:rsidRPr="008376FC" w:rsidRDefault="00F638F7" w:rsidP="00F61756">
      <w:pPr>
        <w:pStyle w:val="a3"/>
        <w:numPr>
          <w:ilvl w:val="1"/>
          <w:numId w:val="38"/>
        </w:numPr>
        <w:spacing w:line="276" w:lineRule="auto"/>
        <w:ind w:left="0" w:firstLine="0"/>
        <w:jc w:val="both"/>
        <w:outlineLvl w:val="0"/>
        <w:rPr>
          <w:rFonts w:asciiTheme="majorHAnsi" w:eastAsia="Calibri" w:hAnsiTheme="majorHAnsi"/>
          <w:b/>
          <w:color w:val="0070C0"/>
          <w:lang w:val="ro-RO"/>
        </w:rPr>
      </w:pPr>
      <w:bookmarkStart w:id="34" w:name="_Toc132042786"/>
      <w:bookmarkStart w:id="35" w:name="_Toc132320209"/>
      <w:r w:rsidRPr="008376FC">
        <w:rPr>
          <w:rFonts w:asciiTheme="majorHAnsi" w:eastAsia="Calibri" w:hAnsiTheme="majorHAnsi"/>
          <w:b/>
          <w:color w:val="0070C0"/>
          <w:lang w:val="ro-RO"/>
        </w:rPr>
        <w:t>E</w:t>
      </w:r>
      <w:r w:rsidR="00241260" w:rsidRPr="008376FC">
        <w:rPr>
          <w:rFonts w:asciiTheme="majorHAnsi" w:eastAsia="Calibri" w:hAnsiTheme="majorHAnsi"/>
          <w:b/>
          <w:color w:val="0070C0"/>
          <w:lang w:val="ro-RO"/>
        </w:rPr>
        <w:t>xistă un sistem centralizat de date care să permită evaluarea și monitorizarea situației în domeniul aprovizionării cu apă și sanitație</w:t>
      </w:r>
      <w:r w:rsidR="00C743C7">
        <w:rPr>
          <w:rFonts w:asciiTheme="majorHAnsi" w:eastAsia="Calibri" w:hAnsiTheme="majorHAnsi"/>
          <w:b/>
          <w:color w:val="0070C0"/>
          <w:lang w:val="ro-RO"/>
        </w:rPr>
        <w:t>i</w:t>
      </w:r>
      <w:r w:rsidR="00241260" w:rsidRPr="008376FC">
        <w:rPr>
          <w:rFonts w:asciiTheme="majorHAnsi" w:eastAsia="Calibri" w:hAnsiTheme="majorHAnsi"/>
          <w:b/>
          <w:color w:val="0070C0"/>
          <w:lang w:val="ro-RO"/>
        </w:rPr>
        <w:t xml:space="preserve"> a populației și </w:t>
      </w:r>
      <w:r w:rsidR="00F64216">
        <w:rPr>
          <w:rFonts w:asciiTheme="majorHAnsi" w:eastAsia="Calibri" w:hAnsiTheme="majorHAnsi"/>
          <w:b/>
          <w:color w:val="0070C0"/>
          <w:lang w:val="ro-RO"/>
        </w:rPr>
        <w:t xml:space="preserve">a </w:t>
      </w:r>
      <w:r w:rsidR="00241260" w:rsidRPr="008376FC">
        <w:rPr>
          <w:rFonts w:asciiTheme="majorHAnsi" w:eastAsia="Calibri" w:hAnsiTheme="majorHAnsi"/>
          <w:b/>
          <w:color w:val="0070C0"/>
          <w:lang w:val="ro-RO"/>
        </w:rPr>
        <w:t>localităților din republică</w:t>
      </w:r>
      <w:r w:rsidRPr="008376FC">
        <w:rPr>
          <w:rFonts w:asciiTheme="majorHAnsi" w:eastAsia="Calibri" w:hAnsiTheme="majorHAnsi"/>
          <w:b/>
          <w:color w:val="0070C0"/>
          <w:lang w:val="ro-RO"/>
        </w:rPr>
        <w:t>?</w:t>
      </w:r>
      <w:bookmarkEnd w:id="34"/>
      <w:bookmarkEnd w:id="35"/>
    </w:p>
    <w:tbl>
      <w:tblPr>
        <w:tblStyle w:val="af2"/>
        <w:tblW w:w="0" w:type="auto"/>
        <w:shd w:val="clear" w:color="auto" w:fill="BDD6EE" w:themeFill="accent1" w:themeFillTint="66"/>
        <w:tblLook w:val="04A0" w:firstRow="1" w:lastRow="0" w:firstColumn="1" w:lastColumn="0" w:noHBand="0" w:noVBand="1"/>
      </w:tblPr>
      <w:tblGrid>
        <w:gridCol w:w="9678"/>
      </w:tblGrid>
      <w:tr w:rsidR="001B537C" w:rsidRPr="008376FC" w:rsidTr="00466160">
        <w:tc>
          <w:tcPr>
            <w:tcW w:w="10103" w:type="dxa"/>
            <w:shd w:val="clear" w:color="auto" w:fill="BDD6EE" w:themeFill="accent1" w:themeFillTint="66"/>
          </w:tcPr>
          <w:p w:rsidR="001B537C" w:rsidRPr="008376FC" w:rsidRDefault="000056B2" w:rsidP="00F61756">
            <w:pPr>
              <w:spacing w:after="160" w:line="276" w:lineRule="auto"/>
              <w:jc w:val="both"/>
              <w:rPr>
                <w:rFonts w:asciiTheme="majorHAnsi" w:eastAsia="Calibri" w:hAnsiTheme="majorHAnsi" w:cstheme="majorHAnsi"/>
                <w:b w:val="0"/>
                <w:i/>
                <w:iCs/>
                <w:sz w:val="24"/>
                <w:szCs w:val="24"/>
              </w:rPr>
            </w:pPr>
            <w:r w:rsidRPr="008376FC">
              <w:rPr>
                <w:rFonts w:asciiTheme="majorHAnsi" w:eastAsia="Calibri" w:hAnsiTheme="majorHAnsi" w:cstheme="majorHAnsi"/>
                <w:b w:val="0"/>
                <w:i/>
                <w:iCs/>
                <w:sz w:val="24"/>
                <w:szCs w:val="24"/>
              </w:rPr>
              <w:t>Până în prezent în țară nu este stabilit un organ responsabil de elaborarea și aprobarea indicatorilor aferenți domeniului de alimentare cu apă și sanitație</w:t>
            </w:r>
            <w:r w:rsidR="00C743C7">
              <w:rPr>
                <w:rFonts w:asciiTheme="majorHAnsi" w:eastAsia="Calibri" w:hAnsiTheme="majorHAnsi" w:cstheme="majorHAnsi"/>
                <w:b w:val="0"/>
                <w:i/>
                <w:iCs/>
                <w:sz w:val="24"/>
                <w:szCs w:val="24"/>
              </w:rPr>
              <w:t>i,</w:t>
            </w:r>
            <w:r w:rsidRPr="008376FC">
              <w:rPr>
                <w:rFonts w:asciiTheme="majorHAnsi" w:eastAsia="Calibri" w:hAnsiTheme="majorHAnsi" w:cstheme="majorHAnsi"/>
                <w:b w:val="0"/>
                <w:i/>
                <w:iCs/>
                <w:sz w:val="24"/>
                <w:szCs w:val="24"/>
              </w:rPr>
              <w:t xml:space="preserve"> care să fie  monitorizați și agregaţi, pentru a </w:t>
            </w:r>
            <w:r w:rsidR="00902DA1" w:rsidRPr="008376FC">
              <w:rPr>
                <w:rFonts w:asciiTheme="majorHAnsi" w:eastAsia="Calibri" w:hAnsiTheme="majorHAnsi" w:cstheme="majorHAnsi"/>
                <w:b w:val="0"/>
                <w:i/>
                <w:iCs/>
                <w:sz w:val="24"/>
                <w:szCs w:val="24"/>
              </w:rPr>
              <w:t>prezenta</w:t>
            </w:r>
            <w:r w:rsidRPr="008376FC">
              <w:rPr>
                <w:rFonts w:asciiTheme="majorHAnsi" w:eastAsia="Calibri" w:hAnsiTheme="majorHAnsi" w:cstheme="majorHAnsi"/>
                <w:b w:val="0"/>
                <w:i/>
                <w:iCs/>
                <w:sz w:val="24"/>
                <w:szCs w:val="24"/>
              </w:rPr>
              <w:t xml:space="preserve"> situația reală în domeniu și a putea fi utilizată de părţile interesate. Actualmente, o parte din indicatori sunt agregați/generalizați de BNS, o parte </w:t>
            </w:r>
            <w:r w:rsidR="00C743C7">
              <w:rPr>
                <w:rFonts w:asciiTheme="majorHAnsi" w:eastAsia="Calibri" w:hAnsiTheme="majorHAnsi" w:cstheme="majorHAnsi"/>
                <w:b w:val="0"/>
                <w:i/>
                <w:iCs/>
                <w:sz w:val="24"/>
                <w:szCs w:val="24"/>
              </w:rPr>
              <w:t xml:space="preserve">– </w:t>
            </w:r>
            <w:r w:rsidRPr="008376FC">
              <w:rPr>
                <w:rFonts w:asciiTheme="majorHAnsi" w:eastAsia="Calibri" w:hAnsiTheme="majorHAnsi" w:cstheme="majorHAnsi"/>
                <w:b w:val="0"/>
                <w:i/>
                <w:iCs/>
                <w:sz w:val="24"/>
                <w:szCs w:val="24"/>
              </w:rPr>
              <w:t>de IPM</w:t>
            </w:r>
            <w:r w:rsidR="00C743C7">
              <w:rPr>
                <w:rFonts w:asciiTheme="majorHAnsi" w:eastAsia="Calibri" w:hAnsiTheme="majorHAnsi" w:cstheme="majorHAnsi"/>
                <w:b w:val="0"/>
                <w:i/>
                <w:iCs/>
                <w:sz w:val="24"/>
                <w:szCs w:val="24"/>
              </w:rPr>
              <w:t>,</w:t>
            </w:r>
            <w:r w:rsidRPr="008376FC">
              <w:rPr>
                <w:rFonts w:asciiTheme="majorHAnsi" w:eastAsia="Calibri" w:hAnsiTheme="majorHAnsi" w:cstheme="majorHAnsi"/>
                <w:b w:val="0"/>
                <w:i/>
                <w:iCs/>
                <w:sz w:val="24"/>
                <w:szCs w:val="24"/>
              </w:rPr>
              <w:t xml:space="preserve"> și o</w:t>
            </w:r>
            <w:r w:rsidR="00902DA1" w:rsidRPr="008376FC">
              <w:rPr>
                <w:rFonts w:asciiTheme="majorHAnsi" w:eastAsia="Calibri" w:hAnsiTheme="majorHAnsi" w:cstheme="majorHAnsi"/>
                <w:b w:val="0"/>
                <w:i/>
                <w:iCs/>
                <w:sz w:val="24"/>
                <w:szCs w:val="24"/>
              </w:rPr>
              <w:t xml:space="preserve"> parte </w:t>
            </w:r>
            <w:r w:rsidR="00C743C7">
              <w:rPr>
                <w:rFonts w:asciiTheme="majorHAnsi" w:eastAsia="Calibri" w:hAnsiTheme="majorHAnsi" w:cstheme="majorHAnsi"/>
                <w:b w:val="0"/>
                <w:i/>
                <w:iCs/>
                <w:sz w:val="24"/>
                <w:szCs w:val="24"/>
              </w:rPr>
              <w:t xml:space="preserve">– </w:t>
            </w:r>
            <w:r w:rsidR="00902DA1" w:rsidRPr="008376FC">
              <w:rPr>
                <w:rFonts w:asciiTheme="majorHAnsi" w:eastAsia="Calibri" w:hAnsiTheme="majorHAnsi" w:cstheme="majorHAnsi"/>
                <w:b w:val="0"/>
                <w:i/>
                <w:iCs/>
                <w:sz w:val="24"/>
                <w:szCs w:val="24"/>
              </w:rPr>
              <w:t>de ANRE, dar nicio sursă</w:t>
            </w:r>
            <w:r w:rsidRPr="008376FC">
              <w:rPr>
                <w:rFonts w:asciiTheme="majorHAnsi" w:eastAsia="Calibri" w:hAnsiTheme="majorHAnsi" w:cstheme="majorHAnsi"/>
                <w:b w:val="0"/>
                <w:i/>
                <w:iCs/>
                <w:sz w:val="24"/>
                <w:szCs w:val="24"/>
              </w:rPr>
              <w:t xml:space="preserve"> de date </w:t>
            </w:r>
            <w:r w:rsidR="00A621A1" w:rsidRPr="008376FC">
              <w:rPr>
                <w:rFonts w:asciiTheme="majorHAnsi" w:eastAsia="Calibri" w:hAnsiTheme="majorHAnsi" w:cstheme="majorHAnsi"/>
                <w:b w:val="0"/>
                <w:i/>
                <w:iCs/>
                <w:sz w:val="24"/>
                <w:szCs w:val="24"/>
              </w:rPr>
              <w:t>nu relevă</w:t>
            </w:r>
            <w:r w:rsidR="00902DA1" w:rsidRPr="008376FC">
              <w:rPr>
                <w:rFonts w:asciiTheme="majorHAnsi" w:eastAsia="Calibri" w:hAnsiTheme="majorHAnsi" w:cstheme="majorHAnsi"/>
                <w:b w:val="0"/>
                <w:i/>
                <w:iCs/>
                <w:sz w:val="24"/>
                <w:szCs w:val="24"/>
              </w:rPr>
              <w:t xml:space="preserve"> situația reală</w:t>
            </w:r>
            <w:r w:rsidRPr="008376FC">
              <w:rPr>
                <w:rFonts w:asciiTheme="majorHAnsi" w:eastAsia="Calibri" w:hAnsiTheme="majorHAnsi" w:cstheme="majorHAnsi"/>
                <w:b w:val="0"/>
                <w:i/>
                <w:iCs/>
                <w:sz w:val="24"/>
                <w:szCs w:val="24"/>
              </w:rPr>
              <w:t xml:space="preserve">. </w:t>
            </w:r>
            <w:r w:rsidR="00902DA1" w:rsidRPr="008376FC">
              <w:rPr>
                <w:rFonts w:asciiTheme="majorHAnsi" w:eastAsia="Calibri" w:hAnsiTheme="majorHAnsi" w:cstheme="majorHAnsi"/>
                <w:b w:val="0"/>
                <w:i/>
                <w:iCs/>
                <w:sz w:val="24"/>
                <w:szCs w:val="24"/>
              </w:rPr>
              <w:t>Un alt factor care contribuie la neasigurarea plenitudinii datelor</w:t>
            </w:r>
            <w:r w:rsidR="00371EED" w:rsidRPr="008376FC">
              <w:rPr>
                <w:rFonts w:asciiTheme="majorHAnsi" w:eastAsia="Calibri" w:hAnsiTheme="majorHAnsi" w:cstheme="majorHAnsi"/>
                <w:b w:val="0"/>
                <w:i/>
                <w:iCs/>
                <w:sz w:val="24"/>
                <w:szCs w:val="24"/>
              </w:rPr>
              <w:t xml:space="preserve"> pentru</w:t>
            </w:r>
            <w:r w:rsidR="00902DA1" w:rsidRPr="008376FC">
              <w:rPr>
                <w:rFonts w:asciiTheme="majorHAnsi" w:eastAsia="Calibri" w:hAnsiTheme="majorHAnsi" w:cstheme="majorHAnsi"/>
                <w:b w:val="0"/>
                <w:i/>
                <w:iCs/>
                <w:sz w:val="24"/>
                <w:szCs w:val="24"/>
              </w:rPr>
              <w:t xml:space="preserve"> sector este</w:t>
            </w:r>
            <w:r w:rsidR="00FA0B5A" w:rsidRPr="008376FC">
              <w:rPr>
                <w:rFonts w:asciiTheme="majorHAnsi" w:eastAsia="Calibri" w:hAnsiTheme="majorHAnsi" w:cstheme="majorHAnsi"/>
                <w:b w:val="0"/>
                <w:i/>
                <w:iCs/>
                <w:sz w:val="24"/>
                <w:szCs w:val="24"/>
              </w:rPr>
              <w:t xml:space="preserve"> şi</w:t>
            </w:r>
            <w:r w:rsidR="00902DA1" w:rsidRPr="008376FC">
              <w:rPr>
                <w:rFonts w:asciiTheme="majorHAnsi" w:eastAsia="Calibri" w:hAnsiTheme="majorHAnsi" w:cstheme="majorHAnsi"/>
                <w:b w:val="0"/>
                <w:i/>
                <w:iCs/>
                <w:sz w:val="24"/>
                <w:szCs w:val="24"/>
              </w:rPr>
              <w:t xml:space="preserve"> </w:t>
            </w:r>
            <w:r w:rsidR="00D11495" w:rsidRPr="008376FC">
              <w:rPr>
                <w:rFonts w:asciiTheme="majorHAnsi" w:eastAsia="Calibri" w:hAnsiTheme="majorHAnsi" w:cstheme="majorHAnsi"/>
                <w:b w:val="0"/>
                <w:i/>
                <w:iCs/>
                <w:sz w:val="24"/>
                <w:szCs w:val="24"/>
              </w:rPr>
              <w:t>tergiversarea procesului de elaborare a SIA „Registrul electronic a</w:t>
            </w:r>
            <w:r w:rsidR="00C743C7">
              <w:rPr>
                <w:rFonts w:asciiTheme="majorHAnsi" w:eastAsia="Calibri" w:hAnsiTheme="majorHAnsi" w:cstheme="majorHAnsi"/>
                <w:b w:val="0"/>
                <w:i/>
                <w:iCs/>
                <w:sz w:val="24"/>
                <w:szCs w:val="24"/>
              </w:rPr>
              <w:t>l</w:t>
            </w:r>
            <w:r w:rsidR="00D11495" w:rsidRPr="008376FC">
              <w:rPr>
                <w:rFonts w:asciiTheme="majorHAnsi" w:eastAsia="Calibri" w:hAnsiTheme="majorHAnsi" w:cstheme="majorHAnsi"/>
                <w:b w:val="0"/>
                <w:i/>
                <w:iCs/>
                <w:sz w:val="24"/>
                <w:szCs w:val="24"/>
              </w:rPr>
              <w:t xml:space="preserve"> obiectelor de infrastructură tehnico-edilitară”</w:t>
            </w:r>
            <w:r w:rsidR="00902DA1" w:rsidRPr="008376FC">
              <w:rPr>
                <w:rFonts w:asciiTheme="majorHAnsi" w:eastAsia="Calibri" w:hAnsiTheme="majorHAnsi" w:cstheme="majorHAnsi"/>
                <w:b w:val="0"/>
                <w:i/>
                <w:iCs/>
                <w:sz w:val="24"/>
                <w:szCs w:val="24"/>
              </w:rPr>
              <w:t>.</w:t>
            </w:r>
          </w:p>
        </w:tc>
      </w:tr>
    </w:tbl>
    <w:p w:rsidR="00BE49FB" w:rsidRPr="008376FC" w:rsidRDefault="00BE49FB" w:rsidP="00F61756">
      <w:pPr>
        <w:shd w:val="clear" w:color="auto" w:fill="FFFFFF"/>
        <w:spacing w:after="0" w:line="276" w:lineRule="auto"/>
        <w:jc w:val="both"/>
        <w:rPr>
          <w:rFonts w:asciiTheme="majorHAnsi" w:eastAsia="Calibri" w:hAnsiTheme="majorHAnsi" w:cstheme="majorHAnsi"/>
          <w:bCs w:val="0"/>
          <w:sz w:val="24"/>
          <w:szCs w:val="24"/>
        </w:rPr>
      </w:pPr>
    </w:p>
    <w:p w:rsidR="00756AE7" w:rsidRPr="008376FC" w:rsidRDefault="00BE49FB" w:rsidP="00F61756">
      <w:pPr>
        <w:spacing w:after="0" w:line="276" w:lineRule="auto"/>
        <w:jc w:val="both"/>
        <w:rPr>
          <w:rFonts w:asciiTheme="majorHAnsi" w:eastAsia="Calibri" w:hAnsiTheme="majorHAnsi" w:cstheme="majorHAnsi"/>
          <w:b w:val="0"/>
          <w:bCs w:val="0"/>
          <w:sz w:val="24"/>
          <w:szCs w:val="24"/>
          <w:shd w:val="clear" w:color="auto" w:fill="FFFFFF"/>
        </w:rPr>
      </w:pPr>
      <w:r w:rsidRPr="008376FC">
        <w:rPr>
          <w:rFonts w:asciiTheme="majorHAnsi" w:eastAsia="Calibri" w:hAnsiTheme="majorHAnsi" w:cstheme="majorHAnsi"/>
          <w:b w:val="0"/>
          <w:bCs w:val="0"/>
          <w:sz w:val="24"/>
          <w:szCs w:val="24"/>
          <w:shd w:val="clear" w:color="auto" w:fill="FFFFFF"/>
        </w:rPr>
        <w:t>Pe parcursul anilor 2014-2022</w:t>
      </w:r>
      <w:r w:rsidR="00C743C7">
        <w:rPr>
          <w:rFonts w:asciiTheme="majorHAnsi" w:eastAsia="Calibri" w:hAnsiTheme="majorHAnsi" w:cstheme="majorHAnsi"/>
          <w:b w:val="0"/>
          <w:bCs w:val="0"/>
          <w:sz w:val="24"/>
          <w:szCs w:val="24"/>
          <w:shd w:val="clear" w:color="auto" w:fill="FFFFFF"/>
        </w:rPr>
        <w:t>,</w:t>
      </w:r>
      <w:r w:rsidRPr="008376FC">
        <w:rPr>
          <w:rFonts w:asciiTheme="majorHAnsi" w:eastAsia="Calibri" w:hAnsiTheme="majorHAnsi" w:cstheme="majorHAnsi"/>
          <w:b w:val="0"/>
          <w:bCs w:val="0"/>
          <w:sz w:val="24"/>
          <w:szCs w:val="24"/>
          <w:shd w:val="clear" w:color="auto" w:fill="FFFFFF"/>
        </w:rPr>
        <w:t xml:space="preserve"> în sistemele de alimentare cu apă și canalizare au fost investite </w:t>
      </w:r>
      <w:r w:rsidR="00F7749A" w:rsidRPr="008376FC">
        <w:rPr>
          <w:rFonts w:asciiTheme="majorHAnsi" w:eastAsia="Calibri" w:hAnsiTheme="majorHAnsi" w:cstheme="majorHAnsi"/>
          <w:b w:val="0"/>
          <w:bCs w:val="0"/>
          <w:sz w:val="24"/>
          <w:szCs w:val="24"/>
          <w:shd w:val="clear" w:color="auto" w:fill="FFFFFF"/>
        </w:rPr>
        <w:t>4</w:t>
      </w:r>
      <w:r w:rsidR="00C743C7">
        <w:rPr>
          <w:rFonts w:asciiTheme="majorHAnsi" w:eastAsia="Calibri" w:hAnsiTheme="majorHAnsi" w:cstheme="majorHAnsi"/>
          <w:b w:val="0"/>
          <w:bCs w:val="0"/>
          <w:sz w:val="24"/>
          <w:szCs w:val="24"/>
          <w:shd w:val="clear" w:color="auto" w:fill="FFFFFF"/>
        </w:rPr>
        <w:t>.</w:t>
      </w:r>
      <w:r w:rsidR="00F7749A" w:rsidRPr="008376FC">
        <w:rPr>
          <w:rFonts w:asciiTheme="majorHAnsi" w:eastAsia="Calibri" w:hAnsiTheme="majorHAnsi" w:cstheme="majorHAnsi"/>
          <w:b w:val="0"/>
          <w:bCs w:val="0"/>
          <w:sz w:val="24"/>
          <w:szCs w:val="24"/>
          <w:shd w:val="clear" w:color="auto" w:fill="FFFFFF"/>
        </w:rPr>
        <w:t>678,5</w:t>
      </w:r>
      <w:r w:rsidRPr="008376FC">
        <w:rPr>
          <w:rFonts w:asciiTheme="majorHAnsi" w:eastAsia="Calibri" w:hAnsiTheme="majorHAnsi" w:cstheme="majorHAnsi"/>
          <w:b w:val="0"/>
          <w:bCs w:val="0"/>
          <w:sz w:val="24"/>
          <w:szCs w:val="24"/>
          <w:shd w:val="clear" w:color="auto" w:fill="FFFFFF"/>
        </w:rPr>
        <w:t xml:space="preserve"> mil.lei. Ca rezultat a</w:t>
      </w:r>
      <w:r w:rsidR="00C743C7">
        <w:rPr>
          <w:rFonts w:asciiTheme="majorHAnsi" w:eastAsia="Calibri" w:hAnsiTheme="majorHAnsi" w:cstheme="majorHAnsi"/>
          <w:b w:val="0"/>
          <w:bCs w:val="0"/>
          <w:sz w:val="24"/>
          <w:szCs w:val="24"/>
          <w:shd w:val="clear" w:color="auto" w:fill="FFFFFF"/>
        </w:rPr>
        <w:t>l</w:t>
      </w:r>
      <w:r w:rsidRPr="008376FC">
        <w:rPr>
          <w:rFonts w:asciiTheme="majorHAnsi" w:eastAsia="Calibri" w:hAnsiTheme="majorHAnsi" w:cstheme="majorHAnsi"/>
          <w:b w:val="0"/>
          <w:bCs w:val="0"/>
          <w:sz w:val="24"/>
          <w:szCs w:val="24"/>
          <w:shd w:val="clear" w:color="auto" w:fill="FFFFFF"/>
        </w:rPr>
        <w:t xml:space="preserve"> acestor investiții</w:t>
      </w:r>
      <w:r w:rsidR="00C743C7">
        <w:rPr>
          <w:rFonts w:asciiTheme="majorHAnsi" w:eastAsia="Calibri" w:hAnsiTheme="majorHAnsi" w:cstheme="majorHAnsi"/>
          <w:b w:val="0"/>
          <w:bCs w:val="0"/>
          <w:sz w:val="24"/>
          <w:szCs w:val="24"/>
          <w:shd w:val="clear" w:color="auto" w:fill="FFFFFF"/>
        </w:rPr>
        <w:t>,</w:t>
      </w:r>
      <w:r w:rsidRPr="008376FC">
        <w:rPr>
          <w:rFonts w:asciiTheme="majorHAnsi" w:eastAsia="Calibri" w:hAnsiTheme="majorHAnsi" w:cstheme="majorHAnsi"/>
          <w:b w:val="0"/>
          <w:bCs w:val="0"/>
          <w:sz w:val="24"/>
          <w:szCs w:val="24"/>
          <w:shd w:val="clear" w:color="auto" w:fill="FFFFFF"/>
        </w:rPr>
        <w:t xml:space="preserve"> au fost construite apeducte noi, reconstruite și reabilitate cele existente, a fost extinsă rețeaua de distribuție a apei etc.</w:t>
      </w:r>
    </w:p>
    <w:p w:rsidR="00BE49FB" w:rsidRPr="008376FC" w:rsidRDefault="00BE49FB" w:rsidP="00F61756">
      <w:pPr>
        <w:spacing w:after="0" w:line="276" w:lineRule="auto"/>
        <w:jc w:val="both"/>
        <w:rPr>
          <w:rFonts w:asciiTheme="majorHAnsi" w:eastAsia="Calibri" w:hAnsiTheme="majorHAnsi" w:cstheme="majorHAnsi"/>
          <w:b w:val="0"/>
          <w:bCs w:val="0"/>
          <w:sz w:val="24"/>
          <w:szCs w:val="24"/>
          <w:shd w:val="clear" w:color="auto" w:fill="FFFFFF"/>
        </w:rPr>
      </w:pPr>
      <w:r w:rsidRPr="008376FC">
        <w:rPr>
          <w:rFonts w:asciiTheme="majorHAnsi" w:eastAsia="Calibri" w:hAnsiTheme="majorHAnsi" w:cstheme="majorHAnsi"/>
          <w:b w:val="0"/>
          <w:bCs w:val="0"/>
          <w:sz w:val="24"/>
          <w:szCs w:val="24"/>
          <w:shd w:val="clear" w:color="auto" w:fill="FFFFFF"/>
        </w:rPr>
        <w:t>Astfel</w:t>
      </w:r>
      <w:r w:rsidR="00C743C7">
        <w:rPr>
          <w:rFonts w:asciiTheme="majorHAnsi" w:eastAsia="Calibri" w:hAnsiTheme="majorHAnsi" w:cstheme="majorHAnsi"/>
          <w:b w:val="0"/>
          <w:bCs w:val="0"/>
          <w:sz w:val="24"/>
          <w:szCs w:val="24"/>
          <w:shd w:val="clear" w:color="auto" w:fill="FFFFFF"/>
        </w:rPr>
        <w:t>,</w:t>
      </w:r>
    </w:p>
    <w:p w:rsidR="00BE49FB" w:rsidRPr="008376FC" w:rsidRDefault="00F7749A" w:rsidP="00F61756">
      <w:pPr>
        <w:spacing w:line="276" w:lineRule="auto"/>
        <w:jc w:val="both"/>
        <w:rPr>
          <w:rFonts w:asciiTheme="majorHAnsi" w:eastAsia="Calibri" w:hAnsiTheme="majorHAnsi" w:cstheme="majorHAnsi"/>
          <w:bCs w:val="0"/>
          <w:sz w:val="24"/>
          <w:szCs w:val="24"/>
          <w:shd w:val="clear" w:color="auto" w:fill="FFFFFF"/>
        </w:rPr>
      </w:pPr>
      <w:r w:rsidRPr="008376FC">
        <w:rPr>
          <w:rFonts w:asciiTheme="majorHAnsi" w:eastAsia="Calibri" w:hAnsiTheme="majorHAnsi" w:cstheme="majorHAnsi"/>
          <w:bCs w:val="0"/>
          <w:color w:val="0070C0"/>
          <w:sz w:val="24"/>
          <w:szCs w:val="24"/>
          <w:shd w:val="clear" w:color="auto" w:fill="FFFFFF"/>
        </w:rPr>
        <w:t>4.3.1.</w:t>
      </w:r>
      <w:r w:rsidRPr="008376FC">
        <w:rPr>
          <w:rFonts w:asciiTheme="majorHAnsi" w:eastAsia="Calibri" w:hAnsiTheme="majorHAnsi" w:cstheme="majorHAnsi"/>
          <w:bCs w:val="0"/>
          <w:sz w:val="24"/>
          <w:szCs w:val="24"/>
          <w:shd w:val="clear" w:color="auto" w:fill="FFFFFF"/>
        </w:rPr>
        <w:t xml:space="preserve"> </w:t>
      </w:r>
      <w:r w:rsidR="00BE49FB" w:rsidRPr="008376FC">
        <w:rPr>
          <w:rFonts w:asciiTheme="majorHAnsi" w:eastAsia="Calibri" w:hAnsiTheme="majorHAnsi" w:cstheme="majorHAnsi"/>
          <w:bCs w:val="0"/>
          <w:color w:val="0070C0"/>
          <w:sz w:val="24"/>
          <w:szCs w:val="24"/>
          <w:shd w:val="clear" w:color="auto" w:fill="FFFFFF"/>
        </w:rPr>
        <w:t>Numărul sistemelor publice de alimentare cu apă a crescut</w:t>
      </w:r>
      <w:r w:rsidR="00C743C7">
        <w:rPr>
          <w:rFonts w:asciiTheme="majorHAnsi" w:eastAsia="Calibri" w:hAnsiTheme="majorHAnsi" w:cstheme="majorHAnsi"/>
          <w:bCs w:val="0"/>
          <w:color w:val="0070C0"/>
          <w:sz w:val="24"/>
          <w:szCs w:val="24"/>
          <w:shd w:val="clear" w:color="auto" w:fill="FFFFFF"/>
        </w:rPr>
        <w:t>,</w:t>
      </w:r>
      <w:r w:rsidR="00BE49FB" w:rsidRPr="008376FC">
        <w:rPr>
          <w:rFonts w:asciiTheme="majorHAnsi" w:eastAsia="Calibri" w:hAnsiTheme="majorHAnsi" w:cstheme="majorHAnsi"/>
          <w:bCs w:val="0"/>
          <w:color w:val="0070C0"/>
          <w:sz w:val="24"/>
          <w:szCs w:val="24"/>
          <w:shd w:val="clear" w:color="auto" w:fill="FFFFFF"/>
        </w:rPr>
        <w:t xml:space="preserve"> de la 836 în 2014 până la 1</w:t>
      </w:r>
      <w:r w:rsidR="00C743C7">
        <w:rPr>
          <w:rFonts w:asciiTheme="majorHAnsi" w:eastAsia="Calibri" w:hAnsiTheme="majorHAnsi" w:cstheme="majorHAnsi"/>
          <w:bCs w:val="0"/>
          <w:color w:val="0070C0"/>
          <w:sz w:val="24"/>
          <w:szCs w:val="24"/>
          <w:shd w:val="clear" w:color="auto" w:fill="FFFFFF"/>
        </w:rPr>
        <w:t>.</w:t>
      </w:r>
      <w:r w:rsidR="00BE49FB" w:rsidRPr="008376FC">
        <w:rPr>
          <w:rFonts w:asciiTheme="majorHAnsi" w:eastAsia="Calibri" w:hAnsiTheme="majorHAnsi" w:cstheme="majorHAnsi"/>
          <w:bCs w:val="0"/>
          <w:color w:val="0070C0"/>
          <w:sz w:val="24"/>
          <w:szCs w:val="24"/>
          <w:shd w:val="clear" w:color="auto" w:fill="FFFFFF"/>
        </w:rPr>
        <w:t>362 în anul 2021</w:t>
      </w:r>
      <w:r w:rsidR="00C743C7">
        <w:rPr>
          <w:rFonts w:asciiTheme="majorHAnsi" w:eastAsia="Calibri" w:hAnsiTheme="majorHAnsi" w:cstheme="majorHAnsi"/>
          <w:bCs w:val="0"/>
          <w:color w:val="0070C0"/>
          <w:sz w:val="24"/>
          <w:szCs w:val="24"/>
          <w:shd w:val="clear" w:color="auto" w:fill="FFFFFF"/>
        </w:rPr>
        <w:t>.</w:t>
      </w:r>
    </w:p>
    <w:p w:rsidR="00BE49FB" w:rsidRPr="008376FC" w:rsidRDefault="00BE49FB" w:rsidP="00F61756">
      <w:pPr>
        <w:spacing w:after="0" w:line="276" w:lineRule="auto"/>
        <w:jc w:val="both"/>
        <w:rPr>
          <w:rFonts w:asciiTheme="majorHAnsi" w:eastAsia="Calibri" w:hAnsiTheme="majorHAnsi" w:cstheme="majorHAnsi"/>
          <w:b w:val="0"/>
          <w:bCs w:val="0"/>
          <w:sz w:val="24"/>
          <w:szCs w:val="24"/>
          <w:shd w:val="clear" w:color="auto" w:fill="FFFFFF"/>
        </w:rPr>
      </w:pPr>
      <w:r w:rsidRPr="008376FC">
        <w:rPr>
          <w:rFonts w:asciiTheme="majorHAnsi" w:eastAsia="Calibri" w:hAnsiTheme="majorHAnsi" w:cstheme="majorHAnsi"/>
          <w:b w:val="0"/>
          <w:bCs w:val="0"/>
          <w:sz w:val="24"/>
          <w:szCs w:val="24"/>
          <w:shd w:val="clear" w:color="auto" w:fill="FFFFFF"/>
        </w:rPr>
        <w:t>La finele anului 202</w:t>
      </w:r>
      <w:r w:rsidR="002268F5" w:rsidRPr="008376FC">
        <w:rPr>
          <w:rFonts w:asciiTheme="majorHAnsi" w:eastAsia="Calibri" w:hAnsiTheme="majorHAnsi" w:cstheme="majorHAnsi"/>
          <w:b w:val="0"/>
          <w:bCs w:val="0"/>
          <w:sz w:val="24"/>
          <w:szCs w:val="24"/>
          <w:shd w:val="clear" w:color="auto" w:fill="FFFFFF"/>
        </w:rPr>
        <w:t>0</w:t>
      </w:r>
      <w:r w:rsidRPr="008376FC">
        <w:rPr>
          <w:rFonts w:asciiTheme="majorHAnsi" w:eastAsia="Calibri" w:hAnsiTheme="majorHAnsi" w:cstheme="majorHAnsi"/>
          <w:b w:val="0"/>
          <w:bCs w:val="0"/>
          <w:sz w:val="24"/>
          <w:szCs w:val="24"/>
          <w:shd w:val="clear" w:color="auto" w:fill="FFFFFF"/>
          <w:vertAlign w:val="superscript"/>
        </w:rPr>
        <w:footnoteReference w:id="72"/>
      </w:r>
      <w:r w:rsidRPr="008376FC">
        <w:rPr>
          <w:rFonts w:asciiTheme="majorHAnsi" w:eastAsia="Calibri" w:hAnsiTheme="majorHAnsi" w:cstheme="majorHAnsi"/>
          <w:b w:val="0"/>
          <w:bCs w:val="0"/>
          <w:sz w:val="24"/>
          <w:szCs w:val="24"/>
          <w:shd w:val="clear" w:color="auto" w:fill="FFFFFF"/>
        </w:rPr>
        <w:t>,</w:t>
      </w:r>
      <w:r w:rsidR="002268F5" w:rsidRPr="008376FC">
        <w:rPr>
          <w:rFonts w:asciiTheme="majorHAnsi" w:eastAsia="Calibri" w:hAnsiTheme="majorHAnsi" w:cstheme="majorHAnsi"/>
          <w:b w:val="0"/>
          <w:bCs w:val="0"/>
          <w:sz w:val="24"/>
          <w:szCs w:val="24"/>
          <w:shd w:val="clear" w:color="auto" w:fill="FFFFFF"/>
        </w:rPr>
        <w:t xml:space="preserve"> în Republica Moldova numărul </w:t>
      </w:r>
      <w:r w:rsidRPr="008376FC">
        <w:rPr>
          <w:rFonts w:asciiTheme="majorHAnsi" w:eastAsia="Calibri" w:hAnsiTheme="majorHAnsi" w:cstheme="majorHAnsi"/>
          <w:b w:val="0"/>
          <w:bCs w:val="0"/>
          <w:sz w:val="24"/>
          <w:szCs w:val="24"/>
          <w:shd w:val="clear" w:color="auto" w:fill="FFFFFF"/>
        </w:rPr>
        <w:t>sistemelor publice centralizate de alimentare cu apă a constituit 1</w:t>
      </w:r>
      <w:r w:rsidR="00C743C7">
        <w:rPr>
          <w:rFonts w:asciiTheme="majorHAnsi" w:eastAsia="Calibri" w:hAnsiTheme="majorHAnsi" w:cstheme="majorHAnsi"/>
          <w:b w:val="0"/>
          <w:bCs w:val="0"/>
          <w:sz w:val="24"/>
          <w:szCs w:val="24"/>
          <w:shd w:val="clear" w:color="auto" w:fill="FFFFFF"/>
        </w:rPr>
        <w:t>.</w:t>
      </w:r>
      <w:r w:rsidRPr="008376FC">
        <w:rPr>
          <w:rFonts w:asciiTheme="majorHAnsi" w:eastAsia="Calibri" w:hAnsiTheme="majorHAnsi" w:cstheme="majorHAnsi"/>
          <w:b w:val="0"/>
          <w:bCs w:val="0"/>
          <w:sz w:val="24"/>
          <w:szCs w:val="24"/>
          <w:shd w:val="clear" w:color="auto" w:fill="FFFFFF"/>
        </w:rPr>
        <w:t>362 de unități, fiind în creștere față de anul 2014 cu 526 de unități</w:t>
      </w:r>
      <w:r w:rsidR="00C743C7">
        <w:rPr>
          <w:rFonts w:asciiTheme="majorHAnsi" w:eastAsia="Calibri" w:hAnsiTheme="majorHAnsi" w:cstheme="majorHAnsi"/>
          <w:b w:val="0"/>
          <w:bCs w:val="0"/>
          <w:sz w:val="24"/>
          <w:szCs w:val="24"/>
          <w:shd w:val="clear" w:color="auto" w:fill="FFFFFF"/>
        </w:rPr>
        <w:t>,</w:t>
      </w:r>
      <w:r w:rsidRPr="008376FC">
        <w:rPr>
          <w:rFonts w:asciiTheme="majorHAnsi" w:eastAsia="Calibri" w:hAnsiTheme="majorHAnsi" w:cstheme="majorHAnsi"/>
          <w:b w:val="0"/>
          <w:bCs w:val="0"/>
          <w:sz w:val="24"/>
          <w:szCs w:val="24"/>
          <w:shd w:val="clear" w:color="auto" w:fill="FFFFFF"/>
        </w:rPr>
        <w:t xml:space="preserve"> sau cu 63%. Din totalul lor, sunt funcționale 1</w:t>
      </w:r>
      <w:r w:rsidR="00C743C7">
        <w:rPr>
          <w:rFonts w:asciiTheme="majorHAnsi" w:eastAsia="Calibri" w:hAnsiTheme="majorHAnsi" w:cstheme="majorHAnsi"/>
          <w:b w:val="0"/>
          <w:bCs w:val="0"/>
          <w:sz w:val="24"/>
          <w:szCs w:val="24"/>
          <w:shd w:val="clear" w:color="auto" w:fill="FFFFFF"/>
        </w:rPr>
        <w:t>.</w:t>
      </w:r>
      <w:r w:rsidRPr="008376FC">
        <w:rPr>
          <w:rFonts w:asciiTheme="majorHAnsi" w:eastAsia="Calibri" w:hAnsiTheme="majorHAnsi" w:cstheme="majorHAnsi"/>
          <w:b w:val="0"/>
          <w:bCs w:val="0"/>
          <w:sz w:val="24"/>
          <w:szCs w:val="24"/>
          <w:shd w:val="clear" w:color="auto" w:fill="FFFFFF"/>
        </w:rPr>
        <w:t xml:space="preserve">289 </w:t>
      </w:r>
      <w:r w:rsidR="00C743C7">
        <w:rPr>
          <w:rFonts w:asciiTheme="majorHAnsi" w:eastAsia="Calibri" w:hAnsiTheme="majorHAnsi" w:cstheme="majorHAnsi"/>
          <w:b w:val="0"/>
          <w:bCs w:val="0"/>
          <w:sz w:val="24"/>
          <w:szCs w:val="24"/>
          <w:shd w:val="clear" w:color="auto" w:fill="FFFFFF"/>
        </w:rPr>
        <w:t xml:space="preserve">de </w:t>
      </w:r>
      <w:r w:rsidRPr="008376FC">
        <w:rPr>
          <w:rFonts w:asciiTheme="majorHAnsi" w:eastAsia="Calibri" w:hAnsiTheme="majorHAnsi" w:cstheme="majorHAnsi"/>
          <w:b w:val="0"/>
          <w:bCs w:val="0"/>
          <w:sz w:val="24"/>
          <w:szCs w:val="24"/>
          <w:shd w:val="clear" w:color="auto" w:fill="FFFFFF"/>
        </w:rPr>
        <w:t>unități, sau 94,6%, celelalte 73 de sisteme nu sunt funcționale.</w:t>
      </w:r>
    </w:p>
    <w:p w:rsidR="00BE49FB" w:rsidRPr="00F46FB7" w:rsidRDefault="00BE49FB" w:rsidP="00376C62">
      <w:pPr>
        <w:spacing w:after="0" w:line="240" w:lineRule="auto"/>
        <w:jc w:val="right"/>
        <w:rPr>
          <w:rFonts w:asciiTheme="majorHAnsi" w:eastAsia="Calibri" w:hAnsiTheme="majorHAnsi" w:cstheme="majorHAnsi"/>
          <w:b w:val="0"/>
          <w:bCs w:val="0"/>
          <w:sz w:val="20"/>
          <w:szCs w:val="20"/>
          <w:shd w:val="clear" w:color="auto" w:fill="FFFFFF"/>
        </w:rPr>
      </w:pPr>
      <w:r w:rsidRPr="00F46FB7">
        <w:rPr>
          <w:rFonts w:asciiTheme="majorHAnsi" w:eastAsia="Calibri" w:hAnsiTheme="majorHAnsi" w:cstheme="majorHAnsi"/>
          <w:bCs w:val="0"/>
          <w:sz w:val="20"/>
          <w:szCs w:val="20"/>
          <w:shd w:val="clear" w:color="auto" w:fill="FFFFFF"/>
        </w:rPr>
        <w:t xml:space="preserve">Figura nr. </w:t>
      </w:r>
      <w:r w:rsidR="00F7749A" w:rsidRPr="00F46FB7">
        <w:rPr>
          <w:rFonts w:asciiTheme="majorHAnsi" w:eastAsia="Calibri" w:hAnsiTheme="majorHAnsi" w:cstheme="majorHAnsi"/>
          <w:bCs w:val="0"/>
          <w:sz w:val="20"/>
          <w:szCs w:val="20"/>
          <w:shd w:val="clear" w:color="auto" w:fill="FFFFFF"/>
        </w:rPr>
        <w:t>8</w:t>
      </w:r>
    </w:p>
    <w:p w:rsidR="00BE49FB" w:rsidRPr="008376FC" w:rsidRDefault="00BE49FB" w:rsidP="00F61756">
      <w:pPr>
        <w:spacing w:after="0" w:line="276" w:lineRule="auto"/>
        <w:jc w:val="both"/>
        <w:rPr>
          <w:rFonts w:asciiTheme="majorHAnsi" w:eastAsia="Calibri" w:hAnsiTheme="majorHAnsi" w:cstheme="majorHAnsi"/>
          <w:b w:val="0"/>
          <w:bCs w:val="0"/>
          <w:sz w:val="24"/>
          <w:szCs w:val="24"/>
          <w:shd w:val="clear" w:color="auto" w:fill="FFFFFF"/>
        </w:rPr>
      </w:pPr>
      <w:r w:rsidRPr="008376FC">
        <w:rPr>
          <w:rFonts w:asciiTheme="majorHAnsi" w:eastAsia="Calibri" w:hAnsiTheme="majorHAnsi" w:cstheme="majorHAnsi"/>
          <w:b w:val="0"/>
          <w:bCs w:val="0"/>
          <w:noProof/>
          <w:sz w:val="24"/>
          <w:szCs w:val="24"/>
          <w:shd w:val="clear" w:color="auto" w:fill="FFFFFF"/>
          <w:lang w:val="ru-RU" w:eastAsia="ru-RU"/>
        </w:rPr>
        <w:drawing>
          <wp:inline distT="0" distB="0" distL="0" distR="0">
            <wp:extent cx="6158865" cy="1623646"/>
            <wp:effectExtent l="0" t="0" r="13335" b="15240"/>
            <wp:docPr id="1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BE49FB" w:rsidRPr="00EB4423" w:rsidRDefault="00BE49FB" w:rsidP="00F61756">
      <w:pPr>
        <w:spacing w:after="0" w:line="276" w:lineRule="auto"/>
        <w:jc w:val="both"/>
        <w:rPr>
          <w:rFonts w:asciiTheme="majorHAnsi" w:eastAsia="Calibri" w:hAnsiTheme="majorHAnsi" w:cstheme="majorHAnsi"/>
          <w:b w:val="0"/>
          <w:bCs w:val="0"/>
          <w:i/>
          <w:sz w:val="20"/>
          <w:szCs w:val="20"/>
          <w:shd w:val="clear" w:color="auto" w:fill="FFFFFF"/>
        </w:rPr>
      </w:pPr>
      <w:r w:rsidRPr="00EB4423">
        <w:rPr>
          <w:rFonts w:asciiTheme="majorHAnsi" w:eastAsia="Calibri" w:hAnsiTheme="majorHAnsi" w:cstheme="majorHAnsi"/>
          <w:i/>
          <w:sz w:val="20"/>
          <w:szCs w:val="20"/>
          <w:shd w:val="clear" w:color="auto" w:fill="FFFFFF"/>
        </w:rPr>
        <w:t>Sursa:</w:t>
      </w:r>
      <w:r w:rsidRPr="00EB4423">
        <w:rPr>
          <w:rFonts w:asciiTheme="majorHAnsi" w:eastAsia="Calibri" w:hAnsiTheme="majorHAnsi" w:cstheme="majorHAnsi"/>
          <w:b w:val="0"/>
          <w:bCs w:val="0"/>
          <w:i/>
          <w:sz w:val="20"/>
          <w:szCs w:val="20"/>
          <w:shd w:val="clear" w:color="auto" w:fill="FFFFFF"/>
        </w:rPr>
        <w:t xml:space="preserve"> Date</w:t>
      </w:r>
      <w:r w:rsidR="00C743C7">
        <w:rPr>
          <w:rFonts w:asciiTheme="majorHAnsi" w:eastAsia="Calibri" w:hAnsiTheme="majorHAnsi" w:cstheme="majorHAnsi"/>
          <w:b w:val="0"/>
          <w:bCs w:val="0"/>
          <w:i/>
          <w:sz w:val="20"/>
          <w:szCs w:val="20"/>
          <w:shd w:val="clear" w:color="auto" w:fill="FFFFFF"/>
        </w:rPr>
        <w:t xml:space="preserve"> oferite de</w:t>
      </w:r>
      <w:r w:rsidRPr="00EB4423">
        <w:rPr>
          <w:rFonts w:asciiTheme="majorHAnsi" w:eastAsia="Calibri" w:hAnsiTheme="majorHAnsi" w:cstheme="majorHAnsi"/>
          <w:b w:val="0"/>
          <w:bCs w:val="0"/>
          <w:i/>
          <w:sz w:val="20"/>
          <w:szCs w:val="20"/>
          <w:shd w:val="clear" w:color="auto" w:fill="FFFFFF"/>
        </w:rPr>
        <w:t xml:space="preserve"> BNS.</w:t>
      </w:r>
    </w:p>
    <w:p w:rsidR="00BE49FB" w:rsidRPr="008376FC" w:rsidRDefault="00BE49FB" w:rsidP="00F61756">
      <w:pPr>
        <w:tabs>
          <w:tab w:val="left" w:pos="851"/>
        </w:tabs>
        <w:spacing w:before="120" w:after="0" w:line="276" w:lineRule="auto"/>
        <w:jc w:val="both"/>
        <w:rPr>
          <w:rFonts w:asciiTheme="majorHAnsi" w:eastAsia="Calibri" w:hAnsiTheme="majorHAnsi" w:cstheme="majorHAnsi"/>
          <w:b w:val="0"/>
          <w:bCs w:val="0"/>
          <w:noProof/>
          <w:sz w:val="24"/>
          <w:szCs w:val="24"/>
          <w:lang w:eastAsia="ru-RU"/>
        </w:rPr>
      </w:pPr>
      <w:r w:rsidRPr="008376FC">
        <w:rPr>
          <w:rFonts w:asciiTheme="majorHAnsi" w:eastAsia="Calibri" w:hAnsiTheme="majorHAnsi" w:cstheme="majorHAnsi"/>
          <w:b w:val="0"/>
          <w:bCs w:val="0"/>
          <w:noProof/>
          <w:sz w:val="24"/>
          <w:szCs w:val="24"/>
          <w:lang w:eastAsia="ru-RU"/>
        </w:rPr>
        <w:t>Conform datelor BNS, în anul 2021</w:t>
      </w:r>
      <w:r w:rsidR="00C743C7">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față de anul 2016</w:t>
      </w:r>
      <w:r w:rsidR="00C743C7">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numărul sistemelor de alimentare cu apă este în  creștere aproape la toate raio</w:t>
      </w:r>
      <w:r w:rsidR="00C743C7">
        <w:rPr>
          <w:rFonts w:asciiTheme="majorHAnsi" w:eastAsia="Calibri" w:hAnsiTheme="majorHAnsi" w:cstheme="majorHAnsi"/>
          <w:b w:val="0"/>
          <w:bCs w:val="0"/>
          <w:noProof/>
          <w:sz w:val="24"/>
          <w:szCs w:val="24"/>
          <w:lang w:eastAsia="ru-RU"/>
        </w:rPr>
        <w:t>a</w:t>
      </w:r>
      <w:r w:rsidRPr="008376FC">
        <w:rPr>
          <w:rFonts w:asciiTheme="majorHAnsi" w:eastAsia="Calibri" w:hAnsiTheme="majorHAnsi" w:cstheme="majorHAnsi"/>
          <w:b w:val="0"/>
          <w:bCs w:val="0"/>
          <w:noProof/>
          <w:sz w:val="24"/>
          <w:szCs w:val="24"/>
          <w:lang w:eastAsia="ru-RU"/>
        </w:rPr>
        <w:t xml:space="preserve">nele țării. Cel mai mare număr de sisteme noi </w:t>
      </w:r>
      <w:r w:rsidR="00C743C7">
        <w:rPr>
          <w:rFonts w:asciiTheme="majorHAnsi" w:eastAsia="Calibri" w:hAnsiTheme="majorHAnsi" w:cstheme="majorHAnsi"/>
          <w:b w:val="0"/>
          <w:bCs w:val="0"/>
          <w:noProof/>
          <w:sz w:val="24"/>
          <w:szCs w:val="24"/>
          <w:lang w:eastAsia="ru-RU"/>
        </w:rPr>
        <w:t>este</w:t>
      </w:r>
      <w:r w:rsidRPr="008376FC">
        <w:rPr>
          <w:rFonts w:asciiTheme="majorHAnsi" w:eastAsia="Calibri" w:hAnsiTheme="majorHAnsi" w:cstheme="majorHAnsi"/>
          <w:b w:val="0"/>
          <w:bCs w:val="0"/>
          <w:noProof/>
          <w:sz w:val="24"/>
          <w:szCs w:val="24"/>
          <w:lang w:eastAsia="ru-RU"/>
        </w:rPr>
        <w:t xml:space="preserve"> înregistrat la Rezina (+19), Călăraşi (+11), Soroca (+13), S</w:t>
      </w:r>
      <w:r w:rsidR="00C743C7">
        <w:rPr>
          <w:rFonts w:asciiTheme="majorHAnsi" w:eastAsia="Calibri" w:hAnsiTheme="majorHAnsi" w:cstheme="majorHAnsi"/>
          <w:b w:val="0"/>
          <w:bCs w:val="0"/>
          <w:noProof/>
          <w:sz w:val="24"/>
          <w:szCs w:val="24"/>
          <w:lang w:eastAsia="ru-RU"/>
        </w:rPr>
        <w:t>â</w:t>
      </w:r>
      <w:r w:rsidRPr="008376FC">
        <w:rPr>
          <w:rFonts w:asciiTheme="majorHAnsi" w:eastAsia="Calibri" w:hAnsiTheme="majorHAnsi" w:cstheme="majorHAnsi"/>
          <w:b w:val="0"/>
          <w:bCs w:val="0"/>
          <w:noProof/>
          <w:sz w:val="24"/>
          <w:szCs w:val="24"/>
          <w:lang w:eastAsia="ru-RU"/>
        </w:rPr>
        <w:t>ngerei (+15), Cimișlia și Criuleni (</w:t>
      </w:r>
      <w:r w:rsidR="00C743C7">
        <w:rPr>
          <w:rFonts w:asciiTheme="majorHAnsi" w:eastAsia="Calibri" w:hAnsiTheme="majorHAnsi" w:cstheme="majorHAnsi"/>
          <w:b w:val="0"/>
          <w:bCs w:val="0"/>
          <w:noProof/>
          <w:sz w:val="24"/>
          <w:szCs w:val="24"/>
          <w:lang w:eastAsia="ru-RU"/>
        </w:rPr>
        <w:t xml:space="preserve">câte </w:t>
      </w:r>
      <w:r w:rsidRPr="008376FC">
        <w:rPr>
          <w:rFonts w:asciiTheme="majorHAnsi" w:eastAsia="Calibri" w:hAnsiTheme="majorHAnsi" w:cstheme="majorHAnsi"/>
          <w:b w:val="0"/>
          <w:bCs w:val="0"/>
          <w:noProof/>
          <w:sz w:val="24"/>
          <w:szCs w:val="24"/>
          <w:lang w:eastAsia="ru-RU"/>
        </w:rPr>
        <w:t>+9), Anenii Noi (+8) etc</w:t>
      </w:r>
      <w:r w:rsidR="005C662A" w:rsidRPr="008376FC">
        <w:rPr>
          <w:rFonts w:asciiTheme="majorHAnsi" w:eastAsia="Calibri" w:hAnsiTheme="majorHAnsi" w:cstheme="majorHAnsi"/>
          <w:b w:val="0"/>
          <w:bCs w:val="0"/>
          <w:noProof/>
          <w:sz w:val="24"/>
          <w:szCs w:val="24"/>
          <w:lang w:eastAsia="ru-RU"/>
        </w:rPr>
        <w:t>.</w:t>
      </w:r>
      <w:r w:rsidR="005C662A">
        <w:rPr>
          <w:rFonts w:asciiTheme="majorHAnsi" w:eastAsia="Calibri" w:hAnsiTheme="majorHAnsi" w:cstheme="majorHAnsi"/>
          <w:b w:val="0"/>
          <w:bCs w:val="0"/>
          <w:noProof/>
          <w:sz w:val="24"/>
          <w:szCs w:val="24"/>
          <w:lang w:eastAsia="ru-RU"/>
        </w:rPr>
        <w:t xml:space="preserve">. </w:t>
      </w:r>
      <w:r w:rsidR="005C662A" w:rsidRPr="008376FC">
        <w:rPr>
          <w:rFonts w:asciiTheme="majorHAnsi" w:eastAsia="Calibri" w:hAnsiTheme="majorHAnsi" w:cstheme="majorHAnsi"/>
          <w:b w:val="0"/>
          <w:bCs w:val="0"/>
          <w:noProof/>
          <w:sz w:val="24"/>
          <w:szCs w:val="24"/>
          <w:lang w:eastAsia="ru-RU"/>
        </w:rPr>
        <w:t xml:space="preserve"> </w:t>
      </w:r>
      <w:r w:rsidRPr="008376FC">
        <w:rPr>
          <w:rFonts w:asciiTheme="majorHAnsi" w:eastAsia="Calibri" w:hAnsiTheme="majorHAnsi" w:cstheme="majorHAnsi"/>
          <w:b w:val="0"/>
          <w:bCs w:val="0"/>
          <w:noProof/>
          <w:sz w:val="24"/>
          <w:szCs w:val="24"/>
          <w:lang w:eastAsia="ru-RU"/>
        </w:rPr>
        <w:t xml:space="preserve">.  </w:t>
      </w:r>
    </w:p>
    <w:p w:rsidR="00BE49FB" w:rsidRPr="008376FC" w:rsidRDefault="00BE49FB" w:rsidP="00F46FB7">
      <w:pPr>
        <w:tabs>
          <w:tab w:val="left" w:pos="851"/>
        </w:tabs>
        <w:spacing w:after="0" w:line="240" w:lineRule="auto"/>
        <w:ind w:left="567"/>
        <w:contextualSpacing/>
        <w:jc w:val="right"/>
        <w:rPr>
          <w:rFonts w:asciiTheme="majorHAnsi" w:eastAsia="Times New Roman" w:hAnsiTheme="majorHAnsi" w:cstheme="majorHAnsi"/>
          <w:b w:val="0"/>
          <w:bCs w:val="0"/>
          <w:sz w:val="24"/>
          <w:szCs w:val="24"/>
          <w:lang w:eastAsia="ru-RU"/>
        </w:rPr>
      </w:pPr>
      <w:r w:rsidRPr="00F46FB7">
        <w:rPr>
          <w:rFonts w:asciiTheme="majorHAnsi" w:eastAsia="Calibri" w:hAnsiTheme="majorHAnsi" w:cstheme="majorHAnsi"/>
          <w:bCs w:val="0"/>
          <w:noProof/>
          <w:sz w:val="20"/>
          <w:szCs w:val="20"/>
          <w:lang w:eastAsia="ru-RU"/>
        </w:rPr>
        <w:t>Figura nr.</w:t>
      </w:r>
      <w:r w:rsidRPr="00F46FB7">
        <w:rPr>
          <w:rFonts w:asciiTheme="majorHAnsi" w:eastAsia="Calibri" w:hAnsiTheme="majorHAnsi" w:cstheme="majorHAnsi"/>
          <w:b w:val="0"/>
          <w:bCs w:val="0"/>
          <w:noProof/>
          <w:sz w:val="20"/>
          <w:szCs w:val="20"/>
          <w:lang w:eastAsia="ru-RU"/>
        </w:rPr>
        <w:t xml:space="preserve"> </w:t>
      </w:r>
      <w:r w:rsidR="00F7749A" w:rsidRPr="00F46FB7">
        <w:rPr>
          <w:rFonts w:asciiTheme="majorHAnsi" w:eastAsia="Calibri" w:hAnsiTheme="majorHAnsi" w:cstheme="majorHAnsi"/>
          <w:noProof/>
          <w:sz w:val="20"/>
          <w:szCs w:val="20"/>
          <w:lang w:eastAsia="ru-RU"/>
        </w:rPr>
        <w:t>9</w:t>
      </w:r>
    </w:p>
    <w:p w:rsidR="00BE49FB" w:rsidRPr="008376FC" w:rsidRDefault="00BE49FB" w:rsidP="00F61756">
      <w:pPr>
        <w:spacing w:after="0" w:line="276" w:lineRule="auto"/>
        <w:jc w:val="both"/>
        <w:rPr>
          <w:rFonts w:asciiTheme="majorHAnsi" w:eastAsia="Times New Roman" w:hAnsiTheme="majorHAnsi" w:cstheme="majorHAnsi"/>
          <w:b w:val="0"/>
          <w:bCs w:val="0"/>
          <w:color w:val="FF0000"/>
          <w:sz w:val="24"/>
          <w:szCs w:val="24"/>
          <w:lang w:eastAsia="ru-RU"/>
        </w:rPr>
      </w:pPr>
      <w:r w:rsidRPr="008376FC">
        <w:rPr>
          <w:rFonts w:asciiTheme="majorHAnsi" w:eastAsia="Times New Roman" w:hAnsiTheme="majorHAnsi" w:cstheme="majorHAnsi"/>
          <w:b w:val="0"/>
          <w:bCs w:val="0"/>
          <w:noProof/>
          <w:color w:val="FF0000"/>
          <w:sz w:val="24"/>
          <w:szCs w:val="24"/>
          <w:lang w:val="ru-RU" w:eastAsia="ru-RU"/>
        </w:rPr>
        <w:drawing>
          <wp:inline distT="0" distB="0" distL="0" distR="0">
            <wp:extent cx="6175959" cy="2253082"/>
            <wp:effectExtent l="19050" t="0" r="15291" b="0"/>
            <wp:docPr id="9"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BE49FB" w:rsidRPr="00EB4423" w:rsidRDefault="00BE49FB" w:rsidP="00F61756">
      <w:pPr>
        <w:spacing w:after="0" w:line="276" w:lineRule="auto"/>
        <w:jc w:val="both"/>
        <w:rPr>
          <w:rFonts w:asciiTheme="majorHAnsi" w:eastAsia="Calibri" w:hAnsiTheme="majorHAnsi" w:cstheme="majorHAnsi"/>
          <w:i/>
          <w:sz w:val="20"/>
          <w:szCs w:val="20"/>
          <w:shd w:val="clear" w:color="auto" w:fill="FFFFFF"/>
        </w:rPr>
      </w:pPr>
      <w:r w:rsidRPr="00EB4423">
        <w:rPr>
          <w:rFonts w:asciiTheme="majorHAnsi" w:eastAsia="Calibri" w:hAnsiTheme="majorHAnsi" w:cstheme="majorHAnsi"/>
          <w:i/>
          <w:sz w:val="20"/>
          <w:szCs w:val="20"/>
          <w:shd w:val="clear" w:color="auto" w:fill="FFFFFF"/>
        </w:rPr>
        <w:t xml:space="preserve">Sursa: </w:t>
      </w:r>
      <w:r w:rsidRPr="00EB4423">
        <w:rPr>
          <w:rFonts w:asciiTheme="majorHAnsi" w:eastAsia="Calibri" w:hAnsiTheme="majorHAnsi" w:cstheme="majorHAnsi"/>
          <w:b w:val="0"/>
          <w:bCs w:val="0"/>
          <w:i/>
          <w:sz w:val="20"/>
          <w:szCs w:val="20"/>
          <w:shd w:val="clear" w:color="auto" w:fill="FFFFFF"/>
        </w:rPr>
        <w:t>Date</w:t>
      </w:r>
      <w:r w:rsidR="00AC09DF">
        <w:rPr>
          <w:rFonts w:asciiTheme="majorHAnsi" w:eastAsia="Calibri" w:hAnsiTheme="majorHAnsi" w:cstheme="majorHAnsi"/>
          <w:b w:val="0"/>
          <w:bCs w:val="0"/>
          <w:i/>
          <w:sz w:val="20"/>
          <w:szCs w:val="20"/>
          <w:shd w:val="clear" w:color="auto" w:fill="FFFFFF"/>
        </w:rPr>
        <w:t xml:space="preserve"> oferite de</w:t>
      </w:r>
      <w:r w:rsidRPr="00EB4423">
        <w:rPr>
          <w:rFonts w:asciiTheme="majorHAnsi" w:eastAsia="Calibri" w:hAnsiTheme="majorHAnsi" w:cstheme="majorHAnsi"/>
          <w:b w:val="0"/>
          <w:bCs w:val="0"/>
          <w:i/>
          <w:sz w:val="20"/>
          <w:szCs w:val="20"/>
          <w:shd w:val="clear" w:color="auto" w:fill="FFFFFF"/>
        </w:rPr>
        <w:t xml:space="preserve"> BNS.</w:t>
      </w:r>
      <w:r w:rsidRPr="00EB4423">
        <w:rPr>
          <w:rFonts w:asciiTheme="majorHAnsi" w:eastAsia="Calibri" w:hAnsiTheme="majorHAnsi" w:cstheme="majorHAnsi"/>
          <w:i/>
          <w:sz w:val="20"/>
          <w:szCs w:val="20"/>
          <w:shd w:val="clear" w:color="auto" w:fill="FFFFFF"/>
        </w:rPr>
        <w:t xml:space="preserve"> </w:t>
      </w:r>
    </w:p>
    <w:p w:rsidR="00F2485C" w:rsidRDefault="00BE49FB" w:rsidP="00F46FB7">
      <w:pPr>
        <w:spacing w:before="120" w:after="0" w:line="276" w:lineRule="auto"/>
        <w:jc w:val="both"/>
        <w:rPr>
          <w:rFonts w:asciiTheme="majorHAnsi" w:eastAsia="Calibri" w:hAnsiTheme="majorHAnsi" w:cstheme="majorHAnsi"/>
          <w:bCs w:val="0"/>
          <w:sz w:val="20"/>
          <w:szCs w:val="20"/>
          <w:shd w:val="clear" w:color="auto" w:fill="FFFFFF"/>
        </w:rPr>
      </w:pPr>
      <w:r w:rsidRPr="008376FC">
        <w:rPr>
          <w:rFonts w:asciiTheme="majorHAnsi" w:eastAsia="Calibri" w:hAnsiTheme="majorHAnsi" w:cstheme="majorHAnsi"/>
          <w:b w:val="0"/>
          <w:bCs w:val="0"/>
          <w:sz w:val="24"/>
          <w:szCs w:val="24"/>
          <w:shd w:val="clear" w:color="auto" w:fill="FFFFFF"/>
        </w:rPr>
        <w:t xml:space="preserve">De menționat </w:t>
      </w:r>
      <w:r w:rsidR="00236E8C" w:rsidRPr="008376FC">
        <w:rPr>
          <w:rFonts w:asciiTheme="majorHAnsi" w:eastAsia="Calibri" w:hAnsiTheme="majorHAnsi" w:cstheme="majorHAnsi"/>
          <w:b w:val="0"/>
          <w:bCs w:val="0"/>
          <w:sz w:val="24"/>
          <w:szCs w:val="24"/>
          <w:shd w:val="clear" w:color="auto" w:fill="FFFFFF"/>
        </w:rPr>
        <w:t xml:space="preserve">că, </w:t>
      </w:r>
      <w:r w:rsidR="005C662A">
        <w:rPr>
          <w:rFonts w:asciiTheme="majorHAnsi" w:eastAsia="Calibri" w:hAnsiTheme="majorHAnsi" w:cstheme="majorHAnsi"/>
          <w:b w:val="0"/>
          <w:bCs w:val="0"/>
          <w:sz w:val="24"/>
          <w:szCs w:val="24"/>
          <w:shd w:val="clear" w:color="auto" w:fill="FFFFFF"/>
        </w:rPr>
        <w:t xml:space="preserve">conform datelor BNS, </w:t>
      </w:r>
      <w:r w:rsidR="00236E8C" w:rsidRPr="008376FC">
        <w:rPr>
          <w:rFonts w:asciiTheme="majorHAnsi" w:eastAsia="Calibri" w:hAnsiTheme="majorHAnsi" w:cstheme="majorHAnsi"/>
          <w:b w:val="0"/>
          <w:bCs w:val="0"/>
          <w:sz w:val="24"/>
          <w:szCs w:val="24"/>
          <w:shd w:val="clear" w:color="auto" w:fill="FFFFFF"/>
        </w:rPr>
        <w:t xml:space="preserve">la finele anului 2021, în </w:t>
      </w:r>
      <w:r w:rsidRPr="008376FC">
        <w:rPr>
          <w:rFonts w:asciiTheme="majorHAnsi" w:eastAsia="Calibri" w:hAnsiTheme="majorHAnsi" w:cstheme="majorHAnsi"/>
          <w:b w:val="0"/>
          <w:bCs w:val="0"/>
          <w:sz w:val="24"/>
          <w:szCs w:val="24"/>
          <w:shd w:val="clear" w:color="auto" w:fill="FFFFFF"/>
        </w:rPr>
        <w:t>10 localități</w:t>
      </w:r>
      <w:r w:rsidRPr="008376FC">
        <w:rPr>
          <w:rFonts w:asciiTheme="majorHAnsi" w:eastAsia="Calibri" w:hAnsiTheme="majorHAnsi" w:cstheme="majorHAnsi"/>
          <w:b w:val="0"/>
          <w:bCs w:val="0"/>
          <w:sz w:val="24"/>
          <w:szCs w:val="24"/>
          <w:shd w:val="clear" w:color="auto" w:fill="FFFFFF"/>
          <w:vertAlign w:val="superscript"/>
        </w:rPr>
        <w:footnoteReference w:id="73"/>
      </w:r>
      <w:r w:rsidRPr="008376FC">
        <w:rPr>
          <w:rFonts w:asciiTheme="majorHAnsi" w:eastAsia="Calibri" w:hAnsiTheme="majorHAnsi" w:cstheme="majorHAnsi"/>
          <w:b w:val="0"/>
          <w:bCs w:val="0"/>
          <w:sz w:val="24"/>
          <w:szCs w:val="24"/>
          <w:shd w:val="clear" w:color="auto" w:fill="FFFFFF"/>
        </w:rPr>
        <w:t xml:space="preserve"> care gestionează 14 sisteme de aliment</w:t>
      </w:r>
      <w:r w:rsidR="006F7B72" w:rsidRPr="008376FC">
        <w:rPr>
          <w:rFonts w:asciiTheme="majorHAnsi" w:eastAsia="Calibri" w:hAnsiTheme="majorHAnsi" w:cstheme="majorHAnsi"/>
          <w:b w:val="0"/>
          <w:bCs w:val="0"/>
          <w:sz w:val="24"/>
          <w:szCs w:val="24"/>
          <w:shd w:val="clear" w:color="auto" w:fill="FFFFFF"/>
        </w:rPr>
        <w:t>are cu apă</w:t>
      </w:r>
      <w:r w:rsidR="00AC09DF">
        <w:rPr>
          <w:rFonts w:asciiTheme="majorHAnsi" w:eastAsia="Calibri" w:hAnsiTheme="majorHAnsi" w:cstheme="majorHAnsi"/>
          <w:b w:val="0"/>
          <w:bCs w:val="0"/>
          <w:sz w:val="24"/>
          <w:szCs w:val="24"/>
          <w:shd w:val="clear" w:color="auto" w:fill="FFFFFF"/>
        </w:rPr>
        <w:t>,</w:t>
      </w:r>
      <w:r w:rsidR="006F7B72" w:rsidRPr="008376FC">
        <w:rPr>
          <w:rFonts w:asciiTheme="majorHAnsi" w:eastAsia="Calibri" w:hAnsiTheme="majorHAnsi" w:cstheme="majorHAnsi"/>
          <w:b w:val="0"/>
          <w:bCs w:val="0"/>
          <w:sz w:val="24"/>
          <w:szCs w:val="24"/>
          <w:shd w:val="clear" w:color="auto" w:fill="FFFFFF"/>
        </w:rPr>
        <w:t xml:space="preserve"> nu funcționează nici</w:t>
      </w:r>
      <w:r w:rsidRPr="008376FC">
        <w:rPr>
          <w:rFonts w:asciiTheme="majorHAnsi" w:eastAsia="Calibri" w:hAnsiTheme="majorHAnsi" w:cstheme="majorHAnsi"/>
          <w:b w:val="0"/>
          <w:bCs w:val="0"/>
          <w:sz w:val="24"/>
          <w:szCs w:val="24"/>
          <w:shd w:val="clear" w:color="auto" w:fill="FFFFFF"/>
        </w:rPr>
        <w:t>un</w:t>
      </w:r>
      <w:r w:rsidR="00AC09DF">
        <w:rPr>
          <w:rFonts w:asciiTheme="majorHAnsi" w:eastAsia="Calibri" w:hAnsiTheme="majorHAnsi" w:cstheme="majorHAnsi"/>
          <w:b w:val="0"/>
          <w:bCs w:val="0"/>
          <w:sz w:val="24"/>
          <w:szCs w:val="24"/>
          <w:shd w:val="clear" w:color="auto" w:fill="FFFFFF"/>
        </w:rPr>
        <w:t xml:space="preserve"> sistem</w:t>
      </w:r>
      <w:r w:rsidRPr="008376FC">
        <w:rPr>
          <w:rFonts w:asciiTheme="majorHAnsi" w:eastAsia="Calibri" w:hAnsiTheme="majorHAnsi" w:cstheme="majorHAnsi"/>
          <w:b w:val="0"/>
          <w:bCs w:val="0"/>
          <w:sz w:val="24"/>
          <w:szCs w:val="24"/>
          <w:shd w:val="clear" w:color="auto" w:fill="FFFFFF"/>
        </w:rPr>
        <w:t>.</w:t>
      </w:r>
    </w:p>
    <w:p w:rsidR="00BE49FB" w:rsidRPr="00F2485C" w:rsidRDefault="009F7E18" w:rsidP="00F61756">
      <w:pPr>
        <w:spacing w:line="276" w:lineRule="auto"/>
        <w:jc w:val="right"/>
        <w:rPr>
          <w:rFonts w:asciiTheme="majorHAnsi" w:eastAsia="Calibri" w:hAnsiTheme="majorHAnsi" w:cstheme="majorHAnsi"/>
          <w:b w:val="0"/>
          <w:bCs w:val="0"/>
          <w:sz w:val="20"/>
          <w:szCs w:val="20"/>
          <w:shd w:val="clear" w:color="auto" w:fill="FFFFFF"/>
        </w:rPr>
      </w:pPr>
      <w:r w:rsidRPr="00F2485C">
        <w:rPr>
          <w:rFonts w:asciiTheme="majorHAnsi" w:eastAsia="Calibri" w:hAnsiTheme="majorHAnsi" w:cstheme="majorHAnsi"/>
          <w:bCs w:val="0"/>
          <w:sz w:val="20"/>
          <w:szCs w:val="20"/>
          <w:shd w:val="clear" w:color="auto" w:fill="FFFFFF"/>
        </w:rPr>
        <w:t xml:space="preserve">Tabelul nr. </w:t>
      </w:r>
      <w:r w:rsidR="0080078F" w:rsidRPr="00F2485C">
        <w:rPr>
          <w:rFonts w:asciiTheme="majorHAnsi" w:eastAsia="Calibri" w:hAnsiTheme="majorHAnsi" w:cstheme="majorHAnsi"/>
          <w:bCs w:val="0"/>
          <w:sz w:val="20"/>
          <w:szCs w:val="20"/>
          <w:shd w:val="clear" w:color="auto" w:fill="FFFFFF"/>
        </w:rPr>
        <w:t>1</w:t>
      </w:r>
      <w:r w:rsidR="0092109D" w:rsidRPr="00F2485C">
        <w:rPr>
          <w:rFonts w:asciiTheme="majorHAnsi" w:eastAsia="Calibri" w:hAnsiTheme="majorHAnsi" w:cstheme="majorHAnsi"/>
          <w:bCs w:val="0"/>
          <w:sz w:val="20"/>
          <w:szCs w:val="20"/>
          <w:shd w:val="clear" w:color="auto" w:fill="FFFFFF"/>
        </w:rPr>
        <w:t>6</w:t>
      </w:r>
    </w:p>
    <w:tbl>
      <w:tblPr>
        <w:tblStyle w:val="TableGrid4"/>
        <w:tblW w:w="9812" w:type="dxa"/>
        <w:tblLayout w:type="fixed"/>
        <w:tblLook w:val="04A0" w:firstRow="1" w:lastRow="0" w:firstColumn="1" w:lastColumn="0" w:noHBand="0" w:noVBand="1"/>
      </w:tblPr>
      <w:tblGrid>
        <w:gridCol w:w="618"/>
        <w:gridCol w:w="5012"/>
        <w:gridCol w:w="926"/>
        <w:gridCol w:w="859"/>
        <w:gridCol w:w="750"/>
        <w:gridCol w:w="821"/>
        <w:gridCol w:w="826"/>
      </w:tblGrid>
      <w:tr w:rsidR="00C812A2" w:rsidRPr="00F2485C" w:rsidTr="00F2485C">
        <w:trPr>
          <w:trHeight w:val="145"/>
        </w:trPr>
        <w:tc>
          <w:tcPr>
            <w:tcW w:w="9811" w:type="dxa"/>
            <w:gridSpan w:val="7"/>
            <w:tcBorders>
              <w:top w:val="nil"/>
              <w:left w:val="nil"/>
              <w:bottom w:val="single" w:sz="4" w:space="0" w:color="auto"/>
              <w:right w:val="nil"/>
            </w:tcBorders>
            <w:shd w:val="clear" w:color="auto" w:fill="auto"/>
          </w:tcPr>
          <w:p w:rsidR="00C812A2" w:rsidRPr="00F2485C" w:rsidRDefault="00C812A2" w:rsidP="00F61756">
            <w:pPr>
              <w:spacing w:line="276" w:lineRule="auto"/>
              <w:jc w:val="center"/>
              <w:rPr>
                <w:rFonts w:asciiTheme="majorHAnsi" w:eastAsia="Calibri" w:hAnsiTheme="majorHAnsi" w:cstheme="majorHAnsi"/>
                <w:bCs w:val="0"/>
                <w:sz w:val="20"/>
                <w:szCs w:val="20"/>
                <w:shd w:val="clear" w:color="auto" w:fill="FFFFFF"/>
              </w:rPr>
            </w:pPr>
            <w:r w:rsidRPr="00F2485C">
              <w:rPr>
                <w:rFonts w:asciiTheme="majorHAnsi" w:eastAsia="Calibri" w:hAnsiTheme="majorHAnsi" w:cstheme="majorHAnsi"/>
                <w:bCs w:val="0"/>
                <w:sz w:val="20"/>
                <w:szCs w:val="20"/>
                <w:shd w:val="clear" w:color="auto" w:fill="FFFFFF"/>
              </w:rPr>
              <w:t>Ponderea rețelelor de aprovizionare cu apă nefuncționale în totalul rețelelor gestionate, anul 2021</w:t>
            </w:r>
          </w:p>
        </w:tc>
      </w:tr>
      <w:tr w:rsidR="00BE49FB" w:rsidRPr="008376FC" w:rsidTr="00F2485C">
        <w:trPr>
          <w:trHeight w:val="150"/>
        </w:trPr>
        <w:tc>
          <w:tcPr>
            <w:tcW w:w="618" w:type="dxa"/>
            <w:vMerge w:val="restart"/>
            <w:tcBorders>
              <w:top w:val="single" w:sz="4" w:space="0" w:color="auto"/>
              <w:left w:val="single" w:sz="4" w:space="0" w:color="auto"/>
              <w:bottom w:val="single" w:sz="4" w:space="0" w:color="auto"/>
              <w:right w:val="single" w:sz="4" w:space="0" w:color="auto"/>
            </w:tcBorders>
            <w:shd w:val="clear" w:color="auto" w:fill="auto"/>
          </w:tcPr>
          <w:p w:rsidR="00BE49FB" w:rsidRPr="008376FC" w:rsidRDefault="00BE49FB" w:rsidP="00F61756">
            <w:pPr>
              <w:spacing w:line="276" w:lineRule="auto"/>
              <w:rPr>
                <w:rFonts w:asciiTheme="majorHAnsi" w:eastAsia="Calibri" w:hAnsiTheme="majorHAnsi" w:cstheme="majorHAnsi"/>
                <w:bCs w:val="0"/>
                <w:sz w:val="20"/>
                <w:szCs w:val="20"/>
                <w:shd w:val="clear" w:color="auto" w:fill="FFFFFF"/>
              </w:rPr>
            </w:pPr>
            <w:r w:rsidRPr="008376FC">
              <w:rPr>
                <w:rFonts w:asciiTheme="majorHAnsi" w:eastAsia="Calibri" w:hAnsiTheme="majorHAnsi" w:cstheme="majorHAnsi"/>
                <w:bCs w:val="0"/>
                <w:sz w:val="20"/>
                <w:szCs w:val="20"/>
                <w:shd w:val="clear" w:color="auto" w:fill="FFFFFF"/>
              </w:rPr>
              <w:t xml:space="preserve">Nr. </w:t>
            </w:r>
            <w:r w:rsidR="00AC09DF">
              <w:rPr>
                <w:rFonts w:asciiTheme="majorHAnsi" w:eastAsia="Calibri" w:hAnsiTheme="majorHAnsi" w:cstheme="majorHAnsi"/>
                <w:bCs w:val="0"/>
                <w:sz w:val="20"/>
                <w:szCs w:val="20"/>
                <w:shd w:val="clear" w:color="auto" w:fill="FFFFFF"/>
              </w:rPr>
              <w:t>crt.</w:t>
            </w:r>
          </w:p>
        </w:tc>
        <w:tc>
          <w:tcPr>
            <w:tcW w:w="5012" w:type="dxa"/>
            <w:vMerge w:val="restart"/>
            <w:tcBorders>
              <w:top w:val="single" w:sz="4" w:space="0" w:color="auto"/>
              <w:left w:val="single" w:sz="4" w:space="0" w:color="auto"/>
              <w:bottom w:val="single" w:sz="4" w:space="0" w:color="auto"/>
              <w:right w:val="single" w:sz="4" w:space="0" w:color="auto"/>
            </w:tcBorders>
            <w:shd w:val="clear" w:color="auto" w:fill="auto"/>
          </w:tcPr>
          <w:p w:rsidR="00BE49FB" w:rsidRPr="008376FC" w:rsidRDefault="00BE49FB" w:rsidP="00F61756">
            <w:pPr>
              <w:spacing w:line="276" w:lineRule="auto"/>
              <w:rPr>
                <w:rFonts w:asciiTheme="majorHAnsi" w:eastAsia="Calibri" w:hAnsiTheme="majorHAnsi" w:cstheme="majorHAnsi"/>
                <w:bCs w:val="0"/>
                <w:sz w:val="20"/>
                <w:szCs w:val="20"/>
                <w:shd w:val="clear" w:color="auto" w:fill="FFFFFF"/>
              </w:rPr>
            </w:pPr>
            <w:r w:rsidRPr="008376FC">
              <w:rPr>
                <w:rFonts w:asciiTheme="majorHAnsi" w:eastAsia="Calibri" w:hAnsiTheme="majorHAnsi" w:cstheme="majorHAnsi"/>
                <w:bCs w:val="0"/>
                <w:sz w:val="20"/>
                <w:szCs w:val="20"/>
                <w:shd w:val="clear" w:color="auto" w:fill="FFFFFF"/>
              </w:rPr>
              <w:t>Indicatorii</w:t>
            </w:r>
          </w:p>
        </w:tc>
        <w:tc>
          <w:tcPr>
            <w:tcW w:w="4182" w:type="dxa"/>
            <w:gridSpan w:val="5"/>
            <w:tcBorders>
              <w:top w:val="single" w:sz="4" w:space="0" w:color="auto"/>
              <w:left w:val="single" w:sz="4" w:space="0" w:color="auto"/>
              <w:bottom w:val="single" w:sz="4" w:space="0" w:color="auto"/>
              <w:right w:val="single" w:sz="4" w:space="0" w:color="auto"/>
            </w:tcBorders>
            <w:shd w:val="clear" w:color="auto" w:fill="auto"/>
          </w:tcPr>
          <w:p w:rsidR="00BE49FB" w:rsidRPr="008376FC" w:rsidRDefault="00BE49FB" w:rsidP="00F61756">
            <w:pPr>
              <w:spacing w:line="276" w:lineRule="auto"/>
              <w:rPr>
                <w:rFonts w:asciiTheme="majorHAnsi" w:eastAsia="Calibri" w:hAnsiTheme="majorHAnsi" w:cstheme="majorHAnsi"/>
                <w:bCs w:val="0"/>
                <w:sz w:val="20"/>
                <w:szCs w:val="20"/>
                <w:shd w:val="clear" w:color="auto" w:fill="FFFFFF"/>
              </w:rPr>
            </w:pPr>
            <w:r w:rsidRPr="008376FC">
              <w:rPr>
                <w:rFonts w:asciiTheme="majorHAnsi" w:eastAsia="Calibri" w:hAnsiTheme="majorHAnsi" w:cstheme="majorHAnsi"/>
                <w:bCs w:val="0"/>
                <w:sz w:val="20"/>
                <w:szCs w:val="20"/>
                <w:shd w:val="clear" w:color="auto" w:fill="FFFFFF"/>
              </w:rPr>
              <w:t>Nefuncționale</w:t>
            </w:r>
          </w:p>
        </w:tc>
      </w:tr>
      <w:tr w:rsidR="005C662A" w:rsidRPr="008376FC" w:rsidTr="00F2485C">
        <w:trPr>
          <w:trHeight w:val="140"/>
        </w:trPr>
        <w:tc>
          <w:tcPr>
            <w:tcW w:w="618" w:type="dxa"/>
            <w:vMerge/>
            <w:tcBorders>
              <w:top w:val="single" w:sz="4" w:space="0" w:color="auto"/>
            </w:tcBorders>
            <w:shd w:val="clear" w:color="auto" w:fill="auto"/>
          </w:tcPr>
          <w:p w:rsidR="005C662A" w:rsidRPr="008376FC" w:rsidRDefault="005C662A" w:rsidP="00F61756">
            <w:pPr>
              <w:spacing w:line="276" w:lineRule="auto"/>
              <w:rPr>
                <w:rFonts w:asciiTheme="majorHAnsi" w:eastAsia="Calibri" w:hAnsiTheme="majorHAnsi" w:cstheme="majorHAnsi"/>
                <w:bCs w:val="0"/>
                <w:sz w:val="20"/>
                <w:szCs w:val="20"/>
                <w:shd w:val="clear" w:color="auto" w:fill="FFFFFF"/>
              </w:rPr>
            </w:pPr>
          </w:p>
        </w:tc>
        <w:tc>
          <w:tcPr>
            <w:tcW w:w="5012" w:type="dxa"/>
            <w:vMerge/>
            <w:tcBorders>
              <w:top w:val="single" w:sz="4" w:space="0" w:color="auto"/>
            </w:tcBorders>
            <w:shd w:val="clear" w:color="auto" w:fill="auto"/>
          </w:tcPr>
          <w:p w:rsidR="005C662A" w:rsidRPr="008376FC" w:rsidRDefault="005C662A" w:rsidP="00F61756">
            <w:pPr>
              <w:spacing w:line="276" w:lineRule="auto"/>
              <w:rPr>
                <w:rFonts w:asciiTheme="majorHAnsi" w:eastAsia="Calibri" w:hAnsiTheme="majorHAnsi" w:cstheme="majorHAnsi"/>
                <w:bCs w:val="0"/>
                <w:sz w:val="20"/>
                <w:szCs w:val="20"/>
                <w:shd w:val="clear" w:color="auto" w:fill="FFFFFF"/>
              </w:rPr>
            </w:pPr>
          </w:p>
        </w:tc>
        <w:tc>
          <w:tcPr>
            <w:tcW w:w="926" w:type="dxa"/>
            <w:vMerge w:val="restart"/>
            <w:tcBorders>
              <w:top w:val="single" w:sz="4" w:space="0" w:color="auto"/>
            </w:tcBorders>
            <w:shd w:val="clear" w:color="auto" w:fill="auto"/>
          </w:tcPr>
          <w:p w:rsidR="005C662A" w:rsidRPr="008376FC" w:rsidRDefault="005C662A" w:rsidP="00F61756">
            <w:pPr>
              <w:spacing w:line="276" w:lineRule="auto"/>
              <w:rPr>
                <w:rFonts w:asciiTheme="majorHAnsi" w:eastAsia="Calibri" w:hAnsiTheme="majorHAnsi" w:cstheme="majorHAnsi"/>
                <w:bCs w:val="0"/>
                <w:sz w:val="20"/>
                <w:szCs w:val="20"/>
                <w:shd w:val="clear" w:color="auto" w:fill="FFFFFF"/>
              </w:rPr>
            </w:pPr>
            <w:r w:rsidRPr="008376FC">
              <w:rPr>
                <w:rFonts w:asciiTheme="majorHAnsi" w:eastAsia="Calibri" w:hAnsiTheme="majorHAnsi" w:cstheme="majorHAnsi"/>
                <w:bCs w:val="0"/>
                <w:sz w:val="20"/>
                <w:szCs w:val="20"/>
                <w:shd w:val="clear" w:color="auto" w:fill="FFFFFF"/>
              </w:rPr>
              <w:t>total</w:t>
            </w:r>
          </w:p>
        </w:tc>
        <w:tc>
          <w:tcPr>
            <w:tcW w:w="3255" w:type="dxa"/>
            <w:gridSpan w:val="4"/>
            <w:tcBorders>
              <w:top w:val="single" w:sz="4" w:space="0" w:color="auto"/>
            </w:tcBorders>
            <w:shd w:val="clear" w:color="auto" w:fill="auto"/>
          </w:tcPr>
          <w:p w:rsidR="005C662A" w:rsidRPr="008376FC" w:rsidRDefault="005C662A" w:rsidP="00F61756">
            <w:pPr>
              <w:spacing w:line="276" w:lineRule="auto"/>
              <w:rPr>
                <w:rFonts w:asciiTheme="majorHAnsi" w:eastAsia="Calibri" w:hAnsiTheme="majorHAnsi" w:cstheme="majorHAnsi"/>
                <w:bCs w:val="0"/>
                <w:sz w:val="20"/>
                <w:szCs w:val="20"/>
                <w:shd w:val="clear" w:color="auto" w:fill="FFFFFF"/>
              </w:rPr>
            </w:pPr>
            <w:r>
              <w:rPr>
                <w:rFonts w:asciiTheme="majorHAnsi" w:eastAsia="Calibri" w:hAnsiTheme="majorHAnsi" w:cstheme="majorHAnsi"/>
                <w:bCs w:val="0"/>
                <w:sz w:val="20"/>
                <w:szCs w:val="20"/>
                <w:shd w:val="clear" w:color="auto" w:fill="FFFFFF"/>
              </w:rPr>
              <w:t>Ponderea în total a celor nefuncționale</w:t>
            </w:r>
          </w:p>
        </w:tc>
      </w:tr>
      <w:tr w:rsidR="005C662A" w:rsidRPr="008376FC" w:rsidTr="00F2485C">
        <w:trPr>
          <w:trHeight w:val="140"/>
        </w:trPr>
        <w:tc>
          <w:tcPr>
            <w:tcW w:w="618" w:type="dxa"/>
            <w:vMerge/>
            <w:tcBorders>
              <w:top w:val="single" w:sz="4" w:space="0" w:color="auto"/>
            </w:tcBorders>
            <w:shd w:val="clear" w:color="auto" w:fill="auto"/>
          </w:tcPr>
          <w:p w:rsidR="005C662A" w:rsidRPr="008376FC" w:rsidRDefault="005C662A" w:rsidP="00F61756">
            <w:pPr>
              <w:spacing w:line="276" w:lineRule="auto"/>
              <w:rPr>
                <w:rFonts w:asciiTheme="majorHAnsi" w:eastAsia="Calibri" w:hAnsiTheme="majorHAnsi" w:cstheme="majorHAnsi"/>
                <w:bCs w:val="0"/>
                <w:sz w:val="20"/>
                <w:szCs w:val="20"/>
                <w:shd w:val="clear" w:color="auto" w:fill="FFFFFF"/>
              </w:rPr>
            </w:pPr>
          </w:p>
        </w:tc>
        <w:tc>
          <w:tcPr>
            <w:tcW w:w="5012" w:type="dxa"/>
            <w:vMerge/>
            <w:tcBorders>
              <w:top w:val="single" w:sz="4" w:space="0" w:color="auto"/>
            </w:tcBorders>
            <w:shd w:val="clear" w:color="auto" w:fill="auto"/>
          </w:tcPr>
          <w:p w:rsidR="005C662A" w:rsidRPr="008376FC" w:rsidRDefault="005C662A" w:rsidP="00F61756">
            <w:pPr>
              <w:spacing w:line="276" w:lineRule="auto"/>
              <w:rPr>
                <w:rFonts w:asciiTheme="majorHAnsi" w:eastAsia="Calibri" w:hAnsiTheme="majorHAnsi" w:cstheme="majorHAnsi"/>
                <w:bCs w:val="0"/>
                <w:sz w:val="20"/>
                <w:szCs w:val="20"/>
                <w:shd w:val="clear" w:color="auto" w:fill="FFFFFF"/>
              </w:rPr>
            </w:pPr>
          </w:p>
        </w:tc>
        <w:tc>
          <w:tcPr>
            <w:tcW w:w="926" w:type="dxa"/>
            <w:vMerge/>
            <w:shd w:val="clear" w:color="auto" w:fill="auto"/>
          </w:tcPr>
          <w:p w:rsidR="005C662A" w:rsidRPr="008376FC" w:rsidRDefault="005C662A" w:rsidP="00F61756">
            <w:pPr>
              <w:spacing w:line="276" w:lineRule="auto"/>
              <w:rPr>
                <w:rFonts w:asciiTheme="majorHAnsi" w:eastAsia="Calibri" w:hAnsiTheme="majorHAnsi" w:cstheme="majorHAnsi"/>
                <w:bCs w:val="0"/>
                <w:sz w:val="20"/>
                <w:szCs w:val="20"/>
                <w:shd w:val="clear" w:color="auto" w:fill="FFFFFF"/>
              </w:rPr>
            </w:pPr>
          </w:p>
        </w:tc>
        <w:tc>
          <w:tcPr>
            <w:tcW w:w="859" w:type="dxa"/>
            <w:tcBorders>
              <w:top w:val="single" w:sz="4" w:space="0" w:color="auto"/>
            </w:tcBorders>
            <w:shd w:val="clear" w:color="auto" w:fill="auto"/>
          </w:tcPr>
          <w:p w:rsidR="005C662A" w:rsidRPr="008376FC" w:rsidRDefault="005C662A" w:rsidP="00F61756">
            <w:pPr>
              <w:spacing w:line="276" w:lineRule="auto"/>
              <w:rPr>
                <w:rFonts w:asciiTheme="majorHAnsi" w:eastAsia="Calibri" w:hAnsiTheme="majorHAnsi" w:cstheme="majorHAnsi"/>
                <w:bCs w:val="0"/>
                <w:sz w:val="20"/>
                <w:szCs w:val="20"/>
                <w:shd w:val="clear" w:color="auto" w:fill="FFFFFF"/>
              </w:rPr>
            </w:pPr>
            <w:r w:rsidRPr="008376FC">
              <w:rPr>
                <w:rFonts w:asciiTheme="majorHAnsi" w:eastAsia="Calibri" w:hAnsiTheme="majorHAnsi" w:cstheme="majorHAnsi"/>
                <w:bCs w:val="0"/>
                <w:sz w:val="20"/>
                <w:szCs w:val="20"/>
                <w:shd w:val="clear" w:color="auto" w:fill="FFFFFF"/>
              </w:rPr>
              <w:t>100%</w:t>
            </w:r>
          </w:p>
        </w:tc>
        <w:tc>
          <w:tcPr>
            <w:tcW w:w="750" w:type="dxa"/>
            <w:tcBorders>
              <w:top w:val="single" w:sz="4" w:space="0" w:color="auto"/>
            </w:tcBorders>
            <w:shd w:val="clear" w:color="auto" w:fill="auto"/>
          </w:tcPr>
          <w:p w:rsidR="005C662A" w:rsidRPr="008376FC" w:rsidRDefault="005C662A" w:rsidP="00F61756">
            <w:pPr>
              <w:spacing w:line="276" w:lineRule="auto"/>
              <w:rPr>
                <w:rFonts w:asciiTheme="majorHAnsi" w:eastAsia="Calibri" w:hAnsiTheme="majorHAnsi" w:cstheme="majorHAnsi"/>
                <w:bCs w:val="0"/>
                <w:sz w:val="20"/>
                <w:szCs w:val="20"/>
                <w:shd w:val="clear" w:color="auto" w:fill="FFFFFF"/>
              </w:rPr>
            </w:pPr>
            <w:r w:rsidRPr="008376FC">
              <w:rPr>
                <w:rFonts w:asciiTheme="majorHAnsi" w:eastAsia="Calibri" w:hAnsiTheme="majorHAnsi" w:cstheme="majorHAnsi"/>
                <w:bCs w:val="0"/>
                <w:sz w:val="20"/>
                <w:szCs w:val="20"/>
                <w:shd w:val="clear" w:color="auto" w:fill="FFFFFF"/>
              </w:rPr>
              <w:t>≤50%</w:t>
            </w:r>
          </w:p>
        </w:tc>
        <w:tc>
          <w:tcPr>
            <w:tcW w:w="821" w:type="dxa"/>
            <w:tcBorders>
              <w:top w:val="single" w:sz="4" w:space="0" w:color="auto"/>
            </w:tcBorders>
            <w:shd w:val="clear" w:color="auto" w:fill="auto"/>
          </w:tcPr>
          <w:p w:rsidR="005C662A" w:rsidRPr="008376FC" w:rsidRDefault="005C662A" w:rsidP="00F61756">
            <w:pPr>
              <w:spacing w:line="276" w:lineRule="auto"/>
              <w:rPr>
                <w:rFonts w:asciiTheme="majorHAnsi" w:eastAsia="Calibri" w:hAnsiTheme="majorHAnsi" w:cstheme="majorHAnsi"/>
                <w:bCs w:val="0"/>
                <w:sz w:val="20"/>
                <w:szCs w:val="20"/>
                <w:shd w:val="clear" w:color="auto" w:fill="FFFFFF"/>
              </w:rPr>
            </w:pPr>
            <w:r w:rsidRPr="008376FC">
              <w:rPr>
                <w:rFonts w:asciiTheme="majorHAnsi" w:eastAsia="Calibri" w:hAnsiTheme="majorHAnsi" w:cstheme="majorHAnsi"/>
                <w:bCs w:val="0"/>
                <w:sz w:val="20"/>
                <w:szCs w:val="20"/>
                <w:shd w:val="clear" w:color="auto" w:fill="FFFFFF"/>
              </w:rPr>
              <w:t>50%</w:t>
            </w:r>
          </w:p>
        </w:tc>
        <w:tc>
          <w:tcPr>
            <w:tcW w:w="825" w:type="dxa"/>
            <w:tcBorders>
              <w:top w:val="single" w:sz="4" w:space="0" w:color="auto"/>
            </w:tcBorders>
            <w:shd w:val="clear" w:color="auto" w:fill="auto"/>
          </w:tcPr>
          <w:p w:rsidR="005C662A" w:rsidRPr="008376FC" w:rsidRDefault="005C662A" w:rsidP="00F61756">
            <w:pPr>
              <w:spacing w:line="276" w:lineRule="auto"/>
              <w:rPr>
                <w:rFonts w:asciiTheme="majorHAnsi" w:eastAsia="Calibri" w:hAnsiTheme="majorHAnsi" w:cstheme="majorHAnsi"/>
                <w:bCs w:val="0"/>
                <w:sz w:val="20"/>
                <w:szCs w:val="20"/>
                <w:shd w:val="clear" w:color="auto" w:fill="FFFFFF"/>
              </w:rPr>
            </w:pPr>
            <w:r w:rsidRPr="008376FC">
              <w:rPr>
                <w:rFonts w:asciiTheme="majorHAnsi" w:eastAsia="Calibri" w:hAnsiTheme="majorHAnsi" w:cstheme="majorHAnsi"/>
                <w:bCs w:val="0"/>
                <w:sz w:val="20"/>
                <w:szCs w:val="20"/>
                <w:shd w:val="clear" w:color="auto" w:fill="FFFFFF"/>
              </w:rPr>
              <w:t>≥50%</w:t>
            </w:r>
          </w:p>
        </w:tc>
      </w:tr>
      <w:tr w:rsidR="00BE49FB" w:rsidRPr="008376FC" w:rsidTr="00F2485C">
        <w:trPr>
          <w:trHeight w:val="144"/>
        </w:trPr>
        <w:tc>
          <w:tcPr>
            <w:tcW w:w="618"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1</w:t>
            </w:r>
          </w:p>
        </w:tc>
        <w:tc>
          <w:tcPr>
            <w:tcW w:w="5012"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Numărul de sisteme de alimentare cu apă nefuncționale</w:t>
            </w:r>
          </w:p>
        </w:tc>
        <w:tc>
          <w:tcPr>
            <w:tcW w:w="926"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73</w:t>
            </w:r>
          </w:p>
        </w:tc>
        <w:tc>
          <w:tcPr>
            <w:tcW w:w="859"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14</w:t>
            </w:r>
          </w:p>
        </w:tc>
        <w:tc>
          <w:tcPr>
            <w:tcW w:w="750"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27</w:t>
            </w:r>
          </w:p>
        </w:tc>
        <w:tc>
          <w:tcPr>
            <w:tcW w:w="821"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23</w:t>
            </w:r>
          </w:p>
        </w:tc>
        <w:tc>
          <w:tcPr>
            <w:tcW w:w="825"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9</w:t>
            </w:r>
          </w:p>
        </w:tc>
      </w:tr>
      <w:tr w:rsidR="00BE49FB" w:rsidRPr="008376FC" w:rsidTr="00F2485C">
        <w:trPr>
          <w:trHeight w:val="54"/>
        </w:trPr>
        <w:tc>
          <w:tcPr>
            <w:tcW w:w="618"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2</w:t>
            </w:r>
          </w:p>
        </w:tc>
        <w:tc>
          <w:tcPr>
            <w:tcW w:w="5012"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 xml:space="preserve">Numărul total de localități cu sisteme nefuncționale </w:t>
            </w:r>
          </w:p>
        </w:tc>
        <w:tc>
          <w:tcPr>
            <w:tcW w:w="926"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52</w:t>
            </w:r>
          </w:p>
        </w:tc>
        <w:tc>
          <w:tcPr>
            <w:tcW w:w="859"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10</w:t>
            </w:r>
          </w:p>
        </w:tc>
        <w:tc>
          <w:tcPr>
            <w:tcW w:w="750"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20</w:t>
            </w:r>
          </w:p>
        </w:tc>
        <w:tc>
          <w:tcPr>
            <w:tcW w:w="821"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18</w:t>
            </w:r>
          </w:p>
        </w:tc>
        <w:tc>
          <w:tcPr>
            <w:tcW w:w="825" w:type="dxa"/>
            <w:tcBorders>
              <w:bottom w:val="single" w:sz="4" w:space="0" w:color="auto"/>
            </w:tcBorders>
          </w:tcPr>
          <w:p w:rsidR="00BE49FB" w:rsidRPr="008376FC" w:rsidRDefault="00BE49FB" w:rsidP="00F61756">
            <w:pPr>
              <w:spacing w:line="276" w:lineRule="auto"/>
              <w:rPr>
                <w:rFonts w:asciiTheme="majorHAnsi" w:eastAsia="Calibri" w:hAnsiTheme="majorHAnsi" w:cstheme="majorHAnsi"/>
                <w:b w:val="0"/>
                <w:bCs w:val="0"/>
                <w:sz w:val="20"/>
                <w:szCs w:val="20"/>
                <w:shd w:val="clear" w:color="auto" w:fill="FFFFFF"/>
              </w:rPr>
            </w:pPr>
            <w:r w:rsidRPr="008376FC">
              <w:rPr>
                <w:rFonts w:asciiTheme="majorHAnsi" w:eastAsia="Calibri" w:hAnsiTheme="majorHAnsi" w:cstheme="majorHAnsi"/>
                <w:b w:val="0"/>
                <w:bCs w:val="0"/>
                <w:sz w:val="20"/>
                <w:szCs w:val="20"/>
                <w:shd w:val="clear" w:color="auto" w:fill="FFFFFF"/>
              </w:rPr>
              <w:t>4</w:t>
            </w:r>
          </w:p>
        </w:tc>
      </w:tr>
      <w:tr w:rsidR="00C812A2" w:rsidRPr="008376FC" w:rsidTr="00F2485C">
        <w:trPr>
          <w:trHeight w:val="60"/>
        </w:trPr>
        <w:tc>
          <w:tcPr>
            <w:tcW w:w="9811" w:type="dxa"/>
            <w:gridSpan w:val="7"/>
            <w:tcBorders>
              <w:top w:val="single" w:sz="4" w:space="0" w:color="auto"/>
              <w:left w:val="nil"/>
              <w:bottom w:val="nil"/>
              <w:right w:val="nil"/>
            </w:tcBorders>
          </w:tcPr>
          <w:p w:rsidR="00C812A2" w:rsidRPr="00EB4423" w:rsidRDefault="00C812A2" w:rsidP="00F61756">
            <w:pPr>
              <w:tabs>
                <w:tab w:val="left" w:pos="851"/>
              </w:tabs>
              <w:spacing w:line="276" w:lineRule="auto"/>
              <w:ind w:left="567"/>
              <w:contextualSpacing/>
              <w:rPr>
                <w:rFonts w:asciiTheme="majorHAnsi" w:eastAsia="Calibri" w:hAnsiTheme="majorHAnsi" w:cstheme="majorHAnsi"/>
                <w:b w:val="0"/>
                <w:bCs w:val="0"/>
                <w:i/>
                <w:sz w:val="20"/>
                <w:szCs w:val="20"/>
                <w:shd w:val="clear" w:color="auto" w:fill="FFFFFF"/>
              </w:rPr>
            </w:pPr>
            <w:r w:rsidRPr="00EB4423">
              <w:rPr>
                <w:rFonts w:asciiTheme="majorHAnsi" w:eastAsia="Calibri" w:hAnsiTheme="majorHAnsi" w:cstheme="majorHAnsi"/>
                <w:bCs w:val="0"/>
                <w:i/>
                <w:noProof/>
                <w:sz w:val="20"/>
                <w:szCs w:val="20"/>
                <w:lang w:eastAsia="ru-RU"/>
              </w:rPr>
              <w:t>Sursa:</w:t>
            </w:r>
            <w:r w:rsidRPr="00EB4423">
              <w:rPr>
                <w:rFonts w:asciiTheme="majorHAnsi" w:eastAsia="Calibri" w:hAnsiTheme="majorHAnsi" w:cstheme="majorHAnsi"/>
                <w:b w:val="0"/>
                <w:bCs w:val="0"/>
                <w:i/>
                <w:noProof/>
                <w:sz w:val="20"/>
                <w:szCs w:val="20"/>
                <w:lang w:eastAsia="ru-RU"/>
              </w:rPr>
              <w:t xml:space="preserve"> Date</w:t>
            </w:r>
            <w:r w:rsidR="00AC09DF">
              <w:rPr>
                <w:rFonts w:asciiTheme="majorHAnsi" w:eastAsia="Calibri" w:hAnsiTheme="majorHAnsi" w:cstheme="majorHAnsi"/>
                <w:b w:val="0"/>
                <w:bCs w:val="0"/>
                <w:i/>
                <w:noProof/>
                <w:sz w:val="20"/>
                <w:szCs w:val="20"/>
                <w:lang w:eastAsia="ru-RU"/>
              </w:rPr>
              <w:t xml:space="preserve"> oferite de</w:t>
            </w:r>
            <w:r w:rsidRPr="00EB4423">
              <w:rPr>
                <w:rFonts w:asciiTheme="majorHAnsi" w:eastAsia="Calibri" w:hAnsiTheme="majorHAnsi" w:cstheme="majorHAnsi"/>
                <w:b w:val="0"/>
                <w:bCs w:val="0"/>
                <w:i/>
                <w:noProof/>
                <w:sz w:val="20"/>
                <w:szCs w:val="20"/>
                <w:lang w:eastAsia="ru-RU"/>
              </w:rPr>
              <w:t xml:space="preserve"> BNS. </w:t>
            </w:r>
          </w:p>
        </w:tc>
      </w:tr>
    </w:tbl>
    <w:p w:rsidR="00BE49FB" w:rsidRPr="008376FC" w:rsidRDefault="00BE49FB" w:rsidP="00F61756">
      <w:pPr>
        <w:spacing w:before="120" w:after="0" w:line="276" w:lineRule="auto"/>
        <w:jc w:val="both"/>
        <w:rPr>
          <w:rFonts w:asciiTheme="majorHAnsi" w:eastAsia="Calibri" w:hAnsiTheme="majorHAnsi" w:cstheme="majorHAnsi"/>
          <w:b w:val="0"/>
          <w:bCs w:val="0"/>
          <w:sz w:val="24"/>
          <w:szCs w:val="24"/>
          <w:shd w:val="clear" w:color="auto" w:fill="FFFFFF"/>
        </w:rPr>
      </w:pPr>
      <w:r w:rsidRPr="008376FC">
        <w:rPr>
          <w:rFonts w:asciiTheme="majorHAnsi" w:eastAsia="Calibri" w:hAnsiTheme="majorHAnsi" w:cstheme="majorHAnsi"/>
          <w:b w:val="0"/>
          <w:bCs w:val="0"/>
          <w:sz w:val="24"/>
          <w:szCs w:val="24"/>
          <w:shd w:val="clear" w:color="auto" w:fill="FFFFFF"/>
        </w:rPr>
        <w:t>O parte din localitățile țării (s.Cotiujeni</w:t>
      </w:r>
      <w:r w:rsidR="00AC09DF">
        <w:rPr>
          <w:rFonts w:asciiTheme="majorHAnsi" w:eastAsia="Calibri" w:hAnsiTheme="majorHAnsi" w:cstheme="majorHAnsi"/>
          <w:b w:val="0"/>
          <w:bCs w:val="0"/>
          <w:sz w:val="24"/>
          <w:szCs w:val="24"/>
          <w:shd w:val="clear" w:color="auto" w:fill="FFFFFF"/>
        </w:rPr>
        <w:t>,</w:t>
      </w:r>
      <w:r w:rsidRPr="008376FC">
        <w:rPr>
          <w:rFonts w:asciiTheme="majorHAnsi" w:eastAsia="Calibri" w:hAnsiTheme="majorHAnsi" w:cstheme="majorHAnsi"/>
          <w:b w:val="0"/>
          <w:bCs w:val="0"/>
          <w:sz w:val="24"/>
          <w:szCs w:val="24"/>
          <w:shd w:val="clear" w:color="auto" w:fill="FFFFFF"/>
        </w:rPr>
        <w:t xml:space="preserve"> r</w:t>
      </w:r>
      <w:r w:rsidR="00AC09DF">
        <w:rPr>
          <w:rFonts w:asciiTheme="majorHAnsi" w:eastAsia="Calibri" w:hAnsiTheme="majorHAnsi" w:cstheme="majorHAnsi"/>
          <w:b w:val="0"/>
          <w:bCs w:val="0"/>
          <w:sz w:val="24"/>
          <w:szCs w:val="24"/>
          <w:shd w:val="clear" w:color="auto" w:fill="FFFFFF"/>
        </w:rPr>
        <w:t>-</w:t>
      </w:r>
      <w:r w:rsidRPr="008376FC">
        <w:rPr>
          <w:rFonts w:asciiTheme="majorHAnsi" w:eastAsia="Calibri" w:hAnsiTheme="majorHAnsi" w:cstheme="majorHAnsi"/>
          <w:b w:val="0"/>
          <w:bCs w:val="0"/>
          <w:sz w:val="24"/>
          <w:szCs w:val="24"/>
          <w:shd w:val="clear" w:color="auto" w:fill="FFFFFF"/>
        </w:rPr>
        <w:t>nul Briceni,  s.Cuhne</w:t>
      </w:r>
      <w:r w:rsidR="00AC09DF">
        <w:rPr>
          <w:rFonts w:asciiTheme="majorHAnsi" w:eastAsia="Calibri" w:hAnsiTheme="majorHAnsi" w:cstheme="majorHAnsi"/>
          <w:b w:val="0"/>
          <w:bCs w:val="0"/>
          <w:sz w:val="24"/>
          <w:szCs w:val="24"/>
          <w:shd w:val="clear" w:color="auto" w:fill="FFFFFF"/>
        </w:rPr>
        <w:t>ș</w:t>
      </w:r>
      <w:r w:rsidRPr="008376FC">
        <w:rPr>
          <w:rFonts w:asciiTheme="majorHAnsi" w:eastAsia="Calibri" w:hAnsiTheme="majorHAnsi" w:cstheme="majorHAnsi"/>
          <w:b w:val="0"/>
          <w:bCs w:val="0"/>
          <w:sz w:val="24"/>
          <w:szCs w:val="24"/>
          <w:shd w:val="clear" w:color="auto" w:fill="FFFFFF"/>
        </w:rPr>
        <w:t>ti</w:t>
      </w:r>
      <w:r w:rsidR="00AC09DF">
        <w:rPr>
          <w:rFonts w:asciiTheme="majorHAnsi" w:eastAsia="Calibri" w:hAnsiTheme="majorHAnsi" w:cstheme="majorHAnsi"/>
          <w:b w:val="0"/>
          <w:bCs w:val="0"/>
          <w:sz w:val="24"/>
          <w:szCs w:val="24"/>
          <w:shd w:val="clear" w:color="auto" w:fill="FFFFFF"/>
        </w:rPr>
        <w:t>,</w:t>
      </w:r>
      <w:r w:rsidRPr="008376FC">
        <w:rPr>
          <w:rFonts w:asciiTheme="majorHAnsi" w:eastAsia="Calibri" w:hAnsiTheme="majorHAnsi" w:cstheme="majorHAnsi"/>
          <w:b w:val="0"/>
          <w:bCs w:val="0"/>
          <w:sz w:val="24"/>
          <w:szCs w:val="24"/>
          <w:shd w:val="clear" w:color="auto" w:fill="FFFFFF"/>
        </w:rPr>
        <w:t xml:space="preserve">  r</w:t>
      </w:r>
      <w:r w:rsidR="00AC09DF">
        <w:rPr>
          <w:rFonts w:asciiTheme="majorHAnsi" w:eastAsia="Calibri" w:hAnsiTheme="majorHAnsi" w:cstheme="majorHAnsi"/>
          <w:b w:val="0"/>
          <w:bCs w:val="0"/>
          <w:sz w:val="24"/>
          <w:szCs w:val="24"/>
          <w:shd w:val="clear" w:color="auto" w:fill="FFFFFF"/>
        </w:rPr>
        <w:t>-</w:t>
      </w:r>
      <w:r w:rsidRPr="008376FC">
        <w:rPr>
          <w:rFonts w:asciiTheme="majorHAnsi" w:eastAsia="Calibri" w:hAnsiTheme="majorHAnsi" w:cstheme="majorHAnsi"/>
          <w:b w:val="0"/>
          <w:bCs w:val="0"/>
          <w:sz w:val="24"/>
          <w:szCs w:val="24"/>
          <w:shd w:val="clear" w:color="auto" w:fill="FFFFFF"/>
        </w:rPr>
        <w:t>nul Glodeni și s.Baimaclia</w:t>
      </w:r>
      <w:r w:rsidR="00AC09DF">
        <w:rPr>
          <w:rFonts w:asciiTheme="majorHAnsi" w:eastAsia="Calibri" w:hAnsiTheme="majorHAnsi" w:cstheme="majorHAnsi"/>
          <w:b w:val="0"/>
          <w:bCs w:val="0"/>
          <w:sz w:val="24"/>
          <w:szCs w:val="24"/>
          <w:shd w:val="clear" w:color="auto" w:fill="FFFFFF"/>
        </w:rPr>
        <w:t>,</w:t>
      </w:r>
      <w:r w:rsidRPr="008376FC">
        <w:rPr>
          <w:rFonts w:asciiTheme="majorHAnsi" w:eastAsia="Calibri" w:hAnsiTheme="majorHAnsi" w:cstheme="majorHAnsi"/>
          <w:b w:val="0"/>
          <w:bCs w:val="0"/>
          <w:sz w:val="24"/>
          <w:szCs w:val="24"/>
          <w:shd w:val="clear" w:color="auto" w:fill="FFFFFF"/>
        </w:rPr>
        <w:t xml:space="preserve"> r</w:t>
      </w:r>
      <w:r w:rsidR="00AC09DF">
        <w:rPr>
          <w:rFonts w:asciiTheme="majorHAnsi" w:eastAsia="Calibri" w:hAnsiTheme="majorHAnsi" w:cstheme="majorHAnsi"/>
          <w:b w:val="0"/>
          <w:bCs w:val="0"/>
          <w:sz w:val="24"/>
          <w:szCs w:val="24"/>
          <w:shd w:val="clear" w:color="auto" w:fill="FFFFFF"/>
        </w:rPr>
        <w:t>-</w:t>
      </w:r>
      <w:r w:rsidRPr="008376FC">
        <w:rPr>
          <w:rFonts w:asciiTheme="majorHAnsi" w:eastAsia="Calibri" w:hAnsiTheme="majorHAnsi" w:cstheme="majorHAnsi"/>
          <w:b w:val="0"/>
          <w:bCs w:val="0"/>
          <w:sz w:val="24"/>
          <w:szCs w:val="24"/>
          <w:shd w:val="clear" w:color="auto" w:fill="FFFFFF"/>
        </w:rPr>
        <w:t>nul Cantemir) raportează nefuncționarea sistemelor de alimentare cu apă încă din 2016, nefiind întreprinse măsuri de rigoare pentru reabilitarea lor sau inițierea construcției unui apeduct nou.</w:t>
      </w:r>
    </w:p>
    <w:p w:rsidR="00F638F7" w:rsidRPr="008376FC" w:rsidRDefault="00BE49FB" w:rsidP="00F61756">
      <w:pPr>
        <w:pStyle w:val="a3"/>
        <w:numPr>
          <w:ilvl w:val="2"/>
          <w:numId w:val="38"/>
        </w:numPr>
        <w:shd w:val="clear" w:color="auto" w:fill="FFFFFF"/>
        <w:tabs>
          <w:tab w:val="left" w:pos="284"/>
          <w:tab w:val="left" w:pos="567"/>
          <w:tab w:val="left" w:pos="709"/>
          <w:tab w:val="left" w:pos="851"/>
        </w:tabs>
        <w:spacing w:before="120" w:line="276" w:lineRule="auto"/>
        <w:ind w:left="0" w:firstLine="284"/>
        <w:jc w:val="both"/>
        <w:rPr>
          <w:rFonts w:asciiTheme="majorHAnsi" w:eastAsia="Calibri" w:hAnsiTheme="majorHAnsi" w:cstheme="majorHAnsi"/>
          <w:b/>
          <w:color w:val="0070C0"/>
          <w:shd w:val="clear" w:color="auto" w:fill="FFFFFF"/>
          <w:lang w:val="en-US"/>
        </w:rPr>
      </w:pPr>
      <w:r w:rsidRPr="008376FC">
        <w:rPr>
          <w:rFonts w:asciiTheme="majorHAnsi" w:eastAsia="Calibri" w:hAnsiTheme="majorHAnsi" w:cstheme="majorHAnsi"/>
          <w:b/>
          <w:color w:val="0070C0"/>
          <w:shd w:val="clear" w:color="auto" w:fill="FFFFFF"/>
          <w:lang w:val="en-US"/>
        </w:rPr>
        <w:t>Lungimea totală a sistemelor şi apeductelor de distribuție a apei în perioada 2014-2021 s-a extins cu 5</w:t>
      </w:r>
      <w:r w:rsidR="0004314A">
        <w:rPr>
          <w:rFonts w:asciiTheme="majorHAnsi" w:eastAsia="Calibri" w:hAnsiTheme="majorHAnsi" w:cstheme="majorHAnsi"/>
          <w:b/>
          <w:color w:val="0070C0"/>
          <w:shd w:val="clear" w:color="auto" w:fill="FFFFFF"/>
          <w:lang w:val="en-US"/>
        </w:rPr>
        <w:t>.</w:t>
      </w:r>
      <w:r w:rsidRPr="008376FC">
        <w:rPr>
          <w:rFonts w:asciiTheme="majorHAnsi" w:eastAsia="Calibri" w:hAnsiTheme="majorHAnsi" w:cstheme="majorHAnsi"/>
          <w:b/>
          <w:color w:val="0070C0"/>
          <w:shd w:val="clear" w:color="auto" w:fill="FFFFFF"/>
          <w:lang w:val="en-US"/>
        </w:rPr>
        <w:t xml:space="preserve">962,3 km, alcătuind </w:t>
      </w:r>
      <w:r w:rsidR="0004314A" w:rsidRPr="008376FC">
        <w:rPr>
          <w:rFonts w:asciiTheme="majorHAnsi" w:eastAsia="Calibri" w:hAnsiTheme="majorHAnsi" w:cstheme="majorHAnsi"/>
          <w:b/>
          <w:color w:val="0070C0"/>
          <w:shd w:val="clear" w:color="auto" w:fill="FFFFFF"/>
          <w:lang w:val="en-US"/>
        </w:rPr>
        <w:t>16</w:t>
      </w:r>
      <w:r w:rsidR="00ED79FC">
        <w:rPr>
          <w:rFonts w:asciiTheme="majorHAnsi" w:eastAsia="Calibri" w:hAnsiTheme="majorHAnsi" w:cstheme="majorHAnsi"/>
          <w:b/>
          <w:color w:val="0070C0"/>
          <w:shd w:val="clear" w:color="auto" w:fill="FFFFFF"/>
          <w:lang w:val="en-US"/>
        </w:rPr>
        <w:t>.</w:t>
      </w:r>
      <w:r w:rsidR="0004314A" w:rsidRPr="008376FC">
        <w:rPr>
          <w:rFonts w:asciiTheme="majorHAnsi" w:eastAsia="Calibri" w:hAnsiTheme="majorHAnsi" w:cstheme="majorHAnsi"/>
          <w:b/>
          <w:color w:val="0070C0"/>
          <w:shd w:val="clear" w:color="auto" w:fill="FFFFFF"/>
          <w:lang w:val="en-US"/>
        </w:rPr>
        <w:t xml:space="preserve">446 km </w:t>
      </w:r>
      <w:r w:rsidR="00F638F7" w:rsidRPr="008376FC">
        <w:rPr>
          <w:rFonts w:asciiTheme="majorHAnsi" w:eastAsia="Calibri" w:hAnsiTheme="majorHAnsi" w:cstheme="majorHAnsi"/>
          <w:b/>
          <w:color w:val="0070C0"/>
          <w:shd w:val="clear" w:color="auto" w:fill="FFFFFF"/>
          <w:lang w:val="en-US"/>
        </w:rPr>
        <w:t>la finele anului 2021</w:t>
      </w:r>
      <w:r w:rsidR="00ED79FC">
        <w:rPr>
          <w:rFonts w:asciiTheme="majorHAnsi" w:eastAsia="Calibri" w:hAnsiTheme="majorHAnsi" w:cstheme="majorHAnsi"/>
          <w:b/>
          <w:color w:val="0070C0"/>
          <w:shd w:val="clear" w:color="auto" w:fill="FFFFFF"/>
          <w:lang w:val="en-US"/>
        </w:rPr>
        <w:t>.</w:t>
      </w:r>
    </w:p>
    <w:p w:rsidR="00BE49FB" w:rsidRPr="008376FC" w:rsidRDefault="00BE49FB" w:rsidP="00F61756">
      <w:pPr>
        <w:pStyle w:val="a3"/>
        <w:shd w:val="clear" w:color="auto" w:fill="FFFFFF"/>
        <w:tabs>
          <w:tab w:val="left" w:pos="284"/>
          <w:tab w:val="left" w:pos="567"/>
          <w:tab w:val="left" w:pos="709"/>
          <w:tab w:val="left" w:pos="851"/>
        </w:tabs>
        <w:spacing w:before="120" w:line="276" w:lineRule="auto"/>
        <w:ind w:left="284"/>
        <w:jc w:val="both"/>
        <w:rPr>
          <w:rFonts w:asciiTheme="majorHAnsi" w:eastAsia="Calibri" w:hAnsiTheme="majorHAnsi" w:cstheme="majorHAnsi"/>
          <w:b/>
          <w:color w:val="0070C0"/>
          <w:shd w:val="clear" w:color="auto" w:fill="FFFFFF"/>
          <w:lang w:val="en-US"/>
        </w:rPr>
      </w:pPr>
      <w:r w:rsidRPr="008376FC">
        <w:rPr>
          <w:rFonts w:asciiTheme="majorHAnsi" w:eastAsia="Calibri" w:hAnsiTheme="majorHAnsi" w:cstheme="majorHAnsi"/>
          <w:b/>
          <w:color w:val="0070C0"/>
          <w:shd w:val="clear" w:color="auto" w:fill="FFFFFF"/>
          <w:lang w:val="en-US"/>
        </w:rPr>
        <w:t xml:space="preserve">  </w:t>
      </w:r>
    </w:p>
    <w:p w:rsidR="00F46FB7" w:rsidRDefault="00BE49FB" w:rsidP="00F61756">
      <w:pPr>
        <w:shd w:val="clear" w:color="auto" w:fill="FFFFFF"/>
        <w:tabs>
          <w:tab w:val="left" w:pos="284"/>
          <w:tab w:val="left" w:pos="567"/>
          <w:tab w:val="left" w:pos="709"/>
        </w:tabs>
        <w:spacing w:after="0" w:line="276" w:lineRule="auto"/>
        <w:contextualSpacing/>
        <w:jc w:val="both"/>
        <w:rPr>
          <w:rFonts w:asciiTheme="majorHAnsi" w:eastAsia="Times New Roman" w:hAnsiTheme="majorHAnsi" w:cstheme="majorHAnsi"/>
          <w:b w:val="0"/>
          <w:bCs w:val="0"/>
          <w:sz w:val="24"/>
          <w:szCs w:val="24"/>
          <w:lang w:eastAsia="ru-RU"/>
        </w:rPr>
      </w:pPr>
      <w:r w:rsidRPr="008376FC">
        <w:rPr>
          <w:rFonts w:asciiTheme="majorHAnsi" w:eastAsia="Calibri" w:hAnsiTheme="majorHAnsi" w:cstheme="majorHAnsi"/>
          <w:b w:val="0"/>
          <w:bCs w:val="0"/>
          <w:sz w:val="24"/>
          <w:szCs w:val="24"/>
          <w:shd w:val="clear" w:color="auto" w:fill="FFFFFF"/>
        </w:rPr>
        <w:t>Pe parcursul anilor 2014-2021</w:t>
      </w:r>
      <w:r w:rsidR="00ED79FC">
        <w:rPr>
          <w:rFonts w:asciiTheme="majorHAnsi" w:eastAsia="Calibri" w:hAnsiTheme="majorHAnsi" w:cstheme="majorHAnsi"/>
          <w:b w:val="0"/>
          <w:bCs w:val="0"/>
          <w:sz w:val="24"/>
          <w:szCs w:val="24"/>
          <w:shd w:val="clear" w:color="auto" w:fill="FFFFFF"/>
        </w:rPr>
        <w:t>, ca</w:t>
      </w:r>
      <w:r w:rsidRPr="008376FC">
        <w:rPr>
          <w:rFonts w:asciiTheme="majorHAnsi" w:eastAsia="Calibri" w:hAnsiTheme="majorHAnsi" w:cstheme="majorHAnsi"/>
          <w:b w:val="0"/>
          <w:bCs w:val="0"/>
          <w:sz w:val="24"/>
          <w:szCs w:val="24"/>
          <w:shd w:val="clear" w:color="auto" w:fill="FFFFFF"/>
        </w:rPr>
        <w:t xml:space="preserve"> urmare a investițiilor efectuate</w:t>
      </w:r>
      <w:r w:rsidR="00ED79FC">
        <w:rPr>
          <w:rFonts w:asciiTheme="majorHAnsi" w:eastAsia="Calibri" w:hAnsiTheme="majorHAnsi" w:cstheme="majorHAnsi"/>
          <w:b w:val="0"/>
          <w:bCs w:val="0"/>
          <w:sz w:val="24"/>
          <w:szCs w:val="24"/>
          <w:shd w:val="clear" w:color="auto" w:fill="FFFFFF"/>
        </w:rPr>
        <w:t>,</w:t>
      </w:r>
      <w:r w:rsidRPr="008376FC">
        <w:rPr>
          <w:rFonts w:asciiTheme="majorHAnsi" w:eastAsia="Calibri" w:hAnsiTheme="majorHAnsi" w:cstheme="majorHAnsi"/>
          <w:b w:val="0"/>
          <w:bCs w:val="0"/>
          <w:sz w:val="24"/>
          <w:szCs w:val="24"/>
          <w:shd w:val="clear" w:color="auto" w:fill="FFFFFF"/>
        </w:rPr>
        <w:t xml:space="preserve"> sistemele de alimentare cu apă au fost extinse cu 5</w:t>
      </w:r>
      <w:r w:rsidR="00ED79FC">
        <w:rPr>
          <w:rFonts w:asciiTheme="majorHAnsi" w:eastAsia="Calibri" w:hAnsiTheme="majorHAnsi" w:cstheme="majorHAnsi"/>
          <w:b w:val="0"/>
          <w:bCs w:val="0"/>
          <w:sz w:val="24"/>
          <w:szCs w:val="24"/>
          <w:shd w:val="clear" w:color="auto" w:fill="FFFFFF"/>
        </w:rPr>
        <w:t>.</w:t>
      </w:r>
      <w:r w:rsidRPr="008376FC">
        <w:rPr>
          <w:rFonts w:asciiTheme="majorHAnsi" w:eastAsia="Calibri" w:hAnsiTheme="majorHAnsi" w:cstheme="majorHAnsi"/>
          <w:b w:val="0"/>
          <w:bCs w:val="0"/>
          <w:sz w:val="24"/>
          <w:szCs w:val="24"/>
          <w:shd w:val="clear" w:color="auto" w:fill="FFFFFF"/>
        </w:rPr>
        <w:t>962,3 km</w:t>
      </w:r>
      <w:r w:rsidR="00ED79FC">
        <w:rPr>
          <w:rFonts w:asciiTheme="majorHAnsi" w:eastAsia="Calibri" w:hAnsiTheme="majorHAnsi" w:cstheme="majorHAnsi"/>
          <w:b w:val="0"/>
          <w:bCs w:val="0"/>
          <w:sz w:val="24"/>
          <w:szCs w:val="24"/>
          <w:shd w:val="clear" w:color="auto" w:fill="FFFFFF"/>
        </w:rPr>
        <w:t>,</w:t>
      </w:r>
      <w:r w:rsidRPr="008376FC">
        <w:rPr>
          <w:rFonts w:asciiTheme="majorHAnsi" w:eastAsia="Calibri" w:hAnsiTheme="majorHAnsi" w:cstheme="majorHAnsi"/>
          <w:b w:val="0"/>
          <w:bCs w:val="0"/>
          <w:sz w:val="24"/>
          <w:szCs w:val="24"/>
          <w:shd w:val="clear" w:color="auto" w:fill="FFFFFF"/>
        </w:rPr>
        <w:t xml:space="preserve"> </w:t>
      </w:r>
      <w:r w:rsidR="00EB4423">
        <w:rPr>
          <w:rFonts w:asciiTheme="majorHAnsi" w:eastAsia="Calibri" w:hAnsiTheme="majorHAnsi" w:cstheme="majorHAnsi"/>
          <w:b w:val="0"/>
          <w:bCs w:val="0"/>
          <w:sz w:val="24"/>
          <w:szCs w:val="24"/>
          <w:shd w:val="clear" w:color="auto" w:fill="FFFFFF"/>
        </w:rPr>
        <w:t xml:space="preserve">iar </w:t>
      </w:r>
      <w:r w:rsidRPr="008376FC">
        <w:rPr>
          <w:rFonts w:asciiTheme="majorHAnsi" w:eastAsia="Calibri" w:hAnsiTheme="majorHAnsi" w:cstheme="majorHAnsi"/>
          <w:b w:val="0"/>
          <w:bCs w:val="0"/>
          <w:sz w:val="24"/>
          <w:szCs w:val="24"/>
          <w:shd w:val="clear" w:color="auto" w:fill="FFFFFF"/>
        </w:rPr>
        <w:t xml:space="preserve">ca urmare a </w:t>
      </w:r>
      <w:r w:rsidR="002801E7">
        <w:rPr>
          <w:rFonts w:asciiTheme="majorHAnsi" w:eastAsia="Calibri" w:hAnsiTheme="majorHAnsi" w:cstheme="majorHAnsi"/>
          <w:b w:val="0"/>
          <w:bCs w:val="0"/>
          <w:sz w:val="24"/>
          <w:szCs w:val="24"/>
          <w:shd w:val="clear" w:color="auto" w:fill="FFFFFF"/>
        </w:rPr>
        <w:t xml:space="preserve">executării </w:t>
      </w:r>
      <w:r w:rsidRPr="008376FC">
        <w:rPr>
          <w:rFonts w:asciiTheme="majorHAnsi" w:eastAsia="Calibri" w:hAnsiTheme="majorHAnsi" w:cstheme="majorHAnsi"/>
          <w:b w:val="0"/>
          <w:bCs w:val="0"/>
          <w:sz w:val="24"/>
          <w:szCs w:val="24"/>
          <w:shd w:val="clear" w:color="auto" w:fill="FFFFFF"/>
        </w:rPr>
        <w:t xml:space="preserve">lucrărilor </w:t>
      </w:r>
      <w:r w:rsidR="00ED79FC">
        <w:rPr>
          <w:rFonts w:asciiTheme="majorHAnsi" w:eastAsia="Calibri" w:hAnsiTheme="majorHAnsi" w:cstheme="majorHAnsi"/>
          <w:b w:val="0"/>
          <w:bCs w:val="0"/>
          <w:sz w:val="24"/>
          <w:szCs w:val="24"/>
          <w:shd w:val="clear" w:color="auto" w:fill="FFFFFF"/>
        </w:rPr>
        <w:t>de</w:t>
      </w:r>
      <w:r w:rsidRPr="008376FC">
        <w:rPr>
          <w:rFonts w:asciiTheme="majorHAnsi" w:eastAsia="Calibri" w:hAnsiTheme="majorHAnsi" w:cstheme="majorHAnsi"/>
          <w:b w:val="0"/>
          <w:bCs w:val="0"/>
          <w:sz w:val="24"/>
          <w:szCs w:val="24"/>
          <w:shd w:val="clear" w:color="auto" w:fill="FFFFFF"/>
        </w:rPr>
        <w:t xml:space="preserve"> reabilitare, modernizare și extindere, </w:t>
      </w:r>
      <w:r w:rsidR="002801E7">
        <w:rPr>
          <w:rFonts w:asciiTheme="majorHAnsi" w:eastAsia="Calibri" w:hAnsiTheme="majorHAnsi" w:cstheme="majorHAnsi"/>
          <w:b w:val="0"/>
          <w:bCs w:val="0"/>
          <w:sz w:val="24"/>
          <w:szCs w:val="24"/>
          <w:shd w:val="clear" w:color="auto" w:fill="FFFFFF"/>
        </w:rPr>
        <w:t>au fost</w:t>
      </w:r>
      <w:r w:rsidR="002801E7" w:rsidRPr="008376FC">
        <w:rPr>
          <w:rFonts w:asciiTheme="majorHAnsi" w:eastAsia="Calibri" w:hAnsiTheme="majorHAnsi" w:cstheme="majorHAnsi"/>
          <w:b w:val="0"/>
          <w:bCs w:val="0"/>
          <w:sz w:val="24"/>
          <w:szCs w:val="24"/>
          <w:shd w:val="clear" w:color="auto" w:fill="FFFFFF"/>
        </w:rPr>
        <w:t xml:space="preserve"> </w:t>
      </w:r>
      <w:r w:rsidRPr="008376FC">
        <w:rPr>
          <w:rFonts w:asciiTheme="majorHAnsi" w:eastAsia="Calibri" w:hAnsiTheme="majorHAnsi" w:cstheme="majorHAnsi"/>
          <w:b w:val="0"/>
          <w:bCs w:val="0"/>
          <w:sz w:val="24"/>
          <w:szCs w:val="24"/>
          <w:shd w:val="clear" w:color="auto" w:fill="FFFFFF"/>
        </w:rPr>
        <w:t xml:space="preserve">reconstruite 581,1 km. De menționat că, </w:t>
      </w:r>
      <w:r w:rsidRPr="008376FC">
        <w:rPr>
          <w:rFonts w:asciiTheme="majorHAnsi" w:eastAsia="Times New Roman" w:hAnsiTheme="majorHAnsi" w:cstheme="majorHAnsi"/>
          <w:b w:val="0"/>
          <w:bCs w:val="0"/>
          <w:sz w:val="24"/>
          <w:szCs w:val="24"/>
          <w:lang w:eastAsia="ru-RU"/>
        </w:rPr>
        <w:t xml:space="preserve">deși numărul rețelelor nefuncționale este în creștere, de la 60 </w:t>
      </w:r>
      <w:r w:rsidR="00ED79FC">
        <w:rPr>
          <w:rFonts w:asciiTheme="majorHAnsi" w:eastAsia="Times New Roman" w:hAnsiTheme="majorHAnsi" w:cstheme="majorHAnsi"/>
          <w:b w:val="0"/>
          <w:bCs w:val="0"/>
          <w:sz w:val="24"/>
          <w:szCs w:val="24"/>
          <w:lang w:eastAsia="ru-RU"/>
        </w:rPr>
        <w:t xml:space="preserve">de </w:t>
      </w:r>
      <w:r w:rsidRPr="008376FC">
        <w:rPr>
          <w:rFonts w:asciiTheme="majorHAnsi" w:eastAsia="Times New Roman" w:hAnsiTheme="majorHAnsi" w:cstheme="majorHAnsi"/>
          <w:b w:val="0"/>
          <w:bCs w:val="0"/>
          <w:sz w:val="24"/>
          <w:szCs w:val="24"/>
          <w:lang w:eastAsia="ru-RU"/>
        </w:rPr>
        <w:t>unități în 2014 la 73 de unități în a</w:t>
      </w:r>
      <w:r w:rsidR="00ED79FC">
        <w:rPr>
          <w:rFonts w:asciiTheme="majorHAnsi" w:eastAsia="Times New Roman" w:hAnsiTheme="majorHAnsi" w:cstheme="majorHAnsi"/>
          <w:b w:val="0"/>
          <w:bCs w:val="0"/>
          <w:sz w:val="24"/>
          <w:szCs w:val="24"/>
          <w:lang w:eastAsia="ru-RU"/>
        </w:rPr>
        <w:t xml:space="preserve">nul </w:t>
      </w:r>
      <w:r w:rsidRPr="008376FC">
        <w:rPr>
          <w:rFonts w:asciiTheme="majorHAnsi" w:eastAsia="Times New Roman" w:hAnsiTheme="majorHAnsi" w:cstheme="majorHAnsi"/>
          <w:b w:val="0"/>
          <w:bCs w:val="0"/>
          <w:sz w:val="24"/>
          <w:szCs w:val="24"/>
          <w:lang w:eastAsia="ru-RU"/>
        </w:rPr>
        <w:t>2021, lungimea rețelelor de apeduct nefuncționale a înregistrat tendinț</w:t>
      </w:r>
      <w:r w:rsidR="00ED79FC">
        <w:rPr>
          <w:rFonts w:asciiTheme="majorHAnsi" w:eastAsia="Times New Roman" w:hAnsiTheme="majorHAnsi" w:cstheme="majorHAnsi"/>
          <w:b w:val="0"/>
          <w:bCs w:val="0"/>
          <w:sz w:val="24"/>
          <w:szCs w:val="24"/>
          <w:lang w:eastAsia="ru-RU"/>
        </w:rPr>
        <w:t>a</w:t>
      </w:r>
      <w:r w:rsidRPr="008376FC">
        <w:rPr>
          <w:rFonts w:asciiTheme="majorHAnsi" w:eastAsia="Times New Roman" w:hAnsiTheme="majorHAnsi" w:cstheme="majorHAnsi"/>
          <w:b w:val="0"/>
          <w:bCs w:val="0"/>
          <w:sz w:val="24"/>
          <w:szCs w:val="24"/>
          <w:lang w:eastAsia="ru-RU"/>
        </w:rPr>
        <w:t xml:space="preserve"> de diminuare</w:t>
      </w:r>
      <w:r w:rsidR="00ED79FC">
        <w:rPr>
          <w:rFonts w:asciiTheme="majorHAnsi" w:eastAsia="Times New Roman" w:hAnsiTheme="majorHAnsi" w:cstheme="majorHAnsi"/>
          <w:b w:val="0"/>
          <w:bCs w:val="0"/>
          <w:sz w:val="24"/>
          <w:szCs w:val="24"/>
          <w:lang w:eastAsia="ru-RU"/>
        </w:rPr>
        <w:t>,</w:t>
      </w:r>
      <w:r w:rsidRPr="008376FC">
        <w:rPr>
          <w:rFonts w:asciiTheme="majorHAnsi" w:eastAsia="Times New Roman" w:hAnsiTheme="majorHAnsi" w:cstheme="majorHAnsi"/>
          <w:b w:val="0"/>
          <w:bCs w:val="0"/>
          <w:sz w:val="24"/>
          <w:szCs w:val="24"/>
          <w:lang w:eastAsia="ru-RU"/>
        </w:rPr>
        <w:t xml:space="preserve"> de la 232,5 km în anul 2016 până la 157 km în anul 2021. Situația </w:t>
      </w:r>
      <w:r w:rsidR="00ED79FC">
        <w:rPr>
          <w:rFonts w:asciiTheme="majorHAnsi" w:eastAsia="Times New Roman" w:hAnsiTheme="majorHAnsi" w:cstheme="majorHAnsi"/>
          <w:b w:val="0"/>
          <w:bCs w:val="0"/>
          <w:sz w:val="24"/>
          <w:szCs w:val="24"/>
          <w:lang w:eastAsia="ru-RU"/>
        </w:rPr>
        <w:t xml:space="preserve">în detaliu </w:t>
      </w:r>
      <w:r w:rsidRPr="008376FC">
        <w:rPr>
          <w:rFonts w:asciiTheme="majorHAnsi" w:eastAsia="Times New Roman" w:hAnsiTheme="majorHAnsi" w:cstheme="majorHAnsi"/>
          <w:b w:val="0"/>
          <w:bCs w:val="0"/>
          <w:sz w:val="24"/>
          <w:szCs w:val="24"/>
          <w:lang w:eastAsia="ru-RU"/>
        </w:rPr>
        <w:t xml:space="preserve">se prezintă în </w:t>
      </w:r>
      <w:r w:rsidR="00ED79FC">
        <w:rPr>
          <w:rFonts w:asciiTheme="majorHAnsi" w:eastAsia="Times New Roman" w:hAnsiTheme="majorHAnsi" w:cstheme="majorHAnsi"/>
          <w:b w:val="0"/>
          <w:bCs w:val="0"/>
          <w:sz w:val="24"/>
          <w:szCs w:val="24"/>
          <w:lang w:eastAsia="ru-RU"/>
        </w:rPr>
        <w:t>t</w:t>
      </w:r>
      <w:r w:rsidRPr="008376FC">
        <w:rPr>
          <w:rFonts w:asciiTheme="majorHAnsi" w:eastAsia="Times New Roman" w:hAnsiTheme="majorHAnsi" w:cstheme="majorHAnsi"/>
          <w:b w:val="0"/>
          <w:bCs w:val="0"/>
          <w:sz w:val="24"/>
          <w:szCs w:val="24"/>
          <w:lang w:eastAsia="ru-RU"/>
        </w:rPr>
        <w:t xml:space="preserve">abelul de mai jos. </w:t>
      </w:r>
    </w:p>
    <w:p w:rsidR="00BE49FB" w:rsidRPr="008376FC" w:rsidRDefault="0080078F" w:rsidP="00F46FB7">
      <w:pPr>
        <w:shd w:val="clear" w:color="auto" w:fill="FFFFFF"/>
        <w:spacing w:after="0" w:line="276" w:lineRule="auto"/>
        <w:contextualSpacing/>
        <w:jc w:val="right"/>
        <w:rPr>
          <w:rFonts w:asciiTheme="majorHAnsi" w:eastAsia="Times New Roman" w:hAnsiTheme="majorHAnsi" w:cstheme="majorHAnsi"/>
          <w:sz w:val="20"/>
          <w:szCs w:val="20"/>
          <w:lang w:eastAsia="ru-RU"/>
        </w:rPr>
      </w:pPr>
      <w:r w:rsidRPr="008376FC">
        <w:rPr>
          <w:rFonts w:asciiTheme="majorHAnsi" w:eastAsia="Times New Roman" w:hAnsiTheme="majorHAnsi" w:cstheme="majorHAnsi"/>
          <w:sz w:val="20"/>
          <w:szCs w:val="20"/>
          <w:lang w:eastAsia="ru-RU"/>
        </w:rPr>
        <w:t>Tabelul nr.1</w:t>
      </w:r>
      <w:r w:rsidR="0092109D" w:rsidRPr="008376FC">
        <w:rPr>
          <w:rFonts w:asciiTheme="majorHAnsi" w:eastAsia="Times New Roman" w:hAnsiTheme="majorHAnsi" w:cstheme="majorHAnsi"/>
          <w:sz w:val="20"/>
          <w:szCs w:val="20"/>
          <w:lang w:eastAsia="ru-RU"/>
        </w:rPr>
        <w:t>7</w:t>
      </w:r>
    </w:p>
    <w:p w:rsidR="005F181C" w:rsidRPr="008376FC" w:rsidRDefault="005F181C" w:rsidP="00F46FB7">
      <w:pPr>
        <w:shd w:val="clear" w:color="auto" w:fill="FFFFFF"/>
        <w:spacing w:after="0" w:line="276" w:lineRule="auto"/>
        <w:rPr>
          <w:rFonts w:asciiTheme="majorHAnsi" w:eastAsia="Times New Roman" w:hAnsiTheme="majorHAnsi" w:cstheme="majorHAnsi"/>
          <w:b w:val="0"/>
          <w:color w:val="1C1C1C"/>
          <w:sz w:val="20"/>
          <w:szCs w:val="20"/>
          <w:lang w:eastAsia="ru-RU"/>
        </w:rPr>
      </w:pPr>
      <w:r w:rsidRPr="008376FC">
        <w:rPr>
          <w:rFonts w:asciiTheme="majorHAnsi" w:eastAsia="Times New Roman" w:hAnsiTheme="majorHAnsi" w:cstheme="majorHAnsi"/>
          <w:color w:val="1C1C1C"/>
          <w:sz w:val="20"/>
          <w:szCs w:val="20"/>
          <w:lang w:eastAsia="ru-RU"/>
        </w:rPr>
        <w:t>Lungimea apeductelor și rețelelor de distribuție a apei</w:t>
      </w:r>
    </w:p>
    <w:tbl>
      <w:tblPr>
        <w:tblW w:w="9744"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0"/>
        <w:gridCol w:w="1255"/>
        <w:gridCol w:w="1256"/>
        <w:gridCol w:w="838"/>
        <w:gridCol w:w="977"/>
        <w:gridCol w:w="982"/>
        <w:gridCol w:w="977"/>
        <w:gridCol w:w="838"/>
        <w:gridCol w:w="837"/>
        <w:gridCol w:w="794"/>
      </w:tblGrid>
      <w:tr w:rsidR="005F181C" w:rsidRPr="00337816" w:rsidTr="00E37F5D">
        <w:trPr>
          <w:trHeight w:val="187"/>
        </w:trPr>
        <w:tc>
          <w:tcPr>
            <w:tcW w:w="990" w:type="dxa"/>
            <w:vMerge w:val="restart"/>
            <w:shd w:val="clear" w:color="000000" w:fill="BDD6EE"/>
            <w:hideMark/>
          </w:tcPr>
          <w:p w:rsidR="005F181C" w:rsidRPr="00337816" w:rsidRDefault="00ED79FC" w:rsidP="00F61756">
            <w:pPr>
              <w:spacing w:after="0" w:line="276" w:lineRule="auto"/>
              <w:rPr>
                <w:rFonts w:asciiTheme="majorHAnsi" w:eastAsia="Times New Roman" w:hAnsiTheme="majorHAnsi" w:cstheme="majorHAnsi"/>
                <w:b w:val="0"/>
                <w:bCs w:val="0"/>
                <w:color w:val="1C1C1C"/>
                <w:sz w:val="20"/>
                <w:szCs w:val="20"/>
                <w:lang w:eastAsia="ru-RU"/>
              </w:rPr>
            </w:pPr>
            <w:r w:rsidRPr="00337816">
              <w:rPr>
                <w:rFonts w:asciiTheme="majorHAnsi" w:eastAsia="Times New Roman" w:hAnsiTheme="majorHAnsi" w:cstheme="majorHAnsi"/>
                <w:color w:val="1C1C1C"/>
                <w:sz w:val="20"/>
                <w:szCs w:val="20"/>
                <w:lang w:eastAsia="ru-RU"/>
              </w:rPr>
              <w:t>A</w:t>
            </w:r>
            <w:r w:rsidR="005F181C" w:rsidRPr="00337816">
              <w:rPr>
                <w:rFonts w:asciiTheme="majorHAnsi" w:eastAsia="Times New Roman" w:hAnsiTheme="majorHAnsi" w:cstheme="majorHAnsi"/>
                <w:color w:val="1C1C1C"/>
                <w:sz w:val="20"/>
                <w:szCs w:val="20"/>
                <w:lang w:eastAsia="ru-RU"/>
              </w:rPr>
              <w:t>nii</w:t>
            </w:r>
          </w:p>
        </w:tc>
        <w:tc>
          <w:tcPr>
            <w:tcW w:w="5308" w:type="dxa"/>
            <w:gridSpan w:val="5"/>
            <w:shd w:val="clear" w:color="000000" w:fill="BDD6EE"/>
            <w:hideMark/>
          </w:tcPr>
          <w:p w:rsidR="005F181C" w:rsidRPr="00337816" w:rsidRDefault="005F181C" w:rsidP="00F61756">
            <w:pPr>
              <w:spacing w:after="0" w:line="276" w:lineRule="auto"/>
              <w:rPr>
                <w:rFonts w:asciiTheme="majorHAnsi" w:eastAsia="Times New Roman" w:hAnsiTheme="majorHAnsi" w:cstheme="majorHAnsi"/>
                <w:b w:val="0"/>
                <w:bCs w:val="0"/>
                <w:color w:val="1C1C1C"/>
                <w:sz w:val="20"/>
                <w:szCs w:val="20"/>
                <w:lang w:eastAsia="ru-RU"/>
              </w:rPr>
            </w:pPr>
            <w:r w:rsidRPr="00337816">
              <w:rPr>
                <w:rFonts w:asciiTheme="majorHAnsi" w:eastAsia="Times New Roman" w:hAnsiTheme="majorHAnsi" w:cstheme="majorHAnsi"/>
                <w:color w:val="1C1C1C"/>
                <w:sz w:val="20"/>
                <w:szCs w:val="20"/>
                <w:lang w:eastAsia="ru-RU"/>
              </w:rPr>
              <w:t>Lungimea apeductelor și rețelelor de distribuție a apei, km</w:t>
            </w:r>
          </w:p>
        </w:tc>
        <w:tc>
          <w:tcPr>
            <w:tcW w:w="1815" w:type="dxa"/>
            <w:gridSpan w:val="2"/>
            <w:shd w:val="clear" w:color="000000" w:fill="C5D9F1"/>
            <w:noWrap/>
            <w:hideMark/>
          </w:tcPr>
          <w:p w:rsidR="005F181C" w:rsidRPr="00337816" w:rsidRDefault="005F181C" w:rsidP="00F61756">
            <w:pPr>
              <w:spacing w:after="0" w:line="276" w:lineRule="auto"/>
              <w:rPr>
                <w:rFonts w:asciiTheme="majorHAnsi" w:eastAsia="Times New Roman" w:hAnsiTheme="majorHAnsi" w:cstheme="majorHAnsi"/>
                <w:b w:val="0"/>
                <w:bCs w:val="0"/>
                <w:color w:val="000000"/>
                <w:sz w:val="20"/>
                <w:szCs w:val="20"/>
                <w:lang w:eastAsia="ru-RU"/>
              </w:rPr>
            </w:pPr>
            <w:r w:rsidRPr="00337816">
              <w:rPr>
                <w:rFonts w:asciiTheme="majorHAnsi" w:eastAsia="Times New Roman" w:hAnsiTheme="majorHAnsi" w:cstheme="majorHAnsi"/>
                <w:color w:val="000000"/>
                <w:sz w:val="20"/>
                <w:szCs w:val="20"/>
                <w:lang w:eastAsia="ru-RU"/>
              </w:rPr>
              <w:t>%</w:t>
            </w:r>
            <w:r w:rsidR="00ED79FC" w:rsidRPr="00337816">
              <w:rPr>
                <w:rFonts w:asciiTheme="majorHAnsi" w:eastAsia="Times New Roman" w:hAnsiTheme="majorHAnsi" w:cstheme="majorHAnsi"/>
                <w:color w:val="000000"/>
                <w:sz w:val="20"/>
                <w:szCs w:val="20"/>
                <w:lang w:eastAsia="ru-RU"/>
              </w:rPr>
              <w:t>,</w:t>
            </w:r>
            <w:r w:rsidRPr="00337816">
              <w:rPr>
                <w:rFonts w:asciiTheme="majorHAnsi" w:eastAsia="Times New Roman" w:hAnsiTheme="majorHAnsi" w:cstheme="majorHAnsi"/>
                <w:color w:val="000000"/>
                <w:sz w:val="20"/>
                <w:szCs w:val="20"/>
                <w:lang w:eastAsia="ru-RU"/>
              </w:rPr>
              <w:t xml:space="preserve"> în tota</w:t>
            </w:r>
            <w:r w:rsidR="009A30E2" w:rsidRPr="00337816">
              <w:rPr>
                <w:rFonts w:asciiTheme="majorHAnsi" w:eastAsia="Times New Roman" w:hAnsiTheme="majorHAnsi" w:cstheme="majorHAnsi"/>
                <w:color w:val="000000"/>
                <w:sz w:val="20"/>
                <w:szCs w:val="20"/>
                <w:lang w:eastAsia="ru-RU"/>
              </w:rPr>
              <w:t>l</w:t>
            </w:r>
          </w:p>
        </w:tc>
        <w:tc>
          <w:tcPr>
            <w:tcW w:w="1631" w:type="dxa"/>
            <w:gridSpan w:val="2"/>
            <w:shd w:val="clear" w:color="000000" w:fill="C5D9F1"/>
            <w:hideMark/>
          </w:tcPr>
          <w:p w:rsidR="005F181C" w:rsidRPr="00337816" w:rsidRDefault="005F181C" w:rsidP="00F61756">
            <w:pPr>
              <w:spacing w:after="0" w:line="276" w:lineRule="auto"/>
              <w:rPr>
                <w:rFonts w:asciiTheme="majorHAnsi" w:eastAsia="Times New Roman" w:hAnsiTheme="majorHAnsi" w:cstheme="majorHAnsi"/>
                <w:b w:val="0"/>
                <w:bCs w:val="0"/>
                <w:color w:val="000000"/>
                <w:sz w:val="20"/>
                <w:szCs w:val="20"/>
                <w:lang w:eastAsia="ru-RU"/>
              </w:rPr>
            </w:pPr>
            <w:r w:rsidRPr="00337816">
              <w:rPr>
                <w:rFonts w:asciiTheme="majorHAnsi" w:eastAsia="Times New Roman" w:hAnsiTheme="majorHAnsi" w:cstheme="majorHAnsi"/>
                <w:color w:val="000000"/>
                <w:sz w:val="20"/>
                <w:szCs w:val="20"/>
                <w:lang w:eastAsia="ru-RU"/>
              </w:rPr>
              <w:t>%</w:t>
            </w:r>
            <w:r w:rsidR="00ED79FC" w:rsidRPr="00337816">
              <w:rPr>
                <w:rFonts w:asciiTheme="majorHAnsi" w:eastAsia="Times New Roman" w:hAnsiTheme="majorHAnsi" w:cstheme="majorHAnsi"/>
                <w:color w:val="000000"/>
                <w:sz w:val="20"/>
                <w:szCs w:val="20"/>
                <w:lang w:eastAsia="ru-RU"/>
              </w:rPr>
              <w:t>,</w:t>
            </w:r>
            <w:r w:rsidRPr="00337816">
              <w:rPr>
                <w:rFonts w:asciiTheme="majorHAnsi" w:eastAsia="Times New Roman" w:hAnsiTheme="majorHAnsi" w:cstheme="majorHAnsi"/>
                <w:color w:val="000000"/>
                <w:sz w:val="20"/>
                <w:szCs w:val="20"/>
                <w:lang w:eastAsia="ru-RU"/>
              </w:rPr>
              <w:t xml:space="preserve"> în funcționale</w:t>
            </w:r>
          </w:p>
        </w:tc>
      </w:tr>
      <w:tr w:rsidR="005F181C" w:rsidRPr="00337816" w:rsidTr="00E37F5D">
        <w:trPr>
          <w:trHeight w:val="133"/>
        </w:trPr>
        <w:tc>
          <w:tcPr>
            <w:tcW w:w="990" w:type="dxa"/>
            <w:vMerge/>
            <w:hideMark/>
          </w:tcPr>
          <w:p w:rsidR="005F181C" w:rsidRPr="00337816" w:rsidRDefault="005F181C" w:rsidP="00F61756">
            <w:pPr>
              <w:spacing w:after="0" w:line="276" w:lineRule="auto"/>
              <w:rPr>
                <w:rFonts w:asciiTheme="majorHAnsi" w:eastAsia="Times New Roman" w:hAnsiTheme="majorHAnsi" w:cstheme="majorHAnsi"/>
                <w:b w:val="0"/>
                <w:bCs w:val="0"/>
                <w:color w:val="1C1C1C"/>
                <w:sz w:val="20"/>
                <w:szCs w:val="20"/>
                <w:lang w:eastAsia="ru-RU"/>
              </w:rPr>
            </w:pPr>
          </w:p>
        </w:tc>
        <w:tc>
          <w:tcPr>
            <w:tcW w:w="1255" w:type="dxa"/>
            <w:vMerge w:val="restart"/>
            <w:shd w:val="clear" w:color="000000" w:fill="BDD6EE"/>
            <w:hideMark/>
          </w:tcPr>
          <w:p w:rsidR="005F181C" w:rsidRPr="00337816" w:rsidRDefault="005F181C" w:rsidP="00F61756">
            <w:pPr>
              <w:spacing w:after="0" w:line="276" w:lineRule="auto"/>
              <w:rPr>
                <w:rFonts w:asciiTheme="majorHAnsi" w:eastAsia="Times New Roman" w:hAnsiTheme="majorHAnsi" w:cstheme="majorHAnsi"/>
                <w:b w:val="0"/>
                <w:bCs w:val="0"/>
                <w:color w:val="1C1C1C"/>
                <w:sz w:val="20"/>
                <w:szCs w:val="20"/>
                <w:lang w:eastAsia="ru-RU"/>
              </w:rPr>
            </w:pPr>
            <w:r w:rsidRPr="00337816">
              <w:rPr>
                <w:rFonts w:asciiTheme="majorHAnsi" w:eastAsia="Times New Roman" w:hAnsiTheme="majorHAnsi" w:cstheme="majorHAnsi"/>
                <w:color w:val="1C1C1C"/>
                <w:sz w:val="20"/>
                <w:szCs w:val="20"/>
                <w:lang w:eastAsia="ru-RU"/>
              </w:rPr>
              <w:t>total</w:t>
            </w:r>
          </w:p>
        </w:tc>
        <w:tc>
          <w:tcPr>
            <w:tcW w:w="1256" w:type="dxa"/>
            <w:vMerge w:val="restart"/>
            <w:shd w:val="clear" w:color="000000" w:fill="BDD6EE"/>
            <w:textDirection w:val="btLr"/>
            <w:hideMark/>
          </w:tcPr>
          <w:p w:rsidR="005F181C" w:rsidRPr="00337816" w:rsidRDefault="00ED79FC" w:rsidP="00F61756">
            <w:pPr>
              <w:spacing w:after="0" w:line="276" w:lineRule="auto"/>
              <w:ind w:left="113" w:right="113"/>
              <w:rPr>
                <w:rFonts w:asciiTheme="majorHAnsi" w:eastAsia="Times New Roman" w:hAnsiTheme="majorHAnsi" w:cstheme="majorHAnsi"/>
                <w:b w:val="0"/>
                <w:bCs w:val="0"/>
                <w:color w:val="1C1C1C"/>
                <w:sz w:val="20"/>
                <w:szCs w:val="20"/>
                <w:lang w:eastAsia="ru-RU"/>
              </w:rPr>
            </w:pPr>
            <w:r w:rsidRPr="00337816">
              <w:rPr>
                <w:rFonts w:asciiTheme="majorHAnsi" w:eastAsia="Times New Roman" w:hAnsiTheme="majorHAnsi" w:cstheme="majorHAnsi"/>
                <w:color w:val="1C1C1C"/>
                <w:sz w:val="20"/>
                <w:szCs w:val="20"/>
                <w:lang w:eastAsia="ru-RU"/>
              </w:rPr>
              <w:t>î</w:t>
            </w:r>
            <w:r w:rsidR="005F181C" w:rsidRPr="00337816">
              <w:rPr>
                <w:rFonts w:asciiTheme="majorHAnsi" w:eastAsia="Times New Roman" w:hAnsiTheme="majorHAnsi" w:cstheme="majorHAnsi"/>
                <w:color w:val="1C1C1C"/>
                <w:sz w:val="20"/>
                <w:szCs w:val="20"/>
                <w:lang w:eastAsia="ru-RU"/>
              </w:rPr>
              <w:t>n funcțiune</w:t>
            </w:r>
          </w:p>
        </w:tc>
        <w:tc>
          <w:tcPr>
            <w:tcW w:w="1815" w:type="dxa"/>
            <w:gridSpan w:val="2"/>
            <w:shd w:val="clear" w:color="000000" w:fill="BDD6EE"/>
            <w:hideMark/>
          </w:tcPr>
          <w:p w:rsidR="005F181C" w:rsidRPr="00337816" w:rsidRDefault="005F181C" w:rsidP="00F61756">
            <w:pPr>
              <w:spacing w:after="0" w:line="276" w:lineRule="auto"/>
              <w:rPr>
                <w:rFonts w:asciiTheme="majorHAnsi" w:eastAsia="Times New Roman" w:hAnsiTheme="majorHAnsi" w:cstheme="majorHAnsi"/>
                <w:b w:val="0"/>
                <w:bCs w:val="0"/>
                <w:color w:val="1C1C1C"/>
                <w:sz w:val="20"/>
                <w:szCs w:val="20"/>
                <w:lang w:eastAsia="ru-RU"/>
              </w:rPr>
            </w:pPr>
            <w:r w:rsidRPr="00337816">
              <w:rPr>
                <w:rFonts w:asciiTheme="majorHAnsi" w:eastAsia="Times New Roman" w:hAnsiTheme="majorHAnsi" w:cstheme="majorHAnsi"/>
                <w:color w:val="1C1C1C"/>
                <w:sz w:val="20"/>
                <w:szCs w:val="20"/>
                <w:lang w:eastAsia="ru-RU"/>
              </w:rPr>
              <w:t>inclusiv</w:t>
            </w:r>
          </w:p>
        </w:tc>
        <w:tc>
          <w:tcPr>
            <w:tcW w:w="981" w:type="dxa"/>
            <w:vMerge w:val="restart"/>
            <w:shd w:val="clear" w:color="000000" w:fill="BDD6EE"/>
            <w:textDirection w:val="btLr"/>
            <w:hideMark/>
          </w:tcPr>
          <w:p w:rsidR="005F181C" w:rsidRPr="00337816" w:rsidRDefault="00ED79FC" w:rsidP="00F61756">
            <w:pPr>
              <w:spacing w:after="0" w:line="276" w:lineRule="auto"/>
              <w:ind w:left="113" w:right="113"/>
              <w:rPr>
                <w:rFonts w:asciiTheme="majorHAnsi" w:eastAsia="Times New Roman" w:hAnsiTheme="majorHAnsi" w:cstheme="majorHAnsi"/>
                <w:b w:val="0"/>
                <w:bCs w:val="0"/>
                <w:color w:val="1C1C1C"/>
                <w:sz w:val="20"/>
                <w:szCs w:val="20"/>
                <w:lang w:eastAsia="ru-RU"/>
              </w:rPr>
            </w:pPr>
            <w:r w:rsidRPr="00337816">
              <w:rPr>
                <w:rFonts w:asciiTheme="majorHAnsi" w:eastAsia="Times New Roman" w:hAnsiTheme="majorHAnsi" w:cstheme="majorHAnsi"/>
                <w:color w:val="1C1C1C"/>
                <w:sz w:val="20"/>
                <w:szCs w:val="20"/>
                <w:lang w:eastAsia="ru-RU"/>
              </w:rPr>
              <w:t>n</w:t>
            </w:r>
            <w:r w:rsidR="005F181C" w:rsidRPr="00337816">
              <w:rPr>
                <w:rFonts w:asciiTheme="majorHAnsi" w:eastAsia="Times New Roman" w:hAnsiTheme="majorHAnsi" w:cstheme="majorHAnsi"/>
                <w:color w:val="1C1C1C"/>
                <w:sz w:val="20"/>
                <w:szCs w:val="20"/>
                <w:lang w:eastAsia="ru-RU"/>
              </w:rPr>
              <w:t>efucționale</w:t>
            </w:r>
          </w:p>
        </w:tc>
        <w:tc>
          <w:tcPr>
            <w:tcW w:w="977" w:type="dxa"/>
            <w:vMerge w:val="restart"/>
            <w:shd w:val="clear" w:color="000000" w:fill="C5D9F1"/>
            <w:textDirection w:val="btLr"/>
            <w:hideMark/>
          </w:tcPr>
          <w:p w:rsidR="005F181C" w:rsidRPr="00337816" w:rsidRDefault="005F181C" w:rsidP="00F61756">
            <w:pPr>
              <w:spacing w:after="0" w:line="276" w:lineRule="auto"/>
              <w:ind w:left="113" w:right="113"/>
              <w:rPr>
                <w:rFonts w:asciiTheme="majorHAnsi" w:eastAsia="Times New Roman" w:hAnsiTheme="majorHAnsi" w:cstheme="majorHAnsi"/>
                <w:b w:val="0"/>
                <w:bCs w:val="0"/>
                <w:color w:val="000000"/>
                <w:sz w:val="20"/>
                <w:szCs w:val="20"/>
                <w:lang w:eastAsia="ru-RU"/>
              </w:rPr>
            </w:pPr>
            <w:r w:rsidRPr="00337816">
              <w:rPr>
                <w:rFonts w:asciiTheme="majorHAnsi" w:eastAsia="Times New Roman" w:hAnsiTheme="majorHAnsi" w:cstheme="majorHAnsi"/>
                <w:color w:val="000000"/>
                <w:sz w:val="20"/>
                <w:szCs w:val="20"/>
                <w:lang w:eastAsia="ru-RU"/>
              </w:rPr>
              <w:t>funcționale</w:t>
            </w:r>
          </w:p>
        </w:tc>
        <w:tc>
          <w:tcPr>
            <w:tcW w:w="838" w:type="dxa"/>
            <w:vMerge w:val="restart"/>
            <w:shd w:val="clear" w:color="000000" w:fill="C5D9F1"/>
            <w:textDirection w:val="btLr"/>
            <w:hideMark/>
          </w:tcPr>
          <w:p w:rsidR="005F181C" w:rsidRPr="00337816" w:rsidRDefault="005F181C" w:rsidP="00F61756">
            <w:pPr>
              <w:spacing w:after="0" w:line="276" w:lineRule="auto"/>
              <w:ind w:left="113" w:right="113"/>
              <w:rPr>
                <w:rFonts w:asciiTheme="majorHAnsi" w:eastAsia="Times New Roman" w:hAnsiTheme="majorHAnsi" w:cstheme="majorHAnsi"/>
                <w:b w:val="0"/>
                <w:bCs w:val="0"/>
                <w:color w:val="000000"/>
                <w:sz w:val="20"/>
                <w:szCs w:val="20"/>
                <w:lang w:eastAsia="ru-RU"/>
              </w:rPr>
            </w:pPr>
            <w:r w:rsidRPr="00337816">
              <w:rPr>
                <w:rFonts w:asciiTheme="majorHAnsi" w:eastAsia="Times New Roman" w:hAnsiTheme="majorHAnsi" w:cstheme="majorHAnsi"/>
                <w:color w:val="000000"/>
                <w:sz w:val="20"/>
                <w:szCs w:val="20"/>
                <w:lang w:eastAsia="ru-RU"/>
              </w:rPr>
              <w:t>nefuncționale</w:t>
            </w:r>
          </w:p>
        </w:tc>
        <w:tc>
          <w:tcPr>
            <w:tcW w:w="837" w:type="dxa"/>
            <w:vMerge w:val="restart"/>
            <w:shd w:val="clear" w:color="000000" w:fill="C5D9F1"/>
            <w:textDirection w:val="btLr"/>
            <w:hideMark/>
          </w:tcPr>
          <w:p w:rsidR="005F181C" w:rsidRPr="00337816" w:rsidRDefault="005F181C" w:rsidP="00F61756">
            <w:pPr>
              <w:spacing w:after="0" w:line="276" w:lineRule="auto"/>
              <w:ind w:left="113" w:right="113"/>
              <w:rPr>
                <w:rFonts w:asciiTheme="majorHAnsi" w:eastAsia="Times New Roman" w:hAnsiTheme="majorHAnsi" w:cstheme="majorHAnsi"/>
                <w:b w:val="0"/>
                <w:bCs w:val="0"/>
                <w:color w:val="000000"/>
                <w:sz w:val="20"/>
                <w:szCs w:val="20"/>
                <w:lang w:eastAsia="ru-RU"/>
              </w:rPr>
            </w:pPr>
            <w:r w:rsidRPr="00337816">
              <w:rPr>
                <w:rFonts w:asciiTheme="majorHAnsi" w:eastAsia="Times New Roman" w:hAnsiTheme="majorHAnsi" w:cstheme="majorHAnsi"/>
                <w:color w:val="000000"/>
                <w:sz w:val="20"/>
                <w:szCs w:val="20"/>
                <w:lang w:eastAsia="ru-RU"/>
              </w:rPr>
              <w:t>reconstruite</w:t>
            </w:r>
          </w:p>
        </w:tc>
        <w:tc>
          <w:tcPr>
            <w:tcW w:w="794" w:type="dxa"/>
            <w:vMerge w:val="restart"/>
            <w:shd w:val="clear" w:color="000000" w:fill="C5D9F1"/>
            <w:textDirection w:val="btLr"/>
            <w:hideMark/>
          </w:tcPr>
          <w:p w:rsidR="005F181C" w:rsidRPr="00337816" w:rsidRDefault="005F181C" w:rsidP="00F61756">
            <w:pPr>
              <w:spacing w:after="0" w:line="276" w:lineRule="auto"/>
              <w:ind w:left="113" w:right="113"/>
              <w:rPr>
                <w:rFonts w:asciiTheme="majorHAnsi" w:eastAsia="Times New Roman" w:hAnsiTheme="majorHAnsi" w:cstheme="majorHAnsi"/>
                <w:b w:val="0"/>
                <w:bCs w:val="0"/>
                <w:color w:val="000000"/>
                <w:sz w:val="20"/>
                <w:szCs w:val="20"/>
                <w:lang w:eastAsia="ru-RU"/>
              </w:rPr>
            </w:pPr>
            <w:r w:rsidRPr="00337816">
              <w:rPr>
                <w:rFonts w:asciiTheme="majorHAnsi" w:eastAsia="Times New Roman" w:hAnsiTheme="majorHAnsi" w:cstheme="majorHAnsi"/>
                <w:color w:val="000000"/>
                <w:sz w:val="20"/>
                <w:szCs w:val="20"/>
                <w:lang w:eastAsia="ru-RU"/>
              </w:rPr>
              <w:t>construite</w:t>
            </w:r>
          </w:p>
        </w:tc>
      </w:tr>
      <w:tr w:rsidR="005F181C" w:rsidRPr="00337816" w:rsidTr="00E37F5D">
        <w:trPr>
          <w:cantSplit/>
          <w:trHeight w:val="1458"/>
        </w:trPr>
        <w:tc>
          <w:tcPr>
            <w:tcW w:w="990" w:type="dxa"/>
            <w:vMerge/>
            <w:hideMark/>
          </w:tcPr>
          <w:p w:rsidR="005F181C" w:rsidRPr="00337816" w:rsidRDefault="005F181C" w:rsidP="00F61756">
            <w:pPr>
              <w:spacing w:after="0" w:line="276" w:lineRule="auto"/>
              <w:rPr>
                <w:rFonts w:asciiTheme="majorHAnsi" w:eastAsia="Times New Roman" w:hAnsiTheme="majorHAnsi" w:cstheme="majorHAnsi"/>
                <w:b w:val="0"/>
                <w:bCs w:val="0"/>
                <w:color w:val="1C1C1C"/>
                <w:sz w:val="20"/>
                <w:szCs w:val="20"/>
                <w:lang w:eastAsia="ru-RU"/>
              </w:rPr>
            </w:pPr>
          </w:p>
        </w:tc>
        <w:tc>
          <w:tcPr>
            <w:tcW w:w="1255" w:type="dxa"/>
            <w:vMerge/>
            <w:hideMark/>
          </w:tcPr>
          <w:p w:rsidR="005F181C" w:rsidRPr="00337816" w:rsidRDefault="005F181C" w:rsidP="00F61756">
            <w:pPr>
              <w:spacing w:line="276" w:lineRule="auto"/>
              <w:rPr>
                <w:rFonts w:asciiTheme="majorHAnsi" w:eastAsia="Times New Roman" w:hAnsiTheme="majorHAnsi" w:cstheme="majorHAnsi"/>
                <w:b w:val="0"/>
                <w:bCs w:val="0"/>
                <w:color w:val="1C1C1C"/>
                <w:sz w:val="20"/>
                <w:szCs w:val="20"/>
                <w:lang w:eastAsia="ru-RU"/>
              </w:rPr>
            </w:pPr>
          </w:p>
        </w:tc>
        <w:tc>
          <w:tcPr>
            <w:tcW w:w="1256" w:type="dxa"/>
            <w:vMerge/>
            <w:hideMark/>
          </w:tcPr>
          <w:p w:rsidR="005F181C" w:rsidRPr="00337816" w:rsidRDefault="005F181C" w:rsidP="00F61756">
            <w:pPr>
              <w:spacing w:line="276" w:lineRule="auto"/>
              <w:rPr>
                <w:rFonts w:asciiTheme="majorHAnsi" w:eastAsia="Times New Roman" w:hAnsiTheme="majorHAnsi" w:cstheme="majorHAnsi"/>
                <w:b w:val="0"/>
                <w:bCs w:val="0"/>
                <w:color w:val="1C1C1C"/>
                <w:sz w:val="20"/>
                <w:szCs w:val="20"/>
                <w:lang w:eastAsia="ru-RU"/>
              </w:rPr>
            </w:pPr>
          </w:p>
        </w:tc>
        <w:tc>
          <w:tcPr>
            <w:tcW w:w="838" w:type="dxa"/>
            <w:shd w:val="clear" w:color="000000" w:fill="BDD6EE"/>
            <w:textDirection w:val="btLr"/>
            <w:hideMark/>
          </w:tcPr>
          <w:p w:rsidR="005F181C" w:rsidRPr="00337816" w:rsidRDefault="005F181C" w:rsidP="00F61756">
            <w:pPr>
              <w:spacing w:line="276" w:lineRule="auto"/>
              <w:ind w:left="113" w:right="113"/>
              <w:rPr>
                <w:rFonts w:asciiTheme="majorHAnsi" w:eastAsia="Times New Roman" w:hAnsiTheme="majorHAnsi" w:cstheme="majorHAnsi"/>
                <w:b w:val="0"/>
                <w:bCs w:val="0"/>
                <w:color w:val="1C1C1C"/>
                <w:sz w:val="20"/>
                <w:szCs w:val="20"/>
                <w:lang w:eastAsia="ru-RU"/>
              </w:rPr>
            </w:pPr>
            <w:r w:rsidRPr="00337816">
              <w:rPr>
                <w:rFonts w:asciiTheme="majorHAnsi" w:eastAsia="Times New Roman" w:hAnsiTheme="majorHAnsi" w:cstheme="majorHAnsi"/>
                <w:color w:val="1C1C1C"/>
                <w:sz w:val="20"/>
                <w:szCs w:val="20"/>
                <w:lang w:eastAsia="ru-RU"/>
              </w:rPr>
              <w:t>reconstruite</w:t>
            </w:r>
          </w:p>
        </w:tc>
        <w:tc>
          <w:tcPr>
            <w:tcW w:w="977" w:type="dxa"/>
            <w:shd w:val="clear" w:color="000000" w:fill="BDD6EE"/>
            <w:textDirection w:val="btLr"/>
            <w:hideMark/>
          </w:tcPr>
          <w:p w:rsidR="005F181C" w:rsidRPr="00337816" w:rsidRDefault="005F181C" w:rsidP="00F61756">
            <w:pPr>
              <w:spacing w:line="276" w:lineRule="auto"/>
              <w:ind w:left="113" w:right="113"/>
              <w:rPr>
                <w:rFonts w:asciiTheme="majorHAnsi" w:eastAsia="Times New Roman" w:hAnsiTheme="majorHAnsi" w:cstheme="majorHAnsi"/>
                <w:b w:val="0"/>
                <w:bCs w:val="0"/>
                <w:color w:val="1C1C1C"/>
                <w:sz w:val="20"/>
                <w:szCs w:val="20"/>
                <w:lang w:eastAsia="ru-RU"/>
              </w:rPr>
            </w:pPr>
            <w:r w:rsidRPr="00337816">
              <w:rPr>
                <w:rFonts w:asciiTheme="majorHAnsi" w:eastAsia="Times New Roman" w:hAnsiTheme="majorHAnsi" w:cstheme="majorHAnsi"/>
                <w:color w:val="1C1C1C"/>
                <w:sz w:val="20"/>
                <w:szCs w:val="20"/>
                <w:lang w:eastAsia="ru-RU"/>
              </w:rPr>
              <w:t>construite</w:t>
            </w:r>
          </w:p>
        </w:tc>
        <w:tc>
          <w:tcPr>
            <w:tcW w:w="981" w:type="dxa"/>
            <w:vMerge/>
            <w:hideMark/>
          </w:tcPr>
          <w:p w:rsidR="005F181C" w:rsidRPr="00337816" w:rsidRDefault="005F181C" w:rsidP="00F61756">
            <w:pPr>
              <w:spacing w:line="276" w:lineRule="auto"/>
              <w:rPr>
                <w:rFonts w:asciiTheme="majorHAnsi" w:eastAsia="Times New Roman" w:hAnsiTheme="majorHAnsi" w:cstheme="majorHAnsi"/>
                <w:b w:val="0"/>
                <w:bCs w:val="0"/>
                <w:color w:val="1C1C1C"/>
                <w:sz w:val="20"/>
                <w:szCs w:val="20"/>
                <w:lang w:eastAsia="ru-RU"/>
              </w:rPr>
            </w:pPr>
          </w:p>
        </w:tc>
        <w:tc>
          <w:tcPr>
            <w:tcW w:w="977" w:type="dxa"/>
            <w:vMerge/>
            <w:hideMark/>
          </w:tcPr>
          <w:p w:rsidR="005F181C" w:rsidRPr="00337816" w:rsidRDefault="005F181C" w:rsidP="00F61756">
            <w:pPr>
              <w:spacing w:line="276" w:lineRule="auto"/>
              <w:rPr>
                <w:rFonts w:asciiTheme="majorHAnsi" w:eastAsia="Times New Roman" w:hAnsiTheme="majorHAnsi" w:cstheme="majorHAnsi"/>
                <w:b w:val="0"/>
                <w:bCs w:val="0"/>
                <w:color w:val="000000"/>
                <w:sz w:val="20"/>
                <w:szCs w:val="20"/>
                <w:lang w:eastAsia="ru-RU"/>
              </w:rPr>
            </w:pPr>
          </w:p>
        </w:tc>
        <w:tc>
          <w:tcPr>
            <w:tcW w:w="838" w:type="dxa"/>
            <w:vMerge/>
            <w:hideMark/>
          </w:tcPr>
          <w:p w:rsidR="005F181C" w:rsidRPr="00337816" w:rsidRDefault="005F181C" w:rsidP="00F61756">
            <w:pPr>
              <w:spacing w:line="276" w:lineRule="auto"/>
              <w:rPr>
                <w:rFonts w:asciiTheme="majorHAnsi" w:eastAsia="Times New Roman" w:hAnsiTheme="majorHAnsi" w:cstheme="majorHAnsi"/>
                <w:b w:val="0"/>
                <w:bCs w:val="0"/>
                <w:color w:val="000000"/>
                <w:sz w:val="20"/>
                <w:szCs w:val="20"/>
                <w:lang w:eastAsia="ru-RU"/>
              </w:rPr>
            </w:pPr>
          </w:p>
        </w:tc>
        <w:tc>
          <w:tcPr>
            <w:tcW w:w="837" w:type="dxa"/>
            <w:vMerge/>
            <w:hideMark/>
          </w:tcPr>
          <w:p w:rsidR="005F181C" w:rsidRPr="00337816" w:rsidRDefault="005F181C" w:rsidP="00F61756">
            <w:pPr>
              <w:spacing w:line="276" w:lineRule="auto"/>
              <w:rPr>
                <w:rFonts w:asciiTheme="majorHAnsi" w:eastAsia="Times New Roman" w:hAnsiTheme="majorHAnsi" w:cstheme="majorHAnsi"/>
                <w:b w:val="0"/>
                <w:bCs w:val="0"/>
                <w:color w:val="000000"/>
                <w:sz w:val="20"/>
                <w:szCs w:val="20"/>
                <w:lang w:eastAsia="ru-RU"/>
              </w:rPr>
            </w:pPr>
          </w:p>
        </w:tc>
        <w:tc>
          <w:tcPr>
            <w:tcW w:w="794" w:type="dxa"/>
            <w:vMerge/>
            <w:hideMark/>
          </w:tcPr>
          <w:p w:rsidR="005F181C" w:rsidRPr="00337816" w:rsidRDefault="005F181C" w:rsidP="00F61756">
            <w:pPr>
              <w:spacing w:line="276" w:lineRule="auto"/>
              <w:rPr>
                <w:rFonts w:asciiTheme="majorHAnsi" w:eastAsia="Times New Roman" w:hAnsiTheme="majorHAnsi" w:cstheme="majorHAnsi"/>
                <w:b w:val="0"/>
                <w:bCs w:val="0"/>
                <w:color w:val="000000"/>
                <w:sz w:val="20"/>
                <w:szCs w:val="20"/>
                <w:lang w:eastAsia="ru-RU"/>
              </w:rPr>
            </w:pPr>
          </w:p>
        </w:tc>
      </w:tr>
      <w:tr w:rsidR="005F181C" w:rsidRPr="00337816" w:rsidTr="00E37F5D">
        <w:trPr>
          <w:trHeight w:val="219"/>
        </w:trPr>
        <w:tc>
          <w:tcPr>
            <w:tcW w:w="990" w:type="dxa"/>
            <w:shd w:val="clear" w:color="auto" w:fill="auto"/>
            <w:hideMark/>
          </w:tcPr>
          <w:p w:rsidR="005F181C" w:rsidRPr="00337816" w:rsidRDefault="005F181C" w:rsidP="00F61756">
            <w:pPr>
              <w:spacing w:after="0" w:line="276" w:lineRule="auto"/>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2014</w:t>
            </w:r>
          </w:p>
        </w:tc>
        <w:tc>
          <w:tcPr>
            <w:tcW w:w="1255" w:type="dxa"/>
            <w:shd w:val="clear" w:color="auto" w:fill="FFFFFF" w:themeFill="background1"/>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10483,7</w:t>
            </w:r>
          </w:p>
        </w:tc>
        <w:tc>
          <w:tcPr>
            <w:tcW w:w="1256" w:type="dxa"/>
            <w:shd w:val="clear" w:color="auto" w:fill="FFFFFF" w:themeFill="background1"/>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r w:rsidRPr="00337816">
              <w:rPr>
                <w:rStyle w:val="ab"/>
                <w:rFonts w:asciiTheme="majorHAnsi" w:eastAsia="Times New Roman" w:hAnsiTheme="majorHAnsi" w:cstheme="majorHAnsi"/>
                <w:b w:val="0"/>
                <w:color w:val="1C1C1C"/>
                <w:sz w:val="20"/>
                <w:szCs w:val="20"/>
                <w:lang w:eastAsia="ru-RU"/>
              </w:rPr>
              <w:footnoteReference w:id="74"/>
            </w:r>
          </w:p>
        </w:tc>
        <w:tc>
          <w:tcPr>
            <w:tcW w:w="838" w:type="dxa"/>
            <w:shd w:val="clear" w:color="auto" w:fill="FFFFFF" w:themeFill="background1"/>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977" w:type="dxa"/>
            <w:shd w:val="clear" w:color="auto" w:fill="FFFFFF" w:themeFill="background1"/>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981" w:type="dxa"/>
            <w:shd w:val="clear" w:color="auto" w:fill="FFFFFF" w:themeFill="background1"/>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977" w:type="dxa"/>
            <w:shd w:val="clear" w:color="auto" w:fill="FFFFFF" w:themeFill="background1"/>
            <w:noWrap/>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838" w:type="dxa"/>
            <w:shd w:val="clear" w:color="auto" w:fill="FFFFFF" w:themeFill="background1"/>
            <w:noWrap/>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837" w:type="dxa"/>
            <w:shd w:val="clear" w:color="auto" w:fill="FFFFFF" w:themeFill="background1"/>
            <w:noWrap/>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794" w:type="dxa"/>
            <w:shd w:val="clear" w:color="auto" w:fill="FFFFFF" w:themeFill="background1"/>
            <w:noWrap/>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r>
      <w:tr w:rsidR="005F181C" w:rsidRPr="00337816" w:rsidTr="00E37F5D">
        <w:trPr>
          <w:trHeight w:val="219"/>
        </w:trPr>
        <w:tc>
          <w:tcPr>
            <w:tcW w:w="990" w:type="dxa"/>
            <w:shd w:val="clear" w:color="auto" w:fill="auto"/>
            <w:hideMark/>
          </w:tcPr>
          <w:p w:rsidR="005F181C" w:rsidRPr="00337816" w:rsidRDefault="005F181C" w:rsidP="00F61756">
            <w:pPr>
              <w:spacing w:after="0" w:line="276" w:lineRule="auto"/>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2015</w:t>
            </w:r>
          </w:p>
        </w:tc>
        <w:tc>
          <w:tcPr>
            <w:tcW w:w="1255" w:type="dxa"/>
            <w:shd w:val="clear" w:color="auto" w:fill="FFFFFF" w:themeFill="background1"/>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12756,5</w:t>
            </w:r>
          </w:p>
        </w:tc>
        <w:tc>
          <w:tcPr>
            <w:tcW w:w="1256" w:type="dxa"/>
            <w:shd w:val="clear" w:color="auto" w:fill="FFFFFF" w:themeFill="background1"/>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838" w:type="dxa"/>
            <w:shd w:val="clear" w:color="auto" w:fill="FFFFFF" w:themeFill="background1"/>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977" w:type="dxa"/>
            <w:shd w:val="clear" w:color="auto" w:fill="FFFFFF" w:themeFill="background1"/>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981" w:type="dxa"/>
            <w:shd w:val="clear" w:color="auto" w:fill="FFFFFF" w:themeFill="background1"/>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977" w:type="dxa"/>
            <w:shd w:val="clear" w:color="auto" w:fill="FFFFFF" w:themeFill="background1"/>
            <w:noWrap/>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838" w:type="dxa"/>
            <w:shd w:val="clear" w:color="auto" w:fill="FFFFFF" w:themeFill="background1"/>
            <w:noWrap/>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837" w:type="dxa"/>
            <w:shd w:val="clear" w:color="auto" w:fill="FFFFFF" w:themeFill="background1"/>
            <w:noWrap/>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c>
          <w:tcPr>
            <w:tcW w:w="794" w:type="dxa"/>
            <w:shd w:val="clear" w:color="auto" w:fill="FFFFFF" w:themeFill="background1"/>
            <w:noWrap/>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 d/n</w:t>
            </w:r>
          </w:p>
        </w:tc>
      </w:tr>
      <w:tr w:rsidR="005F181C" w:rsidRPr="00337816" w:rsidTr="00E37F5D">
        <w:trPr>
          <w:trHeight w:val="113"/>
        </w:trPr>
        <w:tc>
          <w:tcPr>
            <w:tcW w:w="990" w:type="dxa"/>
            <w:shd w:val="clear" w:color="auto" w:fill="auto"/>
            <w:hideMark/>
          </w:tcPr>
          <w:p w:rsidR="005F181C" w:rsidRPr="00337816" w:rsidRDefault="005F181C" w:rsidP="00F61756">
            <w:pPr>
              <w:spacing w:after="0" w:line="276" w:lineRule="auto"/>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2016</w:t>
            </w:r>
          </w:p>
        </w:tc>
        <w:tc>
          <w:tcPr>
            <w:tcW w:w="1255"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13353</w:t>
            </w:r>
          </w:p>
        </w:tc>
        <w:tc>
          <w:tcPr>
            <w:tcW w:w="1256"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13121</w:t>
            </w:r>
          </w:p>
        </w:tc>
        <w:tc>
          <w:tcPr>
            <w:tcW w:w="838"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191,3</w:t>
            </w:r>
          </w:p>
        </w:tc>
        <w:tc>
          <w:tcPr>
            <w:tcW w:w="977"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295,4</w:t>
            </w:r>
          </w:p>
        </w:tc>
        <w:tc>
          <w:tcPr>
            <w:tcW w:w="981"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232,5</w:t>
            </w:r>
          </w:p>
        </w:tc>
        <w:tc>
          <w:tcPr>
            <w:tcW w:w="97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98,3%</w:t>
            </w:r>
          </w:p>
        </w:tc>
        <w:tc>
          <w:tcPr>
            <w:tcW w:w="838"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1,7%</w:t>
            </w:r>
          </w:p>
        </w:tc>
        <w:tc>
          <w:tcPr>
            <w:tcW w:w="83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1,5%</w:t>
            </w:r>
          </w:p>
        </w:tc>
        <w:tc>
          <w:tcPr>
            <w:tcW w:w="794"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2,3%</w:t>
            </w:r>
          </w:p>
        </w:tc>
      </w:tr>
      <w:tr w:rsidR="005F181C" w:rsidRPr="00337816" w:rsidTr="00E37F5D">
        <w:trPr>
          <w:trHeight w:val="49"/>
        </w:trPr>
        <w:tc>
          <w:tcPr>
            <w:tcW w:w="990" w:type="dxa"/>
            <w:shd w:val="clear" w:color="auto" w:fill="auto"/>
            <w:hideMark/>
          </w:tcPr>
          <w:p w:rsidR="005F181C" w:rsidRPr="00337816" w:rsidRDefault="005F181C" w:rsidP="00F61756">
            <w:pPr>
              <w:spacing w:after="0" w:line="276" w:lineRule="auto"/>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2017</w:t>
            </w:r>
          </w:p>
        </w:tc>
        <w:tc>
          <w:tcPr>
            <w:tcW w:w="1255"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13851</w:t>
            </w:r>
          </w:p>
        </w:tc>
        <w:tc>
          <w:tcPr>
            <w:tcW w:w="1256"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13673</w:t>
            </w:r>
          </w:p>
        </w:tc>
        <w:tc>
          <w:tcPr>
            <w:tcW w:w="838"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182,6</w:t>
            </w:r>
          </w:p>
        </w:tc>
        <w:tc>
          <w:tcPr>
            <w:tcW w:w="977"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359,8</w:t>
            </w:r>
          </w:p>
        </w:tc>
        <w:tc>
          <w:tcPr>
            <w:tcW w:w="981"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177,8</w:t>
            </w:r>
          </w:p>
        </w:tc>
        <w:tc>
          <w:tcPr>
            <w:tcW w:w="97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98,7%</w:t>
            </w:r>
          </w:p>
        </w:tc>
        <w:tc>
          <w:tcPr>
            <w:tcW w:w="838"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1,3%</w:t>
            </w:r>
          </w:p>
        </w:tc>
        <w:tc>
          <w:tcPr>
            <w:tcW w:w="83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1,3%</w:t>
            </w:r>
          </w:p>
        </w:tc>
        <w:tc>
          <w:tcPr>
            <w:tcW w:w="794"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2,6%</w:t>
            </w:r>
          </w:p>
        </w:tc>
      </w:tr>
      <w:tr w:rsidR="005F181C" w:rsidRPr="00337816" w:rsidTr="00E37F5D">
        <w:trPr>
          <w:trHeight w:val="49"/>
        </w:trPr>
        <w:tc>
          <w:tcPr>
            <w:tcW w:w="990" w:type="dxa"/>
            <w:shd w:val="clear" w:color="auto" w:fill="auto"/>
            <w:hideMark/>
          </w:tcPr>
          <w:p w:rsidR="005F181C" w:rsidRPr="00337816" w:rsidRDefault="005F181C" w:rsidP="00F61756">
            <w:pPr>
              <w:spacing w:after="0" w:line="276" w:lineRule="auto"/>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2018</w:t>
            </w:r>
          </w:p>
        </w:tc>
        <w:tc>
          <w:tcPr>
            <w:tcW w:w="1255"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14401</w:t>
            </w:r>
          </w:p>
        </w:tc>
        <w:tc>
          <w:tcPr>
            <w:tcW w:w="1256"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14249</w:t>
            </w:r>
          </w:p>
        </w:tc>
        <w:tc>
          <w:tcPr>
            <w:tcW w:w="838"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67,7</w:t>
            </w:r>
          </w:p>
        </w:tc>
        <w:tc>
          <w:tcPr>
            <w:tcW w:w="977"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353,1</w:t>
            </w:r>
          </w:p>
        </w:tc>
        <w:tc>
          <w:tcPr>
            <w:tcW w:w="981"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152,2</w:t>
            </w:r>
          </w:p>
        </w:tc>
        <w:tc>
          <w:tcPr>
            <w:tcW w:w="97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98,9%</w:t>
            </w:r>
          </w:p>
        </w:tc>
        <w:tc>
          <w:tcPr>
            <w:tcW w:w="838"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1,1%</w:t>
            </w:r>
          </w:p>
        </w:tc>
        <w:tc>
          <w:tcPr>
            <w:tcW w:w="83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0,5%</w:t>
            </w:r>
          </w:p>
        </w:tc>
        <w:tc>
          <w:tcPr>
            <w:tcW w:w="794"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2,5%</w:t>
            </w:r>
          </w:p>
        </w:tc>
      </w:tr>
      <w:tr w:rsidR="005F181C" w:rsidRPr="00337816" w:rsidTr="00E37F5D">
        <w:trPr>
          <w:trHeight w:val="62"/>
        </w:trPr>
        <w:tc>
          <w:tcPr>
            <w:tcW w:w="990" w:type="dxa"/>
            <w:shd w:val="clear" w:color="auto" w:fill="auto"/>
            <w:hideMark/>
          </w:tcPr>
          <w:p w:rsidR="005F181C" w:rsidRPr="00337816" w:rsidRDefault="005F181C" w:rsidP="00F61756">
            <w:pPr>
              <w:spacing w:after="0" w:line="276" w:lineRule="auto"/>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2019</w:t>
            </w:r>
          </w:p>
        </w:tc>
        <w:tc>
          <w:tcPr>
            <w:tcW w:w="1255"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14947</w:t>
            </w:r>
          </w:p>
        </w:tc>
        <w:tc>
          <w:tcPr>
            <w:tcW w:w="1256"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14790</w:t>
            </w:r>
          </w:p>
        </w:tc>
        <w:tc>
          <w:tcPr>
            <w:tcW w:w="838"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89</w:t>
            </w:r>
          </w:p>
        </w:tc>
        <w:tc>
          <w:tcPr>
            <w:tcW w:w="977"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360</w:t>
            </w:r>
          </w:p>
        </w:tc>
        <w:tc>
          <w:tcPr>
            <w:tcW w:w="981"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157,4</w:t>
            </w:r>
          </w:p>
        </w:tc>
        <w:tc>
          <w:tcPr>
            <w:tcW w:w="97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98,9%</w:t>
            </w:r>
          </w:p>
        </w:tc>
        <w:tc>
          <w:tcPr>
            <w:tcW w:w="838"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1,1%</w:t>
            </w:r>
          </w:p>
        </w:tc>
        <w:tc>
          <w:tcPr>
            <w:tcW w:w="83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0,6%</w:t>
            </w:r>
          </w:p>
        </w:tc>
        <w:tc>
          <w:tcPr>
            <w:tcW w:w="794"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2,4%</w:t>
            </w:r>
          </w:p>
        </w:tc>
      </w:tr>
      <w:tr w:rsidR="005F181C" w:rsidRPr="00337816" w:rsidTr="00E37F5D">
        <w:trPr>
          <w:trHeight w:val="98"/>
        </w:trPr>
        <w:tc>
          <w:tcPr>
            <w:tcW w:w="990" w:type="dxa"/>
            <w:shd w:val="clear" w:color="auto" w:fill="auto"/>
            <w:hideMark/>
          </w:tcPr>
          <w:p w:rsidR="005F181C" w:rsidRPr="00337816" w:rsidRDefault="005F181C" w:rsidP="00F61756">
            <w:pPr>
              <w:spacing w:after="0" w:line="276" w:lineRule="auto"/>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2020</w:t>
            </w:r>
          </w:p>
        </w:tc>
        <w:tc>
          <w:tcPr>
            <w:tcW w:w="1255"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15610</w:t>
            </w:r>
          </w:p>
        </w:tc>
        <w:tc>
          <w:tcPr>
            <w:tcW w:w="1256"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15435</w:t>
            </w:r>
          </w:p>
        </w:tc>
        <w:tc>
          <w:tcPr>
            <w:tcW w:w="838"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49,9</w:t>
            </w:r>
          </w:p>
        </w:tc>
        <w:tc>
          <w:tcPr>
            <w:tcW w:w="977"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598,5</w:t>
            </w:r>
          </w:p>
        </w:tc>
        <w:tc>
          <w:tcPr>
            <w:tcW w:w="981"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175,3</w:t>
            </w:r>
          </w:p>
        </w:tc>
        <w:tc>
          <w:tcPr>
            <w:tcW w:w="97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98,9%</w:t>
            </w:r>
          </w:p>
        </w:tc>
        <w:tc>
          <w:tcPr>
            <w:tcW w:w="838"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1,1%</w:t>
            </w:r>
          </w:p>
        </w:tc>
        <w:tc>
          <w:tcPr>
            <w:tcW w:w="83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0,3%</w:t>
            </w:r>
          </w:p>
        </w:tc>
        <w:tc>
          <w:tcPr>
            <w:tcW w:w="794"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3,9%</w:t>
            </w:r>
          </w:p>
        </w:tc>
      </w:tr>
      <w:tr w:rsidR="005F181C" w:rsidRPr="00337816" w:rsidTr="00E37F5D">
        <w:trPr>
          <w:trHeight w:val="132"/>
        </w:trPr>
        <w:tc>
          <w:tcPr>
            <w:tcW w:w="990" w:type="dxa"/>
            <w:shd w:val="clear" w:color="auto" w:fill="auto"/>
            <w:hideMark/>
          </w:tcPr>
          <w:p w:rsidR="005F181C" w:rsidRPr="00337816" w:rsidRDefault="005F181C" w:rsidP="00F61756">
            <w:pPr>
              <w:spacing w:after="0" w:line="276" w:lineRule="auto"/>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2021</w:t>
            </w:r>
          </w:p>
        </w:tc>
        <w:tc>
          <w:tcPr>
            <w:tcW w:w="1255"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16446</w:t>
            </w:r>
          </w:p>
        </w:tc>
        <w:tc>
          <w:tcPr>
            <w:tcW w:w="1256"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16289</w:t>
            </w:r>
          </w:p>
        </w:tc>
        <w:tc>
          <w:tcPr>
            <w:tcW w:w="838" w:type="dxa"/>
            <w:shd w:val="clear" w:color="000000" w:fill="FFFFFF"/>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x</w:t>
            </w:r>
          </w:p>
        </w:tc>
        <w:tc>
          <w:tcPr>
            <w:tcW w:w="977"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1C1C1C"/>
                <w:sz w:val="20"/>
                <w:szCs w:val="20"/>
                <w:lang w:eastAsia="ru-RU"/>
              </w:rPr>
            </w:pPr>
            <w:r w:rsidRPr="00337816">
              <w:rPr>
                <w:rFonts w:asciiTheme="majorHAnsi" w:eastAsia="Times New Roman" w:hAnsiTheme="majorHAnsi" w:cstheme="majorHAnsi"/>
                <w:b w:val="0"/>
                <w:color w:val="1C1C1C"/>
                <w:sz w:val="20"/>
                <w:szCs w:val="20"/>
                <w:lang w:eastAsia="ru-RU"/>
              </w:rPr>
              <w:t>557,3</w:t>
            </w:r>
          </w:p>
        </w:tc>
        <w:tc>
          <w:tcPr>
            <w:tcW w:w="981" w:type="dxa"/>
            <w:shd w:val="clear" w:color="auto" w:fill="auto"/>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157</w:t>
            </w:r>
          </w:p>
        </w:tc>
        <w:tc>
          <w:tcPr>
            <w:tcW w:w="97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99,0%</w:t>
            </w:r>
          </w:p>
        </w:tc>
        <w:tc>
          <w:tcPr>
            <w:tcW w:w="838"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1,0%</w:t>
            </w:r>
          </w:p>
        </w:tc>
        <w:tc>
          <w:tcPr>
            <w:tcW w:w="837"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x</w:t>
            </w:r>
          </w:p>
        </w:tc>
        <w:tc>
          <w:tcPr>
            <w:tcW w:w="794" w:type="dxa"/>
            <w:shd w:val="clear" w:color="auto" w:fill="auto"/>
            <w:noWrap/>
            <w:hideMark/>
          </w:tcPr>
          <w:p w:rsidR="005F181C" w:rsidRPr="00337816" w:rsidRDefault="005F181C" w:rsidP="00F61756">
            <w:pPr>
              <w:spacing w:after="0" w:line="276" w:lineRule="auto"/>
              <w:jc w:val="right"/>
              <w:rPr>
                <w:rFonts w:asciiTheme="majorHAnsi" w:eastAsia="Times New Roman" w:hAnsiTheme="majorHAnsi" w:cstheme="majorHAnsi"/>
                <w:b w:val="0"/>
                <w:color w:val="000000"/>
                <w:sz w:val="20"/>
                <w:szCs w:val="20"/>
                <w:lang w:eastAsia="ru-RU"/>
              </w:rPr>
            </w:pPr>
            <w:r w:rsidRPr="00337816">
              <w:rPr>
                <w:rFonts w:asciiTheme="majorHAnsi" w:eastAsia="Times New Roman" w:hAnsiTheme="majorHAnsi" w:cstheme="majorHAnsi"/>
                <w:b w:val="0"/>
                <w:color w:val="000000"/>
                <w:sz w:val="20"/>
                <w:szCs w:val="20"/>
                <w:lang w:eastAsia="ru-RU"/>
              </w:rPr>
              <w:t>3,4%</w:t>
            </w:r>
          </w:p>
        </w:tc>
      </w:tr>
    </w:tbl>
    <w:p w:rsidR="005F181C" w:rsidRDefault="005F181C" w:rsidP="00F61756">
      <w:pPr>
        <w:pStyle w:val="a3"/>
        <w:tabs>
          <w:tab w:val="left" w:pos="851"/>
        </w:tabs>
        <w:spacing w:line="276" w:lineRule="auto"/>
        <w:ind w:left="567"/>
        <w:rPr>
          <w:rFonts w:asciiTheme="majorHAnsi" w:hAnsiTheme="majorHAnsi" w:cstheme="majorHAnsi"/>
          <w:i/>
          <w:noProof/>
          <w:sz w:val="20"/>
          <w:szCs w:val="20"/>
          <w:lang w:val="en-US"/>
        </w:rPr>
      </w:pPr>
      <w:r w:rsidRPr="002801E7">
        <w:rPr>
          <w:rFonts w:asciiTheme="majorHAnsi" w:hAnsiTheme="majorHAnsi" w:cstheme="majorHAnsi"/>
          <w:b/>
          <w:i/>
          <w:noProof/>
          <w:sz w:val="20"/>
          <w:szCs w:val="20"/>
          <w:lang w:val="en-US"/>
        </w:rPr>
        <w:t>Sursa:</w:t>
      </w:r>
      <w:r w:rsidRPr="002801E7">
        <w:rPr>
          <w:rFonts w:asciiTheme="majorHAnsi" w:hAnsiTheme="majorHAnsi" w:cstheme="majorHAnsi"/>
          <w:i/>
          <w:noProof/>
          <w:sz w:val="20"/>
          <w:szCs w:val="20"/>
          <w:lang w:val="en-US"/>
        </w:rPr>
        <w:t xml:space="preserve"> Date</w:t>
      </w:r>
      <w:r w:rsidR="00ED79FC" w:rsidRPr="0088086E">
        <w:rPr>
          <w:rFonts w:asciiTheme="majorHAnsi" w:hAnsiTheme="majorHAnsi" w:cstheme="majorHAnsi"/>
          <w:i/>
          <w:noProof/>
          <w:sz w:val="20"/>
          <w:szCs w:val="20"/>
          <w:lang w:val="en-US"/>
        </w:rPr>
        <w:t xml:space="preserve"> oferite de</w:t>
      </w:r>
      <w:r w:rsidRPr="002801E7">
        <w:rPr>
          <w:rFonts w:asciiTheme="majorHAnsi" w:hAnsiTheme="majorHAnsi" w:cstheme="majorHAnsi"/>
          <w:i/>
          <w:noProof/>
          <w:sz w:val="20"/>
          <w:szCs w:val="20"/>
          <w:lang w:val="en-US"/>
        </w:rPr>
        <w:t xml:space="preserve"> BNS. </w:t>
      </w:r>
    </w:p>
    <w:p w:rsidR="00E37F5D" w:rsidRPr="002801E7" w:rsidRDefault="00E37F5D" w:rsidP="00F61756">
      <w:pPr>
        <w:pStyle w:val="a3"/>
        <w:tabs>
          <w:tab w:val="left" w:pos="851"/>
        </w:tabs>
        <w:spacing w:line="276" w:lineRule="auto"/>
        <w:ind w:left="567"/>
        <w:rPr>
          <w:rFonts w:asciiTheme="majorHAnsi" w:hAnsiTheme="majorHAnsi" w:cstheme="majorHAnsi"/>
          <w:i/>
          <w:noProof/>
          <w:sz w:val="20"/>
          <w:szCs w:val="20"/>
          <w:lang w:val="en-US"/>
        </w:rPr>
      </w:pPr>
    </w:p>
    <w:p w:rsidR="009A30E2" w:rsidRPr="008376FC" w:rsidRDefault="009A30E2" w:rsidP="00F61756">
      <w:pPr>
        <w:pStyle w:val="a3"/>
        <w:numPr>
          <w:ilvl w:val="2"/>
          <w:numId w:val="38"/>
        </w:numPr>
        <w:spacing w:before="100" w:beforeAutospacing="1" w:after="100" w:afterAutospacing="1" w:line="276" w:lineRule="auto"/>
        <w:ind w:left="0" w:firstLine="0"/>
        <w:jc w:val="both"/>
        <w:rPr>
          <w:rFonts w:asciiTheme="majorHAnsi" w:eastAsia="Calibri" w:hAnsiTheme="majorHAnsi" w:cstheme="majorHAnsi"/>
          <w:b/>
          <w:color w:val="0070C0"/>
          <w:lang w:val="en-US"/>
        </w:rPr>
      </w:pPr>
      <w:r w:rsidRPr="008376FC">
        <w:rPr>
          <w:rFonts w:asciiTheme="majorHAnsi" w:eastAsia="Calibri" w:hAnsiTheme="majorHAnsi" w:cstheme="majorHAnsi"/>
          <w:b/>
          <w:color w:val="0070C0"/>
          <w:lang w:val="en-US"/>
        </w:rPr>
        <w:t xml:space="preserve">Numărul populației și gospodăriilor conectate la sistemele de alimentare cu apă a crescut  cu </w:t>
      </w:r>
      <w:r>
        <w:rPr>
          <w:rFonts w:asciiTheme="majorHAnsi" w:eastAsia="Calibri" w:hAnsiTheme="majorHAnsi" w:cstheme="majorHAnsi"/>
          <w:b/>
          <w:color w:val="0070C0"/>
          <w:lang w:val="en-US"/>
        </w:rPr>
        <w:t>340,</w:t>
      </w:r>
      <w:r w:rsidRPr="00337816">
        <w:rPr>
          <w:rFonts w:asciiTheme="majorHAnsi" w:eastAsia="Calibri" w:hAnsiTheme="majorHAnsi" w:cstheme="majorHAnsi"/>
          <w:b/>
          <w:color w:val="0070C0"/>
          <w:lang w:val="en-US"/>
        </w:rPr>
        <w:t>2 mii de perso</w:t>
      </w:r>
      <w:r w:rsidR="00337816">
        <w:rPr>
          <w:rFonts w:asciiTheme="majorHAnsi" w:eastAsia="Calibri" w:hAnsiTheme="majorHAnsi" w:cstheme="majorHAnsi"/>
          <w:b/>
          <w:color w:val="0070C0"/>
          <w:lang w:val="en-US"/>
        </w:rPr>
        <w:t>a</w:t>
      </w:r>
      <w:r w:rsidRPr="00337816">
        <w:rPr>
          <w:rFonts w:asciiTheme="majorHAnsi" w:eastAsia="Calibri" w:hAnsiTheme="majorHAnsi" w:cstheme="majorHAnsi"/>
          <w:b/>
          <w:color w:val="0070C0"/>
          <w:lang w:val="en-US"/>
        </w:rPr>
        <w:t xml:space="preserve">ne și </w:t>
      </w:r>
      <w:r w:rsidR="00337816">
        <w:rPr>
          <w:rFonts w:asciiTheme="majorHAnsi" w:eastAsia="Calibri" w:hAnsiTheme="majorHAnsi" w:cstheme="majorHAnsi"/>
          <w:b/>
          <w:color w:val="0070C0"/>
          <w:lang w:val="en-US"/>
        </w:rPr>
        <w:t xml:space="preserve">respective cu </w:t>
      </w:r>
      <w:r w:rsidRPr="00337816">
        <w:rPr>
          <w:rFonts w:asciiTheme="majorHAnsi" w:eastAsia="Calibri" w:hAnsiTheme="majorHAnsi" w:cstheme="majorHAnsi"/>
          <w:b/>
          <w:color w:val="0070C0"/>
          <w:lang w:val="en-US"/>
        </w:rPr>
        <w:t>120</w:t>
      </w:r>
      <w:r>
        <w:rPr>
          <w:rFonts w:asciiTheme="majorHAnsi" w:eastAsia="Calibri" w:hAnsiTheme="majorHAnsi" w:cstheme="majorHAnsi"/>
          <w:b/>
          <w:color w:val="0070C0"/>
          <w:lang w:val="en-US"/>
        </w:rPr>
        <w:t>,3 mii de gospodării</w:t>
      </w:r>
      <w:r w:rsidRPr="008376FC">
        <w:rPr>
          <w:rFonts w:asciiTheme="majorHAnsi" w:eastAsia="Calibri" w:hAnsiTheme="majorHAnsi" w:cstheme="majorHAnsi"/>
          <w:b/>
          <w:color w:val="0070C0"/>
          <w:lang w:val="en-US"/>
        </w:rPr>
        <w:t xml:space="preserve"> </w:t>
      </w:r>
    </w:p>
    <w:p w:rsidR="00E37F5D" w:rsidRPr="008376FC" w:rsidRDefault="00BE49FB" w:rsidP="00F61756">
      <w:pPr>
        <w:spacing w:before="100" w:beforeAutospacing="1" w:after="100" w:afterAutospacing="1" w:line="276" w:lineRule="auto"/>
        <w:jc w:val="both"/>
        <w:rPr>
          <w:rFonts w:asciiTheme="majorHAnsi" w:eastAsia="Calibri" w:hAnsiTheme="majorHAnsi" w:cstheme="majorHAnsi"/>
          <w:b w:val="0"/>
          <w:bCs w:val="0"/>
          <w:sz w:val="24"/>
          <w:szCs w:val="24"/>
        </w:rPr>
      </w:pPr>
      <w:r w:rsidRPr="008376FC">
        <w:rPr>
          <w:rFonts w:asciiTheme="majorHAnsi" w:eastAsia="Times New Roman" w:hAnsiTheme="majorHAnsi" w:cstheme="majorHAnsi"/>
          <w:b w:val="0"/>
          <w:bCs w:val="0"/>
          <w:sz w:val="24"/>
          <w:szCs w:val="24"/>
          <w:shd w:val="clear" w:color="auto" w:fill="FFFFFF"/>
          <w:lang w:eastAsia="ru-RU"/>
        </w:rPr>
        <w:t xml:space="preserve">În anul 2016, circa 1,9 milioane din populația ţării a beneficiat de servicii de alimentare cu apă, </w:t>
      </w:r>
      <w:r w:rsidR="00ED79FC">
        <w:rPr>
          <w:rFonts w:asciiTheme="majorHAnsi" w:eastAsia="Times New Roman" w:hAnsiTheme="majorHAnsi" w:cstheme="majorHAnsi"/>
          <w:b w:val="0"/>
          <w:bCs w:val="0"/>
          <w:sz w:val="24"/>
          <w:szCs w:val="24"/>
          <w:shd w:val="clear" w:color="auto" w:fill="FFFFFF"/>
          <w:lang w:eastAsia="ru-RU"/>
        </w:rPr>
        <w:t xml:space="preserve">ceea </w:t>
      </w:r>
      <w:r w:rsidRPr="008376FC">
        <w:rPr>
          <w:rFonts w:asciiTheme="majorHAnsi" w:eastAsia="Times New Roman" w:hAnsiTheme="majorHAnsi" w:cstheme="majorHAnsi"/>
          <w:b w:val="0"/>
          <w:bCs w:val="0"/>
          <w:sz w:val="24"/>
          <w:szCs w:val="24"/>
          <w:shd w:val="clear" w:color="auto" w:fill="FFFFFF"/>
          <w:lang w:eastAsia="ru-RU"/>
        </w:rPr>
        <w:t>ce reprezintă 53,4%</w:t>
      </w:r>
      <w:r w:rsidRPr="008376FC">
        <w:rPr>
          <w:rFonts w:asciiTheme="majorHAnsi" w:eastAsia="Times New Roman" w:hAnsiTheme="majorHAnsi" w:cstheme="majorHAnsi"/>
          <w:b w:val="0"/>
          <w:bCs w:val="0"/>
          <w:sz w:val="24"/>
          <w:szCs w:val="24"/>
          <w:shd w:val="clear" w:color="auto" w:fill="FFFFFF"/>
          <w:vertAlign w:val="superscript"/>
          <w:lang w:eastAsia="ru-RU"/>
        </w:rPr>
        <w:footnoteReference w:id="75"/>
      </w:r>
      <w:r w:rsidRPr="008376FC">
        <w:rPr>
          <w:rFonts w:asciiTheme="majorHAnsi" w:eastAsia="Times New Roman" w:hAnsiTheme="majorHAnsi" w:cstheme="majorHAnsi"/>
          <w:b w:val="0"/>
          <w:bCs w:val="0"/>
          <w:sz w:val="24"/>
          <w:szCs w:val="24"/>
          <w:shd w:val="clear" w:color="auto" w:fill="FFFFFF"/>
          <w:lang w:eastAsia="ru-RU"/>
        </w:rPr>
        <w:t xml:space="preserve"> din populația ţării. La finele anului 2021</w:t>
      </w:r>
      <w:r w:rsidR="00ED79FC">
        <w:rPr>
          <w:rFonts w:asciiTheme="majorHAnsi" w:eastAsia="Times New Roman" w:hAnsiTheme="majorHAnsi" w:cstheme="majorHAnsi"/>
          <w:b w:val="0"/>
          <w:bCs w:val="0"/>
          <w:sz w:val="24"/>
          <w:szCs w:val="24"/>
          <w:shd w:val="clear" w:color="auto" w:fill="FFFFFF"/>
          <w:lang w:eastAsia="ru-RU"/>
        </w:rPr>
        <w:t>,</w:t>
      </w:r>
      <w:r w:rsidRPr="008376FC">
        <w:rPr>
          <w:rFonts w:asciiTheme="majorHAnsi" w:eastAsia="Times New Roman" w:hAnsiTheme="majorHAnsi" w:cstheme="majorHAnsi"/>
          <w:b w:val="0"/>
          <w:bCs w:val="0"/>
          <w:sz w:val="24"/>
          <w:szCs w:val="24"/>
          <w:shd w:val="clear" w:color="auto" w:fill="FFFFFF"/>
          <w:lang w:eastAsia="ru-RU"/>
        </w:rPr>
        <w:t xml:space="preserve"> la rețelele de alimentare cu apă au fost conecta</w:t>
      </w:r>
      <w:r w:rsidR="00ED79FC">
        <w:rPr>
          <w:rFonts w:asciiTheme="majorHAnsi" w:eastAsia="Times New Roman" w:hAnsiTheme="majorHAnsi" w:cstheme="majorHAnsi"/>
          <w:b w:val="0"/>
          <w:bCs w:val="0"/>
          <w:sz w:val="24"/>
          <w:szCs w:val="24"/>
          <w:shd w:val="clear" w:color="auto" w:fill="FFFFFF"/>
          <w:lang w:eastAsia="ru-RU"/>
        </w:rPr>
        <w:t>te</w:t>
      </w:r>
      <w:r w:rsidRPr="008376FC">
        <w:rPr>
          <w:rFonts w:asciiTheme="majorHAnsi" w:eastAsia="Times New Roman" w:hAnsiTheme="majorHAnsi" w:cstheme="majorHAnsi"/>
          <w:b w:val="0"/>
          <w:bCs w:val="0"/>
          <w:sz w:val="24"/>
          <w:szCs w:val="24"/>
          <w:shd w:val="clear" w:color="auto" w:fill="FFFFFF"/>
          <w:lang w:eastAsia="ru-RU"/>
        </w:rPr>
        <w:t xml:space="preserve"> peste 2,2 milioane din populația țării, sau 63,2%, ceea ce constituie o creștere de 9,8 p.p.  Î</w:t>
      </w:r>
      <w:r w:rsidRPr="008376FC">
        <w:rPr>
          <w:rFonts w:asciiTheme="majorHAnsi" w:eastAsia="Calibri" w:hAnsiTheme="majorHAnsi" w:cstheme="majorHAnsi"/>
          <w:b w:val="0"/>
          <w:bCs w:val="0"/>
          <w:sz w:val="24"/>
          <w:szCs w:val="24"/>
        </w:rPr>
        <w:t>n creștere este și numărul de locuințe conectate la sistemele de aprovizionare cu apă, de la 748.605 de gospodării în 2016 p</w:t>
      </w:r>
      <w:r w:rsidR="00ED79FC">
        <w:rPr>
          <w:rFonts w:asciiTheme="majorHAnsi" w:eastAsia="Calibri" w:hAnsiTheme="majorHAnsi" w:cstheme="majorHAnsi"/>
          <w:b w:val="0"/>
          <w:bCs w:val="0"/>
          <w:sz w:val="24"/>
          <w:szCs w:val="24"/>
        </w:rPr>
        <w:t>â</w:t>
      </w:r>
      <w:r w:rsidRPr="008376FC">
        <w:rPr>
          <w:rFonts w:asciiTheme="majorHAnsi" w:eastAsia="Calibri" w:hAnsiTheme="majorHAnsi" w:cstheme="majorHAnsi"/>
          <w:b w:val="0"/>
          <w:bCs w:val="0"/>
          <w:sz w:val="24"/>
          <w:szCs w:val="24"/>
        </w:rPr>
        <w:t xml:space="preserve">nă la 868.953 de gospodării în anul 2021. </w:t>
      </w:r>
    </w:p>
    <w:tbl>
      <w:tblPr>
        <w:tblStyle w:val="TableGrid4"/>
        <w:tblW w:w="9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0"/>
        <w:gridCol w:w="4940"/>
      </w:tblGrid>
      <w:tr w:rsidR="005F181C" w:rsidRPr="008376FC" w:rsidTr="00080062">
        <w:trPr>
          <w:trHeight w:val="194"/>
        </w:trPr>
        <w:tc>
          <w:tcPr>
            <w:tcW w:w="4390" w:type="dxa"/>
          </w:tcPr>
          <w:p w:rsidR="005F181C" w:rsidRPr="008376FC" w:rsidRDefault="005F181C" w:rsidP="00F61756">
            <w:pPr>
              <w:spacing w:before="100" w:beforeAutospacing="1" w:line="276" w:lineRule="auto"/>
              <w:jc w:val="center"/>
              <w:rPr>
                <w:rFonts w:asciiTheme="majorHAnsi" w:eastAsia="Calibri" w:hAnsiTheme="majorHAnsi" w:cstheme="majorHAnsi"/>
                <w:b w:val="0"/>
                <w:bCs w:val="0"/>
                <w:noProof/>
                <w:sz w:val="20"/>
                <w:szCs w:val="20"/>
                <w:lang w:val="ru-RU" w:eastAsia="ru-RU"/>
              </w:rPr>
            </w:pPr>
            <w:r w:rsidRPr="008376FC">
              <w:rPr>
                <w:rFonts w:asciiTheme="majorHAnsi" w:eastAsia="Calibri" w:hAnsiTheme="majorHAnsi" w:cstheme="majorHAnsi"/>
                <w:bCs w:val="0"/>
                <w:sz w:val="20"/>
                <w:szCs w:val="20"/>
              </w:rPr>
              <w:t>Figur</w:t>
            </w:r>
            <w:r w:rsidR="00ED79FC">
              <w:rPr>
                <w:rFonts w:asciiTheme="majorHAnsi" w:eastAsia="Calibri" w:hAnsiTheme="majorHAnsi" w:cstheme="majorHAnsi"/>
                <w:bCs w:val="0"/>
                <w:sz w:val="20"/>
                <w:szCs w:val="20"/>
              </w:rPr>
              <w:t>a</w:t>
            </w:r>
            <w:r w:rsidRPr="008376FC">
              <w:rPr>
                <w:rFonts w:asciiTheme="majorHAnsi" w:eastAsia="Calibri" w:hAnsiTheme="majorHAnsi" w:cstheme="majorHAnsi"/>
                <w:bCs w:val="0"/>
                <w:sz w:val="20"/>
                <w:szCs w:val="20"/>
              </w:rPr>
              <w:t xml:space="preserve"> nr. </w:t>
            </w:r>
            <w:r w:rsidR="00436BC0" w:rsidRPr="008376FC">
              <w:rPr>
                <w:rFonts w:asciiTheme="majorHAnsi" w:eastAsia="Calibri" w:hAnsiTheme="majorHAnsi" w:cstheme="majorHAnsi"/>
                <w:bCs w:val="0"/>
                <w:sz w:val="20"/>
                <w:szCs w:val="20"/>
              </w:rPr>
              <w:t>10</w:t>
            </w:r>
          </w:p>
        </w:tc>
        <w:tc>
          <w:tcPr>
            <w:tcW w:w="4940" w:type="dxa"/>
          </w:tcPr>
          <w:p w:rsidR="005F181C" w:rsidRPr="008376FC" w:rsidRDefault="005F181C" w:rsidP="00F61756">
            <w:pPr>
              <w:spacing w:before="100" w:beforeAutospacing="1" w:line="276" w:lineRule="auto"/>
              <w:jc w:val="center"/>
              <w:rPr>
                <w:rFonts w:asciiTheme="majorHAnsi" w:eastAsia="Calibri" w:hAnsiTheme="majorHAnsi" w:cstheme="majorHAnsi"/>
                <w:b w:val="0"/>
                <w:bCs w:val="0"/>
                <w:noProof/>
                <w:sz w:val="20"/>
                <w:szCs w:val="20"/>
                <w:lang w:val="ru-RU" w:eastAsia="ru-RU"/>
              </w:rPr>
            </w:pPr>
            <w:r w:rsidRPr="008376FC">
              <w:rPr>
                <w:rFonts w:asciiTheme="majorHAnsi" w:eastAsia="Calibri" w:hAnsiTheme="majorHAnsi" w:cstheme="majorHAnsi"/>
                <w:bCs w:val="0"/>
                <w:sz w:val="20"/>
                <w:szCs w:val="20"/>
              </w:rPr>
              <w:t>Figur</w:t>
            </w:r>
            <w:r w:rsidR="00BA6760">
              <w:rPr>
                <w:rFonts w:asciiTheme="majorHAnsi" w:eastAsia="Calibri" w:hAnsiTheme="majorHAnsi" w:cstheme="majorHAnsi"/>
                <w:bCs w:val="0"/>
                <w:sz w:val="20"/>
                <w:szCs w:val="20"/>
              </w:rPr>
              <w:t>a</w:t>
            </w:r>
            <w:r w:rsidRPr="008376FC">
              <w:rPr>
                <w:rFonts w:asciiTheme="majorHAnsi" w:eastAsia="Calibri" w:hAnsiTheme="majorHAnsi" w:cstheme="majorHAnsi"/>
                <w:bCs w:val="0"/>
                <w:sz w:val="20"/>
                <w:szCs w:val="20"/>
              </w:rPr>
              <w:t xml:space="preserve"> nr.</w:t>
            </w:r>
            <w:r w:rsidR="00436BC0" w:rsidRPr="008376FC">
              <w:rPr>
                <w:rFonts w:asciiTheme="majorHAnsi" w:eastAsia="Calibri" w:hAnsiTheme="majorHAnsi" w:cstheme="majorHAnsi"/>
                <w:bCs w:val="0"/>
                <w:sz w:val="20"/>
                <w:szCs w:val="20"/>
              </w:rPr>
              <w:t>11</w:t>
            </w:r>
          </w:p>
        </w:tc>
      </w:tr>
      <w:tr w:rsidR="00BE49FB" w:rsidRPr="008376FC" w:rsidTr="00080062">
        <w:trPr>
          <w:trHeight w:val="2825"/>
        </w:trPr>
        <w:tc>
          <w:tcPr>
            <w:tcW w:w="4390" w:type="dxa"/>
          </w:tcPr>
          <w:p w:rsidR="00BE49FB" w:rsidRPr="008376FC" w:rsidRDefault="00BE49FB" w:rsidP="00F61756">
            <w:pPr>
              <w:spacing w:line="276" w:lineRule="auto"/>
              <w:rPr>
                <w:rFonts w:asciiTheme="majorHAnsi" w:eastAsia="Calibri" w:hAnsiTheme="majorHAnsi" w:cstheme="majorHAnsi"/>
                <w:b w:val="0"/>
                <w:bCs w:val="0"/>
                <w:sz w:val="24"/>
                <w:szCs w:val="24"/>
              </w:rPr>
            </w:pPr>
            <w:r w:rsidRPr="008376FC">
              <w:rPr>
                <w:rFonts w:asciiTheme="majorHAnsi" w:eastAsia="Calibri" w:hAnsiTheme="majorHAnsi" w:cstheme="majorHAnsi"/>
                <w:b w:val="0"/>
                <w:bCs w:val="0"/>
                <w:noProof/>
                <w:sz w:val="24"/>
                <w:szCs w:val="24"/>
                <w:lang w:val="ru-RU" w:eastAsia="ru-RU"/>
              </w:rPr>
              <w:drawing>
                <wp:inline distT="0" distB="0" distL="0" distR="0">
                  <wp:extent cx="2930769" cy="1924050"/>
                  <wp:effectExtent l="0" t="0" r="3175" b="0"/>
                  <wp:docPr id="2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c>
          <w:tcPr>
            <w:tcW w:w="4940" w:type="dxa"/>
          </w:tcPr>
          <w:p w:rsidR="00BE49FB" w:rsidRPr="008376FC" w:rsidRDefault="00BE49FB" w:rsidP="00F61756">
            <w:pPr>
              <w:spacing w:line="276" w:lineRule="auto"/>
              <w:rPr>
                <w:rFonts w:asciiTheme="majorHAnsi" w:eastAsia="Calibri" w:hAnsiTheme="majorHAnsi" w:cstheme="majorHAnsi"/>
                <w:b w:val="0"/>
                <w:bCs w:val="0"/>
                <w:sz w:val="24"/>
                <w:szCs w:val="24"/>
              </w:rPr>
            </w:pPr>
            <w:r w:rsidRPr="008376FC">
              <w:rPr>
                <w:rFonts w:asciiTheme="majorHAnsi" w:eastAsia="Calibri" w:hAnsiTheme="majorHAnsi" w:cstheme="majorHAnsi"/>
                <w:b w:val="0"/>
                <w:bCs w:val="0"/>
                <w:noProof/>
                <w:sz w:val="24"/>
                <w:szCs w:val="24"/>
                <w:lang w:val="ru-RU" w:eastAsia="ru-RU"/>
              </w:rPr>
              <w:drawing>
                <wp:inline distT="0" distB="0" distL="0" distR="0">
                  <wp:extent cx="3112477" cy="1923415"/>
                  <wp:effectExtent l="0" t="0" r="12065" b="635"/>
                  <wp:docPr id="2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tc>
      </w:tr>
    </w:tbl>
    <w:p w:rsidR="00BE49FB" w:rsidRDefault="00BE49FB" w:rsidP="00F61756">
      <w:pPr>
        <w:tabs>
          <w:tab w:val="left" w:pos="851"/>
        </w:tabs>
        <w:spacing w:after="0" w:line="276" w:lineRule="auto"/>
        <w:contextualSpacing/>
        <w:jc w:val="both"/>
        <w:rPr>
          <w:rFonts w:asciiTheme="majorHAnsi" w:eastAsia="Calibri" w:hAnsiTheme="majorHAnsi" w:cstheme="majorHAnsi"/>
          <w:b w:val="0"/>
          <w:bCs w:val="0"/>
          <w:i/>
          <w:noProof/>
          <w:sz w:val="20"/>
          <w:szCs w:val="20"/>
          <w:lang w:eastAsia="ru-RU"/>
        </w:rPr>
      </w:pPr>
      <w:r w:rsidRPr="002801E7">
        <w:rPr>
          <w:rFonts w:asciiTheme="majorHAnsi" w:eastAsia="Calibri" w:hAnsiTheme="majorHAnsi" w:cstheme="majorHAnsi"/>
          <w:bCs w:val="0"/>
          <w:i/>
          <w:noProof/>
          <w:sz w:val="20"/>
          <w:szCs w:val="20"/>
          <w:lang w:eastAsia="ru-RU"/>
        </w:rPr>
        <w:t>Sursa:</w:t>
      </w:r>
      <w:r w:rsidRPr="002801E7">
        <w:rPr>
          <w:rFonts w:asciiTheme="majorHAnsi" w:eastAsia="Calibri" w:hAnsiTheme="majorHAnsi" w:cstheme="majorHAnsi"/>
          <w:b w:val="0"/>
          <w:bCs w:val="0"/>
          <w:i/>
          <w:noProof/>
          <w:sz w:val="20"/>
          <w:szCs w:val="20"/>
          <w:lang w:eastAsia="ru-RU"/>
        </w:rPr>
        <w:t xml:space="preserve"> Date</w:t>
      </w:r>
      <w:r w:rsidR="00977451">
        <w:rPr>
          <w:rFonts w:asciiTheme="majorHAnsi" w:eastAsia="Calibri" w:hAnsiTheme="majorHAnsi" w:cstheme="majorHAnsi"/>
          <w:b w:val="0"/>
          <w:bCs w:val="0"/>
          <w:i/>
          <w:noProof/>
          <w:sz w:val="20"/>
          <w:szCs w:val="20"/>
          <w:lang w:eastAsia="ru-RU"/>
        </w:rPr>
        <w:t xml:space="preserve"> oferite d</w:t>
      </w:r>
      <w:r w:rsidRPr="002801E7">
        <w:rPr>
          <w:rFonts w:asciiTheme="majorHAnsi" w:eastAsia="Calibri" w:hAnsiTheme="majorHAnsi" w:cstheme="majorHAnsi"/>
          <w:b w:val="0"/>
          <w:bCs w:val="0"/>
          <w:i/>
          <w:noProof/>
          <w:sz w:val="20"/>
          <w:szCs w:val="20"/>
          <w:lang w:eastAsia="ru-RU"/>
        </w:rPr>
        <w:t xml:space="preserve">e BNS. </w:t>
      </w:r>
    </w:p>
    <w:p w:rsidR="00337816" w:rsidRPr="002801E7" w:rsidRDefault="00337816" w:rsidP="00F61756">
      <w:pPr>
        <w:tabs>
          <w:tab w:val="left" w:pos="851"/>
        </w:tabs>
        <w:spacing w:after="0" w:line="276" w:lineRule="auto"/>
        <w:contextualSpacing/>
        <w:jc w:val="both"/>
        <w:rPr>
          <w:rFonts w:asciiTheme="majorHAnsi" w:eastAsia="Calibri" w:hAnsiTheme="majorHAnsi" w:cstheme="majorHAnsi"/>
          <w:b w:val="0"/>
          <w:bCs w:val="0"/>
          <w:i/>
          <w:noProof/>
          <w:sz w:val="20"/>
          <w:szCs w:val="20"/>
          <w:lang w:eastAsia="ru-RU"/>
        </w:rPr>
      </w:pPr>
    </w:p>
    <w:p w:rsidR="00BE49FB" w:rsidRPr="008376FC" w:rsidRDefault="00BE49FB" w:rsidP="00F61756">
      <w:pPr>
        <w:pStyle w:val="a3"/>
        <w:numPr>
          <w:ilvl w:val="2"/>
          <w:numId w:val="38"/>
        </w:numPr>
        <w:spacing w:line="276" w:lineRule="auto"/>
        <w:ind w:left="0" w:firstLine="0"/>
        <w:jc w:val="both"/>
        <w:rPr>
          <w:rFonts w:asciiTheme="majorHAnsi" w:hAnsiTheme="majorHAnsi" w:cstheme="majorHAnsi"/>
          <w:b/>
          <w:color w:val="0070C0"/>
          <w:shd w:val="clear" w:color="auto" w:fill="FFFFFF"/>
          <w:lang w:val="en-US"/>
        </w:rPr>
      </w:pPr>
      <w:r w:rsidRPr="008376FC">
        <w:rPr>
          <w:rFonts w:asciiTheme="majorHAnsi" w:hAnsiTheme="majorHAnsi" w:cstheme="majorHAnsi"/>
          <w:b/>
          <w:color w:val="0070C0"/>
          <w:shd w:val="clear" w:color="auto" w:fill="FFFFFF"/>
          <w:lang w:val="en-US"/>
        </w:rPr>
        <w:t xml:space="preserve"> A crescut numărul localităților conectate la sistemele de alimentare cu apă</w:t>
      </w:r>
    </w:p>
    <w:p w:rsidR="00BE49FB" w:rsidRPr="008376FC" w:rsidRDefault="00BE49FB" w:rsidP="00A53967">
      <w:pPr>
        <w:spacing w:after="0" w:line="276" w:lineRule="auto"/>
        <w:ind w:firstLine="709"/>
        <w:contextualSpacing/>
        <w:jc w:val="both"/>
        <w:rPr>
          <w:rFonts w:asciiTheme="majorHAnsi" w:eastAsia="Times New Roman" w:hAnsiTheme="majorHAnsi" w:cstheme="majorHAnsi"/>
          <w:b w:val="0"/>
          <w:bCs w:val="0"/>
          <w:sz w:val="24"/>
          <w:szCs w:val="24"/>
          <w:shd w:val="clear" w:color="auto" w:fill="FFFFFF"/>
          <w:lang w:eastAsia="ru-RU"/>
        </w:rPr>
      </w:pPr>
      <w:r w:rsidRPr="008376FC">
        <w:rPr>
          <w:rFonts w:asciiTheme="majorHAnsi" w:eastAsia="Times New Roman" w:hAnsiTheme="majorHAnsi" w:cstheme="majorHAnsi"/>
          <w:b w:val="0"/>
          <w:bCs w:val="0"/>
          <w:sz w:val="24"/>
          <w:szCs w:val="24"/>
          <w:shd w:val="clear" w:color="auto" w:fill="FFFFFF"/>
          <w:lang w:eastAsia="ru-RU"/>
        </w:rPr>
        <w:t>Numărul localităților conectate la rețele de alimentare cu apă a crescu</w:t>
      </w:r>
      <w:r w:rsidRPr="002801E7">
        <w:rPr>
          <w:rFonts w:asciiTheme="majorHAnsi" w:eastAsia="Times New Roman" w:hAnsiTheme="majorHAnsi" w:cstheme="majorHAnsi"/>
          <w:b w:val="0"/>
          <w:bCs w:val="0"/>
          <w:sz w:val="24"/>
          <w:szCs w:val="24"/>
          <w:shd w:val="clear" w:color="auto" w:fill="FFFFFF"/>
          <w:lang w:eastAsia="ru-RU"/>
        </w:rPr>
        <w:t>t</w:t>
      </w:r>
      <w:r w:rsidR="00977451">
        <w:rPr>
          <w:rFonts w:asciiTheme="majorHAnsi" w:eastAsia="Times New Roman" w:hAnsiTheme="majorHAnsi" w:cstheme="majorHAnsi"/>
          <w:bCs w:val="0"/>
          <w:sz w:val="24"/>
          <w:szCs w:val="24"/>
          <w:shd w:val="clear" w:color="auto" w:fill="FFFFFF"/>
          <w:lang w:eastAsia="ru-RU"/>
        </w:rPr>
        <w:t>,</w:t>
      </w:r>
      <w:r w:rsidRPr="008376FC">
        <w:rPr>
          <w:rFonts w:asciiTheme="majorHAnsi" w:eastAsia="Times New Roman" w:hAnsiTheme="majorHAnsi" w:cstheme="majorHAnsi"/>
          <w:bCs w:val="0"/>
          <w:sz w:val="24"/>
          <w:szCs w:val="24"/>
          <w:shd w:val="clear" w:color="auto" w:fill="FFFFFF"/>
          <w:lang w:eastAsia="ru-RU"/>
        </w:rPr>
        <w:t xml:space="preserve"> </w:t>
      </w:r>
      <w:r w:rsidRPr="008376FC">
        <w:rPr>
          <w:rFonts w:asciiTheme="majorHAnsi" w:eastAsia="Times New Roman" w:hAnsiTheme="majorHAnsi" w:cstheme="majorHAnsi"/>
          <w:b w:val="0"/>
          <w:bCs w:val="0"/>
          <w:sz w:val="24"/>
          <w:szCs w:val="24"/>
          <w:shd w:val="clear" w:color="auto" w:fill="FFFFFF"/>
          <w:lang w:eastAsia="ru-RU"/>
        </w:rPr>
        <w:t>de la 480 de localități în anul 2014 (31,3%) la 918 localități în anul 2021 (+59,9%). Totodată, la finele anului 2021, au rămas neconectate la sistemele de alimentare cu apă 615 localități</w:t>
      </w:r>
      <w:r w:rsidR="00977451">
        <w:rPr>
          <w:rFonts w:asciiTheme="majorHAnsi" w:eastAsia="Times New Roman" w:hAnsiTheme="majorHAnsi" w:cstheme="majorHAnsi"/>
          <w:b w:val="0"/>
          <w:bCs w:val="0"/>
          <w:sz w:val="24"/>
          <w:szCs w:val="24"/>
          <w:shd w:val="clear" w:color="auto" w:fill="FFFFFF"/>
          <w:lang w:eastAsia="ru-RU"/>
        </w:rPr>
        <w:t>,</w:t>
      </w:r>
      <w:r w:rsidRPr="008376FC">
        <w:rPr>
          <w:rFonts w:asciiTheme="majorHAnsi" w:eastAsia="Times New Roman" w:hAnsiTheme="majorHAnsi" w:cstheme="majorHAnsi"/>
          <w:b w:val="0"/>
          <w:bCs w:val="0"/>
          <w:sz w:val="24"/>
          <w:szCs w:val="24"/>
          <w:shd w:val="clear" w:color="auto" w:fill="FFFFFF"/>
          <w:lang w:eastAsia="ru-RU"/>
        </w:rPr>
        <w:t xml:space="preserve"> sau 40,1% din totalul lor de 1</w:t>
      </w:r>
      <w:r w:rsidR="00977451">
        <w:rPr>
          <w:rFonts w:asciiTheme="majorHAnsi" w:eastAsia="Times New Roman" w:hAnsiTheme="majorHAnsi" w:cstheme="majorHAnsi"/>
          <w:b w:val="0"/>
          <w:bCs w:val="0"/>
          <w:sz w:val="24"/>
          <w:szCs w:val="24"/>
          <w:shd w:val="clear" w:color="auto" w:fill="FFFFFF"/>
          <w:lang w:eastAsia="ru-RU"/>
        </w:rPr>
        <w:t>.</w:t>
      </w:r>
      <w:r w:rsidRPr="008376FC">
        <w:rPr>
          <w:rFonts w:asciiTheme="majorHAnsi" w:eastAsia="Times New Roman" w:hAnsiTheme="majorHAnsi" w:cstheme="majorHAnsi"/>
          <w:b w:val="0"/>
          <w:bCs w:val="0"/>
          <w:sz w:val="24"/>
          <w:szCs w:val="24"/>
          <w:shd w:val="clear" w:color="auto" w:fill="FFFFFF"/>
          <w:lang w:eastAsia="ru-RU"/>
        </w:rPr>
        <w:t xml:space="preserve">533. </w:t>
      </w:r>
    </w:p>
    <w:p w:rsidR="00BE49FB" w:rsidRPr="008376FC" w:rsidRDefault="00C77950" w:rsidP="00A53967">
      <w:pPr>
        <w:spacing w:after="0" w:line="276" w:lineRule="auto"/>
        <w:contextualSpacing/>
        <w:jc w:val="right"/>
        <w:rPr>
          <w:rFonts w:asciiTheme="majorHAnsi" w:eastAsia="Times New Roman" w:hAnsiTheme="majorHAnsi" w:cstheme="majorHAnsi"/>
          <w:bCs w:val="0"/>
          <w:sz w:val="20"/>
          <w:szCs w:val="20"/>
          <w:shd w:val="clear" w:color="auto" w:fill="FFFFFF"/>
          <w:lang w:eastAsia="ru-RU"/>
        </w:rPr>
      </w:pPr>
      <w:r w:rsidRPr="008376FC">
        <w:rPr>
          <w:rFonts w:asciiTheme="majorHAnsi" w:eastAsia="Times New Roman" w:hAnsiTheme="majorHAnsi" w:cstheme="majorHAnsi"/>
          <w:bCs w:val="0"/>
          <w:noProof/>
          <w:sz w:val="20"/>
          <w:szCs w:val="20"/>
          <w:shd w:val="clear" w:color="auto" w:fill="FFFFFF"/>
          <w:lang w:val="ru-RU" w:eastAsia="ru-RU"/>
        </w:rPr>
        <w:drawing>
          <wp:anchor distT="0" distB="0" distL="114300" distR="114300" simplePos="0" relativeHeight="251651072" behindDoc="0" locked="0" layoutInCell="1" allowOverlap="1">
            <wp:simplePos x="0" y="0"/>
            <wp:positionH relativeFrom="margin">
              <wp:posOffset>9525</wp:posOffset>
            </wp:positionH>
            <wp:positionV relativeFrom="paragraph">
              <wp:posOffset>245745</wp:posOffset>
            </wp:positionV>
            <wp:extent cx="6151245" cy="1608455"/>
            <wp:effectExtent l="0" t="0" r="1905" b="10795"/>
            <wp:wrapTopAndBottom/>
            <wp:docPr id="54"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anchor>
        </w:drawing>
      </w:r>
      <w:r w:rsidR="00436BC0" w:rsidRPr="008376FC">
        <w:rPr>
          <w:rFonts w:asciiTheme="majorHAnsi" w:eastAsia="Times New Roman" w:hAnsiTheme="majorHAnsi" w:cstheme="majorHAnsi"/>
          <w:bCs w:val="0"/>
          <w:sz w:val="20"/>
          <w:szCs w:val="20"/>
          <w:shd w:val="clear" w:color="auto" w:fill="FFFFFF"/>
          <w:lang w:eastAsia="ru-RU"/>
        </w:rPr>
        <w:t xml:space="preserve">                                                                                                                                       </w:t>
      </w:r>
      <w:r w:rsidR="00BE49FB" w:rsidRPr="008376FC">
        <w:rPr>
          <w:rFonts w:asciiTheme="majorHAnsi" w:eastAsia="Times New Roman" w:hAnsiTheme="majorHAnsi" w:cstheme="majorHAnsi"/>
          <w:bCs w:val="0"/>
          <w:sz w:val="20"/>
          <w:szCs w:val="20"/>
          <w:shd w:val="clear" w:color="auto" w:fill="FFFFFF"/>
          <w:lang w:eastAsia="ru-RU"/>
        </w:rPr>
        <w:t>Figura nr.</w:t>
      </w:r>
      <w:r w:rsidR="00436BC0" w:rsidRPr="008376FC">
        <w:rPr>
          <w:rFonts w:asciiTheme="majorHAnsi" w:eastAsia="Times New Roman" w:hAnsiTheme="majorHAnsi" w:cstheme="majorHAnsi"/>
          <w:bCs w:val="0"/>
          <w:sz w:val="20"/>
          <w:szCs w:val="20"/>
          <w:shd w:val="clear" w:color="auto" w:fill="FFFFFF"/>
          <w:lang w:eastAsia="ru-RU"/>
        </w:rPr>
        <w:t>12</w:t>
      </w:r>
    </w:p>
    <w:p w:rsidR="00BE49FB" w:rsidRDefault="00BE49FB" w:rsidP="00F61756">
      <w:pPr>
        <w:tabs>
          <w:tab w:val="left" w:pos="851"/>
        </w:tabs>
        <w:spacing w:after="0" w:line="276" w:lineRule="auto"/>
        <w:ind w:left="567"/>
        <w:contextualSpacing/>
        <w:jc w:val="both"/>
        <w:rPr>
          <w:rFonts w:asciiTheme="majorHAnsi" w:eastAsia="Calibri" w:hAnsiTheme="majorHAnsi" w:cstheme="majorHAnsi"/>
          <w:b w:val="0"/>
          <w:bCs w:val="0"/>
          <w:i/>
          <w:noProof/>
          <w:sz w:val="20"/>
          <w:szCs w:val="20"/>
          <w:lang w:eastAsia="ru-RU"/>
        </w:rPr>
      </w:pPr>
      <w:r w:rsidRPr="002801E7">
        <w:rPr>
          <w:rFonts w:asciiTheme="majorHAnsi" w:eastAsia="Calibri" w:hAnsiTheme="majorHAnsi" w:cstheme="majorHAnsi"/>
          <w:bCs w:val="0"/>
          <w:i/>
          <w:noProof/>
          <w:sz w:val="20"/>
          <w:szCs w:val="20"/>
          <w:lang w:eastAsia="ru-RU"/>
        </w:rPr>
        <w:t>Sursa:</w:t>
      </w:r>
      <w:r w:rsidRPr="002801E7">
        <w:rPr>
          <w:rFonts w:asciiTheme="majorHAnsi" w:eastAsia="Calibri" w:hAnsiTheme="majorHAnsi" w:cstheme="majorHAnsi"/>
          <w:b w:val="0"/>
          <w:bCs w:val="0"/>
          <w:i/>
          <w:noProof/>
          <w:sz w:val="20"/>
          <w:szCs w:val="20"/>
          <w:lang w:eastAsia="ru-RU"/>
        </w:rPr>
        <w:t xml:space="preserve"> Date</w:t>
      </w:r>
      <w:r w:rsidR="00977451">
        <w:rPr>
          <w:rFonts w:asciiTheme="majorHAnsi" w:eastAsia="Calibri" w:hAnsiTheme="majorHAnsi" w:cstheme="majorHAnsi"/>
          <w:b w:val="0"/>
          <w:bCs w:val="0"/>
          <w:i/>
          <w:noProof/>
          <w:sz w:val="20"/>
          <w:szCs w:val="20"/>
          <w:lang w:eastAsia="ru-RU"/>
        </w:rPr>
        <w:t xml:space="preserve"> oferite de</w:t>
      </w:r>
      <w:r w:rsidRPr="002801E7">
        <w:rPr>
          <w:rFonts w:asciiTheme="majorHAnsi" w:eastAsia="Calibri" w:hAnsiTheme="majorHAnsi" w:cstheme="majorHAnsi"/>
          <w:b w:val="0"/>
          <w:bCs w:val="0"/>
          <w:i/>
          <w:noProof/>
          <w:sz w:val="20"/>
          <w:szCs w:val="20"/>
          <w:lang w:eastAsia="ru-RU"/>
        </w:rPr>
        <w:t xml:space="preserve"> BNS. </w:t>
      </w:r>
    </w:p>
    <w:p w:rsidR="00AA4DFA" w:rsidRPr="002801E7" w:rsidRDefault="00AA4DFA" w:rsidP="00F61756">
      <w:pPr>
        <w:tabs>
          <w:tab w:val="left" w:pos="851"/>
        </w:tabs>
        <w:spacing w:after="0" w:line="276" w:lineRule="auto"/>
        <w:ind w:left="567"/>
        <w:contextualSpacing/>
        <w:jc w:val="both"/>
        <w:rPr>
          <w:rFonts w:asciiTheme="majorHAnsi" w:eastAsia="Calibri" w:hAnsiTheme="majorHAnsi" w:cstheme="majorHAnsi"/>
          <w:b w:val="0"/>
          <w:bCs w:val="0"/>
          <w:i/>
          <w:noProof/>
          <w:sz w:val="20"/>
          <w:szCs w:val="20"/>
          <w:lang w:eastAsia="ru-RU"/>
        </w:rPr>
      </w:pPr>
    </w:p>
    <w:p w:rsidR="00BE49FB" w:rsidRPr="008376FC" w:rsidRDefault="00BE49FB" w:rsidP="00F61756">
      <w:pPr>
        <w:spacing w:after="0" w:line="276" w:lineRule="auto"/>
        <w:jc w:val="both"/>
        <w:rPr>
          <w:rFonts w:asciiTheme="majorHAnsi" w:eastAsia="Times New Roman" w:hAnsiTheme="majorHAnsi" w:cstheme="majorHAnsi"/>
          <w:b w:val="0"/>
          <w:bCs w:val="0"/>
          <w:spacing w:val="1"/>
          <w:sz w:val="24"/>
          <w:szCs w:val="24"/>
        </w:rPr>
      </w:pPr>
      <w:r w:rsidRPr="008376FC">
        <w:rPr>
          <w:rFonts w:asciiTheme="majorHAnsi" w:eastAsia="Times New Roman" w:hAnsiTheme="majorHAnsi" w:cstheme="majorHAnsi"/>
          <w:b w:val="0"/>
          <w:bCs w:val="0"/>
          <w:spacing w:val="1"/>
          <w:sz w:val="24"/>
          <w:szCs w:val="24"/>
        </w:rPr>
        <w:t>La finele anului 2021, doar în mun.Bălți la sisteme</w:t>
      </w:r>
      <w:r w:rsidR="00977451">
        <w:rPr>
          <w:rFonts w:asciiTheme="majorHAnsi" w:eastAsia="Times New Roman" w:hAnsiTheme="majorHAnsi" w:cstheme="majorHAnsi"/>
          <w:b w:val="0"/>
          <w:bCs w:val="0"/>
          <w:spacing w:val="1"/>
          <w:sz w:val="24"/>
          <w:szCs w:val="24"/>
        </w:rPr>
        <w:t>le</w:t>
      </w:r>
      <w:r w:rsidRPr="008376FC">
        <w:rPr>
          <w:rFonts w:asciiTheme="majorHAnsi" w:eastAsia="Times New Roman" w:hAnsiTheme="majorHAnsi" w:cstheme="majorHAnsi"/>
          <w:b w:val="0"/>
          <w:bCs w:val="0"/>
          <w:spacing w:val="1"/>
          <w:sz w:val="24"/>
          <w:szCs w:val="24"/>
        </w:rPr>
        <w:t xml:space="preserve"> de alimentare cu apă </w:t>
      </w:r>
      <w:r w:rsidR="00977451">
        <w:rPr>
          <w:rFonts w:asciiTheme="majorHAnsi" w:eastAsia="Times New Roman" w:hAnsiTheme="majorHAnsi" w:cstheme="majorHAnsi"/>
          <w:b w:val="0"/>
          <w:bCs w:val="0"/>
          <w:spacing w:val="1"/>
          <w:sz w:val="24"/>
          <w:szCs w:val="24"/>
        </w:rPr>
        <w:t>erau</w:t>
      </w:r>
      <w:r w:rsidRPr="008376FC">
        <w:rPr>
          <w:rFonts w:asciiTheme="majorHAnsi" w:eastAsia="Times New Roman" w:hAnsiTheme="majorHAnsi" w:cstheme="majorHAnsi"/>
          <w:b w:val="0"/>
          <w:bCs w:val="0"/>
          <w:spacing w:val="1"/>
          <w:sz w:val="24"/>
          <w:szCs w:val="24"/>
        </w:rPr>
        <w:t xml:space="preserve"> conectate toate localitățile (3 din 3),</w:t>
      </w:r>
      <w:r w:rsidRPr="008376FC" w:rsidDel="00CB4370">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pacing w:val="1"/>
          <w:sz w:val="24"/>
          <w:szCs w:val="24"/>
        </w:rPr>
        <w:t>care este urmat de mun.Chișinău – 91,4% (32 din 35),</w:t>
      </w:r>
      <w:r w:rsidRPr="008376FC">
        <w:rPr>
          <w:rFonts w:asciiTheme="majorHAnsi" w:eastAsia="Calibri" w:hAnsiTheme="majorHAnsi" w:cstheme="majorHAnsi"/>
          <w:b w:val="0"/>
          <w:bCs w:val="0"/>
          <w:sz w:val="24"/>
          <w:szCs w:val="24"/>
        </w:rPr>
        <w:t xml:space="preserve"> </w:t>
      </w:r>
      <w:r w:rsidRPr="008376FC">
        <w:rPr>
          <w:rFonts w:asciiTheme="majorHAnsi" w:eastAsia="Times New Roman" w:hAnsiTheme="majorHAnsi" w:cstheme="majorHAnsi"/>
          <w:b w:val="0"/>
          <w:bCs w:val="0"/>
          <w:spacing w:val="1"/>
          <w:sz w:val="24"/>
          <w:szCs w:val="24"/>
        </w:rPr>
        <w:t>Ştefan Vodă – 92,3% (24 din 26), Cimișlia – 92,3% (36 din 39), Orhei – 85,3% (64 din 75), U.T.A G</w:t>
      </w:r>
      <w:r w:rsidR="00977451">
        <w:rPr>
          <w:rFonts w:asciiTheme="majorHAnsi" w:eastAsia="Times New Roman" w:hAnsiTheme="majorHAnsi" w:cstheme="majorHAnsi"/>
          <w:b w:val="0"/>
          <w:bCs w:val="0"/>
          <w:spacing w:val="1"/>
          <w:sz w:val="24"/>
          <w:szCs w:val="24"/>
        </w:rPr>
        <w:t>ă</w:t>
      </w:r>
      <w:r w:rsidRPr="008376FC">
        <w:rPr>
          <w:rFonts w:asciiTheme="majorHAnsi" w:eastAsia="Times New Roman" w:hAnsiTheme="majorHAnsi" w:cstheme="majorHAnsi"/>
          <w:b w:val="0"/>
          <w:bCs w:val="0"/>
          <w:spacing w:val="1"/>
          <w:sz w:val="24"/>
          <w:szCs w:val="24"/>
        </w:rPr>
        <w:t>găuzia – 84,4% (27 din 32), Ialoveni – 94,1% (32 din 34) etc.</w:t>
      </w:r>
    </w:p>
    <w:p w:rsidR="00BE49FB" w:rsidRPr="008376FC" w:rsidRDefault="00C77950" w:rsidP="00F61756">
      <w:pPr>
        <w:spacing w:after="0" w:line="276" w:lineRule="auto"/>
        <w:jc w:val="center"/>
        <w:rPr>
          <w:rFonts w:asciiTheme="majorHAnsi" w:eastAsia="Times New Roman" w:hAnsiTheme="majorHAnsi" w:cstheme="majorHAnsi"/>
          <w:spacing w:val="1"/>
          <w:sz w:val="20"/>
          <w:szCs w:val="20"/>
        </w:rPr>
      </w:pPr>
      <w:r w:rsidRPr="008376FC">
        <w:rPr>
          <w:rFonts w:asciiTheme="majorHAnsi" w:eastAsia="Times New Roman" w:hAnsiTheme="majorHAnsi" w:cstheme="majorHAnsi"/>
          <w:b w:val="0"/>
          <w:bCs w:val="0"/>
          <w:noProof/>
          <w:spacing w:val="1"/>
          <w:sz w:val="20"/>
          <w:szCs w:val="20"/>
          <w:lang w:val="ru-RU" w:eastAsia="ru-RU"/>
        </w:rPr>
        <w:drawing>
          <wp:anchor distT="0" distB="0" distL="114300" distR="114300" simplePos="0" relativeHeight="251653120" behindDoc="0" locked="0" layoutInCell="1" allowOverlap="1">
            <wp:simplePos x="0" y="0"/>
            <wp:positionH relativeFrom="margin">
              <wp:align>center</wp:align>
            </wp:positionH>
            <wp:positionV relativeFrom="paragraph">
              <wp:posOffset>269240</wp:posOffset>
            </wp:positionV>
            <wp:extent cx="5969635" cy="1960245"/>
            <wp:effectExtent l="19050" t="0" r="12065" b="1905"/>
            <wp:wrapTopAndBottom/>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anchor>
        </w:drawing>
      </w:r>
      <w:r w:rsidR="00436BC0" w:rsidRPr="008376FC">
        <w:rPr>
          <w:rFonts w:asciiTheme="majorHAnsi" w:eastAsia="Times New Roman" w:hAnsiTheme="majorHAnsi" w:cstheme="majorHAnsi"/>
          <w:spacing w:val="1"/>
          <w:sz w:val="20"/>
          <w:szCs w:val="20"/>
        </w:rPr>
        <w:t xml:space="preserve">                                                                                                                                            </w:t>
      </w:r>
      <w:r w:rsidR="00BE49FB" w:rsidRPr="008376FC">
        <w:rPr>
          <w:rFonts w:asciiTheme="majorHAnsi" w:eastAsia="Times New Roman" w:hAnsiTheme="majorHAnsi" w:cstheme="majorHAnsi"/>
          <w:spacing w:val="1"/>
          <w:sz w:val="20"/>
          <w:szCs w:val="20"/>
        </w:rPr>
        <w:t>Figura nr.</w:t>
      </w:r>
      <w:r w:rsidR="00436BC0" w:rsidRPr="008376FC">
        <w:rPr>
          <w:rFonts w:asciiTheme="majorHAnsi" w:eastAsia="Times New Roman" w:hAnsiTheme="majorHAnsi" w:cstheme="majorHAnsi"/>
          <w:spacing w:val="1"/>
          <w:sz w:val="20"/>
          <w:szCs w:val="20"/>
        </w:rPr>
        <w:t>13</w:t>
      </w:r>
    </w:p>
    <w:p w:rsidR="00BE49FB" w:rsidRPr="008376FC" w:rsidRDefault="00BE49FB" w:rsidP="00F61756">
      <w:pPr>
        <w:tabs>
          <w:tab w:val="left" w:pos="851"/>
        </w:tabs>
        <w:spacing w:after="0" w:line="276" w:lineRule="auto"/>
        <w:ind w:left="567"/>
        <w:contextualSpacing/>
        <w:jc w:val="both"/>
        <w:rPr>
          <w:rFonts w:asciiTheme="majorHAnsi" w:eastAsia="Calibri" w:hAnsiTheme="majorHAnsi" w:cstheme="majorHAnsi"/>
          <w:b w:val="0"/>
          <w:bCs w:val="0"/>
          <w:noProof/>
          <w:sz w:val="24"/>
          <w:szCs w:val="24"/>
          <w:lang w:eastAsia="ru-RU"/>
        </w:rPr>
      </w:pPr>
      <w:r w:rsidRPr="002801E7">
        <w:rPr>
          <w:rFonts w:asciiTheme="majorHAnsi" w:eastAsia="Calibri" w:hAnsiTheme="majorHAnsi" w:cstheme="majorHAnsi"/>
          <w:bCs w:val="0"/>
          <w:i/>
          <w:noProof/>
          <w:sz w:val="20"/>
          <w:szCs w:val="20"/>
          <w:lang w:eastAsia="ru-RU"/>
        </w:rPr>
        <w:t>Sursa:</w:t>
      </w:r>
      <w:r w:rsidRPr="002801E7">
        <w:rPr>
          <w:rFonts w:asciiTheme="majorHAnsi" w:eastAsia="Calibri" w:hAnsiTheme="majorHAnsi" w:cstheme="majorHAnsi"/>
          <w:b w:val="0"/>
          <w:bCs w:val="0"/>
          <w:i/>
          <w:noProof/>
          <w:sz w:val="20"/>
          <w:szCs w:val="20"/>
          <w:lang w:eastAsia="ru-RU"/>
        </w:rPr>
        <w:t xml:space="preserve"> Date</w:t>
      </w:r>
      <w:r w:rsidR="00B6572A">
        <w:rPr>
          <w:rFonts w:asciiTheme="majorHAnsi" w:eastAsia="Calibri" w:hAnsiTheme="majorHAnsi" w:cstheme="majorHAnsi"/>
          <w:b w:val="0"/>
          <w:bCs w:val="0"/>
          <w:i/>
          <w:noProof/>
          <w:sz w:val="20"/>
          <w:szCs w:val="20"/>
          <w:lang w:eastAsia="ru-RU"/>
        </w:rPr>
        <w:t xml:space="preserve"> oferite de</w:t>
      </w:r>
      <w:r w:rsidRPr="002801E7">
        <w:rPr>
          <w:rFonts w:asciiTheme="majorHAnsi" w:eastAsia="Calibri" w:hAnsiTheme="majorHAnsi" w:cstheme="majorHAnsi"/>
          <w:b w:val="0"/>
          <w:bCs w:val="0"/>
          <w:i/>
          <w:noProof/>
          <w:sz w:val="20"/>
          <w:szCs w:val="20"/>
          <w:lang w:eastAsia="ru-RU"/>
        </w:rPr>
        <w:t xml:space="preserve"> BNS.</w:t>
      </w:r>
      <w:r w:rsidRPr="008376FC">
        <w:rPr>
          <w:rFonts w:asciiTheme="majorHAnsi" w:eastAsia="Calibri" w:hAnsiTheme="majorHAnsi" w:cstheme="majorHAnsi"/>
          <w:b w:val="0"/>
          <w:bCs w:val="0"/>
          <w:noProof/>
          <w:sz w:val="24"/>
          <w:szCs w:val="24"/>
          <w:lang w:eastAsia="ru-RU"/>
        </w:rPr>
        <w:t xml:space="preserve"> </w:t>
      </w:r>
    </w:p>
    <w:tbl>
      <w:tblPr>
        <w:tblStyle w:val="TableGrid4"/>
        <w:tblW w:w="98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66"/>
        <w:gridCol w:w="3823"/>
      </w:tblGrid>
      <w:tr w:rsidR="00BE49FB" w:rsidRPr="008376FC" w:rsidTr="00E37F5D">
        <w:trPr>
          <w:trHeight w:val="3030"/>
        </w:trPr>
        <w:tc>
          <w:tcPr>
            <w:tcW w:w="6066" w:type="dxa"/>
          </w:tcPr>
          <w:p w:rsidR="00AA4DFA" w:rsidRDefault="00BE49FB" w:rsidP="00A53967">
            <w:pPr>
              <w:spacing w:line="276" w:lineRule="auto"/>
              <w:jc w:val="right"/>
              <w:rPr>
                <w:rFonts w:asciiTheme="majorHAnsi" w:eastAsia="Calibri" w:hAnsiTheme="majorHAnsi" w:cstheme="majorHAnsi"/>
                <w:color w:val="0070C0"/>
                <w:lang w:val="en-US"/>
              </w:rPr>
            </w:pPr>
            <w:r w:rsidRPr="00AA4DFA">
              <w:rPr>
                <w:rFonts w:asciiTheme="majorHAnsi" w:eastAsia="Calibri" w:hAnsiTheme="majorHAnsi" w:cstheme="majorHAnsi"/>
                <w:color w:val="0070C0"/>
                <w:lang w:val="en-US"/>
              </w:rPr>
              <w:t>Numărul fântânilor arteziene este în creștere</w:t>
            </w:r>
            <w:r w:rsidR="00B6572A" w:rsidRPr="00AA4DFA">
              <w:rPr>
                <w:rFonts w:asciiTheme="majorHAnsi" w:eastAsia="Calibri" w:hAnsiTheme="majorHAnsi" w:cstheme="majorHAnsi"/>
                <w:color w:val="0070C0"/>
                <w:lang w:val="en-US"/>
              </w:rPr>
              <w:t>.</w:t>
            </w:r>
            <w:r w:rsidRPr="00AA4DFA">
              <w:rPr>
                <w:rFonts w:asciiTheme="majorHAnsi" w:eastAsia="Calibri" w:hAnsiTheme="majorHAnsi" w:cstheme="majorHAnsi"/>
                <w:color w:val="0070C0"/>
                <w:lang w:val="en-US"/>
              </w:rPr>
              <w:t xml:space="preserve"> </w:t>
            </w:r>
          </w:p>
          <w:p w:rsidR="00AA4DFA" w:rsidRDefault="00AA4DFA" w:rsidP="00A53967">
            <w:pPr>
              <w:spacing w:line="276" w:lineRule="auto"/>
              <w:jc w:val="right"/>
              <w:rPr>
                <w:rFonts w:asciiTheme="majorHAnsi" w:eastAsia="Calibri" w:hAnsiTheme="majorHAnsi" w:cstheme="majorHAnsi"/>
                <w:color w:val="0070C0"/>
                <w:lang w:val="en-US"/>
              </w:rPr>
            </w:pPr>
          </w:p>
          <w:p w:rsidR="001A3A06" w:rsidRPr="00583C07" w:rsidRDefault="00BE49FB" w:rsidP="00A53967">
            <w:pPr>
              <w:spacing w:line="276" w:lineRule="auto"/>
              <w:jc w:val="right"/>
              <w:rPr>
                <w:rFonts w:asciiTheme="majorHAnsi" w:eastAsia="Calibri" w:hAnsiTheme="majorHAnsi" w:cstheme="majorHAnsi"/>
                <w:bCs w:val="0"/>
                <w:sz w:val="24"/>
                <w:szCs w:val="24"/>
              </w:rPr>
            </w:pPr>
            <w:r w:rsidRPr="00337816">
              <w:rPr>
                <w:rFonts w:asciiTheme="majorHAnsi" w:eastAsia="Calibri" w:hAnsiTheme="majorHAnsi" w:cstheme="majorHAnsi"/>
                <w:bCs w:val="0"/>
                <w:sz w:val="20"/>
                <w:szCs w:val="20"/>
              </w:rPr>
              <w:t>Figura nr.</w:t>
            </w:r>
            <w:r w:rsidR="00003DFA" w:rsidRPr="00337816">
              <w:rPr>
                <w:rFonts w:asciiTheme="majorHAnsi" w:eastAsia="Calibri" w:hAnsiTheme="majorHAnsi" w:cstheme="majorHAnsi"/>
                <w:bCs w:val="0"/>
                <w:sz w:val="20"/>
                <w:szCs w:val="20"/>
              </w:rPr>
              <w:t>14</w:t>
            </w:r>
            <w:r w:rsidRPr="00583C07">
              <w:rPr>
                <w:rFonts w:asciiTheme="majorHAnsi" w:eastAsia="Calibri" w:hAnsiTheme="majorHAnsi" w:cstheme="majorHAnsi"/>
                <w:bCs w:val="0"/>
                <w:noProof/>
                <w:sz w:val="24"/>
                <w:szCs w:val="24"/>
                <w:lang w:val="ru-RU" w:eastAsia="ru-RU"/>
              </w:rPr>
              <w:drawing>
                <wp:inline distT="0" distB="0" distL="0" distR="0">
                  <wp:extent cx="3745458" cy="1009497"/>
                  <wp:effectExtent l="19050" t="0" r="26442" b="153"/>
                  <wp:docPr id="2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1A3A06" w:rsidRPr="00583C07" w:rsidRDefault="001A3A06" w:rsidP="00F61756">
            <w:pPr>
              <w:tabs>
                <w:tab w:val="left" w:pos="851"/>
              </w:tabs>
              <w:spacing w:line="276" w:lineRule="auto"/>
              <w:contextualSpacing/>
              <w:rPr>
                <w:rFonts w:asciiTheme="majorHAnsi" w:eastAsia="Calibri" w:hAnsiTheme="majorHAnsi" w:cstheme="majorHAnsi"/>
                <w:bCs w:val="0"/>
                <w:i/>
                <w:noProof/>
                <w:sz w:val="16"/>
                <w:szCs w:val="16"/>
                <w:lang w:eastAsia="ru-RU"/>
              </w:rPr>
            </w:pPr>
            <w:r w:rsidRPr="00583C07">
              <w:rPr>
                <w:rFonts w:asciiTheme="majorHAnsi" w:eastAsia="Calibri" w:hAnsiTheme="majorHAnsi" w:cstheme="majorHAnsi"/>
                <w:bCs w:val="0"/>
                <w:i/>
                <w:noProof/>
                <w:sz w:val="16"/>
                <w:szCs w:val="16"/>
                <w:lang w:eastAsia="ru-RU"/>
              </w:rPr>
              <w:t xml:space="preserve">Sursa: Date oferite de BNS </w:t>
            </w:r>
          </w:p>
          <w:p w:rsidR="00BE49FB" w:rsidRDefault="00BE49FB" w:rsidP="00F61756">
            <w:pPr>
              <w:tabs>
                <w:tab w:val="left" w:pos="1843"/>
              </w:tabs>
              <w:spacing w:line="276" w:lineRule="auto"/>
              <w:rPr>
                <w:rFonts w:asciiTheme="majorHAnsi" w:eastAsia="Calibri" w:hAnsiTheme="majorHAnsi" w:cstheme="majorHAnsi"/>
                <w:sz w:val="24"/>
                <w:szCs w:val="24"/>
              </w:rPr>
            </w:pPr>
          </w:p>
          <w:p w:rsidR="00D327FA" w:rsidRPr="00583C07" w:rsidRDefault="00D327FA" w:rsidP="00F61756">
            <w:pPr>
              <w:tabs>
                <w:tab w:val="left" w:pos="1843"/>
              </w:tabs>
              <w:spacing w:line="276" w:lineRule="auto"/>
              <w:rPr>
                <w:rFonts w:asciiTheme="majorHAnsi" w:eastAsia="Calibri" w:hAnsiTheme="majorHAnsi" w:cstheme="majorHAnsi"/>
                <w:sz w:val="24"/>
                <w:szCs w:val="24"/>
              </w:rPr>
            </w:pPr>
          </w:p>
        </w:tc>
        <w:tc>
          <w:tcPr>
            <w:tcW w:w="3823" w:type="dxa"/>
          </w:tcPr>
          <w:p w:rsidR="00BE49FB" w:rsidRPr="008376FC" w:rsidRDefault="00BE49FB" w:rsidP="00F61756">
            <w:pPr>
              <w:spacing w:line="276" w:lineRule="auto"/>
              <w:rPr>
                <w:rFonts w:asciiTheme="majorHAnsi" w:eastAsia="Calibri" w:hAnsiTheme="majorHAnsi" w:cstheme="majorHAnsi"/>
                <w:b w:val="0"/>
                <w:bCs w:val="0"/>
                <w:noProof/>
                <w:sz w:val="24"/>
                <w:szCs w:val="24"/>
                <w:lang w:eastAsia="ru-RU"/>
              </w:rPr>
            </w:pPr>
          </w:p>
          <w:p w:rsidR="00AA4DFA" w:rsidRDefault="00AA4DFA" w:rsidP="00F61756">
            <w:pPr>
              <w:spacing w:line="276" w:lineRule="auto"/>
              <w:rPr>
                <w:rFonts w:asciiTheme="majorHAnsi" w:eastAsia="Calibri" w:hAnsiTheme="majorHAnsi" w:cstheme="majorHAnsi"/>
                <w:b w:val="0"/>
                <w:bCs w:val="0"/>
                <w:noProof/>
                <w:sz w:val="24"/>
                <w:szCs w:val="24"/>
                <w:lang w:eastAsia="ru-RU"/>
              </w:rPr>
            </w:pPr>
          </w:p>
          <w:p w:rsidR="00AA4DFA" w:rsidRDefault="00AA4DFA" w:rsidP="00F61756">
            <w:pPr>
              <w:spacing w:line="276" w:lineRule="auto"/>
              <w:rPr>
                <w:rFonts w:asciiTheme="majorHAnsi" w:eastAsia="Calibri" w:hAnsiTheme="majorHAnsi" w:cstheme="majorHAnsi"/>
                <w:b w:val="0"/>
                <w:bCs w:val="0"/>
                <w:noProof/>
                <w:sz w:val="24"/>
                <w:szCs w:val="24"/>
                <w:lang w:eastAsia="ru-RU"/>
              </w:rPr>
            </w:pPr>
          </w:p>
          <w:p w:rsidR="00BE49FB" w:rsidRPr="008376FC" w:rsidRDefault="00BE49FB" w:rsidP="00F61756">
            <w:pPr>
              <w:spacing w:line="276" w:lineRule="auto"/>
              <w:rPr>
                <w:rFonts w:asciiTheme="majorHAnsi" w:eastAsia="Calibri" w:hAnsiTheme="majorHAnsi" w:cstheme="majorHAnsi"/>
                <w:b w:val="0"/>
                <w:bCs w:val="0"/>
                <w:sz w:val="24"/>
                <w:szCs w:val="24"/>
              </w:rPr>
            </w:pPr>
            <w:r w:rsidRPr="008376FC">
              <w:rPr>
                <w:rFonts w:asciiTheme="majorHAnsi" w:eastAsia="Calibri" w:hAnsiTheme="majorHAnsi" w:cstheme="majorHAnsi"/>
                <w:b w:val="0"/>
                <w:bCs w:val="0"/>
                <w:noProof/>
                <w:sz w:val="24"/>
                <w:szCs w:val="24"/>
                <w:lang w:eastAsia="ru-RU"/>
              </w:rPr>
              <w:t>Numărul f</w:t>
            </w:r>
            <w:r w:rsidR="00DA57E4">
              <w:rPr>
                <w:rFonts w:asciiTheme="majorHAnsi" w:eastAsia="Calibri" w:hAnsiTheme="majorHAnsi" w:cstheme="majorHAnsi"/>
                <w:b w:val="0"/>
                <w:bCs w:val="0"/>
                <w:noProof/>
                <w:sz w:val="24"/>
                <w:szCs w:val="24"/>
                <w:lang w:eastAsia="ru-RU"/>
              </w:rPr>
              <w:t>â</w:t>
            </w:r>
            <w:r w:rsidRPr="008376FC">
              <w:rPr>
                <w:rFonts w:asciiTheme="majorHAnsi" w:eastAsia="Calibri" w:hAnsiTheme="majorHAnsi" w:cstheme="majorHAnsi"/>
                <w:b w:val="0"/>
                <w:bCs w:val="0"/>
                <w:noProof/>
                <w:sz w:val="24"/>
                <w:szCs w:val="24"/>
                <w:lang w:eastAsia="ru-RU"/>
              </w:rPr>
              <w:t>nt</w:t>
            </w:r>
            <w:r w:rsidR="00DA57E4">
              <w:rPr>
                <w:rFonts w:asciiTheme="majorHAnsi" w:eastAsia="Calibri" w:hAnsiTheme="majorHAnsi" w:cstheme="majorHAnsi"/>
                <w:b w:val="0"/>
                <w:bCs w:val="0"/>
                <w:noProof/>
                <w:sz w:val="24"/>
                <w:szCs w:val="24"/>
                <w:lang w:eastAsia="ru-RU"/>
              </w:rPr>
              <w:t>â</w:t>
            </w:r>
            <w:r w:rsidRPr="008376FC">
              <w:rPr>
                <w:rFonts w:asciiTheme="majorHAnsi" w:eastAsia="Calibri" w:hAnsiTheme="majorHAnsi" w:cstheme="majorHAnsi"/>
                <w:b w:val="0"/>
                <w:bCs w:val="0"/>
                <w:noProof/>
                <w:sz w:val="24"/>
                <w:szCs w:val="24"/>
                <w:lang w:eastAsia="ru-RU"/>
              </w:rPr>
              <w:t>nilor arteziene în funcțiune a crescut cu 242 de unutăți, de la 1</w:t>
            </w:r>
            <w:r w:rsidR="00DA57E4">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404 în anul 2016 la 1</w:t>
            </w:r>
            <w:r w:rsidR="00DA57E4">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646 în anul 2021.</w:t>
            </w:r>
          </w:p>
        </w:tc>
      </w:tr>
    </w:tbl>
    <w:p w:rsidR="00BE49FB" w:rsidRPr="008376FC" w:rsidRDefault="00BE49FB" w:rsidP="00F61756">
      <w:pPr>
        <w:pStyle w:val="a3"/>
        <w:numPr>
          <w:ilvl w:val="2"/>
          <w:numId w:val="38"/>
        </w:numPr>
        <w:spacing w:line="276" w:lineRule="auto"/>
        <w:ind w:left="0" w:firstLine="0"/>
        <w:jc w:val="both"/>
        <w:rPr>
          <w:rFonts w:asciiTheme="majorHAnsi" w:eastAsia="Calibri" w:hAnsiTheme="majorHAnsi" w:cstheme="majorHAnsi"/>
          <w:b/>
          <w:noProof/>
          <w:color w:val="0070C0"/>
          <w:lang w:val="en-US"/>
        </w:rPr>
      </w:pPr>
      <w:r w:rsidRPr="008376FC">
        <w:rPr>
          <w:rFonts w:asciiTheme="majorHAnsi" w:eastAsia="Calibri" w:hAnsiTheme="majorHAnsi" w:cstheme="majorHAnsi"/>
          <w:b/>
          <w:noProof/>
          <w:color w:val="0070C0"/>
          <w:lang w:val="en-US"/>
        </w:rPr>
        <w:t>Numărul stațiilor de pompare s-a diminuat</w:t>
      </w:r>
      <w:r w:rsidR="00DA57E4">
        <w:rPr>
          <w:rFonts w:asciiTheme="majorHAnsi" w:eastAsia="Calibri" w:hAnsiTheme="majorHAnsi" w:cstheme="majorHAnsi"/>
          <w:b/>
          <w:noProof/>
          <w:color w:val="0070C0"/>
          <w:lang w:val="en-US"/>
        </w:rPr>
        <w:t>.</w:t>
      </w:r>
    </w:p>
    <w:p w:rsidR="00337816" w:rsidRDefault="00A12C70" w:rsidP="00F61756">
      <w:pPr>
        <w:spacing w:line="276" w:lineRule="auto"/>
        <w:ind w:firstLine="709"/>
        <w:jc w:val="both"/>
        <w:rPr>
          <w:rFonts w:asciiTheme="majorHAnsi" w:hAnsiTheme="majorHAnsi" w:cstheme="majorHAnsi"/>
          <w:b w:val="0"/>
          <w:bCs w:val="0"/>
          <w:noProof/>
          <w:sz w:val="24"/>
          <w:szCs w:val="24"/>
          <w:lang w:val="en-US"/>
        </w:rPr>
      </w:pPr>
      <w:r w:rsidRPr="008376FC">
        <w:rPr>
          <w:rFonts w:asciiTheme="majorHAnsi" w:hAnsiTheme="majorHAnsi" w:cstheme="majorHAnsi"/>
          <w:b w:val="0"/>
          <w:bCs w:val="0"/>
          <w:noProof/>
          <w:sz w:val="24"/>
          <w:szCs w:val="24"/>
          <w:lang w:val="en-US"/>
        </w:rPr>
        <w:t>În anii 2016-2018</w:t>
      </w:r>
      <w:r w:rsidRPr="008376FC">
        <w:rPr>
          <w:rStyle w:val="ab"/>
          <w:rFonts w:asciiTheme="majorHAnsi" w:hAnsiTheme="majorHAnsi" w:cstheme="majorHAnsi"/>
          <w:b w:val="0"/>
          <w:bCs w:val="0"/>
          <w:noProof/>
          <w:sz w:val="24"/>
          <w:szCs w:val="24"/>
          <w:lang w:eastAsia="ru-RU"/>
        </w:rPr>
        <w:footnoteReference w:id="76"/>
      </w:r>
      <w:r w:rsidRPr="008376FC">
        <w:rPr>
          <w:rFonts w:asciiTheme="majorHAnsi" w:hAnsiTheme="majorHAnsi" w:cstheme="majorHAnsi"/>
          <w:b w:val="0"/>
          <w:bCs w:val="0"/>
          <w:noProof/>
          <w:sz w:val="24"/>
          <w:szCs w:val="24"/>
          <w:lang w:val="en-US"/>
        </w:rPr>
        <w:t xml:space="preserve"> numărul stațiilor de pompare a apei s-a diminuat cu 262 de unități, de la 1</w:t>
      </w:r>
      <w:r w:rsidR="00DA57E4">
        <w:rPr>
          <w:rFonts w:asciiTheme="majorHAnsi" w:hAnsiTheme="majorHAnsi" w:cstheme="majorHAnsi"/>
          <w:b w:val="0"/>
          <w:bCs w:val="0"/>
          <w:noProof/>
          <w:sz w:val="24"/>
          <w:szCs w:val="24"/>
          <w:lang w:val="en-US"/>
        </w:rPr>
        <w:t>.</w:t>
      </w:r>
      <w:r w:rsidRPr="008376FC">
        <w:rPr>
          <w:rFonts w:asciiTheme="majorHAnsi" w:hAnsiTheme="majorHAnsi" w:cstheme="majorHAnsi"/>
          <w:b w:val="0"/>
          <w:bCs w:val="0"/>
          <w:noProof/>
          <w:sz w:val="24"/>
          <w:szCs w:val="24"/>
          <w:lang w:val="en-US"/>
        </w:rPr>
        <w:t>496 în anul 2016 la 1</w:t>
      </w:r>
      <w:r w:rsidR="00DA57E4">
        <w:rPr>
          <w:rFonts w:asciiTheme="majorHAnsi" w:hAnsiTheme="majorHAnsi" w:cstheme="majorHAnsi"/>
          <w:b w:val="0"/>
          <w:bCs w:val="0"/>
          <w:noProof/>
          <w:sz w:val="24"/>
          <w:szCs w:val="24"/>
          <w:lang w:val="en-US"/>
        </w:rPr>
        <w:t>.</w:t>
      </w:r>
      <w:r w:rsidRPr="008376FC">
        <w:rPr>
          <w:rFonts w:asciiTheme="majorHAnsi" w:hAnsiTheme="majorHAnsi" w:cstheme="majorHAnsi"/>
          <w:b w:val="0"/>
          <w:bCs w:val="0"/>
          <w:noProof/>
          <w:sz w:val="24"/>
          <w:szCs w:val="24"/>
          <w:lang w:val="en-US"/>
        </w:rPr>
        <w:t>234 în anul 2018. Ace</w:t>
      </w:r>
      <w:r w:rsidR="00DA57E4">
        <w:rPr>
          <w:rFonts w:asciiTheme="majorHAnsi" w:hAnsiTheme="majorHAnsi" w:cstheme="majorHAnsi"/>
          <w:b w:val="0"/>
          <w:bCs w:val="0"/>
          <w:noProof/>
          <w:sz w:val="24"/>
          <w:szCs w:val="24"/>
          <w:lang w:val="en-US"/>
        </w:rPr>
        <w:t>e</w:t>
      </w:r>
      <w:r w:rsidRPr="008376FC">
        <w:rPr>
          <w:rFonts w:asciiTheme="majorHAnsi" w:hAnsiTheme="majorHAnsi" w:cstheme="majorHAnsi"/>
          <w:b w:val="0"/>
          <w:bCs w:val="0"/>
          <w:noProof/>
          <w:sz w:val="24"/>
          <w:szCs w:val="24"/>
          <w:lang w:val="en-US"/>
        </w:rPr>
        <w:t xml:space="preserve">ași tendință de descreștere s-a atestat și la </w:t>
      </w:r>
      <w:r w:rsidR="00DA57E4">
        <w:rPr>
          <w:rFonts w:asciiTheme="majorHAnsi" w:hAnsiTheme="majorHAnsi" w:cstheme="majorHAnsi"/>
          <w:b w:val="0"/>
          <w:bCs w:val="0"/>
          <w:noProof/>
          <w:sz w:val="24"/>
          <w:szCs w:val="24"/>
          <w:lang w:val="en-US"/>
        </w:rPr>
        <w:t>stațiile de pompare</w:t>
      </w:r>
      <w:r w:rsidRPr="008376FC">
        <w:rPr>
          <w:rFonts w:asciiTheme="majorHAnsi" w:hAnsiTheme="majorHAnsi" w:cstheme="majorHAnsi"/>
          <w:b w:val="0"/>
          <w:bCs w:val="0"/>
          <w:noProof/>
          <w:sz w:val="24"/>
          <w:szCs w:val="24"/>
          <w:lang w:val="en-US"/>
        </w:rPr>
        <w:t xml:space="preserve"> funcțional</w:t>
      </w:r>
      <w:r w:rsidR="00DA57E4">
        <w:rPr>
          <w:rFonts w:asciiTheme="majorHAnsi" w:hAnsiTheme="majorHAnsi" w:cstheme="majorHAnsi"/>
          <w:b w:val="0"/>
          <w:bCs w:val="0"/>
          <w:noProof/>
          <w:sz w:val="24"/>
          <w:szCs w:val="24"/>
          <w:lang w:val="en-US"/>
        </w:rPr>
        <w:t>e</w:t>
      </w:r>
      <w:r w:rsidRPr="008376FC">
        <w:rPr>
          <w:rFonts w:asciiTheme="majorHAnsi" w:hAnsiTheme="majorHAnsi" w:cstheme="majorHAnsi"/>
          <w:b w:val="0"/>
          <w:bCs w:val="0"/>
          <w:noProof/>
          <w:sz w:val="24"/>
          <w:szCs w:val="24"/>
          <w:lang w:val="en-US"/>
        </w:rPr>
        <w:t xml:space="preserve">, </w:t>
      </w:r>
      <w:r w:rsidR="004B7D5D">
        <w:rPr>
          <w:rFonts w:asciiTheme="majorHAnsi" w:hAnsiTheme="majorHAnsi" w:cstheme="majorHAnsi"/>
          <w:b w:val="0"/>
          <w:bCs w:val="0"/>
          <w:noProof/>
          <w:sz w:val="24"/>
          <w:szCs w:val="24"/>
          <w:lang w:val="en-US"/>
        </w:rPr>
        <w:t>numărul lor</w:t>
      </w:r>
      <w:r w:rsidRPr="008376FC">
        <w:rPr>
          <w:rFonts w:asciiTheme="majorHAnsi" w:hAnsiTheme="majorHAnsi" w:cstheme="majorHAnsi"/>
          <w:b w:val="0"/>
          <w:bCs w:val="0"/>
          <w:noProof/>
          <w:sz w:val="24"/>
          <w:szCs w:val="24"/>
          <w:lang w:val="en-US"/>
        </w:rPr>
        <w:t xml:space="preserve"> s-a diminuat</w:t>
      </w:r>
      <w:r w:rsidR="004B7D5D">
        <w:rPr>
          <w:rFonts w:asciiTheme="majorHAnsi" w:hAnsiTheme="majorHAnsi" w:cstheme="majorHAnsi"/>
          <w:b w:val="0"/>
          <w:bCs w:val="0"/>
          <w:noProof/>
          <w:sz w:val="24"/>
          <w:szCs w:val="24"/>
          <w:lang w:val="en-US"/>
        </w:rPr>
        <w:t>,</w:t>
      </w:r>
      <w:r w:rsidRPr="008376FC">
        <w:rPr>
          <w:rFonts w:asciiTheme="majorHAnsi" w:hAnsiTheme="majorHAnsi" w:cstheme="majorHAnsi"/>
          <w:b w:val="0"/>
          <w:bCs w:val="0"/>
          <w:noProof/>
          <w:sz w:val="24"/>
          <w:szCs w:val="24"/>
          <w:lang w:val="en-US"/>
        </w:rPr>
        <w:t xml:space="preserve"> de la 1</w:t>
      </w:r>
      <w:r w:rsidR="004B7D5D">
        <w:rPr>
          <w:rFonts w:asciiTheme="majorHAnsi" w:hAnsiTheme="majorHAnsi" w:cstheme="majorHAnsi"/>
          <w:b w:val="0"/>
          <w:bCs w:val="0"/>
          <w:noProof/>
          <w:sz w:val="24"/>
          <w:szCs w:val="24"/>
          <w:lang w:val="en-US"/>
        </w:rPr>
        <w:t>.</w:t>
      </w:r>
      <w:r w:rsidRPr="008376FC">
        <w:rPr>
          <w:rFonts w:asciiTheme="majorHAnsi" w:hAnsiTheme="majorHAnsi" w:cstheme="majorHAnsi"/>
          <w:b w:val="0"/>
          <w:bCs w:val="0"/>
          <w:noProof/>
          <w:sz w:val="24"/>
          <w:szCs w:val="24"/>
          <w:lang w:val="en-US"/>
        </w:rPr>
        <w:t>223 în 2016 la 1</w:t>
      </w:r>
      <w:r w:rsidR="004B7D5D">
        <w:rPr>
          <w:rFonts w:asciiTheme="majorHAnsi" w:hAnsiTheme="majorHAnsi" w:cstheme="majorHAnsi"/>
          <w:b w:val="0"/>
          <w:bCs w:val="0"/>
          <w:noProof/>
          <w:sz w:val="24"/>
          <w:szCs w:val="24"/>
          <w:lang w:val="en-US"/>
        </w:rPr>
        <w:t>.</w:t>
      </w:r>
      <w:r w:rsidRPr="008376FC">
        <w:rPr>
          <w:rFonts w:asciiTheme="majorHAnsi" w:hAnsiTheme="majorHAnsi" w:cstheme="majorHAnsi"/>
          <w:b w:val="0"/>
          <w:bCs w:val="0"/>
          <w:noProof/>
          <w:sz w:val="24"/>
          <w:szCs w:val="24"/>
          <w:lang w:val="en-US"/>
        </w:rPr>
        <w:t xml:space="preserve">146 în 2018, sau cu 77 </w:t>
      </w:r>
      <w:r w:rsidR="004B7D5D">
        <w:rPr>
          <w:rFonts w:asciiTheme="majorHAnsi" w:hAnsiTheme="majorHAnsi" w:cstheme="majorHAnsi"/>
          <w:b w:val="0"/>
          <w:bCs w:val="0"/>
          <w:noProof/>
          <w:sz w:val="24"/>
          <w:szCs w:val="24"/>
          <w:lang w:val="en-US"/>
        </w:rPr>
        <w:t xml:space="preserve">de </w:t>
      </w:r>
      <w:r w:rsidRPr="008376FC">
        <w:rPr>
          <w:rFonts w:asciiTheme="majorHAnsi" w:hAnsiTheme="majorHAnsi" w:cstheme="majorHAnsi"/>
          <w:b w:val="0"/>
          <w:bCs w:val="0"/>
          <w:noProof/>
          <w:sz w:val="24"/>
          <w:szCs w:val="24"/>
          <w:lang w:val="en-US"/>
        </w:rPr>
        <w:t>unități</w:t>
      </w:r>
      <w:r w:rsidR="004B7D5D">
        <w:rPr>
          <w:rFonts w:asciiTheme="majorHAnsi" w:hAnsiTheme="majorHAnsi" w:cstheme="majorHAnsi"/>
          <w:b w:val="0"/>
          <w:bCs w:val="0"/>
          <w:noProof/>
          <w:sz w:val="24"/>
          <w:szCs w:val="24"/>
          <w:lang w:val="en-US"/>
        </w:rPr>
        <w:t>;</w:t>
      </w:r>
      <w:r w:rsidRPr="008376FC">
        <w:rPr>
          <w:rFonts w:asciiTheme="majorHAnsi" w:hAnsiTheme="majorHAnsi" w:cstheme="majorHAnsi"/>
          <w:b w:val="0"/>
          <w:bCs w:val="0"/>
          <w:noProof/>
          <w:sz w:val="24"/>
          <w:szCs w:val="24"/>
          <w:lang w:val="en-US"/>
        </w:rPr>
        <w:t xml:space="preserve"> numărul stațiilor de pompare a apei nefuncționale</w:t>
      </w:r>
      <w:r w:rsidR="004B7D5D">
        <w:rPr>
          <w:rFonts w:asciiTheme="majorHAnsi" w:hAnsiTheme="majorHAnsi" w:cstheme="majorHAnsi"/>
          <w:b w:val="0"/>
          <w:bCs w:val="0"/>
          <w:noProof/>
          <w:sz w:val="24"/>
          <w:szCs w:val="24"/>
          <w:lang w:val="en-US"/>
        </w:rPr>
        <w:t>,</w:t>
      </w:r>
      <w:r w:rsidRPr="008376FC">
        <w:rPr>
          <w:rFonts w:asciiTheme="majorHAnsi" w:hAnsiTheme="majorHAnsi" w:cstheme="majorHAnsi"/>
          <w:b w:val="0"/>
          <w:bCs w:val="0"/>
          <w:noProof/>
          <w:sz w:val="24"/>
          <w:szCs w:val="24"/>
          <w:lang w:val="en-US"/>
        </w:rPr>
        <w:t xml:space="preserve"> de asemenea</w:t>
      </w:r>
      <w:r w:rsidR="004B7D5D">
        <w:rPr>
          <w:rFonts w:asciiTheme="majorHAnsi" w:hAnsiTheme="majorHAnsi" w:cstheme="majorHAnsi"/>
          <w:b w:val="0"/>
          <w:bCs w:val="0"/>
          <w:noProof/>
          <w:sz w:val="24"/>
          <w:szCs w:val="24"/>
          <w:lang w:val="en-US"/>
        </w:rPr>
        <w:t>,</w:t>
      </w:r>
      <w:r w:rsidRPr="008376FC">
        <w:rPr>
          <w:rFonts w:asciiTheme="majorHAnsi" w:hAnsiTheme="majorHAnsi" w:cstheme="majorHAnsi"/>
          <w:b w:val="0"/>
          <w:bCs w:val="0"/>
          <w:noProof/>
          <w:sz w:val="24"/>
          <w:szCs w:val="24"/>
          <w:lang w:val="en-US"/>
        </w:rPr>
        <w:t xml:space="preserve"> este în descreștere</w:t>
      </w:r>
      <w:r w:rsidR="004B7D5D">
        <w:rPr>
          <w:rFonts w:asciiTheme="majorHAnsi" w:hAnsiTheme="majorHAnsi" w:cstheme="majorHAnsi"/>
          <w:b w:val="0"/>
          <w:bCs w:val="0"/>
          <w:noProof/>
          <w:sz w:val="24"/>
          <w:szCs w:val="24"/>
          <w:lang w:val="en-US"/>
        </w:rPr>
        <w:t>,</w:t>
      </w:r>
      <w:r w:rsidRPr="008376FC">
        <w:rPr>
          <w:rFonts w:asciiTheme="majorHAnsi" w:hAnsiTheme="majorHAnsi" w:cstheme="majorHAnsi"/>
          <w:b w:val="0"/>
          <w:bCs w:val="0"/>
          <w:noProof/>
          <w:sz w:val="24"/>
          <w:szCs w:val="24"/>
          <w:lang w:val="en-US"/>
        </w:rPr>
        <w:t xml:space="preserve"> de la 105 în anul 2016 la 88 în anul 2018</w:t>
      </w:r>
      <w:r w:rsidR="004B7D5D">
        <w:rPr>
          <w:rFonts w:asciiTheme="majorHAnsi" w:hAnsiTheme="majorHAnsi" w:cstheme="majorHAnsi"/>
          <w:b w:val="0"/>
          <w:bCs w:val="0"/>
          <w:noProof/>
          <w:sz w:val="24"/>
          <w:szCs w:val="24"/>
          <w:lang w:val="en-US"/>
        </w:rPr>
        <w:t>,</w:t>
      </w:r>
      <w:r w:rsidRPr="008376FC">
        <w:rPr>
          <w:rFonts w:asciiTheme="majorHAnsi" w:hAnsiTheme="majorHAnsi" w:cstheme="majorHAnsi"/>
          <w:b w:val="0"/>
          <w:bCs w:val="0"/>
          <w:noProof/>
          <w:sz w:val="24"/>
          <w:szCs w:val="24"/>
          <w:lang w:val="en-US"/>
        </w:rPr>
        <w:t xml:space="preserve"> sau cu 17 unități.</w:t>
      </w:r>
    </w:p>
    <w:tbl>
      <w:tblPr>
        <w:tblStyle w:val="TableGrid4"/>
        <w:tblW w:w="0" w:type="auto"/>
        <w:tblLook w:val="04A0" w:firstRow="1" w:lastRow="0" w:firstColumn="1" w:lastColumn="0" w:noHBand="0" w:noVBand="1"/>
      </w:tblPr>
      <w:tblGrid>
        <w:gridCol w:w="4690"/>
        <w:gridCol w:w="4988"/>
      </w:tblGrid>
      <w:tr w:rsidR="00003DFA" w:rsidRPr="008376FC" w:rsidTr="005D4030">
        <w:trPr>
          <w:trHeight w:val="204"/>
        </w:trPr>
        <w:tc>
          <w:tcPr>
            <w:tcW w:w="4948" w:type="dxa"/>
          </w:tcPr>
          <w:p w:rsidR="00003DFA" w:rsidRPr="008376FC" w:rsidRDefault="00003DFA" w:rsidP="00AA4DFA">
            <w:pPr>
              <w:spacing w:line="276" w:lineRule="auto"/>
              <w:jc w:val="right"/>
              <w:rPr>
                <w:rFonts w:asciiTheme="majorHAnsi" w:eastAsia="Calibri" w:hAnsiTheme="majorHAnsi" w:cstheme="majorHAnsi"/>
                <w:b w:val="0"/>
                <w:bCs w:val="0"/>
                <w:noProof/>
                <w:sz w:val="20"/>
                <w:szCs w:val="20"/>
                <w:lang w:val="ru-RU" w:eastAsia="ru-RU"/>
              </w:rPr>
            </w:pPr>
            <w:r w:rsidRPr="008376FC">
              <w:rPr>
                <w:rFonts w:asciiTheme="majorHAnsi" w:eastAsia="Calibri" w:hAnsiTheme="majorHAnsi" w:cstheme="majorHAnsi"/>
                <w:bCs w:val="0"/>
                <w:noProof/>
                <w:sz w:val="20"/>
                <w:szCs w:val="20"/>
                <w:lang w:eastAsia="ru-RU"/>
              </w:rPr>
              <w:t>Figur</w:t>
            </w:r>
            <w:r w:rsidR="005D4030" w:rsidRPr="008376FC">
              <w:rPr>
                <w:rFonts w:asciiTheme="majorHAnsi" w:eastAsia="Calibri" w:hAnsiTheme="majorHAnsi" w:cstheme="majorHAnsi"/>
                <w:bCs w:val="0"/>
                <w:noProof/>
                <w:sz w:val="20"/>
                <w:szCs w:val="20"/>
                <w:lang w:eastAsia="ru-RU"/>
              </w:rPr>
              <w:t>a</w:t>
            </w:r>
            <w:r w:rsidRPr="008376FC">
              <w:rPr>
                <w:rFonts w:asciiTheme="majorHAnsi" w:eastAsia="Calibri" w:hAnsiTheme="majorHAnsi" w:cstheme="majorHAnsi"/>
                <w:bCs w:val="0"/>
                <w:noProof/>
                <w:sz w:val="20"/>
                <w:szCs w:val="20"/>
                <w:lang w:eastAsia="ru-RU"/>
              </w:rPr>
              <w:t xml:space="preserve"> nr. </w:t>
            </w:r>
            <w:r w:rsidR="005D4030" w:rsidRPr="008376FC">
              <w:rPr>
                <w:rFonts w:asciiTheme="majorHAnsi" w:eastAsia="Calibri" w:hAnsiTheme="majorHAnsi" w:cstheme="majorHAnsi"/>
                <w:bCs w:val="0"/>
                <w:noProof/>
                <w:sz w:val="20"/>
                <w:szCs w:val="20"/>
                <w:lang w:eastAsia="ru-RU"/>
              </w:rPr>
              <w:t>15</w:t>
            </w:r>
          </w:p>
        </w:tc>
        <w:tc>
          <w:tcPr>
            <w:tcW w:w="4957" w:type="dxa"/>
          </w:tcPr>
          <w:p w:rsidR="00003DFA" w:rsidRPr="008376FC" w:rsidRDefault="00003DFA" w:rsidP="00AA4DFA">
            <w:pPr>
              <w:spacing w:line="276" w:lineRule="auto"/>
              <w:jc w:val="right"/>
              <w:rPr>
                <w:rFonts w:asciiTheme="majorHAnsi" w:eastAsia="Calibri" w:hAnsiTheme="majorHAnsi" w:cstheme="majorHAnsi"/>
                <w:b w:val="0"/>
                <w:bCs w:val="0"/>
                <w:noProof/>
                <w:sz w:val="20"/>
                <w:szCs w:val="20"/>
                <w:lang w:val="ru-RU" w:eastAsia="ru-RU"/>
              </w:rPr>
            </w:pPr>
            <w:r w:rsidRPr="008376FC">
              <w:rPr>
                <w:rFonts w:asciiTheme="majorHAnsi" w:eastAsia="Calibri" w:hAnsiTheme="majorHAnsi" w:cstheme="majorHAnsi"/>
                <w:bCs w:val="0"/>
                <w:noProof/>
                <w:sz w:val="20"/>
                <w:szCs w:val="20"/>
                <w:lang w:eastAsia="ru-RU"/>
              </w:rPr>
              <w:t>Figur</w:t>
            </w:r>
            <w:r w:rsidR="005D4030" w:rsidRPr="008376FC">
              <w:rPr>
                <w:rFonts w:asciiTheme="majorHAnsi" w:eastAsia="Calibri" w:hAnsiTheme="majorHAnsi" w:cstheme="majorHAnsi"/>
                <w:bCs w:val="0"/>
                <w:noProof/>
                <w:sz w:val="20"/>
                <w:szCs w:val="20"/>
                <w:lang w:eastAsia="ru-RU"/>
              </w:rPr>
              <w:t>a</w:t>
            </w:r>
            <w:r w:rsidRPr="008376FC">
              <w:rPr>
                <w:rFonts w:asciiTheme="majorHAnsi" w:eastAsia="Calibri" w:hAnsiTheme="majorHAnsi" w:cstheme="majorHAnsi"/>
                <w:bCs w:val="0"/>
                <w:noProof/>
                <w:sz w:val="20"/>
                <w:szCs w:val="20"/>
                <w:lang w:eastAsia="ru-RU"/>
              </w:rPr>
              <w:t xml:space="preserve"> nr. </w:t>
            </w:r>
            <w:r w:rsidR="005D4030" w:rsidRPr="008376FC">
              <w:rPr>
                <w:rFonts w:asciiTheme="majorHAnsi" w:eastAsia="Calibri" w:hAnsiTheme="majorHAnsi" w:cstheme="majorHAnsi"/>
                <w:bCs w:val="0"/>
                <w:noProof/>
                <w:sz w:val="20"/>
                <w:szCs w:val="20"/>
                <w:lang w:eastAsia="ru-RU"/>
              </w:rPr>
              <w:t>16</w:t>
            </w:r>
          </w:p>
        </w:tc>
      </w:tr>
      <w:tr w:rsidR="00BE49FB" w:rsidRPr="008376FC" w:rsidTr="00337816">
        <w:trPr>
          <w:trHeight w:val="1542"/>
        </w:trPr>
        <w:tc>
          <w:tcPr>
            <w:tcW w:w="4948" w:type="dxa"/>
          </w:tcPr>
          <w:p w:rsidR="00BE49FB" w:rsidRPr="008376FC" w:rsidRDefault="00BE49FB" w:rsidP="00F61756">
            <w:pPr>
              <w:spacing w:line="276" w:lineRule="auto"/>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val="ru-RU" w:eastAsia="ru-RU"/>
              </w:rPr>
              <w:drawing>
                <wp:inline distT="0" distB="0" distL="0" distR="0">
                  <wp:extent cx="2822778" cy="1521562"/>
                  <wp:effectExtent l="19050" t="0" r="15672" b="2438"/>
                  <wp:docPr id="18"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c>
          <w:tcPr>
            <w:tcW w:w="4957" w:type="dxa"/>
          </w:tcPr>
          <w:p w:rsidR="00BE49FB" w:rsidRPr="008376FC" w:rsidRDefault="00BE49FB" w:rsidP="00F61756">
            <w:pPr>
              <w:spacing w:line="276" w:lineRule="auto"/>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val="ru-RU" w:eastAsia="ru-RU"/>
              </w:rPr>
              <w:drawing>
                <wp:inline distT="0" distB="0" distL="0" distR="0">
                  <wp:extent cx="3011069" cy="1519657"/>
                  <wp:effectExtent l="19050" t="0" r="17881" b="4343"/>
                  <wp:docPr id="23"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Pr="008376FC">
              <w:rPr>
                <w:rFonts w:asciiTheme="majorHAnsi" w:eastAsia="Calibri" w:hAnsiTheme="majorHAnsi" w:cstheme="majorHAnsi"/>
                <w:b w:val="0"/>
                <w:bCs w:val="0"/>
                <w:noProof/>
                <w:sz w:val="20"/>
                <w:szCs w:val="20"/>
                <w:lang w:eastAsia="ru-RU"/>
              </w:rPr>
              <w:t xml:space="preserve"> </w:t>
            </w:r>
          </w:p>
        </w:tc>
      </w:tr>
    </w:tbl>
    <w:p w:rsidR="00BE49FB" w:rsidRPr="00583C07" w:rsidRDefault="00BE49FB" w:rsidP="00F61756">
      <w:pPr>
        <w:tabs>
          <w:tab w:val="left" w:pos="851"/>
        </w:tabs>
        <w:spacing w:after="0" w:line="276" w:lineRule="auto"/>
        <w:contextualSpacing/>
        <w:jc w:val="both"/>
        <w:rPr>
          <w:rFonts w:asciiTheme="majorHAnsi" w:eastAsia="Calibri" w:hAnsiTheme="majorHAnsi" w:cstheme="majorHAnsi"/>
          <w:b w:val="0"/>
          <w:bCs w:val="0"/>
          <w:i/>
          <w:noProof/>
          <w:sz w:val="16"/>
          <w:szCs w:val="16"/>
          <w:lang w:eastAsia="ru-RU"/>
        </w:rPr>
      </w:pPr>
      <w:r w:rsidRPr="00583C07">
        <w:rPr>
          <w:rFonts w:asciiTheme="majorHAnsi" w:eastAsia="Calibri" w:hAnsiTheme="majorHAnsi" w:cstheme="majorHAnsi"/>
          <w:bCs w:val="0"/>
          <w:i/>
          <w:noProof/>
          <w:sz w:val="16"/>
          <w:szCs w:val="16"/>
          <w:lang w:eastAsia="ru-RU"/>
        </w:rPr>
        <w:t>Sursa:</w:t>
      </w:r>
      <w:r w:rsidRPr="00583C07">
        <w:rPr>
          <w:rFonts w:asciiTheme="majorHAnsi" w:eastAsia="Calibri" w:hAnsiTheme="majorHAnsi" w:cstheme="majorHAnsi"/>
          <w:b w:val="0"/>
          <w:bCs w:val="0"/>
          <w:i/>
          <w:noProof/>
          <w:sz w:val="16"/>
          <w:szCs w:val="16"/>
          <w:lang w:eastAsia="ru-RU"/>
        </w:rPr>
        <w:t xml:space="preserve"> Date</w:t>
      </w:r>
      <w:r w:rsidR="004B7D5D" w:rsidRPr="00583C07">
        <w:rPr>
          <w:rFonts w:asciiTheme="majorHAnsi" w:eastAsia="Calibri" w:hAnsiTheme="majorHAnsi" w:cstheme="majorHAnsi"/>
          <w:b w:val="0"/>
          <w:bCs w:val="0"/>
          <w:i/>
          <w:noProof/>
          <w:sz w:val="16"/>
          <w:szCs w:val="16"/>
          <w:lang w:eastAsia="ru-RU"/>
        </w:rPr>
        <w:t xml:space="preserve"> oferite de</w:t>
      </w:r>
      <w:r w:rsidRPr="00583C07">
        <w:rPr>
          <w:rFonts w:asciiTheme="majorHAnsi" w:eastAsia="Calibri" w:hAnsiTheme="majorHAnsi" w:cstheme="majorHAnsi"/>
          <w:b w:val="0"/>
          <w:bCs w:val="0"/>
          <w:i/>
          <w:noProof/>
          <w:sz w:val="16"/>
          <w:szCs w:val="16"/>
          <w:lang w:eastAsia="ru-RU"/>
        </w:rPr>
        <w:t xml:space="preserve"> BNS. </w:t>
      </w:r>
    </w:p>
    <w:p w:rsidR="00BE49FB" w:rsidRPr="008376FC" w:rsidRDefault="00BE49FB" w:rsidP="00F61756">
      <w:pPr>
        <w:pStyle w:val="a3"/>
        <w:numPr>
          <w:ilvl w:val="2"/>
          <w:numId w:val="38"/>
        </w:numPr>
        <w:tabs>
          <w:tab w:val="left" w:pos="426"/>
          <w:tab w:val="left" w:pos="709"/>
          <w:tab w:val="left" w:pos="993"/>
        </w:tabs>
        <w:spacing w:before="120" w:after="120" w:line="276" w:lineRule="auto"/>
        <w:ind w:left="0" w:firstLine="0"/>
        <w:jc w:val="both"/>
        <w:rPr>
          <w:rFonts w:asciiTheme="majorHAnsi" w:hAnsiTheme="majorHAnsi" w:cstheme="majorHAnsi"/>
          <w:b/>
          <w:color w:val="0070C0"/>
          <w:spacing w:val="1"/>
          <w:lang w:val="en-US"/>
        </w:rPr>
      </w:pPr>
      <w:r w:rsidRPr="008376FC">
        <w:rPr>
          <w:rFonts w:asciiTheme="majorHAnsi" w:eastAsia="Calibri" w:hAnsiTheme="majorHAnsi" w:cstheme="majorHAnsi"/>
          <w:b/>
          <w:noProof/>
          <w:color w:val="0070C0"/>
          <w:lang w:val="en-US"/>
        </w:rPr>
        <w:t>Pierderile de apă în rețea s-au diminuat faț</w:t>
      </w:r>
      <w:r w:rsidR="00F638F7" w:rsidRPr="008376FC">
        <w:rPr>
          <w:rFonts w:asciiTheme="majorHAnsi" w:eastAsia="Calibri" w:hAnsiTheme="majorHAnsi" w:cstheme="majorHAnsi"/>
          <w:b/>
          <w:noProof/>
          <w:color w:val="0070C0"/>
          <w:lang w:val="en-US"/>
        </w:rPr>
        <w:t>ă de pierderile din anul 2016</w:t>
      </w:r>
      <w:r w:rsidR="004B7D5D">
        <w:rPr>
          <w:rFonts w:asciiTheme="majorHAnsi" w:eastAsia="Calibri" w:hAnsiTheme="majorHAnsi" w:cstheme="majorHAnsi"/>
          <w:b/>
          <w:noProof/>
          <w:color w:val="0070C0"/>
          <w:lang w:val="en-US"/>
        </w:rPr>
        <w:t>.</w:t>
      </w:r>
    </w:p>
    <w:p w:rsidR="005D4030" w:rsidRPr="008376FC" w:rsidRDefault="005D4030" w:rsidP="00F61756">
      <w:pPr>
        <w:tabs>
          <w:tab w:val="left" w:pos="0"/>
        </w:tabs>
        <w:spacing w:after="0" w:line="276" w:lineRule="auto"/>
        <w:jc w:val="both"/>
        <w:rPr>
          <w:rFonts w:asciiTheme="majorHAnsi" w:hAnsiTheme="majorHAnsi"/>
          <w:b w:val="0"/>
          <w:sz w:val="24"/>
          <w:szCs w:val="24"/>
        </w:rPr>
      </w:pPr>
      <w:r w:rsidRPr="008376FC">
        <w:rPr>
          <w:rFonts w:asciiTheme="majorHAnsi" w:hAnsiTheme="majorHAnsi"/>
          <w:b w:val="0"/>
          <w:sz w:val="24"/>
          <w:szCs w:val="24"/>
        </w:rPr>
        <w:t>În scopul determin</w:t>
      </w:r>
      <w:r w:rsidR="004B7D5D">
        <w:rPr>
          <w:rFonts w:asciiTheme="majorHAnsi" w:hAnsiTheme="majorHAnsi"/>
          <w:b w:val="0"/>
          <w:sz w:val="24"/>
          <w:szCs w:val="24"/>
        </w:rPr>
        <w:t>ării</w:t>
      </w:r>
      <w:r w:rsidRPr="008376FC">
        <w:rPr>
          <w:rFonts w:asciiTheme="majorHAnsi" w:hAnsiTheme="majorHAnsi"/>
          <w:b w:val="0"/>
          <w:sz w:val="24"/>
          <w:szCs w:val="24"/>
        </w:rPr>
        <w:t xml:space="preserve"> tarifelor, a consumului tehnologic şi a pierderilor de apă în sistemele publice de alimentare cu apă, ANRE a aprobat Regulamentul nr.180/2016, care are drept scop stabilirea modalităţii unice de calculare şi aprobare a consumurilor tehnologice şi a pierderilor de apă în sistemele publice de alimentare cu apă şi de canalizare, volume de apă care vor fi luate în considera</w:t>
      </w:r>
      <w:r w:rsidR="004B7D5D">
        <w:rPr>
          <w:rFonts w:asciiTheme="majorHAnsi" w:hAnsiTheme="majorHAnsi"/>
          <w:b w:val="0"/>
          <w:sz w:val="24"/>
          <w:szCs w:val="24"/>
        </w:rPr>
        <w:t>r</w:t>
      </w:r>
      <w:r w:rsidRPr="008376FC">
        <w:rPr>
          <w:rFonts w:asciiTheme="majorHAnsi" w:hAnsiTheme="majorHAnsi"/>
          <w:b w:val="0"/>
          <w:sz w:val="24"/>
          <w:szCs w:val="24"/>
        </w:rPr>
        <w:t xml:space="preserve">e la determinarea tarifelor pentru serviciul public de alimentare cu apă, de canalizare și de epurare a apelor uzate. </w:t>
      </w:r>
    </w:p>
    <w:p w:rsidR="005D4030" w:rsidRPr="008376FC" w:rsidRDefault="005D4030" w:rsidP="00F61756">
      <w:pPr>
        <w:tabs>
          <w:tab w:val="left" w:pos="0"/>
        </w:tabs>
        <w:spacing w:after="0" w:line="276" w:lineRule="auto"/>
        <w:jc w:val="both"/>
        <w:rPr>
          <w:rFonts w:asciiTheme="majorHAnsi" w:eastAsia="SimSun" w:hAnsiTheme="majorHAnsi" w:cs="Times New Roman"/>
          <w:b w:val="0"/>
          <w:i/>
          <w:sz w:val="24"/>
          <w:szCs w:val="24"/>
        </w:rPr>
      </w:pPr>
      <w:r w:rsidRPr="008376FC">
        <w:rPr>
          <w:rFonts w:asciiTheme="majorHAnsi" w:hAnsiTheme="majorHAnsi"/>
          <w:b w:val="0"/>
          <w:sz w:val="24"/>
          <w:szCs w:val="24"/>
        </w:rPr>
        <w:t>Calcularea consumului tehnologic</w:t>
      </w:r>
      <w:r w:rsidR="00607B00" w:rsidRPr="008376FC">
        <w:rPr>
          <w:rFonts w:asciiTheme="majorHAnsi" w:hAnsiTheme="majorHAnsi"/>
          <w:b w:val="0"/>
          <w:sz w:val="24"/>
          <w:szCs w:val="24"/>
        </w:rPr>
        <w:t xml:space="preserve"> </w:t>
      </w:r>
      <w:r w:rsidRPr="008376FC">
        <w:rPr>
          <w:rFonts w:asciiTheme="majorHAnsi" w:hAnsiTheme="majorHAnsi"/>
          <w:b w:val="0"/>
          <w:sz w:val="24"/>
          <w:szCs w:val="24"/>
        </w:rPr>
        <w:t>şi a pierderilor de apă se realizează în conformitate cu Regulament</w:t>
      </w:r>
      <w:r w:rsidR="004B7D5D">
        <w:rPr>
          <w:rFonts w:asciiTheme="majorHAnsi" w:hAnsiTheme="majorHAnsi"/>
          <w:b w:val="0"/>
          <w:sz w:val="24"/>
          <w:szCs w:val="24"/>
        </w:rPr>
        <w:t>ul</w:t>
      </w:r>
      <w:r w:rsidRPr="008376FC">
        <w:rPr>
          <w:rFonts w:asciiTheme="majorHAnsi" w:hAnsiTheme="majorHAnsi"/>
          <w:b w:val="0"/>
          <w:sz w:val="24"/>
          <w:szCs w:val="24"/>
        </w:rPr>
        <w:t xml:space="preserve"> respectiv, de către fiecare operator care furnizează serviciul public de alimentare cu apă şi de canalizare</w:t>
      </w:r>
      <w:r w:rsidR="004B7D5D">
        <w:rPr>
          <w:rFonts w:asciiTheme="majorHAnsi" w:hAnsiTheme="majorHAnsi"/>
          <w:b w:val="0"/>
          <w:sz w:val="24"/>
          <w:szCs w:val="24"/>
        </w:rPr>
        <w:t>,</w:t>
      </w:r>
      <w:r w:rsidRPr="008376FC">
        <w:rPr>
          <w:rFonts w:asciiTheme="majorHAnsi" w:hAnsiTheme="majorHAnsi"/>
          <w:b w:val="0"/>
          <w:sz w:val="24"/>
          <w:szCs w:val="24"/>
        </w:rPr>
        <w:t> în scopul justificării consumului tehnologic şi a pierderilor de apă în procesele de captare, tratare, transport, acumulare şi distribuţi</w:t>
      </w:r>
      <w:r w:rsidR="004B7D5D">
        <w:rPr>
          <w:rFonts w:asciiTheme="majorHAnsi" w:hAnsiTheme="majorHAnsi"/>
          <w:b w:val="0"/>
          <w:sz w:val="24"/>
          <w:szCs w:val="24"/>
        </w:rPr>
        <w:t xml:space="preserve">e </w:t>
      </w:r>
      <w:r w:rsidRPr="008376FC">
        <w:rPr>
          <w:rFonts w:asciiTheme="majorHAnsi" w:hAnsiTheme="majorHAnsi"/>
          <w:b w:val="0"/>
          <w:sz w:val="24"/>
          <w:szCs w:val="24"/>
        </w:rPr>
        <w:t>a apei, respectivepurarea şi evacuarea apelor uzate.</w:t>
      </w:r>
    </w:p>
    <w:p w:rsidR="005D4030" w:rsidRPr="008376FC" w:rsidRDefault="005D4030" w:rsidP="00F61756">
      <w:pPr>
        <w:tabs>
          <w:tab w:val="left" w:pos="90"/>
          <w:tab w:val="left" w:pos="450"/>
        </w:tabs>
        <w:spacing w:after="0" w:line="276" w:lineRule="auto"/>
        <w:jc w:val="both"/>
        <w:rPr>
          <w:rFonts w:asciiTheme="majorHAnsi" w:eastAsia="SimSun" w:hAnsiTheme="majorHAnsi" w:cs="Times New Roman"/>
          <w:b w:val="0"/>
          <w:sz w:val="24"/>
          <w:szCs w:val="24"/>
        </w:rPr>
      </w:pPr>
      <w:r w:rsidRPr="008376FC">
        <w:rPr>
          <w:rFonts w:asciiTheme="majorHAnsi" w:hAnsiTheme="majorHAnsi"/>
          <w:b w:val="0"/>
          <w:sz w:val="24"/>
          <w:szCs w:val="24"/>
        </w:rPr>
        <w:t>Consumul tehnologic de apă din sistemul public de alimentare cu apă şi de canalizare include: (i) consumul tehnologic de apă în procesele de captare a apei, (ii) consumul tehnologic de apă în procesele de tratare a apei</w:t>
      </w:r>
      <w:r w:rsidR="00607B00" w:rsidRPr="008376FC">
        <w:rPr>
          <w:rFonts w:asciiTheme="majorHAnsi" w:hAnsiTheme="majorHAnsi"/>
          <w:b w:val="0"/>
          <w:sz w:val="24"/>
          <w:szCs w:val="24"/>
        </w:rPr>
        <w:t>,</w:t>
      </w:r>
      <w:r w:rsidRPr="008376FC">
        <w:rPr>
          <w:rFonts w:asciiTheme="majorHAnsi" w:hAnsiTheme="majorHAnsi"/>
          <w:b w:val="0"/>
          <w:sz w:val="24"/>
          <w:szCs w:val="24"/>
        </w:rPr>
        <w:t xml:space="preserve"> (iii) consumul tehnologic de apă la transportul și distribuţia apei, (iv) consumul de apă pentru necesitățile antiincendiare, (v) consumul de apă pentru necesitățile gospodărești ale operatorului, (vi) consumul tehnologic de apă în </w:t>
      </w:r>
      <w:r w:rsidRPr="008376FC">
        <w:rPr>
          <w:rFonts w:asciiTheme="majorHAnsi" w:hAnsiTheme="majorHAnsi"/>
          <w:b w:val="0"/>
          <w:iCs/>
          <w:sz w:val="24"/>
          <w:szCs w:val="24"/>
          <w:lang w:eastAsia="zh-CN"/>
        </w:rPr>
        <w:t>sistemul public de canalizare</w:t>
      </w:r>
      <w:r w:rsidRPr="008376FC">
        <w:rPr>
          <w:rFonts w:asciiTheme="majorHAnsi" w:hAnsiTheme="majorHAnsi"/>
          <w:b w:val="0"/>
          <w:sz w:val="24"/>
          <w:szCs w:val="24"/>
        </w:rPr>
        <w:t>.</w:t>
      </w:r>
    </w:p>
    <w:p w:rsidR="005D4030" w:rsidRPr="008376FC" w:rsidRDefault="005D4030" w:rsidP="00F61756">
      <w:pPr>
        <w:tabs>
          <w:tab w:val="left" w:pos="450"/>
          <w:tab w:val="left" w:pos="540"/>
        </w:tabs>
        <w:spacing w:after="0" w:line="276" w:lineRule="auto"/>
        <w:jc w:val="both"/>
        <w:rPr>
          <w:rFonts w:asciiTheme="majorHAnsi" w:eastAsia="SimSun" w:hAnsiTheme="majorHAnsi" w:cs="Times New Roman"/>
          <w:b w:val="0"/>
          <w:sz w:val="24"/>
          <w:szCs w:val="24"/>
        </w:rPr>
      </w:pPr>
      <w:r w:rsidRPr="008376FC">
        <w:rPr>
          <w:rFonts w:asciiTheme="majorHAnsi" w:hAnsiTheme="majorHAnsi"/>
          <w:b w:val="0"/>
          <w:sz w:val="24"/>
          <w:szCs w:val="24"/>
        </w:rPr>
        <w:t>Pierderile de apă din sistemul public de alimentare</w:t>
      </w:r>
      <w:r w:rsidR="00607B00" w:rsidRPr="008376FC">
        <w:rPr>
          <w:rFonts w:asciiTheme="majorHAnsi" w:hAnsiTheme="majorHAnsi"/>
          <w:b w:val="0"/>
          <w:sz w:val="24"/>
          <w:szCs w:val="24"/>
        </w:rPr>
        <w:t xml:space="preserve"> cu apă şi de canalizare includ </w:t>
      </w:r>
      <w:r w:rsidRPr="008376FC">
        <w:rPr>
          <w:rFonts w:asciiTheme="majorHAnsi" w:hAnsiTheme="majorHAnsi"/>
          <w:b w:val="0"/>
          <w:sz w:val="24"/>
          <w:szCs w:val="24"/>
        </w:rPr>
        <w:t>pierderile de apă la staţiile de tratare</w:t>
      </w:r>
      <w:r w:rsidR="00607B00" w:rsidRPr="008376FC">
        <w:rPr>
          <w:rFonts w:asciiTheme="majorHAnsi" w:hAnsiTheme="majorHAnsi"/>
          <w:b w:val="0"/>
          <w:sz w:val="24"/>
          <w:szCs w:val="24"/>
        </w:rPr>
        <w:t xml:space="preserve"> și </w:t>
      </w:r>
      <w:r w:rsidRPr="008376FC">
        <w:rPr>
          <w:rFonts w:asciiTheme="majorHAnsi" w:hAnsiTheme="majorHAnsi"/>
          <w:b w:val="0"/>
          <w:sz w:val="24"/>
          <w:szCs w:val="24"/>
        </w:rPr>
        <w:t>pierderile de apă la transportul și distribuţia apei.</w:t>
      </w:r>
    </w:p>
    <w:p w:rsidR="005D4030" w:rsidRPr="008376FC" w:rsidRDefault="005D4030" w:rsidP="00F61756">
      <w:pPr>
        <w:tabs>
          <w:tab w:val="left" w:pos="0"/>
          <w:tab w:val="left" w:pos="540"/>
        </w:tabs>
        <w:spacing w:after="0" w:line="276" w:lineRule="auto"/>
        <w:jc w:val="both"/>
        <w:rPr>
          <w:rFonts w:asciiTheme="majorHAnsi" w:hAnsiTheme="majorHAnsi"/>
          <w:b w:val="0"/>
          <w:sz w:val="24"/>
          <w:szCs w:val="24"/>
        </w:rPr>
      </w:pPr>
      <w:r w:rsidRPr="008376FC">
        <w:rPr>
          <w:rFonts w:asciiTheme="majorHAnsi" w:hAnsiTheme="majorHAnsi"/>
          <w:b w:val="0"/>
          <w:sz w:val="24"/>
          <w:szCs w:val="24"/>
        </w:rPr>
        <w:t xml:space="preserve">De menționat că, conform pct.13 din Regulament, în cazul în care operatorul nu prezintă informaţii prin care se confirmă veridicitatea indicatorilor utilizaţi în calcul la realizarea operaţiunilor tehnologice, volumul respectiv de apă nu se califică ca consum tehnologic. </w:t>
      </w:r>
    </w:p>
    <w:p w:rsidR="005D4030" w:rsidRPr="008376FC" w:rsidRDefault="005D4030" w:rsidP="00F61756">
      <w:pPr>
        <w:tabs>
          <w:tab w:val="left" w:pos="0"/>
          <w:tab w:val="left" w:pos="540"/>
        </w:tabs>
        <w:spacing w:after="0" w:line="276" w:lineRule="auto"/>
        <w:jc w:val="both"/>
        <w:rPr>
          <w:rFonts w:asciiTheme="majorHAnsi" w:hAnsiTheme="majorHAnsi"/>
          <w:b w:val="0"/>
          <w:sz w:val="24"/>
          <w:szCs w:val="24"/>
        </w:rPr>
      </w:pPr>
      <w:r w:rsidRPr="008376FC">
        <w:rPr>
          <w:rFonts w:asciiTheme="majorHAnsi" w:hAnsiTheme="majorHAnsi"/>
          <w:b w:val="0"/>
          <w:sz w:val="24"/>
          <w:szCs w:val="24"/>
        </w:rPr>
        <w:t>Pentru consumul tehnologic şi pierderile de apă sunt aprobate formule distincte, care stau la baza aprobării pierderilor de consum normative.</w:t>
      </w:r>
    </w:p>
    <w:p w:rsidR="00583C07" w:rsidRDefault="00941F51" w:rsidP="00A53967">
      <w:pPr>
        <w:spacing w:after="0" w:line="276" w:lineRule="auto"/>
        <w:jc w:val="both"/>
        <w:rPr>
          <w:rFonts w:asciiTheme="majorHAnsi" w:eastAsia="Times New Roman" w:hAnsiTheme="majorHAnsi" w:cstheme="majorHAnsi"/>
          <w:bCs w:val="0"/>
          <w:spacing w:val="1"/>
          <w:sz w:val="20"/>
          <w:szCs w:val="20"/>
        </w:rPr>
      </w:pPr>
      <w:r w:rsidRPr="008376FC">
        <w:rPr>
          <w:rFonts w:asciiTheme="majorHAnsi" w:hAnsiTheme="majorHAnsi"/>
          <w:b w:val="0"/>
          <w:sz w:val="24"/>
          <w:szCs w:val="24"/>
        </w:rPr>
        <w:t>Ambii indicatori fac parte din indicat</w:t>
      </w:r>
      <w:r w:rsidR="008376FC" w:rsidRPr="008376FC">
        <w:rPr>
          <w:rFonts w:asciiTheme="majorHAnsi" w:hAnsiTheme="majorHAnsi"/>
          <w:b w:val="0"/>
          <w:sz w:val="24"/>
          <w:szCs w:val="24"/>
        </w:rPr>
        <w:t>or</w:t>
      </w:r>
      <w:r w:rsidRPr="008376FC">
        <w:rPr>
          <w:rFonts w:asciiTheme="majorHAnsi" w:hAnsiTheme="majorHAnsi"/>
          <w:b w:val="0"/>
          <w:sz w:val="24"/>
          <w:szCs w:val="24"/>
        </w:rPr>
        <w:t>ii importanți pentru funcționarea corectă a rețelelor de distribuție a apei și reprezintă</w:t>
      </w:r>
      <w:r w:rsidRPr="008376FC">
        <w:rPr>
          <w:rFonts w:ascii="Times New Roman" w:eastAsia="Times New Roman" w:hAnsi="Times New Roman" w:cs="Times New Roman"/>
          <w:spacing w:val="1"/>
          <w:sz w:val="26"/>
          <w:szCs w:val="26"/>
        </w:rPr>
        <w:t xml:space="preserve"> </w:t>
      </w:r>
      <w:r w:rsidR="00BE49FB" w:rsidRPr="008376FC">
        <w:rPr>
          <w:rFonts w:asciiTheme="majorHAnsi" w:eastAsia="Times New Roman" w:hAnsiTheme="majorHAnsi" w:cstheme="majorHAnsi"/>
          <w:b w:val="0"/>
          <w:bCs w:val="0"/>
          <w:spacing w:val="1"/>
          <w:sz w:val="24"/>
          <w:szCs w:val="24"/>
        </w:rPr>
        <w:t>corelația dintre volumul de apă captat – furnizat – pierderi de apă. La general,  în anul 2016</w:t>
      </w:r>
      <w:r w:rsidR="004B7D5D">
        <w:rPr>
          <w:rFonts w:asciiTheme="majorHAnsi" w:eastAsia="Times New Roman" w:hAnsiTheme="majorHAnsi" w:cstheme="majorHAnsi"/>
          <w:b w:val="0"/>
          <w:bCs w:val="0"/>
          <w:spacing w:val="1"/>
          <w:sz w:val="24"/>
          <w:szCs w:val="24"/>
        </w:rPr>
        <w:t>,</w:t>
      </w:r>
      <w:r w:rsidR="00BE49FB" w:rsidRPr="008376FC">
        <w:rPr>
          <w:rFonts w:asciiTheme="majorHAnsi" w:eastAsia="Times New Roman" w:hAnsiTheme="majorHAnsi" w:cstheme="majorHAnsi"/>
          <w:b w:val="0"/>
          <w:bCs w:val="0"/>
          <w:spacing w:val="1"/>
          <w:sz w:val="24"/>
          <w:szCs w:val="24"/>
        </w:rPr>
        <w:t xml:space="preserve"> din volumul de apă captat</w:t>
      </w:r>
      <w:r w:rsidR="004B7D5D">
        <w:rPr>
          <w:rFonts w:asciiTheme="majorHAnsi" w:eastAsia="Times New Roman" w:hAnsiTheme="majorHAnsi" w:cstheme="majorHAnsi"/>
          <w:b w:val="0"/>
          <w:bCs w:val="0"/>
          <w:spacing w:val="1"/>
          <w:sz w:val="24"/>
          <w:szCs w:val="24"/>
        </w:rPr>
        <w:t>,</w:t>
      </w:r>
      <w:r w:rsidR="00BE49FB" w:rsidRPr="008376FC">
        <w:rPr>
          <w:rFonts w:asciiTheme="majorHAnsi" w:eastAsia="Times New Roman" w:hAnsiTheme="majorHAnsi" w:cstheme="majorHAnsi"/>
          <w:b w:val="0"/>
          <w:bCs w:val="0"/>
          <w:spacing w:val="1"/>
          <w:sz w:val="24"/>
          <w:szCs w:val="24"/>
        </w:rPr>
        <w:t xml:space="preserve"> doar </w:t>
      </w:r>
      <w:r w:rsidR="005C2812" w:rsidRPr="008376FC">
        <w:rPr>
          <w:rFonts w:asciiTheme="majorHAnsi" w:eastAsia="Times New Roman" w:hAnsiTheme="majorHAnsi" w:cstheme="majorHAnsi"/>
          <w:b w:val="0"/>
          <w:bCs w:val="0"/>
          <w:spacing w:val="1"/>
          <w:sz w:val="24"/>
          <w:szCs w:val="24"/>
        </w:rPr>
        <w:t>68,3</w:t>
      </w:r>
      <w:r w:rsidR="00BE49FB" w:rsidRPr="008376FC">
        <w:rPr>
          <w:rFonts w:asciiTheme="majorHAnsi" w:eastAsia="Times New Roman" w:hAnsiTheme="majorHAnsi" w:cstheme="majorHAnsi"/>
          <w:b w:val="0"/>
          <w:bCs w:val="0"/>
          <w:spacing w:val="1"/>
          <w:sz w:val="24"/>
          <w:szCs w:val="24"/>
        </w:rPr>
        <w:t xml:space="preserve">% din apă a fost furnizată, iar </w:t>
      </w:r>
      <w:r w:rsidR="005C2812" w:rsidRPr="008376FC">
        <w:rPr>
          <w:rFonts w:asciiTheme="majorHAnsi" w:eastAsia="Times New Roman" w:hAnsiTheme="majorHAnsi" w:cstheme="majorHAnsi"/>
          <w:b w:val="0"/>
          <w:bCs w:val="0"/>
          <w:spacing w:val="1"/>
          <w:sz w:val="24"/>
          <w:szCs w:val="24"/>
        </w:rPr>
        <w:t>31,7</w:t>
      </w:r>
      <w:r w:rsidR="00BE49FB" w:rsidRPr="008376FC">
        <w:rPr>
          <w:rFonts w:asciiTheme="majorHAnsi" w:eastAsia="Times New Roman" w:hAnsiTheme="majorHAnsi" w:cstheme="majorHAnsi"/>
          <w:b w:val="0"/>
          <w:bCs w:val="0"/>
          <w:spacing w:val="1"/>
          <w:sz w:val="24"/>
          <w:szCs w:val="24"/>
        </w:rPr>
        <w:t>% erau  pierderile de apă în rețea</w:t>
      </w:r>
      <w:r w:rsidR="00BE49FB" w:rsidRPr="00583C07">
        <w:rPr>
          <w:rFonts w:asciiTheme="majorHAnsi" w:eastAsia="Times New Roman" w:hAnsiTheme="majorHAnsi" w:cstheme="majorHAnsi"/>
          <w:b w:val="0"/>
          <w:bCs w:val="0"/>
          <w:spacing w:val="1"/>
          <w:sz w:val="24"/>
          <w:szCs w:val="24"/>
        </w:rPr>
        <w:t xml:space="preserve">. </w:t>
      </w:r>
      <w:r w:rsidR="00BC28D6" w:rsidRPr="00583C07">
        <w:rPr>
          <w:rFonts w:asciiTheme="majorHAnsi" w:eastAsia="Times New Roman" w:hAnsiTheme="majorHAnsi" w:cstheme="majorHAnsi"/>
          <w:b w:val="0"/>
          <w:bCs w:val="0"/>
          <w:spacing w:val="1"/>
          <w:sz w:val="24"/>
          <w:szCs w:val="24"/>
        </w:rPr>
        <w:t>În anul 2021 situația s-a îmbunătățit, din volumul de apă captat, 78,9% a fost furnizat, sau cu 10,6 p.p. mai mult față de anul 2016</w:t>
      </w:r>
      <w:r w:rsidR="00BE49FB" w:rsidRPr="008376FC">
        <w:rPr>
          <w:rFonts w:asciiTheme="majorHAnsi" w:eastAsia="Times New Roman" w:hAnsiTheme="majorHAnsi" w:cstheme="majorHAnsi"/>
          <w:b w:val="0"/>
          <w:bCs w:val="0"/>
          <w:spacing w:val="1"/>
          <w:sz w:val="24"/>
          <w:szCs w:val="24"/>
        </w:rPr>
        <w:t xml:space="preserve">, iar pierderile în rețea s-au diminuat până la </w:t>
      </w:r>
      <w:r w:rsidR="005C2812" w:rsidRPr="008376FC">
        <w:rPr>
          <w:rFonts w:asciiTheme="majorHAnsi" w:eastAsia="Times New Roman" w:hAnsiTheme="majorHAnsi" w:cstheme="majorHAnsi"/>
          <w:b w:val="0"/>
          <w:bCs w:val="0"/>
          <w:spacing w:val="1"/>
          <w:sz w:val="24"/>
          <w:szCs w:val="24"/>
        </w:rPr>
        <w:t>21,2</w:t>
      </w:r>
      <w:r w:rsidR="00BE49FB" w:rsidRPr="008376FC">
        <w:rPr>
          <w:rFonts w:asciiTheme="majorHAnsi" w:eastAsia="Times New Roman" w:hAnsiTheme="majorHAnsi" w:cstheme="majorHAnsi"/>
          <w:b w:val="0"/>
          <w:bCs w:val="0"/>
          <w:spacing w:val="1"/>
          <w:sz w:val="24"/>
          <w:szCs w:val="24"/>
        </w:rPr>
        <w:t xml:space="preserve">%, ceea ce continuă să fie un raport alarmant dacă facem trimitere la situația actuală a resurselor de apă care au devenit limitate cantitativ și calitativ, fapt care impune regiunile, dar și întreaga țară, să asimileze noțiunile de gestionare și valorificare prudentă, economă și eficientă a resurselor de apă disponibile. </w:t>
      </w:r>
    </w:p>
    <w:p w:rsidR="00BE49FB" w:rsidRPr="008376FC" w:rsidRDefault="00BE49FB" w:rsidP="00F61756">
      <w:pPr>
        <w:spacing w:after="0" w:line="276" w:lineRule="auto"/>
        <w:ind w:firstLine="720"/>
        <w:jc w:val="right"/>
        <w:rPr>
          <w:rFonts w:asciiTheme="majorHAnsi" w:eastAsia="Times New Roman" w:hAnsiTheme="majorHAnsi" w:cstheme="majorHAnsi"/>
          <w:bCs w:val="0"/>
          <w:spacing w:val="1"/>
          <w:sz w:val="20"/>
          <w:szCs w:val="20"/>
        </w:rPr>
      </w:pPr>
      <w:r w:rsidRPr="008376FC">
        <w:rPr>
          <w:rFonts w:asciiTheme="majorHAnsi" w:eastAsia="Times New Roman" w:hAnsiTheme="majorHAnsi" w:cstheme="majorHAnsi"/>
          <w:bCs w:val="0"/>
          <w:spacing w:val="1"/>
          <w:sz w:val="20"/>
          <w:szCs w:val="20"/>
        </w:rPr>
        <w:t>Figura nr. 1</w:t>
      </w:r>
      <w:r w:rsidR="005D4030" w:rsidRPr="008376FC">
        <w:rPr>
          <w:rFonts w:asciiTheme="majorHAnsi" w:eastAsia="Times New Roman" w:hAnsiTheme="majorHAnsi" w:cstheme="majorHAnsi"/>
          <w:bCs w:val="0"/>
          <w:spacing w:val="1"/>
          <w:sz w:val="20"/>
          <w:szCs w:val="20"/>
        </w:rPr>
        <w:t>7</w:t>
      </w:r>
    </w:p>
    <w:p w:rsidR="00BE49FB" w:rsidRPr="008376FC" w:rsidRDefault="00BE49FB" w:rsidP="00F61756">
      <w:pPr>
        <w:spacing w:after="0" w:line="276" w:lineRule="auto"/>
        <w:contextualSpacing/>
        <w:jc w:val="both"/>
        <w:rPr>
          <w:rFonts w:asciiTheme="majorHAnsi" w:eastAsia="Calibri" w:hAnsiTheme="majorHAnsi" w:cstheme="majorHAnsi"/>
          <w:b w:val="0"/>
          <w:bCs w:val="0"/>
          <w:noProof/>
          <w:sz w:val="24"/>
          <w:szCs w:val="24"/>
          <w:lang w:eastAsia="ru-RU"/>
        </w:rPr>
      </w:pPr>
      <w:r w:rsidRPr="008376FC">
        <w:rPr>
          <w:rFonts w:asciiTheme="majorHAnsi" w:eastAsia="Calibri" w:hAnsiTheme="majorHAnsi" w:cstheme="majorHAnsi"/>
          <w:b w:val="0"/>
          <w:bCs w:val="0"/>
          <w:noProof/>
          <w:sz w:val="24"/>
          <w:szCs w:val="24"/>
          <w:lang w:val="ru-RU" w:eastAsia="ru-RU"/>
        </w:rPr>
        <w:drawing>
          <wp:inline distT="0" distB="0" distL="0" distR="0">
            <wp:extent cx="6148019" cy="1953158"/>
            <wp:effectExtent l="19050" t="0" r="24181" b="8992"/>
            <wp:docPr id="24"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BE49FB" w:rsidRPr="002801E7" w:rsidRDefault="00BE49FB" w:rsidP="00F61756">
      <w:pPr>
        <w:tabs>
          <w:tab w:val="left" w:pos="851"/>
        </w:tabs>
        <w:spacing w:after="0" w:line="276" w:lineRule="auto"/>
        <w:ind w:left="567"/>
        <w:contextualSpacing/>
        <w:jc w:val="both"/>
        <w:rPr>
          <w:rFonts w:asciiTheme="majorHAnsi" w:eastAsia="Calibri" w:hAnsiTheme="majorHAnsi" w:cstheme="majorHAnsi"/>
          <w:b w:val="0"/>
          <w:bCs w:val="0"/>
          <w:i/>
          <w:noProof/>
          <w:sz w:val="20"/>
          <w:szCs w:val="20"/>
          <w:lang w:eastAsia="ru-RU"/>
        </w:rPr>
      </w:pPr>
      <w:r w:rsidRPr="002801E7">
        <w:rPr>
          <w:rFonts w:asciiTheme="majorHAnsi" w:eastAsia="Calibri" w:hAnsiTheme="majorHAnsi" w:cstheme="majorHAnsi"/>
          <w:bCs w:val="0"/>
          <w:i/>
          <w:noProof/>
          <w:sz w:val="20"/>
          <w:szCs w:val="20"/>
          <w:lang w:eastAsia="ru-RU"/>
        </w:rPr>
        <w:t>Sursa:</w:t>
      </w:r>
      <w:r w:rsidRPr="002801E7">
        <w:rPr>
          <w:rFonts w:asciiTheme="majorHAnsi" w:eastAsia="Calibri" w:hAnsiTheme="majorHAnsi" w:cstheme="majorHAnsi"/>
          <w:b w:val="0"/>
          <w:bCs w:val="0"/>
          <w:i/>
          <w:noProof/>
          <w:sz w:val="20"/>
          <w:szCs w:val="20"/>
          <w:lang w:eastAsia="ru-RU"/>
        </w:rPr>
        <w:t xml:space="preserve"> Date</w:t>
      </w:r>
      <w:r w:rsidR="004B7D5D">
        <w:rPr>
          <w:rFonts w:asciiTheme="majorHAnsi" w:eastAsia="Calibri" w:hAnsiTheme="majorHAnsi" w:cstheme="majorHAnsi"/>
          <w:b w:val="0"/>
          <w:bCs w:val="0"/>
          <w:i/>
          <w:noProof/>
          <w:sz w:val="20"/>
          <w:szCs w:val="20"/>
          <w:lang w:eastAsia="ru-RU"/>
        </w:rPr>
        <w:t xml:space="preserve"> oferite d</w:t>
      </w:r>
      <w:r w:rsidRPr="002801E7">
        <w:rPr>
          <w:rFonts w:asciiTheme="majorHAnsi" w:eastAsia="Calibri" w:hAnsiTheme="majorHAnsi" w:cstheme="majorHAnsi"/>
          <w:b w:val="0"/>
          <w:bCs w:val="0"/>
          <w:i/>
          <w:noProof/>
          <w:sz w:val="20"/>
          <w:szCs w:val="20"/>
          <w:lang w:eastAsia="ru-RU"/>
        </w:rPr>
        <w:t xml:space="preserve">e BNS. </w:t>
      </w:r>
    </w:p>
    <w:p w:rsidR="008A59CA" w:rsidRDefault="00BE49FB" w:rsidP="00F61756">
      <w:pPr>
        <w:spacing w:before="120" w:after="0" w:line="276" w:lineRule="auto"/>
        <w:jc w:val="both"/>
        <w:rPr>
          <w:rFonts w:asciiTheme="majorHAnsi" w:eastAsia="Times New Roman" w:hAnsiTheme="majorHAnsi" w:cstheme="majorHAnsi"/>
          <w:b w:val="0"/>
          <w:bCs w:val="0"/>
          <w:spacing w:val="1"/>
          <w:sz w:val="24"/>
          <w:szCs w:val="24"/>
        </w:rPr>
      </w:pPr>
      <w:r w:rsidRPr="008376FC">
        <w:rPr>
          <w:rFonts w:asciiTheme="majorHAnsi" w:eastAsia="Times New Roman" w:hAnsiTheme="majorHAnsi" w:cstheme="majorHAnsi"/>
          <w:b w:val="0"/>
          <w:bCs w:val="0"/>
          <w:spacing w:val="1"/>
          <w:sz w:val="24"/>
          <w:szCs w:val="24"/>
        </w:rPr>
        <w:t>Situația pe raioane este și mai gravă, și anume la întreprinderile unde pierderile de apă</w:t>
      </w:r>
      <w:r w:rsidRPr="008376FC">
        <w:rPr>
          <w:rFonts w:asciiTheme="majorHAnsi" w:eastAsia="Times New Roman" w:hAnsiTheme="majorHAnsi" w:cstheme="majorHAnsi"/>
          <w:b w:val="0"/>
          <w:bCs w:val="0"/>
          <w:spacing w:val="1"/>
          <w:sz w:val="24"/>
          <w:szCs w:val="24"/>
          <w:vertAlign w:val="superscript"/>
        </w:rPr>
        <w:footnoteReference w:id="77"/>
      </w:r>
      <w:r w:rsidR="004B7D5D">
        <w:rPr>
          <w:rFonts w:asciiTheme="majorHAnsi" w:eastAsia="Times New Roman" w:hAnsiTheme="majorHAnsi" w:cstheme="majorHAnsi"/>
          <w:b w:val="0"/>
          <w:bCs w:val="0"/>
          <w:spacing w:val="1"/>
          <w:sz w:val="24"/>
          <w:szCs w:val="24"/>
        </w:rPr>
        <w:t>,</w:t>
      </w:r>
      <w:r w:rsidRPr="008376FC">
        <w:rPr>
          <w:rFonts w:asciiTheme="majorHAnsi" w:eastAsia="Times New Roman" w:hAnsiTheme="majorHAnsi" w:cstheme="majorHAnsi"/>
          <w:b w:val="0"/>
          <w:bCs w:val="0"/>
          <w:spacing w:val="1"/>
          <w:sz w:val="24"/>
          <w:szCs w:val="24"/>
        </w:rPr>
        <w:t xml:space="preserve"> la finele anului 2021</w:t>
      </w:r>
      <w:r w:rsidR="004B7D5D">
        <w:rPr>
          <w:rFonts w:asciiTheme="majorHAnsi" w:eastAsia="Times New Roman" w:hAnsiTheme="majorHAnsi" w:cstheme="majorHAnsi"/>
          <w:b w:val="0"/>
          <w:bCs w:val="0"/>
          <w:spacing w:val="1"/>
          <w:sz w:val="24"/>
          <w:szCs w:val="24"/>
        </w:rPr>
        <w:t>,erau</w:t>
      </w:r>
      <w:r w:rsidRPr="008376FC">
        <w:rPr>
          <w:rFonts w:asciiTheme="majorHAnsi" w:eastAsia="Times New Roman" w:hAnsiTheme="majorHAnsi" w:cstheme="majorHAnsi"/>
          <w:b w:val="0"/>
          <w:bCs w:val="0"/>
          <w:spacing w:val="1"/>
          <w:sz w:val="24"/>
          <w:szCs w:val="24"/>
        </w:rPr>
        <w:t xml:space="preserve"> de peste 50%: Bălți (62,0%), Edineț (53,0%). O situație mai bună se atestă în raioanele Soroca (5,0%), Ialoveni (2,0%), Ștefan Vodă (5,0%), Cantemir (3,0%), Dubăsari (8,0%), Telenești (9,0%), la care pierderile de apă variază între 2 și 10% din volumul real captat și furnizat. În celelalte raioane, pierderile de apă variază între 11,0% și 62,0%. </w:t>
      </w:r>
      <w:r w:rsidR="00D073C7" w:rsidRPr="008376FC">
        <w:rPr>
          <w:rFonts w:asciiTheme="majorHAnsi" w:eastAsia="Times New Roman" w:hAnsiTheme="majorHAnsi" w:cstheme="majorHAnsi"/>
          <w:b w:val="0"/>
          <w:bCs w:val="0"/>
          <w:spacing w:val="1"/>
          <w:sz w:val="24"/>
          <w:szCs w:val="24"/>
        </w:rPr>
        <w:t xml:space="preserve">                  </w:t>
      </w:r>
    </w:p>
    <w:p w:rsidR="002801E7" w:rsidRDefault="008A59CA" w:rsidP="00F61756">
      <w:pPr>
        <w:spacing w:before="120" w:after="0" w:line="276" w:lineRule="auto"/>
        <w:jc w:val="right"/>
        <w:rPr>
          <w:rFonts w:asciiTheme="majorHAnsi" w:eastAsia="Times New Roman" w:hAnsiTheme="majorHAnsi" w:cstheme="majorHAnsi"/>
          <w:bCs w:val="0"/>
          <w:spacing w:val="1"/>
          <w:sz w:val="20"/>
          <w:szCs w:val="20"/>
        </w:rPr>
      </w:pPr>
      <w:r w:rsidRPr="008376FC">
        <w:rPr>
          <w:rFonts w:asciiTheme="majorHAnsi" w:eastAsia="Times New Roman" w:hAnsiTheme="majorHAnsi" w:cstheme="majorHAnsi"/>
          <w:bCs w:val="0"/>
          <w:noProof/>
          <w:sz w:val="20"/>
          <w:szCs w:val="20"/>
          <w:shd w:val="clear" w:color="auto" w:fill="FF0000"/>
          <w:lang w:val="ru-RU" w:eastAsia="ru-RU"/>
        </w:rPr>
        <w:drawing>
          <wp:anchor distT="0" distB="0" distL="114300" distR="114300" simplePos="0" relativeHeight="251654144" behindDoc="0" locked="0" layoutInCell="1" allowOverlap="1">
            <wp:simplePos x="0" y="0"/>
            <wp:positionH relativeFrom="page">
              <wp:posOffset>1097280</wp:posOffset>
            </wp:positionH>
            <wp:positionV relativeFrom="paragraph">
              <wp:posOffset>380365</wp:posOffset>
            </wp:positionV>
            <wp:extent cx="6135370" cy="1872615"/>
            <wp:effectExtent l="19050" t="0" r="17780" b="0"/>
            <wp:wrapTopAndBottom/>
            <wp:docPr id="1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anchor>
        </w:drawing>
      </w:r>
      <w:r w:rsidR="00D073C7" w:rsidRPr="008376FC">
        <w:rPr>
          <w:rFonts w:asciiTheme="majorHAnsi" w:eastAsia="Times New Roman" w:hAnsiTheme="majorHAnsi" w:cstheme="majorHAnsi"/>
          <w:b w:val="0"/>
          <w:bCs w:val="0"/>
          <w:spacing w:val="1"/>
          <w:sz w:val="24"/>
          <w:szCs w:val="24"/>
        </w:rPr>
        <w:t xml:space="preserve">             </w:t>
      </w:r>
      <w:r w:rsidR="00D073C7" w:rsidRPr="008376FC">
        <w:rPr>
          <w:rFonts w:asciiTheme="majorHAnsi" w:eastAsia="Times New Roman" w:hAnsiTheme="majorHAnsi" w:cstheme="majorHAnsi"/>
          <w:bCs w:val="0"/>
          <w:spacing w:val="1"/>
          <w:sz w:val="20"/>
          <w:szCs w:val="20"/>
        </w:rPr>
        <w:t>Figura nr. 18</w:t>
      </w:r>
    </w:p>
    <w:p w:rsidR="00BE49FB" w:rsidRDefault="008B0E0F" w:rsidP="00F61756">
      <w:pPr>
        <w:spacing w:after="0" w:line="276" w:lineRule="auto"/>
        <w:ind w:firstLine="709"/>
        <w:jc w:val="both"/>
        <w:rPr>
          <w:rFonts w:asciiTheme="majorHAnsi" w:eastAsia="Times New Roman" w:hAnsiTheme="majorHAnsi" w:cstheme="majorHAnsi"/>
          <w:b w:val="0"/>
          <w:bCs w:val="0"/>
          <w:i/>
          <w:spacing w:val="1"/>
          <w:sz w:val="20"/>
          <w:szCs w:val="20"/>
        </w:rPr>
      </w:pPr>
      <w:r w:rsidRPr="008A59CA">
        <w:rPr>
          <w:rFonts w:asciiTheme="majorHAnsi" w:eastAsia="Times New Roman" w:hAnsiTheme="majorHAnsi" w:cstheme="majorHAnsi"/>
          <w:bCs w:val="0"/>
          <w:i/>
          <w:spacing w:val="1"/>
          <w:sz w:val="20"/>
          <w:szCs w:val="20"/>
        </w:rPr>
        <w:t>S</w:t>
      </w:r>
      <w:r w:rsidR="00BE49FB" w:rsidRPr="008A59CA">
        <w:rPr>
          <w:rFonts w:asciiTheme="majorHAnsi" w:eastAsia="Times New Roman" w:hAnsiTheme="majorHAnsi" w:cstheme="majorHAnsi"/>
          <w:bCs w:val="0"/>
          <w:i/>
          <w:spacing w:val="1"/>
          <w:sz w:val="20"/>
          <w:szCs w:val="20"/>
        </w:rPr>
        <w:t>ursa:</w:t>
      </w:r>
      <w:r w:rsidR="00BE49FB" w:rsidRPr="008A59CA">
        <w:rPr>
          <w:rFonts w:asciiTheme="majorHAnsi" w:eastAsia="Times New Roman" w:hAnsiTheme="majorHAnsi" w:cstheme="majorHAnsi"/>
          <w:b w:val="0"/>
          <w:bCs w:val="0"/>
          <w:i/>
          <w:spacing w:val="1"/>
          <w:sz w:val="20"/>
          <w:szCs w:val="20"/>
        </w:rPr>
        <w:t xml:space="preserve"> Date</w:t>
      </w:r>
      <w:r w:rsidR="00C16A35">
        <w:rPr>
          <w:rFonts w:asciiTheme="majorHAnsi" w:eastAsia="Times New Roman" w:hAnsiTheme="majorHAnsi" w:cstheme="majorHAnsi"/>
          <w:b w:val="0"/>
          <w:bCs w:val="0"/>
          <w:i/>
          <w:spacing w:val="1"/>
          <w:sz w:val="20"/>
          <w:szCs w:val="20"/>
        </w:rPr>
        <w:t xml:space="preserve"> oferite de</w:t>
      </w:r>
      <w:r w:rsidR="00BE49FB" w:rsidRPr="008A59CA">
        <w:rPr>
          <w:rFonts w:asciiTheme="majorHAnsi" w:eastAsia="Times New Roman" w:hAnsiTheme="majorHAnsi" w:cstheme="majorHAnsi"/>
          <w:b w:val="0"/>
          <w:bCs w:val="0"/>
          <w:i/>
          <w:spacing w:val="1"/>
          <w:sz w:val="20"/>
          <w:szCs w:val="20"/>
        </w:rPr>
        <w:t xml:space="preserve"> BNS.</w:t>
      </w:r>
    </w:p>
    <w:p w:rsidR="00724D50" w:rsidRPr="008A59CA" w:rsidRDefault="00724D50" w:rsidP="00F61756">
      <w:pPr>
        <w:spacing w:after="0" w:line="276" w:lineRule="auto"/>
        <w:ind w:firstLine="709"/>
        <w:jc w:val="both"/>
        <w:rPr>
          <w:rFonts w:asciiTheme="majorHAnsi" w:eastAsia="Times New Roman" w:hAnsiTheme="majorHAnsi" w:cstheme="majorHAnsi"/>
          <w:b w:val="0"/>
          <w:bCs w:val="0"/>
          <w:i/>
          <w:spacing w:val="1"/>
          <w:sz w:val="20"/>
          <w:szCs w:val="20"/>
        </w:rPr>
      </w:pPr>
    </w:p>
    <w:p w:rsidR="00D0523F" w:rsidRPr="008376FC" w:rsidRDefault="00BE49FB" w:rsidP="00F61756">
      <w:pPr>
        <w:spacing w:after="0" w:line="276" w:lineRule="auto"/>
        <w:jc w:val="both"/>
        <w:rPr>
          <w:rFonts w:asciiTheme="majorHAnsi" w:eastAsia="Times New Roman" w:hAnsiTheme="majorHAnsi" w:cstheme="majorHAnsi"/>
          <w:b w:val="0"/>
          <w:bCs w:val="0"/>
          <w:spacing w:val="1"/>
          <w:sz w:val="24"/>
          <w:szCs w:val="24"/>
        </w:rPr>
      </w:pPr>
      <w:r w:rsidRPr="008376FC">
        <w:rPr>
          <w:rFonts w:asciiTheme="majorHAnsi" w:eastAsia="Times New Roman" w:hAnsiTheme="majorHAnsi" w:cstheme="majorHAnsi"/>
          <w:b w:val="0"/>
          <w:bCs w:val="0"/>
          <w:spacing w:val="1"/>
          <w:sz w:val="24"/>
          <w:szCs w:val="24"/>
        </w:rPr>
        <w:t xml:space="preserve">De menționat că, </w:t>
      </w:r>
      <w:r w:rsidR="00C16A35">
        <w:rPr>
          <w:rFonts w:asciiTheme="majorHAnsi" w:eastAsia="Times New Roman" w:hAnsiTheme="majorHAnsi" w:cstheme="majorHAnsi"/>
          <w:b w:val="0"/>
          <w:bCs w:val="0"/>
          <w:spacing w:val="1"/>
          <w:sz w:val="24"/>
          <w:szCs w:val="24"/>
        </w:rPr>
        <w:t>în</w:t>
      </w:r>
      <w:r w:rsidRPr="008376FC">
        <w:rPr>
          <w:rFonts w:asciiTheme="majorHAnsi" w:eastAsia="Times New Roman" w:hAnsiTheme="majorHAnsi" w:cstheme="majorHAnsi"/>
          <w:b w:val="0"/>
          <w:bCs w:val="0"/>
          <w:spacing w:val="1"/>
          <w:sz w:val="24"/>
          <w:szCs w:val="24"/>
        </w:rPr>
        <w:t xml:space="preserve"> urma măsurilor întreprin</w:t>
      </w:r>
      <w:r w:rsidR="00C16A35">
        <w:rPr>
          <w:rFonts w:asciiTheme="majorHAnsi" w:eastAsia="Times New Roman" w:hAnsiTheme="majorHAnsi" w:cstheme="majorHAnsi"/>
          <w:b w:val="0"/>
          <w:bCs w:val="0"/>
          <w:spacing w:val="1"/>
          <w:sz w:val="24"/>
          <w:szCs w:val="24"/>
        </w:rPr>
        <w:t>s</w:t>
      </w:r>
      <w:r w:rsidRPr="008376FC">
        <w:rPr>
          <w:rFonts w:asciiTheme="majorHAnsi" w:eastAsia="Times New Roman" w:hAnsiTheme="majorHAnsi" w:cstheme="majorHAnsi"/>
          <w:b w:val="0"/>
          <w:bCs w:val="0"/>
          <w:spacing w:val="1"/>
          <w:sz w:val="24"/>
          <w:szCs w:val="24"/>
        </w:rPr>
        <w:t xml:space="preserve">e pentru reducerea pierderilor în rețea, </w:t>
      </w:r>
      <w:r w:rsidR="00C16A35">
        <w:rPr>
          <w:rFonts w:asciiTheme="majorHAnsi" w:eastAsia="Times New Roman" w:hAnsiTheme="majorHAnsi" w:cstheme="majorHAnsi"/>
          <w:b w:val="0"/>
          <w:bCs w:val="0"/>
          <w:spacing w:val="1"/>
          <w:sz w:val="24"/>
          <w:szCs w:val="24"/>
        </w:rPr>
        <w:t>în</w:t>
      </w:r>
      <w:r w:rsidRPr="008376FC">
        <w:rPr>
          <w:rFonts w:asciiTheme="majorHAnsi" w:eastAsia="Times New Roman" w:hAnsiTheme="majorHAnsi" w:cstheme="majorHAnsi"/>
          <w:b w:val="0"/>
          <w:bCs w:val="0"/>
          <w:spacing w:val="1"/>
          <w:sz w:val="24"/>
          <w:szCs w:val="24"/>
        </w:rPr>
        <w:t xml:space="preserve"> unele raioane pierderile de apă s-au diminuat. </w:t>
      </w:r>
      <w:r w:rsidR="00BC28D6" w:rsidRPr="00583C07">
        <w:rPr>
          <w:rFonts w:asciiTheme="majorHAnsi" w:eastAsia="Times New Roman" w:hAnsiTheme="majorHAnsi" w:cstheme="majorHAnsi"/>
          <w:b w:val="0"/>
          <w:bCs w:val="0"/>
          <w:spacing w:val="1"/>
          <w:sz w:val="24"/>
          <w:szCs w:val="24"/>
        </w:rPr>
        <w:t>Astfel, operatorii din Drochia au diminuat pierderile cu (-16%),  Edineț (-27%), Falești (-2%), Florești (-1%), Râșcani  (-2%), Sângerei (-6%), Soroca (-4%), Anenii Noi (-10%), Călărați (-14%), Nisporeni (-4%), Rezina (-15%), Strășeni (-13%), Telenești (-6%), Ungheni (-17%), Basarabeasca (-1%), Cahul (-9%), Cantemir (-12%), Căușeni (-12%), Leova (-1%), Ștefan Vodă (-2%), mun.Chișinău (-18%). Totodată, în perioada 2016-2021, în unele raioane pierderile au înregistrat tendințe de creștere. Asrfel, la Bălți acestea au crescut față de anul 2016 cu (+13%), Briceni (+7%), Dondușeni (+8%), Hâncești (+8%), Șoldănești (+9%), Cimișlia (+3%), Taraclia (+5%) și UAT Găgăuzia (+2%).</w:t>
      </w:r>
      <w:r w:rsidR="00D0523F" w:rsidRPr="008376FC">
        <w:rPr>
          <w:rFonts w:asciiTheme="majorHAnsi" w:eastAsia="Times New Roman" w:hAnsiTheme="majorHAnsi" w:cstheme="majorHAnsi"/>
          <w:b w:val="0"/>
          <w:bCs w:val="0"/>
          <w:spacing w:val="1"/>
          <w:sz w:val="24"/>
          <w:szCs w:val="24"/>
        </w:rPr>
        <w:t xml:space="preserve"> </w:t>
      </w:r>
    </w:p>
    <w:p w:rsidR="00E0741B" w:rsidRPr="008376FC" w:rsidRDefault="00D0523F" w:rsidP="00F61756">
      <w:pPr>
        <w:spacing w:after="0" w:line="276" w:lineRule="auto"/>
        <w:ind w:firstLine="709"/>
        <w:jc w:val="both"/>
        <w:rPr>
          <w:rFonts w:asciiTheme="majorHAnsi" w:eastAsia="Times New Roman" w:hAnsiTheme="majorHAnsi" w:cstheme="majorHAnsi"/>
          <w:b w:val="0"/>
          <w:bCs w:val="0"/>
          <w:spacing w:val="1"/>
          <w:sz w:val="24"/>
          <w:szCs w:val="24"/>
        </w:rPr>
      </w:pPr>
      <w:r w:rsidRPr="008376FC">
        <w:rPr>
          <w:rFonts w:asciiTheme="majorHAnsi" w:eastAsia="Times New Roman" w:hAnsiTheme="majorHAnsi" w:cstheme="majorHAnsi"/>
          <w:b w:val="0"/>
          <w:bCs w:val="0"/>
          <w:spacing w:val="1"/>
          <w:sz w:val="24"/>
          <w:szCs w:val="24"/>
        </w:rPr>
        <w:t>Mai jos se prezintă situația cu privire la volumele pierderilor de apă înregistrare în anii 2016</w:t>
      </w:r>
      <w:r w:rsidR="00C16A35">
        <w:rPr>
          <w:rFonts w:asciiTheme="majorHAnsi" w:eastAsia="Times New Roman" w:hAnsiTheme="majorHAnsi" w:cstheme="majorHAnsi"/>
          <w:b w:val="0"/>
          <w:bCs w:val="0"/>
          <w:spacing w:val="1"/>
          <w:sz w:val="24"/>
          <w:szCs w:val="24"/>
        </w:rPr>
        <w:t>-</w:t>
      </w:r>
      <w:r w:rsidRPr="008376FC">
        <w:rPr>
          <w:rFonts w:asciiTheme="majorHAnsi" w:eastAsia="Times New Roman" w:hAnsiTheme="majorHAnsi" w:cstheme="majorHAnsi"/>
          <w:b w:val="0"/>
          <w:bCs w:val="0"/>
          <w:spacing w:val="1"/>
          <w:sz w:val="24"/>
          <w:szCs w:val="24"/>
        </w:rPr>
        <w:t xml:space="preserve">2021.  </w:t>
      </w:r>
    </w:p>
    <w:p w:rsidR="00243F26" w:rsidRPr="008376FC" w:rsidRDefault="00D0523F" w:rsidP="00F61756">
      <w:pPr>
        <w:spacing w:after="0" w:line="276" w:lineRule="auto"/>
        <w:ind w:firstLine="709"/>
        <w:jc w:val="right"/>
        <w:rPr>
          <w:rFonts w:asciiTheme="majorHAnsi" w:eastAsia="Times New Roman" w:hAnsiTheme="majorHAnsi" w:cstheme="majorHAnsi"/>
          <w:bCs w:val="0"/>
          <w:spacing w:val="1"/>
          <w:sz w:val="20"/>
          <w:szCs w:val="20"/>
        </w:rPr>
      </w:pPr>
      <w:r w:rsidRPr="008376FC">
        <w:rPr>
          <w:rFonts w:asciiTheme="majorHAnsi" w:eastAsia="Times New Roman" w:hAnsiTheme="majorHAnsi" w:cstheme="majorHAnsi"/>
          <w:bCs w:val="0"/>
          <w:spacing w:val="1"/>
          <w:sz w:val="20"/>
          <w:szCs w:val="20"/>
        </w:rPr>
        <w:t>Figura nr. 19</w:t>
      </w:r>
    </w:p>
    <w:p w:rsidR="00243F26" w:rsidRPr="008376FC" w:rsidRDefault="00243F26" w:rsidP="00F61756">
      <w:pPr>
        <w:spacing w:after="0" w:line="276" w:lineRule="auto"/>
        <w:jc w:val="right"/>
        <w:rPr>
          <w:rFonts w:asciiTheme="majorHAnsi" w:eastAsia="Times New Roman" w:hAnsiTheme="majorHAnsi" w:cstheme="majorHAnsi"/>
          <w:bCs w:val="0"/>
          <w:spacing w:val="1"/>
          <w:sz w:val="24"/>
          <w:szCs w:val="24"/>
        </w:rPr>
      </w:pPr>
      <w:r w:rsidRPr="008376FC">
        <w:rPr>
          <w:rFonts w:asciiTheme="majorHAnsi" w:eastAsia="Times New Roman" w:hAnsiTheme="majorHAnsi" w:cstheme="majorHAnsi"/>
          <w:bCs w:val="0"/>
          <w:noProof/>
          <w:spacing w:val="1"/>
          <w:sz w:val="24"/>
          <w:szCs w:val="24"/>
          <w:lang w:val="ru-RU" w:eastAsia="ru-RU"/>
        </w:rPr>
        <w:drawing>
          <wp:inline distT="0" distB="0" distL="0" distR="0">
            <wp:extent cx="6268085" cy="1893277"/>
            <wp:effectExtent l="0" t="0" r="18415" b="12065"/>
            <wp:docPr id="6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D0523F" w:rsidRPr="008A59CA" w:rsidRDefault="005E5D0D" w:rsidP="00F61756">
      <w:pPr>
        <w:spacing w:after="0" w:line="276" w:lineRule="auto"/>
        <w:ind w:firstLine="709"/>
        <w:rPr>
          <w:rFonts w:asciiTheme="majorHAnsi" w:eastAsia="Times New Roman" w:hAnsiTheme="majorHAnsi" w:cstheme="majorHAnsi"/>
          <w:b w:val="0"/>
          <w:bCs w:val="0"/>
          <w:i/>
          <w:spacing w:val="1"/>
          <w:sz w:val="20"/>
          <w:szCs w:val="20"/>
        </w:rPr>
      </w:pPr>
      <w:r w:rsidRPr="008A59CA">
        <w:rPr>
          <w:rFonts w:asciiTheme="majorHAnsi" w:eastAsia="Times New Roman" w:hAnsiTheme="majorHAnsi" w:cstheme="majorHAnsi"/>
          <w:bCs w:val="0"/>
          <w:i/>
          <w:spacing w:val="1"/>
          <w:sz w:val="20"/>
          <w:szCs w:val="20"/>
        </w:rPr>
        <w:t>Sursa:</w:t>
      </w:r>
      <w:r w:rsidRPr="008A59CA">
        <w:rPr>
          <w:rFonts w:asciiTheme="majorHAnsi" w:eastAsia="Times New Roman" w:hAnsiTheme="majorHAnsi" w:cstheme="majorHAnsi"/>
          <w:b w:val="0"/>
          <w:bCs w:val="0"/>
          <w:i/>
          <w:spacing w:val="1"/>
          <w:sz w:val="20"/>
          <w:szCs w:val="20"/>
        </w:rPr>
        <w:t xml:space="preserve"> Date</w:t>
      </w:r>
      <w:r w:rsidR="00C16A35">
        <w:rPr>
          <w:rFonts w:asciiTheme="majorHAnsi" w:eastAsia="Times New Roman" w:hAnsiTheme="majorHAnsi" w:cstheme="majorHAnsi"/>
          <w:b w:val="0"/>
          <w:bCs w:val="0"/>
          <w:i/>
          <w:spacing w:val="1"/>
          <w:sz w:val="20"/>
          <w:szCs w:val="20"/>
        </w:rPr>
        <w:t xml:space="preserve"> oferite d</w:t>
      </w:r>
      <w:r w:rsidRPr="008A59CA">
        <w:rPr>
          <w:rFonts w:asciiTheme="majorHAnsi" w:eastAsia="Times New Roman" w:hAnsiTheme="majorHAnsi" w:cstheme="majorHAnsi"/>
          <w:b w:val="0"/>
          <w:bCs w:val="0"/>
          <w:i/>
          <w:spacing w:val="1"/>
          <w:sz w:val="20"/>
          <w:szCs w:val="20"/>
        </w:rPr>
        <w:t>e BNS.</w:t>
      </w:r>
    </w:p>
    <w:p w:rsidR="00D0523F" w:rsidRDefault="00D0523F" w:rsidP="00F61756">
      <w:pPr>
        <w:spacing w:after="0" w:line="276" w:lineRule="auto"/>
        <w:ind w:firstLine="709"/>
        <w:jc w:val="right"/>
        <w:rPr>
          <w:rFonts w:asciiTheme="majorHAnsi" w:eastAsia="Times New Roman" w:hAnsiTheme="majorHAnsi" w:cstheme="majorHAnsi"/>
          <w:b w:val="0"/>
          <w:bCs w:val="0"/>
          <w:spacing w:val="1"/>
          <w:sz w:val="24"/>
          <w:szCs w:val="24"/>
        </w:rPr>
      </w:pPr>
    </w:p>
    <w:p w:rsidR="00355A82" w:rsidRPr="00D327FA" w:rsidRDefault="00355A82" w:rsidP="00F61756">
      <w:pPr>
        <w:spacing w:after="0" w:line="276" w:lineRule="auto"/>
        <w:jc w:val="both"/>
        <w:rPr>
          <w:rFonts w:asciiTheme="majorHAnsi" w:eastAsia="Times New Roman" w:hAnsiTheme="majorHAnsi" w:cstheme="majorHAnsi"/>
          <w:b w:val="0"/>
          <w:bCs w:val="0"/>
          <w:spacing w:val="1"/>
          <w:sz w:val="24"/>
          <w:szCs w:val="24"/>
        </w:rPr>
      </w:pPr>
      <w:r w:rsidRPr="00D327FA">
        <w:rPr>
          <w:rFonts w:asciiTheme="majorHAnsi" w:eastAsia="Times New Roman" w:hAnsiTheme="majorHAnsi" w:cstheme="majorHAnsi"/>
          <w:b w:val="0"/>
          <w:bCs w:val="0"/>
          <w:spacing w:val="1"/>
          <w:sz w:val="24"/>
          <w:szCs w:val="24"/>
        </w:rPr>
        <w:t>Analiza pierderilor de apă generate de S.A. „Ap</w:t>
      </w:r>
      <w:r w:rsidR="00354ECD" w:rsidRPr="00D327FA">
        <w:rPr>
          <w:rFonts w:asciiTheme="majorHAnsi" w:eastAsia="Times New Roman" w:hAnsiTheme="majorHAnsi" w:cstheme="majorHAnsi"/>
          <w:b w:val="0"/>
          <w:bCs w:val="0"/>
          <w:spacing w:val="1"/>
          <w:sz w:val="24"/>
          <w:szCs w:val="24"/>
        </w:rPr>
        <w:t>ă-</w:t>
      </w:r>
      <w:r w:rsidRPr="00D327FA">
        <w:rPr>
          <w:rFonts w:asciiTheme="majorHAnsi" w:eastAsia="Times New Roman" w:hAnsiTheme="majorHAnsi" w:cstheme="majorHAnsi"/>
          <w:b w:val="0"/>
          <w:bCs w:val="0"/>
          <w:spacing w:val="1"/>
          <w:sz w:val="24"/>
          <w:szCs w:val="24"/>
        </w:rPr>
        <w:t>Canal Chișinău” în anii 2019-2021 a rel</w:t>
      </w:r>
      <w:r w:rsidR="00354ECD" w:rsidRPr="00D327FA">
        <w:rPr>
          <w:rFonts w:asciiTheme="majorHAnsi" w:eastAsia="Times New Roman" w:hAnsiTheme="majorHAnsi" w:cstheme="majorHAnsi"/>
          <w:b w:val="0"/>
          <w:bCs w:val="0"/>
          <w:spacing w:val="1"/>
          <w:sz w:val="24"/>
          <w:szCs w:val="24"/>
        </w:rPr>
        <w:t>evat</w:t>
      </w:r>
      <w:r w:rsidRPr="00D327FA">
        <w:rPr>
          <w:rFonts w:asciiTheme="majorHAnsi" w:eastAsia="Times New Roman" w:hAnsiTheme="majorHAnsi" w:cstheme="majorHAnsi"/>
          <w:b w:val="0"/>
          <w:bCs w:val="0"/>
          <w:spacing w:val="1"/>
          <w:sz w:val="24"/>
          <w:szCs w:val="24"/>
        </w:rPr>
        <w:t xml:space="preserve"> că pierderile efective depășesc cu mult cele aprobate de ANRE, în anul 2019 pierderile reale constituind 20,01%, de ANRE fiind aprobate pentru includere în tarif 10,94%</w:t>
      </w:r>
      <w:r w:rsidR="001A40CD" w:rsidRPr="00D327FA">
        <w:rPr>
          <w:rFonts w:asciiTheme="majorHAnsi" w:eastAsia="Times New Roman" w:hAnsiTheme="majorHAnsi" w:cstheme="majorHAnsi"/>
          <w:b w:val="0"/>
          <w:bCs w:val="0"/>
          <w:spacing w:val="1"/>
          <w:sz w:val="24"/>
          <w:szCs w:val="24"/>
        </w:rPr>
        <w:t>,</w:t>
      </w:r>
      <w:r w:rsidRPr="00D327FA">
        <w:rPr>
          <w:rFonts w:asciiTheme="majorHAnsi" w:eastAsia="Times New Roman" w:hAnsiTheme="majorHAnsi" w:cstheme="majorHAnsi"/>
          <w:b w:val="0"/>
          <w:bCs w:val="0"/>
          <w:spacing w:val="1"/>
          <w:sz w:val="24"/>
          <w:szCs w:val="24"/>
        </w:rPr>
        <w:t xml:space="preserve"> sau cu 9,06% mai puțin, în anul 2020 – pierderile de apă reale au constituit 23,9%, fiind acceptate de ANRE doar 17,68%</w:t>
      </w:r>
      <w:r w:rsidR="001A40CD" w:rsidRPr="00D327FA">
        <w:rPr>
          <w:rFonts w:asciiTheme="majorHAnsi" w:eastAsia="Times New Roman" w:hAnsiTheme="majorHAnsi" w:cstheme="majorHAnsi"/>
          <w:b w:val="0"/>
          <w:bCs w:val="0"/>
          <w:spacing w:val="1"/>
          <w:sz w:val="24"/>
          <w:szCs w:val="24"/>
        </w:rPr>
        <w:t>,</w:t>
      </w:r>
      <w:r w:rsidRPr="00D327FA">
        <w:rPr>
          <w:rFonts w:asciiTheme="majorHAnsi" w:eastAsia="Times New Roman" w:hAnsiTheme="majorHAnsi" w:cstheme="majorHAnsi"/>
          <w:b w:val="0"/>
          <w:bCs w:val="0"/>
          <w:spacing w:val="1"/>
          <w:sz w:val="24"/>
          <w:szCs w:val="24"/>
        </w:rPr>
        <w:t xml:space="preserve"> sau cu 6,29% mai puțin, în anul 2021 pierderile efective au constituit 22,05%, de ANRE fiind aprobate 17,69%</w:t>
      </w:r>
      <w:r w:rsidR="001A40CD" w:rsidRPr="00D327FA">
        <w:rPr>
          <w:rFonts w:asciiTheme="majorHAnsi" w:eastAsia="Times New Roman" w:hAnsiTheme="majorHAnsi" w:cstheme="majorHAnsi"/>
          <w:b w:val="0"/>
          <w:bCs w:val="0"/>
          <w:spacing w:val="1"/>
          <w:sz w:val="24"/>
          <w:szCs w:val="24"/>
        </w:rPr>
        <w:t>,</w:t>
      </w:r>
      <w:r w:rsidRPr="00D327FA">
        <w:rPr>
          <w:rFonts w:asciiTheme="majorHAnsi" w:eastAsia="Times New Roman" w:hAnsiTheme="majorHAnsi" w:cstheme="majorHAnsi"/>
          <w:b w:val="0"/>
          <w:bCs w:val="0"/>
          <w:spacing w:val="1"/>
          <w:sz w:val="24"/>
          <w:szCs w:val="24"/>
        </w:rPr>
        <w:t xml:space="preserve"> sau cu 4,37% mai puțin. Detaliile sunt prezentate în Anexa nr.21 la prezentul Raport de audit.</w:t>
      </w:r>
    </w:p>
    <w:p w:rsidR="0088086E" w:rsidRPr="00D327FA" w:rsidRDefault="0088086E" w:rsidP="00F61756">
      <w:pPr>
        <w:pStyle w:val="af1"/>
        <w:shd w:val="clear" w:color="auto" w:fill="FFFFFF"/>
        <w:spacing w:line="276" w:lineRule="auto"/>
        <w:ind w:firstLine="0"/>
        <w:rPr>
          <w:rFonts w:asciiTheme="majorHAnsi" w:eastAsiaTheme="minorHAnsi" w:hAnsiTheme="majorHAnsi" w:cstheme="majorHAnsi"/>
        </w:rPr>
      </w:pPr>
    </w:p>
    <w:p w:rsidR="0088086E" w:rsidRPr="00D327FA" w:rsidRDefault="00355A82" w:rsidP="00F61756">
      <w:pPr>
        <w:pStyle w:val="af1"/>
        <w:shd w:val="clear" w:color="auto" w:fill="FFFFFF"/>
        <w:spacing w:line="276" w:lineRule="auto"/>
        <w:ind w:firstLine="0"/>
        <w:rPr>
          <w:rFonts w:asciiTheme="majorHAnsi" w:hAnsiTheme="majorHAnsi" w:cstheme="majorHAnsi"/>
          <w:bCs/>
          <w:i/>
          <w:spacing w:val="1"/>
        </w:rPr>
      </w:pPr>
      <w:r w:rsidRPr="00D327FA">
        <w:rPr>
          <w:rFonts w:asciiTheme="majorHAnsi" w:hAnsiTheme="majorHAnsi" w:cstheme="majorHAnsi"/>
          <w:bCs/>
          <w:spacing w:val="1"/>
        </w:rPr>
        <w:t>Totodată, conform informațiilor parvenite de la unii operatori</w:t>
      </w:r>
      <w:r w:rsidRPr="00D327FA">
        <w:rPr>
          <w:rStyle w:val="ab"/>
          <w:rFonts w:asciiTheme="majorHAnsi" w:hAnsiTheme="majorHAnsi" w:cstheme="majorHAnsi"/>
          <w:bCs/>
          <w:spacing w:val="1"/>
        </w:rPr>
        <w:footnoteReference w:id="78"/>
      </w:r>
      <w:r w:rsidRPr="00D327FA">
        <w:rPr>
          <w:rFonts w:asciiTheme="majorHAnsi" w:hAnsiTheme="majorHAnsi" w:cstheme="majorHAnsi"/>
          <w:bCs/>
          <w:spacing w:val="1"/>
        </w:rPr>
        <w:t xml:space="preserve">, Regulamentele </w:t>
      </w:r>
      <w:r w:rsidRPr="00D327FA">
        <w:rPr>
          <w:rFonts w:asciiTheme="majorHAnsi" w:hAnsiTheme="majorHAnsi" w:cstheme="majorHAnsi"/>
          <w:spacing w:val="1"/>
        </w:rPr>
        <w:t>cu privire la stabilirea şi aprobarea,</w:t>
      </w:r>
      <w:r w:rsidRPr="00D327FA">
        <w:rPr>
          <w:rFonts w:asciiTheme="majorHAnsi" w:hAnsiTheme="majorHAnsi" w:cstheme="majorHAnsi"/>
          <w:bCs/>
          <w:spacing w:val="1"/>
        </w:rPr>
        <w:t> </w:t>
      </w:r>
      <w:r w:rsidRPr="00D327FA">
        <w:rPr>
          <w:rFonts w:asciiTheme="majorHAnsi" w:hAnsiTheme="majorHAnsi" w:cstheme="majorHAnsi"/>
          <w:spacing w:val="1"/>
        </w:rPr>
        <w:t>în scop de determinare a tarifelor, a consumului tehnologic şi a pierderilor de apă în sistemele publice de alimentare cu apă nu prevăd includerea în tarif a „</w:t>
      </w:r>
      <w:r w:rsidRPr="00D327FA">
        <w:rPr>
          <w:rFonts w:asciiTheme="majorHAnsi" w:hAnsiTheme="majorHAnsi" w:cstheme="majorHAnsi"/>
          <w:bCs/>
          <w:i/>
          <w:spacing w:val="1"/>
        </w:rPr>
        <w:t>consumurilor tehnologice și pierderilor de apă de toate tipurile sau în volum deplin, fiind omise completamente un</w:t>
      </w:r>
      <w:r w:rsidR="001A40CD" w:rsidRPr="00D327FA">
        <w:rPr>
          <w:rFonts w:asciiTheme="majorHAnsi" w:hAnsiTheme="majorHAnsi" w:cstheme="majorHAnsi"/>
          <w:bCs/>
          <w:i/>
          <w:spacing w:val="1"/>
        </w:rPr>
        <w:t>ele</w:t>
      </w:r>
      <w:r w:rsidRPr="00D327FA">
        <w:rPr>
          <w:rFonts w:asciiTheme="majorHAnsi" w:hAnsiTheme="majorHAnsi" w:cstheme="majorHAnsi"/>
          <w:bCs/>
          <w:i/>
          <w:spacing w:val="1"/>
        </w:rPr>
        <w:t xml:space="preserve"> tipuri de consumuri tehnologice și pierderi de apă sau se ia</w:t>
      </w:r>
      <w:r w:rsidR="001A40CD" w:rsidRPr="00D327FA">
        <w:rPr>
          <w:rFonts w:asciiTheme="majorHAnsi" w:hAnsiTheme="majorHAnsi" w:cstheme="majorHAnsi"/>
          <w:bCs/>
          <w:i/>
          <w:spacing w:val="1"/>
        </w:rPr>
        <w:t>u</w:t>
      </w:r>
      <w:r w:rsidRPr="00D327FA">
        <w:rPr>
          <w:rFonts w:asciiTheme="majorHAnsi" w:hAnsiTheme="majorHAnsi" w:cstheme="majorHAnsi"/>
          <w:bCs/>
          <w:i/>
          <w:spacing w:val="1"/>
        </w:rPr>
        <w:t xml:space="preserve"> în calcul unele volume într-o proporție redusă, fără a ține cont de gradul normativ de uzură al rețelelor”. Aceste prevederi sunt aprobate chiar în situația în care nu există posibilități tehnice și/sau financiare pentru a întreprinde măsuri de reducere sau lichidare a consumurilor tehnologice și </w:t>
      </w:r>
      <w:r w:rsidR="001A40CD" w:rsidRPr="00D327FA">
        <w:rPr>
          <w:rFonts w:asciiTheme="majorHAnsi" w:hAnsiTheme="majorHAnsi" w:cstheme="majorHAnsi"/>
          <w:bCs/>
          <w:i/>
          <w:spacing w:val="1"/>
        </w:rPr>
        <w:t xml:space="preserve">a </w:t>
      </w:r>
      <w:r w:rsidRPr="00D327FA">
        <w:rPr>
          <w:rFonts w:asciiTheme="majorHAnsi" w:hAnsiTheme="majorHAnsi" w:cstheme="majorHAnsi"/>
          <w:bCs/>
          <w:i/>
          <w:spacing w:val="1"/>
        </w:rPr>
        <w:t>pierderilor de apă. Dacă omitem consumul fraudulos, pentru care astăzi nu există metode de estimare, întreg volumul de apă din sistem este strict necesar pentru exploatarea sistemelor de alimentare cu apă şi de canalizare, deci pentru asigurarea consumatorilor cu apă de calitate, la presiunea necesară şi în volumul necesar</w:t>
      </w:r>
      <w:r w:rsidRPr="00D327FA">
        <w:rPr>
          <w:rStyle w:val="ab"/>
          <w:rFonts w:asciiTheme="majorHAnsi" w:hAnsiTheme="majorHAnsi" w:cstheme="majorHAnsi"/>
          <w:bCs/>
          <w:i/>
          <w:spacing w:val="1"/>
        </w:rPr>
        <w:footnoteReference w:id="79"/>
      </w:r>
      <w:r w:rsidRPr="00D327FA">
        <w:rPr>
          <w:rFonts w:asciiTheme="majorHAnsi" w:hAnsiTheme="majorHAnsi" w:cstheme="majorHAnsi"/>
          <w:bCs/>
          <w:i/>
          <w:spacing w:val="1"/>
        </w:rPr>
        <w:t>”.</w:t>
      </w:r>
    </w:p>
    <w:p w:rsidR="00355A82" w:rsidRPr="00D327FA" w:rsidRDefault="00355A82" w:rsidP="00F61756">
      <w:pPr>
        <w:pStyle w:val="af1"/>
        <w:shd w:val="clear" w:color="auto" w:fill="FFFFFF"/>
        <w:spacing w:line="276" w:lineRule="auto"/>
        <w:rPr>
          <w:rFonts w:asciiTheme="majorHAnsi" w:hAnsiTheme="majorHAnsi" w:cstheme="majorHAnsi"/>
          <w:bCs/>
          <w:i/>
          <w:spacing w:val="1"/>
        </w:rPr>
      </w:pPr>
    </w:p>
    <w:p w:rsidR="00355A82" w:rsidRPr="00D327FA" w:rsidRDefault="00355A82" w:rsidP="00F61756">
      <w:pPr>
        <w:pStyle w:val="Default"/>
        <w:spacing w:line="276" w:lineRule="auto"/>
        <w:jc w:val="both"/>
        <w:rPr>
          <w:rFonts w:asciiTheme="majorHAnsi" w:hAnsiTheme="majorHAnsi" w:cstheme="majorHAnsi"/>
          <w:i/>
          <w:lang w:val="ro-RO"/>
        </w:rPr>
      </w:pPr>
      <w:r w:rsidRPr="00D327FA">
        <w:rPr>
          <w:rFonts w:asciiTheme="majorHAnsi" w:hAnsiTheme="majorHAnsi" w:cstheme="majorHAnsi"/>
          <w:lang w:val="ro-RO"/>
        </w:rPr>
        <w:t>Totodată, S.A. „Ap</w:t>
      </w:r>
      <w:r w:rsidR="00B243E2" w:rsidRPr="00D327FA">
        <w:rPr>
          <w:rFonts w:asciiTheme="majorHAnsi" w:hAnsiTheme="majorHAnsi" w:cstheme="majorHAnsi"/>
          <w:lang w:val="ro-RO"/>
        </w:rPr>
        <w:t>ă-</w:t>
      </w:r>
      <w:r w:rsidRPr="00D327FA">
        <w:rPr>
          <w:rFonts w:asciiTheme="majorHAnsi" w:hAnsiTheme="majorHAnsi" w:cstheme="majorHAnsi"/>
          <w:lang w:val="ro-RO"/>
        </w:rPr>
        <w:t>Canal Chișinău”</w:t>
      </w:r>
      <w:r w:rsidRPr="00D327FA">
        <w:rPr>
          <w:rFonts w:asciiTheme="majorHAnsi" w:hAnsiTheme="majorHAnsi" w:cstheme="majorHAnsi"/>
          <w:b/>
          <w:lang w:val="ro-RO"/>
        </w:rPr>
        <w:t xml:space="preserve"> </w:t>
      </w:r>
      <w:r w:rsidRPr="00D327FA">
        <w:rPr>
          <w:rFonts w:asciiTheme="majorHAnsi" w:hAnsiTheme="majorHAnsi" w:cstheme="majorHAnsi"/>
          <w:lang w:val="ro-RO"/>
        </w:rPr>
        <w:t xml:space="preserve">a comunicat că </w:t>
      </w:r>
      <w:r w:rsidRPr="00D327FA">
        <w:rPr>
          <w:rFonts w:asciiTheme="majorHAnsi" w:hAnsiTheme="majorHAnsi" w:cstheme="majorHAnsi"/>
          <w:i/>
          <w:lang w:val="ro-RO"/>
        </w:rPr>
        <w:t xml:space="preserve">Metodologia ANRE nu reglementează calcularea volumului </w:t>
      </w:r>
      <w:r w:rsidR="00B243E2" w:rsidRPr="00D327FA">
        <w:rPr>
          <w:rFonts w:asciiTheme="majorHAnsi" w:hAnsiTheme="majorHAnsi" w:cstheme="majorHAnsi"/>
          <w:i/>
          <w:lang w:val="ro-RO"/>
        </w:rPr>
        <w:t>c</w:t>
      </w:r>
      <w:r w:rsidRPr="00D327FA">
        <w:rPr>
          <w:rFonts w:asciiTheme="majorHAnsi" w:hAnsiTheme="majorHAnsi" w:cstheme="majorHAnsi"/>
          <w:i/>
          <w:lang w:val="ro-RO"/>
        </w:rPr>
        <w:t>onsumului tehnologic şi a pierderilor de apă, în conformitate cu prevederile proiectelor obiectivelor, actelor normative în construcții</w:t>
      </w:r>
      <w:r w:rsidR="00B243E2" w:rsidRPr="00D327FA">
        <w:rPr>
          <w:rFonts w:asciiTheme="majorHAnsi" w:hAnsiTheme="majorHAnsi" w:cstheme="majorHAnsi"/>
          <w:i/>
          <w:lang w:val="ro-RO"/>
        </w:rPr>
        <w:t>,</w:t>
      </w:r>
      <w:r w:rsidRPr="00D327FA">
        <w:rPr>
          <w:rFonts w:asciiTheme="majorHAnsi" w:hAnsiTheme="majorHAnsi" w:cstheme="majorHAnsi"/>
          <w:i/>
          <w:lang w:val="ro-RO"/>
        </w:rPr>
        <w:t xml:space="preserve"> de proiectare și de exploatare</w:t>
      </w:r>
      <w:r w:rsidRPr="00D327FA">
        <w:rPr>
          <w:rStyle w:val="ab"/>
          <w:rFonts w:asciiTheme="majorHAnsi" w:hAnsiTheme="majorHAnsi" w:cstheme="majorHAnsi"/>
          <w:i/>
          <w:lang w:val="ro-RO"/>
        </w:rPr>
        <w:footnoteReference w:id="80"/>
      </w:r>
      <w:r w:rsidRPr="00D327FA">
        <w:rPr>
          <w:rFonts w:asciiTheme="majorHAnsi" w:hAnsiTheme="majorHAnsi" w:cstheme="majorHAnsi"/>
          <w:i/>
          <w:vertAlign w:val="superscript"/>
          <w:lang w:val="ro-RO"/>
        </w:rPr>
        <w:t xml:space="preserve"> </w:t>
      </w:r>
      <w:r w:rsidRPr="00D327FA">
        <w:rPr>
          <w:rFonts w:asciiTheme="majorHAnsi" w:hAnsiTheme="majorHAnsi" w:cstheme="majorHAnsi"/>
          <w:i/>
          <w:lang w:val="ro-RO"/>
        </w:rPr>
        <w:t xml:space="preserve">și legislative în vigoare (Legea </w:t>
      </w:r>
      <w:r w:rsidR="00B243E2" w:rsidRPr="00D327FA">
        <w:rPr>
          <w:rFonts w:asciiTheme="majorHAnsi" w:hAnsiTheme="majorHAnsi" w:cstheme="majorHAnsi"/>
          <w:i/>
          <w:lang w:val="ro-RO"/>
        </w:rPr>
        <w:t>nr.</w:t>
      </w:r>
      <w:r w:rsidRPr="00D327FA">
        <w:rPr>
          <w:rFonts w:asciiTheme="majorHAnsi" w:hAnsiTheme="majorHAnsi" w:cstheme="majorHAnsi"/>
          <w:i/>
          <w:lang w:val="ro-RO"/>
        </w:rPr>
        <w:t>303/2013 și legile conexe), standardelor naționale și internaționale din domeniul alimentării cu apă și de canalizare, pașapoartelor</w:t>
      </w:r>
      <w:r w:rsidR="00B243E2" w:rsidRPr="00D327FA">
        <w:rPr>
          <w:rFonts w:asciiTheme="majorHAnsi" w:hAnsiTheme="majorHAnsi" w:cstheme="majorHAnsi"/>
          <w:i/>
          <w:lang w:val="ro-RO"/>
        </w:rPr>
        <w:t>-</w:t>
      </w:r>
      <w:r w:rsidRPr="00D327FA">
        <w:rPr>
          <w:rFonts w:asciiTheme="majorHAnsi" w:hAnsiTheme="majorHAnsi" w:cstheme="majorHAnsi"/>
          <w:i/>
          <w:lang w:val="ro-RO"/>
        </w:rPr>
        <w:t xml:space="preserve">tip ale utilajelor și echipamentelor etc. </w:t>
      </w:r>
    </w:p>
    <w:p w:rsidR="00355A82" w:rsidRPr="00D327FA" w:rsidRDefault="00355A82" w:rsidP="00F61756">
      <w:pPr>
        <w:pStyle w:val="af1"/>
        <w:shd w:val="clear" w:color="auto" w:fill="FFFFFF"/>
        <w:spacing w:line="276" w:lineRule="auto"/>
        <w:ind w:firstLine="540"/>
        <w:rPr>
          <w:rFonts w:asciiTheme="majorHAnsi" w:hAnsiTheme="majorHAnsi" w:cstheme="majorHAnsi"/>
          <w:bCs/>
          <w:i/>
          <w:spacing w:val="1"/>
        </w:rPr>
      </w:pPr>
    </w:p>
    <w:p w:rsidR="00355A82" w:rsidRDefault="00355A82" w:rsidP="00F61756">
      <w:pPr>
        <w:pStyle w:val="a3"/>
        <w:spacing w:line="276" w:lineRule="auto"/>
        <w:ind w:left="0"/>
        <w:jc w:val="both"/>
        <w:rPr>
          <w:rFonts w:asciiTheme="majorHAnsi" w:hAnsiTheme="majorHAnsi" w:cstheme="majorHAnsi"/>
          <w:color w:val="000000"/>
          <w:lang w:val="ro-RO"/>
        </w:rPr>
      </w:pPr>
      <w:r w:rsidRPr="00D327FA">
        <w:rPr>
          <w:rFonts w:asciiTheme="majorHAnsi" w:hAnsiTheme="majorHAnsi" w:cstheme="majorHAnsi"/>
          <w:bCs/>
          <w:lang w:val="ro-RO"/>
        </w:rPr>
        <w:t xml:space="preserve">Tot în acest context menționăm că, în anul 2018, MADRM, în calitate de elaborator de politici în domeniul alimentării cu apă și sanitație, prin </w:t>
      </w:r>
      <w:r w:rsidR="00604F52" w:rsidRPr="00D327FA">
        <w:rPr>
          <w:rFonts w:asciiTheme="majorHAnsi" w:hAnsiTheme="majorHAnsi" w:cstheme="majorHAnsi"/>
          <w:bCs/>
          <w:lang w:val="ro-RO"/>
        </w:rPr>
        <w:t>O</w:t>
      </w:r>
      <w:r w:rsidRPr="00D327FA">
        <w:rPr>
          <w:rFonts w:asciiTheme="majorHAnsi" w:hAnsiTheme="majorHAnsi" w:cstheme="majorHAnsi"/>
          <w:bCs/>
          <w:lang w:val="ro-RO"/>
        </w:rPr>
        <w:t xml:space="preserve">rdinul nr.159/331 din 02.07.2018 </w:t>
      </w:r>
      <w:r w:rsidRPr="00D327FA">
        <w:rPr>
          <w:rFonts w:asciiTheme="majorHAnsi" w:hAnsiTheme="majorHAnsi" w:cstheme="majorHAnsi"/>
          <w:lang w:val="ro-RO"/>
        </w:rPr>
        <w:t xml:space="preserve">a aprobat Regulamentul privind exploatarea tehnică a sistemelor și instalațiilor publice de </w:t>
      </w:r>
      <w:r w:rsidRPr="00D327FA">
        <w:rPr>
          <w:rFonts w:asciiTheme="majorHAnsi" w:hAnsiTheme="majorHAnsi" w:cstheme="majorHAnsi"/>
          <w:bCs/>
          <w:lang w:val="ro-RO"/>
        </w:rPr>
        <w:t xml:space="preserve">alimentare cu apă </w:t>
      </w:r>
      <w:r w:rsidR="00604F52" w:rsidRPr="00D327FA">
        <w:rPr>
          <w:rFonts w:asciiTheme="majorHAnsi" w:hAnsiTheme="majorHAnsi" w:cstheme="majorHAnsi"/>
          <w:bCs/>
          <w:lang w:val="ro-RO"/>
        </w:rPr>
        <w:t xml:space="preserve">și </w:t>
      </w:r>
      <w:r w:rsidRPr="00D327FA">
        <w:rPr>
          <w:rFonts w:asciiTheme="majorHAnsi" w:hAnsiTheme="majorHAnsi" w:cstheme="majorHAnsi"/>
          <w:bCs/>
          <w:lang w:val="ro-RO"/>
        </w:rPr>
        <w:t>de canalizare (ediția a doua)</w:t>
      </w:r>
      <w:r w:rsidR="00604F52" w:rsidRPr="00D327FA">
        <w:rPr>
          <w:rFonts w:asciiTheme="majorHAnsi" w:hAnsiTheme="majorHAnsi" w:cstheme="majorHAnsi"/>
          <w:bCs/>
          <w:lang w:val="ro-RO"/>
        </w:rPr>
        <w:t>.</w:t>
      </w:r>
      <w:r w:rsidRPr="00D327FA">
        <w:rPr>
          <w:rFonts w:asciiTheme="majorHAnsi" w:hAnsiTheme="majorHAnsi" w:cstheme="majorHAnsi"/>
          <w:bCs/>
          <w:lang w:val="ro-RO"/>
        </w:rPr>
        <w:t xml:space="preserve"> </w:t>
      </w:r>
      <w:r w:rsidR="00604F52" w:rsidRPr="00D327FA">
        <w:rPr>
          <w:rFonts w:asciiTheme="majorHAnsi" w:hAnsiTheme="majorHAnsi" w:cstheme="majorHAnsi"/>
          <w:bCs/>
          <w:lang w:val="ro-RO"/>
        </w:rPr>
        <w:t>Î</w:t>
      </w:r>
      <w:r w:rsidRPr="00D327FA">
        <w:rPr>
          <w:rFonts w:asciiTheme="majorHAnsi" w:hAnsiTheme="majorHAnsi" w:cstheme="majorHAnsi"/>
          <w:bCs/>
          <w:lang w:val="ro-RO"/>
        </w:rPr>
        <w:t>n pct. 2.11.22  au fost  incluse Normativele diferențiate pentru pierderile ascunse</w:t>
      </w:r>
      <w:r w:rsidR="00604F52" w:rsidRPr="00D327FA">
        <w:rPr>
          <w:rFonts w:asciiTheme="majorHAnsi" w:hAnsiTheme="majorHAnsi" w:cstheme="majorHAnsi"/>
          <w:bCs/>
          <w:lang w:val="ro-RO"/>
        </w:rPr>
        <w:t>,</w:t>
      </w:r>
      <w:r w:rsidRPr="00D327FA">
        <w:rPr>
          <w:rFonts w:asciiTheme="majorHAnsi" w:hAnsiTheme="majorHAnsi" w:cstheme="majorHAnsi"/>
          <w:bCs/>
          <w:lang w:val="ro-RO"/>
        </w:rPr>
        <w:t xml:space="preserve"> </w:t>
      </w:r>
      <w:r w:rsidR="00604F52" w:rsidRPr="00D327FA">
        <w:rPr>
          <w:rFonts w:asciiTheme="majorHAnsi" w:hAnsiTheme="majorHAnsi" w:cstheme="majorHAnsi"/>
          <w:bCs/>
          <w:lang w:val="ro-RO"/>
        </w:rPr>
        <w:t>p</w:t>
      </w:r>
      <w:r w:rsidRPr="00D327FA">
        <w:rPr>
          <w:rFonts w:asciiTheme="majorHAnsi" w:hAnsiTheme="majorHAnsi" w:cstheme="majorHAnsi"/>
          <w:bCs/>
          <w:lang w:val="ro-RO"/>
        </w:rPr>
        <w:t xml:space="preserve">ierderile ascunse de apă pentru conductele noi sub presiune din materiale diferite (din oțel, din fontă, din azbociment, din beton armat), precum și au fost aprobați coeficienții </w:t>
      </w:r>
      <w:r w:rsidRPr="00D327FA">
        <w:rPr>
          <w:rFonts w:asciiTheme="majorHAnsi" w:hAnsiTheme="majorHAnsi" w:cstheme="majorHAnsi"/>
          <w:color w:val="000000"/>
          <w:lang w:val="ro-RO"/>
        </w:rPr>
        <w:t>de majorare, care se aplică pentru conducte în limitele termenului de exploatare garantat de producător, iar în cazul în care termenul de exploatare a conductei va depăși termenul de exploatare garantat de către producător, se va aplic</w:t>
      </w:r>
      <w:r w:rsidR="00604F52" w:rsidRPr="00D327FA">
        <w:rPr>
          <w:rFonts w:asciiTheme="majorHAnsi" w:hAnsiTheme="majorHAnsi" w:cstheme="majorHAnsi"/>
          <w:color w:val="000000"/>
          <w:lang w:val="ro-RO"/>
        </w:rPr>
        <w:t>a</w:t>
      </w:r>
      <w:r w:rsidRPr="00D327FA">
        <w:rPr>
          <w:rFonts w:asciiTheme="majorHAnsi" w:hAnsiTheme="majorHAnsi" w:cstheme="majorHAnsi"/>
          <w:color w:val="000000"/>
          <w:lang w:val="ro-RO"/>
        </w:rPr>
        <w:t xml:space="preserve"> coeficientul maxim pentru termenul garantat de către producător. Au fost aproba</w:t>
      </w:r>
      <w:r w:rsidR="00604F52" w:rsidRPr="00D327FA">
        <w:rPr>
          <w:rFonts w:asciiTheme="majorHAnsi" w:hAnsiTheme="majorHAnsi" w:cstheme="majorHAnsi"/>
          <w:color w:val="000000"/>
          <w:lang w:val="ro-RO"/>
        </w:rPr>
        <w:t>ți</w:t>
      </w:r>
      <w:r w:rsidRPr="00D327FA">
        <w:rPr>
          <w:rFonts w:asciiTheme="majorHAnsi" w:hAnsiTheme="majorHAnsi" w:cstheme="majorHAnsi"/>
          <w:color w:val="000000"/>
          <w:lang w:val="ro-RO"/>
        </w:rPr>
        <w:t xml:space="preserve"> și coeficienții de creștere care se aplică pe măsura creșterii termenului de exploatare a conductei și</w:t>
      </w:r>
      <w:r w:rsidR="00604F52" w:rsidRPr="00D327FA">
        <w:rPr>
          <w:rFonts w:asciiTheme="majorHAnsi" w:hAnsiTheme="majorHAnsi" w:cstheme="majorHAnsi"/>
          <w:color w:val="000000"/>
          <w:lang w:val="ro-RO"/>
        </w:rPr>
        <w:t>,</w:t>
      </w:r>
      <w:r w:rsidRPr="00D327FA">
        <w:rPr>
          <w:rFonts w:asciiTheme="majorHAnsi" w:hAnsiTheme="majorHAnsi" w:cstheme="majorHAnsi"/>
          <w:color w:val="000000"/>
          <w:lang w:val="ro-RO"/>
        </w:rPr>
        <w:t xml:space="preserve"> respectiv</w:t>
      </w:r>
      <w:r w:rsidR="00604F52" w:rsidRPr="00D327FA">
        <w:rPr>
          <w:rFonts w:asciiTheme="majorHAnsi" w:hAnsiTheme="majorHAnsi" w:cstheme="majorHAnsi"/>
          <w:color w:val="000000"/>
          <w:lang w:val="ro-RO"/>
        </w:rPr>
        <w:t>,</w:t>
      </w:r>
      <w:r w:rsidRPr="00D327FA">
        <w:rPr>
          <w:rFonts w:asciiTheme="majorHAnsi" w:hAnsiTheme="majorHAnsi" w:cstheme="majorHAnsi"/>
          <w:color w:val="000000"/>
          <w:lang w:val="ro-RO"/>
        </w:rPr>
        <w:t xml:space="preserve"> majorează pierderile latente (ascunse) de apă din cauza coroziei, uzurii abrazive, apariției microfisurilor provocate de „obosirea” materialului conductei, degradării proprietăților materiale de etanșare a îmbinărilor conductelor, a altor factori.  Astfel, au fost aproba</w:t>
      </w:r>
      <w:r w:rsidR="00604F52" w:rsidRPr="00D327FA">
        <w:rPr>
          <w:rFonts w:asciiTheme="majorHAnsi" w:hAnsiTheme="majorHAnsi" w:cstheme="majorHAnsi"/>
          <w:color w:val="000000"/>
          <w:lang w:val="ro-RO"/>
        </w:rPr>
        <w:t>ți</w:t>
      </w:r>
      <w:r w:rsidRPr="00D327FA">
        <w:rPr>
          <w:rFonts w:asciiTheme="majorHAnsi" w:hAnsiTheme="majorHAnsi" w:cstheme="majorHAnsi"/>
          <w:color w:val="000000"/>
          <w:lang w:val="ro-RO"/>
        </w:rPr>
        <w:t xml:space="preserve"> coeficienții de majorare pentru estimarea pierderilor normative de apă legate de îmbătrânirea conductelor, normele pierderilor latente (ascunse)</w:t>
      </w:r>
      <w:r w:rsidR="00604F52" w:rsidRPr="00D327FA">
        <w:rPr>
          <w:rFonts w:asciiTheme="majorHAnsi" w:hAnsiTheme="majorHAnsi" w:cstheme="majorHAnsi"/>
          <w:color w:val="000000"/>
          <w:lang w:val="ro-RO"/>
        </w:rPr>
        <w:t>,</w:t>
      </w:r>
      <w:r w:rsidRPr="00D327FA">
        <w:rPr>
          <w:rFonts w:asciiTheme="majorHAnsi" w:hAnsiTheme="majorHAnsi" w:cstheme="majorHAnsi"/>
          <w:color w:val="000000"/>
          <w:lang w:val="ro-RO"/>
        </w:rPr>
        <w:t xml:space="preserve"> după cum urmează: K = 1,00 </w:t>
      </w:r>
      <w:r w:rsidR="00604F52" w:rsidRPr="00D327FA">
        <w:rPr>
          <w:rFonts w:asciiTheme="majorHAnsi" w:hAnsiTheme="majorHAnsi" w:cstheme="majorHAnsi"/>
          <w:color w:val="000000"/>
          <w:lang w:val="ro-RO"/>
        </w:rPr>
        <w:t>–</w:t>
      </w:r>
      <w:r w:rsidRPr="00D327FA">
        <w:rPr>
          <w:rFonts w:asciiTheme="majorHAnsi" w:hAnsiTheme="majorHAnsi" w:cstheme="majorHAnsi"/>
          <w:color w:val="000000"/>
          <w:lang w:val="ro-RO"/>
        </w:rPr>
        <w:t xml:space="preserve"> pentru conductele cu termenul de exploatare </w:t>
      </w:r>
      <w:r w:rsidR="00604F52" w:rsidRPr="00D327FA">
        <w:rPr>
          <w:rFonts w:asciiTheme="majorHAnsi" w:hAnsiTheme="majorHAnsi" w:cstheme="majorHAnsi"/>
          <w:color w:val="000000"/>
          <w:lang w:val="ro-RO"/>
        </w:rPr>
        <w:t>de</w:t>
      </w:r>
      <w:r w:rsidRPr="00D327FA">
        <w:rPr>
          <w:rFonts w:asciiTheme="majorHAnsi" w:hAnsiTheme="majorHAnsi" w:cstheme="majorHAnsi"/>
          <w:color w:val="000000"/>
          <w:lang w:val="ro-RO"/>
        </w:rPr>
        <w:t xml:space="preserve"> până la 10 ani, K = 2,50 </w:t>
      </w:r>
      <w:r w:rsidR="00604F52" w:rsidRPr="00D327FA">
        <w:rPr>
          <w:rFonts w:asciiTheme="majorHAnsi" w:hAnsiTheme="majorHAnsi" w:cstheme="majorHAnsi"/>
          <w:color w:val="000000"/>
          <w:lang w:val="ro-RO"/>
        </w:rPr>
        <w:t>–</w:t>
      </w:r>
      <w:r w:rsidRPr="00D327FA">
        <w:rPr>
          <w:rFonts w:asciiTheme="majorHAnsi" w:hAnsiTheme="majorHAnsi" w:cstheme="majorHAnsi"/>
          <w:color w:val="000000"/>
          <w:lang w:val="ro-RO"/>
        </w:rPr>
        <w:t xml:space="preserve"> pentru conductele cu termenul de exploatare  mai mare de 10 ani, K = 6,25 </w:t>
      </w:r>
      <w:r w:rsidR="00604F52" w:rsidRPr="00D327FA">
        <w:rPr>
          <w:rFonts w:asciiTheme="majorHAnsi" w:hAnsiTheme="majorHAnsi" w:cstheme="majorHAnsi"/>
          <w:color w:val="000000"/>
          <w:lang w:val="ro-RO"/>
        </w:rPr>
        <w:t>–</w:t>
      </w:r>
      <w:r w:rsidRPr="00D327FA">
        <w:rPr>
          <w:rFonts w:asciiTheme="majorHAnsi" w:hAnsiTheme="majorHAnsi" w:cstheme="majorHAnsi"/>
          <w:color w:val="000000"/>
          <w:lang w:val="ro-RO"/>
        </w:rPr>
        <w:t xml:space="preserve"> pentru conductele cu termenul de exploatare mai mare de 20 </w:t>
      </w:r>
      <w:r w:rsidR="00604F52" w:rsidRPr="00D327FA">
        <w:rPr>
          <w:rFonts w:asciiTheme="majorHAnsi" w:hAnsiTheme="majorHAnsi" w:cstheme="majorHAnsi"/>
          <w:color w:val="000000"/>
          <w:lang w:val="ro-RO"/>
        </w:rPr>
        <w:t xml:space="preserve">de </w:t>
      </w:r>
      <w:r w:rsidRPr="00D327FA">
        <w:rPr>
          <w:rFonts w:asciiTheme="majorHAnsi" w:hAnsiTheme="majorHAnsi" w:cstheme="majorHAnsi"/>
          <w:color w:val="000000"/>
          <w:lang w:val="ro-RO"/>
        </w:rPr>
        <w:t xml:space="preserve">ani, K = 12,50 </w:t>
      </w:r>
      <w:r w:rsidR="00604F52" w:rsidRPr="00D327FA">
        <w:rPr>
          <w:rFonts w:asciiTheme="majorHAnsi" w:hAnsiTheme="majorHAnsi" w:cstheme="majorHAnsi"/>
          <w:color w:val="000000"/>
          <w:lang w:val="ro-RO"/>
        </w:rPr>
        <w:t>–</w:t>
      </w:r>
      <w:r w:rsidRPr="00D327FA">
        <w:rPr>
          <w:rFonts w:asciiTheme="majorHAnsi" w:hAnsiTheme="majorHAnsi" w:cstheme="majorHAnsi"/>
          <w:color w:val="000000"/>
          <w:lang w:val="ro-RO"/>
        </w:rPr>
        <w:t xml:space="preserve"> pentru conductele cu termenul de exploatare mai mare de 30 </w:t>
      </w:r>
      <w:r w:rsidR="00604F52" w:rsidRPr="00D327FA">
        <w:rPr>
          <w:rFonts w:asciiTheme="majorHAnsi" w:hAnsiTheme="majorHAnsi" w:cstheme="majorHAnsi"/>
          <w:color w:val="000000"/>
          <w:lang w:val="ro-RO"/>
        </w:rPr>
        <w:t xml:space="preserve">de </w:t>
      </w:r>
      <w:r w:rsidRPr="00D327FA">
        <w:rPr>
          <w:rFonts w:asciiTheme="majorHAnsi" w:hAnsiTheme="majorHAnsi" w:cstheme="majorHAnsi"/>
          <w:color w:val="000000"/>
          <w:lang w:val="ro-RO"/>
        </w:rPr>
        <w:t>ani, K = 31,20 – pentru conductele cu termenul de exploatare mai mare de 40 de ani.</w:t>
      </w:r>
    </w:p>
    <w:p w:rsidR="00355A82" w:rsidRPr="00F77F6A" w:rsidRDefault="00355A82" w:rsidP="00F61756">
      <w:pPr>
        <w:pStyle w:val="a3"/>
        <w:spacing w:line="276" w:lineRule="auto"/>
        <w:ind w:left="0"/>
        <w:jc w:val="both"/>
        <w:rPr>
          <w:rFonts w:asciiTheme="majorHAnsi" w:hAnsiTheme="majorHAnsi" w:cstheme="majorHAnsi"/>
          <w:color w:val="000000"/>
          <w:lang w:val="ro-RO"/>
        </w:rPr>
      </w:pPr>
    </w:p>
    <w:p w:rsidR="0088086E" w:rsidRPr="00156F68" w:rsidRDefault="00355A82" w:rsidP="00F61756">
      <w:pPr>
        <w:spacing w:after="0" w:line="276" w:lineRule="auto"/>
        <w:jc w:val="both"/>
        <w:rPr>
          <w:rFonts w:asciiTheme="majorHAnsi" w:eastAsia="Times New Roman" w:hAnsiTheme="majorHAnsi" w:cstheme="majorHAnsi"/>
          <w:b w:val="0"/>
          <w:bCs w:val="0"/>
          <w:sz w:val="24"/>
          <w:szCs w:val="24"/>
        </w:rPr>
      </w:pPr>
      <w:r w:rsidRPr="00156F68">
        <w:rPr>
          <w:rFonts w:asciiTheme="majorHAnsi" w:eastAsia="Times New Roman" w:hAnsiTheme="majorHAnsi" w:cstheme="majorHAnsi"/>
          <w:b w:val="0"/>
          <w:bCs w:val="0"/>
          <w:sz w:val="24"/>
          <w:szCs w:val="24"/>
        </w:rPr>
        <w:t>De menționat că, deși ANRE în anul 2019, prin H</w:t>
      </w:r>
      <w:r w:rsidR="00604F52" w:rsidRPr="00156F68">
        <w:rPr>
          <w:rFonts w:asciiTheme="majorHAnsi" w:eastAsia="Times New Roman" w:hAnsiTheme="majorHAnsi" w:cstheme="majorHAnsi"/>
          <w:b w:val="0"/>
          <w:bCs w:val="0"/>
          <w:sz w:val="24"/>
          <w:szCs w:val="24"/>
        </w:rPr>
        <w:t xml:space="preserve">otărârea </w:t>
      </w:r>
      <w:r w:rsidRPr="00156F68">
        <w:rPr>
          <w:rFonts w:asciiTheme="majorHAnsi" w:eastAsia="Times New Roman" w:hAnsiTheme="majorHAnsi" w:cstheme="majorHAnsi"/>
          <w:b w:val="0"/>
          <w:bCs w:val="0"/>
          <w:sz w:val="24"/>
          <w:szCs w:val="24"/>
        </w:rPr>
        <w:t xml:space="preserve">ANRE </w:t>
      </w:r>
      <w:r w:rsidRPr="00156F68">
        <w:rPr>
          <w:rFonts w:asciiTheme="majorHAnsi" w:eastAsia="SimSun" w:hAnsiTheme="majorHAnsi" w:cstheme="majorHAnsi"/>
          <w:b w:val="0"/>
          <w:bCs w:val="0"/>
          <w:color w:val="000000"/>
          <w:kern w:val="3"/>
          <w:sz w:val="24"/>
          <w:szCs w:val="24"/>
          <w:lang w:eastAsia="zh-CN" w:bidi="hi-IN"/>
        </w:rPr>
        <w:t>nr. 489/2019</w:t>
      </w:r>
      <w:r w:rsidR="00604F52" w:rsidRPr="00156F68">
        <w:rPr>
          <w:rFonts w:asciiTheme="majorHAnsi" w:eastAsia="SimSun" w:hAnsiTheme="majorHAnsi" w:cstheme="majorHAnsi"/>
          <w:b w:val="0"/>
          <w:bCs w:val="0"/>
          <w:color w:val="000000"/>
          <w:kern w:val="3"/>
          <w:sz w:val="24"/>
          <w:szCs w:val="24"/>
          <w:lang w:eastAsia="zh-CN" w:bidi="hi-IN"/>
        </w:rPr>
        <w:t>,</w:t>
      </w:r>
      <w:r w:rsidRPr="00156F68">
        <w:rPr>
          <w:rFonts w:asciiTheme="majorHAnsi" w:eastAsia="SimSun" w:hAnsiTheme="majorHAnsi" w:cstheme="majorHAnsi"/>
          <w:b w:val="0"/>
          <w:bCs w:val="0"/>
          <w:color w:val="000000"/>
          <w:kern w:val="3"/>
          <w:sz w:val="24"/>
          <w:szCs w:val="24"/>
          <w:lang w:eastAsia="zh-CN" w:bidi="hi-IN"/>
        </w:rPr>
        <w:t xml:space="preserve"> a aprobat </w:t>
      </w:r>
      <w:r w:rsidRPr="00156F68">
        <w:rPr>
          <w:rFonts w:asciiTheme="majorHAnsi" w:eastAsia="Times New Roman" w:hAnsiTheme="majorHAnsi" w:cstheme="majorHAnsi"/>
          <w:b w:val="0"/>
          <w:bCs w:val="0"/>
          <w:sz w:val="24"/>
          <w:szCs w:val="24"/>
        </w:rPr>
        <w:t>Metodologia de determinare, aprobare și aplicare a tarifelor pentru serviciul public de alimentare cu apă, de canalizare și epurare a apelor uzate, aceasta nu a luat în considera</w:t>
      </w:r>
      <w:r w:rsidR="00604F52" w:rsidRPr="00156F68">
        <w:rPr>
          <w:rFonts w:asciiTheme="majorHAnsi" w:eastAsia="Times New Roman" w:hAnsiTheme="majorHAnsi" w:cstheme="majorHAnsi"/>
          <w:b w:val="0"/>
          <w:bCs w:val="0"/>
          <w:sz w:val="24"/>
          <w:szCs w:val="24"/>
        </w:rPr>
        <w:t>r</w:t>
      </w:r>
      <w:r w:rsidRPr="00156F68">
        <w:rPr>
          <w:rFonts w:asciiTheme="majorHAnsi" w:eastAsia="Times New Roman" w:hAnsiTheme="majorHAnsi" w:cstheme="majorHAnsi"/>
          <w:b w:val="0"/>
          <w:bCs w:val="0"/>
          <w:sz w:val="24"/>
          <w:szCs w:val="24"/>
        </w:rPr>
        <w:t xml:space="preserve">e </w:t>
      </w:r>
      <w:r w:rsidR="00604F52" w:rsidRPr="00156F68">
        <w:rPr>
          <w:rFonts w:asciiTheme="majorHAnsi" w:eastAsia="Times New Roman" w:hAnsiTheme="majorHAnsi" w:cstheme="majorHAnsi"/>
          <w:b w:val="0"/>
          <w:bCs w:val="0"/>
          <w:sz w:val="24"/>
          <w:szCs w:val="24"/>
        </w:rPr>
        <w:t>p</w:t>
      </w:r>
      <w:r w:rsidRPr="00156F68">
        <w:rPr>
          <w:rFonts w:asciiTheme="majorHAnsi" w:eastAsia="Times New Roman" w:hAnsiTheme="majorHAnsi" w:cstheme="majorHAnsi"/>
          <w:b w:val="0"/>
          <w:bCs w:val="0"/>
          <w:sz w:val="24"/>
          <w:szCs w:val="24"/>
        </w:rPr>
        <w:t>revederile din ordinul MADRM aprobat în anul 2018, ceea ce duce la conflicte și dezacorduri între ANRE și operatorii de apă.</w:t>
      </w:r>
    </w:p>
    <w:p w:rsidR="0088086E" w:rsidRPr="00156F68" w:rsidRDefault="0088086E" w:rsidP="00F61756">
      <w:pPr>
        <w:spacing w:after="0" w:line="276" w:lineRule="auto"/>
        <w:jc w:val="both"/>
        <w:rPr>
          <w:rFonts w:asciiTheme="majorHAnsi" w:eastAsia="Times New Roman" w:hAnsiTheme="majorHAnsi" w:cstheme="majorHAnsi"/>
          <w:b w:val="0"/>
          <w:bCs w:val="0"/>
          <w:sz w:val="24"/>
          <w:szCs w:val="24"/>
        </w:rPr>
      </w:pPr>
    </w:p>
    <w:p w:rsidR="0088086E" w:rsidRDefault="00355A82" w:rsidP="00F61756">
      <w:pPr>
        <w:spacing w:after="0" w:line="276" w:lineRule="auto"/>
        <w:jc w:val="both"/>
        <w:rPr>
          <w:rFonts w:asciiTheme="majorHAnsi" w:eastAsia="Times New Roman" w:hAnsiTheme="majorHAnsi" w:cstheme="majorHAnsi"/>
          <w:b w:val="0"/>
          <w:bCs w:val="0"/>
          <w:sz w:val="24"/>
          <w:szCs w:val="24"/>
        </w:rPr>
      </w:pPr>
      <w:r w:rsidRPr="00156F68">
        <w:rPr>
          <w:rFonts w:asciiTheme="majorHAnsi" w:eastAsia="Times New Roman" w:hAnsiTheme="majorHAnsi" w:cstheme="majorHAnsi"/>
          <w:b w:val="0"/>
          <w:bCs w:val="0"/>
          <w:sz w:val="24"/>
          <w:szCs w:val="24"/>
        </w:rPr>
        <w:t xml:space="preserve"> Totodată, și practicile altor țări reglementează pierderile </w:t>
      </w:r>
      <w:r w:rsidR="00604F52" w:rsidRPr="00156F68">
        <w:rPr>
          <w:rFonts w:asciiTheme="majorHAnsi" w:eastAsia="Times New Roman" w:hAnsiTheme="majorHAnsi" w:cstheme="majorHAnsi"/>
          <w:b w:val="0"/>
          <w:bCs w:val="0"/>
          <w:sz w:val="24"/>
          <w:szCs w:val="24"/>
        </w:rPr>
        <w:t xml:space="preserve">în </w:t>
      </w:r>
      <w:r w:rsidRPr="00156F68">
        <w:rPr>
          <w:rFonts w:asciiTheme="majorHAnsi" w:eastAsia="Times New Roman" w:hAnsiTheme="majorHAnsi" w:cstheme="majorHAnsi"/>
          <w:b w:val="0"/>
          <w:bCs w:val="0"/>
          <w:sz w:val="24"/>
          <w:szCs w:val="24"/>
        </w:rPr>
        <w:t>alt fel. Astfel, conform pct. 4.4.1. din Standardul Român nr. 1343-1 din 2006 „Alimentarea cu apă. Determinarea cantităților de apă potabilă pentru localitățile rurale și urbane”, „</w:t>
      </w:r>
      <w:r w:rsidRPr="00156F68">
        <w:rPr>
          <w:rFonts w:asciiTheme="majorHAnsi" w:eastAsia="Times New Roman" w:hAnsiTheme="majorHAnsi" w:cstheme="majorHAnsi"/>
          <w:b w:val="0"/>
          <w:bCs w:val="0"/>
          <w:i/>
          <w:sz w:val="24"/>
          <w:szCs w:val="24"/>
        </w:rPr>
        <w:t>pierderile de apă tehnologic admisibile în rețea</w:t>
      </w:r>
      <w:r w:rsidR="00604F52" w:rsidRPr="00156F68">
        <w:rPr>
          <w:rFonts w:asciiTheme="majorHAnsi" w:eastAsia="Times New Roman" w:hAnsiTheme="majorHAnsi" w:cstheme="majorHAnsi"/>
          <w:b w:val="0"/>
          <w:bCs w:val="0"/>
          <w:i/>
          <w:sz w:val="24"/>
          <w:szCs w:val="24"/>
        </w:rPr>
        <w:t>ua</w:t>
      </w:r>
      <w:r w:rsidRPr="00156F68">
        <w:rPr>
          <w:rFonts w:asciiTheme="majorHAnsi" w:eastAsia="Times New Roman" w:hAnsiTheme="majorHAnsi" w:cstheme="majorHAnsi"/>
          <w:b w:val="0"/>
          <w:bCs w:val="0"/>
          <w:i/>
          <w:sz w:val="24"/>
          <w:szCs w:val="24"/>
        </w:rPr>
        <w:t xml:space="preserve"> de distribuție trebuie tratate ca un necesar de apă. La rețelele de distribuție noi (sub 5 ani) se apreciază că pierderile nu vor fi mai mari de 15% din volumul de apă distribuită (K</w:t>
      </w:r>
      <w:r w:rsidRPr="00156F68">
        <w:rPr>
          <w:rFonts w:asciiTheme="majorHAnsi" w:eastAsia="Times New Roman" w:hAnsiTheme="majorHAnsi" w:cstheme="majorHAnsi"/>
          <w:b w:val="0"/>
          <w:bCs w:val="0"/>
          <w:i/>
          <w:sz w:val="24"/>
          <w:szCs w:val="24"/>
          <w:vertAlign w:val="subscript"/>
        </w:rPr>
        <w:t>p</w:t>
      </w:r>
      <w:r w:rsidRPr="00156F68">
        <w:rPr>
          <w:rFonts w:asciiTheme="majorHAnsi" w:eastAsia="Times New Roman" w:hAnsiTheme="majorHAnsi" w:cstheme="majorHAnsi"/>
          <w:b w:val="0"/>
          <w:bCs w:val="0"/>
          <w:i/>
          <w:sz w:val="24"/>
          <w:szCs w:val="24"/>
        </w:rPr>
        <w:t xml:space="preserve"> = 1,15),</w:t>
      </w:r>
      <w:r w:rsidR="0028765C" w:rsidRPr="00156F68">
        <w:rPr>
          <w:rFonts w:asciiTheme="majorHAnsi" w:eastAsia="Times New Roman" w:hAnsiTheme="majorHAnsi" w:cstheme="majorHAnsi"/>
          <w:b w:val="0"/>
          <w:bCs w:val="0"/>
          <w:i/>
          <w:sz w:val="24"/>
          <w:szCs w:val="24"/>
        </w:rPr>
        <w:t xml:space="preserve"> </w:t>
      </w:r>
      <w:r w:rsidRPr="00156F68">
        <w:rPr>
          <w:rFonts w:asciiTheme="majorHAnsi" w:eastAsia="Times New Roman" w:hAnsiTheme="majorHAnsi" w:cstheme="majorHAnsi"/>
          <w:b w:val="0"/>
          <w:bCs w:val="0"/>
          <w:i/>
          <w:sz w:val="24"/>
          <w:szCs w:val="24"/>
        </w:rPr>
        <w:t>acestea pot ap</w:t>
      </w:r>
      <w:r w:rsidR="0028765C" w:rsidRPr="00156F68">
        <w:rPr>
          <w:rFonts w:asciiTheme="majorHAnsi" w:eastAsia="Times New Roman" w:hAnsiTheme="majorHAnsi" w:cstheme="majorHAnsi"/>
          <w:b w:val="0"/>
          <w:bCs w:val="0"/>
          <w:i/>
          <w:sz w:val="24"/>
          <w:szCs w:val="24"/>
        </w:rPr>
        <w:t>ă</w:t>
      </w:r>
      <w:r w:rsidRPr="00156F68">
        <w:rPr>
          <w:rFonts w:asciiTheme="majorHAnsi" w:eastAsia="Times New Roman" w:hAnsiTheme="majorHAnsi" w:cstheme="majorHAnsi"/>
          <w:b w:val="0"/>
          <w:bCs w:val="0"/>
          <w:i/>
          <w:sz w:val="24"/>
          <w:szCs w:val="24"/>
        </w:rPr>
        <w:t>re</w:t>
      </w:r>
      <w:r w:rsidR="0028765C" w:rsidRPr="00156F68">
        <w:rPr>
          <w:rFonts w:asciiTheme="majorHAnsi" w:eastAsia="Times New Roman" w:hAnsiTheme="majorHAnsi" w:cstheme="majorHAnsi"/>
          <w:b w:val="0"/>
          <w:bCs w:val="0"/>
          <w:i/>
          <w:sz w:val="24"/>
          <w:szCs w:val="24"/>
        </w:rPr>
        <w:t>a</w:t>
      </w:r>
      <w:r w:rsidRPr="00156F68">
        <w:rPr>
          <w:rFonts w:asciiTheme="majorHAnsi" w:eastAsia="Times New Roman" w:hAnsiTheme="majorHAnsi" w:cstheme="majorHAnsi"/>
          <w:b w:val="0"/>
          <w:bCs w:val="0"/>
          <w:i/>
          <w:sz w:val="24"/>
          <w:szCs w:val="24"/>
        </w:rPr>
        <w:t xml:space="preserve"> din execuți</w:t>
      </w:r>
      <w:r w:rsidR="0028765C" w:rsidRPr="00156F68">
        <w:rPr>
          <w:rFonts w:asciiTheme="majorHAnsi" w:eastAsia="Times New Roman" w:hAnsiTheme="majorHAnsi" w:cstheme="majorHAnsi"/>
          <w:b w:val="0"/>
          <w:bCs w:val="0"/>
          <w:i/>
          <w:sz w:val="24"/>
          <w:szCs w:val="24"/>
        </w:rPr>
        <w:t>a</w:t>
      </w:r>
      <w:r w:rsidRPr="00156F68">
        <w:rPr>
          <w:rFonts w:asciiTheme="majorHAnsi" w:eastAsia="Times New Roman" w:hAnsiTheme="majorHAnsi" w:cstheme="majorHAnsi"/>
          <w:b w:val="0"/>
          <w:bCs w:val="0"/>
          <w:i/>
          <w:sz w:val="24"/>
          <w:szCs w:val="24"/>
        </w:rPr>
        <w:t xml:space="preserve"> necorespunzătoare, variații zilnice de presiune, materiale cu defecțiuni. La rețelele de distribuție existente, la care se efectuează retehnologizări și/sau extinderi, pierderile pot fi până la 35% (K</w:t>
      </w:r>
      <w:r w:rsidRPr="00156F68">
        <w:rPr>
          <w:rFonts w:asciiTheme="majorHAnsi" w:eastAsia="Times New Roman" w:hAnsiTheme="majorHAnsi" w:cstheme="majorHAnsi"/>
          <w:b w:val="0"/>
          <w:bCs w:val="0"/>
          <w:i/>
          <w:sz w:val="24"/>
          <w:szCs w:val="24"/>
          <w:vertAlign w:val="subscript"/>
        </w:rPr>
        <w:t>p</w:t>
      </w:r>
      <w:r w:rsidRPr="00156F68">
        <w:rPr>
          <w:rFonts w:asciiTheme="majorHAnsi" w:eastAsia="Times New Roman" w:hAnsiTheme="majorHAnsi" w:cstheme="majorHAnsi"/>
          <w:b w:val="0"/>
          <w:bCs w:val="0"/>
          <w:i/>
          <w:sz w:val="24"/>
          <w:szCs w:val="24"/>
        </w:rPr>
        <w:t>= 1,35). Procentele mai mari de 35% ale pierderilor de apă sunt considerate anormale și impun adoptarea unor măsuri corespunzătoare</w:t>
      </w:r>
      <w:r w:rsidRPr="00156F68">
        <w:rPr>
          <w:rFonts w:asciiTheme="majorHAnsi" w:eastAsia="Times New Roman" w:hAnsiTheme="majorHAnsi" w:cstheme="majorHAnsi"/>
          <w:b w:val="0"/>
          <w:bCs w:val="0"/>
          <w:sz w:val="24"/>
          <w:szCs w:val="24"/>
        </w:rPr>
        <w:t>”.</w:t>
      </w:r>
    </w:p>
    <w:p w:rsidR="00BE49FB" w:rsidRPr="008376FC" w:rsidRDefault="00BE49FB" w:rsidP="00A53967">
      <w:pPr>
        <w:widowControl w:val="0"/>
        <w:autoSpaceDE w:val="0"/>
        <w:autoSpaceDN w:val="0"/>
        <w:spacing w:after="0" w:line="276" w:lineRule="auto"/>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Pierderile mari de apă sunt condiționate </w:t>
      </w:r>
      <w:r w:rsidR="00763254">
        <w:rPr>
          <w:rFonts w:asciiTheme="majorHAnsi" w:eastAsia="Times New Roman" w:hAnsiTheme="majorHAnsi" w:cstheme="majorHAnsi"/>
          <w:b w:val="0"/>
          <w:bCs w:val="0"/>
          <w:sz w:val="24"/>
          <w:szCs w:val="24"/>
        </w:rPr>
        <w:t xml:space="preserve">și </w:t>
      </w:r>
      <w:r w:rsidRPr="008376FC">
        <w:rPr>
          <w:rFonts w:asciiTheme="majorHAnsi" w:eastAsia="Times New Roman" w:hAnsiTheme="majorHAnsi" w:cstheme="majorHAnsi"/>
          <w:b w:val="0"/>
          <w:bCs w:val="0"/>
          <w:sz w:val="24"/>
          <w:szCs w:val="24"/>
        </w:rPr>
        <w:t>de starea infrastructurii de captare,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aprovizionare și distribuție a apei, care a</w:t>
      </w:r>
      <w:r w:rsidR="00047E88">
        <w:rPr>
          <w:rFonts w:asciiTheme="majorHAnsi" w:eastAsia="Times New Roman" w:hAnsiTheme="majorHAnsi" w:cstheme="majorHAnsi"/>
          <w:b w:val="0"/>
          <w:bCs w:val="0"/>
          <w:sz w:val="24"/>
          <w:szCs w:val="24"/>
        </w:rPr>
        <w:t>re</w:t>
      </w:r>
      <w:r w:rsidRPr="008376FC">
        <w:rPr>
          <w:rFonts w:asciiTheme="majorHAnsi" w:eastAsia="Times New Roman" w:hAnsiTheme="majorHAnsi" w:cstheme="majorHAnsi"/>
          <w:b w:val="0"/>
          <w:bCs w:val="0"/>
          <w:sz w:val="24"/>
          <w:szCs w:val="24"/>
        </w:rPr>
        <w:t xml:space="preserve"> uzura avansată și </w:t>
      </w:r>
      <w:r w:rsidR="00047E88">
        <w:rPr>
          <w:rFonts w:asciiTheme="majorHAnsi" w:eastAsia="Times New Roman" w:hAnsiTheme="majorHAnsi" w:cstheme="majorHAnsi"/>
          <w:b w:val="0"/>
          <w:bCs w:val="0"/>
          <w:sz w:val="24"/>
          <w:szCs w:val="24"/>
        </w:rPr>
        <w:t>este</w:t>
      </w:r>
      <w:r w:rsidRPr="008376FC">
        <w:rPr>
          <w:rFonts w:asciiTheme="majorHAnsi" w:eastAsia="Times New Roman" w:hAnsiTheme="majorHAnsi" w:cstheme="majorHAnsi"/>
          <w:b w:val="0"/>
          <w:bCs w:val="0"/>
          <w:sz w:val="24"/>
          <w:szCs w:val="24"/>
        </w:rPr>
        <w:t xml:space="preserve"> construit</w:t>
      </w:r>
      <w:r w:rsidR="00047E88">
        <w:rPr>
          <w:rFonts w:asciiTheme="majorHAnsi" w:eastAsia="Times New Roman" w:hAnsiTheme="majorHAnsi" w:cstheme="majorHAnsi"/>
          <w:b w:val="0"/>
          <w:bCs w:val="0"/>
          <w:sz w:val="24"/>
          <w:szCs w:val="24"/>
        </w:rPr>
        <w:t>ă</w:t>
      </w:r>
      <w:r w:rsidRPr="008376FC">
        <w:rPr>
          <w:rFonts w:asciiTheme="majorHAnsi" w:eastAsia="Times New Roman" w:hAnsiTheme="majorHAnsi" w:cstheme="majorHAnsi"/>
          <w:b w:val="0"/>
          <w:bCs w:val="0"/>
          <w:sz w:val="24"/>
          <w:szCs w:val="24"/>
        </w:rPr>
        <w:t xml:space="preserve"> în anii </w:t>
      </w:r>
      <w:r w:rsidR="00795161">
        <w:rPr>
          <w:rFonts w:asciiTheme="majorHAnsi" w:eastAsia="Times New Roman" w:hAnsiTheme="majorHAnsi" w:cstheme="majorHAnsi"/>
          <w:b w:val="0"/>
          <w:bCs w:val="0"/>
          <w:sz w:val="24"/>
          <w:szCs w:val="24"/>
        </w:rPr>
        <w:t>50-60</w:t>
      </w:r>
      <w:r w:rsidR="00795161" w:rsidRPr="008376FC">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sz w:val="24"/>
          <w:szCs w:val="24"/>
        </w:rPr>
        <w:t>a</w:t>
      </w:r>
      <w:r w:rsidR="00047E88">
        <w:rPr>
          <w:rFonts w:asciiTheme="majorHAnsi" w:eastAsia="Times New Roman" w:hAnsiTheme="majorHAnsi" w:cstheme="majorHAnsi"/>
          <w:b w:val="0"/>
          <w:bCs w:val="0"/>
          <w:sz w:val="24"/>
          <w:szCs w:val="24"/>
        </w:rPr>
        <w:t>i</w:t>
      </w:r>
      <w:r w:rsidRPr="008376FC">
        <w:rPr>
          <w:rFonts w:asciiTheme="majorHAnsi" w:eastAsia="Times New Roman" w:hAnsiTheme="majorHAnsi" w:cstheme="majorHAnsi"/>
          <w:b w:val="0"/>
          <w:bCs w:val="0"/>
          <w:sz w:val="24"/>
          <w:szCs w:val="24"/>
        </w:rPr>
        <w:t xml:space="preserve"> secolului XX. Pentru determinarea stării acestei infrastructuri</w:t>
      </w:r>
      <w:r w:rsidR="00047E88">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a fost analizat</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gradul de uzură a</w:t>
      </w:r>
      <w:r w:rsidR="00047E88">
        <w:rPr>
          <w:rFonts w:asciiTheme="majorHAnsi" w:eastAsia="Times New Roman" w:hAnsiTheme="majorHAnsi" w:cstheme="majorHAnsi"/>
          <w:b w:val="0"/>
          <w:bCs w:val="0"/>
          <w:sz w:val="24"/>
          <w:szCs w:val="24"/>
        </w:rPr>
        <w:t>l</w:t>
      </w:r>
      <w:r w:rsidRPr="008376FC">
        <w:rPr>
          <w:rFonts w:asciiTheme="majorHAnsi" w:eastAsia="Times New Roman" w:hAnsiTheme="majorHAnsi" w:cstheme="majorHAnsi"/>
          <w:b w:val="0"/>
          <w:bCs w:val="0"/>
          <w:sz w:val="24"/>
          <w:szCs w:val="24"/>
        </w:rPr>
        <w:t xml:space="preserve"> construcțiilor speciale la unele întreprinderi care deservesc centrele raionale.</w:t>
      </w:r>
    </w:p>
    <w:p w:rsidR="00BE49FB" w:rsidRPr="008376FC" w:rsidRDefault="00BE49FB" w:rsidP="00A53967">
      <w:pPr>
        <w:widowControl w:val="0"/>
        <w:autoSpaceDE w:val="0"/>
        <w:autoSpaceDN w:val="0"/>
        <w:spacing w:after="0" w:line="276" w:lineRule="auto"/>
        <w:jc w:val="both"/>
        <w:rPr>
          <w:rFonts w:asciiTheme="majorHAnsi" w:eastAsia="Times New Roman" w:hAnsiTheme="majorHAnsi" w:cstheme="majorHAnsi"/>
          <w:sz w:val="24"/>
          <w:szCs w:val="24"/>
        </w:rPr>
      </w:pPr>
      <w:r w:rsidRPr="008376FC">
        <w:rPr>
          <w:rFonts w:asciiTheme="majorHAnsi" w:eastAsia="Times New Roman" w:hAnsiTheme="majorHAnsi" w:cstheme="majorHAnsi"/>
          <w:b w:val="0"/>
          <w:bCs w:val="0"/>
          <w:sz w:val="24"/>
          <w:szCs w:val="24"/>
        </w:rPr>
        <w:t>Analizele de audit denotă că, deja în anul 2019</w:t>
      </w:r>
      <w:r w:rsidRPr="008376FC">
        <w:rPr>
          <w:rFonts w:asciiTheme="majorHAnsi" w:eastAsia="Times New Roman" w:hAnsiTheme="majorHAnsi" w:cstheme="majorHAnsi"/>
          <w:b w:val="0"/>
          <w:bCs w:val="0"/>
          <w:sz w:val="24"/>
          <w:szCs w:val="24"/>
          <w:vertAlign w:val="superscript"/>
        </w:rPr>
        <w:footnoteReference w:id="81"/>
      </w:r>
      <w:r w:rsidRPr="008376FC">
        <w:rPr>
          <w:rFonts w:asciiTheme="majorHAnsi" w:eastAsia="Times New Roman" w:hAnsiTheme="majorHAnsi" w:cstheme="majorHAnsi"/>
          <w:b w:val="0"/>
          <w:bCs w:val="0"/>
          <w:sz w:val="24"/>
          <w:szCs w:val="24"/>
        </w:rPr>
        <w:t>, gradul de uzură la construcții</w:t>
      </w:r>
      <w:r w:rsidR="00047E88">
        <w:rPr>
          <w:rFonts w:asciiTheme="majorHAnsi" w:eastAsia="Times New Roman" w:hAnsiTheme="majorHAnsi" w:cstheme="majorHAnsi"/>
          <w:b w:val="0"/>
          <w:bCs w:val="0"/>
          <w:sz w:val="24"/>
          <w:szCs w:val="24"/>
        </w:rPr>
        <w:t>le</w:t>
      </w:r>
      <w:r w:rsidRPr="008376FC">
        <w:rPr>
          <w:rFonts w:asciiTheme="majorHAnsi" w:eastAsia="Times New Roman" w:hAnsiTheme="majorHAnsi" w:cstheme="majorHAnsi"/>
          <w:b w:val="0"/>
          <w:bCs w:val="0"/>
          <w:sz w:val="24"/>
          <w:szCs w:val="24"/>
        </w:rPr>
        <w:t xml:space="preserve"> speciale a variat între 2,2% și 95,8%. Cel mai înalt nivel de uzură la construcții speciale a fost înregistrat </w:t>
      </w:r>
      <w:r w:rsidR="00047E88">
        <w:rPr>
          <w:rFonts w:asciiTheme="majorHAnsi" w:eastAsia="Times New Roman" w:hAnsiTheme="majorHAnsi" w:cstheme="majorHAnsi"/>
          <w:b w:val="0"/>
          <w:bCs w:val="0"/>
          <w:sz w:val="24"/>
          <w:szCs w:val="24"/>
        </w:rPr>
        <w:t>în</w:t>
      </w:r>
      <w:r w:rsidRPr="008376FC">
        <w:rPr>
          <w:rFonts w:asciiTheme="majorHAnsi" w:eastAsia="Times New Roman" w:hAnsiTheme="majorHAnsi" w:cstheme="majorHAnsi"/>
          <w:b w:val="0"/>
          <w:bCs w:val="0"/>
          <w:sz w:val="24"/>
          <w:szCs w:val="24"/>
        </w:rPr>
        <w:t xml:space="preserve"> mun. Bălți (96,3%), Cahul (95,8%), Ștefan Vodă (89,4%), Cantemir (85,5%), mun.Chișinău (83,5%), Edineț (81,2%) și Taraclia </w:t>
      </w:r>
      <w:r w:rsidR="00047E88">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79,2%</w:t>
      </w:r>
      <w:r w:rsidR="00047E88">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Astfel, din 31 de întreprinderi  analizate, la 16 întreprinderi gradul de uzură este peste 50%, la 12 întreprinderi variază între 20% și 50%, și doar la 2 întreprinderi gradul de uzură este sub 20%.</w:t>
      </w:r>
    </w:p>
    <w:p w:rsidR="00BE49FB" w:rsidRPr="008376FC" w:rsidRDefault="00BE49FB" w:rsidP="00F61756">
      <w:pPr>
        <w:widowControl w:val="0"/>
        <w:autoSpaceDE w:val="0"/>
        <w:autoSpaceDN w:val="0"/>
        <w:spacing w:after="0" w:line="276" w:lineRule="auto"/>
        <w:ind w:left="212" w:right="116" w:firstLine="708"/>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Figura nr</w:t>
      </w:r>
      <w:r w:rsidR="00F51F0F" w:rsidRPr="008376FC">
        <w:rPr>
          <w:rFonts w:asciiTheme="majorHAnsi" w:eastAsia="Times New Roman" w:hAnsiTheme="majorHAnsi" w:cstheme="majorHAnsi"/>
          <w:sz w:val="20"/>
          <w:szCs w:val="20"/>
        </w:rPr>
        <w:t xml:space="preserve">. </w:t>
      </w:r>
      <w:r w:rsidR="005E5D0D" w:rsidRPr="008376FC">
        <w:rPr>
          <w:rFonts w:asciiTheme="majorHAnsi" w:eastAsia="Times New Roman" w:hAnsiTheme="majorHAnsi" w:cstheme="majorHAnsi"/>
          <w:sz w:val="20"/>
          <w:szCs w:val="20"/>
        </w:rPr>
        <w:t>20</w:t>
      </w:r>
    </w:p>
    <w:p w:rsidR="00BE49FB" w:rsidRPr="008376FC" w:rsidRDefault="00BE49FB" w:rsidP="00F61756">
      <w:pPr>
        <w:widowControl w:val="0"/>
        <w:autoSpaceDE w:val="0"/>
        <w:autoSpaceDN w:val="0"/>
        <w:spacing w:after="0" w:line="276" w:lineRule="auto"/>
        <w:ind w:right="116"/>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noProof/>
          <w:spacing w:val="1"/>
          <w:sz w:val="24"/>
          <w:szCs w:val="24"/>
          <w:lang w:val="ru-RU" w:eastAsia="ru-RU"/>
        </w:rPr>
        <w:drawing>
          <wp:inline distT="0" distB="0" distL="0" distR="0">
            <wp:extent cx="6213231" cy="1982470"/>
            <wp:effectExtent l="0" t="0" r="0" b="0"/>
            <wp:docPr id="3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BE49FB" w:rsidRPr="008A59CA" w:rsidRDefault="00BE49FB" w:rsidP="00F61756">
      <w:pPr>
        <w:widowControl w:val="0"/>
        <w:autoSpaceDE w:val="0"/>
        <w:autoSpaceDN w:val="0"/>
        <w:spacing w:after="0" w:line="276" w:lineRule="auto"/>
        <w:ind w:left="212" w:right="116" w:firstLine="708"/>
        <w:jc w:val="both"/>
        <w:rPr>
          <w:rFonts w:asciiTheme="majorHAnsi" w:eastAsia="Times New Roman" w:hAnsiTheme="majorHAnsi" w:cstheme="majorHAnsi"/>
          <w:b w:val="0"/>
          <w:bCs w:val="0"/>
          <w:i/>
          <w:sz w:val="20"/>
          <w:szCs w:val="20"/>
        </w:rPr>
      </w:pPr>
      <w:r w:rsidRPr="008A59CA">
        <w:rPr>
          <w:rFonts w:asciiTheme="majorHAnsi" w:eastAsia="Times New Roman" w:hAnsiTheme="majorHAnsi" w:cstheme="majorHAnsi"/>
          <w:bCs w:val="0"/>
          <w:i/>
          <w:sz w:val="20"/>
          <w:szCs w:val="20"/>
        </w:rPr>
        <w:t>Sursa:</w:t>
      </w:r>
      <w:r w:rsidRPr="008A59CA">
        <w:rPr>
          <w:rFonts w:asciiTheme="majorHAnsi" w:eastAsia="Times New Roman" w:hAnsiTheme="majorHAnsi" w:cstheme="majorHAnsi"/>
          <w:b w:val="0"/>
          <w:bCs w:val="0"/>
          <w:i/>
          <w:sz w:val="20"/>
          <w:szCs w:val="20"/>
        </w:rPr>
        <w:t xml:space="preserve"> Date</w:t>
      </w:r>
      <w:r w:rsidR="0053052C">
        <w:rPr>
          <w:rFonts w:asciiTheme="majorHAnsi" w:eastAsia="Times New Roman" w:hAnsiTheme="majorHAnsi" w:cstheme="majorHAnsi"/>
          <w:b w:val="0"/>
          <w:bCs w:val="0"/>
          <w:i/>
          <w:sz w:val="20"/>
          <w:szCs w:val="20"/>
        </w:rPr>
        <w:t xml:space="preserve"> oferite de</w:t>
      </w:r>
      <w:r w:rsidRPr="008A59CA">
        <w:rPr>
          <w:rFonts w:asciiTheme="majorHAnsi" w:eastAsia="Times New Roman" w:hAnsiTheme="majorHAnsi" w:cstheme="majorHAnsi"/>
          <w:b w:val="0"/>
          <w:bCs w:val="0"/>
          <w:i/>
          <w:sz w:val="20"/>
          <w:szCs w:val="20"/>
        </w:rPr>
        <w:t xml:space="preserve"> BNS.</w:t>
      </w:r>
    </w:p>
    <w:p w:rsidR="005E5D0D" w:rsidRPr="008376FC" w:rsidRDefault="005E5D0D" w:rsidP="00F61756">
      <w:pPr>
        <w:widowControl w:val="0"/>
        <w:autoSpaceDE w:val="0"/>
        <w:autoSpaceDN w:val="0"/>
        <w:spacing w:after="0" w:line="276" w:lineRule="auto"/>
        <w:ind w:left="212" w:right="116" w:firstLine="708"/>
        <w:jc w:val="both"/>
        <w:rPr>
          <w:rFonts w:asciiTheme="majorHAnsi" w:eastAsia="Times New Roman" w:hAnsiTheme="majorHAnsi" w:cstheme="majorHAnsi"/>
          <w:b w:val="0"/>
          <w:bCs w:val="0"/>
          <w:sz w:val="24"/>
          <w:szCs w:val="24"/>
        </w:rPr>
      </w:pPr>
    </w:p>
    <w:p w:rsidR="008B0E0F" w:rsidRPr="008376FC" w:rsidRDefault="00BE49FB" w:rsidP="00F61756">
      <w:pPr>
        <w:widowControl w:val="0"/>
        <w:autoSpaceDE w:val="0"/>
        <w:autoSpaceDN w:val="0"/>
        <w:spacing w:after="0" w:line="276" w:lineRule="auto"/>
        <w:ind w:left="212" w:right="116" w:firstLine="708"/>
        <w:jc w:val="both"/>
        <w:rPr>
          <w:rFonts w:asciiTheme="majorHAnsi" w:eastAsia="Times New Roman" w:hAnsiTheme="majorHAnsi" w:cstheme="majorHAnsi"/>
          <w:sz w:val="24"/>
          <w:szCs w:val="24"/>
        </w:rPr>
      </w:pPr>
      <w:r w:rsidRPr="008376FC">
        <w:rPr>
          <w:rFonts w:asciiTheme="majorHAnsi" w:eastAsia="Times New Roman" w:hAnsiTheme="majorHAnsi" w:cstheme="majorHAnsi"/>
          <w:b w:val="0"/>
          <w:bCs w:val="0"/>
          <w:sz w:val="24"/>
          <w:szCs w:val="24"/>
        </w:rPr>
        <w:t>Gradul de uzură a mijloacelor fixe primite în gestiune</w:t>
      </w:r>
      <w:r w:rsidR="0053052C">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de asemenea</w:t>
      </w:r>
      <w:r w:rsidR="0053052C">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este avansat</w:t>
      </w:r>
      <w:r w:rsidR="008376FC">
        <w:rPr>
          <w:rFonts w:asciiTheme="majorHAnsi" w:eastAsia="Times New Roman" w:hAnsiTheme="majorHAnsi" w:cstheme="majorHAnsi"/>
          <w:b w:val="0"/>
          <w:bCs w:val="0"/>
          <w:sz w:val="24"/>
          <w:szCs w:val="24"/>
        </w:rPr>
        <w:t xml:space="preserve"> și var</w:t>
      </w:r>
      <w:r w:rsidR="002E31A3" w:rsidRPr="008376FC">
        <w:rPr>
          <w:rFonts w:asciiTheme="majorHAnsi" w:eastAsia="Times New Roman" w:hAnsiTheme="majorHAnsi" w:cstheme="majorHAnsi"/>
          <w:b w:val="0"/>
          <w:bCs w:val="0"/>
          <w:sz w:val="24"/>
          <w:szCs w:val="24"/>
        </w:rPr>
        <w:t>iază de la 1,4% la 98,5%</w:t>
      </w:r>
      <w:r w:rsidRPr="008376FC">
        <w:rPr>
          <w:rFonts w:asciiTheme="majorHAnsi" w:eastAsia="Times New Roman" w:hAnsiTheme="majorHAnsi" w:cstheme="majorHAnsi"/>
          <w:b w:val="0"/>
          <w:bCs w:val="0"/>
          <w:sz w:val="24"/>
          <w:szCs w:val="24"/>
        </w:rPr>
        <w:t>.</w:t>
      </w:r>
      <w:r w:rsidR="002E31A3" w:rsidRPr="008376FC">
        <w:rPr>
          <w:rFonts w:asciiTheme="majorHAnsi" w:eastAsia="Times New Roman" w:hAnsiTheme="majorHAnsi" w:cstheme="majorHAnsi"/>
          <w:sz w:val="24"/>
          <w:szCs w:val="24"/>
        </w:rPr>
        <w:t xml:space="preserve">                                                                              </w:t>
      </w:r>
      <w:r w:rsidR="00767969" w:rsidRPr="008376FC">
        <w:rPr>
          <w:rFonts w:asciiTheme="majorHAnsi" w:eastAsia="Times New Roman" w:hAnsiTheme="majorHAnsi" w:cstheme="majorHAnsi"/>
          <w:sz w:val="24"/>
          <w:szCs w:val="24"/>
        </w:rPr>
        <w:t xml:space="preserve">                                    </w:t>
      </w:r>
    </w:p>
    <w:p w:rsidR="00A53967" w:rsidRDefault="00A53967" w:rsidP="00F61756">
      <w:pPr>
        <w:widowControl w:val="0"/>
        <w:autoSpaceDE w:val="0"/>
        <w:autoSpaceDN w:val="0"/>
        <w:spacing w:after="0" w:line="276" w:lineRule="auto"/>
        <w:ind w:left="212" w:right="116" w:firstLine="708"/>
        <w:jc w:val="right"/>
        <w:rPr>
          <w:rFonts w:asciiTheme="majorHAnsi" w:eastAsia="Times New Roman" w:hAnsiTheme="majorHAnsi" w:cstheme="majorHAnsi"/>
          <w:sz w:val="24"/>
          <w:szCs w:val="24"/>
        </w:rPr>
      </w:pPr>
    </w:p>
    <w:p w:rsidR="00A53967" w:rsidRDefault="00A53967" w:rsidP="00F61756">
      <w:pPr>
        <w:widowControl w:val="0"/>
        <w:autoSpaceDE w:val="0"/>
        <w:autoSpaceDN w:val="0"/>
        <w:spacing w:after="0" w:line="276" w:lineRule="auto"/>
        <w:ind w:left="212" w:right="116" w:firstLine="708"/>
        <w:jc w:val="right"/>
        <w:rPr>
          <w:rFonts w:asciiTheme="majorHAnsi" w:eastAsia="Times New Roman" w:hAnsiTheme="majorHAnsi" w:cstheme="majorHAnsi"/>
          <w:sz w:val="24"/>
          <w:szCs w:val="24"/>
        </w:rPr>
      </w:pPr>
    </w:p>
    <w:p w:rsidR="00BE49FB" w:rsidRPr="00A53967" w:rsidRDefault="00767969" w:rsidP="00F61756">
      <w:pPr>
        <w:widowControl w:val="0"/>
        <w:autoSpaceDE w:val="0"/>
        <w:autoSpaceDN w:val="0"/>
        <w:spacing w:after="0" w:line="276" w:lineRule="auto"/>
        <w:ind w:left="212" w:right="116" w:firstLine="708"/>
        <w:jc w:val="right"/>
        <w:rPr>
          <w:rFonts w:asciiTheme="majorHAnsi" w:eastAsia="Times New Roman" w:hAnsiTheme="majorHAnsi" w:cstheme="majorHAnsi"/>
          <w:sz w:val="20"/>
          <w:szCs w:val="20"/>
        </w:rPr>
      </w:pPr>
      <w:r w:rsidRPr="00A53967">
        <w:rPr>
          <w:rFonts w:asciiTheme="majorHAnsi" w:eastAsia="Times New Roman" w:hAnsiTheme="majorHAnsi" w:cstheme="majorHAnsi"/>
          <w:sz w:val="20"/>
          <w:szCs w:val="20"/>
        </w:rPr>
        <w:t xml:space="preserve">   </w:t>
      </w:r>
      <w:r w:rsidR="002E31A3" w:rsidRPr="00A53967">
        <w:rPr>
          <w:rFonts w:asciiTheme="majorHAnsi" w:eastAsia="Times New Roman" w:hAnsiTheme="majorHAnsi" w:cstheme="majorHAnsi"/>
          <w:sz w:val="20"/>
          <w:szCs w:val="20"/>
        </w:rPr>
        <w:t xml:space="preserve"> </w:t>
      </w:r>
      <w:r w:rsidR="00BE49FB" w:rsidRPr="00A53967">
        <w:rPr>
          <w:rFonts w:asciiTheme="majorHAnsi" w:eastAsia="Times New Roman" w:hAnsiTheme="majorHAnsi" w:cstheme="majorHAnsi"/>
          <w:sz w:val="20"/>
          <w:szCs w:val="20"/>
        </w:rPr>
        <w:t>F</w:t>
      </w:r>
      <w:r w:rsidR="00F51F0F" w:rsidRPr="00A53967">
        <w:rPr>
          <w:rFonts w:asciiTheme="majorHAnsi" w:eastAsia="Times New Roman" w:hAnsiTheme="majorHAnsi" w:cstheme="majorHAnsi"/>
          <w:sz w:val="20"/>
          <w:szCs w:val="20"/>
        </w:rPr>
        <w:t>igura  nr.</w:t>
      </w:r>
      <w:r w:rsidR="0092109D" w:rsidRPr="00A53967">
        <w:rPr>
          <w:rFonts w:asciiTheme="majorHAnsi" w:eastAsia="Times New Roman" w:hAnsiTheme="majorHAnsi" w:cstheme="majorHAnsi"/>
          <w:sz w:val="20"/>
          <w:szCs w:val="20"/>
        </w:rPr>
        <w:t>21</w:t>
      </w:r>
      <w:r w:rsidR="00BE49FB" w:rsidRPr="00A53967">
        <w:rPr>
          <w:rFonts w:asciiTheme="majorHAnsi" w:eastAsia="Times New Roman" w:hAnsiTheme="majorHAnsi" w:cstheme="majorHAnsi"/>
          <w:sz w:val="20"/>
          <w:szCs w:val="20"/>
        </w:rPr>
        <w:t xml:space="preserve"> </w:t>
      </w:r>
    </w:p>
    <w:p w:rsidR="00BE49FB" w:rsidRPr="008376FC" w:rsidRDefault="00BE49FB" w:rsidP="00F61756">
      <w:pPr>
        <w:widowControl w:val="0"/>
        <w:autoSpaceDE w:val="0"/>
        <w:autoSpaceDN w:val="0"/>
        <w:spacing w:after="0" w:line="276" w:lineRule="auto"/>
        <w:ind w:right="116"/>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noProof/>
          <w:spacing w:val="1"/>
          <w:sz w:val="24"/>
          <w:szCs w:val="24"/>
          <w:lang w:val="ru-RU" w:eastAsia="ru-RU"/>
        </w:rPr>
        <w:drawing>
          <wp:inline distT="0" distB="0" distL="0" distR="0">
            <wp:extent cx="6106363" cy="1609344"/>
            <wp:effectExtent l="19050" t="0" r="27737" b="0"/>
            <wp:docPr id="36"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BE49FB" w:rsidRDefault="00BE49FB" w:rsidP="00F61756">
      <w:pPr>
        <w:widowControl w:val="0"/>
        <w:autoSpaceDE w:val="0"/>
        <w:autoSpaceDN w:val="0"/>
        <w:spacing w:after="0" w:line="276" w:lineRule="auto"/>
        <w:ind w:right="116"/>
        <w:jc w:val="both"/>
        <w:rPr>
          <w:rFonts w:asciiTheme="majorHAnsi" w:eastAsia="Times New Roman" w:hAnsiTheme="majorHAnsi" w:cstheme="majorHAnsi"/>
          <w:b w:val="0"/>
          <w:bCs w:val="0"/>
          <w:i/>
          <w:sz w:val="20"/>
          <w:szCs w:val="20"/>
        </w:rPr>
      </w:pPr>
      <w:r w:rsidRPr="008A59CA">
        <w:rPr>
          <w:rFonts w:asciiTheme="majorHAnsi" w:eastAsia="Times New Roman" w:hAnsiTheme="majorHAnsi" w:cstheme="majorHAnsi"/>
          <w:bCs w:val="0"/>
          <w:i/>
          <w:sz w:val="20"/>
          <w:szCs w:val="20"/>
        </w:rPr>
        <w:t>Sursa:</w:t>
      </w:r>
      <w:r w:rsidRPr="008A59CA">
        <w:rPr>
          <w:rFonts w:asciiTheme="majorHAnsi" w:eastAsia="Times New Roman" w:hAnsiTheme="majorHAnsi" w:cstheme="majorHAnsi"/>
          <w:b w:val="0"/>
          <w:bCs w:val="0"/>
          <w:i/>
          <w:sz w:val="20"/>
          <w:szCs w:val="20"/>
        </w:rPr>
        <w:t xml:space="preserve"> Date</w:t>
      </w:r>
      <w:r w:rsidR="0053052C">
        <w:rPr>
          <w:rFonts w:asciiTheme="majorHAnsi" w:eastAsia="Times New Roman" w:hAnsiTheme="majorHAnsi" w:cstheme="majorHAnsi"/>
          <w:b w:val="0"/>
          <w:bCs w:val="0"/>
          <w:i/>
          <w:sz w:val="20"/>
          <w:szCs w:val="20"/>
        </w:rPr>
        <w:t xml:space="preserve"> oferite d</w:t>
      </w:r>
      <w:r w:rsidRPr="008A59CA">
        <w:rPr>
          <w:rFonts w:asciiTheme="majorHAnsi" w:eastAsia="Times New Roman" w:hAnsiTheme="majorHAnsi" w:cstheme="majorHAnsi"/>
          <w:b w:val="0"/>
          <w:bCs w:val="0"/>
          <w:i/>
          <w:sz w:val="20"/>
          <w:szCs w:val="20"/>
        </w:rPr>
        <w:t>e BNS.</w:t>
      </w:r>
    </w:p>
    <w:p w:rsidR="00983223" w:rsidRPr="008A59CA" w:rsidRDefault="00983223" w:rsidP="00F61756">
      <w:pPr>
        <w:widowControl w:val="0"/>
        <w:autoSpaceDE w:val="0"/>
        <w:autoSpaceDN w:val="0"/>
        <w:spacing w:after="0" w:line="276" w:lineRule="auto"/>
        <w:ind w:right="116"/>
        <w:jc w:val="both"/>
        <w:rPr>
          <w:rFonts w:asciiTheme="majorHAnsi" w:eastAsia="Times New Roman" w:hAnsiTheme="majorHAnsi" w:cstheme="majorHAnsi"/>
          <w:b w:val="0"/>
          <w:bCs w:val="0"/>
          <w:i/>
          <w:sz w:val="20"/>
          <w:szCs w:val="20"/>
        </w:rPr>
      </w:pPr>
    </w:p>
    <w:p w:rsidR="00BE49FB" w:rsidRPr="008376FC" w:rsidRDefault="00BE49FB" w:rsidP="00F61756">
      <w:pPr>
        <w:widowControl w:val="0"/>
        <w:autoSpaceDE w:val="0"/>
        <w:autoSpaceDN w:val="0"/>
        <w:spacing w:after="0" w:line="276" w:lineRule="auto"/>
        <w:ind w:right="-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Conform informații</w:t>
      </w:r>
      <w:r w:rsidR="0053052C">
        <w:rPr>
          <w:rFonts w:asciiTheme="majorHAnsi" w:eastAsia="Times New Roman" w:hAnsiTheme="majorHAnsi" w:cstheme="majorHAnsi"/>
          <w:b w:val="0"/>
          <w:bCs w:val="0"/>
          <w:sz w:val="24"/>
          <w:szCs w:val="24"/>
        </w:rPr>
        <w:t>lor</w:t>
      </w:r>
      <w:r w:rsidRPr="008376FC">
        <w:rPr>
          <w:rFonts w:asciiTheme="majorHAnsi" w:eastAsia="Times New Roman" w:hAnsiTheme="majorHAnsi" w:cstheme="majorHAnsi"/>
          <w:b w:val="0"/>
          <w:bCs w:val="0"/>
          <w:sz w:val="24"/>
          <w:szCs w:val="24"/>
        </w:rPr>
        <w:t xml:space="preserve"> prezentate de unele întreprinderi, la finele anului 2021 gradul de uzură la unele apeducte și sisteme de canalizare constitui</w:t>
      </w:r>
      <w:r w:rsidR="0053052C">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z w:val="24"/>
          <w:szCs w:val="24"/>
        </w:rPr>
        <w:t xml:space="preserve"> 100%. A</w:t>
      </w:r>
      <w:r w:rsidR="0053052C">
        <w:rPr>
          <w:rFonts w:asciiTheme="majorHAnsi" w:eastAsia="Times New Roman" w:hAnsiTheme="majorHAnsi" w:cstheme="majorHAnsi"/>
          <w:b w:val="0"/>
          <w:bCs w:val="0"/>
          <w:sz w:val="24"/>
          <w:szCs w:val="24"/>
        </w:rPr>
        <w:t>stfel</w:t>
      </w:r>
      <w:r w:rsidRPr="008376FC">
        <w:rPr>
          <w:rFonts w:asciiTheme="majorHAnsi" w:eastAsia="Times New Roman" w:hAnsiTheme="majorHAnsi" w:cstheme="majorHAnsi"/>
          <w:b w:val="0"/>
          <w:bCs w:val="0"/>
          <w:sz w:val="24"/>
          <w:szCs w:val="24"/>
        </w:rPr>
        <w:t>, la Bălți gradul de uzură la construcții</w:t>
      </w:r>
      <w:r w:rsidR="0053052C">
        <w:rPr>
          <w:rFonts w:asciiTheme="majorHAnsi" w:eastAsia="Times New Roman" w:hAnsiTheme="majorHAnsi" w:cstheme="majorHAnsi"/>
          <w:b w:val="0"/>
          <w:bCs w:val="0"/>
          <w:sz w:val="24"/>
          <w:szCs w:val="24"/>
        </w:rPr>
        <w:t>le</w:t>
      </w:r>
      <w:r w:rsidRPr="008376FC">
        <w:rPr>
          <w:rFonts w:asciiTheme="majorHAnsi" w:eastAsia="Times New Roman" w:hAnsiTheme="majorHAnsi" w:cstheme="majorHAnsi"/>
          <w:b w:val="0"/>
          <w:bCs w:val="0"/>
          <w:sz w:val="24"/>
          <w:szCs w:val="24"/>
        </w:rPr>
        <w:t xml:space="preserve"> speciale la finele anului 2022 </w:t>
      </w:r>
      <w:r w:rsidR="0053052C">
        <w:rPr>
          <w:rFonts w:asciiTheme="majorHAnsi" w:eastAsia="Times New Roman" w:hAnsiTheme="majorHAnsi" w:cstheme="majorHAnsi"/>
          <w:b w:val="0"/>
          <w:bCs w:val="0"/>
          <w:sz w:val="24"/>
          <w:szCs w:val="24"/>
        </w:rPr>
        <w:t>era</w:t>
      </w:r>
      <w:r w:rsidRPr="008376FC">
        <w:rPr>
          <w:rFonts w:asciiTheme="majorHAnsi" w:eastAsia="Times New Roman" w:hAnsiTheme="majorHAnsi" w:cstheme="majorHAnsi"/>
          <w:b w:val="0"/>
          <w:bCs w:val="0"/>
          <w:sz w:val="24"/>
          <w:szCs w:val="24"/>
        </w:rPr>
        <w:t xml:space="preserve"> de 100%, la Ocnița – rețele</w:t>
      </w:r>
      <w:r w:rsidR="0053052C">
        <w:rPr>
          <w:rFonts w:asciiTheme="majorHAnsi" w:eastAsia="Times New Roman" w:hAnsiTheme="majorHAnsi" w:cstheme="majorHAnsi"/>
          <w:b w:val="0"/>
          <w:bCs w:val="0"/>
          <w:sz w:val="24"/>
          <w:szCs w:val="24"/>
        </w:rPr>
        <w:t>le</w:t>
      </w:r>
      <w:r w:rsidRPr="008376FC">
        <w:rPr>
          <w:rFonts w:asciiTheme="majorHAnsi" w:eastAsia="Times New Roman" w:hAnsiTheme="majorHAnsi" w:cstheme="majorHAnsi"/>
          <w:b w:val="0"/>
          <w:bCs w:val="0"/>
          <w:sz w:val="24"/>
          <w:szCs w:val="24"/>
        </w:rPr>
        <w:t xml:space="preserve"> de apeduct </w:t>
      </w:r>
      <w:r w:rsidR="0053052C">
        <w:rPr>
          <w:rFonts w:asciiTheme="majorHAnsi" w:eastAsia="Times New Roman" w:hAnsiTheme="majorHAnsi" w:cstheme="majorHAnsi"/>
          <w:b w:val="0"/>
          <w:bCs w:val="0"/>
          <w:sz w:val="24"/>
          <w:szCs w:val="24"/>
        </w:rPr>
        <w:t>erau</w:t>
      </w:r>
      <w:r w:rsidRPr="008376FC">
        <w:rPr>
          <w:rFonts w:asciiTheme="majorHAnsi" w:eastAsia="Times New Roman" w:hAnsiTheme="majorHAnsi" w:cstheme="majorHAnsi"/>
          <w:b w:val="0"/>
          <w:bCs w:val="0"/>
          <w:sz w:val="24"/>
          <w:szCs w:val="24"/>
        </w:rPr>
        <w:t xml:space="preserve"> uzate la nivel de 66%, rețele de canalizate – 59%, stațiile de pompare – 100%, la Ștefan Vodă</w:t>
      </w:r>
      <w:r w:rsidR="0053052C">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din 5 apeducte, la 3 </w:t>
      </w:r>
      <w:r w:rsidR="00432489">
        <w:rPr>
          <w:rFonts w:asciiTheme="majorHAnsi" w:eastAsia="Times New Roman" w:hAnsiTheme="majorHAnsi" w:cstheme="majorHAnsi"/>
          <w:b w:val="0"/>
          <w:bCs w:val="0"/>
          <w:sz w:val="24"/>
          <w:szCs w:val="24"/>
        </w:rPr>
        <w:t xml:space="preserve">din ele </w:t>
      </w:r>
      <w:r w:rsidRPr="008376FC">
        <w:rPr>
          <w:rFonts w:asciiTheme="majorHAnsi" w:eastAsia="Times New Roman" w:hAnsiTheme="majorHAnsi" w:cstheme="majorHAnsi"/>
          <w:b w:val="0"/>
          <w:bCs w:val="0"/>
          <w:sz w:val="24"/>
          <w:szCs w:val="24"/>
        </w:rPr>
        <w:t xml:space="preserve">gradul de uzură </w:t>
      </w:r>
      <w:r w:rsidR="0053052C">
        <w:rPr>
          <w:rFonts w:asciiTheme="majorHAnsi" w:eastAsia="Times New Roman" w:hAnsiTheme="majorHAnsi" w:cstheme="majorHAnsi"/>
          <w:b w:val="0"/>
          <w:bCs w:val="0"/>
          <w:sz w:val="24"/>
          <w:szCs w:val="24"/>
        </w:rPr>
        <w:t>era de</w:t>
      </w:r>
      <w:r w:rsidRPr="008376FC">
        <w:rPr>
          <w:rFonts w:asciiTheme="majorHAnsi" w:eastAsia="Times New Roman" w:hAnsiTheme="majorHAnsi" w:cstheme="majorHAnsi"/>
          <w:b w:val="0"/>
          <w:bCs w:val="0"/>
          <w:sz w:val="24"/>
          <w:szCs w:val="24"/>
        </w:rPr>
        <w:t xml:space="preserve"> 100%, la  celelalte 2 -</w:t>
      </w:r>
      <w:r w:rsidR="0053052C">
        <w:rPr>
          <w:rFonts w:asciiTheme="majorHAnsi" w:eastAsia="Times New Roman" w:hAnsiTheme="majorHAnsi" w:cstheme="majorHAnsi"/>
          <w:b w:val="0"/>
          <w:bCs w:val="0"/>
          <w:sz w:val="24"/>
          <w:szCs w:val="24"/>
        </w:rPr>
        <w:t xml:space="preserve"> de</w:t>
      </w:r>
      <w:r w:rsidRPr="008376FC">
        <w:rPr>
          <w:rFonts w:asciiTheme="majorHAnsi" w:eastAsia="Times New Roman" w:hAnsiTheme="majorHAnsi" w:cstheme="majorHAnsi"/>
          <w:b w:val="0"/>
          <w:bCs w:val="0"/>
          <w:sz w:val="24"/>
          <w:szCs w:val="24"/>
        </w:rPr>
        <w:t xml:space="preserve"> 67% și 78%</w:t>
      </w:r>
      <w:r w:rsidR="0053052C">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respectiv, din 65 de obiective aferente stațiilor de pompare, 54 de obiective au gradul de uzură 100%, la celelalte obiective gradul de uzură variază de la 9,6% la 86,6%, iar din 44 de obiective aferente sistemelor de canalizare, 31 au gradul de uzură de 100%, la celelalte obiective gradul de uzură variază de la 0% până la 97,5%. </w:t>
      </w:r>
      <w:r w:rsidR="0053052C">
        <w:rPr>
          <w:rFonts w:asciiTheme="majorHAnsi" w:eastAsia="Times New Roman" w:hAnsiTheme="majorHAnsi" w:cstheme="majorHAnsi"/>
          <w:b w:val="0"/>
          <w:bCs w:val="0"/>
          <w:sz w:val="24"/>
          <w:szCs w:val="24"/>
        </w:rPr>
        <w:t>O s</w:t>
      </w:r>
      <w:r w:rsidRPr="008376FC">
        <w:rPr>
          <w:rFonts w:asciiTheme="majorHAnsi" w:eastAsia="Times New Roman" w:hAnsiTheme="majorHAnsi" w:cstheme="majorHAnsi"/>
          <w:b w:val="0"/>
          <w:bCs w:val="0"/>
          <w:sz w:val="24"/>
          <w:szCs w:val="24"/>
        </w:rPr>
        <w:t>ituați</w:t>
      </w:r>
      <w:r w:rsidR="0053052C">
        <w:rPr>
          <w:rFonts w:asciiTheme="majorHAnsi" w:eastAsia="Times New Roman" w:hAnsiTheme="majorHAnsi" w:cstheme="majorHAnsi"/>
          <w:b w:val="0"/>
          <w:bCs w:val="0"/>
          <w:sz w:val="24"/>
          <w:szCs w:val="24"/>
        </w:rPr>
        <w:t>e</w:t>
      </w:r>
      <w:r w:rsidRPr="008376FC">
        <w:rPr>
          <w:rFonts w:asciiTheme="majorHAnsi" w:eastAsia="Times New Roman" w:hAnsiTheme="majorHAnsi" w:cstheme="majorHAnsi"/>
          <w:b w:val="0"/>
          <w:bCs w:val="0"/>
          <w:sz w:val="24"/>
          <w:szCs w:val="24"/>
        </w:rPr>
        <w:t xml:space="preserve"> similară se atestă și la H</w:t>
      </w:r>
      <w:r w:rsidR="0053052C">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ncești</w:t>
      </w:r>
      <w:r w:rsidR="0053052C">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din 8 obiective de canalizare, la 5 gradul de uzură este de 100%, la celelalte obiective gradul de uzură variază între 50% și 66% etc.</w:t>
      </w:r>
    </w:p>
    <w:p w:rsidR="005C4A1E" w:rsidRPr="00156F68" w:rsidRDefault="005C4A1E" w:rsidP="00F61756">
      <w:pPr>
        <w:spacing w:after="0" w:line="276" w:lineRule="auto"/>
        <w:ind w:firstLine="709"/>
        <w:jc w:val="both"/>
        <w:rPr>
          <w:rFonts w:asciiTheme="majorHAnsi" w:eastAsia="Times New Roman" w:hAnsiTheme="majorHAnsi" w:cstheme="majorHAnsi"/>
          <w:b w:val="0"/>
          <w:bCs w:val="0"/>
          <w:sz w:val="24"/>
          <w:szCs w:val="24"/>
        </w:rPr>
      </w:pPr>
      <w:r w:rsidRPr="00156F68">
        <w:rPr>
          <w:rFonts w:asciiTheme="majorHAnsi" w:eastAsia="Times New Roman" w:hAnsiTheme="majorHAnsi" w:cstheme="majorHAnsi"/>
          <w:b w:val="0"/>
          <w:bCs w:val="0"/>
          <w:sz w:val="24"/>
          <w:szCs w:val="24"/>
        </w:rPr>
        <w:t>De menționat și faptul că mare</w:t>
      </w:r>
      <w:r w:rsidR="00216D27" w:rsidRPr="00156F68">
        <w:rPr>
          <w:rFonts w:asciiTheme="majorHAnsi" w:eastAsia="Times New Roman" w:hAnsiTheme="majorHAnsi" w:cstheme="majorHAnsi"/>
          <w:b w:val="0"/>
          <w:bCs w:val="0"/>
          <w:sz w:val="24"/>
          <w:szCs w:val="24"/>
        </w:rPr>
        <w:t>a</w:t>
      </w:r>
      <w:r w:rsidRPr="00156F68">
        <w:rPr>
          <w:rFonts w:asciiTheme="majorHAnsi" w:eastAsia="Times New Roman" w:hAnsiTheme="majorHAnsi" w:cstheme="majorHAnsi"/>
          <w:b w:val="0"/>
          <w:bCs w:val="0"/>
          <w:sz w:val="24"/>
          <w:szCs w:val="24"/>
        </w:rPr>
        <w:t xml:space="preserve"> parte a rețelelor construite în secolul XX sunt din oțel și fontă, care sunt în exploatare de peste 60-80 de ani și trebuiau să fie înlocuite </w:t>
      </w:r>
      <w:r w:rsidR="00216D27" w:rsidRPr="00156F68">
        <w:rPr>
          <w:rFonts w:asciiTheme="majorHAnsi" w:eastAsia="Times New Roman" w:hAnsiTheme="majorHAnsi" w:cstheme="majorHAnsi"/>
          <w:b w:val="0"/>
          <w:bCs w:val="0"/>
          <w:sz w:val="24"/>
          <w:szCs w:val="24"/>
        </w:rPr>
        <w:t>cu</w:t>
      </w:r>
      <w:r w:rsidRPr="00156F68">
        <w:rPr>
          <w:rFonts w:asciiTheme="majorHAnsi" w:eastAsia="Times New Roman" w:hAnsiTheme="majorHAnsi" w:cstheme="majorHAnsi"/>
          <w:b w:val="0"/>
          <w:bCs w:val="0"/>
          <w:sz w:val="24"/>
          <w:szCs w:val="24"/>
        </w:rPr>
        <w:t xml:space="preserve"> 35-50 ani în urmă</w:t>
      </w:r>
      <w:r w:rsidRPr="00156F68">
        <w:rPr>
          <w:rStyle w:val="ab"/>
          <w:rFonts w:asciiTheme="majorHAnsi" w:eastAsia="Times New Roman" w:hAnsiTheme="majorHAnsi" w:cstheme="majorHAnsi"/>
          <w:b w:val="0"/>
          <w:bCs w:val="0"/>
          <w:sz w:val="24"/>
          <w:szCs w:val="24"/>
        </w:rPr>
        <w:footnoteReference w:id="82"/>
      </w:r>
      <w:r w:rsidRPr="00156F68">
        <w:rPr>
          <w:rFonts w:asciiTheme="majorHAnsi" w:eastAsia="Times New Roman" w:hAnsiTheme="majorHAnsi" w:cstheme="majorHAnsi"/>
          <w:b w:val="0"/>
          <w:bCs w:val="0"/>
          <w:sz w:val="24"/>
          <w:szCs w:val="24"/>
        </w:rPr>
        <w:t xml:space="preserve">.  Neaplicarea unor coeficienți corespunzători termenului de exploatare reală față de cei stabiliți în Catalogul mijloacelor fixe și activelor nemateriale, conduce la neincluderea în tarif a pierderilor de apă real suportate de operatori, care sunt strict necesare pentru exploatarea sistemelor de alimentare cu apă și sanitație. </w:t>
      </w:r>
    </w:p>
    <w:p w:rsidR="005C4A1E" w:rsidRPr="00F77F6A" w:rsidRDefault="005C4A1E" w:rsidP="00F61756">
      <w:pPr>
        <w:spacing w:after="0" w:line="276" w:lineRule="auto"/>
        <w:ind w:firstLine="709"/>
        <w:jc w:val="both"/>
        <w:rPr>
          <w:rFonts w:asciiTheme="majorHAnsi" w:eastAsia="Times New Roman" w:hAnsiTheme="majorHAnsi" w:cstheme="majorHAnsi"/>
          <w:b w:val="0"/>
          <w:bCs w:val="0"/>
          <w:sz w:val="24"/>
          <w:szCs w:val="24"/>
        </w:rPr>
      </w:pPr>
      <w:r w:rsidRPr="00156F68">
        <w:rPr>
          <w:rFonts w:asciiTheme="majorHAnsi" w:eastAsia="Times New Roman" w:hAnsiTheme="majorHAnsi" w:cstheme="majorHAnsi"/>
          <w:b w:val="0"/>
          <w:bCs w:val="0"/>
          <w:sz w:val="24"/>
          <w:szCs w:val="24"/>
        </w:rPr>
        <w:t>Abordarea aplicată de ANRE privind acceptarea parțială pentru includere în tarif a volumului de apă captat nu este corelată nici cu volumele de apă captate pentru care operatorii achită taxa pentru apă</w:t>
      </w:r>
      <w:r w:rsidRPr="00156F68">
        <w:rPr>
          <w:rStyle w:val="ab"/>
          <w:rFonts w:asciiTheme="majorHAnsi" w:eastAsia="Times New Roman" w:hAnsiTheme="majorHAnsi" w:cstheme="majorHAnsi"/>
          <w:b w:val="0"/>
          <w:bCs w:val="0"/>
          <w:sz w:val="24"/>
          <w:szCs w:val="24"/>
        </w:rPr>
        <w:footnoteReference w:id="83"/>
      </w:r>
      <w:r w:rsidRPr="00156F68">
        <w:rPr>
          <w:rFonts w:asciiTheme="majorHAnsi" w:eastAsia="Times New Roman" w:hAnsiTheme="majorHAnsi" w:cstheme="majorHAnsi"/>
          <w:b w:val="0"/>
          <w:bCs w:val="0"/>
          <w:sz w:val="24"/>
          <w:szCs w:val="24"/>
        </w:rPr>
        <w:t>, care se încasează la buget, astfel în tarif nefiind incluse cheltuieli</w:t>
      </w:r>
      <w:r w:rsidR="00216D27" w:rsidRPr="00156F68">
        <w:rPr>
          <w:rFonts w:asciiTheme="majorHAnsi" w:eastAsia="Times New Roman" w:hAnsiTheme="majorHAnsi" w:cstheme="majorHAnsi"/>
          <w:b w:val="0"/>
          <w:bCs w:val="0"/>
          <w:sz w:val="24"/>
          <w:szCs w:val="24"/>
        </w:rPr>
        <w:t>le</w:t>
      </w:r>
      <w:r w:rsidRPr="00156F68">
        <w:rPr>
          <w:rFonts w:asciiTheme="majorHAnsi" w:eastAsia="Times New Roman" w:hAnsiTheme="majorHAnsi" w:cstheme="majorHAnsi"/>
          <w:b w:val="0"/>
          <w:bCs w:val="0"/>
          <w:sz w:val="24"/>
          <w:szCs w:val="24"/>
        </w:rPr>
        <w:t xml:space="preserve"> financiare suportate efectiv. Neacceptarea pentru includere în tarif a volumelor real captate duce și la neincluderea în tarif și a costurilor totale aferente energiei electrice. Conform informațiilor prezentate de S.A. „ Ap</w:t>
      </w:r>
      <w:r w:rsidR="00216D27" w:rsidRPr="00156F68">
        <w:rPr>
          <w:rFonts w:asciiTheme="majorHAnsi" w:eastAsia="Times New Roman" w:hAnsiTheme="majorHAnsi" w:cstheme="majorHAnsi"/>
          <w:b w:val="0"/>
          <w:bCs w:val="0"/>
          <w:sz w:val="24"/>
          <w:szCs w:val="24"/>
        </w:rPr>
        <w:t>ă-</w:t>
      </w:r>
      <w:r w:rsidRPr="00156F68">
        <w:rPr>
          <w:rFonts w:asciiTheme="majorHAnsi" w:eastAsia="Times New Roman" w:hAnsiTheme="majorHAnsi" w:cstheme="majorHAnsi"/>
          <w:b w:val="0"/>
          <w:bCs w:val="0"/>
          <w:sz w:val="24"/>
          <w:szCs w:val="24"/>
        </w:rPr>
        <w:t xml:space="preserve"> Canal Chișinău”, doar în ultimul exercițiu de aprobare a tarifelor din ianuarie 2023, pentru includere în tarif nu au fost acceptate cheltuieli</w:t>
      </w:r>
      <w:r w:rsidR="00216D27" w:rsidRPr="00156F68">
        <w:rPr>
          <w:rFonts w:asciiTheme="majorHAnsi" w:eastAsia="Times New Roman" w:hAnsiTheme="majorHAnsi" w:cstheme="majorHAnsi"/>
          <w:b w:val="0"/>
          <w:bCs w:val="0"/>
          <w:sz w:val="24"/>
          <w:szCs w:val="24"/>
        </w:rPr>
        <w:t>le</w:t>
      </w:r>
      <w:r w:rsidRPr="00156F68">
        <w:rPr>
          <w:rFonts w:asciiTheme="majorHAnsi" w:eastAsia="Times New Roman" w:hAnsiTheme="majorHAnsi" w:cstheme="majorHAnsi"/>
          <w:b w:val="0"/>
          <w:bCs w:val="0"/>
          <w:sz w:val="24"/>
          <w:szCs w:val="24"/>
        </w:rPr>
        <w:t xml:space="preserve"> privind taxa pentru apă în cuantum de 2,6 mil.lei/an și cheltuieli</w:t>
      </w:r>
      <w:r w:rsidR="00216D27" w:rsidRPr="00156F68">
        <w:rPr>
          <w:rFonts w:asciiTheme="majorHAnsi" w:eastAsia="Times New Roman" w:hAnsiTheme="majorHAnsi" w:cstheme="majorHAnsi"/>
          <w:b w:val="0"/>
          <w:bCs w:val="0"/>
          <w:sz w:val="24"/>
          <w:szCs w:val="24"/>
        </w:rPr>
        <w:t>le</w:t>
      </w:r>
      <w:r w:rsidRPr="00156F68">
        <w:rPr>
          <w:rFonts w:asciiTheme="majorHAnsi" w:eastAsia="Times New Roman" w:hAnsiTheme="majorHAnsi" w:cstheme="majorHAnsi"/>
          <w:b w:val="0"/>
          <w:bCs w:val="0"/>
          <w:sz w:val="24"/>
          <w:szCs w:val="24"/>
        </w:rPr>
        <w:t xml:space="preserve"> pentru energie electrică de 16,4 mil.lei/an. În consecință, ca urmare a achitării integrale a taxei pentru apă și a energiei electrice consumate, conform regulilor stabilite de ANRE, prin mecanismul devierilor tarifare, costurile achitate</w:t>
      </w:r>
      <w:r w:rsidR="00216D27" w:rsidRPr="00156F68">
        <w:rPr>
          <w:rFonts w:asciiTheme="majorHAnsi" w:eastAsia="Times New Roman" w:hAnsiTheme="majorHAnsi" w:cstheme="majorHAnsi"/>
          <w:b w:val="0"/>
          <w:bCs w:val="0"/>
          <w:sz w:val="24"/>
          <w:szCs w:val="24"/>
        </w:rPr>
        <w:t>,</w:t>
      </w:r>
      <w:r w:rsidRPr="00156F68">
        <w:rPr>
          <w:rFonts w:asciiTheme="majorHAnsi" w:eastAsia="Times New Roman" w:hAnsiTheme="majorHAnsi" w:cstheme="majorHAnsi"/>
          <w:b w:val="0"/>
          <w:bCs w:val="0"/>
          <w:sz w:val="24"/>
          <w:szCs w:val="24"/>
        </w:rPr>
        <w:t xml:space="preserve"> dar neincluse în tarif</w:t>
      </w:r>
      <w:r w:rsidR="00216D27" w:rsidRPr="00156F68">
        <w:rPr>
          <w:rFonts w:asciiTheme="majorHAnsi" w:eastAsia="Times New Roman" w:hAnsiTheme="majorHAnsi" w:cstheme="majorHAnsi"/>
          <w:b w:val="0"/>
          <w:bCs w:val="0"/>
          <w:sz w:val="24"/>
          <w:szCs w:val="24"/>
        </w:rPr>
        <w:t>,</w:t>
      </w:r>
      <w:r w:rsidRPr="00156F68">
        <w:rPr>
          <w:rFonts w:asciiTheme="majorHAnsi" w:eastAsia="Times New Roman" w:hAnsiTheme="majorHAnsi" w:cstheme="majorHAnsi"/>
          <w:b w:val="0"/>
          <w:bCs w:val="0"/>
          <w:sz w:val="24"/>
          <w:szCs w:val="24"/>
        </w:rPr>
        <w:t xml:space="preserve"> vor fi excluse suplimentar din tariful anului viitor, fiind clasificate ca mijloace utilizate contrar destinației.</w:t>
      </w:r>
    </w:p>
    <w:p w:rsidR="005C4A1E" w:rsidRPr="00F77F6A" w:rsidRDefault="005C4A1E" w:rsidP="00F61756">
      <w:pPr>
        <w:spacing w:after="0" w:line="276" w:lineRule="auto"/>
        <w:ind w:firstLine="709"/>
        <w:jc w:val="both"/>
        <w:rPr>
          <w:rFonts w:asciiTheme="majorHAnsi" w:eastAsia="Times New Roman" w:hAnsiTheme="majorHAnsi" w:cstheme="majorHAnsi"/>
          <w:b w:val="0"/>
          <w:bCs w:val="0"/>
          <w:i/>
          <w:sz w:val="24"/>
          <w:szCs w:val="24"/>
        </w:rPr>
      </w:pPr>
      <w:r w:rsidRPr="00156F68">
        <w:rPr>
          <w:rFonts w:asciiTheme="majorHAnsi" w:eastAsia="Times New Roman" w:hAnsiTheme="majorHAnsi" w:cstheme="majorHAnsi"/>
          <w:b w:val="0"/>
          <w:bCs w:val="0"/>
          <w:i/>
          <w:sz w:val="24"/>
          <w:szCs w:val="24"/>
        </w:rPr>
        <w:t xml:space="preserve">Astfel, tarifele sunt diminuate semnificativ față </w:t>
      </w:r>
      <w:r w:rsidR="00156F68" w:rsidRPr="00156F68">
        <w:rPr>
          <w:rFonts w:asciiTheme="majorHAnsi" w:eastAsia="Times New Roman" w:hAnsiTheme="majorHAnsi" w:cstheme="majorHAnsi"/>
          <w:b w:val="0"/>
          <w:bCs w:val="0"/>
          <w:i/>
          <w:sz w:val="24"/>
          <w:szCs w:val="24"/>
        </w:rPr>
        <w:t>de sine</w:t>
      </w:r>
      <w:r w:rsidRPr="00156F68">
        <w:rPr>
          <w:rFonts w:asciiTheme="majorHAnsi" w:eastAsia="Times New Roman" w:hAnsiTheme="majorHAnsi" w:cstheme="majorHAnsi"/>
          <w:b w:val="0"/>
          <w:bCs w:val="0"/>
          <w:i/>
          <w:sz w:val="24"/>
          <w:szCs w:val="24"/>
        </w:rPr>
        <w:t xml:space="preserve">costul serviciilor prestate, iar operatorii sunt în incapacitate financiară de a presta servicii calitative, de a efectua investiții, unii operatori pe parcursul anilor </w:t>
      </w:r>
      <w:r w:rsidR="00216D27" w:rsidRPr="00156F68">
        <w:rPr>
          <w:rFonts w:asciiTheme="majorHAnsi" w:eastAsia="Times New Roman" w:hAnsiTheme="majorHAnsi" w:cstheme="majorHAnsi"/>
          <w:b w:val="0"/>
          <w:bCs w:val="0"/>
          <w:i/>
          <w:sz w:val="24"/>
          <w:szCs w:val="24"/>
        </w:rPr>
        <w:t>i</w:t>
      </w:r>
      <w:r w:rsidRPr="00156F68">
        <w:rPr>
          <w:rFonts w:asciiTheme="majorHAnsi" w:eastAsia="Times New Roman" w:hAnsiTheme="majorHAnsi" w:cstheme="majorHAnsi"/>
          <w:b w:val="0"/>
          <w:bCs w:val="0"/>
          <w:i/>
          <w:sz w:val="24"/>
          <w:szCs w:val="24"/>
        </w:rPr>
        <w:t>ntrând în incapacitate de plată și insolvabilitate/faliment.</w:t>
      </w:r>
      <w:r w:rsidRPr="00F77F6A">
        <w:rPr>
          <w:rFonts w:asciiTheme="majorHAnsi" w:eastAsia="Times New Roman" w:hAnsiTheme="majorHAnsi" w:cstheme="majorHAnsi"/>
          <w:b w:val="0"/>
          <w:bCs w:val="0"/>
          <w:i/>
          <w:sz w:val="24"/>
          <w:szCs w:val="24"/>
        </w:rPr>
        <w:t xml:space="preserve"> </w:t>
      </w:r>
    </w:p>
    <w:p w:rsidR="002E31A3" w:rsidRPr="008376FC" w:rsidRDefault="002E31A3" w:rsidP="00F61756">
      <w:pPr>
        <w:widowControl w:val="0"/>
        <w:autoSpaceDE w:val="0"/>
        <w:autoSpaceDN w:val="0"/>
        <w:spacing w:after="0" w:line="276" w:lineRule="auto"/>
        <w:ind w:right="-2"/>
        <w:jc w:val="both"/>
        <w:rPr>
          <w:rFonts w:asciiTheme="majorHAnsi" w:eastAsia="Times New Roman" w:hAnsiTheme="majorHAnsi" w:cstheme="majorHAnsi"/>
          <w:b w:val="0"/>
          <w:bCs w:val="0"/>
          <w:sz w:val="24"/>
          <w:szCs w:val="24"/>
        </w:rPr>
      </w:pPr>
    </w:p>
    <w:p w:rsidR="00BE49FB" w:rsidRPr="008376FC" w:rsidRDefault="00BE49FB" w:rsidP="00F61756">
      <w:pPr>
        <w:pStyle w:val="a3"/>
        <w:numPr>
          <w:ilvl w:val="2"/>
          <w:numId w:val="38"/>
        </w:numPr>
        <w:tabs>
          <w:tab w:val="left" w:pos="851"/>
        </w:tabs>
        <w:spacing w:line="276" w:lineRule="auto"/>
        <w:ind w:left="0" w:firstLine="0"/>
        <w:jc w:val="both"/>
        <w:rPr>
          <w:rFonts w:asciiTheme="majorHAnsi" w:eastAsia="Calibri" w:hAnsiTheme="majorHAnsi" w:cstheme="majorHAnsi"/>
          <w:b/>
          <w:noProof/>
          <w:color w:val="0070C0"/>
          <w:lang w:val="en-US"/>
        </w:rPr>
      </w:pPr>
      <w:r w:rsidRPr="008376FC">
        <w:rPr>
          <w:rFonts w:asciiTheme="majorHAnsi" w:eastAsia="Calibri" w:hAnsiTheme="majorHAnsi" w:cstheme="majorHAnsi"/>
          <w:b/>
          <w:noProof/>
          <w:color w:val="0070C0"/>
          <w:lang w:val="en-US"/>
        </w:rPr>
        <w:t>Numărul sistemelor de canalizare a crescut nesemnificativ</w:t>
      </w:r>
      <w:r w:rsidR="0053052C">
        <w:rPr>
          <w:rFonts w:asciiTheme="majorHAnsi" w:eastAsia="Calibri" w:hAnsiTheme="majorHAnsi" w:cstheme="majorHAnsi"/>
          <w:b/>
          <w:noProof/>
          <w:color w:val="0070C0"/>
          <w:lang w:val="en-US"/>
        </w:rPr>
        <w:t>.</w:t>
      </w:r>
      <w:r w:rsidRPr="008376FC">
        <w:rPr>
          <w:rFonts w:asciiTheme="majorHAnsi" w:eastAsia="Calibri" w:hAnsiTheme="majorHAnsi" w:cstheme="majorHAnsi"/>
          <w:b/>
          <w:noProof/>
          <w:color w:val="0070C0"/>
          <w:lang w:val="en-US"/>
        </w:rPr>
        <w:t xml:space="preserve"> </w:t>
      </w:r>
    </w:p>
    <w:p w:rsidR="00BE49FB" w:rsidRDefault="00BE49FB" w:rsidP="00F61756">
      <w:pPr>
        <w:tabs>
          <w:tab w:val="left" w:pos="851"/>
        </w:tabs>
        <w:spacing w:before="120" w:after="0" w:line="276" w:lineRule="auto"/>
        <w:contextualSpacing/>
        <w:jc w:val="both"/>
        <w:rPr>
          <w:rFonts w:asciiTheme="majorHAnsi" w:eastAsia="Calibri" w:hAnsiTheme="majorHAnsi" w:cstheme="majorHAnsi"/>
          <w:b w:val="0"/>
          <w:bCs w:val="0"/>
          <w:noProof/>
          <w:sz w:val="24"/>
          <w:szCs w:val="24"/>
          <w:lang w:eastAsia="ru-RU"/>
        </w:rPr>
      </w:pPr>
      <w:r w:rsidRPr="008376FC">
        <w:rPr>
          <w:rFonts w:asciiTheme="majorHAnsi" w:eastAsia="Calibri" w:hAnsiTheme="majorHAnsi" w:cstheme="majorHAnsi"/>
          <w:b w:val="0"/>
          <w:bCs w:val="0"/>
          <w:noProof/>
          <w:sz w:val="24"/>
          <w:szCs w:val="24"/>
          <w:lang w:eastAsia="ru-RU"/>
        </w:rPr>
        <w:t>În anul 2021</w:t>
      </w:r>
      <w:r w:rsidR="00262516">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față de anul 2016, numărul sistemelor de canalizare </w:t>
      </w:r>
      <w:r w:rsidR="00FF4867">
        <w:rPr>
          <w:rFonts w:asciiTheme="majorHAnsi" w:eastAsia="Calibri" w:hAnsiTheme="majorHAnsi" w:cstheme="majorHAnsi"/>
          <w:b w:val="0"/>
          <w:bCs w:val="0"/>
          <w:noProof/>
          <w:sz w:val="24"/>
          <w:szCs w:val="24"/>
          <w:lang w:eastAsia="ru-RU"/>
        </w:rPr>
        <w:t>era</w:t>
      </w:r>
      <w:r w:rsidR="00FF4867" w:rsidRPr="008376FC">
        <w:rPr>
          <w:rFonts w:asciiTheme="majorHAnsi" w:eastAsia="Calibri" w:hAnsiTheme="majorHAnsi" w:cstheme="majorHAnsi"/>
          <w:b w:val="0"/>
          <w:bCs w:val="0"/>
          <w:noProof/>
          <w:sz w:val="24"/>
          <w:szCs w:val="24"/>
          <w:lang w:eastAsia="ru-RU"/>
        </w:rPr>
        <w:t xml:space="preserve"> </w:t>
      </w:r>
      <w:r w:rsidRPr="008376FC">
        <w:rPr>
          <w:rFonts w:asciiTheme="majorHAnsi" w:eastAsia="Calibri" w:hAnsiTheme="majorHAnsi" w:cstheme="majorHAnsi"/>
          <w:b w:val="0"/>
          <w:bCs w:val="0"/>
          <w:noProof/>
          <w:sz w:val="24"/>
          <w:szCs w:val="24"/>
          <w:lang w:eastAsia="ru-RU"/>
        </w:rPr>
        <w:t>în creștere nesemnificativă, de la 129 în anul 2016 la 133 de sisteme în anul 2021. Totodată, în unele raioane ale țării</w:t>
      </w:r>
      <w:r w:rsidR="00FF4867">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numărul lor este în creștere, în alte</w:t>
      </w:r>
      <w:r w:rsidR="00FF4867">
        <w:rPr>
          <w:rFonts w:asciiTheme="majorHAnsi" w:eastAsia="Calibri" w:hAnsiTheme="majorHAnsi" w:cstheme="majorHAnsi"/>
          <w:b w:val="0"/>
          <w:bCs w:val="0"/>
          <w:noProof/>
          <w:sz w:val="24"/>
          <w:szCs w:val="24"/>
          <w:lang w:eastAsia="ru-RU"/>
        </w:rPr>
        <w:t>le</w:t>
      </w:r>
      <w:r w:rsidRPr="008376FC">
        <w:rPr>
          <w:rFonts w:asciiTheme="majorHAnsi" w:eastAsia="Calibri" w:hAnsiTheme="majorHAnsi" w:cstheme="majorHAnsi"/>
          <w:b w:val="0"/>
          <w:bCs w:val="0"/>
          <w:noProof/>
          <w:sz w:val="24"/>
          <w:szCs w:val="24"/>
          <w:lang w:eastAsia="ru-RU"/>
        </w:rPr>
        <w:t xml:space="preserve"> s-a diminiat. Astfel, creșterea numărului de sisteme de canalizare se atestă în raioanele Călăraşi (+5), Floreşti, Ocniţa, Criuleni, Dubăsari, Ialoveni, Nisporeni, Şoldăneşti, Căuşeni </w:t>
      </w:r>
      <w:r w:rsidR="00FF4867">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câte una (+1), H</w:t>
      </w:r>
      <w:r w:rsidR="00FF4867">
        <w:rPr>
          <w:rFonts w:asciiTheme="majorHAnsi" w:eastAsia="Calibri" w:hAnsiTheme="majorHAnsi" w:cstheme="majorHAnsi"/>
          <w:b w:val="0"/>
          <w:bCs w:val="0"/>
          <w:noProof/>
          <w:sz w:val="24"/>
          <w:szCs w:val="24"/>
          <w:lang w:eastAsia="ru-RU"/>
        </w:rPr>
        <w:t>â</w:t>
      </w:r>
      <w:r w:rsidRPr="008376FC">
        <w:rPr>
          <w:rFonts w:asciiTheme="majorHAnsi" w:eastAsia="Calibri" w:hAnsiTheme="majorHAnsi" w:cstheme="majorHAnsi"/>
          <w:b w:val="0"/>
          <w:bCs w:val="0"/>
          <w:noProof/>
          <w:sz w:val="24"/>
          <w:szCs w:val="24"/>
          <w:lang w:eastAsia="ru-RU"/>
        </w:rPr>
        <w:t xml:space="preserve">nceşti și Leova </w:t>
      </w:r>
      <w:r w:rsidR="00FF4867">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câte (+2), Şoldăneşti (+3). </w:t>
      </w:r>
      <w:r w:rsidR="00FF4867">
        <w:rPr>
          <w:rFonts w:asciiTheme="majorHAnsi" w:eastAsia="Calibri" w:hAnsiTheme="majorHAnsi" w:cstheme="majorHAnsi"/>
          <w:b w:val="0"/>
          <w:bCs w:val="0"/>
          <w:noProof/>
          <w:sz w:val="24"/>
          <w:szCs w:val="24"/>
          <w:lang w:eastAsia="ru-RU"/>
        </w:rPr>
        <w:t>În</w:t>
      </w:r>
      <w:r w:rsidRPr="008376FC">
        <w:rPr>
          <w:rFonts w:asciiTheme="majorHAnsi" w:eastAsia="Calibri" w:hAnsiTheme="majorHAnsi" w:cstheme="majorHAnsi"/>
          <w:b w:val="0"/>
          <w:bCs w:val="0"/>
          <w:noProof/>
          <w:sz w:val="24"/>
          <w:szCs w:val="24"/>
          <w:lang w:eastAsia="ru-RU"/>
        </w:rPr>
        <w:t xml:space="preserve"> unele raioane</w:t>
      </w:r>
      <w:r w:rsidR="00FF4867">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numărul sistemelor </w:t>
      </w:r>
      <w:r w:rsidR="00FF4867">
        <w:rPr>
          <w:rFonts w:asciiTheme="majorHAnsi" w:eastAsia="Calibri" w:hAnsiTheme="majorHAnsi" w:cstheme="majorHAnsi"/>
          <w:b w:val="0"/>
          <w:bCs w:val="0"/>
          <w:noProof/>
          <w:sz w:val="24"/>
          <w:szCs w:val="24"/>
          <w:lang w:eastAsia="ru-RU"/>
        </w:rPr>
        <w:t>d</w:t>
      </w:r>
      <w:r w:rsidRPr="008376FC">
        <w:rPr>
          <w:rFonts w:asciiTheme="majorHAnsi" w:eastAsia="Calibri" w:hAnsiTheme="majorHAnsi" w:cstheme="majorHAnsi"/>
          <w:b w:val="0"/>
          <w:bCs w:val="0"/>
          <w:noProof/>
          <w:sz w:val="24"/>
          <w:szCs w:val="24"/>
          <w:lang w:eastAsia="ru-RU"/>
        </w:rPr>
        <w:t xml:space="preserve">e canalizare s-a diminuat. Astfel, în mun.Chisinău și </w:t>
      </w:r>
      <w:r w:rsidR="00FF4867">
        <w:rPr>
          <w:rFonts w:asciiTheme="majorHAnsi" w:eastAsia="Calibri" w:hAnsiTheme="majorHAnsi" w:cstheme="majorHAnsi"/>
          <w:b w:val="0"/>
          <w:bCs w:val="0"/>
          <w:noProof/>
          <w:sz w:val="24"/>
          <w:szCs w:val="24"/>
          <w:lang w:eastAsia="ru-RU"/>
        </w:rPr>
        <w:t xml:space="preserve">în </w:t>
      </w:r>
      <w:r w:rsidRPr="008376FC">
        <w:rPr>
          <w:rFonts w:asciiTheme="majorHAnsi" w:eastAsia="Calibri" w:hAnsiTheme="majorHAnsi" w:cstheme="majorHAnsi"/>
          <w:b w:val="0"/>
          <w:bCs w:val="0"/>
          <w:noProof/>
          <w:sz w:val="24"/>
          <w:szCs w:val="24"/>
          <w:lang w:eastAsia="ru-RU"/>
        </w:rPr>
        <w:t>raioanele Glodeni</w:t>
      </w:r>
      <w:r w:rsidR="00FF4867">
        <w:rPr>
          <w:rFonts w:asciiTheme="majorHAnsi" w:eastAsia="Calibri" w:hAnsiTheme="majorHAnsi" w:cstheme="majorHAnsi"/>
          <w:b w:val="0"/>
          <w:bCs w:val="0"/>
          <w:noProof/>
          <w:sz w:val="24"/>
          <w:szCs w:val="24"/>
          <w:lang w:eastAsia="ru-RU"/>
        </w:rPr>
        <w:t xml:space="preserve"> și</w:t>
      </w:r>
      <w:r w:rsidRPr="008376FC">
        <w:rPr>
          <w:rFonts w:asciiTheme="majorHAnsi" w:eastAsia="Calibri" w:hAnsiTheme="majorHAnsi" w:cstheme="majorHAnsi"/>
          <w:b w:val="0"/>
          <w:bCs w:val="0"/>
          <w:noProof/>
          <w:sz w:val="24"/>
          <w:szCs w:val="24"/>
          <w:lang w:eastAsia="ru-RU"/>
        </w:rPr>
        <w:t xml:space="preserve"> Cahul</w:t>
      </w:r>
      <w:r w:rsidR="00FF4867">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numărul lor s-a diminuat cu o unitate (-1), Anenii Noi (-2), Ştră</w:t>
      </w:r>
      <w:r w:rsidR="00FF4867">
        <w:rPr>
          <w:rFonts w:asciiTheme="majorHAnsi" w:eastAsia="Calibri" w:hAnsiTheme="majorHAnsi" w:cstheme="majorHAnsi"/>
          <w:b w:val="0"/>
          <w:bCs w:val="0"/>
          <w:noProof/>
          <w:sz w:val="24"/>
          <w:szCs w:val="24"/>
          <w:lang w:eastAsia="ru-RU"/>
        </w:rPr>
        <w:t>ș</w:t>
      </w:r>
      <w:r w:rsidRPr="008376FC">
        <w:rPr>
          <w:rFonts w:asciiTheme="majorHAnsi" w:eastAsia="Calibri" w:hAnsiTheme="majorHAnsi" w:cstheme="majorHAnsi"/>
          <w:b w:val="0"/>
          <w:bCs w:val="0"/>
          <w:noProof/>
          <w:sz w:val="24"/>
          <w:szCs w:val="24"/>
          <w:lang w:eastAsia="ru-RU"/>
        </w:rPr>
        <w:t>eni și Ștefan Vodă, câte (-3)</w:t>
      </w:r>
      <w:r w:rsidR="00FF4867">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Cimișlia (-5). De menționat că la Briceni p</w:t>
      </w:r>
      <w:r w:rsidR="00FF4867">
        <w:rPr>
          <w:rFonts w:asciiTheme="majorHAnsi" w:eastAsia="Calibri" w:hAnsiTheme="majorHAnsi" w:cstheme="majorHAnsi"/>
          <w:b w:val="0"/>
          <w:bCs w:val="0"/>
          <w:noProof/>
          <w:sz w:val="24"/>
          <w:szCs w:val="24"/>
          <w:lang w:eastAsia="ru-RU"/>
        </w:rPr>
        <w:t>â</w:t>
      </w:r>
      <w:r w:rsidRPr="008376FC">
        <w:rPr>
          <w:rFonts w:asciiTheme="majorHAnsi" w:eastAsia="Calibri" w:hAnsiTheme="majorHAnsi" w:cstheme="majorHAnsi"/>
          <w:b w:val="0"/>
          <w:bCs w:val="0"/>
          <w:noProof/>
          <w:sz w:val="24"/>
          <w:szCs w:val="24"/>
          <w:lang w:eastAsia="ru-RU"/>
        </w:rPr>
        <w:t xml:space="preserve">nă în prezent nu este niciun sistem de canalizare, iar </w:t>
      </w:r>
      <w:r w:rsidR="00FF4867">
        <w:rPr>
          <w:rFonts w:asciiTheme="majorHAnsi" w:eastAsia="Calibri" w:hAnsiTheme="majorHAnsi" w:cstheme="majorHAnsi"/>
          <w:b w:val="0"/>
          <w:bCs w:val="0"/>
          <w:noProof/>
          <w:sz w:val="24"/>
          <w:szCs w:val="24"/>
          <w:lang w:eastAsia="ru-RU"/>
        </w:rPr>
        <w:t>în</w:t>
      </w:r>
      <w:r w:rsidRPr="008376FC">
        <w:rPr>
          <w:rFonts w:asciiTheme="majorHAnsi" w:eastAsia="Calibri" w:hAnsiTheme="majorHAnsi" w:cstheme="majorHAnsi"/>
          <w:b w:val="0"/>
          <w:bCs w:val="0"/>
          <w:noProof/>
          <w:sz w:val="24"/>
          <w:szCs w:val="24"/>
          <w:lang w:eastAsia="ru-RU"/>
        </w:rPr>
        <w:t xml:space="preserve"> celela</w:t>
      </w:r>
      <w:r w:rsidR="00FF4867">
        <w:rPr>
          <w:rFonts w:asciiTheme="majorHAnsi" w:eastAsia="Calibri" w:hAnsiTheme="majorHAnsi" w:cstheme="majorHAnsi"/>
          <w:b w:val="0"/>
          <w:bCs w:val="0"/>
          <w:noProof/>
          <w:sz w:val="24"/>
          <w:szCs w:val="24"/>
          <w:lang w:eastAsia="ru-RU"/>
        </w:rPr>
        <w:t>l</w:t>
      </w:r>
      <w:r w:rsidRPr="008376FC">
        <w:rPr>
          <w:rFonts w:asciiTheme="majorHAnsi" w:eastAsia="Calibri" w:hAnsiTheme="majorHAnsi" w:cstheme="majorHAnsi"/>
          <w:b w:val="0"/>
          <w:bCs w:val="0"/>
          <w:noProof/>
          <w:sz w:val="24"/>
          <w:szCs w:val="24"/>
          <w:lang w:eastAsia="ru-RU"/>
        </w:rPr>
        <w:t xml:space="preserve">te raioane numărul sistemelor de canalizare a rămas la nivelul anului 2016. </w:t>
      </w:r>
    </w:p>
    <w:p w:rsidR="00BE49FB" w:rsidRPr="008376FC" w:rsidRDefault="00ED2CE9" w:rsidP="00F61756">
      <w:pPr>
        <w:tabs>
          <w:tab w:val="left" w:pos="851"/>
        </w:tabs>
        <w:spacing w:after="0" w:line="276" w:lineRule="auto"/>
        <w:ind w:left="1134"/>
        <w:contextualSpacing/>
        <w:jc w:val="right"/>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Cs w:val="0"/>
          <w:noProof/>
          <w:sz w:val="20"/>
          <w:szCs w:val="20"/>
          <w:lang w:eastAsia="ru-RU"/>
        </w:rPr>
        <w:t>Figura nr.</w:t>
      </w:r>
      <w:r w:rsidR="002E31A3" w:rsidRPr="008376FC">
        <w:rPr>
          <w:rFonts w:asciiTheme="majorHAnsi" w:eastAsia="Calibri" w:hAnsiTheme="majorHAnsi" w:cstheme="majorHAnsi"/>
          <w:bCs w:val="0"/>
          <w:noProof/>
          <w:sz w:val="20"/>
          <w:szCs w:val="20"/>
          <w:lang w:eastAsia="ru-RU"/>
        </w:rPr>
        <w:t>2</w:t>
      </w:r>
      <w:r w:rsidR="0092109D" w:rsidRPr="008376FC">
        <w:rPr>
          <w:rFonts w:asciiTheme="majorHAnsi" w:eastAsia="Calibri" w:hAnsiTheme="majorHAnsi" w:cstheme="majorHAnsi"/>
          <w:bCs w:val="0"/>
          <w:noProof/>
          <w:sz w:val="20"/>
          <w:szCs w:val="20"/>
          <w:lang w:eastAsia="ru-RU"/>
        </w:rPr>
        <w:t>2</w:t>
      </w:r>
    </w:p>
    <w:p w:rsidR="00BE49FB" w:rsidRPr="008376FC" w:rsidRDefault="00BE49FB" w:rsidP="00F61756">
      <w:pPr>
        <w:spacing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noProof/>
          <w:sz w:val="24"/>
          <w:szCs w:val="24"/>
          <w:lang w:val="ru-RU" w:eastAsia="ru-RU"/>
        </w:rPr>
        <w:drawing>
          <wp:inline distT="0" distB="0" distL="0" distR="0">
            <wp:extent cx="6143625" cy="2239010"/>
            <wp:effectExtent l="19050" t="0" r="9525" b="8890"/>
            <wp:docPr id="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BE49FB" w:rsidRPr="008A59CA" w:rsidRDefault="00BE49FB" w:rsidP="00F61756">
      <w:pPr>
        <w:spacing w:after="0" w:line="276" w:lineRule="auto"/>
        <w:jc w:val="both"/>
        <w:rPr>
          <w:rFonts w:asciiTheme="majorHAnsi" w:eastAsia="Calibri" w:hAnsiTheme="majorHAnsi" w:cstheme="majorHAnsi"/>
          <w:b w:val="0"/>
          <w:bCs w:val="0"/>
          <w:i/>
          <w:noProof/>
          <w:sz w:val="20"/>
          <w:szCs w:val="20"/>
          <w:lang w:eastAsia="ru-RU"/>
        </w:rPr>
      </w:pPr>
      <w:r w:rsidRPr="008A59CA">
        <w:rPr>
          <w:rFonts w:asciiTheme="majorHAnsi" w:eastAsia="Calibri" w:hAnsiTheme="majorHAnsi" w:cstheme="majorHAnsi"/>
          <w:bCs w:val="0"/>
          <w:i/>
          <w:noProof/>
          <w:sz w:val="20"/>
          <w:szCs w:val="20"/>
          <w:lang w:eastAsia="ru-RU"/>
        </w:rPr>
        <w:t>Sursa:</w:t>
      </w:r>
      <w:r w:rsidRPr="008A59CA">
        <w:rPr>
          <w:rFonts w:asciiTheme="majorHAnsi" w:eastAsia="Calibri" w:hAnsiTheme="majorHAnsi" w:cstheme="majorHAnsi"/>
          <w:b w:val="0"/>
          <w:bCs w:val="0"/>
          <w:i/>
          <w:noProof/>
          <w:sz w:val="20"/>
          <w:szCs w:val="20"/>
          <w:lang w:eastAsia="ru-RU"/>
        </w:rPr>
        <w:t xml:space="preserve"> Date</w:t>
      </w:r>
      <w:r w:rsidR="00FF4867">
        <w:rPr>
          <w:rFonts w:asciiTheme="majorHAnsi" w:eastAsia="Calibri" w:hAnsiTheme="majorHAnsi" w:cstheme="majorHAnsi"/>
          <w:b w:val="0"/>
          <w:bCs w:val="0"/>
          <w:i/>
          <w:noProof/>
          <w:sz w:val="20"/>
          <w:szCs w:val="20"/>
          <w:lang w:eastAsia="ru-RU"/>
        </w:rPr>
        <w:t xml:space="preserve"> oferite de</w:t>
      </w:r>
      <w:r w:rsidRPr="008A59CA">
        <w:rPr>
          <w:rFonts w:asciiTheme="majorHAnsi" w:eastAsia="Calibri" w:hAnsiTheme="majorHAnsi" w:cstheme="majorHAnsi"/>
          <w:b w:val="0"/>
          <w:bCs w:val="0"/>
          <w:i/>
          <w:noProof/>
          <w:sz w:val="20"/>
          <w:szCs w:val="20"/>
          <w:lang w:eastAsia="ru-RU"/>
        </w:rPr>
        <w:t xml:space="preserve"> BNS.</w:t>
      </w:r>
    </w:p>
    <w:p w:rsidR="002E31A3" w:rsidRPr="008376FC" w:rsidRDefault="002E31A3" w:rsidP="00F61756">
      <w:pPr>
        <w:spacing w:after="0" w:line="276" w:lineRule="auto"/>
        <w:jc w:val="both"/>
        <w:rPr>
          <w:rFonts w:asciiTheme="majorHAnsi" w:eastAsia="Calibri" w:hAnsiTheme="majorHAnsi" w:cstheme="majorHAnsi"/>
          <w:b w:val="0"/>
          <w:bCs w:val="0"/>
          <w:noProof/>
          <w:sz w:val="24"/>
          <w:szCs w:val="24"/>
          <w:lang w:eastAsia="ru-RU"/>
        </w:rPr>
      </w:pPr>
    </w:p>
    <w:p w:rsidR="00BE49FB" w:rsidRPr="008376FC" w:rsidRDefault="00BE49FB" w:rsidP="00F61756">
      <w:pPr>
        <w:pStyle w:val="a3"/>
        <w:numPr>
          <w:ilvl w:val="2"/>
          <w:numId w:val="38"/>
        </w:numPr>
        <w:spacing w:before="120" w:line="276" w:lineRule="auto"/>
        <w:ind w:left="0" w:firstLine="0"/>
        <w:jc w:val="both"/>
        <w:rPr>
          <w:rFonts w:asciiTheme="majorHAnsi" w:eastAsia="Calibri" w:hAnsiTheme="majorHAnsi" w:cstheme="majorHAnsi"/>
          <w:b/>
          <w:noProof/>
          <w:color w:val="0070C0"/>
          <w:lang w:val="en-US"/>
        </w:rPr>
      </w:pPr>
      <w:r w:rsidRPr="008376FC">
        <w:rPr>
          <w:rFonts w:asciiTheme="majorHAnsi" w:eastAsia="Calibri" w:hAnsiTheme="majorHAnsi" w:cstheme="majorHAnsi"/>
          <w:b/>
          <w:noProof/>
          <w:color w:val="0070C0"/>
          <w:lang w:val="en-US"/>
        </w:rPr>
        <w:t xml:space="preserve">Numărul </w:t>
      </w:r>
      <w:r w:rsidR="00FF4867">
        <w:rPr>
          <w:rFonts w:asciiTheme="majorHAnsi" w:eastAsia="Calibri" w:hAnsiTheme="majorHAnsi" w:cstheme="majorHAnsi"/>
          <w:b/>
          <w:noProof/>
          <w:color w:val="0070C0"/>
          <w:lang w:val="en-US"/>
        </w:rPr>
        <w:t>s</w:t>
      </w:r>
      <w:r w:rsidRPr="008376FC">
        <w:rPr>
          <w:rFonts w:asciiTheme="majorHAnsi" w:eastAsia="Calibri" w:hAnsiTheme="majorHAnsi" w:cstheme="majorHAnsi"/>
          <w:b/>
          <w:noProof/>
          <w:color w:val="0070C0"/>
          <w:lang w:val="en-US"/>
        </w:rPr>
        <w:t>tațiilor de tratare a apei este în creștere</w:t>
      </w:r>
      <w:r w:rsidR="00FF4867">
        <w:rPr>
          <w:rFonts w:asciiTheme="majorHAnsi" w:eastAsia="Calibri" w:hAnsiTheme="majorHAnsi" w:cstheme="majorHAnsi"/>
          <w:b/>
          <w:noProof/>
          <w:color w:val="0070C0"/>
          <w:lang w:val="en-US"/>
        </w:rPr>
        <w:t>.</w:t>
      </w:r>
    </w:p>
    <w:p w:rsidR="008A59CA" w:rsidRDefault="00BE49FB" w:rsidP="00F61756">
      <w:pPr>
        <w:spacing w:before="120" w:after="0" w:line="276" w:lineRule="auto"/>
        <w:ind w:firstLine="709"/>
        <w:jc w:val="both"/>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 w:val="0"/>
          <w:bCs w:val="0"/>
          <w:noProof/>
          <w:sz w:val="24"/>
          <w:szCs w:val="24"/>
          <w:lang w:eastAsia="ru-RU"/>
        </w:rPr>
        <w:t>În  comparație cu anul 2016</w:t>
      </w:r>
      <w:r w:rsidR="00FF4867">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în anul 2021 numărul stațiilor de trat</w:t>
      </w:r>
      <w:r w:rsidR="00964729" w:rsidRPr="008376FC">
        <w:rPr>
          <w:rFonts w:asciiTheme="majorHAnsi" w:eastAsia="Calibri" w:hAnsiTheme="majorHAnsi" w:cstheme="majorHAnsi"/>
          <w:b w:val="0"/>
          <w:bCs w:val="0"/>
          <w:noProof/>
          <w:sz w:val="24"/>
          <w:szCs w:val="24"/>
          <w:lang w:eastAsia="ru-RU"/>
        </w:rPr>
        <w:t>are a apei a crescut de la 62 pâ</w:t>
      </w:r>
      <w:r w:rsidRPr="008376FC">
        <w:rPr>
          <w:rFonts w:asciiTheme="majorHAnsi" w:eastAsia="Calibri" w:hAnsiTheme="majorHAnsi" w:cstheme="majorHAnsi"/>
          <w:b w:val="0"/>
          <w:bCs w:val="0"/>
          <w:noProof/>
          <w:sz w:val="24"/>
          <w:szCs w:val="24"/>
          <w:lang w:eastAsia="ru-RU"/>
        </w:rPr>
        <w:t xml:space="preserve">nă la 106. Cea mai semnificativă creștere a numărului de stații de tratare a </w:t>
      </w:r>
      <w:r w:rsidR="00EA4598">
        <w:rPr>
          <w:rFonts w:asciiTheme="majorHAnsi" w:eastAsia="Calibri" w:hAnsiTheme="majorHAnsi" w:cstheme="majorHAnsi"/>
          <w:b w:val="0"/>
          <w:bCs w:val="0"/>
          <w:noProof/>
          <w:sz w:val="24"/>
          <w:szCs w:val="24"/>
          <w:lang w:eastAsia="ru-RU"/>
        </w:rPr>
        <w:t xml:space="preserve"> apei</w:t>
      </w:r>
      <w:r w:rsidRPr="008376FC">
        <w:rPr>
          <w:rFonts w:asciiTheme="majorHAnsi" w:eastAsia="Calibri" w:hAnsiTheme="majorHAnsi" w:cstheme="majorHAnsi"/>
          <w:b w:val="0"/>
          <w:bCs w:val="0"/>
          <w:noProof/>
          <w:sz w:val="24"/>
          <w:szCs w:val="24"/>
          <w:lang w:eastAsia="ru-RU"/>
        </w:rPr>
        <w:t xml:space="preserve"> s-a întegistrat </w:t>
      </w:r>
      <w:r w:rsidR="00FF4867">
        <w:rPr>
          <w:rFonts w:asciiTheme="majorHAnsi" w:eastAsia="Calibri" w:hAnsiTheme="majorHAnsi" w:cstheme="majorHAnsi"/>
          <w:b w:val="0"/>
          <w:bCs w:val="0"/>
          <w:noProof/>
          <w:sz w:val="24"/>
          <w:szCs w:val="24"/>
          <w:lang w:eastAsia="ru-RU"/>
        </w:rPr>
        <w:t>în</w:t>
      </w:r>
      <w:r w:rsidRPr="008376FC">
        <w:rPr>
          <w:rFonts w:asciiTheme="majorHAnsi" w:eastAsia="Calibri" w:hAnsiTheme="majorHAnsi" w:cstheme="majorHAnsi"/>
          <w:b w:val="0"/>
          <w:bCs w:val="0"/>
          <w:noProof/>
          <w:sz w:val="24"/>
          <w:szCs w:val="24"/>
          <w:lang w:eastAsia="ru-RU"/>
        </w:rPr>
        <w:t xml:space="preserve"> UTA G</w:t>
      </w:r>
      <w:r w:rsidR="00FF4867">
        <w:rPr>
          <w:rFonts w:asciiTheme="majorHAnsi" w:eastAsia="Calibri" w:hAnsiTheme="majorHAnsi" w:cstheme="majorHAnsi"/>
          <w:b w:val="0"/>
          <w:bCs w:val="0"/>
          <w:noProof/>
          <w:sz w:val="24"/>
          <w:szCs w:val="24"/>
          <w:lang w:eastAsia="ru-RU"/>
        </w:rPr>
        <w:t>ă</w:t>
      </w:r>
      <w:r w:rsidRPr="008376FC">
        <w:rPr>
          <w:rFonts w:asciiTheme="majorHAnsi" w:eastAsia="Calibri" w:hAnsiTheme="majorHAnsi" w:cstheme="majorHAnsi"/>
          <w:b w:val="0"/>
          <w:bCs w:val="0"/>
          <w:noProof/>
          <w:sz w:val="24"/>
          <w:szCs w:val="24"/>
          <w:lang w:eastAsia="ru-RU"/>
        </w:rPr>
        <w:t>g</w:t>
      </w:r>
      <w:r w:rsidR="00FF4867">
        <w:rPr>
          <w:rFonts w:asciiTheme="majorHAnsi" w:eastAsia="Calibri" w:hAnsiTheme="majorHAnsi" w:cstheme="majorHAnsi"/>
          <w:b w:val="0"/>
          <w:bCs w:val="0"/>
          <w:noProof/>
          <w:sz w:val="24"/>
          <w:szCs w:val="24"/>
          <w:lang w:eastAsia="ru-RU"/>
        </w:rPr>
        <w:t>ă</w:t>
      </w:r>
      <w:r w:rsidRPr="008376FC">
        <w:rPr>
          <w:rFonts w:asciiTheme="majorHAnsi" w:eastAsia="Calibri" w:hAnsiTheme="majorHAnsi" w:cstheme="majorHAnsi"/>
          <w:b w:val="0"/>
          <w:bCs w:val="0"/>
          <w:noProof/>
          <w:sz w:val="24"/>
          <w:szCs w:val="24"/>
          <w:lang w:eastAsia="ru-RU"/>
        </w:rPr>
        <w:t>uzia (+15), Briceni (+5), Florești (+6), Strășeni și Şoldăneşti</w:t>
      </w:r>
      <w:r w:rsidR="00FF4867">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câte (+5), Basarabeasca (+4) etc. Totodată, în unele UAT se atestă diminuarea numătului de stații de tratare a apei: Anenii Noi (-8), Dub</w:t>
      </w:r>
      <w:r w:rsidR="00FF4867">
        <w:rPr>
          <w:rFonts w:asciiTheme="majorHAnsi" w:eastAsia="Calibri" w:hAnsiTheme="majorHAnsi" w:cstheme="majorHAnsi"/>
          <w:b w:val="0"/>
          <w:bCs w:val="0"/>
          <w:noProof/>
          <w:sz w:val="24"/>
          <w:szCs w:val="24"/>
          <w:lang w:eastAsia="ru-RU"/>
        </w:rPr>
        <w:t>ă</w:t>
      </w:r>
      <w:r w:rsidRPr="008376FC">
        <w:rPr>
          <w:rFonts w:asciiTheme="majorHAnsi" w:eastAsia="Calibri" w:hAnsiTheme="majorHAnsi" w:cstheme="majorHAnsi"/>
          <w:b w:val="0"/>
          <w:bCs w:val="0"/>
          <w:noProof/>
          <w:sz w:val="24"/>
          <w:szCs w:val="24"/>
          <w:lang w:eastAsia="ru-RU"/>
        </w:rPr>
        <w:t xml:space="preserve">sari și Ungheni – câte (-1), Cantemir (-2), Ștefan Vodă (-5). Nu au deloc stații de tratare a </w:t>
      </w:r>
      <w:r w:rsidR="00EA4598">
        <w:rPr>
          <w:rFonts w:asciiTheme="majorHAnsi" w:eastAsia="Calibri" w:hAnsiTheme="majorHAnsi" w:cstheme="majorHAnsi"/>
          <w:b w:val="0"/>
          <w:bCs w:val="0"/>
          <w:noProof/>
          <w:sz w:val="24"/>
          <w:szCs w:val="24"/>
          <w:lang w:eastAsia="ru-RU"/>
        </w:rPr>
        <w:t xml:space="preserve"> apei </w:t>
      </w:r>
      <w:r w:rsidRPr="008376FC">
        <w:rPr>
          <w:rFonts w:asciiTheme="majorHAnsi" w:eastAsia="Calibri" w:hAnsiTheme="majorHAnsi" w:cstheme="majorHAnsi"/>
          <w:b w:val="0"/>
          <w:bCs w:val="0"/>
          <w:sz w:val="24"/>
          <w:szCs w:val="24"/>
        </w:rPr>
        <w:t xml:space="preserve"> </w:t>
      </w:r>
      <w:r w:rsidR="00432489">
        <w:rPr>
          <w:rFonts w:asciiTheme="majorHAnsi" w:eastAsia="Calibri" w:hAnsiTheme="majorHAnsi" w:cstheme="majorHAnsi"/>
          <w:b w:val="0"/>
          <w:bCs w:val="0"/>
          <w:noProof/>
          <w:sz w:val="24"/>
          <w:szCs w:val="24"/>
          <w:lang w:eastAsia="ru-RU"/>
        </w:rPr>
        <w:t xml:space="preserve">mun.Bălţi, </w:t>
      </w:r>
      <w:r w:rsidRPr="008376FC">
        <w:rPr>
          <w:rFonts w:asciiTheme="majorHAnsi" w:eastAsia="Calibri" w:hAnsiTheme="majorHAnsi" w:cstheme="majorHAnsi"/>
          <w:b w:val="0"/>
          <w:bCs w:val="0"/>
          <w:noProof/>
          <w:sz w:val="24"/>
          <w:szCs w:val="24"/>
          <w:lang w:eastAsia="ru-RU"/>
        </w:rPr>
        <w:t>raioanele Drochia, Făleşti, S</w:t>
      </w:r>
      <w:r w:rsidR="00FF4867">
        <w:rPr>
          <w:rFonts w:asciiTheme="majorHAnsi" w:eastAsia="Calibri" w:hAnsiTheme="majorHAnsi" w:cstheme="majorHAnsi"/>
          <w:b w:val="0"/>
          <w:bCs w:val="0"/>
          <w:noProof/>
          <w:sz w:val="24"/>
          <w:szCs w:val="24"/>
          <w:lang w:eastAsia="ru-RU"/>
        </w:rPr>
        <w:t>â</w:t>
      </w:r>
      <w:r w:rsidRPr="008376FC">
        <w:rPr>
          <w:rFonts w:asciiTheme="majorHAnsi" w:eastAsia="Calibri" w:hAnsiTheme="majorHAnsi" w:cstheme="majorHAnsi"/>
          <w:b w:val="0"/>
          <w:bCs w:val="0"/>
          <w:noProof/>
          <w:sz w:val="24"/>
          <w:szCs w:val="24"/>
          <w:lang w:eastAsia="ru-RU"/>
        </w:rPr>
        <w:t>îngerei, Ialoveni, Căuşeni</w:t>
      </w:r>
      <w:r w:rsidR="00FF4867">
        <w:rPr>
          <w:rFonts w:asciiTheme="majorHAnsi" w:eastAsia="Calibri" w:hAnsiTheme="majorHAnsi" w:cstheme="majorHAnsi"/>
          <w:b w:val="0"/>
          <w:bCs w:val="0"/>
          <w:noProof/>
          <w:sz w:val="24"/>
          <w:szCs w:val="24"/>
          <w:lang w:eastAsia="ru-RU"/>
        </w:rPr>
        <w:t xml:space="preserve"> și</w:t>
      </w:r>
      <w:r w:rsidRPr="008376FC">
        <w:rPr>
          <w:rFonts w:asciiTheme="majorHAnsi" w:eastAsia="Calibri" w:hAnsiTheme="majorHAnsi" w:cstheme="majorHAnsi"/>
          <w:b w:val="0"/>
          <w:bCs w:val="0"/>
          <w:noProof/>
          <w:sz w:val="24"/>
          <w:szCs w:val="24"/>
          <w:lang w:eastAsia="ru-RU"/>
        </w:rPr>
        <w:t xml:space="preserve"> Cimișlia. </w:t>
      </w:r>
      <w:r w:rsidR="002E31A3" w:rsidRPr="008376FC">
        <w:rPr>
          <w:rFonts w:asciiTheme="majorHAnsi" w:eastAsia="Calibri" w:hAnsiTheme="majorHAnsi" w:cstheme="majorHAnsi"/>
          <w:bCs w:val="0"/>
          <w:noProof/>
          <w:sz w:val="20"/>
          <w:szCs w:val="20"/>
          <w:lang w:eastAsia="ru-RU"/>
        </w:rPr>
        <w:t xml:space="preserve">                                                                                                                        </w:t>
      </w:r>
      <w:r w:rsidR="00DC13EB" w:rsidRPr="008376FC">
        <w:rPr>
          <w:rFonts w:asciiTheme="majorHAnsi" w:eastAsia="Calibri" w:hAnsiTheme="majorHAnsi" w:cstheme="majorHAnsi"/>
          <w:bCs w:val="0"/>
          <w:noProof/>
          <w:sz w:val="20"/>
          <w:szCs w:val="20"/>
          <w:lang w:eastAsia="ru-RU"/>
        </w:rPr>
        <w:t xml:space="preserve">                                              </w:t>
      </w:r>
    </w:p>
    <w:p w:rsidR="00A53967" w:rsidRDefault="00A53967" w:rsidP="00F61756">
      <w:pPr>
        <w:spacing w:after="0" w:line="276" w:lineRule="auto"/>
        <w:contextualSpacing/>
        <w:jc w:val="right"/>
        <w:rPr>
          <w:rFonts w:asciiTheme="majorHAnsi" w:eastAsia="Calibri" w:hAnsiTheme="majorHAnsi" w:cstheme="majorHAnsi"/>
          <w:bCs w:val="0"/>
          <w:noProof/>
          <w:sz w:val="20"/>
          <w:szCs w:val="20"/>
          <w:lang w:eastAsia="ru-RU"/>
        </w:rPr>
      </w:pPr>
    </w:p>
    <w:p w:rsidR="00A53967" w:rsidRDefault="00A53967" w:rsidP="00F61756">
      <w:pPr>
        <w:spacing w:after="0" w:line="276" w:lineRule="auto"/>
        <w:contextualSpacing/>
        <w:jc w:val="right"/>
        <w:rPr>
          <w:rFonts w:asciiTheme="majorHAnsi" w:eastAsia="Calibri" w:hAnsiTheme="majorHAnsi" w:cstheme="majorHAnsi"/>
          <w:bCs w:val="0"/>
          <w:noProof/>
          <w:sz w:val="20"/>
          <w:szCs w:val="20"/>
          <w:lang w:eastAsia="ru-RU"/>
        </w:rPr>
      </w:pPr>
    </w:p>
    <w:p w:rsidR="00A53967" w:rsidRDefault="00A53967" w:rsidP="00F61756">
      <w:pPr>
        <w:spacing w:after="0" w:line="276" w:lineRule="auto"/>
        <w:contextualSpacing/>
        <w:jc w:val="right"/>
        <w:rPr>
          <w:rFonts w:asciiTheme="majorHAnsi" w:eastAsia="Calibri" w:hAnsiTheme="majorHAnsi" w:cstheme="majorHAnsi"/>
          <w:bCs w:val="0"/>
          <w:noProof/>
          <w:sz w:val="20"/>
          <w:szCs w:val="20"/>
          <w:lang w:eastAsia="ru-RU"/>
        </w:rPr>
      </w:pPr>
    </w:p>
    <w:p w:rsidR="00A53967" w:rsidRDefault="00A53967" w:rsidP="00F61756">
      <w:pPr>
        <w:spacing w:after="0" w:line="276" w:lineRule="auto"/>
        <w:contextualSpacing/>
        <w:jc w:val="right"/>
        <w:rPr>
          <w:rFonts w:asciiTheme="majorHAnsi" w:eastAsia="Calibri" w:hAnsiTheme="majorHAnsi" w:cstheme="majorHAnsi"/>
          <w:bCs w:val="0"/>
          <w:noProof/>
          <w:sz w:val="20"/>
          <w:szCs w:val="20"/>
          <w:lang w:eastAsia="ru-RU"/>
        </w:rPr>
      </w:pPr>
    </w:p>
    <w:p w:rsidR="00A53967" w:rsidRDefault="00A53967" w:rsidP="00F61756">
      <w:pPr>
        <w:spacing w:after="0" w:line="276" w:lineRule="auto"/>
        <w:contextualSpacing/>
        <w:jc w:val="right"/>
        <w:rPr>
          <w:rFonts w:asciiTheme="majorHAnsi" w:eastAsia="Calibri" w:hAnsiTheme="majorHAnsi" w:cstheme="majorHAnsi"/>
          <w:bCs w:val="0"/>
          <w:noProof/>
          <w:sz w:val="20"/>
          <w:szCs w:val="20"/>
          <w:lang w:eastAsia="ru-RU"/>
        </w:rPr>
      </w:pPr>
    </w:p>
    <w:p w:rsidR="00A53967" w:rsidRDefault="00A53967" w:rsidP="00F61756">
      <w:pPr>
        <w:spacing w:after="0" w:line="276" w:lineRule="auto"/>
        <w:contextualSpacing/>
        <w:jc w:val="right"/>
        <w:rPr>
          <w:rFonts w:asciiTheme="majorHAnsi" w:eastAsia="Calibri" w:hAnsiTheme="majorHAnsi" w:cstheme="majorHAnsi"/>
          <w:bCs w:val="0"/>
          <w:noProof/>
          <w:sz w:val="20"/>
          <w:szCs w:val="20"/>
          <w:lang w:eastAsia="ru-RU"/>
        </w:rPr>
      </w:pPr>
    </w:p>
    <w:p w:rsidR="00A53967" w:rsidRDefault="00A53967" w:rsidP="00F61756">
      <w:pPr>
        <w:spacing w:after="0" w:line="276" w:lineRule="auto"/>
        <w:contextualSpacing/>
        <w:jc w:val="right"/>
        <w:rPr>
          <w:rFonts w:asciiTheme="majorHAnsi" w:eastAsia="Calibri" w:hAnsiTheme="majorHAnsi" w:cstheme="majorHAnsi"/>
          <w:bCs w:val="0"/>
          <w:noProof/>
          <w:sz w:val="20"/>
          <w:szCs w:val="20"/>
          <w:lang w:eastAsia="ru-RU"/>
        </w:rPr>
      </w:pPr>
    </w:p>
    <w:p w:rsidR="00BE49FB" w:rsidRPr="008376FC" w:rsidRDefault="00DC13EB" w:rsidP="00F61756">
      <w:pPr>
        <w:spacing w:after="0" w:line="276" w:lineRule="auto"/>
        <w:contextualSpacing/>
        <w:jc w:val="right"/>
        <w:rPr>
          <w:rFonts w:asciiTheme="majorHAnsi" w:eastAsia="Times New Roman" w:hAnsiTheme="majorHAnsi" w:cstheme="majorHAnsi"/>
          <w:b w:val="0"/>
          <w:bCs w:val="0"/>
          <w:spacing w:val="1"/>
          <w:sz w:val="20"/>
          <w:szCs w:val="20"/>
        </w:rPr>
      </w:pPr>
      <w:r w:rsidRPr="008376FC">
        <w:rPr>
          <w:rFonts w:asciiTheme="majorHAnsi" w:eastAsia="Calibri" w:hAnsiTheme="majorHAnsi" w:cstheme="majorHAnsi"/>
          <w:bCs w:val="0"/>
          <w:noProof/>
          <w:sz w:val="20"/>
          <w:szCs w:val="20"/>
          <w:lang w:eastAsia="ru-RU"/>
        </w:rPr>
        <w:t xml:space="preserve">    </w:t>
      </w:r>
      <w:r w:rsidR="00BE49FB" w:rsidRPr="008376FC">
        <w:rPr>
          <w:rFonts w:asciiTheme="majorHAnsi" w:eastAsia="Calibri" w:hAnsiTheme="majorHAnsi" w:cstheme="majorHAnsi"/>
          <w:bCs w:val="0"/>
          <w:noProof/>
          <w:sz w:val="20"/>
          <w:szCs w:val="20"/>
          <w:lang w:eastAsia="ru-RU"/>
        </w:rPr>
        <w:t>Figura nr.</w:t>
      </w:r>
      <w:r w:rsidR="00B26BB4" w:rsidRPr="008376FC">
        <w:rPr>
          <w:rFonts w:asciiTheme="majorHAnsi" w:eastAsia="Calibri" w:hAnsiTheme="majorHAnsi" w:cstheme="majorHAnsi"/>
          <w:noProof/>
          <w:sz w:val="20"/>
          <w:szCs w:val="20"/>
          <w:lang w:eastAsia="ru-RU"/>
        </w:rPr>
        <w:t>2</w:t>
      </w:r>
      <w:r w:rsidR="0092109D" w:rsidRPr="008376FC">
        <w:rPr>
          <w:rFonts w:asciiTheme="majorHAnsi" w:eastAsia="Calibri" w:hAnsiTheme="majorHAnsi" w:cstheme="majorHAnsi"/>
          <w:noProof/>
          <w:sz w:val="20"/>
          <w:szCs w:val="20"/>
          <w:lang w:eastAsia="ru-RU"/>
        </w:rPr>
        <w:t>3</w:t>
      </w:r>
    </w:p>
    <w:p w:rsidR="00BE49FB" w:rsidRPr="008376FC" w:rsidRDefault="00BE49FB" w:rsidP="00F61756">
      <w:pPr>
        <w:spacing w:after="0" w:line="276" w:lineRule="auto"/>
        <w:jc w:val="both"/>
        <w:rPr>
          <w:rFonts w:asciiTheme="majorHAnsi" w:eastAsia="Times New Roman" w:hAnsiTheme="majorHAnsi" w:cstheme="majorHAnsi"/>
          <w:b w:val="0"/>
          <w:bCs w:val="0"/>
          <w:spacing w:val="1"/>
          <w:sz w:val="24"/>
          <w:szCs w:val="24"/>
        </w:rPr>
      </w:pPr>
      <w:r w:rsidRPr="008376FC">
        <w:rPr>
          <w:rFonts w:asciiTheme="majorHAnsi" w:eastAsia="Times New Roman" w:hAnsiTheme="majorHAnsi" w:cstheme="majorHAnsi"/>
          <w:b w:val="0"/>
          <w:bCs w:val="0"/>
          <w:noProof/>
          <w:sz w:val="24"/>
          <w:szCs w:val="24"/>
          <w:lang w:val="ru-RU" w:eastAsia="ru-RU"/>
        </w:rPr>
        <w:drawing>
          <wp:inline distT="0" distB="0" distL="0" distR="0">
            <wp:extent cx="6193155" cy="2355850"/>
            <wp:effectExtent l="19050" t="0" r="17145" b="6350"/>
            <wp:docPr id="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E49FB" w:rsidRPr="00812814" w:rsidRDefault="00BE49FB" w:rsidP="00F61756">
      <w:pPr>
        <w:spacing w:after="0" w:line="276" w:lineRule="auto"/>
        <w:jc w:val="both"/>
        <w:rPr>
          <w:rFonts w:asciiTheme="majorHAnsi" w:eastAsia="Calibri" w:hAnsiTheme="majorHAnsi" w:cstheme="majorHAnsi"/>
          <w:b w:val="0"/>
          <w:bCs w:val="0"/>
          <w:i/>
          <w:noProof/>
          <w:sz w:val="20"/>
          <w:szCs w:val="20"/>
          <w:lang w:eastAsia="ru-RU"/>
        </w:rPr>
      </w:pPr>
      <w:r w:rsidRPr="00812814">
        <w:rPr>
          <w:rFonts w:asciiTheme="majorHAnsi" w:eastAsia="Calibri" w:hAnsiTheme="majorHAnsi" w:cstheme="majorHAnsi"/>
          <w:bCs w:val="0"/>
          <w:i/>
          <w:noProof/>
          <w:sz w:val="20"/>
          <w:szCs w:val="20"/>
          <w:lang w:eastAsia="ru-RU"/>
        </w:rPr>
        <w:t>Sursa:</w:t>
      </w:r>
      <w:r w:rsidRPr="00812814">
        <w:rPr>
          <w:rFonts w:asciiTheme="majorHAnsi" w:eastAsia="Calibri" w:hAnsiTheme="majorHAnsi" w:cstheme="majorHAnsi"/>
          <w:b w:val="0"/>
          <w:bCs w:val="0"/>
          <w:i/>
          <w:noProof/>
          <w:sz w:val="20"/>
          <w:szCs w:val="20"/>
          <w:lang w:eastAsia="ru-RU"/>
        </w:rPr>
        <w:t xml:space="preserve"> Date</w:t>
      </w:r>
      <w:r w:rsidR="00FF4867">
        <w:rPr>
          <w:rFonts w:asciiTheme="majorHAnsi" w:eastAsia="Calibri" w:hAnsiTheme="majorHAnsi" w:cstheme="majorHAnsi"/>
          <w:b w:val="0"/>
          <w:bCs w:val="0"/>
          <w:i/>
          <w:noProof/>
          <w:sz w:val="20"/>
          <w:szCs w:val="20"/>
          <w:lang w:eastAsia="ru-RU"/>
        </w:rPr>
        <w:t xml:space="preserve"> oferite d</w:t>
      </w:r>
      <w:r w:rsidRPr="00812814">
        <w:rPr>
          <w:rFonts w:asciiTheme="majorHAnsi" w:eastAsia="Calibri" w:hAnsiTheme="majorHAnsi" w:cstheme="majorHAnsi"/>
          <w:b w:val="0"/>
          <w:bCs w:val="0"/>
          <w:i/>
          <w:noProof/>
          <w:sz w:val="20"/>
          <w:szCs w:val="20"/>
          <w:lang w:eastAsia="ru-RU"/>
        </w:rPr>
        <w:t>e BNS.</w:t>
      </w:r>
    </w:p>
    <w:p w:rsidR="00BE49FB" w:rsidRPr="008376FC" w:rsidRDefault="00BE49FB" w:rsidP="00F61756">
      <w:pPr>
        <w:pStyle w:val="a3"/>
        <w:widowControl w:val="0"/>
        <w:numPr>
          <w:ilvl w:val="2"/>
          <w:numId w:val="39"/>
        </w:numPr>
        <w:shd w:val="clear" w:color="auto" w:fill="FFFFFF"/>
        <w:autoSpaceDE w:val="0"/>
        <w:autoSpaceDN w:val="0"/>
        <w:spacing w:before="120" w:line="276" w:lineRule="auto"/>
        <w:ind w:left="0" w:right="112" w:firstLine="0"/>
        <w:jc w:val="both"/>
        <w:rPr>
          <w:rFonts w:asciiTheme="majorHAnsi" w:hAnsiTheme="majorHAnsi" w:cstheme="majorHAnsi"/>
          <w:b/>
          <w:color w:val="0070C0"/>
          <w:lang w:val="en-US"/>
        </w:rPr>
      </w:pPr>
      <w:r w:rsidRPr="008376FC">
        <w:rPr>
          <w:rFonts w:asciiTheme="majorHAnsi" w:hAnsiTheme="majorHAnsi" w:cstheme="majorHAnsi"/>
          <w:b/>
          <w:color w:val="0070C0"/>
          <w:lang w:val="en-US"/>
        </w:rPr>
        <w:t>Numărul stațiilor de epurare a apelor uzate este în creștere</w:t>
      </w:r>
      <w:r w:rsidR="00FF4867">
        <w:rPr>
          <w:rFonts w:asciiTheme="majorHAnsi" w:hAnsiTheme="majorHAnsi" w:cstheme="majorHAnsi"/>
          <w:b/>
          <w:color w:val="0070C0"/>
          <w:lang w:val="en-US"/>
        </w:rPr>
        <w:t>.</w:t>
      </w:r>
    </w:p>
    <w:p w:rsidR="00BE49FB" w:rsidRPr="008376FC" w:rsidRDefault="00BE49FB" w:rsidP="00F61756">
      <w:pPr>
        <w:widowControl w:val="0"/>
        <w:autoSpaceDE w:val="0"/>
        <w:autoSpaceDN w:val="0"/>
        <w:spacing w:before="120" w:after="0" w:line="276" w:lineRule="auto"/>
        <w:ind w:left="45" w:firstLine="664"/>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În</w:t>
      </w:r>
      <w:r w:rsidRPr="008376FC">
        <w:rPr>
          <w:rFonts w:asciiTheme="majorHAnsi" w:eastAsia="Times New Roman" w:hAnsiTheme="majorHAnsi" w:cstheme="majorHAnsi"/>
          <w:b w:val="0"/>
          <w:bCs w:val="0"/>
          <w:spacing w:val="57"/>
          <w:sz w:val="24"/>
          <w:szCs w:val="24"/>
        </w:rPr>
        <w:t xml:space="preserve"> </w:t>
      </w:r>
      <w:r w:rsidRPr="008376FC">
        <w:rPr>
          <w:rFonts w:asciiTheme="majorHAnsi" w:eastAsia="Times New Roman" w:hAnsiTheme="majorHAnsi" w:cstheme="majorHAnsi"/>
          <w:b w:val="0"/>
          <w:bCs w:val="0"/>
          <w:sz w:val="24"/>
          <w:szCs w:val="24"/>
        </w:rPr>
        <w:t>prezent,</w:t>
      </w:r>
      <w:r w:rsidRPr="008376FC">
        <w:rPr>
          <w:rFonts w:asciiTheme="majorHAnsi" w:eastAsia="Times New Roman" w:hAnsiTheme="majorHAnsi" w:cstheme="majorHAnsi"/>
          <w:b w:val="0"/>
          <w:bCs w:val="0"/>
          <w:spacing w:val="59"/>
          <w:sz w:val="24"/>
          <w:szCs w:val="24"/>
        </w:rPr>
        <w:t xml:space="preserve"> </w:t>
      </w:r>
      <w:r w:rsidRPr="008376FC">
        <w:rPr>
          <w:rFonts w:asciiTheme="majorHAnsi" w:eastAsia="Times New Roman" w:hAnsiTheme="majorHAnsi" w:cstheme="majorHAnsi"/>
          <w:b w:val="0"/>
          <w:bCs w:val="0"/>
          <w:sz w:val="24"/>
          <w:szCs w:val="24"/>
        </w:rPr>
        <w:t>în</w:t>
      </w:r>
      <w:r w:rsidRPr="008376FC">
        <w:rPr>
          <w:rFonts w:asciiTheme="majorHAnsi" w:eastAsia="Times New Roman" w:hAnsiTheme="majorHAnsi" w:cstheme="majorHAnsi"/>
          <w:b w:val="0"/>
          <w:bCs w:val="0"/>
          <w:spacing w:val="58"/>
          <w:sz w:val="24"/>
          <w:szCs w:val="24"/>
        </w:rPr>
        <w:t xml:space="preserve"> </w:t>
      </w:r>
      <w:r w:rsidRPr="008376FC">
        <w:rPr>
          <w:rFonts w:asciiTheme="majorHAnsi" w:eastAsia="Times New Roman" w:hAnsiTheme="majorHAnsi" w:cstheme="majorHAnsi"/>
          <w:b w:val="0"/>
          <w:bCs w:val="0"/>
          <w:sz w:val="24"/>
          <w:szCs w:val="24"/>
        </w:rPr>
        <w:t>mod</w:t>
      </w:r>
      <w:r w:rsidRPr="008376FC">
        <w:rPr>
          <w:rFonts w:asciiTheme="majorHAnsi" w:eastAsia="Times New Roman" w:hAnsiTheme="majorHAnsi" w:cstheme="majorHAnsi"/>
          <w:b w:val="0"/>
          <w:bCs w:val="0"/>
          <w:spacing w:val="57"/>
          <w:sz w:val="24"/>
          <w:szCs w:val="24"/>
        </w:rPr>
        <w:t xml:space="preserve"> </w:t>
      </w:r>
      <w:r w:rsidRPr="008376FC">
        <w:rPr>
          <w:rFonts w:asciiTheme="majorHAnsi" w:eastAsia="Times New Roman" w:hAnsiTheme="majorHAnsi" w:cstheme="majorHAnsi"/>
          <w:b w:val="0"/>
          <w:bCs w:val="0"/>
          <w:sz w:val="24"/>
          <w:szCs w:val="24"/>
        </w:rPr>
        <w:t>practic</w:t>
      </w:r>
      <w:r w:rsidR="00152EE9">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singurul</w:t>
      </w:r>
      <w:r w:rsidRPr="008376FC">
        <w:rPr>
          <w:rFonts w:asciiTheme="majorHAnsi" w:eastAsia="Times New Roman" w:hAnsiTheme="majorHAnsi" w:cstheme="majorHAnsi"/>
          <w:b w:val="0"/>
          <w:bCs w:val="0"/>
          <w:spacing w:val="-3"/>
          <w:sz w:val="24"/>
          <w:szCs w:val="24"/>
        </w:rPr>
        <w:t xml:space="preserve"> </w:t>
      </w:r>
      <w:r w:rsidRPr="008376FC">
        <w:rPr>
          <w:rFonts w:asciiTheme="majorHAnsi" w:eastAsia="Times New Roman" w:hAnsiTheme="majorHAnsi" w:cstheme="majorHAnsi"/>
          <w:b w:val="0"/>
          <w:bCs w:val="0"/>
          <w:sz w:val="24"/>
          <w:szCs w:val="24"/>
        </w:rPr>
        <w:t>mijloc</w:t>
      </w:r>
      <w:r w:rsidRPr="008376FC">
        <w:rPr>
          <w:rFonts w:asciiTheme="majorHAnsi" w:eastAsia="Times New Roman" w:hAnsiTheme="majorHAnsi" w:cstheme="majorHAnsi"/>
          <w:b w:val="0"/>
          <w:bCs w:val="0"/>
          <w:spacing w:val="-6"/>
          <w:sz w:val="24"/>
          <w:szCs w:val="24"/>
        </w:rPr>
        <w:t xml:space="preserve"> </w:t>
      </w:r>
      <w:r w:rsidRPr="008376FC">
        <w:rPr>
          <w:rFonts w:asciiTheme="majorHAnsi" w:eastAsia="Times New Roman" w:hAnsiTheme="majorHAnsi" w:cstheme="majorHAnsi"/>
          <w:b w:val="0"/>
          <w:bCs w:val="0"/>
          <w:sz w:val="24"/>
          <w:szCs w:val="24"/>
        </w:rPr>
        <w:t>de</w:t>
      </w:r>
      <w:r w:rsidRPr="008376FC">
        <w:rPr>
          <w:rFonts w:asciiTheme="majorHAnsi" w:eastAsia="Times New Roman" w:hAnsiTheme="majorHAnsi" w:cstheme="majorHAnsi"/>
          <w:b w:val="0"/>
          <w:bCs w:val="0"/>
          <w:spacing w:val="-3"/>
          <w:sz w:val="24"/>
          <w:szCs w:val="24"/>
        </w:rPr>
        <w:t xml:space="preserve"> </w:t>
      </w:r>
      <w:r w:rsidRPr="008376FC">
        <w:rPr>
          <w:rFonts w:asciiTheme="majorHAnsi" w:eastAsia="Times New Roman" w:hAnsiTheme="majorHAnsi" w:cstheme="majorHAnsi"/>
          <w:b w:val="0"/>
          <w:bCs w:val="0"/>
          <w:sz w:val="24"/>
          <w:szCs w:val="24"/>
        </w:rPr>
        <w:t>combatere</w:t>
      </w:r>
      <w:r w:rsidRPr="008376FC">
        <w:rPr>
          <w:rFonts w:asciiTheme="majorHAnsi" w:eastAsia="Times New Roman" w:hAnsiTheme="majorHAnsi" w:cstheme="majorHAnsi"/>
          <w:b w:val="0"/>
          <w:bCs w:val="0"/>
          <w:spacing w:val="-3"/>
          <w:sz w:val="24"/>
          <w:szCs w:val="24"/>
        </w:rPr>
        <w:t xml:space="preserve"> </w:t>
      </w:r>
      <w:r w:rsidRPr="008376FC">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pacing w:val="-6"/>
          <w:sz w:val="24"/>
          <w:szCs w:val="24"/>
        </w:rPr>
        <w:t xml:space="preserve"> </w:t>
      </w:r>
      <w:r w:rsidRPr="008376FC">
        <w:rPr>
          <w:rFonts w:asciiTheme="majorHAnsi" w:eastAsia="Times New Roman" w:hAnsiTheme="majorHAnsi" w:cstheme="majorHAnsi"/>
          <w:b w:val="0"/>
          <w:bCs w:val="0"/>
          <w:sz w:val="24"/>
          <w:szCs w:val="24"/>
        </w:rPr>
        <w:t>poluării</w:t>
      </w:r>
      <w:r w:rsidRPr="008376FC">
        <w:rPr>
          <w:rFonts w:asciiTheme="majorHAnsi" w:eastAsia="Times New Roman" w:hAnsiTheme="majorHAnsi" w:cstheme="majorHAnsi"/>
          <w:b w:val="0"/>
          <w:bCs w:val="0"/>
          <w:spacing w:val="-2"/>
          <w:sz w:val="24"/>
          <w:szCs w:val="24"/>
        </w:rPr>
        <w:t xml:space="preserve"> </w:t>
      </w:r>
      <w:r w:rsidRPr="008376FC">
        <w:rPr>
          <w:rFonts w:asciiTheme="majorHAnsi" w:eastAsia="Times New Roman" w:hAnsiTheme="majorHAnsi" w:cstheme="majorHAnsi"/>
          <w:b w:val="0"/>
          <w:bCs w:val="0"/>
          <w:sz w:val="24"/>
          <w:szCs w:val="24"/>
        </w:rPr>
        <w:t>apelor îl</w:t>
      </w:r>
      <w:r w:rsidRPr="008376FC">
        <w:rPr>
          <w:rFonts w:asciiTheme="majorHAnsi" w:eastAsia="Times New Roman" w:hAnsiTheme="majorHAnsi" w:cstheme="majorHAnsi"/>
          <w:b w:val="0"/>
          <w:bCs w:val="0"/>
          <w:spacing w:val="58"/>
          <w:sz w:val="24"/>
          <w:szCs w:val="24"/>
        </w:rPr>
        <w:t xml:space="preserve"> </w:t>
      </w:r>
      <w:r w:rsidRPr="008376FC">
        <w:rPr>
          <w:rFonts w:asciiTheme="majorHAnsi" w:eastAsia="Times New Roman" w:hAnsiTheme="majorHAnsi" w:cstheme="majorHAnsi"/>
          <w:b w:val="0"/>
          <w:bCs w:val="0"/>
          <w:sz w:val="24"/>
          <w:szCs w:val="24"/>
        </w:rPr>
        <w:t>constituie</w:t>
      </w:r>
      <w:r w:rsidRPr="008376FC">
        <w:rPr>
          <w:rFonts w:asciiTheme="majorHAnsi" w:eastAsia="Times New Roman" w:hAnsiTheme="majorHAnsi" w:cstheme="majorHAnsi"/>
          <w:b w:val="0"/>
          <w:bCs w:val="0"/>
          <w:spacing w:val="56"/>
          <w:sz w:val="24"/>
          <w:szCs w:val="24"/>
        </w:rPr>
        <w:t xml:space="preserve"> </w:t>
      </w:r>
      <w:r w:rsidRPr="008376FC">
        <w:rPr>
          <w:rFonts w:asciiTheme="majorHAnsi" w:eastAsia="Times New Roman" w:hAnsiTheme="majorHAnsi" w:cstheme="majorHAnsi"/>
          <w:b w:val="0"/>
          <w:bCs w:val="0"/>
          <w:sz w:val="24"/>
          <w:szCs w:val="24"/>
        </w:rPr>
        <w:t>epurarea</w:t>
      </w:r>
      <w:r w:rsidRPr="008376FC">
        <w:rPr>
          <w:rFonts w:asciiTheme="majorHAnsi" w:eastAsia="Times New Roman" w:hAnsiTheme="majorHAnsi" w:cstheme="majorHAnsi"/>
          <w:b w:val="0"/>
          <w:bCs w:val="0"/>
          <w:spacing w:val="60"/>
          <w:sz w:val="24"/>
          <w:szCs w:val="24"/>
        </w:rPr>
        <w:t xml:space="preserve"> </w:t>
      </w:r>
      <w:r w:rsidRPr="008376FC">
        <w:rPr>
          <w:rFonts w:asciiTheme="majorHAnsi" w:eastAsia="Times New Roman" w:hAnsiTheme="majorHAnsi" w:cstheme="majorHAnsi"/>
          <w:b w:val="0"/>
          <w:bCs w:val="0"/>
          <w:sz w:val="24"/>
          <w:szCs w:val="24"/>
        </w:rPr>
        <w:t>apelor</w:t>
      </w:r>
      <w:r w:rsidRPr="008376FC">
        <w:rPr>
          <w:rFonts w:asciiTheme="majorHAnsi" w:eastAsia="Times New Roman" w:hAnsiTheme="majorHAnsi" w:cstheme="majorHAnsi"/>
          <w:b w:val="0"/>
          <w:bCs w:val="0"/>
          <w:spacing w:val="59"/>
          <w:sz w:val="24"/>
          <w:szCs w:val="24"/>
        </w:rPr>
        <w:t xml:space="preserve"> </w:t>
      </w:r>
      <w:r w:rsidRPr="008376FC">
        <w:rPr>
          <w:rFonts w:asciiTheme="majorHAnsi" w:eastAsia="Times New Roman" w:hAnsiTheme="majorHAnsi" w:cstheme="majorHAnsi"/>
          <w:b w:val="0"/>
          <w:bCs w:val="0"/>
          <w:sz w:val="24"/>
          <w:szCs w:val="24"/>
        </w:rPr>
        <w:t>uzate. La nivel național, conform datelor BNS, la finele anului 2021, numărul stațiilor de epurare a apelor uzate a constituit 101 unități, din care 92 funcționale și 9 nefuncționale. În comparație cu anul 2016, numărul total al acestora a crescut cu 14 unități</w:t>
      </w:r>
      <w:r w:rsidR="00152EE9">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sau cu 16%, iar </w:t>
      </w:r>
      <w:r w:rsidR="00152EE9">
        <w:rPr>
          <w:rFonts w:asciiTheme="majorHAnsi" w:eastAsia="Times New Roman" w:hAnsiTheme="majorHAnsi" w:cstheme="majorHAnsi"/>
          <w:b w:val="0"/>
          <w:bCs w:val="0"/>
          <w:sz w:val="24"/>
          <w:szCs w:val="24"/>
        </w:rPr>
        <w:t xml:space="preserve">al </w:t>
      </w:r>
      <w:r w:rsidRPr="008376FC">
        <w:rPr>
          <w:rFonts w:asciiTheme="majorHAnsi" w:eastAsia="Times New Roman" w:hAnsiTheme="majorHAnsi" w:cstheme="majorHAnsi"/>
          <w:b w:val="0"/>
          <w:bCs w:val="0"/>
          <w:sz w:val="24"/>
          <w:szCs w:val="24"/>
        </w:rPr>
        <w:t>celor funcționale a crescut cu 19 unități</w:t>
      </w:r>
      <w:r w:rsidR="00152EE9">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sau cu 26%. </w:t>
      </w:r>
    </w:p>
    <w:tbl>
      <w:tblPr>
        <w:tblStyle w:val="TableGrid4"/>
        <w:tblW w:w="0" w:type="auto"/>
        <w:tblLook w:val="04A0" w:firstRow="1" w:lastRow="0" w:firstColumn="1" w:lastColumn="0" w:noHBand="0" w:noVBand="1"/>
      </w:tblPr>
      <w:tblGrid>
        <w:gridCol w:w="4882"/>
        <w:gridCol w:w="4796"/>
      </w:tblGrid>
      <w:tr w:rsidR="00B26BB4" w:rsidRPr="008376FC" w:rsidTr="00B26BB4">
        <w:trPr>
          <w:trHeight w:val="266"/>
        </w:trPr>
        <w:tc>
          <w:tcPr>
            <w:tcW w:w="4996" w:type="dxa"/>
          </w:tcPr>
          <w:p w:rsidR="00B26BB4" w:rsidRPr="00A53967" w:rsidRDefault="00B26BB4" w:rsidP="00983223">
            <w:pPr>
              <w:widowControl w:val="0"/>
              <w:autoSpaceDE w:val="0"/>
              <w:autoSpaceDN w:val="0"/>
              <w:spacing w:line="276" w:lineRule="auto"/>
              <w:ind w:left="45"/>
              <w:jc w:val="right"/>
              <w:rPr>
                <w:rFonts w:asciiTheme="majorHAnsi" w:eastAsia="Calibri" w:hAnsiTheme="majorHAnsi" w:cstheme="majorHAnsi"/>
                <w:b w:val="0"/>
                <w:bCs w:val="0"/>
                <w:noProof/>
                <w:sz w:val="20"/>
                <w:szCs w:val="20"/>
                <w:lang w:val="ru-RU" w:eastAsia="ru-RU"/>
              </w:rPr>
            </w:pPr>
            <w:r w:rsidRPr="00A53967">
              <w:rPr>
                <w:rFonts w:asciiTheme="majorHAnsi" w:eastAsia="Times New Roman" w:hAnsiTheme="majorHAnsi" w:cstheme="majorHAnsi"/>
                <w:bCs w:val="0"/>
                <w:sz w:val="20"/>
                <w:szCs w:val="20"/>
              </w:rPr>
              <w:t>Figura nr. 2</w:t>
            </w:r>
            <w:r w:rsidR="00FF1425" w:rsidRPr="00A53967">
              <w:rPr>
                <w:rFonts w:asciiTheme="majorHAnsi" w:eastAsia="Times New Roman" w:hAnsiTheme="majorHAnsi" w:cstheme="majorHAnsi"/>
                <w:bCs w:val="0"/>
                <w:sz w:val="20"/>
                <w:szCs w:val="20"/>
              </w:rPr>
              <w:t>4</w:t>
            </w:r>
          </w:p>
        </w:tc>
        <w:tc>
          <w:tcPr>
            <w:tcW w:w="4909" w:type="dxa"/>
          </w:tcPr>
          <w:p w:rsidR="00B26BB4" w:rsidRPr="00A53967" w:rsidRDefault="00B26BB4" w:rsidP="00983223">
            <w:pPr>
              <w:widowControl w:val="0"/>
              <w:autoSpaceDE w:val="0"/>
              <w:autoSpaceDN w:val="0"/>
              <w:spacing w:line="276" w:lineRule="auto"/>
              <w:ind w:left="45"/>
              <w:jc w:val="right"/>
              <w:rPr>
                <w:rFonts w:asciiTheme="majorHAnsi" w:eastAsia="Calibri" w:hAnsiTheme="majorHAnsi" w:cstheme="majorHAnsi"/>
                <w:b w:val="0"/>
                <w:bCs w:val="0"/>
                <w:noProof/>
                <w:sz w:val="20"/>
                <w:szCs w:val="20"/>
                <w:lang w:val="ru-RU" w:eastAsia="ru-RU"/>
              </w:rPr>
            </w:pPr>
            <w:r w:rsidRPr="00A53967">
              <w:rPr>
                <w:rFonts w:asciiTheme="majorHAnsi" w:eastAsia="Times New Roman" w:hAnsiTheme="majorHAnsi" w:cstheme="majorHAnsi"/>
                <w:bCs w:val="0"/>
                <w:sz w:val="20"/>
                <w:szCs w:val="20"/>
              </w:rPr>
              <w:t>Figura nr. 2</w:t>
            </w:r>
            <w:r w:rsidR="00FF1425" w:rsidRPr="00A53967">
              <w:rPr>
                <w:rFonts w:asciiTheme="majorHAnsi" w:eastAsia="Times New Roman" w:hAnsiTheme="majorHAnsi" w:cstheme="majorHAnsi"/>
                <w:bCs w:val="0"/>
                <w:sz w:val="20"/>
                <w:szCs w:val="20"/>
              </w:rPr>
              <w:t>5</w:t>
            </w:r>
          </w:p>
        </w:tc>
      </w:tr>
      <w:tr w:rsidR="00BE49FB" w:rsidRPr="008376FC" w:rsidTr="00B26BB4">
        <w:tc>
          <w:tcPr>
            <w:tcW w:w="4996" w:type="dxa"/>
          </w:tcPr>
          <w:p w:rsidR="00BE49FB" w:rsidRPr="008376FC" w:rsidRDefault="00BE49FB" w:rsidP="00F61756">
            <w:pPr>
              <w:spacing w:line="276" w:lineRule="auto"/>
              <w:rPr>
                <w:rFonts w:asciiTheme="majorHAnsi" w:eastAsia="Calibri" w:hAnsiTheme="majorHAnsi" w:cstheme="majorHAnsi"/>
                <w:b w:val="0"/>
                <w:bCs w:val="0"/>
                <w:noProof/>
                <w:sz w:val="24"/>
                <w:szCs w:val="24"/>
                <w:lang w:eastAsia="ru-RU"/>
              </w:rPr>
            </w:pPr>
            <w:r w:rsidRPr="008376FC">
              <w:rPr>
                <w:rFonts w:asciiTheme="majorHAnsi" w:eastAsia="Calibri" w:hAnsiTheme="majorHAnsi" w:cstheme="majorHAnsi"/>
                <w:b w:val="0"/>
                <w:bCs w:val="0"/>
                <w:noProof/>
                <w:sz w:val="24"/>
                <w:szCs w:val="24"/>
                <w:lang w:val="ru-RU" w:eastAsia="ru-RU"/>
              </w:rPr>
              <w:drawing>
                <wp:inline distT="0" distB="0" distL="0" distR="0">
                  <wp:extent cx="3064814" cy="1894636"/>
                  <wp:effectExtent l="19050" t="0" r="21286" b="0"/>
                  <wp:docPr id="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c>
          <w:tcPr>
            <w:tcW w:w="4909" w:type="dxa"/>
          </w:tcPr>
          <w:p w:rsidR="00BE49FB" w:rsidRPr="008376FC" w:rsidRDefault="00BE49FB" w:rsidP="00F61756">
            <w:pPr>
              <w:spacing w:line="276" w:lineRule="auto"/>
              <w:rPr>
                <w:rFonts w:asciiTheme="majorHAnsi" w:eastAsia="Calibri" w:hAnsiTheme="majorHAnsi" w:cstheme="majorHAnsi"/>
                <w:b w:val="0"/>
                <w:bCs w:val="0"/>
                <w:noProof/>
                <w:sz w:val="24"/>
                <w:szCs w:val="24"/>
                <w:lang w:eastAsia="ru-RU"/>
              </w:rPr>
            </w:pPr>
            <w:r w:rsidRPr="008376FC">
              <w:rPr>
                <w:rFonts w:asciiTheme="majorHAnsi" w:eastAsia="Calibri" w:hAnsiTheme="majorHAnsi" w:cstheme="majorHAnsi"/>
                <w:b w:val="0"/>
                <w:bCs w:val="0"/>
                <w:noProof/>
                <w:sz w:val="24"/>
                <w:szCs w:val="24"/>
                <w:lang w:val="ru-RU" w:eastAsia="ru-RU"/>
              </w:rPr>
              <w:drawing>
                <wp:inline distT="0" distB="0" distL="0" distR="0">
                  <wp:extent cx="3004719" cy="1894636"/>
                  <wp:effectExtent l="19050" t="0" r="24231" b="0"/>
                  <wp:docPr id="8"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rsidR="00BE49FB" w:rsidRPr="00812814" w:rsidRDefault="00BE49FB" w:rsidP="00F61756">
      <w:pPr>
        <w:widowControl w:val="0"/>
        <w:autoSpaceDE w:val="0"/>
        <w:autoSpaceDN w:val="0"/>
        <w:spacing w:after="0" w:line="276" w:lineRule="auto"/>
        <w:ind w:left="45"/>
        <w:jc w:val="both"/>
        <w:rPr>
          <w:rFonts w:asciiTheme="majorHAnsi" w:eastAsia="Times New Roman" w:hAnsiTheme="majorHAnsi" w:cstheme="majorHAnsi"/>
          <w:b w:val="0"/>
          <w:bCs w:val="0"/>
          <w:i/>
          <w:sz w:val="20"/>
          <w:szCs w:val="20"/>
        </w:rPr>
      </w:pPr>
      <w:r w:rsidRPr="00812814">
        <w:rPr>
          <w:rFonts w:asciiTheme="majorHAnsi" w:eastAsia="Times New Roman" w:hAnsiTheme="majorHAnsi" w:cstheme="majorHAnsi"/>
          <w:bCs w:val="0"/>
          <w:i/>
          <w:sz w:val="20"/>
          <w:szCs w:val="20"/>
        </w:rPr>
        <w:t>Sursa:</w:t>
      </w:r>
      <w:r w:rsidRPr="00812814">
        <w:rPr>
          <w:rFonts w:asciiTheme="majorHAnsi" w:eastAsia="Times New Roman" w:hAnsiTheme="majorHAnsi" w:cstheme="majorHAnsi"/>
          <w:b w:val="0"/>
          <w:bCs w:val="0"/>
          <w:i/>
          <w:sz w:val="20"/>
          <w:szCs w:val="20"/>
        </w:rPr>
        <w:t xml:space="preserve"> </w:t>
      </w:r>
      <w:r w:rsidR="00B26BB4" w:rsidRPr="00812814">
        <w:rPr>
          <w:rFonts w:asciiTheme="majorHAnsi" w:eastAsia="Times New Roman" w:hAnsiTheme="majorHAnsi" w:cstheme="majorHAnsi"/>
          <w:b w:val="0"/>
          <w:bCs w:val="0"/>
          <w:i/>
          <w:sz w:val="20"/>
          <w:szCs w:val="20"/>
        </w:rPr>
        <w:t>D</w:t>
      </w:r>
      <w:r w:rsidRPr="00812814">
        <w:rPr>
          <w:rFonts w:asciiTheme="majorHAnsi" w:eastAsia="Times New Roman" w:hAnsiTheme="majorHAnsi" w:cstheme="majorHAnsi"/>
          <w:b w:val="0"/>
          <w:bCs w:val="0"/>
          <w:i/>
          <w:sz w:val="20"/>
          <w:szCs w:val="20"/>
        </w:rPr>
        <w:t>ate</w:t>
      </w:r>
      <w:r w:rsidR="00152EE9">
        <w:rPr>
          <w:rFonts w:asciiTheme="majorHAnsi" w:eastAsia="Times New Roman" w:hAnsiTheme="majorHAnsi" w:cstheme="majorHAnsi"/>
          <w:b w:val="0"/>
          <w:bCs w:val="0"/>
          <w:i/>
          <w:sz w:val="20"/>
          <w:szCs w:val="20"/>
        </w:rPr>
        <w:t xml:space="preserve"> oferite d</w:t>
      </w:r>
      <w:r w:rsidRPr="00812814">
        <w:rPr>
          <w:rFonts w:asciiTheme="majorHAnsi" w:eastAsia="Times New Roman" w:hAnsiTheme="majorHAnsi" w:cstheme="majorHAnsi"/>
          <w:b w:val="0"/>
          <w:bCs w:val="0"/>
          <w:i/>
          <w:sz w:val="20"/>
          <w:szCs w:val="20"/>
        </w:rPr>
        <w:t>e BNS.</w:t>
      </w:r>
    </w:p>
    <w:p w:rsidR="00BE49FB" w:rsidRPr="008376FC" w:rsidRDefault="00BE49FB" w:rsidP="00F61756">
      <w:pPr>
        <w:spacing w:before="120" w:after="0" w:line="276" w:lineRule="auto"/>
        <w:ind w:firstLine="709"/>
        <w:jc w:val="both"/>
        <w:rPr>
          <w:rFonts w:asciiTheme="majorHAnsi" w:eastAsia="Calibri" w:hAnsiTheme="majorHAnsi" w:cstheme="majorHAnsi"/>
          <w:b w:val="0"/>
          <w:bCs w:val="0"/>
          <w:noProof/>
          <w:sz w:val="24"/>
          <w:szCs w:val="24"/>
          <w:lang w:eastAsia="ru-RU"/>
        </w:rPr>
      </w:pPr>
      <w:r w:rsidRPr="008376FC">
        <w:rPr>
          <w:rFonts w:asciiTheme="majorHAnsi" w:eastAsia="Calibri" w:hAnsiTheme="majorHAnsi" w:cstheme="majorHAnsi"/>
          <w:b w:val="0"/>
          <w:bCs w:val="0"/>
          <w:noProof/>
          <w:sz w:val="24"/>
          <w:szCs w:val="24"/>
          <w:lang w:eastAsia="ru-RU"/>
        </w:rPr>
        <w:t>Conform datelor BNS, în anul 2021</w:t>
      </w:r>
      <w:r w:rsidR="00152EE9">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față de anul 2016, a crescut numărul stațiilor de epurare a apelor uzate</w:t>
      </w:r>
      <w:r w:rsidR="00152EE9">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de la 87 în anul 2016 la 101 în an</w:t>
      </w:r>
      <w:r w:rsidR="00152EE9">
        <w:rPr>
          <w:rFonts w:asciiTheme="majorHAnsi" w:eastAsia="Calibri" w:hAnsiTheme="majorHAnsi" w:cstheme="majorHAnsi"/>
          <w:b w:val="0"/>
          <w:bCs w:val="0"/>
          <w:noProof/>
          <w:sz w:val="24"/>
          <w:szCs w:val="24"/>
          <w:lang w:eastAsia="ru-RU"/>
        </w:rPr>
        <w:t>u</w:t>
      </w:r>
      <w:r w:rsidRPr="008376FC">
        <w:rPr>
          <w:rFonts w:asciiTheme="majorHAnsi" w:eastAsia="Calibri" w:hAnsiTheme="majorHAnsi" w:cstheme="majorHAnsi"/>
          <w:b w:val="0"/>
          <w:bCs w:val="0"/>
          <w:noProof/>
          <w:sz w:val="24"/>
          <w:szCs w:val="24"/>
          <w:lang w:eastAsia="ru-RU"/>
        </w:rPr>
        <w:t>l 2021. În Călăraşi</w:t>
      </w:r>
      <w:r w:rsidR="00152EE9">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numărul stațiilor de epurare a apelor uzate a crescut cu (+4) unități, Leova (+3), Teleneşti și</w:t>
      </w:r>
      <w:r w:rsidRPr="008376FC">
        <w:rPr>
          <w:rFonts w:asciiTheme="majorHAnsi" w:eastAsia="Calibri" w:hAnsiTheme="majorHAnsi" w:cstheme="majorHAnsi"/>
          <w:b w:val="0"/>
          <w:bCs w:val="0"/>
          <w:sz w:val="24"/>
          <w:szCs w:val="24"/>
        </w:rPr>
        <w:t xml:space="preserve"> </w:t>
      </w:r>
      <w:r w:rsidRPr="008376FC">
        <w:rPr>
          <w:rFonts w:asciiTheme="majorHAnsi" w:eastAsia="Calibri" w:hAnsiTheme="majorHAnsi" w:cstheme="majorHAnsi"/>
          <w:b w:val="0"/>
          <w:bCs w:val="0"/>
          <w:noProof/>
          <w:sz w:val="24"/>
          <w:szCs w:val="24"/>
          <w:lang w:eastAsia="ru-RU"/>
        </w:rPr>
        <w:t>H</w:t>
      </w:r>
      <w:r w:rsidR="00152EE9">
        <w:rPr>
          <w:rFonts w:asciiTheme="majorHAnsi" w:eastAsia="Calibri" w:hAnsiTheme="majorHAnsi" w:cstheme="majorHAnsi"/>
          <w:b w:val="0"/>
          <w:bCs w:val="0"/>
          <w:noProof/>
          <w:sz w:val="24"/>
          <w:szCs w:val="24"/>
          <w:lang w:eastAsia="ru-RU"/>
        </w:rPr>
        <w:t>â</w:t>
      </w:r>
      <w:r w:rsidRPr="008376FC">
        <w:rPr>
          <w:rFonts w:asciiTheme="majorHAnsi" w:eastAsia="Calibri" w:hAnsiTheme="majorHAnsi" w:cstheme="majorHAnsi"/>
          <w:b w:val="0"/>
          <w:bCs w:val="0"/>
          <w:noProof/>
          <w:sz w:val="24"/>
          <w:szCs w:val="24"/>
          <w:lang w:eastAsia="ru-RU"/>
        </w:rPr>
        <w:t>ncești c</w:t>
      </w:r>
      <w:r w:rsidR="00152EE9">
        <w:rPr>
          <w:rFonts w:asciiTheme="majorHAnsi" w:eastAsia="Calibri" w:hAnsiTheme="majorHAnsi" w:cstheme="majorHAnsi"/>
          <w:b w:val="0"/>
          <w:bCs w:val="0"/>
          <w:noProof/>
          <w:sz w:val="24"/>
          <w:szCs w:val="24"/>
          <w:lang w:eastAsia="ru-RU"/>
        </w:rPr>
        <w:t>âte</w:t>
      </w:r>
      <w:r w:rsidRPr="008376FC">
        <w:rPr>
          <w:rFonts w:asciiTheme="majorHAnsi" w:eastAsia="Calibri" w:hAnsiTheme="majorHAnsi" w:cstheme="majorHAnsi"/>
          <w:b w:val="0"/>
          <w:bCs w:val="0"/>
          <w:noProof/>
          <w:sz w:val="24"/>
          <w:szCs w:val="24"/>
          <w:lang w:eastAsia="ru-RU"/>
        </w:rPr>
        <w:t xml:space="preserve"> (+2) fiecare, în mun. Chişinău și în raioanele Donduşeni, Drochia, Edineţ, Floreşti, Ocniţa, Anenii Noi, Ialoveni, Nisporeni,  Orhei, c</w:t>
      </w:r>
      <w:r w:rsidR="00152EE9">
        <w:rPr>
          <w:rFonts w:asciiTheme="majorHAnsi" w:eastAsia="Calibri" w:hAnsiTheme="majorHAnsi" w:cstheme="majorHAnsi"/>
          <w:b w:val="0"/>
          <w:bCs w:val="0"/>
          <w:noProof/>
          <w:sz w:val="24"/>
          <w:szCs w:val="24"/>
          <w:lang w:eastAsia="ru-RU"/>
        </w:rPr>
        <w:t>â</w:t>
      </w:r>
      <w:r w:rsidRPr="008376FC">
        <w:rPr>
          <w:rFonts w:asciiTheme="majorHAnsi" w:eastAsia="Calibri" w:hAnsiTheme="majorHAnsi" w:cstheme="majorHAnsi"/>
          <w:b w:val="0"/>
          <w:bCs w:val="0"/>
          <w:noProof/>
          <w:sz w:val="24"/>
          <w:szCs w:val="24"/>
          <w:lang w:eastAsia="ru-RU"/>
        </w:rPr>
        <w:t xml:space="preserve">te una (+1). În mun. Bălţi, față de anul 2016, numărul stațiilor de epurare a apelor uzate s-a diminuat cu (-10), la Soroca și  Ștefan Vodă </w:t>
      </w:r>
      <w:r w:rsidR="00152EE9">
        <w:rPr>
          <w:rFonts w:asciiTheme="majorHAnsi" w:eastAsia="Calibri" w:hAnsiTheme="majorHAnsi" w:cstheme="majorHAnsi"/>
          <w:b w:val="0"/>
          <w:bCs w:val="0"/>
          <w:noProof/>
          <w:sz w:val="24"/>
          <w:szCs w:val="24"/>
          <w:lang w:eastAsia="ru-RU"/>
        </w:rPr>
        <w:t xml:space="preserve">– </w:t>
      </w:r>
      <w:r w:rsidRPr="008376FC">
        <w:rPr>
          <w:rFonts w:asciiTheme="majorHAnsi" w:eastAsia="Calibri" w:hAnsiTheme="majorHAnsi" w:cstheme="majorHAnsi"/>
          <w:b w:val="0"/>
          <w:bCs w:val="0"/>
          <w:noProof/>
          <w:sz w:val="24"/>
          <w:szCs w:val="24"/>
          <w:lang w:eastAsia="ru-RU"/>
        </w:rPr>
        <w:t xml:space="preserve">cu (-1) în fiecare, la Străşeni </w:t>
      </w:r>
      <w:r w:rsidR="00152EE9">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cu (-2), la Cahul și Cimișlia </w:t>
      </w:r>
      <w:r w:rsidR="00152EE9">
        <w:rPr>
          <w:rFonts w:asciiTheme="majorHAnsi" w:eastAsia="Calibri" w:hAnsiTheme="majorHAnsi" w:cstheme="majorHAnsi"/>
          <w:b w:val="0"/>
          <w:bCs w:val="0"/>
          <w:noProof/>
          <w:sz w:val="24"/>
          <w:szCs w:val="24"/>
          <w:lang w:eastAsia="ru-RU"/>
        </w:rPr>
        <w:t xml:space="preserve">– </w:t>
      </w:r>
      <w:r w:rsidRPr="008376FC">
        <w:rPr>
          <w:rFonts w:asciiTheme="majorHAnsi" w:eastAsia="Calibri" w:hAnsiTheme="majorHAnsi" w:cstheme="majorHAnsi"/>
          <w:b w:val="0"/>
          <w:bCs w:val="0"/>
          <w:noProof/>
          <w:sz w:val="24"/>
          <w:szCs w:val="24"/>
          <w:lang w:eastAsia="ru-RU"/>
        </w:rPr>
        <w:t xml:space="preserve">cu (-2). În celelalte raioane, numărul stațiilor de epurare pe </w:t>
      </w:r>
      <w:r w:rsidR="00152EE9">
        <w:rPr>
          <w:rFonts w:asciiTheme="majorHAnsi" w:eastAsia="Calibri" w:hAnsiTheme="majorHAnsi" w:cstheme="majorHAnsi"/>
          <w:b w:val="0"/>
          <w:bCs w:val="0"/>
          <w:noProof/>
          <w:sz w:val="24"/>
          <w:szCs w:val="24"/>
          <w:lang w:eastAsia="ru-RU"/>
        </w:rPr>
        <w:t>p</w:t>
      </w:r>
      <w:r w:rsidRPr="008376FC">
        <w:rPr>
          <w:rFonts w:asciiTheme="majorHAnsi" w:eastAsia="Calibri" w:hAnsiTheme="majorHAnsi" w:cstheme="majorHAnsi"/>
          <w:b w:val="0"/>
          <w:bCs w:val="0"/>
          <w:noProof/>
          <w:sz w:val="24"/>
          <w:szCs w:val="24"/>
          <w:lang w:eastAsia="ru-RU"/>
        </w:rPr>
        <w:t>arcur</w:t>
      </w:r>
      <w:r w:rsidR="00152EE9">
        <w:rPr>
          <w:rFonts w:asciiTheme="majorHAnsi" w:eastAsia="Calibri" w:hAnsiTheme="majorHAnsi" w:cstheme="majorHAnsi"/>
          <w:b w:val="0"/>
          <w:bCs w:val="0"/>
          <w:noProof/>
          <w:sz w:val="24"/>
          <w:szCs w:val="24"/>
          <w:lang w:eastAsia="ru-RU"/>
        </w:rPr>
        <w:t>s</w:t>
      </w:r>
      <w:r w:rsidRPr="008376FC">
        <w:rPr>
          <w:rFonts w:asciiTheme="majorHAnsi" w:eastAsia="Calibri" w:hAnsiTheme="majorHAnsi" w:cstheme="majorHAnsi"/>
          <w:b w:val="0"/>
          <w:bCs w:val="0"/>
          <w:noProof/>
          <w:sz w:val="24"/>
          <w:szCs w:val="24"/>
          <w:lang w:eastAsia="ru-RU"/>
        </w:rPr>
        <w:t xml:space="preserve">ul ultimilor 6 ani a rămas la nivelul anului 2016. </w:t>
      </w:r>
    </w:p>
    <w:p w:rsidR="00A53967" w:rsidRDefault="00B26BB4" w:rsidP="00F61756">
      <w:pPr>
        <w:spacing w:after="0" w:line="276" w:lineRule="auto"/>
        <w:jc w:val="center"/>
        <w:rPr>
          <w:rFonts w:asciiTheme="majorHAnsi" w:eastAsia="Calibri" w:hAnsiTheme="majorHAnsi" w:cstheme="majorHAnsi"/>
          <w:noProof/>
          <w:sz w:val="20"/>
          <w:szCs w:val="20"/>
          <w:lang w:eastAsia="ru-RU"/>
        </w:rPr>
      </w:pPr>
      <w:r w:rsidRPr="008376FC">
        <w:rPr>
          <w:rFonts w:asciiTheme="majorHAnsi" w:eastAsia="Calibri" w:hAnsiTheme="majorHAnsi" w:cstheme="majorHAnsi"/>
          <w:noProof/>
          <w:sz w:val="20"/>
          <w:szCs w:val="20"/>
          <w:lang w:eastAsia="ru-RU"/>
        </w:rPr>
        <w:t xml:space="preserve">                                                                                                                                       </w:t>
      </w:r>
      <w:r w:rsidR="00DC13EB" w:rsidRPr="008376FC">
        <w:rPr>
          <w:rFonts w:asciiTheme="majorHAnsi" w:eastAsia="Calibri" w:hAnsiTheme="majorHAnsi" w:cstheme="majorHAnsi"/>
          <w:noProof/>
          <w:sz w:val="20"/>
          <w:szCs w:val="20"/>
          <w:lang w:eastAsia="ru-RU"/>
        </w:rPr>
        <w:t xml:space="preserve">                                      </w:t>
      </w:r>
    </w:p>
    <w:p w:rsidR="00A53967" w:rsidRDefault="00A53967" w:rsidP="00F61756">
      <w:pPr>
        <w:spacing w:after="0" w:line="276" w:lineRule="auto"/>
        <w:jc w:val="center"/>
        <w:rPr>
          <w:rFonts w:asciiTheme="majorHAnsi" w:eastAsia="Calibri" w:hAnsiTheme="majorHAnsi" w:cstheme="majorHAnsi"/>
          <w:noProof/>
          <w:sz w:val="20"/>
          <w:szCs w:val="20"/>
          <w:lang w:eastAsia="ru-RU"/>
        </w:rPr>
      </w:pPr>
    </w:p>
    <w:p w:rsidR="00A53967" w:rsidRDefault="00A53967" w:rsidP="00F61756">
      <w:pPr>
        <w:spacing w:after="0" w:line="276" w:lineRule="auto"/>
        <w:jc w:val="center"/>
        <w:rPr>
          <w:rFonts w:asciiTheme="majorHAnsi" w:eastAsia="Calibri" w:hAnsiTheme="majorHAnsi" w:cstheme="majorHAnsi"/>
          <w:noProof/>
          <w:sz w:val="20"/>
          <w:szCs w:val="20"/>
          <w:lang w:eastAsia="ru-RU"/>
        </w:rPr>
      </w:pPr>
    </w:p>
    <w:p w:rsidR="00BE49FB" w:rsidRPr="008376FC" w:rsidRDefault="00DC13EB" w:rsidP="00A53967">
      <w:pPr>
        <w:spacing w:after="0" w:line="276" w:lineRule="auto"/>
        <w:jc w:val="right"/>
        <w:rPr>
          <w:rFonts w:asciiTheme="majorHAnsi" w:eastAsia="Calibri" w:hAnsiTheme="majorHAnsi" w:cstheme="majorHAnsi"/>
          <w:noProof/>
          <w:sz w:val="20"/>
          <w:szCs w:val="20"/>
          <w:lang w:eastAsia="ru-RU"/>
        </w:rPr>
      </w:pPr>
      <w:r w:rsidRPr="008376FC">
        <w:rPr>
          <w:rFonts w:asciiTheme="majorHAnsi" w:eastAsia="Calibri" w:hAnsiTheme="majorHAnsi" w:cstheme="majorHAnsi"/>
          <w:noProof/>
          <w:sz w:val="20"/>
          <w:szCs w:val="20"/>
          <w:lang w:eastAsia="ru-RU"/>
        </w:rPr>
        <w:t xml:space="preserve">       </w:t>
      </w:r>
      <w:r w:rsidR="00B26BB4" w:rsidRPr="008376FC">
        <w:rPr>
          <w:rFonts w:asciiTheme="majorHAnsi" w:eastAsia="Calibri" w:hAnsiTheme="majorHAnsi" w:cstheme="majorHAnsi"/>
          <w:noProof/>
          <w:sz w:val="20"/>
          <w:szCs w:val="20"/>
          <w:lang w:eastAsia="ru-RU"/>
        </w:rPr>
        <w:t xml:space="preserve"> </w:t>
      </w:r>
      <w:r w:rsidR="00ED2CE9" w:rsidRPr="008376FC">
        <w:rPr>
          <w:rFonts w:asciiTheme="majorHAnsi" w:eastAsia="Calibri" w:hAnsiTheme="majorHAnsi" w:cstheme="majorHAnsi"/>
          <w:noProof/>
          <w:sz w:val="20"/>
          <w:szCs w:val="20"/>
          <w:lang w:eastAsia="ru-RU"/>
        </w:rPr>
        <w:t>Figura nr.</w:t>
      </w:r>
      <w:r w:rsidR="00B26BB4" w:rsidRPr="008376FC">
        <w:rPr>
          <w:rFonts w:asciiTheme="majorHAnsi" w:eastAsia="Calibri" w:hAnsiTheme="majorHAnsi" w:cstheme="majorHAnsi"/>
          <w:noProof/>
          <w:sz w:val="20"/>
          <w:szCs w:val="20"/>
          <w:lang w:eastAsia="ru-RU"/>
        </w:rPr>
        <w:t>2</w:t>
      </w:r>
      <w:r w:rsidR="00FF1425" w:rsidRPr="008376FC">
        <w:rPr>
          <w:rFonts w:asciiTheme="majorHAnsi" w:eastAsia="Calibri" w:hAnsiTheme="majorHAnsi" w:cstheme="majorHAnsi"/>
          <w:noProof/>
          <w:sz w:val="20"/>
          <w:szCs w:val="20"/>
          <w:lang w:eastAsia="ru-RU"/>
        </w:rPr>
        <w:t>6</w:t>
      </w:r>
    </w:p>
    <w:p w:rsidR="00BE49FB" w:rsidRPr="008376FC" w:rsidRDefault="00BE49FB" w:rsidP="00F61756">
      <w:pPr>
        <w:spacing w:after="0" w:line="276" w:lineRule="auto"/>
        <w:jc w:val="both"/>
        <w:rPr>
          <w:rFonts w:asciiTheme="majorHAnsi" w:eastAsia="Calibri" w:hAnsiTheme="majorHAnsi" w:cstheme="majorHAnsi"/>
          <w:b w:val="0"/>
          <w:bCs w:val="0"/>
          <w:noProof/>
          <w:sz w:val="24"/>
          <w:szCs w:val="24"/>
          <w:lang w:eastAsia="ru-RU"/>
        </w:rPr>
      </w:pPr>
      <w:r w:rsidRPr="008376FC">
        <w:rPr>
          <w:rFonts w:asciiTheme="majorHAnsi" w:eastAsia="Times New Roman" w:hAnsiTheme="majorHAnsi" w:cstheme="majorHAnsi"/>
          <w:b w:val="0"/>
          <w:bCs w:val="0"/>
          <w:noProof/>
          <w:sz w:val="24"/>
          <w:szCs w:val="24"/>
          <w:lang w:val="ru-RU" w:eastAsia="ru-RU"/>
        </w:rPr>
        <w:drawing>
          <wp:inline distT="0" distB="0" distL="0" distR="0">
            <wp:extent cx="6212205" cy="2127250"/>
            <wp:effectExtent l="19050" t="0" r="17145" b="6350"/>
            <wp:docPr id="33"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BE49FB" w:rsidRPr="00812814" w:rsidRDefault="00BE49FB" w:rsidP="00F61756">
      <w:pPr>
        <w:spacing w:after="0" w:line="276" w:lineRule="auto"/>
        <w:jc w:val="both"/>
        <w:rPr>
          <w:rFonts w:asciiTheme="majorHAnsi" w:eastAsia="Calibri" w:hAnsiTheme="majorHAnsi" w:cstheme="majorHAnsi"/>
          <w:b w:val="0"/>
          <w:bCs w:val="0"/>
          <w:i/>
          <w:noProof/>
          <w:sz w:val="20"/>
          <w:szCs w:val="20"/>
          <w:lang w:eastAsia="ru-RU"/>
        </w:rPr>
      </w:pPr>
      <w:r w:rsidRPr="00812814">
        <w:rPr>
          <w:rFonts w:asciiTheme="majorHAnsi" w:eastAsia="Calibri" w:hAnsiTheme="majorHAnsi" w:cstheme="majorHAnsi"/>
          <w:bCs w:val="0"/>
          <w:i/>
          <w:sz w:val="20"/>
          <w:szCs w:val="20"/>
        </w:rPr>
        <w:t>Sursa:</w:t>
      </w:r>
      <w:r w:rsidRPr="00812814">
        <w:rPr>
          <w:rFonts w:asciiTheme="majorHAnsi" w:eastAsia="Calibri" w:hAnsiTheme="majorHAnsi" w:cstheme="majorHAnsi"/>
          <w:b w:val="0"/>
          <w:bCs w:val="0"/>
          <w:i/>
          <w:sz w:val="20"/>
          <w:szCs w:val="20"/>
        </w:rPr>
        <w:t xml:space="preserve"> </w:t>
      </w:r>
      <w:r w:rsidR="00B26BB4" w:rsidRPr="00812814">
        <w:rPr>
          <w:rFonts w:asciiTheme="majorHAnsi" w:eastAsia="Calibri" w:hAnsiTheme="majorHAnsi" w:cstheme="majorHAnsi"/>
          <w:b w:val="0"/>
          <w:bCs w:val="0"/>
          <w:i/>
          <w:sz w:val="20"/>
          <w:szCs w:val="20"/>
        </w:rPr>
        <w:t>D</w:t>
      </w:r>
      <w:r w:rsidRPr="00812814">
        <w:rPr>
          <w:rFonts w:asciiTheme="majorHAnsi" w:eastAsia="Calibri" w:hAnsiTheme="majorHAnsi" w:cstheme="majorHAnsi"/>
          <w:b w:val="0"/>
          <w:bCs w:val="0"/>
          <w:i/>
          <w:sz w:val="20"/>
          <w:szCs w:val="20"/>
        </w:rPr>
        <w:t>ate</w:t>
      </w:r>
      <w:r w:rsidR="00872CB8">
        <w:rPr>
          <w:rFonts w:asciiTheme="majorHAnsi" w:eastAsia="Calibri" w:hAnsiTheme="majorHAnsi" w:cstheme="majorHAnsi"/>
          <w:b w:val="0"/>
          <w:bCs w:val="0"/>
          <w:i/>
          <w:sz w:val="20"/>
          <w:szCs w:val="20"/>
        </w:rPr>
        <w:t xml:space="preserve"> oferite d</w:t>
      </w:r>
      <w:r w:rsidRPr="00812814">
        <w:rPr>
          <w:rFonts w:asciiTheme="majorHAnsi" w:eastAsia="Calibri" w:hAnsiTheme="majorHAnsi" w:cstheme="majorHAnsi"/>
          <w:b w:val="0"/>
          <w:bCs w:val="0"/>
          <w:i/>
          <w:sz w:val="20"/>
          <w:szCs w:val="20"/>
        </w:rPr>
        <w:t>e BNS.</w:t>
      </w:r>
    </w:p>
    <w:p w:rsidR="00BE49FB" w:rsidRPr="008376FC" w:rsidRDefault="00BE49FB" w:rsidP="00F61756">
      <w:pPr>
        <w:spacing w:before="120" w:after="0" w:line="276" w:lineRule="auto"/>
        <w:jc w:val="both"/>
        <w:rPr>
          <w:rFonts w:asciiTheme="majorHAnsi" w:eastAsia="Calibri" w:hAnsiTheme="majorHAnsi" w:cstheme="majorHAnsi"/>
          <w:b w:val="0"/>
          <w:bCs w:val="0"/>
          <w:noProof/>
          <w:sz w:val="24"/>
          <w:szCs w:val="24"/>
          <w:lang w:eastAsia="ru-RU"/>
        </w:rPr>
      </w:pPr>
      <w:r w:rsidRPr="008376FC">
        <w:rPr>
          <w:rFonts w:asciiTheme="majorHAnsi" w:eastAsia="Calibri" w:hAnsiTheme="majorHAnsi" w:cstheme="majorHAnsi"/>
          <w:b w:val="0"/>
          <w:bCs w:val="0"/>
          <w:noProof/>
          <w:sz w:val="24"/>
          <w:szCs w:val="24"/>
          <w:lang w:eastAsia="ru-RU"/>
        </w:rPr>
        <w:t>În Rezina, Dubăsari și Glodeni se atestă lipsa stațiilor de epurare a apelor uzate, ceea ce</w:t>
      </w:r>
      <w:r w:rsidR="00872CB8">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în consecință</w:t>
      </w:r>
      <w:r w:rsidR="00872CB8">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dăune</w:t>
      </w:r>
      <w:r w:rsidR="00872CB8">
        <w:rPr>
          <w:rFonts w:asciiTheme="majorHAnsi" w:eastAsia="Calibri" w:hAnsiTheme="majorHAnsi" w:cstheme="majorHAnsi"/>
          <w:b w:val="0"/>
          <w:bCs w:val="0"/>
          <w:noProof/>
          <w:sz w:val="24"/>
          <w:szCs w:val="24"/>
          <w:lang w:eastAsia="ru-RU"/>
        </w:rPr>
        <w:t>a</w:t>
      </w:r>
      <w:r w:rsidRPr="008376FC">
        <w:rPr>
          <w:rFonts w:asciiTheme="majorHAnsi" w:eastAsia="Calibri" w:hAnsiTheme="majorHAnsi" w:cstheme="majorHAnsi"/>
          <w:b w:val="0"/>
          <w:bCs w:val="0"/>
          <w:noProof/>
          <w:sz w:val="24"/>
          <w:szCs w:val="24"/>
          <w:lang w:eastAsia="ru-RU"/>
        </w:rPr>
        <w:t>ză atât sănăt</w:t>
      </w:r>
      <w:r w:rsidR="00872CB8">
        <w:rPr>
          <w:rFonts w:asciiTheme="majorHAnsi" w:eastAsia="Calibri" w:hAnsiTheme="majorHAnsi" w:cstheme="majorHAnsi"/>
          <w:b w:val="0"/>
          <w:bCs w:val="0"/>
          <w:noProof/>
          <w:sz w:val="24"/>
          <w:szCs w:val="24"/>
          <w:lang w:eastAsia="ru-RU"/>
        </w:rPr>
        <w:t>ății</w:t>
      </w:r>
      <w:r w:rsidRPr="008376FC">
        <w:rPr>
          <w:rFonts w:asciiTheme="majorHAnsi" w:eastAsia="Calibri" w:hAnsiTheme="majorHAnsi" w:cstheme="majorHAnsi"/>
          <w:b w:val="0"/>
          <w:bCs w:val="0"/>
          <w:noProof/>
          <w:sz w:val="24"/>
          <w:szCs w:val="24"/>
          <w:lang w:eastAsia="ru-RU"/>
        </w:rPr>
        <w:t xml:space="preserve"> populației</w:t>
      </w:r>
      <w:r w:rsidR="00872CB8">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c</w:t>
      </w:r>
      <w:r w:rsidR="00872CB8">
        <w:rPr>
          <w:rFonts w:asciiTheme="majorHAnsi" w:eastAsia="Calibri" w:hAnsiTheme="majorHAnsi" w:cstheme="majorHAnsi"/>
          <w:b w:val="0"/>
          <w:bCs w:val="0"/>
          <w:noProof/>
          <w:sz w:val="24"/>
          <w:szCs w:val="24"/>
          <w:lang w:eastAsia="ru-RU"/>
        </w:rPr>
        <w:t>â</w:t>
      </w:r>
      <w:r w:rsidRPr="008376FC">
        <w:rPr>
          <w:rFonts w:asciiTheme="majorHAnsi" w:eastAsia="Calibri" w:hAnsiTheme="majorHAnsi" w:cstheme="majorHAnsi"/>
          <w:b w:val="0"/>
          <w:bCs w:val="0"/>
          <w:noProof/>
          <w:sz w:val="24"/>
          <w:szCs w:val="24"/>
          <w:lang w:eastAsia="ru-RU"/>
        </w:rPr>
        <w:t>t și mediul</w:t>
      </w:r>
      <w:r w:rsidR="00872CB8">
        <w:rPr>
          <w:rFonts w:asciiTheme="majorHAnsi" w:eastAsia="Calibri" w:hAnsiTheme="majorHAnsi" w:cstheme="majorHAnsi"/>
          <w:b w:val="0"/>
          <w:bCs w:val="0"/>
          <w:noProof/>
          <w:sz w:val="24"/>
          <w:szCs w:val="24"/>
          <w:lang w:eastAsia="ru-RU"/>
        </w:rPr>
        <w:t>ui</w:t>
      </w:r>
      <w:r w:rsidRPr="008376FC">
        <w:rPr>
          <w:rFonts w:asciiTheme="majorHAnsi" w:eastAsia="Calibri" w:hAnsiTheme="majorHAnsi" w:cstheme="majorHAnsi"/>
          <w:b w:val="0"/>
          <w:bCs w:val="0"/>
          <w:noProof/>
          <w:sz w:val="24"/>
          <w:szCs w:val="24"/>
          <w:lang w:eastAsia="ru-RU"/>
        </w:rPr>
        <w:t xml:space="preserve"> înc</w:t>
      </w:r>
      <w:r w:rsidR="00872CB8">
        <w:rPr>
          <w:rFonts w:asciiTheme="majorHAnsi" w:eastAsia="Calibri" w:hAnsiTheme="majorHAnsi" w:cstheme="majorHAnsi"/>
          <w:b w:val="0"/>
          <w:bCs w:val="0"/>
          <w:noProof/>
          <w:sz w:val="24"/>
          <w:szCs w:val="24"/>
          <w:lang w:eastAsia="ru-RU"/>
        </w:rPr>
        <w:t>o</w:t>
      </w:r>
      <w:r w:rsidRPr="008376FC">
        <w:rPr>
          <w:rFonts w:asciiTheme="majorHAnsi" w:eastAsia="Calibri" w:hAnsiTheme="majorHAnsi" w:cstheme="majorHAnsi"/>
          <w:b w:val="0"/>
          <w:bCs w:val="0"/>
          <w:noProof/>
          <w:sz w:val="24"/>
          <w:szCs w:val="24"/>
          <w:lang w:eastAsia="ru-RU"/>
        </w:rPr>
        <w:t xml:space="preserve">njurător. </w:t>
      </w:r>
    </w:p>
    <w:p w:rsidR="00BE49FB" w:rsidRPr="008376FC" w:rsidRDefault="00BE49FB" w:rsidP="00F61756">
      <w:pPr>
        <w:pStyle w:val="a3"/>
        <w:widowControl w:val="0"/>
        <w:numPr>
          <w:ilvl w:val="2"/>
          <w:numId w:val="39"/>
        </w:numPr>
        <w:autoSpaceDE w:val="0"/>
        <w:autoSpaceDN w:val="0"/>
        <w:spacing w:before="120" w:line="276" w:lineRule="auto"/>
        <w:ind w:left="0" w:firstLine="0"/>
        <w:jc w:val="both"/>
        <w:rPr>
          <w:rFonts w:asciiTheme="majorHAnsi" w:hAnsiTheme="majorHAnsi" w:cstheme="majorHAnsi"/>
          <w:b/>
          <w:color w:val="0070C0"/>
          <w:lang w:val="en-US"/>
        </w:rPr>
      </w:pPr>
      <w:r w:rsidRPr="008376FC">
        <w:rPr>
          <w:rFonts w:asciiTheme="majorHAnsi" w:hAnsiTheme="majorHAnsi" w:cstheme="majorHAnsi"/>
          <w:lang w:val="ro-RO"/>
        </w:rPr>
        <w:t xml:space="preserve"> </w:t>
      </w:r>
      <w:r w:rsidRPr="008376FC">
        <w:rPr>
          <w:rFonts w:asciiTheme="majorHAnsi" w:hAnsiTheme="majorHAnsi" w:cstheme="majorHAnsi"/>
          <w:b/>
          <w:color w:val="0070C0"/>
          <w:lang w:val="en-US"/>
        </w:rPr>
        <w:t xml:space="preserve">Nicio structură </w:t>
      </w:r>
      <w:r w:rsidR="00872CB8">
        <w:rPr>
          <w:rFonts w:asciiTheme="majorHAnsi" w:hAnsiTheme="majorHAnsi" w:cstheme="majorHAnsi"/>
          <w:b/>
          <w:color w:val="0070C0"/>
          <w:lang w:val="en-US"/>
        </w:rPr>
        <w:t xml:space="preserve">de </w:t>
      </w:r>
      <w:r w:rsidRPr="008376FC">
        <w:rPr>
          <w:rFonts w:asciiTheme="majorHAnsi" w:hAnsiTheme="majorHAnsi" w:cstheme="majorHAnsi"/>
          <w:b/>
          <w:color w:val="0070C0"/>
          <w:lang w:val="en-US"/>
        </w:rPr>
        <w:t>stat din țară nu deține date reale privind numărul stațiilor de epurare a apelor uzate</w:t>
      </w:r>
      <w:r w:rsidR="00872CB8">
        <w:rPr>
          <w:rFonts w:asciiTheme="majorHAnsi" w:hAnsiTheme="majorHAnsi" w:cstheme="majorHAnsi"/>
          <w:b/>
          <w:color w:val="0070C0"/>
          <w:lang w:val="en-US"/>
        </w:rPr>
        <w:t>.</w:t>
      </w:r>
      <w:r w:rsidRPr="008376FC">
        <w:rPr>
          <w:rFonts w:asciiTheme="majorHAnsi" w:hAnsiTheme="majorHAnsi" w:cstheme="majorHAnsi"/>
          <w:b/>
          <w:color w:val="0070C0"/>
          <w:lang w:val="en-US"/>
        </w:rPr>
        <w:t xml:space="preserve"> </w:t>
      </w:r>
    </w:p>
    <w:p w:rsidR="00BE49FB" w:rsidRPr="008376FC" w:rsidRDefault="00BE49FB" w:rsidP="00F61756">
      <w:pPr>
        <w:widowControl w:val="0"/>
        <w:autoSpaceDE w:val="0"/>
        <w:autoSpaceDN w:val="0"/>
        <w:spacing w:after="0" w:line="276" w:lineRule="auto"/>
        <w:ind w:left="45" w:firstLine="663"/>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Analizele efectuate de audit au relatat că, la zi, nicio structură din țară nu deține o informație completă și amplă cu privire la OITE aferente domeniului de alimentare cu apă și sanitație, ceea ce face imposibilă sau dificilă evaluarea situației în domeniu. </w:t>
      </w:r>
    </w:p>
    <w:p w:rsidR="00BE49FB" w:rsidRPr="008376FC" w:rsidRDefault="00BE49FB" w:rsidP="00F61756">
      <w:pPr>
        <w:widowControl w:val="0"/>
        <w:autoSpaceDE w:val="0"/>
        <w:autoSpaceDN w:val="0"/>
        <w:spacing w:after="0" w:line="276" w:lineRule="auto"/>
        <w:ind w:left="45" w:firstLine="663"/>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Conform explicațiilor reprezentanților BNS, acesta colectează doar datele aferente sistemelor publice de alimentare cu apă și canalizare, iar conform explicațiilor reprezentanților IPM, în anuarele sale sunt incluse datele deținute de oficiile teritoriale ale IPM, care ar include informațiile cunoscute de angajații oficiilor. Sinteza datelor disponibile se prezintă în </w:t>
      </w:r>
      <w:r w:rsidR="00872CB8">
        <w:rPr>
          <w:rFonts w:asciiTheme="majorHAnsi" w:eastAsia="Times New Roman" w:hAnsiTheme="majorHAnsi" w:cstheme="majorHAnsi"/>
          <w:b w:val="0"/>
          <w:bCs w:val="0"/>
          <w:sz w:val="24"/>
          <w:szCs w:val="24"/>
        </w:rPr>
        <w:t>t</w:t>
      </w:r>
      <w:r w:rsidRPr="008376FC">
        <w:rPr>
          <w:rFonts w:asciiTheme="majorHAnsi" w:eastAsia="Times New Roman" w:hAnsiTheme="majorHAnsi" w:cstheme="majorHAnsi"/>
          <w:b w:val="0"/>
          <w:bCs w:val="0"/>
          <w:sz w:val="24"/>
          <w:szCs w:val="24"/>
        </w:rPr>
        <w:t xml:space="preserve">abelul de mai jos. </w:t>
      </w:r>
    </w:p>
    <w:p w:rsidR="00B26BB4" w:rsidRPr="008376FC" w:rsidRDefault="00B26BB4" w:rsidP="00F61756">
      <w:pPr>
        <w:widowControl w:val="0"/>
        <w:autoSpaceDE w:val="0"/>
        <w:autoSpaceDN w:val="0"/>
        <w:spacing w:after="0" w:line="276" w:lineRule="auto"/>
        <w:ind w:left="45"/>
        <w:jc w:val="right"/>
        <w:rPr>
          <w:rFonts w:asciiTheme="majorHAnsi" w:eastAsia="Times New Roman" w:hAnsiTheme="majorHAnsi" w:cstheme="majorHAnsi"/>
          <w:b w:val="0"/>
          <w:bCs w:val="0"/>
          <w:sz w:val="24"/>
          <w:szCs w:val="24"/>
        </w:rPr>
      </w:pPr>
      <w:r w:rsidRPr="008376FC">
        <w:rPr>
          <w:rFonts w:asciiTheme="majorHAnsi" w:eastAsia="Times New Roman" w:hAnsiTheme="majorHAnsi" w:cstheme="majorHAnsi"/>
          <w:sz w:val="20"/>
          <w:szCs w:val="20"/>
        </w:rPr>
        <w:t>Tabelul nr. 1</w:t>
      </w:r>
      <w:r w:rsidR="00FF1425" w:rsidRPr="008376FC">
        <w:rPr>
          <w:rFonts w:asciiTheme="majorHAnsi" w:eastAsia="Times New Roman" w:hAnsiTheme="majorHAnsi" w:cstheme="majorHAnsi"/>
          <w:sz w:val="20"/>
          <w:szCs w:val="20"/>
        </w:rPr>
        <w:t>8</w:t>
      </w:r>
    </w:p>
    <w:tbl>
      <w:tblPr>
        <w:tblStyle w:val="TableGrid1"/>
        <w:tblW w:w="9806" w:type="dxa"/>
        <w:tblLook w:val="04A0" w:firstRow="1" w:lastRow="0" w:firstColumn="1" w:lastColumn="0" w:noHBand="0" w:noVBand="1"/>
      </w:tblPr>
      <w:tblGrid>
        <w:gridCol w:w="769"/>
        <w:gridCol w:w="633"/>
        <w:gridCol w:w="615"/>
        <w:gridCol w:w="699"/>
        <w:gridCol w:w="1070"/>
        <w:gridCol w:w="637"/>
        <w:gridCol w:w="618"/>
        <w:gridCol w:w="701"/>
        <w:gridCol w:w="1071"/>
        <w:gridCol w:w="683"/>
        <w:gridCol w:w="618"/>
        <w:gridCol w:w="682"/>
        <w:gridCol w:w="1003"/>
        <w:gridCol w:w="7"/>
      </w:tblGrid>
      <w:tr w:rsidR="00B44B7C" w:rsidRPr="008376FC" w:rsidTr="00724D50">
        <w:trPr>
          <w:trHeight w:val="402"/>
        </w:trPr>
        <w:tc>
          <w:tcPr>
            <w:tcW w:w="9806" w:type="dxa"/>
            <w:gridSpan w:val="14"/>
            <w:tcBorders>
              <w:top w:val="nil"/>
              <w:left w:val="nil"/>
              <w:bottom w:val="single" w:sz="4" w:space="0" w:color="auto"/>
              <w:right w:val="nil"/>
            </w:tcBorders>
          </w:tcPr>
          <w:p w:rsidR="00B44B7C" w:rsidRPr="00812814" w:rsidRDefault="00872CB8" w:rsidP="00F61756">
            <w:pPr>
              <w:spacing w:line="276" w:lineRule="auto"/>
              <w:jc w:val="both"/>
              <w:rPr>
                <w:rFonts w:asciiTheme="majorHAnsi" w:eastAsia="Times New Roman" w:hAnsiTheme="majorHAnsi" w:cstheme="majorHAnsi"/>
                <w:b w:val="0"/>
                <w:bCs w:val="0"/>
                <w:sz w:val="24"/>
                <w:szCs w:val="24"/>
                <w:lang w:eastAsia="ru-RU"/>
              </w:rPr>
            </w:pPr>
            <w:r>
              <w:rPr>
                <w:rFonts w:asciiTheme="majorHAnsi" w:eastAsia="Times New Roman" w:hAnsiTheme="majorHAnsi" w:cstheme="majorHAnsi"/>
                <w:bCs w:val="0"/>
                <w:sz w:val="24"/>
                <w:szCs w:val="24"/>
              </w:rPr>
              <w:t>D</w:t>
            </w:r>
            <w:r w:rsidR="00B44B7C" w:rsidRPr="00812814">
              <w:rPr>
                <w:rFonts w:asciiTheme="majorHAnsi" w:eastAsia="Times New Roman" w:hAnsiTheme="majorHAnsi" w:cstheme="majorHAnsi"/>
                <w:bCs w:val="0"/>
                <w:sz w:val="24"/>
                <w:szCs w:val="24"/>
              </w:rPr>
              <w:t>ate</w:t>
            </w:r>
            <w:r>
              <w:rPr>
                <w:rFonts w:asciiTheme="majorHAnsi" w:eastAsia="Times New Roman" w:hAnsiTheme="majorHAnsi" w:cstheme="majorHAnsi"/>
                <w:bCs w:val="0"/>
                <w:sz w:val="24"/>
                <w:szCs w:val="24"/>
              </w:rPr>
              <w:t>le</w:t>
            </w:r>
            <w:r w:rsidR="00B44B7C" w:rsidRPr="00812814">
              <w:rPr>
                <w:rFonts w:asciiTheme="majorHAnsi" w:eastAsia="Times New Roman" w:hAnsiTheme="majorHAnsi" w:cstheme="majorHAnsi"/>
                <w:bCs w:val="0"/>
                <w:sz w:val="24"/>
                <w:szCs w:val="24"/>
              </w:rPr>
              <w:t xml:space="preserve"> deținute de BNS și IPM privind numărul stațiilor de epurare a apelor uzate din țară</w:t>
            </w:r>
          </w:p>
        </w:tc>
      </w:tr>
      <w:tr w:rsidR="00BE49FB" w:rsidRPr="008376FC" w:rsidTr="00724D50">
        <w:trPr>
          <w:trHeight w:val="402"/>
        </w:trPr>
        <w:tc>
          <w:tcPr>
            <w:tcW w:w="769" w:type="dxa"/>
            <w:vMerge w:val="restart"/>
            <w:tcBorders>
              <w:top w:val="single" w:sz="4" w:space="0" w:color="auto"/>
            </w:tcBorders>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Anii</w:t>
            </w:r>
          </w:p>
        </w:tc>
        <w:tc>
          <w:tcPr>
            <w:tcW w:w="3017" w:type="dxa"/>
            <w:gridSpan w:val="4"/>
            <w:tcBorders>
              <w:top w:val="single" w:sz="4" w:space="0" w:color="auto"/>
            </w:tcBorders>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Numărul stațiilor de epurare a apelor uzate, total</w:t>
            </w:r>
          </w:p>
        </w:tc>
        <w:tc>
          <w:tcPr>
            <w:tcW w:w="3027" w:type="dxa"/>
            <w:gridSpan w:val="4"/>
            <w:tcBorders>
              <w:top w:val="single" w:sz="4" w:space="0" w:color="auto"/>
            </w:tcBorders>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Numărul stațiilor de epurare a apelor uzate, funcționale</w:t>
            </w:r>
          </w:p>
        </w:tc>
        <w:tc>
          <w:tcPr>
            <w:tcW w:w="2993" w:type="dxa"/>
            <w:gridSpan w:val="5"/>
            <w:tcBorders>
              <w:top w:val="single" w:sz="4" w:space="0" w:color="auto"/>
            </w:tcBorders>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Numărul stațiilor de epurare a apelor uzate, nefuncționale</w:t>
            </w:r>
          </w:p>
        </w:tc>
      </w:tr>
      <w:tr w:rsidR="00BE49FB" w:rsidRPr="008376FC" w:rsidTr="00724D50">
        <w:trPr>
          <w:gridAfter w:val="1"/>
          <w:wAfter w:w="8" w:type="dxa"/>
          <w:trHeight w:val="202"/>
        </w:trPr>
        <w:tc>
          <w:tcPr>
            <w:tcW w:w="769"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p>
        </w:tc>
        <w:tc>
          <w:tcPr>
            <w:tcW w:w="1248" w:type="dxa"/>
            <w:gridSpan w:val="2"/>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 xml:space="preserve">Datele </w:t>
            </w:r>
          </w:p>
        </w:tc>
        <w:tc>
          <w:tcPr>
            <w:tcW w:w="1769" w:type="dxa"/>
            <w:gridSpan w:val="2"/>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Devieri IPM/BNS</w:t>
            </w:r>
          </w:p>
        </w:tc>
        <w:tc>
          <w:tcPr>
            <w:tcW w:w="1255" w:type="dxa"/>
            <w:gridSpan w:val="2"/>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 xml:space="preserve">Datele </w:t>
            </w:r>
          </w:p>
        </w:tc>
        <w:tc>
          <w:tcPr>
            <w:tcW w:w="1772" w:type="dxa"/>
            <w:gridSpan w:val="2"/>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Devieri IPM/BNS</w:t>
            </w:r>
          </w:p>
        </w:tc>
        <w:tc>
          <w:tcPr>
            <w:tcW w:w="1301" w:type="dxa"/>
            <w:gridSpan w:val="2"/>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 xml:space="preserve">Datele </w:t>
            </w:r>
          </w:p>
        </w:tc>
        <w:tc>
          <w:tcPr>
            <w:tcW w:w="1684" w:type="dxa"/>
            <w:gridSpan w:val="2"/>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Devieri IPM/BNS</w:t>
            </w:r>
          </w:p>
        </w:tc>
      </w:tr>
      <w:tr w:rsidR="00BE49FB" w:rsidRPr="008376FC" w:rsidTr="00724D50">
        <w:trPr>
          <w:gridAfter w:val="1"/>
          <w:wAfter w:w="7" w:type="dxa"/>
          <w:trHeight w:val="137"/>
        </w:trPr>
        <w:tc>
          <w:tcPr>
            <w:tcW w:w="769"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p>
        </w:tc>
        <w:tc>
          <w:tcPr>
            <w:tcW w:w="633" w:type="dxa"/>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BNS</w:t>
            </w:r>
          </w:p>
        </w:tc>
        <w:tc>
          <w:tcPr>
            <w:tcW w:w="615" w:type="dxa"/>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IPM</w:t>
            </w:r>
          </w:p>
        </w:tc>
        <w:tc>
          <w:tcPr>
            <w:tcW w:w="699" w:type="dxa"/>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Unit.</w:t>
            </w:r>
          </w:p>
        </w:tc>
        <w:tc>
          <w:tcPr>
            <w:tcW w:w="1070" w:type="dxa"/>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w:t>
            </w:r>
          </w:p>
        </w:tc>
        <w:tc>
          <w:tcPr>
            <w:tcW w:w="637" w:type="dxa"/>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BNS</w:t>
            </w:r>
          </w:p>
        </w:tc>
        <w:tc>
          <w:tcPr>
            <w:tcW w:w="618" w:type="dxa"/>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IPM</w:t>
            </w:r>
          </w:p>
        </w:tc>
        <w:tc>
          <w:tcPr>
            <w:tcW w:w="701" w:type="dxa"/>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Unit.</w:t>
            </w:r>
          </w:p>
        </w:tc>
        <w:tc>
          <w:tcPr>
            <w:tcW w:w="1071" w:type="dxa"/>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w:t>
            </w:r>
          </w:p>
        </w:tc>
        <w:tc>
          <w:tcPr>
            <w:tcW w:w="683" w:type="dxa"/>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BNS</w:t>
            </w:r>
          </w:p>
        </w:tc>
        <w:tc>
          <w:tcPr>
            <w:tcW w:w="618" w:type="dxa"/>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IPM</w:t>
            </w:r>
          </w:p>
        </w:tc>
        <w:tc>
          <w:tcPr>
            <w:tcW w:w="682" w:type="dxa"/>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Unit.</w:t>
            </w:r>
          </w:p>
        </w:tc>
        <w:tc>
          <w:tcPr>
            <w:tcW w:w="1003" w:type="dxa"/>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w:t>
            </w:r>
          </w:p>
        </w:tc>
      </w:tr>
      <w:tr w:rsidR="00BE49FB" w:rsidRPr="008376FC" w:rsidTr="00724D50">
        <w:trPr>
          <w:gridAfter w:val="1"/>
          <w:wAfter w:w="7" w:type="dxa"/>
          <w:trHeight w:val="52"/>
        </w:trPr>
        <w:tc>
          <w:tcPr>
            <w:tcW w:w="76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2016</w:t>
            </w:r>
          </w:p>
        </w:tc>
        <w:tc>
          <w:tcPr>
            <w:tcW w:w="63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87</w:t>
            </w:r>
          </w:p>
        </w:tc>
        <w:tc>
          <w:tcPr>
            <w:tcW w:w="61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195</w:t>
            </w:r>
          </w:p>
        </w:tc>
        <w:tc>
          <w:tcPr>
            <w:tcW w:w="69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108</w:t>
            </w:r>
          </w:p>
        </w:tc>
        <w:tc>
          <w:tcPr>
            <w:tcW w:w="1070" w:type="dxa"/>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124,1%</w:t>
            </w:r>
            <w:r w:rsidRPr="008376FC">
              <w:rPr>
                <w:rFonts w:asciiTheme="majorHAnsi" w:eastAsia="Times New Roman" w:hAnsiTheme="majorHAnsi" w:cstheme="majorHAnsi"/>
                <w:bCs w:val="0"/>
                <w:color w:val="FF0000"/>
                <w:sz w:val="20"/>
                <w:szCs w:val="20"/>
                <w:lang w:eastAsia="ru-RU"/>
              </w:rPr>
              <w:sym w:font="Wingdings" w:char="F06C"/>
            </w:r>
          </w:p>
        </w:tc>
        <w:tc>
          <w:tcPr>
            <w:tcW w:w="63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73</w:t>
            </w:r>
          </w:p>
        </w:tc>
        <w:tc>
          <w:tcPr>
            <w:tcW w:w="61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157</w:t>
            </w:r>
          </w:p>
        </w:tc>
        <w:tc>
          <w:tcPr>
            <w:tcW w:w="70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84</w:t>
            </w:r>
          </w:p>
        </w:tc>
        <w:tc>
          <w:tcPr>
            <w:tcW w:w="1071" w:type="dxa"/>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115,1%</w:t>
            </w:r>
            <w:r w:rsidRPr="008376FC">
              <w:rPr>
                <w:rFonts w:asciiTheme="majorHAnsi" w:eastAsia="Times New Roman" w:hAnsiTheme="majorHAnsi" w:cstheme="majorHAnsi"/>
                <w:bCs w:val="0"/>
                <w:color w:val="FF0000"/>
                <w:sz w:val="20"/>
                <w:szCs w:val="20"/>
                <w:lang w:eastAsia="ru-RU"/>
              </w:rPr>
              <w:sym w:font="Wingdings" w:char="F06C"/>
            </w:r>
          </w:p>
        </w:tc>
        <w:tc>
          <w:tcPr>
            <w:tcW w:w="68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14</w:t>
            </w:r>
          </w:p>
        </w:tc>
        <w:tc>
          <w:tcPr>
            <w:tcW w:w="61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38</w:t>
            </w:r>
          </w:p>
        </w:tc>
        <w:tc>
          <w:tcPr>
            <w:tcW w:w="68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24</w:t>
            </w:r>
          </w:p>
        </w:tc>
        <w:tc>
          <w:tcPr>
            <w:tcW w:w="1003" w:type="dxa"/>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171,4%</w:t>
            </w:r>
            <w:r w:rsidRPr="008376FC">
              <w:rPr>
                <w:rFonts w:asciiTheme="majorHAnsi" w:eastAsia="Times New Roman" w:hAnsiTheme="majorHAnsi" w:cstheme="majorHAnsi"/>
                <w:bCs w:val="0"/>
                <w:color w:val="FF0000"/>
                <w:sz w:val="20"/>
                <w:szCs w:val="20"/>
                <w:lang w:eastAsia="ru-RU"/>
              </w:rPr>
              <w:sym w:font="Wingdings" w:char="F06C"/>
            </w:r>
          </w:p>
        </w:tc>
      </w:tr>
      <w:tr w:rsidR="00BE49FB" w:rsidRPr="008376FC" w:rsidTr="00724D50">
        <w:trPr>
          <w:gridAfter w:val="1"/>
          <w:wAfter w:w="7" w:type="dxa"/>
          <w:trHeight w:val="74"/>
        </w:trPr>
        <w:tc>
          <w:tcPr>
            <w:tcW w:w="76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2017</w:t>
            </w:r>
          </w:p>
        </w:tc>
        <w:tc>
          <w:tcPr>
            <w:tcW w:w="63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83</w:t>
            </w:r>
          </w:p>
        </w:tc>
        <w:tc>
          <w:tcPr>
            <w:tcW w:w="61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213</w:t>
            </w:r>
          </w:p>
        </w:tc>
        <w:tc>
          <w:tcPr>
            <w:tcW w:w="69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130</w:t>
            </w:r>
          </w:p>
        </w:tc>
        <w:tc>
          <w:tcPr>
            <w:tcW w:w="107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156,6%</w:t>
            </w:r>
          </w:p>
        </w:tc>
        <w:tc>
          <w:tcPr>
            <w:tcW w:w="63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70</w:t>
            </w:r>
          </w:p>
        </w:tc>
        <w:tc>
          <w:tcPr>
            <w:tcW w:w="61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166</w:t>
            </w:r>
          </w:p>
        </w:tc>
        <w:tc>
          <w:tcPr>
            <w:tcW w:w="70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96</w:t>
            </w:r>
          </w:p>
        </w:tc>
        <w:tc>
          <w:tcPr>
            <w:tcW w:w="107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137,1%</w:t>
            </w:r>
          </w:p>
        </w:tc>
        <w:tc>
          <w:tcPr>
            <w:tcW w:w="68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13</w:t>
            </w:r>
          </w:p>
        </w:tc>
        <w:tc>
          <w:tcPr>
            <w:tcW w:w="61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47</w:t>
            </w:r>
          </w:p>
        </w:tc>
        <w:tc>
          <w:tcPr>
            <w:tcW w:w="68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34</w:t>
            </w:r>
          </w:p>
        </w:tc>
        <w:tc>
          <w:tcPr>
            <w:tcW w:w="100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261,5%</w:t>
            </w:r>
          </w:p>
        </w:tc>
      </w:tr>
      <w:tr w:rsidR="00BE49FB" w:rsidRPr="008376FC" w:rsidTr="00724D50">
        <w:trPr>
          <w:gridAfter w:val="1"/>
          <w:wAfter w:w="7" w:type="dxa"/>
          <w:trHeight w:val="120"/>
        </w:trPr>
        <w:tc>
          <w:tcPr>
            <w:tcW w:w="76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2018</w:t>
            </w:r>
          </w:p>
        </w:tc>
        <w:tc>
          <w:tcPr>
            <w:tcW w:w="63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85</w:t>
            </w:r>
          </w:p>
        </w:tc>
        <w:tc>
          <w:tcPr>
            <w:tcW w:w="61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233</w:t>
            </w:r>
          </w:p>
        </w:tc>
        <w:tc>
          <w:tcPr>
            <w:tcW w:w="69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148</w:t>
            </w:r>
          </w:p>
        </w:tc>
        <w:tc>
          <w:tcPr>
            <w:tcW w:w="107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174,1%</w:t>
            </w:r>
          </w:p>
        </w:tc>
        <w:tc>
          <w:tcPr>
            <w:tcW w:w="63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72</w:t>
            </w:r>
          </w:p>
        </w:tc>
        <w:tc>
          <w:tcPr>
            <w:tcW w:w="61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190</w:t>
            </w:r>
          </w:p>
        </w:tc>
        <w:tc>
          <w:tcPr>
            <w:tcW w:w="70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118</w:t>
            </w:r>
          </w:p>
        </w:tc>
        <w:tc>
          <w:tcPr>
            <w:tcW w:w="107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163,9%</w:t>
            </w:r>
          </w:p>
        </w:tc>
        <w:tc>
          <w:tcPr>
            <w:tcW w:w="68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13</w:t>
            </w:r>
          </w:p>
        </w:tc>
        <w:tc>
          <w:tcPr>
            <w:tcW w:w="61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43</w:t>
            </w:r>
          </w:p>
        </w:tc>
        <w:tc>
          <w:tcPr>
            <w:tcW w:w="68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30</w:t>
            </w:r>
          </w:p>
        </w:tc>
        <w:tc>
          <w:tcPr>
            <w:tcW w:w="100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230,8%</w:t>
            </w:r>
          </w:p>
        </w:tc>
      </w:tr>
      <w:tr w:rsidR="00BE49FB" w:rsidRPr="008376FC" w:rsidTr="00724D50">
        <w:trPr>
          <w:gridAfter w:val="1"/>
          <w:wAfter w:w="7" w:type="dxa"/>
          <w:trHeight w:val="151"/>
        </w:trPr>
        <w:tc>
          <w:tcPr>
            <w:tcW w:w="76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2019</w:t>
            </w:r>
          </w:p>
        </w:tc>
        <w:tc>
          <w:tcPr>
            <w:tcW w:w="63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90</w:t>
            </w:r>
          </w:p>
        </w:tc>
        <w:tc>
          <w:tcPr>
            <w:tcW w:w="61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262</w:t>
            </w:r>
          </w:p>
        </w:tc>
        <w:tc>
          <w:tcPr>
            <w:tcW w:w="69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172</w:t>
            </w:r>
          </w:p>
        </w:tc>
        <w:tc>
          <w:tcPr>
            <w:tcW w:w="107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191,1%</w:t>
            </w:r>
          </w:p>
        </w:tc>
        <w:tc>
          <w:tcPr>
            <w:tcW w:w="63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74</w:t>
            </w:r>
          </w:p>
        </w:tc>
        <w:tc>
          <w:tcPr>
            <w:tcW w:w="61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203</w:t>
            </w:r>
          </w:p>
        </w:tc>
        <w:tc>
          <w:tcPr>
            <w:tcW w:w="70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129</w:t>
            </w:r>
          </w:p>
        </w:tc>
        <w:tc>
          <w:tcPr>
            <w:tcW w:w="1071" w:type="dxa"/>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174,3%</w:t>
            </w:r>
            <w:r w:rsidRPr="008376FC">
              <w:rPr>
                <w:rFonts w:asciiTheme="majorHAnsi" w:eastAsia="Times New Roman" w:hAnsiTheme="majorHAnsi" w:cstheme="majorHAnsi"/>
                <w:bCs w:val="0"/>
                <w:color w:val="FF0000"/>
                <w:sz w:val="20"/>
                <w:szCs w:val="20"/>
                <w:lang w:eastAsia="ru-RU"/>
              </w:rPr>
              <w:sym w:font="Wingdings" w:char="F06C"/>
            </w:r>
          </w:p>
        </w:tc>
        <w:tc>
          <w:tcPr>
            <w:tcW w:w="68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w:t>
            </w:r>
          </w:p>
        </w:tc>
        <w:tc>
          <w:tcPr>
            <w:tcW w:w="61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59</w:t>
            </w:r>
          </w:p>
        </w:tc>
        <w:tc>
          <w:tcPr>
            <w:tcW w:w="68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43</w:t>
            </w:r>
          </w:p>
        </w:tc>
        <w:tc>
          <w:tcPr>
            <w:tcW w:w="100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268,8%</w:t>
            </w:r>
          </w:p>
        </w:tc>
      </w:tr>
      <w:tr w:rsidR="00BE49FB" w:rsidRPr="008376FC" w:rsidTr="00724D50">
        <w:trPr>
          <w:gridAfter w:val="1"/>
          <w:wAfter w:w="7" w:type="dxa"/>
          <w:trHeight w:val="56"/>
        </w:trPr>
        <w:tc>
          <w:tcPr>
            <w:tcW w:w="769"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2020</w:t>
            </w:r>
          </w:p>
        </w:tc>
        <w:tc>
          <w:tcPr>
            <w:tcW w:w="633"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92</w:t>
            </w:r>
          </w:p>
        </w:tc>
        <w:tc>
          <w:tcPr>
            <w:tcW w:w="615"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271</w:t>
            </w:r>
          </w:p>
        </w:tc>
        <w:tc>
          <w:tcPr>
            <w:tcW w:w="699"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179</w:t>
            </w:r>
          </w:p>
        </w:tc>
        <w:tc>
          <w:tcPr>
            <w:tcW w:w="1070"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194,6%</w:t>
            </w:r>
            <w:r w:rsidRPr="008376FC">
              <w:rPr>
                <w:rFonts w:asciiTheme="majorHAnsi" w:eastAsia="Times New Roman" w:hAnsiTheme="majorHAnsi" w:cstheme="majorHAnsi"/>
                <w:bCs w:val="0"/>
                <w:color w:val="FF0000"/>
                <w:sz w:val="20"/>
                <w:szCs w:val="20"/>
                <w:lang w:eastAsia="ru-RU"/>
              </w:rPr>
              <w:sym w:font="Wingdings" w:char="F06C"/>
            </w:r>
          </w:p>
        </w:tc>
        <w:tc>
          <w:tcPr>
            <w:tcW w:w="637"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81</w:t>
            </w:r>
          </w:p>
        </w:tc>
        <w:tc>
          <w:tcPr>
            <w:tcW w:w="618"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211</w:t>
            </w:r>
          </w:p>
        </w:tc>
        <w:tc>
          <w:tcPr>
            <w:tcW w:w="701"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130</w:t>
            </w:r>
          </w:p>
        </w:tc>
        <w:tc>
          <w:tcPr>
            <w:tcW w:w="1071"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160,5%</w:t>
            </w:r>
          </w:p>
        </w:tc>
        <w:tc>
          <w:tcPr>
            <w:tcW w:w="683"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11</w:t>
            </w:r>
          </w:p>
        </w:tc>
        <w:tc>
          <w:tcPr>
            <w:tcW w:w="618"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60</w:t>
            </w:r>
          </w:p>
        </w:tc>
        <w:tc>
          <w:tcPr>
            <w:tcW w:w="682"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49</w:t>
            </w:r>
          </w:p>
        </w:tc>
        <w:tc>
          <w:tcPr>
            <w:tcW w:w="1003"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445,5%</w:t>
            </w:r>
          </w:p>
        </w:tc>
      </w:tr>
      <w:tr w:rsidR="00BE49FB" w:rsidRPr="008376FC" w:rsidTr="00724D50">
        <w:trPr>
          <w:gridAfter w:val="1"/>
          <w:wAfter w:w="7" w:type="dxa"/>
          <w:trHeight w:val="115"/>
        </w:trPr>
        <w:tc>
          <w:tcPr>
            <w:tcW w:w="769"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2021</w:t>
            </w:r>
          </w:p>
        </w:tc>
        <w:tc>
          <w:tcPr>
            <w:tcW w:w="633"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101</w:t>
            </w:r>
          </w:p>
        </w:tc>
        <w:tc>
          <w:tcPr>
            <w:tcW w:w="615"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270</w:t>
            </w:r>
          </w:p>
        </w:tc>
        <w:tc>
          <w:tcPr>
            <w:tcW w:w="699"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169</w:t>
            </w:r>
          </w:p>
        </w:tc>
        <w:tc>
          <w:tcPr>
            <w:tcW w:w="1070"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167,3%</w:t>
            </w:r>
          </w:p>
        </w:tc>
        <w:tc>
          <w:tcPr>
            <w:tcW w:w="637"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92</w:t>
            </w:r>
          </w:p>
        </w:tc>
        <w:tc>
          <w:tcPr>
            <w:tcW w:w="618"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209</w:t>
            </w:r>
          </w:p>
        </w:tc>
        <w:tc>
          <w:tcPr>
            <w:tcW w:w="701"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117</w:t>
            </w:r>
          </w:p>
        </w:tc>
        <w:tc>
          <w:tcPr>
            <w:tcW w:w="1071"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127,2%</w:t>
            </w:r>
          </w:p>
        </w:tc>
        <w:tc>
          <w:tcPr>
            <w:tcW w:w="683"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9</w:t>
            </w:r>
          </w:p>
        </w:tc>
        <w:tc>
          <w:tcPr>
            <w:tcW w:w="618"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61</w:t>
            </w:r>
          </w:p>
        </w:tc>
        <w:tc>
          <w:tcPr>
            <w:tcW w:w="682"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52</w:t>
            </w:r>
          </w:p>
        </w:tc>
        <w:tc>
          <w:tcPr>
            <w:tcW w:w="1003"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577,8%</w:t>
            </w:r>
            <w:r w:rsidRPr="008376FC">
              <w:rPr>
                <w:rFonts w:asciiTheme="majorHAnsi" w:eastAsia="Times New Roman" w:hAnsiTheme="majorHAnsi" w:cstheme="majorHAnsi"/>
                <w:bCs w:val="0"/>
                <w:color w:val="FF0000"/>
                <w:sz w:val="20"/>
                <w:szCs w:val="20"/>
                <w:lang w:eastAsia="ru-RU"/>
              </w:rPr>
              <w:sym w:font="Wingdings" w:char="F06C"/>
            </w:r>
          </w:p>
        </w:tc>
      </w:tr>
      <w:tr w:rsidR="00B44B7C" w:rsidRPr="008376FC" w:rsidTr="00724D50">
        <w:trPr>
          <w:trHeight w:val="115"/>
        </w:trPr>
        <w:tc>
          <w:tcPr>
            <w:tcW w:w="9806" w:type="dxa"/>
            <w:gridSpan w:val="14"/>
            <w:tcBorders>
              <w:top w:val="single" w:sz="4" w:space="0" w:color="auto"/>
              <w:left w:val="nil"/>
              <w:bottom w:val="nil"/>
              <w:right w:val="nil"/>
            </w:tcBorders>
          </w:tcPr>
          <w:p w:rsidR="00B44B7C" w:rsidRPr="00812814" w:rsidRDefault="00B44B7C" w:rsidP="00F61756">
            <w:pPr>
              <w:widowControl w:val="0"/>
              <w:autoSpaceDE w:val="0"/>
              <w:autoSpaceDN w:val="0"/>
              <w:spacing w:line="276" w:lineRule="auto"/>
              <w:jc w:val="both"/>
              <w:rPr>
                <w:rFonts w:asciiTheme="majorHAnsi" w:eastAsia="Times New Roman" w:hAnsiTheme="majorHAnsi" w:cstheme="majorHAnsi"/>
                <w:b w:val="0"/>
                <w:bCs w:val="0"/>
                <w:i/>
                <w:sz w:val="20"/>
                <w:szCs w:val="20"/>
              </w:rPr>
            </w:pPr>
            <w:r w:rsidRPr="00812814">
              <w:rPr>
                <w:rFonts w:asciiTheme="majorHAnsi" w:eastAsia="Times New Roman" w:hAnsiTheme="majorHAnsi" w:cstheme="majorHAnsi"/>
                <w:bCs w:val="0"/>
                <w:i/>
                <w:sz w:val="20"/>
                <w:szCs w:val="20"/>
              </w:rPr>
              <w:t>Sursa:</w:t>
            </w:r>
            <w:r w:rsidRPr="00812814">
              <w:rPr>
                <w:rFonts w:asciiTheme="majorHAnsi" w:eastAsia="Times New Roman" w:hAnsiTheme="majorHAnsi" w:cstheme="majorHAnsi"/>
                <w:b w:val="0"/>
                <w:bCs w:val="0"/>
                <w:i/>
                <w:sz w:val="20"/>
                <w:szCs w:val="20"/>
              </w:rPr>
              <w:t xml:space="preserve"> Datele BNS și IPM.</w:t>
            </w:r>
          </w:p>
        </w:tc>
      </w:tr>
    </w:tbl>
    <w:p w:rsidR="00BE49FB" w:rsidRPr="008376FC" w:rsidRDefault="00BE49FB" w:rsidP="00F61756">
      <w:pPr>
        <w:widowControl w:val="0"/>
        <w:autoSpaceDE w:val="0"/>
        <w:autoSpaceDN w:val="0"/>
        <w:spacing w:after="0" w:line="276" w:lineRule="auto"/>
        <w:ind w:left="45" w:firstLine="663"/>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Chiar și în condițiile necomparabilității datelor, faptul că în țară nu este niciun organ care deține informați</w:t>
      </w:r>
      <w:r w:rsidR="00D552D7">
        <w:rPr>
          <w:rFonts w:asciiTheme="majorHAnsi" w:eastAsia="Times New Roman" w:hAnsiTheme="majorHAnsi" w:cstheme="majorHAnsi"/>
          <w:b w:val="0"/>
          <w:bCs w:val="0"/>
          <w:sz w:val="24"/>
          <w:szCs w:val="24"/>
        </w:rPr>
        <w:t>i</w:t>
      </w:r>
      <w:r w:rsidRPr="008376FC">
        <w:rPr>
          <w:rFonts w:asciiTheme="majorHAnsi" w:eastAsia="Times New Roman" w:hAnsiTheme="majorHAnsi" w:cstheme="majorHAnsi"/>
          <w:b w:val="0"/>
          <w:bCs w:val="0"/>
          <w:sz w:val="24"/>
          <w:szCs w:val="24"/>
        </w:rPr>
        <w:t xml:space="preserve"> integrat</w:t>
      </w:r>
      <w:r w:rsidR="00D552D7">
        <w:rPr>
          <w:rFonts w:asciiTheme="majorHAnsi" w:eastAsia="Times New Roman" w:hAnsiTheme="majorHAnsi" w:cstheme="majorHAnsi"/>
          <w:b w:val="0"/>
          <w:bCs w:val="0"/>
          <w:sz w:val="24"/>
          <w:szCs w:val="24"/>
        </w:rPr>
        <w:t>e</w:t>
      </w:r>
      <w:r w:rsidRPr="008376FC">
        <w:rPr>
          <w:rFonts w:asciiTheme="majorHAnsi" w:eastAsia="Times New Roman" w:hAnsiTheme="majorHAnsi" w:cstheme="majorHAnsi"/>
          <w:b w:val="0"/>
          <w:bCs w:val="0"/>
          <w:sz w:val="24"/>
          <w:szCs w:val="24"/>
        </w:rPr>
        <w:t xml:space="preserve"> și deplin</w:t>
      </w:r>
      <w:r w:rsidR="00D552D7">
        <w:rPr>
          <w:rFonts w:asciiTheme="majorHAnsi" w:eastAsia="Times New Roman" w:hAnsiTheme="majorHAnsi" w:cstheme="majorHAnsi"/>
          <w:b w:val="0"/>
          <w:bCs w:val="0"/>
          <w:sz w:val="24"/>
          <w:szCs w:val="24"/>
        </w:rPr>
        <w:t>e</w:t>
      </w:r>
      <w:r w:rsidRPr="008376FC">
        <w:rPr>
          <w:rFonts w:asciiTheme="majorHAnsi" w:eastAsia="Times New Roman" w:hAnsiTheme="majorHAnsi" w:cstheme="majorHAnsi"/>
          <w:b w:val="0"/>
          <w:bCs w:val="0"/>
          <w:sz w:val="24"/>
          <w:szCs w:val="24"/>
        </w:rPr>
        <w:t xml:space="preserve"> a</w:t>
      </w:r>
      <w:r w:rsidR="00D552D7">
        <w:rPr>
          <w:rFonts w:asciiTheme="majorHAnsi" w:eastAsia="Times New Roman" w:hAnsiTheme="majorHAnsi" w:cstheme="majorHAnsi"/>
          <w:b w:val="0"/>
          <w:bCs w:val="0"/>
          <w:sz w:val="24"/>
          <w:szCs w:val="24"/>
        </w:rPr>
        <w:t>supra</w:t>
      </w:r>
      <w:r w:rsidRPr="008376FC">
        <w:rPr>
          <w:rFonts w:asciiTheme="majorHAnsi" w:eastAsia="Times New Roman" w:hAnsiTheme="majorHAnsi" w:cstheme="majorHAnsi"/>
          <w:b w:val="0"/>
          <w:bCs w:val="0"/>
          <w:sz w:val="24"/>
          <w:szCs w:val="24"/>
        </w:rPr>
        <w:t xml:space="preserve"> stării lucrurilor în domeniul vizat, denotă necesitatea str</w:t>
      </w:r>
      <w:r w:rsidR="00D552D7">
        <w:rPr>
          <w:rFonts w:asciiTheme="majorHAnsi" w:eastAsia="Times New Roman" w:hAnsiTheme="majorHAnsi" w:cstheme="majorHAnsi"/>
          <w:b w:val="0"/>
          <w:bCs w:val="0"/>
          <w:sz w:val="24"/>
          <w:szCs w:val="24"/>
        </w:rPr>
        <w:t>i</w:t>
      </w:r>
      <w:r w:rsidRPr="008376FC">
        <w:rPr>
          <w:rFonts w:asciiTheme="majorHAnsi" w:eastAsia="Times New Roman" w:hAnsiTheme="majorHAnsi" w:cstheme="majorHAnsi"/>
          <w:b w:val="0"/>
          <w:bCs w:val="0"/>
          <w:sz w:val="24"/>
          <w:szCs w:val="24"/>
        </w:rPr>
        <w:t xml:space="preserve">ngentă și urgentă de elaborare a ROITE, care ar urma să includă și informațiile privind starea OITE incluse în acesta. </w:t>
      </w:r>
    </w:p>
    <w:p w:rsidR="00BE49FB" w:rsidRPr="008376FC" w:rsidRDefault="00BE49FB" w:rsidP="00F61756">
      <w:pPr>
        <w:widowControl w:val="0"/>
        <w:autoSpaceDE w:val="0"/>
        <w:autoSpaceDN w:val="0"/>
        <w:spacing w:after="0" w:line="276" w:lineRule="auto"/>
        <w:ind w:left="45"/>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Totodată, analizând datele deținute de IPM</w:t>
      </w:r>
      <w:r w:rsidRPr="008376FC">
        <w:rPr>
          <w:rFonts w:asciiTheme="majorHAnsi" w:eastAsia="Times New Roman" w:hAnsiTheme="majorHAnsi" w:cstheme="majorHAnsi"/>
          <w:b w:val="0"/>
          <w:bCs w:val="0"/>
          <w:sz w:val="24"/>
          <w:szCs w:val="24"/>
          <w:vertAlign w:val="superscript"/>
        </w:rPr>
        <w:footnoteReference w:id="84"/>
      </w:r>
      <w:r w:rsidRPr="008376FC">
        <w:rPr>
          <w:rFonts w:asciiTheme="majorHAnsi" w:eastAsia="Times New Roman" w:hAnsiTheme="majorHAnsi" w:cstheme="majorHAnsi"/>
          <w:b w:val="0"/>
          <w:bCs w:val="0"/>
          <w:sz w:val="24"/>
          <w:szCs w:val="24"/>
        </w:rPr>
        <w:t>, în contextul implementării SAAS, se denotă că, la finele anului 2021, numărul stațiilor de epurare a apelor uzate constitui</w:t>
      </w:r>
      <w:r w:rsidR="0022073F">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z w:val="24"/>
          <w:szCs w:val="24"/>
        </w:rPr>
        <w:t xml:space="preserve"> 270 de unități</w:t>
      </w:r>
      <w:r w:rsidR="0022073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sau cu 169 de unități mai mult față de numărul generalizat de BNS, devieri semnificative fiind atestate și la numărul stațiilor de epurare funcționale și nefuncționale, datele generalizate de IPM fiind mai mari față de cele generalizate de BNS cu 117 unități  (+127,2%) și</w:t>
      </w:r>
      <w:r w:rsidR="0022073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respectiv</w:t>
      </w:r>
      <w:r w:rsidR="0022073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cu 52 de unități (+577,8%)</w:t>
      </w:r>
      <w:r w:rsidR="0022073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sau </w:t>
      </w:r>
      <w:r w:rsidR="0022073F">
        <w:rPr>
          <w:rFonts w:asciiTheme="majorHAnsi" w:eastAsia="Times New Roman" w:hAnsiTheme="majorHAnsi" w:cstheme="majorHAnsi"/>
          <w:b w:val="0"/>
          <w:bCs w:val="0"/>
          <w:sz w:val="24"/>
          <w:szCs w:val="24"/>
        </w:rPr>
        <w:t xml:space="preserve">de </w:t>
      </w:r>
      <w:r w:rsidRPr="008376FC">
        <w:rPr>
          <w:rFonts w:asciiTheme="majorHAnsi" w:eastAsia="Times New Roman" w:hAnsiTheme="majorHAnsi" w:cstheme="majorHAnsi"/>
          <w:b w:val="0"/>
          <w:bCs w:val="0"/>
          <w:sz w:val="24"/>
          <w:szCs w:val="24"/>
        </w:rPr>
        <w:t xml:space="preserve">peste 5 ori. </w:t>
      </w:r>
      <w:r w:rsidR="0022073F">
        <w:rPr>
          <w:rFonts w:asciiTheme="majorHAnsi" w:eastAsia="Times New Roman" w:hAnsiTheme="majorHAnsi" w:cstheme="majorHAnsi"/>
          <w:b w:val="0"/>
          <w:bCs w:val="0"/>
          <w:sz w:val="24"/>
          <w:szCs w:val="24"/>
        </w:rPr>
        <w:t>T</w:t>
      </w:r>
      <w:r w:rsidRPr="008376FC">
        <w:rPr>
          <w:rFonts w:asciiTheme="majorHAnsi" w:eastAsia="Times New Roman" w:hAnsiTheme="majorHAnsi" w:cstheme="majorHAnsi"/>
          <w:b w:val="0"/>
          <w:bCs w:val="0"/>
          <w:sz w:val="24"/>
          <w:szCs w:val="24"/>
        </w:rPr>
        <w:t>ergiversarea elaborării ROITE nu permite cunoașterea stării reale în domeniu.  Conform datelor IPM, din totalul de 270 de stații de epurare, sunt funcționa</w:t>
      </w:r>
      <w:r w:rsidR="0022073F">
        <w:rPr>
          <w:rFonts w:asciiTheme="majorHAnsi" w:eastAsia="Times New Roman" w:hAnsiTheme="majorHAnsi" w:cstheme="majorHAnsi"/>
          <w:b w:val="0"/>
          <w:bCs w:val="0"/>
          <w:sz w:val="24"/>
          <w:szCs w:val="24"/>
        </w:rPr>
        <w:t>l</w:t>
      </w:r>
      <w:r w:rsidRPr="008376FC">
        <w:rPr>
          <w:rFonts w:asciiTheme="majorHAnsi" w:eastAsia="Times New Roman" w:hAnsiTheme="majorHAnsi" w:cstheme="majorHAnsi"/>
          <w:b w:val="0"/>
          <w:bCs w:val="0"/>
          <w:sz w:val="24"/>
          <w:szCs w:val="24"/>
        </w:rPr>
        <w:t>e toate stațiile de epurare a apelor uzare doar în mun. Chișinău, UTA Găgăuzia, raioanele Anenii</w:t>
      </w:r>
      <w:r w:rsidR="0022073F">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sz w:val="24"/>
          <w:szCs w:val="24"/>
        </w:rPr>
        <w:t>Noi, Briceni, Calarași, Cimișlia, Drochia, Dubăsari, Edineț, Fălești, Orhei, R</w:t>
      </w:r>
      <w:r w:rsidR="0022073F">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șcani, Taraclia. La Telenești</w:t>
      </w:r>
      <w:r w:rsidR="0022073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din 6 stații de epurare</w:t>
      </w:r>
      <w:r w:rsidR="0022073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5 nu sunt funcționale, la Rezina, din 6 stații</w:t>
      </w:r>
      <w:r w:rsidR="0022073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4 nu sunt funcționale, la Dondușeni, din 19 existente, 14 nu sunt funcționale, la Basarabeasca, din 4 stații, 3 nu funcționează, la Bălți</w:t>
      </w:r>
      <w:r w:rsidR="0022073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din 2 </w:t>
      </w:r>
      <w:r w:rsidR="00B44B7C" w:rsidRPr="008376FC">
        <w:rPr>
          <w:rFonts w:asciiTheme="majorHAnsi" w:eastAsia="Times New Roman" w:hAnsiTheme="majorHAnsi" w:cstheme="majorHAnsi"/>
          <w:b w:val="0"/>
          <w:bCs w:val="0"/>
          <w:sz w:val="24"/>
          <w:szCs w:val="24"/>
        </w:rPr>
        <w:t>funcționează</w:t>
      </w:r>
      <w:r w:rsidRPr="008376FC">
        <w:rPr>
          <w:rFonts w:asciiTheme="majorHAnsi" w:eastAsia="Times New Roman" w:hAnsiTheme="majorHAnsi" w:cstheme="majorHAnsi"/>
          <w:b w:val="0"/>
          <w:bCs w:val="0"/>
          <w:sz w:val="24"/>
          <w:szCs w:val="24"/>
        </w:rPr>
        <w:t xml:space="preserve"> doar una. </w:t>
      </w:r>
    </w:p>
    <w:p w:rsidR="00BE49FB" w:rsidRPr="0022073F" w:rsidRDefault="00BE49FB" w:rsidP="00F61756">
      <w:pPr>
        <w:pStyle w:val="a3"/>
        <w:widowControl w:val="0"/>
        <w:numPr>
          <w:ilvl w:val="2"/>
          <w:numId w:val="39"/>
        </w:numPr>
        <w:autoSpaceDE w:val="0"/>
        <w:autoSpaceDN w:val="0"/>
        <w:spacing w:before="120" w:line="276" w:lineRule="auto"/>
        <w:ind w:left="0" w:firstLine="0"/>
        <w:jc w:val="both"/>
        <w:rPr>
          <w:rFonts w:asciiTheme="majorHAnsi" w:hAnsiTheme="majorHAnsi" w:cstheme="majorHAnsi"/>
          <w:b/>
          <w:color w:val="0070C0"/>
          <w:lang w:val="en-US"/>
        </w:rPr>
      </w:pPr>
      <w:r w:rsidRPr="008376FC">
        <w:rPr>
          <w:rFonts w:asciiTheme="majorHAnsi" w:hAnsiTheme="majorHAnsi" w:cstheme="majorHAnsi"/>
          <w:b/>
          <w:color w:val="0070C0"/>
          <w:lang w:val="en-US"/>
        </w:rPr>
        <w:t>Nu toate stații</w:t>
      </w:r>
      <w:r w:rsidR="0022073F">
        <w:rPr>
          <w:rFonts w:asciiTheme="majorHAnsi" w:hAnsiTheme="majorHAnsi" w:cstheme="majorHAnsi"/>
          <w:b/>
          <w:color w:val="0070C0"/>
          <w:lang w:val="en-US"/>
        </w:rPr>
        <w:t>le</w:t>
      </w:r>
      <w:r w:rsidRPr="008376FC">
        <w:rPr>
          <w:rFonts w:asciiTheme="majorHAnsi" w:hAnsiTheme="majorHAnsi" w:cstheme="majorHAnsi"/>
          <w:b/>
          <w:color w:val="0070C0"/>
          <w:lang w:val="en-US"/>
        </w:rPr>
        <w:t xml:space="preserve"> de epurare dispun de documentația de proiect</w:t>
      </w:r>
      <w:r w:rsidR="0022073F">
        <w:rPr>
          <w:rFonts w:asciiTheme="majorHAnsi" w:hAnsiTheme="majorHAnsi" w:cstheme="majorHAnsi"/>
          <w:b/>
          <w:color w:val="0070C0"/>
          <w:lang w:val="en-US"/>
        </w:rPr>
        <w:t>,</w:t>
      </w:r>
      <w:r w:rsidRPr="008376FC">
        <w:rPr>
          <w:rFonts w:asciiTheme="majorHAnsi" w:hAnsiTheme="majorHAnsi" w:cstheme="majorHAnsi"/>
          <w:b/>
          <w:color w:val="0070C0"/>
          <w:lang w:val="en-US"/>
        </w:rPr>
        <w:t xml:space="preserve"> </w:t>
      </w:r>
      <w:r w:rsidR="0022073F">
        <w:rPr>
          <w:rFonts w:asciiTheme="majorHAnsi" w:hAnsiTheme="majorHAnsi" w:cstheme="majorHAnsi"/>
          <w:b/>
          <w:color w:val="0070C0"/>
          <w:lang w:val="en-US"/>
        </w:rPr>
        <w:t>de</w:t>
      </w:r>
      <w:r w:rsidRPr="008376FC">
        <w:rPr>
          <w:rFonts w:asciiTheme="majorHAnsi" w:hAnsiTheme="majorHAnsi" w:cstheme="majorHAnsi"/>
          <w:b/>
          <w:color w:val="0070C0"/>
          <w:lang w:val="en-US"/>
        </w:rPr>
        <w:t xml:space="preserve"> avizele </w:t>
      </w:r>
      <w:r w:rsidR="00015BDF">
        <w:rPr>
          <w:rFonts w:asciiTheme="majorHAnsi" w:hAnsiTheme="majorHAnsi" w:cstheme="majorHAnsi"/>
          <w:b/>
          <w:color w:val="0070C0"/>
          <w:lang w:val="en-US"/>
        </w:rPr>
        <w:t>IPM</w:t>
      </w:r>
      <w:r w:rsidRPr="008376FC">
        <w:rPr>
          <w:rFonts w:asciiTheme="majorHAnsi" w:hAnsiTheme="majorHAnsi" w:cstheme="majorHAnsi"/>
          <w:b/>
          <w:color w:val="0070C0"/>
          <w:lang w:val="en-US"/>
        </w:rPr>
        <w:t xml:space="preserve"> și corespund Normativului DLA/CMA</w:t>
      </w:r>
      <w:r w:rsidRPr="00812814">
        <w:rPr>
          <w:rFonts w:asciiTheme="majorHAnsi" w:hAnsiTheme="majorHAnsi" w:cstheme="majorHAnsi"/>
          <w:b/>
          <w:color w:val="0070C0"/>
          <w:vertAlign w:val="superscript"/>
        </w:rPr>
        <w:footnoteReference w:id="85"/>
      </w:r>
      <w:r w:rsidR="0022073F">
        <w:rPr>
          <w:rFonts w:asciiTheme="majorHAnsi" w:hAnsiTheme="majorHAnsi" w:cstheme="majorHAnsi"/>
          <w:b/>
          <w:color w:val="0070C0"/>
          <w:lang w:val="en-US"/>
        </w:rPr>
        <w:t>.</w:t>
      </w:r>
    </w:p>
    <w:p w:rsidR="00F638F7" w:rsidRPr="008376FC" w:rsidRDefault="00F638F7" w:rsidP="00F61756">
      <w:pPr>
        <w:pStyle w:val="a3"/>
        <w:widowControl w:val="0"/>
        <w:autoSpaceDE w:val="0"/>
        <w:autoSpaceDN w:val="0"/>
        <w:spacing w:before="120" w:line="276" w:lineRule="auto"/>
        <w:ind w:left="0"/>
        <w:jc w:val="both"/>
        <w:rPr>
          <w:rFonts w:asciiTheme="majorHAnsi" w:hAnsiTheme="majorHAnsi" w:cstheme="majorHAnsi"/>
          <w:b/>
          <w:color w:val="0070C0"/>
          <w:lang w:val="en-US"/>
        </w:rPr>
      </w:pPr>
    </w:p>
    <w:p w:rsidR="00BE49FB" w:rsidRDefault="00BE49FB" w:rsidP="00F61756">
      <w:pPr>
        <w:widowControl w:val="0"/>
        <w:autoSpaceDE w:val="0"/>
        <w:autoSpaceDN w:val="0"/>
        <w:spacing w:after="0" w:line="276" w:lineRule="auto"/>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Conform datelor IPM, din totalul de 270 de unități de stații de epurare a apelor uzate existente la finele anului 2021, doar 117</w:t>
      </w:r>
      <w:r w:rsidR="0022073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sau 43,3%</w:t>
      </w:r>
      <w:r w:rsidR="0022073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dispun de documentația de proiect și </w:t>
      </w:r>
      <w:r w:rsidR="0022073F">
        <w:rPr>
          <w:rFonts w:asciiTheme="majorHAnsi" w:eastAsia="Times New Roman" w:hAnsiTheme="majorHAnsi" w:cstheme="majorHAnsi"/>
          <w:b w:val="0"/>
          <w:bCs w:val="0"/>
          <w:sz w:val="24"/>
          <w:szCs w:val="24"/>
        </w:rPr>
        <w:t>de</w:t>
      </w:r>
      <w:r w:rsidRPr="008376FC">
        <w:rPr>
          <w:rFonts w:asciiTheme="majorHAnsi" w:eastAsia="Times New Roman" w:hAnsiTheme="majorHAnsi" w:cstheme="majorHAnsi"/>
          <w:b w:val="0"/>
          <w:bCs w:val="0"/>
          <w:sz w:val="24"/>
          <w:szCs w:val="24"/>
        </w:rPr>
        <w:t xml:space="preserve"> avizele EES, iar 101</w:t>
      </w:r>
      <w:r w:rsidR="0022073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sau 37,4%</w:t>
      </w:r>
      <w:r w:rsidR="0022073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corespund Normativului DLA/CMA. </w:t>
      </w:r>
    </w:p>
    <w:tbl>
      <w:tblPr>
        <w:tblStyle w:val="TableGrid1"/>
        <w:tblW w:w="9823" w:type="dxa"/>
        <w:tblLook w:val="04A0" w:firstRow="1" w:lastRow="0" w:firstColumn="1" w:lastColumn="0" w:noHBand="0" w:noVBand="1"/>
      </w:tblPr>
      <w:tblGrid>
        <w:gridCol w:w="661"/>
        <w:gridCol w:w="1350"/>
        <w:gridCol w:w="1501"/>
        <w:gridCol w:w="1401"/>
        <w:gridCol w:w="1617"/>
        <w:gridCol w:w="1661"/>
        <w:gridCol w:w="1632"/>
      </w:tblGrid>
      <w:tr w:rsidR="00777DAC" w:rsidRPr="008376FC" w:rsidTr="00B01904">
        <w:trPr>
          <w:trHeight w:val="344"/>
        </w:trPr>
        <w:tc>
          <w:tcPr>
            <w:tcW w:w="9823" w:type="dxa"/>
            <w:gridSpan w:val="7"/>
            <w:tcBorders>
              <w:top w:val="nil"/>
              <w:left w:val="nil"/>
              <w:bottom w:val="single" w:sz="4" w:space="0" w:color="auto"/>
              <w:right w:val="nil"/>
            </w:tcBorders>
            <w:shd w:val="clear" w:color="auto" w:fill="FFFFFF" w:themeFill="background1"/>
          </w:tcPr>
          <w:p w:rsidR="00214F0C" w:rsidRDefault="00312077" w:rsidP="00214F0C">
            <w:pPr>
              <w:spacing w:line="276" w:lineRule="auto"/>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Tabelul nr. 1</w:t>
            </w:r>
            <w:r w:rsidR="00FF1425" w:rsidRPr="008376FC">
              <w:rPr>
                <w:rFonts w:asciiTheme="majorHAnsi" w:eastAsia="Times New Roman" w:hAnsiTheme="majorHAnsi" w:cstheme="majorHAnsi"/>
                <w:sz w:val="20"/>
                <w:szCs w:val="20"/>
              </w:rPr>
              <w:t>9</w:t>
            </w:r>
          </w:p>
          <w:p w:rsidR="00777DAC" w:rsidRPr="008376FC" w:rsidRDefault="00777DAC"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Numărul stațiilor de epurare a apelor uzate care dețin</w:t>
            </w:r>
            <w:r w:rsidRPr="008376FC">
              <w:rPr>
                <w:rFonts w:asciiTheme="majorHAnsi" w:eastAsia="Times New Roman" w:hAnsiTheme="majorHAnsi" w:cstheme="majorHAnsi"/>
                <w:b w:val="0"/>
                <w:bCs w:val="0"/>
                <w:sz w:val="20"/>
                <w:szCs w:val="20"/>
              </w:rPr>
              <w:t xml:space="preserve"> </w:t>
            </w:r>
            <w:r w:rsidRPr="008376FC">
              <w:rPr>
                <w:rFonts w:asciiTheme="majorHAnsi" w:eastAsia="Times New Roman" w:hAnsiTheme="majorHAnsi" w:cstheme="majorHAnsi"/>
                <w:bCs w:val="0"/>
                <w:sz w:val="20"/>
                <w:szCs w:val="20"/>
                <w:lang w:eastAsia="ru-RU"/>
              </w:rPr>
              <w:t>documente de Proiect/avize EES și corespund Normativului DLA/CMA</w:t>
            </w:r>
          </w:p>
        </w:tc>
      </w:tr>
      <w:tr w:rsidR="00BE49FB" w:rsidRPr="008376FC" w:rsidTr="00214F0C">
        <w:trPr>
          <w:trHeight w:val="151"/>
        </w:trPr>
        <w:tc>
          <w:tcPr>
            <w:tcW w:w="661" w:type="dxa"/>
            <w:vMerge w:val="restart"/>
            <w:tcBorders>
              <w:top w:val="single" w:sz="4" w:space="0" w:color="auto"/>
            </w:tcBorders>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Anii</w:t>
            </w:r>
          </w:p>
        </w:tc>
        <w:tc>
          <w:tcPr>
            <w:tcW w:w="1350" w:type="dxa"/>
            <w:vMerge w:val="restart"/>
            <w:tcBorders>
              <w:top w:val="single" w:sz="4" w:space="0" w:color="auto"/>
            </w:tcBorders>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Numărul SEAU</w:t>
            </w:r>
            <w:r w:rsidR="0022073F">
              <w:rPr>
                <w:rFonts w:asciiTheme="majorHAnsi" w:eastAsia="Times New Roman" w:hAnsiTheme="majorHAnsi" w:cstheme="majorHAnsi"/>
                <w:bCs w:val="0"/>
                <w:sz w:val="20"/>
                <w:szCs w:val="20"/>
                <w:lang w:eastAsia="ru-RU"/>
              </w:rPr>
              <w:t>,</w:t>
            </w:r>
            <w:r w:rsidRPr="008376FC">
              <w:rPr>
                <w:rFonts w:asciiTheme="majorHAnsi" w:eastAsia="Times New Roman" w:hAnsiTheme="majorHAnsi" w:cstheme="majorHAnsi"/>
                <w:bCs w:val="0"/>
                <w:sz w:val="20"/>
                <w:szCs w:val="20"/>
                <w:lang w:eastAsia="ru-RU"/>
              </w:rPr>
              <w:t xml:space="preserve"> total</w:t>
            </w:r>
          </w:p>
        </w:tc>
        <w:tc>
          <w:tcPr>
            <w:tcW w:w="1501" w:type="dxa"/>
            <w:vMerge w:val="restart"/>
            <w:tcBorders>
              <w:top w:val="single" w:sz="4" w:space="0" w:color="auto"/>
            </w:tcBorders>
            <w:shd w:val="clear" w:color="auto" w:fill="BDD6EE" w:themeFill="accent1" w:themeFillTint="66"/>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Inclusiv SEAU funcționale</w:t>
            </w:r>
          </w:p>
        </w:tc>
        <w:tc>
          <w:tcPr>
            <w:tcW w:w="6311" w:type="dxa"/>
            <w:gridSpan w:val="4"/>
            <w:tcBorders>
              <w:top w:val="single" w:sz="4" w:space="0" w:color="auto"/>
            </w:tcBorders>
            <w:shd w:val="clear" w:color="auto" w:fill="BDD6EE" w:themeFill="accent1" w:themeFillTint="66"/>
            <w:hideMark/>
          </w:tcPr>
          <w:p w:rsidR="00BE49FB" w:rsidRPr="008376FC" w:rsidRDefault="00BE49FB" w:rsidP="00F61756">
            <w:pPr>
              <w:spacing w:line="276" w:lineRule="auto"/>
              <w:jc w:val="center"/>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din care:</w:t>
            </w:r>
          </w:p>
        </w:tc>
      </w:tr>
      <w:tr w:rsidR="00BE49FB" w:rsidRPr="008376FC" w:rsidTr="00B01904">
        <w:trPr>
          <w:trHeight w:val="742"/>
        </w:trPr>
        <w:tc>
          <w:tcPr>
            <w:tcW w:w="661"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p>
        </w:tc>
        <w:tc>
          <w:tcPr>
            <w:tcW w:w="1350"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p>
        </w:tc>
        <w:tc>
          <w:tcPr>
            <w:tcW w:w="1501" w:type="dxa"/>
            <w:vMerge/>
            <w:shd w:val="clear" w:color="auto" w:fill="BDD6EE" w:themeFill="accent1" w:themeFillTint="66"/>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p>
        </w:tc>
        <w:tc>
          <w:tcPr>
            <w:tcW w:w="1401" w:type="dxa"/>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cu documente de Proiect/</w:t>
            </w:r>
            <w:r w:rsidR="00312077" w:rsidRPr="008376FC">
              <w:rPr>
                <w:rFonts w:asciiTheme="majorHAnsi" w:eastAsia="Times New Roman" w:hAnsiTheme="majorHAnsi" w:cstheme="majorHAnsi"/>
                <w:bCs w:val="0"/>
                <w:sz w:val="20"/>
                <w:szCs w:val="20"/>
                <w:lang w:eastAsia="ru-RU"/>
              </w:rPr>
              <w:t xml:space="preserve"> </w:t>
            </w:r>
            <w:r w:rsidRPr="008376FC">
              <w:rPr>
                <w:rFonts w:asciiTheme="majorHAnsi" w:eastAsia="Times New Roman" w:hAnsiTheme="majorHAnsi" w:cstheme="majorHAnsi"/>
                <w:bCs w:val="0"/>
                <w:sz w:val="20"/>
                <w:szCs w:val="20"/>
                <w:lang w:eastAsia="ru-RU"/>
              </w:rPr>
              <w:t>avize EES</w:t>
            </w:r>
          </w:p>
        </w:tc>
        <w:tc>
          <w:tcPr>
            <w:tcW w:w="1617" w:type="dxa"/>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 în total</w:t>
            </w:r>
          </w:p>
        </w:tc>
        <w:tc>
          <w:tcPr>
            <w:tcW w:w="1661" w:type="dxa"/>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corespund Normativului DLA/CMA</w:t>
            </w:r>
          </w:p>
        </w:tc>
        <w:tc>
          <w:tcPr>
            <w:tcW w:w="1632" w:type="dxa"/>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 în total</w:t>
            </w:r>
          </w:p>
        </w:tc>
      </w:tr>
      <w:tr w:rsidR="00BE49FB" w:rsidRPr="008376FC" w:rsidTr="00B01904">
        <w:trPr>
          <w:trHeight w:val="225"/>
        </w:trPr>
        <w:tc>
          <w:tcPr>
            <w:tcW w:w="66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2016</w:t>
            </w:r>
          </w:p>
        </w:tc>
        <w:tc>
          <w:tcPr>
            <w:tcW w:w="135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195</w:t>
            </w:r>
          </w:p>
        </w:tc>
        <w:tc>
          <w:tcPr>
            <w:tcW w:w="1501" w:type="dxa"/>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157</w:t>
            </w:r>
          </w:p>
        </w:tc>
        <w:tc>
          <w:tcPr>
            <w:tcW w:w="140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99</w:t>
            </w:r>
          </w:p>
        </w:tc>
        <w:tc>
          <w:tcPr>
            <w:tcW w:w="1617"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50,8%</w:t>
            </w:r>
          </w:p>
        </w:tc>
        <w:tc>
          <w:tcPr>
            <w:tcW w:w="166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w:t>
            </w:r>
          </w:p>
        </w:tc>
        <w:tc>
          <w:tcPr>
            <w:tcW w:w="1632"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9,7%</w:t>
            </w:r>
          </w:p>
        </w:tc>
      </w:tr>
      <w:tr w:rsidR="00BE49FB" w:rsidRPr="008376FC" w:rsidTr="00B01904">
        <w:trPr>
          <w:trHeight w:val="225"/>
        </w:trPr>
        <w:tc>
          <w:tcPr>
            <w:tcW w:w="66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2017</w:t>
            </w:r>
          </w:p>
        </w:tc>
        <w:tc>
          <w:tcPr>
            <w:tcW w:w="135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213</w:t>
            </w:r>
          </w:p>
        </w:tc>
        <w:tc>
          <w:tcPr>
            <w:tcW w:w="1501" w:type="dxa"/>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166</w:t>
            </w:r>
          </w:p>
        </w:tc>
        <w:tc>
          <w:tcPr>
            <w:tcW w:w="140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126</w:t>
            </w:r>
          </w:p>
        </w:tc>
        <w:tc>
          <w:tcPr>
            <w:tcW w:w="1617"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59,2%</w:t>
            </w:r>
          </w:p>
        </w:tc>
        <w:tc>
          <w:tcPr>
            <w:tcW w:w="166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17</w:t>
            </w:r>
          </w:p>
        </w:tc>
        <w:tc>
          <w:tcPr>
            <w:tcW w:w="1632" w:type="dxa"/>
            <w:noWrap/>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8,0%</w:t>
            </w:r>
            <w:r w:rsidRPr="008376FC">
              <w:rPr>
                <w:rFonts w:asciiTheme="majorHAnsi" w:eastAsia="Times New Roman" w:hAnsiTheme="majorHAnsi" w:cstheme="majorHAnsi"/>
                <w:bCs w:val="0"/>
                <w:color w:val="FF0000"/>
                <w:sz w:val="20"/>
                <w:szCs w:val="20"/>
                <w:lang w:eastAsia="ru-RU"/>
              </w:rPr>
              <w:sym w:font="Wingdings" w:char="F06C"/>
            </w:r>
          </w:p>
        </w:tc>
      </w:tr>
      <w:tr w:rsidR="00BE49FB" w:rsidRPr="008376FC" w:rsidTr="00B01904">
        <w:trPr>
          <w:trHeight w:val="225"/>
        </w:trPr>
        <w:tc>
          <w:tcPr>
            <w:tcW w:w="66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2018</w:t>
            </w:r>
          </w:p>
        </w:tc>
        <w:tc>
          <w:tcPr>
            <w:tcW w:w="135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233</w:t>
            </w:r>
          </w:p>
        </w:tc>
        <w:tc>
          <w:tcPr>
            <w:tcW w:w="1501" w:type="dxa"/>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190</w:t>
            </w:r>
          </w:p>
        </w:tc>
        <w:tc>
          <w:tcPr>
            <w:tcW w:w="140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144</w:t>
            </w:r>
          </w:p>
        </w:tc>
        <w:tc>
          <w:tcPr>
            <w:tcW w:w="1617" w:type="dxa"/>
            <w:noWrap/>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61,8%</w:t>
            </w:r>
            <w:r w:rsidRPr="008376FC">
              <w:rPr>
                <w:rFonts w:asciiTheme="majorHAnsi" w:eastAsia="Times New Roman" w:hAnsiTheme="majorHAnsi" w:cstheme="majorHAnsi"/>
                <w:bCs w:val="0"/>
                <w:color w:val="FF0000"/>
                <w:sz w:val="20"/>
                <w:szCs w:val="20"/>
                <w:lang w:eastAsia="ru-RU"/>
              </w:rPr>
              <w:sym w:font="Wingdings" w:char="F06C"/>
            </w:r>
          </w:p>
        </w:tc>
        <w:tc>
          <w:tcPr>
            <w:tcW w:w="166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53</w:t>
            </w:r>
          </w:p>
        </w:tc>
        <w:tc>
          <w:tcPr>
            <w:tcW w:w="1632"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22,7%</w:t>
            </w:r>
          </w:p>
        </w:tc>
      </w:tr>
      <w:tr w:rsidR="00BE49FB" w:rsidRPr="008376FC" w:rsidTr="00B01904">
        <w:trPr>
          <w:trHeight w:val="225"/>
        </w:trPr>
        <w:tc>
          <w:tcPr>
            <w:tcW w:w="66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2019</w:t>
            </w:r>
          </w:p>
        </w:tc>
        <w:tc>
          <w:tcPr>
            <w:tcW w:w="135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262</w:t>
            </w:r>
          </w:p>
        </w:tc>
        <w:tc>
          <w:tcPr>
            <w:tcW w:w="1501" w:type="dxa"/>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203</w:t>
            </w:r>
          </w:p>
        </w:tc>
        <w:tc>
          <w:tcPr>
            <w:tcW w:w="140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154</w:t>
            </w:r>
          </w:p>
        </w:tc>
        <w:tc>
          <w:tcPr>
            <w:tcW w:w="1617"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58,8%</w:t>
            </w:r>
          </w:p>
        </w:tc>
        <w:tc>
          <w:tcPr>
            <w:tcW w:w="166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52</w:t>
            </w:r>
          </w:p>
        </w:tc>
        <w:tc>
          <w:tcPr>
            <w:tcW w:w="1632"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19,8%</w:t>
            </w:r>
          </w:p>
        </w:tc>
      </w:tr>
      <w:tr w:rsidR="00BE49FB" w:rsidRPr="008376FC" w:rsidTr="00B01904">
        <w:trPr>
          <w:trHeight w:val="225"/>
        </w:trPr>
        <w:tc>
          <w:tcPr>
            <w:tcW w:w="66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2020</w:t>
            </w:r>
          </w:p>
        </w:tc>
        <w:tc>
          <w:tcPr>
            <w:tcW w:w="135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271</w:t>
            </w:r>
          </w:p>
        </w:tc>
        <w:tc>
          <w:tcPr>
            <w:tcW w:w="1501" w:type="dxa"/>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211</w:t>
            </w:r>
          </w:p>
        </w:tc>
        <w:tc>
          <w:tcPr>
            <w:tcW w:w="140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152</w:t>
            </w:r>
          </w:p>
        </w:tc>
        <w:tc>
          <w:tcPr>
            <w:tcW w:w="1617"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56,1%</w:t>
            </w:r>
          </w:p>
        </w:tc>
        <w:tc>
          <w:tcPr>
            <w:tcW w:w="166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105</w:t>
            </w:r>
          </w:p>
        </w:tc>
        <w:tc>
          <w:tcPr>
            <w:tcW w:w="1632" w:type="dxa"/>
            <w:noWrap/>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38,7%</w:t>
            </w:r>
          </w:p>
        </w:tc>
      </w:tr>
      <w:tr w:rsidR="00BE49FB" w:rsidRPr="008376FC" w:rsidTr="00B01904">
        <w:trPr>
          <w:trHeight w:val="225"/>
        </w:trPr>
        <w:tc>
          <w:tcPr>
            <w:tcW w:w="661"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2021</w:t>
            </w:r>
          </w:p>
        </w:tc>
        <w:tc>
          <w:tcPr>
            <w:tcW w:w="1350"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270</w:t>
            </w:r>
          </w:p>
        </w:tc>
        <w:tc>
          <w:tcPr>
            <w:tcW w:w="1501" w:type="dxa"/>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209</w:t>
            </w:r>
          </w:p>
        </w:tc>
        <w:tc>
          <w:tcPr>
            <w:tcW w:w="1401"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117</w:t>
            </w:r>
          </w:p>
        </w:tc>
        <w:tc>
          <w:tcPr>
            <w:tcW w:w="1617" w:type="dxa"/>
            <w:noWrap/>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43,3%</w:t>
            </w:r>
            <w:r w:rsidRPr="008376FC">
              <w:rPr>
                <w:rFonts w:asciiTheme="majorHAnsi" w:eastAsia="Times New Roman" w:hAnsiTheme="majorHAnsi" w:cstheme="majorHAnsi"/>
                <w:bCs w:val="0"/>
                <w:color w:val="FF0000"/>
                <w:sz w:val="20"/>
                <w:szCs w:val="20"/>
                <w:lang w:eastAsia="ru-RU"/>
              </w:rPr>
              <w:sym w:font="Wingdings" w:char="F06C"/>
            </w:r>
          </w:p>
        </w:tc>
        <w:tc>
          <w:tcPr>
            <w:tcW w:w="1661"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101</w:t>
            </w:r>
          </w:p>
        </w:tc>
        <w:tc>
          <w:tcPr>
            <w:tcW w:w="1632"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37,4%</w:t>
            </w:r>
            <w:r w:rsidRPr="008376FC">
              <w:rPr>
                <w:rFonts w:asciiTheme="majorHAnsi" w:eastAsia="Times New Roman" w:hAnsiTheme="majorHAnsi" w:cstheme="majorHAnsi"/>
                <w:bCs w:val="0"/>
                <w:color w:val="FF0000"/>
                <w:sz w:val="20"/>
                <w:szCs w:val="20"/>
                <w:lang w:eastAsia="ru-RU"/>
              </w:rPr>
              <w:sym w:font="Wingdings" w:char="F06C"/>
            </w:r>
          </w:p>
        </w:tc>
      </w:tr>
      <w:tr w:rsidR="00777DAC" w:rsidRPr="008376FC" w:rsidTr="00B01904">
        <w:trPr>
          <w:trHeight w:val="225"/>
        </w:trPr>
        <w:tc>
          <w:tcPr>
            <w:tcW w:w="9823" w:type="dxa"/>
            <w:gridSpan w:val="7"/>
          </w:tcPr>
          <w:p w:rsidR="00777DAC" w:rsidRPr="008376FC" w:rsidRDefault="00777DAC" w:rsidP="00F61756">
            <w:pPr>
              <w:widowControl w:val="0"/>
              <w:autoSpaceDE w:val="0"/>
              <w:autoSpaceDN w:val="0"/>
              <w:spacing w:line="276" w:lineRule="auto"/>
              <w:ind w:left="45"/>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Sursa: Datele IPM.</w:t>
            </w:r>
          </w:p>
        </w:tc>
      </w:tr>
    </w:tbl>
    <w:p w:rsidR="00BE49FB" w:rsidRDefault="00BE49FB" w:rsidP="00F61756">
      <w:pPr>
        <w:widowControl w:val="0"/>
        <w:autoSpaceDE w:val="0"/>
        <w:autoSpaceDN w:val="0"/>
        <w:spacing w:before="120" w:after="0" w:line="276" w:lineRule="auto"/>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Datele din Tabel denotă că, la finele anului 2021</w:t>
      </w:r>
      <w:r w:rsidR="0022073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peste 56,7% (153) din stații</w:t>
      </w:r>
      <w:r w:rsidR="007E7562">
        <w:rPr>
          <w:rFonts w:asciiTheme="majorHAnsi" w:eastAsia="Times New Roman" w:hAnsiTheme="majorHAnsi" w:cstheme="majorHAnsi"/>
          <w:b w:val="0"/>
          <w:bCs w:val="0"/>
          <w:sz w:val="24"/>
          <w:szCs w:val="24"/>
        </w:rPr>
        <w:t>le</w:t>
      </w:r>
      <w:r w:rsidRPr="008376FC">
        <w:rPr>
          <w:rFonts w:asciiTheme="majorHAnsi" w:eastAsia="Times New Roman" w:hAnsiTheme="majorHAnsi" w:cstheme="majorHAnsi"/>
          <w:b w:val="0"/>
          <w:bCs w:val="0"/>
          <w:sz w:val="24"/>
          <w:szCs w:val="24"/>
        </w:rPr>
        <w:t xml:space="preserve"> de epurare a apelor uzate nu dispun</w:t>
      </w:r>
      <w:r w:rsidR="007E7562">
        <w:rPr>
          <w:rFonts w:asciiTheme="majorHAnsi" w:eastAsia="Times New Roman" w:hAnsiTheme="majorHAnsi" w:cstheme="majorHAnsi"/>
          <w:b w:val="0"/>
          <w:bCs w:val="0"/>
          <w:sz w:val="24"/>
          <w:szCs w:val="24"/>
        </w:rPr>
        <w:t>eau</w:t>
      </w:r>
      <w:r w:rsidRPr="008376FC">
        <w:rPr>
          <w:rFonts w:asciiTheme="majorHAnsi" w:eastAsia="Times New Roman" w:hAnsiTheme="majorHAnsi" w:cstheme="majorHAnsi"/>
          <w:b w:val="0"/>
          <w:bCs w:val="0"/>
          <w:sz w:val="24"/>
          <w:szCs w:val="24"/>
        </w:rPr>
        <w:t xml:space="preserve"> de documente de proiect și de avizele EES, totodată, în perioada 2016-2021, numărul stațiilor care dețin</w:t>
      </w:r>
      <w:r w:rsidR="007E7562">
        <w:rPr>
          <w:rFonts w:asciiTheme="majorHAnsi" w:eastAsia="Times New Roman" w:hAnsiTheme="majorHAnsi" w:cstheme="majorHAnsi"/>
          <w:b w:val="0"/>
          <w:bCs w:val="0"/>
          <w:sz w:val="24"/>
          <w:szCs w:val="24"/>
        </w:rPr>
        <w:t>eau</w:t>
      </w:r>
      <w:r w:rsidRPr="008376FC">
        <w:rPr>
          <w:rFonts w:asciiTheme="majorHAnsi" w:eastAsia="Times New Roman" w:hAnsiTheme="majorHAnsi" w:cstheme="majorHAnsi"/>
          <w:b w:val="0"/>
          <w:bCs w:val="0"/>
          <w:sz w:val="24"/>
          <w:szCs w:val="24"/>
        </w:rPr>
        <w:t xml:space="preserve"> documentațiile de proiect și avizele EES </w:t>
      </w:r>
      <w:r w:rsidR="007E7562">
        <w:rPr>
          <w:rFonts w:asciiTheme="majorHAnsi" w:eastAsia="Times New Roman" w:hAnsiTheme="majorHAnsi" w:cstheme="majorHAnsi"/>
          <w:b w:val="0"/>
          <w:bCs w:val="0"/>
          <w:sz w:val="24"/>
          <w:szCs w:val="24"/>
        </w:rPr>
        <w:t>era</w:t>
      </w:r>
      <w:r w:rsidRPr="008376FC">
        <w:rPr>
          <w:rFonts w:asciiTheme="majorHAnsi" w:eastAsia="Times New Roman" w:hAnsiTheme="majorHAnsi" w:cstheme="majorHAnsi"/>
          <w:b w:val="0"/>
          <w:bCs w:val="0"/>
          <w:sz w:val="24"/>
          <w:szCs w:val="24"/>
        </w:rPr>
        <w:t xml:space="preserve"> în creștere cu 18 unități. A crescut semnificativ</w:t>
      </w:r>
      <w:r w:rsidR="007E7562">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față de anul 2016</w:t>
      </w:r>
      <w:r w:rsidR="007E7562">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numărul stațiilor de epurare a apelor uzate care corespund Normativului DLA/CMA, de la 19 unități în anul 2016 la 101 unități, sau </w:t>
      </w:r>
      <w:r w:rsidR="007E7562">
        <w:rPr>
          <w:rFonts w:asciiTheme="majorHAnsi" w:eastAsia="Times New Roman" w:hAnsiTheme="majorHAnsi" w:cstheme="majorHAnsi"/>
          <w:b w:val="0"/>
          <w:bCs w:val="0"/>
          <w:sz w:val="24"/>
          <w:szCs w:val="24"/>
        </w:rPr>
        <w:t xml:space="preserve">de </w:t>
      </w:r>
      <w:r w:rsidRPr="008376FC">
        <w:rPr>
          <w:rFonts w:asciiTheme="majorHAnsi" w:eastAsia="Times New Roman" w:hAnsiTheme="majorHAnsi" w:cstheme="majorHAnsi"/>
          <w:b w:val="0"/>
          <w:bCs w:val="0"/>
          <w:sz w:val="24"/>
          <w:szCs w:val="24"/>
        </w:rPr>
        <w:t xml:space="preserve">peste 5 ori în anul 2021, astfel, gestionarii a 169 de stații urmând să întreprindă măsuri pentru racordarea la cerințele normativelor DLA/CMA. </w:t>
      </w:r>
    </w:p>
    <w:p w:rsidR="00214F0C" w:rsidRPr="008376FC" w:rsidRDefault="00214F0C" w:rsidP="00F61756">
      <w:pPr>
        <w:widowControl w:val="0"/>
        <w:autoSpaceDE w:val="0"/>
        <w:autoSpaceDN w:val="0"/>
        <w:spacing w:before="120" w:after="0" w:line="276" w:lineRule="auto"/>
        <w:jc w:val="both"/>
        <w:rPr>
          <w:rFonts w:asciiTheme="majorHAnsi" w:eastAsia="Times New Roman" w:hAnsiTheme="majorHAnsi" w:cstheme="majorHAnsi"/>
          <w:b w:val="0"/>
          <w:bCs w:val="0"/>
          <w:sz w:val="24"/>
          <w:szCs w:val="24"/>
        </w:rPr>
      </w:pPr>
    </w:p>
    <w:p w:rsidR="00BE49FB" w:rsidRPr="008376FC" w:rsidRDefault="00BE49FB" w:rsidP="00F61756">
      <w:pPr>
        <w:pStyle w:val="a3"/>
        <w:widowControl w:val="0"/>
        <w:numPr>
          <w:ilvl w:val="2"/>
          <w:numId w:val="39"/>
        </w:numPr>
        <w:autoSpaceDE w:val="0"/>
        <w:autoSpaceDN w:val="0"/>
        <w:spacing w:before="120" w:line="276" w:lineRule="auto"/>
        <w:ind w:left="0" w:firstLine="0"/>
        <w:jc w:val="both"/>
        <w:rPr>
          <w:rFonts w:asciiTheme="majorHAnsi" w:hAnsiTheme="majorHAnsi" w:cstheme="majorHAnsi"/>
          <w:b/>
          <w:color w:val="0070C0"/>
          <w:lang w:val="en-US"/>
        </w:rPr>
      </w:pPr>
      <w:r w:rsidRPr="008376FC">
        <w:rPr>
          <w:rFonts w:asciiTheme="majorHAnsi" w:hAnsiTheme="majorHAnsi" w:cstheme="majorHAnsi"/>
          <w:b/>
          <w:color w:val="0070C0"/>
          <w:lang w:val="en-US"/>
        </w:rPr>
        <w:t xml:space="preserve"> Mare</w:t>
      </w:r>
      <w:r w:rsidR="007E7562">
        <w:rPr>
          <w:rFonts w:asciiTheme="majorHAnsi" w:hAnsiTheme="majorHAnsi" w:cstheme="majorHAnsi"/>
          <w:b/>
          <w:color w:val="0070C0"/>
          <w:lang w:val="en-US"/>
        </w:rPr>
        <w:t>a</w:t>
      </w:r>
      <w:r w:rsidRPr="008376FC">
        <w:rPr>
          <w:rFonts w:asciiTheme="majorHAnsi" w:hAnsiTheme="majorHAnsi" w:cstheme="majorHAnsi"/>
          <w:b/>
          <w:color w:val="0070C0"/>
          <w:lang w:val="en-US"/>
        </w:rPr>
        <w:t xml:space="preserve"> parte a stațiilor de epurare a apelor uzate nu asigură epurarea la nivel</w:t>
      </w:r>
      <w:r w:rsidR="007E7562">
        <w:rPr>
          <w:rFonts w:asciiTheme="majorHAnsi" w:hAnsiTheme="majorHAnsi" w:cstheme="majorHAnsi"/>
          <w:b/>
          <w:color w:val="0070C0"/>
          <w:lang w:val="en-US"/>
        </w:rPr>
        <w:t>ul prevăzut de actul</w:t>
      </w:r>
      <w:r w:rsidRPr="008376FC">
        <w:rPr>
          <w:rFonts w:asciiTheme="majorHAnsi" w:hAnsiTheme="majorHAnsi" w:cstheme="majorHAnsi"/>
          <w:b/>
          <w:color w:val="0070C0"/>
          <w:lang w:val="en-US"/>
        </w:rPr>
        <w:t xml:space="preserve"> normativ</w:t>
      </w:r>
      <w:r w:rsidR="007E7562">
        <w:rPr>
          <w:rFonts w:asciiTheme="majorHAnsi" w:hAnsiTheme="majorHAnsi" w:cstheme="majorHAnsi"/>
          <w:b/>
          <w:color w:val="0070C0"/>
          <w:lang w:val="en-US"/>
        </w:rPr>
        <w:t>.</w:t>
      </w:r>
    </w:p>
    <w:p w:rsidR="00BE49FB" w:rsidRPr="008376FC" w:rsidRDefault="00BE49FB" w:rsidP="00F61756">
      <w:pPr>
        <w:widowControl w:val="0"/>
        <w:autoSpaceDE w:val="0"/>
        <w:autoSpaceDN w:val="0"/>
        <w:spacing w:before="120" w:after="0" w:line="276" w:lineRule="auto"/>
        <w:ind w:firstLine="70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Din totalul celor 209 stații de epurare a apelor uzate funcționale, doar 29</w:t>
      </w:r>
      <w:r w:rsidR="007E7562">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sau 13,9% funcționează cu epurare normativă, 160 de stații</w:t>
      </w:r>
      <w:r w:rsidR="007E7562">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sau 76,5% funcționează cu epurare insuficientă</w:t>
      </w:r>
      <w:r w:rsidRPr="008376FC">
        <w:rPr>
          <w:rFonts w:asciiTheme="majorHAnsi" w:eastAsia="Times New Roman" w:hAnsiTheme="majorHAnsi" w:cstheme="majorHAnsi"/>
          <w:b w:val="0"/>
          <w:bCs w:val="0"/>
          <w:sz w:val="24"/>
          <w:szCs w:val="24"/>
          <w:vertAlign w:val="superscript"/>
        </w:rPr>
        <w:footnoteReference w:id="86"/>
      </w:r>
      <w:r w:rsidRPr="008376FC">
        <w:rPr>
          <w:rFonts w:asciiTheme="majorHAnsi" w:eastAsia="Times New Roman" w:hAnsiTheme="majorHAnsi" w:cstheme="majorHAnsi"/>
          <w:b w:val="0"/>
          <w:bCs w:val="0"/>
          <w:sz w:val="24"/>
          <w:szCs w:val="24"/>
        </w:rPr>
        <w:t xml:space="preserve"> și 19 stații funcționează cu epurare parțială</w:t>
      </w:r>
      <w:r w:rsidRPr="008376FC">
        <w:rPr>
          <w:rFonts w:asciiTheme="majorHAnsi" w:eastAsia="Times New Roman" w:hAnsiTheme="majorHAnsi" w:cstheme="majorHAnsi"/>
          <w:b w:val="0"/>
          <w:bCs w:val="0"/>
          <w:sz w:val="24"/>
          <w:szCs w:val="24"/>
          <w:vertAlign w:val="superscript"/>
        </w:rPr>
        <w:footnoteReference w:id="87"/>
      </w:r>
      <w:r w:rsidRPr="008376FC">
        <w:rPr>
          <w:rFonts w:asciiTheme="majorHAnsi" w:eastAsia="Times New Roman" w:hAnsiTheme="majorHAnsi" w:cstheme="majorHAnsi"/>
          <w:b w:val="0"/>
          <w:bCs w:val="0"/>
          <w:sz w:val="24"/>
          <w:szCs w:val="24"/>
        </w:rPr>
        <w:t>.</w:t>
      </w:r>
    </w:p>
    <w:p w:rsidR="00312077" w:rsidRPr="008376FC" w:rsidRDefault="00FF1425" w:rsidP="00F61756">
      <w:pPr>
        <w:widowControl w:val="0"/>
        <w:autoSpaceDE w:val="0"/>
        <w:autoSpaceDN w:val="0"/>
        <w:spacing w:after="0" w:line="276" w:lineRule="auto"/>
        <w:jc w:val="right"/>
        <w:rPr>
          <w:rFonts w:asciiTheme="majorHAnsi" w:eastAsia="Times New Roman" w:hAnsiTheme="majorHAnsi" w:cstheme="majorHAnsi"/>
          <w:b w:val="0"/>
          <w:bCs w:val="0"/>
          <w:sz w:val="24"/>
          <w:szCs w:val="24"/>
        </w:rPr>
      </w:pPr>
      <w:r w:rsidRPr="008376FC">
        <w:rPr>
          <w:rFonts w:asciiTheme="majorHAnsi" w:eastAsia="Times New Roman" w:hAnsiTheme="majorHAnsi" w:cstheme="majorHAnsi"/>
          <w:sz w:val="20"/>
          <w:szCs w:val="20"/>
        </w:rPr>
        <w:t>Tabelul nr.20</w:t>
      </w:r>
      <w:r w:rsidR="00312077" w:rsidRPr="008376FC">
        <w:rPr>
          <w:rFonts w:asciiTheme="majorHAnsi" w:eastAsia="Times New Roman" w:hAnsiTheme="majorHAnsi" w:cstheme="majorHAnsi"/>
          <w:sz w:val="20"/>
          <w:szCs w:val="20"/>
        </w:rPr>
        <w:t xml:space="preserve"> </w:t>
      </w:r>
    </w:p>
    <w:tbl>
      <w:tblPr>
        <w:tblStyle w:val="TableGrid1"/>
        <w:tblW w:w="9777" w:type="dxa"/>
        <w:tblLook w:val="04A0" w:firstRow="1" w:lastRow="0" w:firstColumn="1" w:lastColumn="0" w:noHBand="0" w:noVBand="1"/>
      </w:tblPr>
      <w:tblGrid>
        <w:gridCol w:w="754"/>
        <w:gridCol w:w="1325"/>
        <w:gridCol w:w="1307"/>
        <w:gridCol w:w="1447"/>
        <w:gridCol w:w="1064"/>
        <w:gridCol w:w="1307"/>
        <w:gridCol w:w="1447"/>
        <w:gridCol w:w="1126"/>
      </w:tblGrid>
      <w:tr w:rsidR="00777DAC" w:rsidRPr="008376FC" w:rsidTr="00724D50">
        <w:trPr>
          <w:trHeight w:val="90"/>
        </w:trPr>
        <w:tc>
          <w:tcPr>
            <w:tcW w:w="9777" w:type="dxa"/>
            <w:gridSpan w:val="8"/>
            <w:tcBorders>
              <w:top w:val="nil"/>
              <w:left w:val="nil"/>
              <w:bottom w:val="single" w:sz="4" w:space="0" w:color="auto"/>
              <w:right w:val="nil"/>
            </w:tcBorders>
          </w:tcPr>
          <w:p w:rsidR="00777DAC" w:rsidRPr="008376FC" w:rsidRDefault="001D2700" w:rsidP="00F61756">
            <w:pPr>
              <w:widowControl w:val="0"/>
              <w:autoSpaceDE w:val="0"/>
              <w:autoSpaceDN w:val="0"/>
              <w:spacing w:line="276" w:lineRule="auto"/>
              <w:jc w:val="center"/>
              <w:rPr>
                <w:rFonts w:asciiTheme="majorHAnsi" w:eastAsia="Times New Roman" w:hAnsiTheme="majorHAnsi" w:cstheme="majorHAnsi"/>
                <w:b w:val="0"/>
                <w:bCs w:val="0"/>
                <w:sz w:val="20"/>
                <w:szCs w:val="20"/>
                <w:lang w:eastAsia="ru-RU"/>
              </w:rPr>
            </w:pPr>
            <w:r>
              <w:rPr>
                <w:rFonts w:asciiTheme="majorHAnsi" w:eastAsia="Times New Roman" w:hAnsiTheme="majorHAnsi" w:cstheme="majorHAnsi"/>
                <w:bCs w:val="0"/>
                <w:sz w:val="20"/>
                <w:szCs w:val="20"/>
              </w:rPr>
              <w:t>N</w:t>
            </w:r>
            <w:r w:rsidR="00777DAC" w:rsidRPr="008376FC">
              <w:rPr>
                <w:rFonts w:asciiTheme="majorHAnsi" w:eastAsia="Times New Roman" w:hAnsiTheme="majorHAnsi" w:cstheme="majorHAnsi"/>
                <w:bCs w:val="0"/>
                <w:sz w:val="20"/>
                <w:szCs w:val="20"/>
              </w:rPr>
              <w:t>umărul stațiilor de epurare a apelor uzate sub aspectul nivelului de epurare</w:t>
            </w:r>
          </w:p>
        </w:tc>
      </w:tr>
      <w:tr w:rsidR="00BE49FB" w:rsidRPr="008376FC" w:rsidTr="00724D50">
        <w:trPr>
          <w:trHeight w:val="90"/>
        </w:trPr>
        <w:tc>
          <w:tcPr>
            <w:tcW w:w="754" w:type="dxa"/>
            <w:vMerge w:val="restart"/>
            <w:tcBorders>
              <w:top w:val="single" w:sz="4" w:space="0" w:color="auto"/>
            </w:tcBorders>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Anii</w:t>
            </w:r>
          </w:p>
        </w:tc>
        <w:tc>
          <w:tcPr>
            <w:tcW w:w="1325" w:type="dxa"/>
            <w:vMerge w:val="restart"/>
            <w:tcBorders>
              <w:top w:val="single" w:sz="4" w:space="0" w:color="auto"/>
            </w:tcBorders>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Nr. SEAU în funcțiune</w:t>
            </w:r>
          </w:p>
        </w:tc>
        <w:tc>
          <w:tcPr>
            <w:tcW w:w="3818" w:type="dxa"/>
            <w:gridSpan w:val="3"/>
            <w:tcBorders>
              <w:top w:val="single" w:sz="4" w:space="0" w:color="auto"/>
            </w:tcBorders>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Inclusiv:</w:t>
            </w:r>
          </w:p>
        </w:tc>
        <w:tc>
          <w:tcPr>
            <w:tcW w:w="3880" w:type="dxa"/>
            <w:gridSpan w:val="3"/>
            <w:tcBorders>
              <w:top w:val="single" w:sz="4" w:space="0" w:color="auto"/>
            </w:tcBorders>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Ponderea în total, %</w:t>
            </w:r>
          </w:p>
        </w:tc>
      </w:tr>
      <w:tr w:rsidR="00BE49FB" w:rsidRPr="008376FC" w:rsidTr="00724D50">
        <w:trPr>
          <w:trHeight w:val="458"/>
        </w:trPr>
        <w:tc>
          <w:tcPr>
            <w:tcW w:w="754"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p>
        </w:tc>
        <w:tc>
          <w:tcPr>
            <w:tcW w:w="1325"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p>
        </w:tc>
        <w:tc>
          <w:tcPr>
            <w:tcW w:w="1307" w:type="dxa"/>
            <w:vMerge w:val="restart"/>
            <w:shd w:val="clear" w:color="auto" w:fill="BDD6EE" w:themeFill="accent1" w:themeFillTint="66"/>
            <w:hideMark/>
          </w:tcPr>
          <w:p w:rsidR="00BE49FB" w:rsidRPr="008376FC" w:rsidRDefault="004C1E9F" w:rsidP="00F61756">
            <w:pPr>
              <w:spacing w:line="276" w:lineRule="auto"/>
              <w:jc w:val="both"/>
              <w:rPr>
                <w:rFonts w:asciiTheme="majorHAnsi" w:eastAsia="Times New Roman" w:hAnsiTheme="majorHAnsi" w:cstheme="majorHAnsi"/>
                <w:sz w:val="20"/>
                <w:szCs w:val="20"/>
                <w:lang w:eastAsia="ru-RU"/>
              </w:rPr>
            </w:pPr>
            <w:r>
              <w:rPr>
                <w:rFonts w:asciiTheme="majorHAnsi" w:eastAsia="Times New Roman" w:hAnsiTheme="majorHAnsi" w:cstheme="majorHAnsi"/>
                <w:spacing w:val="-1"/>
                <w:sz w:val="20"/>
                <w:szCs w:val="20"/>
                <w:lang w:eastAsia="ru-RU"/>
              </w:rPr>
              <w:t>c</w:t>
            </w:r>
            <w:r w:rsidR="00BE49FB" w:rsidRPr="008376FC">
              <w:rPr>
                <w:rFonts w:asciiTheme="majorHAnsi" w:eastAsia="Times New Roman" w:hAnsiTheme="majorHAnsi" w:cstheme="majorHAnsi"/>
                <w:spacing w:val="-1"/>
                <w:sz w:val="20"/>
                <w:szCs w:val="20"/>
                <w:lang w:eastAsia="ru-RU"/>
              </w:rPr>
              <w:t>u epurare normativă</w:t>
            </w:r>
          </w:p>
        </w:tc>
        <w:tc>
          <w:tcPr>
            <w:tcW w:w="1447" w:type="dxa"/>
            <w:vMerge w:val="restart"/>
            <w:shd w:val="clear" w:color="auto" w:fill="BDD6EE" w:themeFill="accent1" w:themeFillTint="66"/>
            <w:hideMark/>
          </w:tcPr>
          <w:p w:rsidR="00BE49FB" w:rsidRPr="008376FC" w:rsidRDefault="004C1E9F" w:rsidP="00F61756">
            <w:pPr>
              <w:spacing w:line="276" w:lineRule="auto"/>
              <w:jc w:val="both"/>
              <w:rPr>
                <w:rFonts w:asciiTheme="majorHAnsi" w:eastAsia="Times New Roman" w:hAnsiTheme="majorHAnsi" w:cstheme="majorHAnsi"/>
                <w:sz w:val="20"/>
                <w:szCs w:val="20"/>
                <w:lang w:eastAsia="ru-RU"/>
              </w:rPr>
            </w:pPr>
            <w:r>
              <w:rPr>
                <w:rFonts w:asciiTheme="majorHAnsi" w:eastAsia="Times New Roman" w:hAnsiTheme="majorHAnsi" w:cstheme="majorHAnsi"/>
                <w:sz w:val="20"/>
                <w:szCs w:val="20"/>
                <w:lang w:eastAsia="ru-RU"/>
              </w:rPr>
              <w:t>c</w:t>
            </w:r>
            <w:r w:rsidR="00BE49FB" w:rsidRPr="008376FC">
              <w:rPr>
                <w:rFonts w:asciiTheme="majorHAnsi" w:eastAsia="Times New Roman" w:hAnsiTheme="majorHAnsi" w:cstheme="majorHAnsi"/>
                <w:sz w:val="20"/>
                <w:szCs w:val="20"/>
                <w:lang w:eastAsia="ru-RU"/>
              </w:rPr>
              <w:t>u epu</w:t>
            </w:r>
            <w:r>
              <w:rPr>
                <w:rFonts w:asciiTheme="majorHAnsi" w:eastAsia="Times New Roman" w:hAnsiTheme="majorHAnsi" w:cstheme="majorHAnsi"/>
                <w:sz w:val="20"/>
                <w:szCs w:val="20"/>
                <w:lang w:eastAsia="ru-RU"/>
              </w:rPr>
              <w:t>ra</w:t>
            </w:r>
            <w:r w:rsidR="00BE49FB" w:rsidRPr="008376FC">
              <w:rPr>
                <w:rFonts w:asciiTheme="majorHAnsi" w:eastAsia="Times New Roman" w:hAnsiTheme="majorHAnsi" w:cstheme="majorHAnsi"/>
                <w:sz w:val="20"/>
                <w:szCs w:val="20"/>
                <w:lang w:eastAsia="ru-RU"/>
              </w:rPr>
              <w:t>re insuficientă</w:t>
            </w:r>
          </w:p>
        </w:tc>
        <w:tc>
          <w:tcPr>
            <w:tcW w:w="1063" w:type="dxa"/>
            <w:vMerge w:val="restart"/>
            <w:shd w:val="clear" w:color="auto" w:fill="BDD6EE" w:themeFill="accent1" w:themeFillTint="66"/>
            <w:hideMark/>
          </w:tcPr>
          <w:p w:rsidR="00BE49FB" w:rsidRPr="008376FC" w:rsidRDefault="004C1E9F" w:rsidP="00F61756">
            <w:pPr>
              <w:spacing w:line="276" w:lineRule="auto"/>
              <w:jc w:val="both"/>
              <w:rPr>
                <w:rFonts w:asciiTheme="majorHAnsi" w:eastAsia="Times New Roman" w:hAnsiTheme="majorHAnsi" w:cstheme="majorHAnsi"/>
                <w:sz w:val="20"/>
                <w:szCs w:val="20"/>
                <w:lang w:eastAsia="ru-RU"/>
              </w:rPr>
            </w:pPr>
            <w:r>
              <w:rPr>
                <w:rFonts w:asciiTheme="majorHAnsi" w:eastAsia="Times New Roman" w:hAnsiTheme="majorHAnsi" w:cstheme="majorHAnsi"/>
                <w:spacing w:val="-1"/>
                <w:sz w:val="20"/>
                <w:szCs w:val="20"/>
                <w:lang w:eastAsia="ru-RU"/>
              </w:rPr>
              <w:t>c</w:t>
            </w:r>
            <w:r w:rsidR="00BE49FB" w:rsidRPr="008376FC">
              <w:rPr>
                <w:rFonts w:asciiTheme="majorHAnsi" w:eastAsia="Times New Roman" w:hAnsiTheme="majorHAnsi" w:cstheme="majorHAnsi"/>
                <w:spacing w:val="-1"/>
                <w:sz w:val="20"/>
                <w:szCs w:val="20"/>
                <w:lang w:eastAsia="ru-RU"/>
              </w:rPr>
              <w:t>u epurare parțială</w:t>
            </w:r>
          </w:p>
        </w:tc>
        <w:tc>
          <w:tcPr>
            <w:tcW w:w="1307" w:type="dxa"/>
            <w:vMerge w:val="restart"/>
            <w:shd w:val="clear" w:color="auto" w:fill="BDD6EE" w:themeFill="accent1" w:themeFillTint="66"/>
            <w:hideMark/>
          </w:tcPr>
          <w:p w:rsidR="00BE49FB" w:rsidRPr="008376FC" w:rsidRDefault="004C1E9F" w:rsidP="00F61756">
            <w:pPr>
              <w:spacing w:line="276" w:lineRule="auto"/>
              <w:jc w:val="both"/>
              <w:rPr>
                <w:rFonts w:asciiTheme="majorHAnsi" w:eastAsia="Times New Roman" w:hAnsiTheme="majorHAnsi" w:cstheme="majorHAnsi"/>
                <w:sz w:val="20"/>
                <w:szCs w:val="20"/>
                <w:lang w:eastAsia="ru-RU"/>
              </w:rPr>
            </w:pPr>
            <w:r>
              <w:rPr>
                <w:rFonts w:asciiTheme="majorHAnsi" w:eastAsia="Times New Roman" w:hAnsiTheme="majorHAnsi" w:cstheme="majorHAnsi"/>
                <w:spacing w:val="-1"/>
                <w:sz w:val="20"/>
                <w:szCs w:val="20"/>
                <w:lang w:eastAsia="ru-RU"/>
              </w:rPr>
              <w:t>c</w:t>
            </w:r>
            <w:r w:rsidR="00BE49FB" w:rsidRPr="008376FC">
              <w:rPr>
                <w:rFonts w:asciiTheme="majorHAnsi" w:eastAsia="Times New Roman" w:hAnsiTheme="majorHAnsi" w:cstheme="majorHAnsi"/>
                <w:spacing w:val="-1"/>
                <w:sz w:val="20"/>
                <w:szCs w:val="20"/>
                <w:lang w:eastAsia="ru-RU"/>
              </w:rPr>
              <w:t>u epurare normativă</w:t>
            </w:r>
          </w:p>
        </w:tc>
        <w:tc>
          <w:tcPr>
            <w:tcW w:w="1447" w:type="dxa"/>
            <w:vMerge w:val="restart"/>
            <w:shd w:val="clear" w:color="auto" w:fill="BDD6EE" w:themeFill="accent1" w:themeFillTint="66"/>
            <w:hideMark/>
          </w:tcPr>
          <w:p w:rsidR="00BE49FB" w:rsidRPr="008376FC" w:rsidRDefault="004C1E9F" w:rsidP="00F61756">
            <w:pPr>
              <w:spacing w:line="276" w:lineRule="auto"/>
              <w:jc w:val="both"/>
              <w:rPr>
                <w:rFonts w:asciiTheme="majorHAnsi" w:eastAsia="Times New Roman" w:hAnsiTheme="majorHAnsi" w:cstheme="majorHAnsi"/>
                <w:sz w:val="20"/>
                <w:szCs w:val="20"/>
                <w:lang w:eastAsia="ru-RU"/>
              </w:rPr>
            </w:pPr>
            <w:r>
              <w:rPr>
                <w:rFonts w:asciiTheme="majorHAnsi" w:eastAsia="Times New Roman" w:hAnsiTheme="majorHAnsi" w:cstheme="majorHAnsi"/>
                <w:sz w:val="20"/>
                <w:szCs w:val="20"/>
                <w:lang w:eastAsia="ru-RU"/>
              </w:rPr>
              <w:t>c</w:t>
            </w:r>
            <w:r w:rsidR="00BE49FB" w:rsidRPr="008376FC">
              <w:rPr>
                <w:rFonts w:asciiTheme="majorHAnsi" w:eastAsia="Times New Roman" w:hAnsiTheme="majorHAnsi" w:cstheme="majorHAnsi"/>
                <w:sz w:val="20"/>
                <w:szCs w:val="20"/>
                <w:lang w:eastAsia="ru-RU"/>
              </w:rPr>
              <w:t>u epu</w:t>
            </w:r>
            <w:r>
              <w:rPr>
                <w:rFonts w:asciiTheme="majorHAnsi" w:eastAsia="Times New Roman" w:hAnsiTheme="majorHAnsi" w:cstheme="majorHAnsi"/>
                <w:sz w:val="20"/>
                <w:szCs w:val="20"/>
                <w:lang w:eastAsia="ru-RU"/>
              </w:rPr>
              <w:t>ra</w:t>
            </w:r>
            <w:r w:rsidR="00BE49FB" w:rsidRPr="008376FC">
              <w:rPr>
                <w:rFonts w:asciiTheme="majorHAnsi" w:eastAsia="Times New Roman" w:hAnsiTheme="majorHAnsi" w:cstheme="majorHAnsi"/>
                <w:sz w:val="20"/>
                <w:szCs w:val="20"/>
                <w:lang w:eastAsia="ru-RU"/>
              </w:rPr>
              <w:t>re insuficientă</w:t>
            </w:r>
          </w:p>
        </w:tc>
        <w:tc>
          <w:tcPr>
            <w:tcW w:w="1126" w:type="dxa"/>
            <w:vMerge w:val="restart"/>
            <w:shd w:val="clear" w:color="auto" w:fill="BDD6EE" w:themeFill="accent1" w:themeFillTint="66"/>
            <w:hideMark/>
          </w:tcPr>
          <w:p w:rsidR="00BE49FB" w:rsidRPr="008376FC" w:rsidRDefault="004C1E9F" w:rsidP="00F61756">
            <w:pPr>
              <w:spacing w:line="276" w:lineRule="auto"/>
              <w:jc w:val="both"/>
              <w:rPr>
                <w:rFonts w:asciiTheme="majorHAnsi" w:eastAsia="Times New Roman" w:hAnsiTheme="majorHAnsi" w:cstheme="majorHAnsi"/>
                <w:sz w:val="20"/>
                <w:szCs w:val="20"/>
                <w:lang w:eastAsia="ru-RU"/>
              </w:rPr>
            </w:pPr>
            <w:r>
              <w:rPr>
                <w:rFonts w:asciiTheme="majorHAnsi" w:eastAsia="Times New Roman" w:hAnsiTheme="majorHAnsi" w:cstheme="majorHAnsi"/>
                <w:spacing w:val="-1"/>
                <w:sz w:val="20"/>
                <w:szCs w:val="20"/>
                <w:lang w:eastAsia="ru-RU"/>
              </w:rPr>
              <w:t>c</w:t>
            </w:r>
            <w:r w:rsidR="00BE49FB" w:rsidRPr="008376FC">
              <w:rPr>
                <w:rFonts w:asciiTheme="majorHAnsi" w:eastAsia="Times New Roman" w:hAnsiTheme="majorHAnsi" w:cstheme="majorHAnsi"/>
                <w:spacing w:val="-1"/>
                <w:sz w:val="20"/>
                <w:szCs w:val="20"/>
                <w:lang w:eastAsia="ru-RU"/>
              </w:rPr>
              <w:t>u epurare parțială</w:t>
            </w:r>
          </w:p>
        </w:tc>
      </w:tr>
      <w:tr w:rsidR="00BE49FB" w:rsidRPr="008376FC" w:rsidTr="00724D50">
        <w:trPr>
          <w:trHeight w:val="458"/>
        </w:trPr>
        <w:tc>
          <w:tcPr>
            <w:tcW w:w="754"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p>
        </w:tc>
        <w:tc>
          <w:tcPr>
            <w:tcW w:w="1325"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p>
        </w:tc>
        <w:tc>
          <w:tcPr>
            <w:tcW w:w="1307"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sz w:val="20"/>
                <w:szCs w:val="20"/>
                <w:lang w:eastAsia="ru-RU"/>
              </w:rPr>
            </w:pPr>
          </w:p>
        </w:tc>
        <w:tc>
          <w:tcPr>
            <w:tcW w:w="1447"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sz w:val="20"/>
                <w:szCs w:val="20"/>
                <w:lang w:eastAsia="ru-RU"/>
              </w:rPr>
            </w:pPr>
          </w:p>
        </w:tc>
        <w:tc>
          <w:tcPr>
            <w:tcW w:w="1063"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sz w:val="20"/>
                <w:szCs w:val="20"/>
                <w:lang w:eastAsia="ru-RU"/>
              </w:rPr>
            </w:pPr>
          </w:p>
        </w:tc>
        <w:tc>
          <w:tcPr>
            <w:tcW w:w="1307"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sz w:val="20"/>
                <w:szCs w:val="20"/>
                <w:lang w:eastAsia="ru-RU"/>
              </w:rPr>
            </w:pPr>
          </w:p>
        </w:tc>
        <w:tc>
          <w:tcPr>
            <w:tcW w:w="1447"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sz w:val="20"/>
                <w:szCs w:val="20"/>
                <w:lang w:eastAsia="ru-RU"/>
              </w:rPr>
            </w:pPr>
          </w:p>
        </w:tc>
        <w:tc>
          <w:tcPr>
            <w:tcW w:w="1126"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sz w:val="20"/>
                <w:szCs w:val="20"/>
                <w:lang w:eastAsia="ru-RU"/>
              </w:rPr>
            </w:pPr>
          </w:p>
        </w:tc>
      </w:tr>
      <w:tr w:rsidR="00BE49FB" w:rsidRPr="008376FC" w:rsidTr="00724D50">
        <w:trPr>
          <w:trHeight w:val="55"/>
        </w:trPr>
        <w:tc>
          <w:tcPr>
            <w:tcW w:w="754"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2016</w:t>
            </w:r>
          </w:p>
        </w:tc>
        <w:tc>
          <w:tcPr>
            <w:tcW w:w="132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157</w:t>
            </w:r>
          </w:p>
        </w:tc>
        <w:tc>
          <w:tcPr>
            <w:tcW w:w="130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12</w:t>
            </w:r>
          </w:p>
        </w:tc>
        <w:tc>
          <w:tcPr>
            <w:tcW w:w="144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145</w:t>
            </w:r>
          </w:p>
        </w:tc>
        <w:tc>
          <w:tcPr>
            <w:tcW w:w="106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0</w:t>
            </w:r>
          </w:p>
        </w:tc>
        <w:tc>
          <w:tcPr>
            <w:tcW w:w="130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7,6%</w:t>
            </w:r>
          </w:p>
        </w:tc>
        <w:tc>
          <w:tcPr>
            <w:tcW w:w="1447" w:type="dxa"/>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92,4%</w:t>
            </w:r>
            <w:r w:rsidRPr="008376FC">
              <w:rPr>
                <w:rFonts w:asciiTheme="majorHAnsi" w:eastAsia="Times New Roman" w:hAnsiTheme="majorHAnsi" w:cstheme="majorHAnsi"/>
                <w:bCs w:val="0"/>
                <w:color w:val="FF0000"/>
                <w:sz w:val="20"/>
                <w:szCs w:val="20"/>
                <w:lang w:eastAsia="ru-RU"/>
              </w:rPr>
              <w:sym w:font="Wingdings" w:char="F06C"/>
            </w:r>
          </w:p>
        </w:tc>
        <w:tc>
          <w:tcPr>
            <w:tcW w:w="112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w:t>
            </w:r>
          </w:p>
        </w:tc>
      </w:tr>
      <w:tr w:rsidR="00BE49FB" w:rsidRPr="008376FC" w:rsidTr="00724D50">
        <w:trPr>
          <w:trHeight w:val="55"/>
        </w:trPr>
        <w:tc>
          <w:tcPr>
            <w:tcW w:w="754"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2017</w:t>
            </w:r>
          </w:p>
        </w:tc>
        <w:tc>
          <w:tcPr>
            <w:tcW w:w="132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166</w:t>
            </w:r>
          </w:p>
        </w:tc>
        <w:tc>
          <w:tcPr>
            <w:tcW w:w="130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w:t>
            </w:r>
          </w:p>
        </w:tc>
        <w:tc>
          <w:tcPr>
            <w:tcW w:w="144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142</w:t>
            </w:r>
          </w:p>
        </w:tc>
        <w:tc>
          <w:tcPr>
            <w:tcW w:w="106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w:t>
            </w:r>
          </w:p>
        </w:tc>
        <w:tc>
          <w:tcPr>
            <w:tcW w:w="1307" w:type="dxa"/>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3,0%</w:t>
            </w:r>
            <w:r w:rsidRPr="008376FC">
              <w:rPr>
                <w:rFonts w:asciiTheme="majorHAnsi" w:eastAsia="Times New Roman" w:hAnsiTheme="majorHAnsi" w:cstheme="majorHAnsi"/>
                <w:bCs w:val="0"/>
                <w:color w:val="FF0000"/>
                <w:sz w:val="20"/>
                <w:szCs w:val="20"/>
                <w:lang w:eastAsia="ru-RU"/>
              </w:rPr>
              <w:sym w:font="Wingdings" w:char="F06C"/>
            </w:r>
          </w:p>
        </w:tc>
        <w:tc>
          <w:tcPr>
            <w:tcW w:w="144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85,5%</w:t>
            </w:r>
          </w:p>
        </w:tc>
        <w:tc>
          <w:tcPr>
            <w:tcW w:w="1126" w:type="dxa"/>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11,4%</w:t>
            </w:r>
            <w:r w:rsidRPr="008376FC">
              <w:rPr>
                <w:rFonts w:asciiTheme="majorHAnsi" w:eastAsia="Times New Roman" w:hAnsiTheme="majorHAnsi" w:cstheme="majorHAnsi"/>
                <w:bCs w:val="0"/>
                <w:color w:val="FF0000"/>
                <w:sz w:val="20"/>
                <w:szCs w:val="20"/>
                <w:lang w:eastAsia="ru-RU"/>
              </w:rPr>
              <w:sym w:font="Wingdings" w:char="F06C"/>
            </w:r>
          </w:p>
        </w:tc>
      </w:tr>
      <w:tr w:rsidR="00BE49FB" w:rsidRPr="008376FC" w:rsidTr="00724D50">
        <w:trPr>
          <w:trHeight w:val="55"/>
        </w:trPr>
        <w:tc>
          <w:tcPr>
            <w:tcW w:w="754"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2018</w:t>
            </w:r>
          </w:p>
        </w:tc>
        <w:tc>
          <w:tcPr>
            <w:tcW w:w="132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190</w:t>
            </w:r>
          </w:p>
        </w:tc>
        <w:tc>
          <w:tcPr>
            <w:tcW w:w="130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w:t>
            </w:r>
          </w:p>
        </w:tc>
        <w:tc>
          <w:tcPr>
            <w:tcW w:w="144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160</w:t>
            </w:r>
          </w:p>
        </w:tc>
        <w:tc>
          <w:tcPr>
            <w:tcW w:w="106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w:t>
            </w:r>
          </w:p>
        </w:tc>
        <w:tc>
          <w:tcPr>
            <w:tcW w:w="130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4,2%</w:t>
            </w:r>
          </w:p>
        </w:tc>
        <w:tc>
          <w:tcPr>
            <w:tcW w:w="144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84,2%</w:t>
            </w:r>
          </w:p>
        </w:tc>
        <w:tc>
          <w:tcPr>
            <w:tcW w:w="112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10,0%</w:t>
            </w:r>
          </w:p>
        </w:tc>
      </w:tr>
      <w:tr w:rsidR="00BE49FB" w:rsidRPr="008376FC" w:rsidTr="00724D50">
        <w:trPr>
          <w:trHeight w:val="55"/>
        </w:trPr>
        <w:tc>
          <w:tcPr>
            <w:tcW w:w="754"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2019</w:t>
            </w:r>
          </w:p>
        </w:tc>
        <w:tc>
          <w:tcPr>
            <w:tcW w:w="132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203</w:t>
            </w:r>
          </w:p>
        </w:tc>
        <w:tc>
          <w:tcPr>
            <w:tcW w:w="130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w:t>
            </w:r>
          </w:p>
        </w:tc>
        <w:tc>
          <w:tcPr>
            <w:tcW w:w="144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172</w:t>
            </w:r>
          </w:p>
        </w:tc>
        <w:tc>
          <w:tcPr>
            <w:tcW w:w="1063"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w:t>
            </w:r>
          </w:p>
        </w:tc>
        <w:tc>
          <w:tcPr>
            <w:tcW w:w="130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7,9%</w:t>
            </w:r>
          </w:p>
        </w:tc>
        <w:tc>
          <w:tcPr>
            <w:tcW w:w="144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84,7%</w:t>
            </w:r>
          </w:p>
        </w:tc>
        <w:tc>
          <w:tcPr>
            <w:tcW w:w="1126" w:type="dxa"/>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7,9%</w:t>
            </w:r>
            <w:r w:rsidRPr="008376FC">
              <w:rPr>
                <w:rFonts w:asciiTheme="majorHAnsi" w:eastAsia="Times New Roman" w:hAnsiTheme="majorHAnsi" w:cstheme="majorHAnsi"/>
                <w:bCs w:val="0"/>
                <w:color w:val="FF0000"/>
                <w:sz w:val="20"/>
                <w:szCs w:val="20"/>
                <w:lang w:eastAsia="ru-RU"/>
              </w:rPr>
              <w:sym w:font="Wingdings" w:char="F06C"/>
            </w:r>
          </w:p>
        </w:tc>
      </w:tr>
      <w:tr w:rsidR="00BE49FB" w:rsidRPr="008376FC" w:rsidTr="00724D50">
        <w:trPr>
          <w:trHeight w:val="55"/>
        </w:trPr>
        <w:tc>
          <w:tcPr>
            <w:tcW w:w="754"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2020</w:t>
            </w:r>
          </w:p>
        </w:tc>
        <w:tc>
          <w:tcPr>
            <w:tcW w:w="1325" w:type="dxa"/>
            <w:tcBorders>
              <w:bottom w:val="single" w:sz="4" w:space="0" w:color="auto"/>
            </w:tcBorders>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211</w:t>
            </w:r>
          </w:p>
        </w:tc>
        <w:tc>
          <w:tcPr>
            <w:tcW w:w="1307" w:type="dxa"/>
            <w:tcBorders>
              <w:bottom w:val="single" w:sz="4" w:space="0" w:color="auto"/>
            </w:tcBorders>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29</w:t>
            </w:r>
          </w:p>
        </w:tc>
        <w:tc>
          <w:tcPr>
            <w:tcW w:w="1447" w:type="dxa"/>
            <w:tcBorders>
              <w:bottom w:val="single" w:sz="4" w:space="0" w:color="auto"/>
            </w:tcBorders>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159</w:t>
            </w:r>
          </w:p>
        </w:tc>
        <w:tc>
          <w:tcPr>
            <w:tcW w:w="1063" w:type="dxa"/>
            <w:tcBorders>
              <w:bottom w:val="single" w:sz="4" w:space="0" w:color="auto"/>
            </w:tcBorders>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22</w:t>
            </w:r>
          </w:p>
        </w:tc>
        <w:tc>
          <w:tcPr>
            <w:tcW w:w="1307"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13,7%</w:t>
            </w:r>
          </w:p>
        </w:tc>
        <w:tc>
          <w:tcPr>
            <w:tcW w:w="1447"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75,4%</w:t>
            </w:r>
            <w:r w:rsidRPr="008376FC">
              <w:rPr>
                <w:rFonts w:asciiTheme="majorHAnsi" w:eastAsia="Times New Roman" w:hAnsiTheme="majorHAnsi" w:cstheme="majorHAnsi"/>
                <w:bCs w:val="0"/>
                <w:color w:val="FF0000"/>
                <w:sz w:val="20"/>
                <w:szCs w:val="20"/>
                <w:lang w:eastAsia="ru-RU"/>
              </w:rPr>
              <w:sym w:font="Wingdings" w:char="F06C"/>
            </w:r>
          </w:p>
        </w:tc>
        <w:tc>
          <w:tcPr>
            <w:tcW w:w="1126"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10,4%</w:t>
            </w:r>
          </w:p>
        </w:tc>
      </w:tr>
      <w:tr w:rsidR="00BE49FB" w:rsidRPr="008376FC" w:rsidTr="00724D50">
        <w:trPr>
          <w:trHeight w:val="55"/>
        </w:trPr>
        <w:tc>
          <w:tcPr>
            <w:tcW w:w="754"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2021</w:t>
            </w:r>
          </w:p>
        </w:tc>
        <w:tc>
          <w:tcPr>
            <w:tcW w:w="1325" w:type="dxa"/>
            <w:tcBorders>
              <w:bottom w:val="single" w:sz="4" w:space="0" w:color="auto"/>
            </w:tcBorders>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209</w:t>
            </w:r>
          </w:p>
        </w:tc>
        <w:tc>
          <w:tcPr>
            <w:tcW w:w="1307" w:type="dxa"/>
            <w:tcBorders>
              <w:bottom w:val="single" w:sz="4" w:space="0" w:color="auto"/>
            </w:tcBorders>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29</w:t>
            </w:r>
          </w:p>
        </w:tc>
        <w:tc>
          <w:tcPr>
            <w:tcW w:w="1447" w:type="dxa"/>
            <w:tcBorders>
              <w:bottom w:val="single" w:sz="4" w:space="0" w:color="auto"/>
            </w:tcBorders>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160</w:t>
            </w:r>
          </w:p>
        </w:tc>
        <w:tc>
          <w:tcPr>
            <w:tcW w:w="1063" w:type="dxa"/>
            <w:tcBorders>
              <w:bottom w:val="single" w:sz="4" w:space="0" w:color="auto"/>
            </w:tcBorders>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w:t>
            </w:r>
          </w:p>
        </w:tc>
        <w:tc>
          <w:tcPr>
            <w:tcW w:w="1307"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13,9%</w:t>
            </w:r>
            <w:r w:rsidRPr="008376FC">
              <w:rPr>
                <w:rFonts w:asciiTheme="majorHAnsi" w:eastAsia="Times New Roman" w:hAnsiTheme="majorHAnsi" w:cstheme="majorHAnsi"/>
                <w:bCs w:val="0"/>
                <w:color w:val="FF0000"/>
                <w:sz w:val="20"/>
                <w:szCs w:val="20"/>
                <w:lang w:eastAsia="ru-RU"/>
              </w:rPr>
              <w:sym w:font="Wingdings" w:char="F06C"/>
            </w:r>
          </w:p>
        </w:tc>
        <w:tc>
          <w:tcPr>
            <w:tcW w:w="1447"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76,6%</w:t>
            </w:r>
          </w:p>
        </w:tc>
        <w:tc>
          <w:tcPr>
            <w:tcW w:w="1126"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9,1%</w:t>
            </w:r>
          </w:p>
        </w:tc>
      </w:tr>
      <w:tr w:rsidR="00777DAC" w:rsidRPr="008376FC" w:rsidTr="00724D50">
        <w:trPr>
          <w:trHeight w:val="55"/>
        </w:trPr>
        <w:tc>
          <w:tcPr>
            <w:tcW w:w="9777" w:type="dxa"/>
            <w:gridSpan w:val="8"/>
            <w:tcBorders>
              <w:top w:val="single" w:sz="4" w:space="0" w:color="auto"/>
              <w:left w:val="nil"/>
              <w:bottom w:val="nil"/>
              <w:right w:val="nil"/>
            </w:tcBorders>
          </w:tcPr>
          <w:p w:rsidR="00777DAC" w:rsidRPr="00812814" w:rsidRDefault="00777DAC" w:rsidP="00214F0C">
            <w:pPr>
              <w:widowControl w:val="0"/>
              <w:autoSpaceDE w:val="0"/>
              <w:autoSpaceDN w:val="0"/>
              <w:spacing w:line="276" w:lineRule="auto"/>
              <w:jc w:val="both"/>
              <w:rPr>
                <w:rFonts w:asciiTheme="majorHAnsi" w:eastAsia="Times New Roman" w:hAnsiTheme="majorHAnsi" w:cstheme="majorHAnsi"/>
                <w:b w:val="0"/>
                <w:bCs w:val="0"/>
                <w:i/>
                <w:sz w:val="20"/>
                <w:szCs w:val="20"/>
              </w:rPr>
            </w:pPr>
            <w:r w:rsidRPr="00812814">
              <w:rPr>
                <w:rFonts w:asciiTheme="majorHAnsi" w:eastAsia="Times New Roman" w:hAnsiTheme="majorHAnsi" w:cstheme="majorHAnsi"/>
                <w:bCs w:val="0"/>
                <w:i/>
                <w:sz w:val="20"/>
                <w:szCs w:val="20"/>
              </w:rPr>
              <w:t>Sursa:</w:t>
            </w:r>
            <w:r w:rsidRPr="00812814">
              <w:rPr>
                <w:rFonts w:asciiTheme="majorHAnsi" w:eastAsia="Times New Roman" w:hAnsiTheme="majorHAnsi" w:cstheme="majorHAnsi"/>
                <w:b w:val="0"/>
                <w:bCs w:val="0"/>
                <w:i/>
                <w:sz w:val="20"/>
                <w:szCs w:val="20"/>
              </w:rPr>
              <w:t xml:space="preserve"> Date</w:t>
            </w:r>
            <w:r w:rsidR="004C1E9F">
              <w:rPr>
                <w:rFonts w:asciiTheme="majorHAnsi" w:eastAsia="Times New Roman" w:hAnsiTheme="majorHAnsi" w:cstheme="majorHAnsi"/>
                <w:b w:val="0"/>
                <w:bCs w:val="0"/>
                <w:i/>
                <w:sz w:val="20"/>
                <w:szCs w:val="20"/>
              </w:rPr>
              <w:t xml:space="preserve"> oferite de</w:t>
            </w:r>
            <w:r w:rsidRPr="00812814">
              <w:rPr>
                <w:rFonts w:asciiTheme="majorHAnsi" w:eastAsia="Times New Roman" w:hAnsiTheme="majorHAnsi" w:cstheme="majorHAnsi"/>
                <w:b w:val="0"/>
                <w:bCs w:val="0"/>
                <w:i/>
                <w:sz w:val="20"/>
                <w:szCs w:val="20"/>
              </w:rPr>
              <w:t xml:space="preserve"> IPM.</w:t>
            </w:r>
          </w:p>
          <w:p w:rsidR="00F638F7" w:rsidRPr="008376FC" w:rsidRDefault="00F638F7" w:rsidP="00214F0C">
            <w:pPr>
              <w:widowControl w:val="0"/>
              <w:autoSpaceDE w:val="0"/>
              <w:autoSpaceDN w:val="0"/>
              <w:spacing w:line="276" w:lineRule="auto"/>
              <w:jc w:val="both"/>
              <w:rPr>
                <w:rFonts w:asciiTheme="majorHAnsi" w:eastAsia="Times New Roman" w:hAnsiTheme="majorHAnsi" w:cstheme="majorHAnsi"/>
                <w:b w:val="0"/>
                <w:bCs w:val="0"/>
                <w:sz w:val="20"/>
                <w:szCs w:val="20"/>
                <w:lang w:eastAsia="ru-RU"/>
              </w:rPr>
            </w:pPr>
          </w:p>
        </w:tc>
      </w:tr>
    </w:tbl>
    <w:p w:rsidR="00BE49FB" w:rsidRPr="008376FC" w:rsidRDefault="00BE49FB" w:rsidP="00214F0C">
      <w:pPr>
        <w:pStyle w:val="a3"/>
        <w:widowControl w:val="0"/>
        <w:numPr>
          <w:ilvl w:val="2"/>
          <w:numId w:val="39"/>
        </w:numPr>
        <w:autoSpaceDE w:val="0"/>
        <w:autoSpaceDN w:val="0"/>
        <w:spacing w:line="276" w:lineRule="auto"/>
        <w:ind w:left="0" w:firstLine="0"/>
        <w:jc w:val="both"/>
        <w:rPr>
          <w:rFonts w:asciiTheme="majorHAnsi" w:hAnsiTheme="majorHAnsi" w:cstheme="majorHAnsi"/>
          <w:b/>
          <w:color w:val="0070C0"/>
          <w:lang w:val="en-US"/>
        </w:rPr>
      </w:pPr>
      <w:r w:rsidRPr="008376FC">
        <w:rPr>
          <w:rFonts w:asciiTheme="majorHAnsi" w:hAnsiTheme="majorHAnsi" w:cstheme="majorHAnsi"/>
          <w:b/>
          <w:color w:val="0070C0"/>
          <w:lang w:val="en-US"/>
        </w:rPr>
        <w:t>Mare</w:t>
      </w:r>
      <w:r w:rsidR="004C1E9F">
        <w:rPr>
          <w:rFonts w:asciiTheme="majorHAnsi" w:hAnsiTheme="majorHAnsi" w:cstheme="majorHAnsi"/>
          <w:b/>
          <w:color w:val="0070C0"/>
          <w:lang w:val="en-US"/>
        </w:rPr>
        <w:t>a</w:t>
      </w:r>
      <w:r w:rsidRPr="008376FC">
        <w:rPr>
          <w:rFonts w:asciiTheme="majorHAnsi" w:hAnsiTheme="majorHAnsi" w:cstheme="majorHAnsi"/>
          <w:b/>
          <w:color w:val="0070C0"/>
          <w:lang w:val="en-US"/>
        </w:rPr>
        <w:t xml:space="preserve"> parte a stațiilor de epurare a apelor uzate și a sondelor exploatate funcționează în lipsa autorizațiilor de mediu de folosință specială a apei</w:t>
      </w:r>
      <w:r w:rsidR="004C1E9F">
        <w:rPr>
          <w:rFonts w:asciiTheme="majorHAnsi" w:hAnsiTheme="majorHAnsi" w:cstheme="majorHAnsi"/>
          <w:b/>
          <w:color w:val="0070C0"/>
          <w:lang w:val="en-US"/>
        </w:rPr>
        <w:t>.</w:t>
      </w:r>
    </w:p>
    <w:p w:rsidR="00BE49FB" w:rsidRPr="008376FC" w:rsidRDefault="00BE49FB" w:rsidP="00F61756">
      <w:pPr>
        <w:widowControl w:val="0"/>
        <w:autoSpaceDE w:val="0"/>
        <w:autoSpaceDN w:val="0"/>
        <w:spacing w:before="120" w:after="0" w:line="276" w:lineRule="auto"/>
        <w:ind w:right="-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Contrar</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prevederilor</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legislaţiei</w:t>
      </w:r>
      <w:r w:rsidRPr="008376FC">
        <w:rPr>
          <w:rFonts w:asciiTheme="majorHAnsi" w:eastAsia="Times New Roman" w:hAnsiTheme="majorHAnsi" w:cstheme="majorHAnsi"/>
          <w:b w:val="0"/>
          <w:bCs w:val="0"/>
          <w:sz w:val="24"/>
          <w:szCs w:val="24"/>
          <w:vertAlign w:val="superscript"/>
        </w:rPr>
        <w:footnoteReference w:id="88"/>
      </w:r>
      <w:r w:rsidRPr="008376FC">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pacing w:val="1"/>
          <w:sz w:val="24"/>
          <w:szCs w:val="24"/>
        </w:rPr>
        <w:t xml:space="preserve"> </w:t>
      </w:r>
      <w:r w:rsidR="004C1E9F">
        <w:rPr>
          <w:rFonts w:asciiTheme="majorHAnsi" w:eastAsia="Times New Roman" w:hAnsiTheme="majorHAnsi" w:cstheme="majorHAnsi"/>
          <w:b w:val="0"/>
          <w:bCs w:val="0"/>
          <w:spacing w:val="1"/>
          <w:sz w:val="24"/>
          <w:szCs w:val="24"/>
        </w:rPr>
        <w:t xml:space="preserve">o </w:t>
      </w:r>
      <w:r w:rsidRPr="008376FC">
        <w:rPr>
          <w:rFonts w:asciiTheme="majorHAnsi" w:eastAsia="Times New Roman" w:hAnsiTheme="majorHAnsi" w:cstheme="majorHAnsi"/>
          <w:b w:val="0"/>
          <w:bCs w:val="0"/>
          <w:sz w:val="24"/>
          <w:szCs w:val="24"/>
        </w:rPr>
        <w:t>mare parte d</w:t>
      </w:r>
      <w:r w:rsidR="004C1E9F">
        <w:rPr>
          <w:rFonts w:asciiTheme="majorHAnsi" w:eastAsia="Times New Roman" w:hAnsiTheme="majorHAnsi" w:cstheme="majorHAnsi"/>
          <w:b w:val="0"/>
          <w:bCs w:val="0"/>
          <w:sz w:val="24"/>
          <w:szCs w:val="24"/>
        </w:rPr>
        <w:t>in</w:t>
      </w:r>
      <w:r w:rsidRPr="008376FC">
        <w:rPr>
          <w:rFonts w:asciiTheme="majorHAnsi" w:eastAsia="Times New Roman" w:hAnsiTheme="majorHAnsi" w:cstheme="majorHAnsi"/>
          <w:b w:val="0"/>
          <w:bCs w:val="0"/>
          <w:sz w:val="24"/>
          <w:szCs w:val="24"/>
        </w:rPr>
        <w:t xml:space="preserve"> operatori</w:t>
      </w:r>
      <w:r w:rsidR="004C1E9F">
        <w:rPr>
          <w:rFonts w:asciiTheme="majorHAnsi" w:eastAsia="Times New Roman" w:hAnsiTheme="majorHAnsi" w:cstheme="majorHAnsi"/>
          <w:b w:val="0"/>
          <w:bCs w:val="0"/>
          <w:sz w:val="24"/>
          <w:szCs w:val="24"/>
        </w:rPr>
        <w:t>i</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de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servicii</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publice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de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alimentare</w:t>
      </w:r>
      <w:r w:rsidRPr="008376FC">
        <w:rPr>
          <w:rFonts w:asciiTheme="majorHAnsi" w:eastAsia="Times New Roman" w:hAnsiTheme="majorHAnsi" w:cstheme="majorHAnsi"/>
          <w:b w:val="0"/>
          <w:bCs w:val="0"/>
          <w:spacing w:val="8"/>
          <w:sz w:val="24"/>
          <w:szCs w:val="24"/>
        </w:rPr>
        <w:t xml:space="preserve"> </w:t>
      </w:r>
      <w:r w:rsidRPr="008376FC">
        <w:rPr>
          <w:rFonts w:asciiTheme="majorHAnsi" w:eastAsia="Times New Roman" w:hAnsiTheme="majorHAnsi" w:cstheme="majorHAnsi"/>
          <w:b w:val="0"/>
          <w:bCs w:val="0"/>
          <w:sz w:val="24"/>
          <w:szCs w:val="24"/>
        </w:rPr>
        <w:t>cu</w:t>
      </w:r>
      <w:r w:rsidRPr="008376FC">
        <w:rPr>
          <w:rFonts w:asciiTheme="majorHAnsi" w:eastAsia="Times New Roman" w:hAnsiTheme="majorHAnsi" w:cstheme="majorHAnsi"/>
          <w:b w:val="0"/>
          <w:bCs w:val="0"/>
          <w:spacing w:val="9"/>
          <w:sz w:val="24"/>
          <w:szCs w:val="24"/>
        </w:rPr>
        <w:t xml:space="preserve"> </w:t>
      </w:r>
      <w:r w:rsidRPr="008376FC">
        <w:rPr>
          <w:rFonts w:asciiTheme="majorHAnsi" w:eastAsia="Times New Roman" w:hAnsiTheme="majorHAnsi" w:cstheme="majorHAnsi"/>
          <w:b w:val="0"/>
          <w:bCs w:val="0"/>
          <w:sz w:val="24"/>
          <w:szCs w:val="24"/>
        </w:rPr>
        <w:t>apă</w:t>
      </w:r>
      <w:r w:rsidRPr="008376FC">
        <w:rPr>
          <w:rFonts w:asciiTheme="majorHAnsi" w:eastAsia="Times New Roman" w:hAnsiTheme="majorHAnsi" w:cstheme="majorHAnsi"/>
          <w:b w:val="0"/>
          <w:bCs w:val="0"/>
          <w:spacing w:val="9"/>
          <w:sz w:val="24"/>
          <w:szCs w:val="24"/>
        </w:rPr>
        <w:t xml:space="preserve"> </w:t>
      </w:r>
      <w:r w:rsidRPr="008376FC">
        <w:rPr>
          <w:rFonts w:asciiTheme="majorHAnsi" w:eastAsia="Times New Roman" w:hAnsiTheme="majorHAnsi" w:cstheme="majorHAnsi"/>
          <w:b w:val="0"/>
          <w:bCs w:val="0"/>
          <w:sz w:val="24"/>
          <w:szCs w:val="24"/>
        </w:rPr>
        <w:t>şi</w:t>
      </w:r>
      <w:r w:rsidRPr="008376FC">
        <w:rPr>
          <w:rFonts w:asciiTheme="majorHAnsi" w:eastAsia="Times New Roman" w:hAnsiTheme="majorHAnsi" w:cstheme="majorHAnsi"/>
          <w:b w:val="0"/>
          <w:bCs w:val="0"/>
          <w:spacing w:val="10"/>
          <w:sz w:val="24"/>
          <w:szCs w:val="24"/>
        </w:rPr>
        <w:t xml:space="preserve"> </w:t>
      </w:r>
      <w:r w:rsidRPr="008376FC">
        <w:rPr>
          <w:rFonts w:asciiTheme="majorHAnsi" w:eastAsia="Times New Roman" w:hAnsiTheme="majorHAnsi" w:cstheme="majorHAnsi"/>
          <w:b w:val="0"/>
          <w:bCs w:val="0"/>
          <w:sz w:val="24"/>
          <w:szCs w:val="24"/>
        </w:rPr>
        <w:t>canalizare</w:t>
      </w:r>
      <w:r w:rsidRPr="008376FC">
        <w:rPr>
          <w:rFonts w:asciiTheme="majorHAnsi" w:eastAsia="Times New Roman" w:hAnsiTheme="majorHAnsi" w:cstheme="majorHAnsi"/>
          <w:b w:val="0"/>
          <w:bCs w:val="0"/>
          <w:spacing w:val="8"/>
          <w:sz w:val="24"/>
          <w:szCs w:val="24"/>
        </w:rPr>
        <w:t xml:space="preserve"> </w:t>
      </w:r>
      <w:r w:rsidRPr="008376FC">
        <w:rPr>
          <w:rFonts w:asciiTheme="majorHAnsi" w:eastAsia="Times New Roman" w:hAnsiTheme="majorHAnsi" w:cstheme="majorHAnsi"/>
          <w:b w:val="0"/>
          <w:bCs w:val="0"/>
          <w:sz w:val="24"/>
          <w:szCs w:val="24"/>
        </w:rPr>
        <w:t>activează</w:t>
      </w:r>
      <w:r w:rsidRPr="008376FC">
        <w:rPr>
          <w:rFonts w:asciiTheme="majorHAnsi" w:eastAsia="Times New Roman" w:hAnsiTheme="majorHAnsi" w:cstheme="majorHAnsi"/>
          <w:b w:val="0"/>
          <w:bCs w:val="0"/>
          <w:spacing w:val="9"/>
          <w:sz w:val="24"/>
          <w:szCs w:val="24"/>
        </w:rPr>
        <w:t xml:space="preserve"> </w:t>
      </w:r>
      <w:r w:rsidRPr="008376FC">
        <w:rPr>
          <w:rFonts w:asciiTheme="majorHAnsi" w:eastAsia="Times New Roman" w:hAnsiTheme="majorHAnsi" w:cstheme="majorHAnsi"/>
          <w:b w:val="0"/>
          <w:bCs w:val="0"/>
          <w:sz w:val="24"/>
          <w:szCs w:val="24"/>
        </w:rPr>
        <w:t>în</w:t>
      </w:r>
      <w:r w:rsidRPr="008376FC">
        <w:rPr>
          <w:rFonts w:asciiTheme="majorHAnsi" w:eastAsia="Times New Roman" w:hAnsiTheme="majorHAnsi" w:cstheme="majorHAnsi"/>
          <w:b w:val="0"/>
          <w:bCs w:val="0"/>
          <w:spacing w:val="10"/>
          <w:sz w:val="24"/>
          <w:szCs w:val="24"/>
        </w:rPr>
        <w:t xml:space="preserve"> </w:t>
      </w:r>
      <w:r w:rsidRPr="008376FC">
        <w:rPr>
          <w:rFonts w:asciiTheme="majorHAnsi" w:eastAsia="Times New Roman" w:hAnsiTheme="majorHAnsi" w:cstheme="majorHAnsi"/>
          <w:b w:val="0"/>
          <w:bCs w:val="0"/>
          <w:sz w:val="24"/>
          <w:szCs w:val="24"/>
        </w:rPr>
        <w:t>lipsa</w:t>
      </w:r>
      <w:r w:rsidRPr="008376FC">
        <w:rPr>
          <w:rFonts w:asciiTheme="majorHAnsi" w:eastAsia="Times New Roman" w:hAnsiTheme="majorHAnsi" w:cstheme="majorHAnsi"/>
          <w:b w:val="0"/>
          <w:bCs w:val="0"/>
          <w:spacing w:val="9"/>
          <w:sz w:val="24"/>
          <w:szCs w:val="24"/>
        </w:rPr>
        <w:t xml:space="preserve"> </w:t>
      </w:r>
      <w:r w:rsidRPr="008376FC">
        <w:rPr>
          <w:rFonts w:asciiTheme="majorHAnsi" w:eastAsia="Times New Roman" w:hAnsiTheme="majorHAnsi" w:cstheme="majorHAnsi"/>
          <w:b w:val="0"/>
          <w:bCs w:val="0"/>
          <w:sz w:val="24"/>
          <w:szCs w:val="24"/>
        </w:rPr>
        <w:t>autorizaţiei</w:t>
      </w:r>
      <w:r w:rsidRPr="008376FC">
        <w:rPr>
          <w:rFonts w:asciiTheme="majorHAnsi" w:eastAsia="Times New Roman" w:hAnsiTheme="majorHAnsi" w:cstheme="majorHAnsi"/>
          <w:b w:val="0"/>
          <w:bCs w:val="0"/>
          <w:spacing w:val="10"/>
          <w:sz w:val="24"/>
          <w:szCs w:val="24"/>
        </w:rPr>
        <w:t xml:space="preserve"> </w:t>
      </w:r>
      <w:r w:rsidRPr="008376FC">
        <w:rPr>
          <w:rFonts w:asciiTheme="majorHAnsi" w:eastAsia="Times New Roman" w:hAnsiTheme="majorHAnsi" w:cstheme="majorHAnsi"/>
          <w:b w:val="0"/>
          <w:bCs w:val="0"/>
          <w:sz w:val="24"/>
          <w:szCs w:val="24"/>
        </w:rPr>
        <w:t>de</w:t>
      </w:r>
      <w:r w:rsidRPr="008376FC">
        <w:rPr>
          <w:rFonts w:asciiTheme="majorHAnsi" w:eastAsia="Times New Roman" w:hAnsiTheme="majorHAnsi" w:cstheme="majorHAnsi"/>
          <w:b w:val="0"/>
          <w:bCs w:val="0"/>
          <w:spacing w:val="9"/>
          <w:sz w:val="24"/>
          <w:szCs w:val="24"/>
        </w:rPr>
        <w:t xml:space="preserve"> </w:t>
      </w:r>
      <w:r w:rsidRPr="008376FC">
        <w:rPr>
          <w:rFonts w:asciiTheme="majorHAnsi" w:eastAsia="Times New Roman" w:hAnsiTheme="majorHAnsi" w:cstheme="majorHAnsi"/>
          <w:b w:val="0"/>
          <w:bCs w:val="0"/>
          <w:sz w:val="24"/>
          <w:szCs w:val="24"/>
        </w:rPr>
        <w:t>folosinţă</w:t>
      </w:r>
      <w:r w:rsidRPr="008376FC">
        <w:rPr>
          <w:rFonts w:asciiTheme="majorHAnsi" w:eastAsia="Times New Roman" w:hAnsiTheme="majorHAnsi" w:cstheme="majorHAnsi"/>
          <w:b w:val="0"/>
          <w:bCs w:val="0"/>
          <w:spacing w:val="9"/>
          <w:sz w:val="24"/>
          <w:szCs w:val="24"/>
        </w:rPr>
        <w:t xml:space="preserve"> </w:t>
      </w:r>
      <w:r w:rsidRPr="008376FC">
        <w:rPr>
          <w:rFonts w:asciiTheme="majorHAnsi" w:eastAsia="Times New Roman" w:hAnsiTheme="majorHAnsi" w:cstheme="majorHAnsi"/>
          <w:b w:val="0"/>
          <w:bCs w:val="0"/>
          <w:sz w:val="24"/>
          <w:szCs w:val="24"/>
        </w:rPr>
        <w:t xml:space="preserve">specială </w:t>
      </w:r>
      <w:r w:rsidRPr="008376FC">
        <w:rPr>
          <w:rFonts w:asciiTheme="majorHAnsi" w:eastAsia="Times New Roman" w:hAnsiTheme="majorHAnsi" w:cstheme="majorHAnsi"/>
          <w:b w:val="0"/>
          <w:bCs w:val="0"/>
          <w:spacing w:val="-57"/>
          <w:sz w:val="24"/>
          <w:szCs w:val="24"/>
        </w:rPr>
        <w:t xml:space="preserve"> </w:t>
      </w:r>
      <w:r w:rsidRPr="008376FC">
        <w:rPr>
          <w:rFonts w:asciiTheme="majorHAnsi" w:eastAsia="Times New Roman" w:hAnsiTheme="majorHAnsi" w:cstheme="majorHAnsi"/>
          <w:b w:val="0"/>
          <w:bCs w:val="0"/>
          <w:sz w:val="24"/>
          <w:szCs w:val="24"/>
        </w:rPr>
        <w:t>a apei, care se eliberează în cazul corespunderii tuturor cerinţelor şi se acordă</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beneficiarului cu dreptul de utilizare a apelor, de deversare a apelor</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uzate în</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receptori,</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precum</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 xml:space="preserve">şi </w:t>
      </w:r>
      <w:r w:rsidR="004C1E9F">
        <w:rPr>
          <w:rFonts w:asciiTheme="majorHAnsi" w:eastAsia="Times New Roman" w:hAnsiTheme="majorHAnsi" w:cstheme="majorHAnsi"/>
          <w:b w:val="0"/>
          <w:bCs w:val="0"/>
          <w:sz w:val="24"/>
          <w:szCs w:val="24"/>
        </w:rPr>
        <w:t>pentru</w:t>
      </w:r>
      <w:r w:rsidRPr="008376FC">
        <w:rPr>
          <w:rFonts w:asciiTheme="majorHAnsi" w:eastAsia="Times New Roman" w:hAnsiTheme="majorHAnsi" w:cstheme="majorHAnsi"/>
          <w:b w:val="0"/>
          <w:bCs w:val="0"/>
          <w:sz w:val="24"/>
          <w:szCs w:val="24"/>
        </w:rPr>
        <w:t xml:space="preserve"> alte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activităţi</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cu influenţă</w:t>
      </w:r>
      <w:r w:rsidRPr="008376FC">
        <w:rPr>
          <w:rFonts w:asciiTheme="majorHAnsi" w:eastAsia="Times New Roman" w:hAnsiTheme="majorHAnsi" w:cstheme="majorHAnsi"/>
          <w:b w:val="0"/>
          <w:bCs w:val="0"/>
          <w:spacing w:val="-3"/>
          <w:sz w:val="24"/>
          <w:szCs w:val="24"/>
        </w:rPr>
        <w:t xml:space="preserve"> </w:t>
      </w:r>
      <w:r w:rsidRPr="008376FC">
        <w:rPr>
          <w:rFonts w:asciiTheme="majorHAnsi" w:eastAsia="Times New Roman" w:hAnsiTheme="majorHAnsi" w:cstheme="majorHAnsi"/>
          <w:b w:val="0"/>
          <w:bCs w:val="0"/>
          <w:sz w:val="24"/>
          <w:szCs w:val="24"/>
        </w:rPr>
        <w:t>negativă</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asupra</w:t>
      </w:r>
      <w:r w:rsidRPr="008376FC">
        <w:rPr>
          <w:rFonts w:asciiTheme="majorHAnsi" w:eastAsia="Times New Roman" w:hAnsiTheme="majorHAnsi" w:cstheme="majorHAnsi"/>
          <w:b w:val="0"/>
          <w:bCs w:val="0"/>
          <w:spacing w:val="-2"/>
          <w:sz w:val="24"/>
          <w:szCs w:val="24"/>
        </w:rPr>
        <w:t xml:space="preserve"> </w:t>
      </w:r>
      <w:r w:rsidRPr="008376FC">
        <w:rPr>
          <w:rFonts w:asciiTheme="majorHAnsi" w:eastAsia="Times New Roman" w:hAnsiTheme="majorHAnsi" w:cstheme="majorHAnsi"/>
          <w:b w:val="0"/>
          <w:bCs w:val="0"/>
          <w:sz w:val="24"/>
          <w:szCs w:val="24"/>
        </w:rPr>
        <w:t>apelor.</w:t>
      </w:r>
    </w:p>
    <w:p w:rsidR="0080293E" w:rsidRDefault="00BE49FB" w:rsidP="00F61756">
      <w:pPr>
        <w:widowControl w:val="0"/>
        <w:autoSpaceDE w:val="0"/>
        <w:autoSpaceDN w:val="0"/>
        <w:spacing w:before="120" w:after="0" w:line="276" w:lineRule="auto"/>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Astfel, din totalul de 270 de stații de epurare a apelor uzate</w:t>
      </w:r>
      <w:r w:rsidR="004C1E9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213</w:t>
      </w:r>
      <w:r w:rsidR="004C1E9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sau 78,9%</w:t>
      </w:r>
      <w:r w:rsidR="004C1E9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funcționează în lipsa autorizațiilor de mediu de folosință specială a apei. </w:t>
      </w:r>
      <w:r w:rsidR="004C1E9F">
        <w:rPr>
          <w:rFonts w:asciiTheme="majorHAnsi" w:eastAsia="Times New Roman" w:hAnsiTheme="majorHAnsi" w:cstheme="majorHAnsi"/>
          <w:b w:val="0"/>
          <w:bCs w:val="0"/>
          <w:sz w:val="24"/>
          <w:szCs w:val="24"/>
        </w:rPr>
        <w:t>La fel</w:t>
      </w:r>
      <w:r w:rsidRPr="008376FC">
        <w:rPr>
          <w:rFonts w:asciiTheme="majorHAnsi" w:eastAsia="Times New Roman" w:hAnsiTheme="majorHAnsi" w:cstheme="majorHAnsi"/>
          <w:b w:val="0"/>
          <w:bCs w:val="0"/>
          <w:sz w:val="24"/>
          <w:szCs w:val="24"/>
        </w:rPr>
        <w:t>, din totalul de 2</w:t>
      </w:r>
      <w:r w:rsidR="004C1E9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687 de sonde exploatate, 2</w:t>
      </w:r>
      <w:r w:rsidR="004C1E9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197</w:t>
      </w:r>
      <w:r w:rsidR="004C1E9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sau 81,8%</w:t>
      </w:r>
      <w:r w:rsidR="004C1E9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funcționează în lipsa autorizațiilor de mediu de folosință specială a apei. </w:t>
      </w:r>
      <w:r w:rsidR="0080293E">
        <w:rPr>
          <w:rFonts w:asciiTheme="majorHAnsi" w:eastAsia="Times New Roman" w:hAnsiTheme="majorHAnsi" w:cstheme="majorHAnsi"/>
          <w:b w:val="0"/>
          <w:bCs w:val="0"/>
          <w:sz w:val="24"/>
          <w:szCs w:val="24"/>
        </w:rPr>
        <w:t>Această stare de lucruri</w:t>
      </w:r>
      <w:r w:rsidRPr="008376FC">
        <w:rPr>
          <w:rFonts w:asciiTheme="majorHAnsi" w:eastAsia="Times New Roman" w:hAnsiTheme="majorHAnsi" w:cstheme="majorHAnsi"/>
          <w:b w:val="0"/>
          <w:bCs w:val="0"/>
          <w:sz w:val="24"/>
          <w:szCs w:val="24"/>
        </w:rPr>
        <w:t xml:space="preserve"> se atestă pe parcursul mai multor ani, fiind menționată și în cadrul auditurilor realizate în anii precedenți. Funcționarea atât a stațiilor de </w:t>
      </w:r>
      <w:r w:rsidR="00221DA5">
        <w:rPr>
          <w:rFonts w:asciiTheme="majorHAnsi" w:eastAsia="Times New Roman" w:hAnsiTheme="majorHAnsi" w:cstheme="majorHAnsi"/>
          <w:b w:val="0"/>
          <w:bCs w:val="0"/>
          <w:sz w:val="24"/>
          <w:szCs w:val="24"/>
        </w:rPr>
        <w:t xml:space="preserve"> captare</w:t>
      </w:r>
      <w:r w:rsidRPr="008376FC">
        <w:rPr>
          <w:rFonts w:asciiTheme="majorHAnsi" w:eastAsia="Times New Roman" w:hAnsiTheme="majorHAnsi" w:cstheme="majorHAnsi"/>
          <w:b w:val="0"/>
          <w:bCs w:val="0"/>
          <w:sz w:val="24"/>
          <w:szCs w:val="24"/>
        </w:rPr>
        <w:t xml:space="preserve">, </w:t>
      </w:r>
      <w:r w:rsidR="0080293E">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z w:val="24"/>
          <w:szCs w:val="24"/>
        </w:rPr>
        <w:t xml:space="preserve"> stațiilor de epurare,  cât și a sondelor în lipsa autorizațiilor de mediu pentru folosirea specială a apelor uzate denotă  lips</w:t>
      </w:r>
      <w:r w:rsidR="0080293E">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z w:val="24"/>
          <w:szCs w:val="24"/>
        </w:rPr>
        <w:t xml:space="preserve"> sau insuficienț</w:t>
      </w:r>
      <w:r w:rsidR="0080293E">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z w:val="24"/>
          <w:szCs w:val="24"/>
        </w:rPr>
        <w:t xml:space="preserve"> controlului adecvat din partea oficiilor teritoriale ale IPM, deoarece</w:t>
      </w:r>
      <w:r w:rsidR="0080293E">
        <w:rPr>
          <w:rFonts w:asciiTheme="majorHAnsi" w:eastAsia="Times New Roman" w:hAnsiTheme="majorHAnsi" w:cstheme="majorHAnsi"/>
          <w:b w:val="0"/>
          <w:bCs w:val="0"/>
          <w:sz w:val="24"/>
          <w:szCs w:val="24"/>
        </w:rPr>
        <w:t xml:space="preserve"> acestea</w:t>
      </w:r>
      <w:r w:rsidRPr="008376FC">
        <w:rPr>
          <w:rFonts w:asciiTheme="majorHAnsi" w:eastAsia="Times New Roman" w:hAnsiTheme="majorHAnsi" w:cstheme="majorHAnsi"/>
          <w:b w:val="0"/>
          <w:bCs w:val="0"/>
          <w:sz w:val="24"/>
          <w:szCs w:val="24"/>
        </w:rPr>
        <w:t xml:space="preserve"> prezintă date</w:t>
      </w:r>
      <w:r w:rsidR="0080293E">
        <w:rPr>
          <w:rFonts w:asciiTheme="majorHAnsi" w:eastAsia="Times New Roman" w:hAnsiTheme="majorHAnsi" w:cstheme="majorHAnsi"/>
          <w:b w:val="0"/>
          <w:bCs w:val="0"/>
          <w:sz w:val="24"/>
          <w:szCs w:val="24"/>
        </w:rPr>
        <w:t>le aferente</w:t>
      </w:r>
      <w:r w:rsidRPr="008376FC">
        <w:rPr>
          <w:rFonts w:asciiTheme="majorHAnsi" w:eastAsia="Times New Roman" w:hAnsiTheme="majorHAnsi" w:cstheme="majorHAnsi"/>
          <w:b w:val="0"/>
          <w:bCs w:val="0"/>
          <w:sz w:val="24"/>
          <w:szCs w:val="24"/>
        </w:rPr>
        <w:t xml:space="preserve"> teritoriil</w:t>
      </w:r>
      <w:r w:rsidR="0080293E">
        <w:rPr>
          <w:rFonts w:asciiTheme="majorHAnsi" w:eastAsia="Times New Roman" w:hAnsiTheme="majorHAnsi" w:cstheme="majorHAnsi"/>
          <w:b w:val="0"/>
          <w:bCs w:val="0"/>
          <w:sz w:val="24"/>
          <w:szCs w:val="24"/>
        </w:rPr>
        <w:t>or</w:t>
      </w:r>
      <w:r w:rsidRPr="008376FC">
        <w:rPr>
          <w:rFonts w:asciiTheme="majorHAnsi" w:eastAsia="Times New Roman" w:hAnsiTheme="majorHAnsi" w:cstheme="majorHAnsi"/>
          <w:b w:val="0"/>
          <w:bCs w:val="0"/>
          <w:sz w:val="24"/>
          <w:szCs w:val="24"/>
        </w:rPr>
        <w:t xml:space="preserve"> </w:t>
      </w:r>
      <w:r w:rsidR="0080293E">
        <w:rPr>
          <w:rFonts w:asciiTheme="majorHAnsi" w:eastAsia="Times New Roman" w:hAnsiTheme="majorHAnsi" w:cstheme="majorHAnsi"/>
          <w:b w:val="0"/>
          <w:bCs w:val="0"/>
          <w:sz w:val="24"/>
          <w:szCs w:val="24"/>
        </w:rPr>
        <w:t>arondate</w:t>
      </w:r>
      <w:r w:rsidRPr="008376FC">
        <w:rPr>
          <w:rFonts w:asciiTheme="majorHAnsi" w:eastAsia="Times New Roman" w:hAnsiTheme="majorHAnsi" w:cstheme="majorHAnsi"/>
          <w:b w:val="0"/>
          <w:bCs w:val="0"/>
          <w:sz w:val="24"/>
          <w:szCs w:val="24"/>
        </w:rPr>
        <w:t xml:space="preserve"> pentru generalizare și întocmirea informațiilor generalizate care stau la baza elaborării Anuarului „Protecția mediului în Republica Moldova”. În acest sens urm</w:t>
      </w:r>
      <w:r w:rsidR="0080293E">
        <w:rPr>
          <w:rFonts w:asciiTheme="majorHAnsi" w:eastAsia="Times New Roman" w:hAnsiTheme="majorHAnsi" w:cstheme="majorHAnsi"/>
          <w:b w:val="0"/>
          <w:bCs w:val="0"/>
          <w:sz w:val="24"/>
          <w:szCs w:val="24"/>
        </w:rPr>
        <w:t>ează</w:t>
      </w:r>
      <w:r w:rsidRPr="008376FC">
        <w:rPr>
          <w:rFonts w:asciiTheme="majorHAnsi" w:eastAsia="Times New Roman" w:hAnsiTheme="majorHAnsi" w:cstheme="majorHAnsi"/>
          <w:b w:val="0"/>
          <w:bCs w:val="0"/>
          <w:sz w:val="24"/>
          <w:szCs w:val="24"/>
        </w:rPr>
        <w:t xml:space="preserve"> a fi întreprinse măsuri</w:t>
      </w:r>
      <w:r w:rsidR="0080293E">
        <w:rPr>
          <w:rFonts w:asciiTheme="majorHAnsi" w:eastAsia="Times New Roman" w:hAnsiTheme="majorHAnsi" w:cstheme="majorHAnsi"/>
          <w:b w:val="0"/>
          <w:bCs w:val="0"/>
          <w:sz w:val="24"/>
          <w:szCs w:val="24"/>
        </w:rPr>
        <w:t>le</w:t>
      </w:r>
      <w:r w:rsidRPr="008376FC">
        <w:rPr>
          <w:rFonts w:asciiTheme="majorHAnsi" w:eastAsia="Times New Roman" w:hAnsiTheme="majorHAnsi" w:cstheme="majorHAnsi"/>
          <w:b w:val="0"/>
          <w:bCs w:val="0"/>
          <w:sz w:val="24"/>
          <w:szCs w:val="24"/>
        </w:rPr>
        <w:t xml:space="preserve"> de rigoare pentru conformarea antreprenorilor la prevederile cadrului normativ-legal și încasarea la buget a sumelor cuvenite pentru dreptul de folosire specială a apei. </w:t>
      </w:r>
    </w:p>
    <w:p w:rsidR="00BE49FB" w:rsidRPr="008376FC" w:rsidRDefault="00BE49FB" w:rsidP="00F61756">
      <w:pPr>
        <w:widowControl w:val="0"/>
        <w:autoSpaceDE w:val="0"/>
        <w:autoSpaceDN w:val="0"/>
        <w:spacing w:before="120" w:after="0" w:line="276" w:lineRule="auto"/>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Insuficiența controlului din partea IPM nu contribuie la conformarea benevolă a gestionarilor infrastructurii respective la prevederile cadrului regulator și</w:t>
      </w:r>
      <w:r w:rsidR="0080293E">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în consecință</w:t>
      </w:r>
      <w:r w:rsidR="0080293E">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duce la neîncasarea în volum deplin a veniturilor pasibile spre încasare de la eliberarea autorizațiilor pentru folosirea specială a apei. Astfel, </w:t>
      </w:r>
      <w:r w:rsidR="001D2700" w:rsidRPr="008376FC">
        <w:rPr>
          <w:rFonts w:asciiTheme="majorHAnsi" w:eastAsia="Times New Roman" w:hAnsiTheme="majorHAnsi" w:cstheme="majorHAnsi"/>
          <w:b w:val="0"/>
          <w:bCs w:val="0"/>
          <w:sz w:val="24"/>
          <w:szCs w:val="24"/>
        </w:rPr>
        <w:t xml:space="preserve">pe parcursul anilor </w:t>
      </w:r>
      <w:r w:rsidRPr="008376FC">
        <w:rPr>
          <w:rFonts w:asciiTheme="majorHAnsi" w:eastAsia="Times New Roman" w:hAnsiTheme="majorHAnsi" w:cstheme="majorHAnsi"/>
          <w:b w:val="0"/>
          <w:bCs w:val="0"/>
          <w:sz w:val="24"/>
          <w:szCs w:val="24"/>
        </w:rPr>
        <w:t>de la exploatarea sondelor nu s-au obținut venituri pasibile spre încasare minim de 2,2 mil.lei și maxim de 7,0 mil.lei</w:t>
      </w:r>
      <w:r w:rsidR="001D2700">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w:t>
      </w:r>
      <w:r w:rsidR="001D2700">
        <w:rPr>
          <w:rFonts w:asciiTheme="majorHAnsi" w:eastAsia="Times New Roman" w:hAnsiTheme="majorHAnsi" w:cstheme="majorHAnsi"/>
          <w:b w:val="0"/>
          <w:bCs w:val="0"/>
          <w:sz w:val="24"/>
          <w:szCs w:val="24"/>
        </w:rPr>
        <w:t>iar</w:t>
      </w:r>
      <w:r w:rsidRPr="008376FC">
        <w:rPr>
          <w:rFonts w:asciiTheme="majorHAnsi" w:eastAsia="Times New Roman" w:hAnsiTheme="majorHAnsi" w:cstheme="majorHAnsi"/>
          <w:b w:val="0"/>
          <w:bCs w:val="0"/>
          <w:sz w:val="24"/>
          <w:szCs w:val="24"/>
        </w:rPr>
        <w:t xml:space="preserve"> de la exploatarea stațiilor de epurare a apelor uzate </w:t>
      </w:r>
      <w:r w:rsidR="001D2700">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minim 0,2 mil.lei și maxim 0,6 mil.lei.  </w:t>
      </w:r>
    </w:p>
    <w:p w:rsidR="00BE49FB" w:rsidRPr="008376FC" w:rsidRDefault="004A22E3" w:rsidP="00214F0C">
      <w:pPr>
        <w:widowControl w:val="0"/>
        <w:autoSpaceDE w:val="0"/>
        <w:autoSpaceDN w:val="0"/>
        <w:spacing w:after="0" w:line="276" w:lineRule="auto"/>
        <w:ind w:left="405"/>
        <w:jc w:val="right"/>
        <w:rPr>
          <w:rFonts w:asciiTheme="majorHAnsi" w:eastAsia="Times New Roman" w:hAnsiTheme="majorHAnsi" w:cstheme="majorHAnsi"/>
          <w:bCs w:val="0"/>
          <w:sz w:val="24"/>
          <w:szCs w:val="24"/>
        </w:rPr>
      </w:pPr>
      <w:r w:rsidRPr="008376FC">
        <w:rPr>
          <w:rFonts w:asciiTheme="majorHAnsi" w:eastAsia="Times New Roman" w:hAnsiTheme="majorHAnsi" w:cstheme="majorHAnsi"/>
          <w:sz w:val="20"/>
          <w:szCs w:val="20"/>
        </w:rPr>
        <w:t xml:space="preserve">Tabelul nr. </w:t>
      </w:r>
      <w:r w:rsidR="00FF1425" w:rsidRPr="008376FC">
        <w:rPr>
          <w:rFonts w:asciiTheme="majorHAnsi" w:eastAsia="Times New Roman" w:hAnsiTheme="majorHAnsi" w:cstheme="majorHAnsi"/>
          <w:sz w:val="20"/>
          <w:szCs w:val="20"/>
        </w:rPr>
        <w:t>21</w:t>
      </w:r>
    </w:p>
    <w:tbl>
      <w:tblPr>
        <w:tblStyle w:val="TableGrid1"/>
        <w:tblW w:w="9959" w:type="dxa"/>
        <w:tblLayout w:type="fixed"/>
        <w:tblLook w:val="04A0" w:firstRow="1" w:lastRow="0" w:firstColumn="1" w:lastColumn="0" w:noHBand="0" w:noVBand="1"/>
      </w:tblPr>
      <w:tblGrid>
        <w:gridCol w:w="1148"/>
        <w:gridCol w:w="789"/>
        <w:gridCol w:w="789"/>
        <w:gridCol w:w="950"/>
        <w:gridCol w:w="952"/>
        <w:gridCol w:w="946"/>
        <w:gridCol w:w="948"/>
        <w:gridCol w:w="789"/>
        <w:gridCol w:w="835"/>
        <w:gridCol w:w="936"/>
        <w:gridCol w:w="877"/>
      </w:tblGrid>
      <w:tr w:rsidR="00777DAC" w:rsidRPr="008376FC" w:rsidTr="00724D50">
        <w:trPr>
          <w:trHeight w:val="477"/>
        </w:trPr>
        <w:tc>
          <w:tcPr>
            <w:tcW w:w="9958" w:type="dxa"/>
            <w:gridSpan w:val="11"/>
            <w:tcBorders>
              <w:top w:val="nil"/>
              <w:left w:val="nil"/>
              <w:bottom w:val="single" w:sz="4" w:space="0" w:color="auto"/>
              <w:right w:val="nil"/>
            </w:tcBorders>
          </w:tcPr>
          <w:p w:rsidR="00777DAC" w:rsidRPr="008376FC" w:rsidRDefault="001D2700" w:rsidP="00214F0C">
            <w:pPr>
              <w:spacing w:line="276" w:lineRule="auto"/>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rPr>
              <w:t>N</w:t>
            </w:r>
            <w:r w:rsidR="00777DAC" w:rsidRPr="008376FC">
              <w:rPr>
                <w:rFonts w:asciiTheme="majorHAnsi" w:eastAsia="Times New Roman" w:hAnsiTheme="majorHAnsi" w:cstheme="majorHAnsi"/>
                <w:bCs w:val="0"/>
                <w:sz w:val="20"/>
                <w:szCs w:val="20"/>
              </w:rPr>
              <w:t>umărul autorizații</w:t>
            </w:r>
            <w:r>
              <w:rPr>
                <w:rFonts w:asciiTheme="majorHAnsi" w:eastAsia="Times New Roman" w:hAnsiTheme="majorHAnsi" w:cstheme="majorHAnsi"/>
                <w:bCs w:val="0"/>
                <w:sz w:val="20"/>
                <w:szCs w:val="20"/>
              </w:rPr>
              <w:t>lor</w:t>
            </w:r>
            <w:r w:rsidR="00777DAC" w:rsidRPr="008376FC">
              <w:rPr>
                <w:rFonts w:asciiTheme="majorHAnsi" w:eastAsia="Times New Roman" w:hAnsiTheme="majorHAnsi" w:cstheme="majorHAnsi"/>
                <w:bCs w:val="0"/>
                <w:sz w:val="20"/>
                <w:szCs w:val="20"/>
              </w:rPr>
              <w:t xml:space="preserve"> de mediu de folosință specială a apei deținute de operatorii stați</w:t>
            </w:r>
            <w:r w:rsidR="00460159" w:rsidRPr="008376FC">
              <w:rPr>
                <w:rFonts w:asciiTheme="majorHAnsi" w:eastAsia="Times New Roman" w:hAnsiTheme="majorHAnsi" w:cstheme="majorHAnsi"/>
                <w:bCs w:val="0"/>
                <w:sz w:val="20"/>
                <w:szCs w:val="20"/>
              </w:rPr>
              <w:t xml:space="preserve">ilor de epurare a apei uzate și </w:t>
            </w:r>
            <w:r>
              <w:rPr>
                <w:rFonts w:asciiTheme="majorHAnsi" w:eastAsia="Times New Roman" w:hAnsiTheme="majorHAnsi" w:cstheme="majorHAnsi"/>
                <w:bCs w:val="0"/>
                <w:sz w:val="20"/>
                <w:szCs w:val="20"/>
              </w:rPr>
              <w:t xml:space="preserve">ai </w:t>
            </w:r>
            <w:r w:rsidR="00777DAC" w:rsidRPr="008376FC">
              <w:rPr>
                <w:rFonts w:asciiTheme="majorHAnsi" w:eastAsia="Times New Roman" w:hAnsiTheme="majorHAnsi" w:cstheme="majorHAnsi"/>
                <w:bCs w:val="0"/>
                <w:sz w:val="20"/>
                <w:szCs w:val="20"/>
              </w:rPr>
              <w:t>sondelor</w:t>
            </w:r>
          </w:p>
        </w:tc>
      </w:tr>
      <w:tr w:rsidR="00BE49FB" w:rsidRPr="008376FC" w:rsidTr="00724D50">
        <w:trPr>
          <w:trHeight w:val="477"/>
        </w:trPr>
        <w:tc>
          <w:tcPr>
            <w:tcW w:w="1148" w:type="dxa"/>
            <w:vMerge w:val="restart"/>
            <w:tcBorders>
              <w:top w:val="single" w:sz="4" w:space="0" w:color="auto"/>
            </w:tcBorders>
            <w:shd w:val="clear" w:color="auto" w:fill="BDD6EE" w:themeFill="accent1" w:themeFillTint="66"/>
            <w:hideMark/>
          </w:tcPr>
          <w:p w:rsidR="00BE49FB" w:rsidRPr="008376FC" w:rsidRDefault="00BE49FB" w:rsidP="00214F0C">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Anii</w:t>
            </w:r>
          </w:p>
        </w:tc>
        <w:tc>
          <w:tcPr>
            <w:tcW w:w="2527" w:type="dxa"/>
            <w:gridSpan w:val="3"/>
            <w:tcBorders>
              <w:top w:val="single" w:sz="4" w:space="0" w:color="auto"/>
            </w:tcBorders>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Nr. sondelor în exploatare</w:t>
            </w:r>
          </w:p>
        </w:tc>
        <w:tc>
          <w:tcPr>
            <w:tcW w:w="1898" w:type="dxa"/>
            <w:gridSpan w:val="2"/>
            <w:tcBorders>
              <w:top w:val="single" w:sz="4" w:space="0" w:color="auto"/>
            </w:tcBorders>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 în total</w:t>
            </w:r>
          </w:p>
        </w:tc>
        <w:tc>
          <w:tcPr>
            <w:tcW w:w="2571" w:type="dxa"/>
            <w:gridSpan w:val="3"/>
            <w:tcBorders>
              <w:top w:val="single" w:sz="4" w:space="0" w:color="auto"/>
            </w:tcBorders>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Nr. stațiilor de epurare a apelor uzate</w:t>
            </w:r>
          </w:p>
        </w:tc>
        <w:tc>
          <w:tcPr>
            <w:tcW w:w="1812" w:type="dxa"/>
            <w:gridSpan w:val="2"/>
            <w:tcBorders>
              <w:top w:val="single" w:sz="4" w:space="0" w:color="auto"/>
            </w:tcBorders>
            <w:shd w:val="clear" w:color="auto" w:fill="BDD6EE" w:themeFill="accent1" w:themeFillTint="66"/>
            <w:hideMark/>
          </w:tcPr>
          <w:p w:rsidR="00BE49FB" w:rsidRPr="008376FC" w:rsidRDefault="00BE49FB" w:rsidP="00F61756">
            <w:pPr>
              <w:spacing w:line="276" w:lineRule="auto"/>
              <w:ind w:left="350" w:hanging="350"/>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 în total</w:t>
            </w:r>
          </w:p>
        </w:tc>
      </w:tr>
      <w:tr w:rsidR="00BE49FB" w:rsidRPr="008376FC" w:rsidTr="00724D50">
        <w:trPr>
          <w:trHeight w:val="1169"/>
        </w:trPr>
        <w:tc>
          <w:tcPr>
            <w:tcW w:w="1148" w:type="dxa"/>
            <w:vMerge/>
            <w:shd w:val="clear" w:color="auto" w:fill="BDD6EE" w:themeFill="accent1" w:themeFillTint="66"/>
            <w:hideMark/>
          </w:tcPr>
          <w:p w:rsidR="00BE49FB" w:rsidRPr="008376FC" w:rsidRDefault="00BE49FB" w:rsidP="00F61756">
            <w:pPr>
              <w:spacing w:line="276" w:lineRule="auto"/>
              <w:jc w:val="both"/>
              <w:rPr>
                <w:rFonts w:asciiTheme="majorHAnsi" w:eastAsia="Times New Roman" w:hAnsiTheme="majorHAnsi" w:cstheme="majorHAnsi"/>
                <w:bCs w:val="0"/>
                <w:sz w:val="20"/>
                <w:szCs w:val="20"/>
                <w:lang w:eastAsia="ru-RU"/>
              </w:rPr>
            </w:pPr>
          </w:p>
        </w:tc>
        <w:tc>
          <w:tcPr>
            <w:tcW w:w="789" w:type="dxa"/>
            <w:shd w:val="clear" w:color="auto" w:fill="BDD6EE" w:themeFill="accent1" w:themeFillTint="66"/>
            <w:textDirection w:val="btLr"/>
            <w:hideMark/>
          </w:tcPr>
          <w:p w:rsidR="00BE49FB" w:rsidRPr="008376FC" w:rsidRDefault="001D2700" w:rsidP="00F61756">
            <w:pPr>
              <w:spacing w:line="276" w:lineRule="auto"/>
              <w:ind w:left="113" w:right="113"/>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eastAsia="ru-RU"/>
              </w:rPr>
              <w:t>t</w:t>
            </w:r>
            <w:r w:rsidR="00BE49FB" w:rsidRPr="008376FC">
              <w:rPr>
                <w:rFonts w:asciiTheme="majorHAnsi" w:eastAsia="Times New Roman" w:hAnsiTheme="majorHAnsi" w:cstheme="majorHAnsi"/>
                <w:bCs w:val="0"/>
                <w:sz w:val="20"/>
                <w:szCs w:val="20"/>
                <w:lang w:eastAsia="ru-RU"/>
              </w:rPr>
              <w:t>otal</w:t>
            </w:r>
          </w:p>
        </w:tc>
        <w:tc>
          <w:tcPr>
            <w:tcW w:w="789" w:type="dxa"/>
            <w:shd w:val="clear" w:color="auto" w:fill="BDD6EE" w:themeFill="accent1" w:themeFillTint="66"/>
            <w:textDirection w:val="btLr"/>
            <w:hideMark/>
          </w:tcPr>
          <w:p w:rsidR="00BE49FB" w:rsidRPr="008376FC" w:rsidRDefault="001D2700" w:rsidP="00F61756">
            <w:pPr>
              <w:spacing w:line="276" w:lineRule="auto"/>
              <w:ind w:left="113" w:right="113"/>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eastAsia="ru-RU"/>
              </w:rPr>
              <w:t>c</w:t>
            </w:r>
            <w:r w:rsidR="00BE49FB" w:rsidRPr="008376FC">
              <w:rPr>
                <w:rFonts w:asciiTheme="majorHAnsi" w:eastAsia="Times New Roman" w:hAnsiTheme="majorHAnsi" w:cstheme="majorHAnsi"/>
                <w:bCs w:val="0"/>
                <w:sz w:val="20"/>
                <w:szCs w:val="20"/>
                <w:lang w:eastAsia="ru-RU"/>
              </w:rPr>
              <w:t xml:space="preserve">u AMFSA </w:t>
            </w:r>
          </w:p>
        </w:tc>
        <w:tc>
          <w:tcPr>
            <w:tcW w:w="950" w:type="dxa"/>
            <w:shd w:val="clear" w:color="auto" w:fill="BDD6EE" w:themeFill="accent1" w:themeFillTint="66"/>
            <w:textDirection w:val="btLr"/>
            <w:hideMark/>
          </w:tcPr>
          <w:p w:rsidR="00BE49FB" w:rsidRPr="008376FC" w:rsidRDefault="001D2700" w:rsidP="00F61756">
            <w:pPr>
              <w:spacing w:line="276" w:lineRule="auto"/>
              <w:ind w:left="113" w:right="113"/>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eastAsia="ru-RU"/>
              </w:rPr>
              <w:t>f</w:t>
            </w:r>
            <w:r w:rsidR="00BE49FB" w:rsidRPr="008376FC">
              <w:rPr>
                <w:rFonts w:asciiTheme="majorHAnsi" w:eastAsia="Times New Roman" w:hAnsiTheme="majorHAnsi" w:cstheme="majorHAnsi"/>
                <w:bCs w:val="0"/>
                <w:sz w:val="20"/>
                <w:szCs w:val="20"/>
                <w:lang w:eastAsia="ru-RU"/>
              </w:rPr>
              <w:t>ără AMFSA</w:t>
            </w:r>
          </w:p>
        </w:tc>
        <w:tc>
          <w:tcPr>
            <w:tcW w:w="952" w:type="dxa"/>
            <w:shd w:val="clear" w:color="auto" w:fill="BDD6EE" w:themeFill="accent1" w:themeFillTint="66"/>
            <w:textDirection w:val="btLr"/>
            <w:hideMark/>
          </w:tcPr>
          <w:p w:rsidR="00BE49FB" w:rsidRPr="008376FC" w:rsidRDefault="001D2700" w:rsidP="00F61756">
            <w:pPr>
              <w:spacing w:line="276" w:lineRule="auto"/>
              <w:ind w:left="113" w:right="113"/>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eastAsia="ru-RU"/>
              </w:rPr>
              <w:t>c</w:t>
            </w:r>
            <w:r w:rsidR="00BE49FB" w:rsidRPr="008376FC">
              <w:rPr>
                <w:rFonts w:asciiTheme="majorHAnsi" w:eastAsia="Times New Roman" w:hAnsiTheme="majorHAnsi" w:cstheme="majorHAnsi"/>
                <w:bCs w:val="0"/>
                <w:sz w:val="20"/>
                <w:szCs w:val="20"/>
                <w:lang w:eastAsia="ru-RU"/>
              </w:rPr>
              <w:t xml:space="preserve">u AMFSA </w:t>
            </w:r>
          </w:p>
        </w:tc>
        <w:tc>
          <w:tcPr>
            <w:tcW w:w="946" w:type="dxa"/>
            <w:shd w:val="clear" w:color="auto" w:fill="BDD6EE" w:themeFill="accent1" w:themeFillTint="66"/>
            <w:textDirection w:val="btLr"/>
            <w:hideMark/>
          </w:tcPr>
          <w:p w:rsidR="00BE49FB" w:rsidRPr="008376FC" w:rsidRDefault="001D2700" w:rsidP="00F61756">
            <w:pPr>
              <w:spacing w:line="276" w:lineRule="auto"/>
              <w:ind w:left="113" w:right="113"/>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eastAsia="ru-RU"/>
              </w:rPr>
              <w:t>f</w:t>
            </w:r>
            <w:r w:rsidR="00BE49FB" w:rsidRPr="008376FC">
              <w:rPr>
                <w:rFonts w:asciiTheme="majorHAnsi" w:eastAsia="Times New Roman" w:hAnsiTheme="majorHAnsi" w:cstheme="majorHAnsi"/>
                <w:bCs w:val="0"/>
                <w:sz w:val="20"/>
                <w:szCs w:val="20"/>
                <w:lang w:eastAsia="ru-RU"/>
              </w:rPr>
              <w:t>ără AMFSA</w:t>
            </w:r>
          </w:p>
        </w:tc>
        <w:tc>
          <w:tcPr>
            <w:tcW w:w="948" w:type="dxa"/>
            <w:shd w:val="clear" w:color="auto" w:fill="BDD6EE" w:themeFill="accent1" w:themeFillTint="66"/>
            <w:textDirection w:val="btLr"/>
            <w:hideMark/>
          </w:tcPr>
          <w:p w:rsidR="00BE49FB" w:rsidRPr="008376FC" w:rsidRDefault="00BE49FB" w:rsidP="00F61756">
            <w:pPr>
              <w:spacing w:line="276" w:lineRule="auto"/>
              <w:ind w:left="113" w:right="113"/>
              <w:jc w:val="both"/>
              <w:rPr>
                <w:rFonts w:asciiTheme="majorHAnsi" w:eastAsia="Times New Roman" w:hAnsiTheme="majorHAnsi" w:cstheme="majorHAnsi"/>
                <w:bCs w:val="0"/>
                <w:sz w:val="20"/>
                <w:szCs w:val="20"/>
                <w:lang w:eastAsia="ru-RU"/>
              </w:rPr>
            </w:pPr>
            <w:r w:rsidRPr="008376FC">
              <w:rPr>
                <w:rFonts w:asciiTheme="majorHAnsi" w:eastAsia="Times New Roman" w:hAnsiTheme="majorHAnsi" w:cstheme="majorHAnsi"/>
                <w:bCs w:val="0"/>
                <w:sz w:val="20"/>
                <w:szCs w:val="20"/>
                <w:lang w:eastAsia="ru-RU"/>
              </w:rPr>
              <w:t>total</w:t>
            </w:r>
          </w:p>
        </w:tc>
        <w:tc>
          <w:tcPr>
            <w:tcW w:w="789" w:type="dxa"/>
            <w:shd w:val="clear" w:color="auto" w:fill="BDD6EE" w:themeFill="accent1" w:themeFillTint="66"/>
            <w:textDirection w:val="btLr"/>
            <w:hideMark/>
          </w:tcPr>
          <w:p w:rsidR="00BE49FB" w:rsidRPr="008376FC" w:rsidRDefault="001D2700" w:rsidP="00F61756">
            <w:pPr>
              <w:spacing w:line="276" w:lineRule="auto"/>
              <w:ind w:left="113" w:right="113"/>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eastAsia="ru-RU"/>
              </w:rPr>
              <w:t>c</w:t>
            </w:r>
            <w:r w:rsidR="00BE49FB" w:rsidRPr="008376FC">
              <w:rPr>
                <w:rFonts w:asciiTheme="majorHAnsi" w:eastAsia="Times New Roman" w:hAnsiTheme="majorHAnsi" w:cstheme="majorHAnsi"/>
                <w:bCs w:val="0"/>
                <w:sz w:val="20"/>
                <w:szCs w:val="20"/>
                <w:lang w:eastAsia="ru-RU"/>
              </w:rPr>
              <w:t xml:space="preserve">u AMFSA </w:t>
            </w:r>
          </w:p>
        </w:tc>
        <w:tc>
          <w:tcPr>
            <w:tcW w:w="835" w:type="dxa"/>
            <w:shd w:val="clear" w:color="auto" w:fill="BDD6EE" w:themeFill="accent1" w:themeFillTint="66"/>
            <w:textDirection w:val="btLr"/>
            <w:hideMark/>
          </w:tcPr>
          <w:p w:rsidR="00BE49FB" w:rsidRPr="008376FC" w:rsidRDefault="001D2700" w:rsidP="00F61756">
            <w:pPr>
              <w:spacing w:line="276" w:lineRule="auto"/>
              <w:ind w:left="113" w:right="113"/>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eastAsia="ru-RU"/>
              </w:rPr>
              <w:t>f</w:t>
            </w:r>
            <w:r w:rsidR="00BE49FB" w:rsidRPr="008376FC">
              <w:rPr>
                <w:rFonts w:asciiTheme="majorHAnsi" w:eastAsia="Times New Roman" w:hAnsiTheme="majorHAnsi" w:cstheme="majorHAnsi"/>
                <w:bCs w:val="0"/>
                <w:sz w:val="20"/>
                <w:szCs w:val="20"/>
                <w:lang w:eastAsia="ru-RU"/>
              </w:rPr>
              <w:t>ără AMFSA</w:t>
            </w:r>
          </w:p>
        </w:tc>
        <w:tc>
          <w:tcPr>
            <w:tcW w:w="936" w:type="dxa"/>
            <w:shd w:val="clear" w:color="auto" w:fill="BDD6EE" w:themeFill="accent1" w:themeFillTint="66"/>
            <w:textDirection w:val="btLr"/>
            <w:hideMark/>
          </w:tcPr>
          <w:p w:rsidR="00BE49FB" w:rsidRPr="008376FC" w:rsidRDefault="001D2700" w:rsidP="00F61756">
            <w:pPr>
              <w:spacing w:line="276" w:lineRule="auto"/>
              <w:ind w:left="113" w:right="113"/>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eastAsia="ru-RU"/>
              </w:rPr>
              <w:t>c</w:t>
            </w:r>
            <w:r w:rsidR="00BE49FB" w:rsidRPr="008376FC">
              <w:rPr>
                <w:rFonts w:asciiTheme="majorHAnsi" w:eastAsia="Times New Roman" w:hAnsiTheme="majorHAnsi" w:cstheme="majorHAnsi"/>
                <w:bCs w:val="0"/>
                <w:sz w:val="20"/>
                <w:szCs w:val="20"/>
                <w:lang w:eastAsia="ru-RU"/>
              </w:rPr>
              <w:t xml:space="preserve">u AMFSA </w:t>
            </w:r>
          </w:p>
        </w:tc>
        <w:tc>
          <w:tcPr>
            <w:tcW w:w="877" w:type="dxa"/>
            <w:shd w:val="clear" w:color="auto" w:fill="BDD6EE" w:themeFill="accent1" w:themeFillTint="66"/>
            <w:textDirection w:val="btLr"/>
            <w:hideMark/>
          </w:tcPr>
          <w:p w:rsidR="00BE49FB" w:rsidRPr="008376FC" w:rsidRDefault="001D2700" w:rsidP="00F61756">
            <w:pPr>
              <w:spacing w:line="276" w:lineRule="auto"/>
              <w:ind w:left="113" w:right="113"/>
              <w:jc w:val="both"/>
              <w:rPr>
                <w:rFonts w:asciiTheme="majorHAnsi" w:eastAsia="Times New Roman" w:hAnsiTheme="majorHAnsi" w:cstheme="majorHAnsi"/>
                <w:bCs w:val="0"/>
                <w:sz w:val="20"/>
                <w:szCs w:val="20"/>
                <w:lang w:eastAsia="ru-RU"/>
              </w:rPr>
            </w:pPr>
            <w:r>
              <w:rPr>
                <w:rFonts w:asciiTheme="majorHAnsi" w:eastAsia="Times New Roman" w:hAnsiTheme="majorHAnsi" w:cstheme="majorHAnsi"/>
                <w:bCs w:val="0"/>
                <w:sz w:val="20"/>
                <w:szCs w:val="20"/>
                <w:lang w:eastAsia="ru-RU"/>
              </w:rPr>
              <w:t>f</w:t>
            </w:r>
            <w:r w:rsidR="00BE49FB" w:rsidRPr="008376FC">
              <w:rPr>
                <w:rFonts w:asciiTheme="majorHAnsi" w:eastAsia="Times New Roman" w:hAnsiTheme="majorHAnsi" w:cstheme="majorHAnsi"/>
                <w:bCs w:val="0"/>
                <w:sz w:val="20"/>
                <w:szCs w:val="20"/>
                <w:lang w:eastAsia="ru-RU"/>
              </w:rPr>
              <w:t>ără AMFSA</w:t>
            </w:r>
          </w:p>
        </w:tc>
      </w:tr>
      <w:tr w:rsidR="00BE49FB" w:rsidRPr="008376FC" w:rsidTr="00724D50">
        <w:trPr>
          <w:trHeight w:val="205"/>
        </w:trPr>
        <w:tc>
          <w:tcPr>
            <w:tcW w:w="114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2016</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2398</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319</w:t>
            </w:r>
          </w:p>
        </w:tc>
        <w:tc>
          <w:tcPr>
            <w:tcW w:w="95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2079</w:t>
            </w:r>
          </w:p>
        </w:tc>
        <w:tc>
          <w:tcPr>
            <w:tcW w:w="95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13,3%</w:t>
            </w:r>
          </w:p>
        </w:tc>
        <w:tc>
          <w:tcPr>
            <w:tcW w:w="94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86,7%</w:t>
            </w:r>
          </w:p>
        </w:tc>
        <w:tc>
          <w:tcPr>
            <w:tcW w:w="94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195</w:t>
            </w:r>
          </w:p>
        </w:tc>
        <w:tc>
          <w:tcPr>
            <w:tcW w:w="78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w:t>
            </w:r>
          </w:p>
        </w:tc>
        <w:tc>
          <w:tcPr>
            <w:tcW w:w="83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195</w:t>
            </w:r>
          </w:p>
        </w:tc>
        <w:tc>
          <w:tcPr>
            <w:tcW w:w="93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0,0%</w:t>
            </w:r>
          </w:p>
        </w:tc>
        <w:tc>
          <w:tcPr>
            <w:tcW w:w="87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100,0%</w:t>
            </w:r>
          </w:p>
        </w:tc>
      </w:tr>
      <w:tr w:rsidR="00BE49FB" w:rsidRPr="008376FC" w:rsidTr="00724D50">
        <w:trPr>
          <w:trHeight w:val="92"/>
        </w:trPr>
        <w:tc>
          <w:tcPr>
            <w:tcW w:w="114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2017</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2390</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362</w:t>
            </w:r>
          </w:p>
        </w:tc>
        <w:tc>
          <w:tcPr>
            <w:tcW w:w="95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2028</w:t>
            </w:r>
          </w:p>
        </w:tc>
        <w:tc>
          <w:tcPr>
            <w:tcW w:w="95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15,1%</w:t>
            </w:r>
          </w:p>
        </w:tc>
        <w:tc>
          <w:tcPr>
            <w:tcW w:w="94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84,9%</w:t>
            </w:r>
          </w:p>
        </w:tc>
        <w:tc>
          <w:tcPr>
            <w:tcW w:w="94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213</w:t>
            </w:r>
          </w:p>
        </w:tc>
        <w:tc>
          <w:tcPr>
            <w:tcW w:w="78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27</w:t>
            </w:r>
          </w:p>
        </w:tc>
        <w:tc>
          <w:tcPr>
            <w:tcW w:w="83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186</w:t>
            </w:r>
          </w:p>
        </w:tc>
        <w:tc>
          <w:tcPr>
            <w:tcW w:w="93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12,7%</w:t>
            </w:r>
          </w:p>
        </w:tc>
        <w:tc>
          <w:tcPr>
            <w:tcW w:w="87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87,3%</w:t>
            </w:r>
          </w:p>
        </w:tc>
      </w:tr>
      <w:tr w:rsidR="00BE49FB" w:rsidRPr="008376FC" w:rsidTr="00724D50">
        <w:trPr>
          <w:trHeight w:val="126"/>
        </w:trPr>
        <w:tc>
          <w:tcPr>
            <w:tcW w:w="114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2018</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2500</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447</w:t>
            </w:r>
          </w:p>
        </w:tc>
        <w:tc>
          <w:tcPr>
            <w:tcW w:w="95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2053</w:t>
            </w:r>
          </w:p>
        </w:tc>
        <w:tc>
          <w:tcPr>
            <w:tcW w:w="95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17,9%</w:t>
            </w:r>
          </w:p>
        </w:tc>
        <w:tc>
          <w:tcPr>
            <w:tcW w:w="94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82,1%</w:t>
            </w:r>
          </w:p>
        </w:tc>
        <w:tc>
          <w:tcPr>
            <w:tcW w:w="94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233</w:t>
            </w:r>
          </w:p>
        </w:tc>
        <w:tc>
          <w:tcPr>
            <w:tcW w:w="78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57</w:t>
            </w:r>
          </w:p>
        </w:tc>
        <w:tc>
          <w:tcPr>
            <w:tcW w:w="83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176</w:t>
            </w:r>
          </w:p>
        </w:tc>
        <w:tc>
          <w:tcPr>
            <w:tcW w:w="93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24,5%</w:t>
            </w:r>
          </w:p>
        </w:tc>
        <w:tc>
          <w:tcPr>
            <w:tcW w:w="87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75,5%</w:t>
            </w:r>
          </w:p>
        </w:tc>
      </w:tr>
      <w:tr w:rsidR="00BE49FB" w:rsidRPr="008376FC" w:rsidTr="00724D50">
        <w:trPr>
          <w:trHeight w:val="144"/>
        </w:trPr>
        <w:tc>
          <w:tcPr>
            <w:tcW w:w="114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2019</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2612</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520</w:t>
            </w:r>
          </w:p>
        </w:tc>
        <w:tc>
          <w:tcPr>
            <w:tcW w:w="95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2092</w:t>
            </w:r>
          </w:p>
        </w:tc>
        <w:tc>
          <w:tcPr>
            <w:tcW w:w="95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19,9%</w:t>
            </w:r>
          </w:p>
        </w:tc>
        <w:tc>
          <w:tcPr>
            <w:tcW w:w="94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80,1%</w:t>
            </w:r>
          </w:p>
        </w:tc>
        <w:tc>
          <w:tcPr>
            <w:tcW w:w="94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262</w:t>
            </w:r>
          </w:p>
        </w:tc>
        <w:tc>
          <w:tcPr>
            <w:tcW w:w="78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54</w:t>
            </w:r>
          </w:p>
        </w:tc>
        <w:tc>
          <w:tcPr>
            <w:tcW w:w="83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208</w:t>
            </w:r>
          </w:p>
        </w:tc>
        <w:tc>
          <w:tcPr>
            <w:tcW w:w="93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20,6%</w:t>
            </w:r>
          </w:p>
        </w:tc>
        <w:tc>
          <w:tcPr>
            <w:tcW w:w="87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79,4%</w:t>
            </w:r>
          </w:p>
        </w:tc>
      </w:tr>
      <w:tr w:rsidR="00BE49FB" w:rsidRPr="008376FC" w:rsidTr="00724D50">
        <w:trPr>
          <w:trHeight w:val="48"/>
        </w:trPr>
        <w:tc>
          <w:tcPr>
            <w:tcW w:w="114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2020</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2614</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505</w:t>
            </w:r>
          </w:p>
        </w:tc>
        <w:tc>
          <w:tcPr>
            <w:tcW w:w="95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2109</w:t>
            </w:r>
          </w:p>
        </w:tc>
        <w:tc>
          <w:tcPr>
            <w:tcW w:w="95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19,3%</w:t>
            </w:r>
          </w:p>
        </w:tc>
        <w:tc>
          <w:tcPr>
            <w:tcW w:w="94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80,7%</w:t>
            </w:r>
          </w:p>
        </w:tc>
        <w:tc>
          <w:tcPr>
            <w:tcW w:w="94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271</w:t>
            </w:r>
          </w:p>
        </w:tc>
        <w:tc>
          <w:tcPr>
            <w:tcW w:w="789"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59</w:t>
            </w:r>
          </w:p>
        </w:tc>
        <w:tc>
          <w:tcPr>
            <w:tcW w:w="83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212</w:t>
            </w:r>
          </w:p>
        </w:tc>
        <w:tc>
          <w:tcPr>
            <w:tcW w:w="93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21,8%</w:t>
            </w:r>
          </w:p>
        </w:tc>
        <w:tc>
          <w:tcPr>
            <w:tcW w:w="87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78,2%</w:t>
            </w:r>
          </w:p>
        </w:tc>
      </w:tr>
      <w:tr w:rsidR="00BE49FB" w:rsidRPr="008376FC" w:rsidTr="00724D50">
        <w:trPr>
          <w:trHeight w:val="63"/>
        </w:trPr>
        <w:tc>
          <w:tcPr>
            <w:tcW w:w="1148"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2021</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2687</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490</w:t>
            </w:r>
          </w:p>
        </w:tc>
        <w:tc>
          <w:tcPr>
            <w:tcW w:w="950"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2197</w:t>
            </w:r>
          </w:p>
        </w:tc>
        <w:tc>
          <w:tcPr>
            <w:tcW w:w="952"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18,2%</w:t>
            </w:r>
          </w:p>
        </w:tc>
        <w:tc>
          <w:tcPr>
            <w:tcW w:w="94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81,8%</w:t>
            </w:r>
          </w:p>
        </w:tc>
        <w:tc>
          <w:tcPr>
            <w:tcW w:w="948"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270</w:t>
            </w:r>
          </w:p>
        </w:tc>
        <w:tc>
          <w:tcPr>
            <w:tcW w:w="789" w:type="dxa"/>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57</w:t>
            </w:r>
          </w:p>
        </w:tc>
        <w:tc>
          <w:tcPr>
            <w:tcW w:w="835"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213</w:t>
            </w:r>
          </w:p>
        </w:tc>
        <w:tc>
          <w:tcPr>
            <w:tcW w:w="936"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21,1%</w:t>
            </w:r>
          </w:p>
        </w:tc>
        <w:tc>
          <w:tcPr>
            <w:tcW w:w="877" w:type="dxa"/>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78,9%</w:t>
            </w:r>
          </w:p>
        </w:tc>
      </w:tr>
      <w:tr w:rsidR="00BE49FB" w:rsidRPr="008376FC" w:rsidTr="00724D50">
        <w:trPr>
          <w:trHeight w:val="297"/>
        </w:trPr>
        <w:tc>
          <w:tcPr>
            <w:tcW w:w="4628" w:type="dxa"/>
            <w:gridSpan w:val="5"/>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xml:space="preserve">Neîncasarea veniturilor pasibile spre încasare, minim (3 ani/1 mii lei) </w:t>
            </w:r>
          </w:p>
        </w:tc>
        <w:tc>
          <w:tcPr>
            <w:tcW w:w="946"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2197,0</w:t>
            </w:r>
          </w:p>
        </w:tc>
        <w:tc>
          <w:tcPr>
            <w:tcW w:w="3507" w:type="dxa"/>
            <w:gridSpan w:val="4"/>
            <w:tcBorders>
              <w:bottom w:val="single" w:sz="4" w:space="0" w:color="auto"/>
            </w:tcBorders>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xml:space="preserve">Neîncasarea veniturilor pasibile spre încasare, minim (3 ani/1 mie lei) </w:t>
            </w:r>
          </w:p>
        </w:tc>
        <w:tc>
          <w:tcPr>
            <w:tcW w:w="877"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213,0</w:t>
            </w:r>
          </w:p>
        </w:tc>
      </w:tr>
      <w:tr w:rsidR="00BE49FB" w:rsidRPr="008376FC" w:rsidTr="00724D50">
        <w:trPr>
          <w:trHeight w:val="297"/>
        </w:trPr>
        <w:tc>
          <w:tcPr>
            <w:tcW w:w="4628" w:type="dxa"/>
            <w:gridSpan w:val="5"/>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xml:space="preserve">Neîncasarea veniturilor pasibile spre încasare, maxim (25 ani/3 mii lei) </w:t>
            </w:r>
          </w:p>
        </w:tc>
        <w:tc>
          <w:tcPr>
            <w:tcW w:w="946"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xml:space="preserve">6991,0 </w:t>
            </w:r>
          </w:p>
        </w:tc>
        <w:tc>
          <w:tcPr>
            <w:tcW w:w="3507" w:type="dxa"/>
            <w:gridSpan w:val="4"/>
            <w:tcBorders>
              <w:bottom w:val="single" w:sz="4" w:space="0" w:color="auto"/>
            </w:tcBorders>
            <w:noWrap/>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xml:space="preserve">Neîncasarea veniturilor pasibile spre încasare, maxim </w:t>
            </w:r>
            <w:r w:rsidR="00460159" w:rsidRPr="008376FC">
              <w:rPr>
                <w:rFonts w:asciiTheme="majorHAnsi" w:eastAsia="Times New Roman" w:hAnsiTheme="majorHAnsi" w:cstheme="majorHAnsi"/>
                <w:b w:val="0"/>
                <w:bCs w:val="0"/>
                <w:sz w:val="20"/>
                <w:szCs w:val="20"/>
                <w:lang w:eastAsia="ru-RU"/>
              </w:rPr>
              <w:t xml:space="preserve"> </w:t>
            </w:r>
            <w:r w:rsidRPr="008376FC">
              <w:rPr>
                <w:rFonts w:asciiTheme="majorHAnsi" w:eastAsia="Times New Roman" w:hAnsiTheme="majorHAnsi" w:cstheme="majorHAnsi"/>
                <w:b w:val="0"/>
                <w:bCs w:val="0"/>
                <w:sz w:val="20"/>
                <w:szCs w:val="20"/>
                <w:lang w:eastAsia="ru-RU"/>
              </w:rPr>
              <w:t>(25 ani/3 mii lei)</w:t>
            </w:r>
          </w:p>
        </w:tc>
        <w:tc>
          <w:tcPr>
            <w:tcW w:w="877" w:type="dxa"/>
            <w:tcBorders>
              <w:bottom w:val="single" w:sz="4" w:space="0" w:color="auto"/>
            </w:tcBorders>
            <w:hideMark/>
          </w:tcPr>
          <w:p w:rsidR="00BE49FB" w:rsidRPr="008376FC" w:rsidRDefault="00BE49FB" w:rsidP="00F61756">
            <w:pPr>
              <w:spacing w:line="276" w:lineRule="auto"/>
              <w:jc w:val="both"/>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xml:space="preserve">639,0 </w:t>
            </w:r>
          </w:p>
        </w:tc>
      </w:tr>
      <w:tr w:rsidR="00777DAC" w:rsidRPr="008376FC" w:rsidTr="00724D50">
        <w:trPr>
          <w:trHeight w:val="297"/>
        </w:trPr>
        <w:tc>
          <w:tcPr>
            <w:tcW w:w="9958" w:type="dxa"/>
            <w:gridSpan w:val="11"/>
            <w:tcBorders>
              <w:top w:val="single" w:sz="4" w:space="0" w:color="auto"/>
              <w:left w:val="nil"/>
              <w:bottom w:val="nil"/>
              <w:right w:val="nil"/>
            </w:tcBorders>
          </w:tcPr>
          <w:p w:rsidR="00777DAC" w:rsidRPr="00812814" w:rsidRDefault="00777DAC" w:rsidP="00F61756">
            <w:pPr>
              <w:widowControl w:val="0"/>
              <w:autoSpaceDE w:val="0"/>
              <w:autoSpaceDN w:val="0"/>
              <w:spacing w:line="276" w:lineRule="auto"/>
              <w:ind w:left="45"/>
              <w:jc w:val="both"/>
              <w:rPr>
                <w:rFonts w:asciiTheme="majorHAnsi" w:eastAsia="Times New Roman" w:hAnsiTheme="majorHAnsi" w:cstheme="majorHAnsi"/>
                <w:b w:val="0"/>
                <w:bCs w:val="0"/>
                <w:i/>
                <w:sz w:val="20"/>
                <w:szCs w:val="20"/>
              </w:rPr>
            </w:pPr>
            <w:r w:rsidRPr="00812814">
              <w:rPr>
                <w:rFonts w:asciiTheme="majorHAnsi" w:eastAsia="Times New Roman" w:hAnsiTheme="majorHAnsi" w:cstheme="majorHAnsi"/>
                <w:bCs w:val="0"/>
                <w:i/>
                <w:sz w:val="20"/>
                <w:szCs w:val="20"/>
              </w:rPr>
              <w:t>Sursa:</w:t>
            </w:r>
            <w:r w:rsidRPr="00812814">
              <w:rPr>
                <w:rFonts w:asciiTheme="majorHAnsi" w:eastAsia="Times New Roman" w:hAnsiTheme="majorHAnsi" w:cstheme="majorHAnsi"/>
                <w:b w:val="0"/>
                <w:bCs w:val="0"/>
                <w:i/>
                <w:sz w:val="20"/>
                <w:szCs w:val="20"/>
              </w:rPr>
              <w:t xml:space="preserve"> Date</w:t>
            </w:r>
            <w:r w:rsidR="001D2700">
              <w:rPr>
                <w:rFonts w:asciiTheme="majorHAnsi" w:eastAsia="Times New Roman" w:hAnsiTheme="majorHAnsi" w:cstheme="majorHAnsi"/>
                <w:b w:val="0"/>
                <w:bCs w:val="0"/>
                <w:i/>
                <w:sz w:val="20"/>
                <w:szCs w:val="20"/>
              </w:rPr>
              <w:t xml:space="preserve"> oferite de</w:t>
            </w:r>
            <w:r w:rsidRPr="00812814">
              <w:rPr>
                <w:rFonts w:asciiTheme="majorHAnsi" w:eastAsia="Times New Roman" w:hAnsiTheme="majorHAnsi" w:cstheme="majorHAnsi"/>
                <w:b w:val="0"/>
                <w:bCs w:val="0"/>
                <w:i/>
                <w:sz w:val="20"/>
                <w:szCs w:val="20"/>
              </w:rPr>
              <w:t xml:space="preserve"> IPM.</w:t>
            </w:r>
          </w:p>
        </w:tc>
      </w:tr>
    </w:tbl>
    <w:p w:rsidR="00BE49FB" w:rsidRPr="008376FC" w:rsidRDefault="00BE49FB" w:rsidP="00F61756">
      <w:pPr>
        <w:widowControl w:val="0"/>
        <w:autoSpaceDE w:val="0"/>
        <w:autoSpaceDN w:val="0"/>
        <w:spacing w:before="240" w:after="0" w:line="276" w:lineRule="auto"/>
        <w:ind w:left="45"/>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Pentru ameliorarea situațiilor constatate, IPM urmează să-și consolideze capacitățile de control, pentru responsabilizarea și conformarea agenților economici la prevederile cadrului normativ în domeniu.</w:t>
      </w:r>
    </w:p>
    <w:p w:rsidR="00BE49FB" w:rsidRPr="008376FC" w:rsidRDefault="001D2700" w:rsidP="00F61756">
      <w:pPr>
        <w:pStyle w:val="a3"/>
        <w:widowControl w:val="0"/>
        <w:numPr>
          <w:ilvl w:val="2"/>
          <w:numId w:val="39"/>
        </w:numPr>
        <w:autoSpaceDE w:val="0"/>
        <w:autoSpaceDN w:val="0"/>
        <w:spacing w:before="120" w:line="276" w:lineRule="auto"/>
        <w:ind w:left="0" w:firstLine="0"/>
        <w:jc w:val="both"/>
        <w:rPr>
          <w:rFonts w:asciiTheme="majorHAnsi" w:hAnsiTheme="majorHAnsi" w:cstheme="majorHAnsi"/>
          <w:b/>
          <w:color w:val="0070C0"/>
          <w:lang w:val="en-US"/>
        </w:rPr>
      </w:pPr>
      <w:r>
        <w:rPr>
          <w:rFonts w:asciiTheme="majorHAnsi" w:hAnsiTheme="majorHAnsi" w:cstheme="majorHAnsi"/>
          <w:b/>
          <w:color w:val="0070C0"/>
          <w:lang w:val="en-US"/>
        </w:rPr>
        <w:t>Ca u</w:t>
      </w:r>
      <w:r w:rsidR="00BE49FB" w:rsidRPr="008376FC">
        <w:rPr>
          <w:rFonts w:asciiTheme="majorHAnsi" w:hAnsiTheme="majorHAnsi" w:cstheme="majorHAnsi"/>
          <w:b/>
          <w:color w:val="0070C0"/>
          <w:lang w:val="en-US"/>
        </w:rPr>
        <w:t>rmare a reformei efectuate în anul 201</w:t>
      </w:r>
      <w:r w:rsidR="004076B6">
        <w:rPr>
          <w:rFonts w:asciiTheme="majorHAnsi" w:hAnsiTheme="majorHAnsi" w:cstheme="majorHAnsi"/>
          <w:b/>
          <w:color w:val="0070C0"/>
          <w:lang w:val="en-US"/>
        </w:rPr>
        <w:t>8</w:t>
      </w:r>
      <w:r w:rsidR="00BE49FB" w:rsidRPr="008376FC">
        <w:rPr>
          <w:rFonts w:asciiTheme="majorHAnsi" w:hAnsiTheme="majorHAnsi" w:cstheme="majorHAnsi"/>
          <w:b/>
          <w:color w:val="0070C0"/>
          <w:lang w:val="en-US"/>
        </w:rPr>
        <w:t xml:space="preserve">, </w:t>
      </w:r>
      <w:r w:rsidR="005649C4">
        <w:rPr>
          <w:rFonts w:asciiTheme="majorHAnsi" w:hAnsiTheme="majorHAnsi" w:cstheme="majorHAnsi"/>
          <w:b/>
          <w:color w:val="0070C0"/>
          <w:lang w:val="en-US"/>
        </w:rPr>
        <w:t>în prezent</w:t>
      </w:r>
      <w:r w:rsidR="00BE49FB" w:rsidRPr="008376FC">
        <w:rPr>
          <w:rFonts w:asciiTheme="majorHAnsi" w:hAnsiTheme="majorHAnsi" w:cstheme="majorHAnsi"/>
          <w:b/>
          <w:color w:val="0070C0"/>
          <w:lang w:val="en-US"/>
        </w:rPr>
        <w:t xml:space="preserve"> nici IPM, nici AM nu dispun de informați</w:t>
      </w:r>
      <w:r w:rsidR="00E3331D">
        <w:rPr>
          <w:rFonts w:asciiTheme="majorHAnsi" w:hAnsiTheme="majorHAnsi" w:cstheme="majorHAnsi"/>
          <w:b/>
          <w:color w:val="0070C0"/>
          <w:lang w:val="en-US"/>
        </w:rPr>
        <w:t>i</w:t>
      </w:r>
      <w:r w:rsidR="00BE49FB" w:rsidRPr="008376FC">
        <w:rPr>
          <w:rFonts w:asciiTheme="majorHAnsi" w:hAnsiTheme="majorHAnsi" w:cstheme="majorHAnsi"/>
          <w:b/>
          <w:color w:val="0070C0"/>
          <w:lang w:val="en-US"/>
        </w:rPr>
        <w:t xml:space="preserve"> </w:t>
      </w:r>
      <w:r w:rsidR="005649C4">
        <w:rPr>
          <w:rFonts w:asciiTheme="majorHAnsi" w:hAnsiTheme="majorHAnsi" w:cstheme="majorHAnsi"/>
          <w:b/>
          <w:color w:val="0070C0"/>
          <w:lang w:val="en-US"/>
        </w:rPr>
        <w:t>privind numărul</w:t>
      </w:r>
      <w:r w:rsidR="00BE49FB" w:rsidRPr="008376FC">
        <w:rPr>
          <w:rFonts w:asciiTheme="majorHAnsi" w:hAnsiTheme="majorHAnsi" w:cstheme="majorHAnsi"/>
          <w:b/>
          <w:color w:val="0070C0"/>
          <w:lang w:val="en-US"/>
        </w:rPr>
        <w:t xml:space="preserve"> autorizații</w:t>
      </w:r>
      <w:r w:rsidR="005649C4">
        <w:rPr>
          <w:rFonts w:asciiTheme="majorHAnsi" w:hAnsiTheme="majorHAnsi" w:cstheme="majorHAnsi"/>
          <w:b/>
          <w:color w:val="0070C0"/>
          <w:lang w:val="en-US"/>
        </w:rPr>
        <w:t>lor</w:t>
      </w:r>
      <w:r w:rsidR="00BE49FB" w:rsidRPr="008376FC">
        <w:rPr>
          <w:rFonts w:asciiTheme="majorHAnsi" w:hAnsiTheme="majorHAnsi" w:cstheme="majorHAnsi"/>
          <w:b/>
          <w:color w:val="0070C0"/>
          <w:lang w:val="en-US"/>
        </w:rPr>
        <w:t xml:space="preserve"> de mediu pentru folosință specială a apei sunt valabile/active</w:t>
      </w:r>
      <w:r w:rsidR="005649C4">
        <w:rPr>
          <w:rFonts w:asciiTheme="majorHAnsi" w:hAnsiTheme="majorHAnsi" w:cstheme="majorHAnsi"/>
          <w:b/>
          <w:color w:val="0070C0"/>
          <w:lang w:val="en-US"/>
        </w:rPr>
        <w:t>.</w:t>
      </w:r>
    </w:p>
    <w:p w:rsidR="00BE49FB" w:rsidRPr="008376FC" w:rsidRDefault="00BE49FB" w:rsidP="00F61756">
      <w:pPr>
        <w:widowControl w:val="0"/>
        <w:autoSpaceDE w:val="0"/>
        <w:autoSpaceDN w:val="0"/>
        <w:spacing w:before="120" w:after="0" w:line="276" w:lineRule="auto"/>
        <w:ind w:left="45"/>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Analizele efectuate denotă că</w:t>
      </w:r>
      <w:r w:rsidR="00E3331D">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w:t>
      </w:r>
      <w:r w:rsidR="00E3331D">
        <w:rPr>
          <w:rFonts w:asciiTheme="majorHAnsi" w:eastAsia="Times New Roman" w:hAnsiTheme="majorHAnsi" w:cstheme="majorHAnsi"/>
          <w:b w:val="0"/>
          <w:bCs w:val="0"/>
          <w:sz w:val="24"/>
          <w:szCs w:val="24"/>
        </w:rPr>
        <w:t>în prezent</w:t>
      </w:r>
      <w:r w:rsidRPr="008376FC">
        <w:rPr>
          <w:rFonts w:asciiTheme="majorHAnsi" w:eastAsia="Times New Roman" w:hAnsiTheme="majorHAnsi" w:cstheme="majorHAnsi"/>
          <w:b w:val="0"/>
          <w:bCs w:val="0"/>
          <w:sz w:val="24"/>
          <w:szCs w:val="24"/>
        </w:rPr>
        <w:t xml:space="preserve"> nu există o structură unică, care deține informați</w:t>
      </w:r>
      <w:r w:rsidR="00561450">
        <w:rPr>
          <w:rFonts w:asciiTheme="majorHAnsi" w:eastAsia="Times New Roman" w:hAnsiTheme="majorHAnsi" w:cstheme="majorHAnsi"/>
          <w:b w:val="0"/>
          <w:bCs w:val="0"/>
          <w:sz w:val="24"/>
          <w:szCs w:val="24"/>
        </w:rPr>
        <w:t>idespre</w:t>
      </w:r>
      <w:r w:rsidRPr="008376FC">
        <w:rPr>
          <w:rFonts w:asciiTheme="majorHAnsi" w:eastAsia="Times New Roman" w:hAnsiTheme="majorHAnsi" w:cstheme="majorHAnsi"/>
          <w:b w:val="0"/>
          <w:bCs w:val="0"/>
          <w:sz w:val="24"/>
          <w:szCs w:val="24"/>
        </w:rPr>
        <w:t xml:space="preserve"> câte autorizații de mediu pentru folosirea specială a apei sunt valabile/active. Situația </w:t>
      </w:r>
      <w:r w:rsidR="002F6864">
        <w:rPr>
          <w:rFonts w:asciiTheme="majorHAnsi" w:eastAsia="Times New Roman" w:hAnsiTheme="majorHAnsi" w:cstheme="majorHAnsi"/>
          <w:b w:val="0"/>
          <w:bCs w:val="0"/>
          <w:sz w:val="24"/>
          <w:szCs w:val="24"/>
        </w:rPr>
        <w:t>este determinată de</w:t>
      </w:r>
      <w:r w:rsidRPr="008376FC">
        <w:rPr>
          <w:rFonts w:asciiTheme="majorHAnsi" w:eastAsia="Times New Roman" w:hAnsiTheme="majorHAnsi" w:cstheme="majorHAnsi"/>
          <w:b w:val="0"/>
          <w:bCs w:val="0"/>
          <w:sz w:val="24"/>
          <w:szCs w:val="24"/>
        </w:rPr>
        <w:t xml:space="preserve"> reform</w:t>
      </w:r>
      <w:r w:rsidR="002F6864">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z w:val="24"/>
          <w:szCs w:val="24"/>
        </w:rPr>
        <w:t xml:space="preserve"> efectuat</w:t>
      </w:r>
      <w:r w:rsidR="002F6864">
        <w:rPr>
          <w:rFonts w:asciiTheme="majorHAnsi" w:eastAsia="Times New Roman" w:hAnsiTheme="majorHAnsi" w:cstheme="majorHAnsi"/>
          <w:b w:val="0"/>
          <w:bCs w:val="0"/>
          <w:sz w:val="24"/>
          <w:szCs w:val="24"/>
        </w:rPr>
        <w:t>ă</w:t>
      </w:r>
      <w:r w:rsidRPr="008376FC">
        <w:rPr>
          <w:rFonts w:asciiTheme="majorHAnsi" w:eastAsia="Times New Roman" w:hAnsiTheme="majorHAnsi" w:cstheme="majorHAnsi"/>
          <w:b w:val="0"/>
          <w:bCs w:val="0"/>
          <w:sz w:val="24"/>
          <w:szCs w:val="24"/>
        </w:rPr>
        <w:t xml:space="preserve"> în anul 2019, conform cărei</w:t>
      </w:r>
      <w:r w:rsidR="00561450">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z w:val="24"/>
          <w:szCs w:val="24"/>
        </w:rPr>
        <w:t xml:space="preserve"> au fost separate funcțiile de autorizare și de control exercitate anterior de IES, funcțiile de autorizare fiind delegate AM, iar funcțiile de control – IPM. În consecință, </w:t>
      </w:r>
      <w:r w:rsidR="00561450">
        <w:rPr>
          <w:rFonts w:asciiTheme="majorHAnsi" w:eastAsia="Times New Roman" w:hAnsiTheme="majorHAnsi" w:cstheme="majorHAnsi"/>
          <w:b w:val="0"/>
          <w:bCs w:val="0"/>
          <w:sz w:val="24"/>
          <w:szCs w:val="24"/>
        </w:rPr>
        <w:t>î</w:t>
      </w:r>
      <w:r w:rsidRPr="008376FC">
        <w:rPr>
          <w:rFonts w:asciiTheme="majorHAnsi" w:eastAsia="Times New Roman" w:hAnsiTheme="majorHAnsi" w:cstheme="majorHAnsi"/>
          <w:b w:val="0"/>
          <w:bCs w:val="0"/>
          <w:sz w:val="24"/>
          <w:szCs w:val="24"/>
        </w:rPr>
        <w:t>n SIA GEAP, care este utilizat de AM din anul 2019, sunt incluse doar autorizațiile eliberate de AM, adică din anul 2019, celelalte autorizații, care sunt eliberate de I</w:t>
      </w:r>
      <w:r w:rsidR="009F0EF0">
        <w:rPr>
          <w:rFonts w:asciiTheme="majorHAnsi" w:eastAsia="Times New Roman" w:hAnsiTheme="majorHAnsi" w:cstheme="majorHAnsi"/>
          <w:b w:val="0"/>
          <w:bCs w:val="0"/>
          <w:sz w:val="24"/>
          <w:szCs w:val="24"/>
        </w:rPr>
        <w:t xml:space="preserve">nspectoratul </w:t>
      </w:r>
      <w:r w:rsidRPr="008376FC">
        <w:rPr>
          <w:rFonts w:asciiTheme="majorHAnsi" w:eastAsia="Times New Roman" w:hAnsiTheme="majorHAnsi" w:cstheme="majorHAnsi"/>
          <w:b w:val="0"/>
          <w:bCs w:val="0"/>
          <w:sz w:val="24"/>
          <w:szCs w:val="24"/>
        </w:rPr>
        <w:t>E</w:t>
      </w:r>
      <w:r w:rsidR="009F0EF0">
        <w:rPr>
          <w:rFonts w:asciiTheme="majorHAnsi" w:eastAsia="Times New Roman" w:hAnsiTheme="majorHAnsi" w:cstheme="majorHAnsi"/>
          <w:b w:val="0"/>
          <w:bCs w:val="0"/>
          <w:sz w:val="24"/>
          <w:szCs w:val="24"/>
        </w:rPr>
        <w:t xml:space="preserve">cologic de </w:t>
      </w:r>
      <w:r w:rsidRPr="008376FC">
        <w:rPr>
          <w:rFonts w:asciiTheme="majorHAnsi" w:eastAsia="Times New Roman" w:hAnsiTheme="majorHAnsi" w:cstheme="majorHAnsi"/>
          <w:b w:val="0"/>
          <w:bCs w:val="0"/>
          <w:sz w:val="24"/>
          <w:szCs w:val="24"/>
        </w:rPr>
        <w:t>S</w:t>
      </w:r>
      <w:r w:rsidR="009F0EF0">
        <w:rPr>
          <w:rFonts w:asciiTheme="majorHAnsi" w:eastAsia="Times New Roman" w:hAnsiTheme="majorHAnsi" w:cstheme="majorHAnsi"/>
          <w:b w:val="0"/>
          <w:bCs w:val="0"/>
          <w:sz w:val="24"/>
          <w:szCs w:val="24"/>
        </w:rPr>
        <w:t>tat</w:t>
      </w:r>
      <w:r w:rsidRPr="008376FC">
        <w:rPr>
          <w:rFonts w:asciiTheme="majorHAnsi" w:eastAsia="Times New Roman" w:hAnsiTheme="majorHAnsi" w:cstheme="majorHAnsi"/>
          <w:b w:val="0"/>
          <w:bCs w:val="0"/>
          <w:sz w:val="24"/>
          <w:szCs w:val="24"/>
        </w:rPr>
        <w:t xml:space="preserve">, până la divizarea responsabilităților și care erau valabile la data separării responsabilităților, până în prezent nu au fost integrate în SIA GEAP. Deficiența respectivă a fost identificată și în cadrul auditului conformității eliberării actelor permisive în domeniul mediului (HCC nr.28/2022). Astfel, conform datelor prezentate de AM, în anul </w:t>
      </w:r>
      <w:r w:rsidR="009F0EF0">
        <w:rPr>
          <w:rFonts w:asciiTheme="majorHAnsi" w:eastAsia="Times New Roman" w:hAnsiTheme="majorHAnsi" w:cstheme="majorHAnsi"/>
          <w:b w:val="0"/>
          <w:bCs w:val="0"/>
          <w:sz w:val="24"/>
          <w:szCs w:val="24"/>
        </w:rPr>
        <w:t xml:space="preserve">2019 au fost emise </w:t>
      </w:r>
      <w:r w:rsidRPr="008376FC">
        <w:rPr>
          <w:rFonts w:asciiTheme="majorHAnsi" w:eastAsia="Times New Roman" w:hAnsiTheme="majorHAnsi" w:cstheme="majorHAnsi"/>
          <w:b w:val="0"/>
          <w:bCs w:val="0"/>
          <w:sz w:val="24"/>
          <w:szCs w:val="24"/>
        </w:rPr>
        <w:t xml:space="preserve">4 autorizații, în 2020 </w:t>
      </w:r>
      <w:r w:rsidR="002F6864">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9</w:t>
      </w:r>
      <w:r w:rsidR="002F6864">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și în 2021</w:t>
      </w:r>
      <w:r w:rsidR="002F6864">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sz w:val="24"/>
          <w:szCs w:val="24"/>
        </w:rPr>
        <w:t xml:space="preserve"> 19. </w:t>
      </w:r>
    </w:p>
    <w:p w:rsidR="00BE49FB" w:rsidRPr="008376FC" w:rsidRDefault="00777DAC" w:rsidP="00F61756">
      <w:pPr>
        <w:widowControl w:val="0"/>
        <w:autoSpaceDE w:val="0"/>
        <w:autoSpaceDN w:val="0"/>
        <w:spacing w:before="120" w:after="0" w:line="276" w:lineRule="auto"/>
        <w:ind w:left="45"/>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T</w:t>
      </w:r>
      <w:r w:rsidR="00BE49FB" w:rsidRPr="008376FC">
        <w:rPr>
          <w:rFonts w:asciiTheme="majorHAnsi" w:eastAsia="Times New Roman" w:hAnsiTheme="majorHAnsi" w:cstheme="majorHAnsi"/>
          <w:b w:val="0"/>
          <w:bCs w:val="0"/>
          <w:sz w:val="24"/>
          <w:szCs w:val="24"/>
        </w:rPr>
        <w:t>otodată, referitor la informați</w:t>
      </w:r>
      <w:r w:rsidR="002F6864">
        <w:rPr>
          <w:rFonts w:asciiTheme="majorHAnsi" w:eastAsia="Times New Roman" w:hAnsiTheme="majorHAnsi" w:cstheme="majorHAnsi"/>
          <w:b w:val="0"/>
          <w:bCs w:val="0"/>
          <w:sz w:val="24"/>
          <w:szCs w:val="24"/>
        </w:rPr>
        <w:t>ile</w:t>
      </w:r>
      <w:r w:rsidR="00BE49FB" w:rsidRPr="008376FC">
        <w:rPr>
          <w:rFonts w:asciiTheme="majorHAnsi" w:eastAsia="Times New Roman" w:hAnsiTheme="majorHAnsi" w:cstheme="majorHAnsi"/>
          <w:b w:val="0"/>
          <w:bCs w:val="0"/>
          <w:sz w:val="24"/>
          <w:szCs w:val="24"/>
        </w:rPr>
        <w:t xml:space="preserve"> privind numărul agenților economici care sunt obligați să dețină autorizația de mediu pentru folosința specială a apei, conform explicațiilor AM, acest</w:t>
      </w:r>
      <w:r w:rsidR="002F6864">
        <w:rPr>
          <w:rFonts w:asciiTheme="majorHAnsi" w:eastAsia="Times New Roman" w:hAnsiTheme="majorHAnsi" w:cstheme="majorHAnsi"/>
          <w:b w:val="0"/>
          <w:bCs w:val="0"/>
          <w:sz w:val="24"/>
          <w:szCs w:val="24"/>
        </w:rPr>
        <w:t>e</w:t>
      </w:r>
      <w:r w:rsidR="00BE49FB" w:rsidRPr="008376FC">
        <w:rPr>
          <w:rFonts w:asciiTheme="majorHAnsi" w:eastAsia="Times New Roman" w:hAnsiTheme="majorHAnsi" w:cstheme="majorHAnsi"/>
          <w:b w:val="0"/>
          <w:bCs w:val="0"/>
          <w:sz w:val="24"/>
          <w:szCs w:val="24"/>
        </w:rPr>
        <w:t xml:space="preserve">a </w:t>
      </w:r>
      <w:r w:rsidR="002F6864">
        <w:rPr>
          <w:rFonts w:asciiTheme="majorHAnsi" w:eastAsia="Times New Roman" w:hAnsiTheme="majorHAnsi" w:cstheme="majorHAnsi"/>
          <w:b w:val="0"/>
          <w:bCs w:val="0"/>
          <w:sz w:val="24"/>
          <w:szCs w:val="24"/>
        </w:rPr>
        <w:t>sunt</w:t>
      </w:r>
      <w:r w:rsidR="00BE49FB" w:rsidRPr="008376FC">
        <w:rPr>
          <w:rFonts w:asciiTheme="majorHAnsi" w:eastAsia="Times New Roman" w:hAnsiTheme="majorHAnsi" w:cstheme="majorHAnsi"/>
          <w:b w:val="0"/>
          <w:bCs w:val="0"/>
          <w:sz w:val="24"/>
          <w:szCs w:val="24"/>
        </w:rPr>
        <w:t xml:space="preserve"> deținut</w:t>
      </w:r>
      <w:r w:rsidR="002F6864">
        <w:rPr>
          <w:rFonts w:asciiTheme="majorHAnsi" w:eastAsia="Times New Roman" w:hAnsiTheme="majorHAnsi" w:cstheme="majorHAnsi"/>
          <w:b w:val="0"/>
          <w:bCs w:val="0"/>
          <w:sz w:val="24"/>
          <w:szCs w:val="24"/>
        </w:rPr>
        <w:t>e</w:t>
      </w:r>
      <w:r w:rsidR="00BE49FB" w:rsidRPr="008376FC">
        <w:rPr>
          <w:rFonts w:asciiTheme="majorHAnsi" w:eastAsia="Times New Roman" w:hAnsiTheme="majorHAnsi" w:cstheme="majorHAnsi"/>
          <w:b w:val="0"/>
          <w:bCs w:val="0"/>
          <w:sz w:val="24"/>
          <w:szCs w:val="24"/>
        </w:rPr>
        <w:t xml:space="preserve"> de Ministerul Mediului, care ține evidența surselor de alimentare cu apă din localități. Astfel</w:t>
      </w:r>
      <w:r w:rsidR="002F6864">
        <w:rPr>
          <w:rFonts w:asciiTheme="majorHAnsi" w:eastAsia="Times New Roman" w:hAnsiTheme="majorHAnsi" w:cstheme="majorHAnsi"/>
          <w:b w:val="0"/>
          <w:bCs w:val="0"/>
          <w:sz w:val="24"/>
          <w:szCs w:val="24"/>
        </w:rPr>
        <w:t>,</w:t>
      </w:r>
      <w:r w:rsidR="00BE49FB" w:rsidRPr="008376FC">
        <w:rPr>
          <w:rFonts w:asciiTheme="majorHAnsi" w:eastAsia="Times New Roman" w:hAnsiTheme="majorHAnsi" w:cstheme="majorHAnsi"/>
          <w:b w:val="0"/>
          <w:bCs w:val="0"/>
          <w:sz w:val="24"/>
          <w:szCs w:val="24"/>
        </w:rPr>
        <w:t xml:space="preserve"> AM nu deține informați</w:t>
      </w:r>
      <w:r w:rsidR="002F6864">
        <w:rPr>
          <w:rFonts w:asciiTheme="majorHAnsi" w:eastAsia="Times New Roman" w:hAnsiTheme="majorHAnsi" w:cstheme="majorHAnsi"/>
          <w:b w:val="0"/>
          <w:bCs w:val="0"/>
          <w:sz w:val="24"/>
          <w:szCs w:val="24"/>
        </w:rPr>
        <w:t>i</w:t>
      </w:r>
      <w:r w:rsidR="00BE49FB" w:rsidRPr="008376FC">
        <w:rPr>
          <w:rFonts w:asciiTheme="majorHAnsi" w:eastAsia="Times New Roman" w:hAnsiTheme="majorHAnsi" w:cstheme="majorHAnsi"/>
          <w:b w:val="0"/>
          <w:bCs w:val="0"/>
          <w:sz w:val="24"/>
          <w:szCs w:val="24"/>
        </w:rPr>
        <w:t xml:space="preserve"> privind numărul de autorizații de mediu pentru folosirea specială a apei, </w:t>
      </w:r>
      <w:r w:rsidR="002F6864">
        <w:rPr>
          <w:rFonts w:asciiTheme="majorHAnsi" w:eastAsia="Times New Roman" w:hAnsiTheme="majorHAnsi" w:cstheme="majorHAnsi"/>
          <w:b w:val="0"/>
          <w:bCs w:val="0"/>
          <w:sz w:val="24"/>
          <w:szCs w:val="24"/>
        </w:rPr>
        <w:t>c</w:t>
      </w:r>
      <w:r w:rsidR="00BE49FB" w:rsidRPr="008376FC">
        <w:rPr>
          <w:rFonts w:asciiTheme="majorHAnsi" w:eastAsia="Times New Roman" w:hAnsiTheme="majorHAnsi" w:cstheme="majorHAnsi"/>
          <w:b w:val="0"/>
          <w:bCs w:val="0"/>
          <w:sz w:val="24"/>
          <w:szCs w:val="24"/>
        </w:rPr>
        <w:t xml:space="preserve">âte din ele sunt active, câte au expirat, iar conform datelor din Anuarul IPM </w:t>
      </w:r>
      <w:r w:rsidR="002F6864">
        <w:rPr>
          <w:rFonts w:asciiTheme="majorHAnsi" w:eastAsia="Times New Roman" w:hAnsiTheme="majorHAnsi" w:cstheme="majorHAnsi"/>
          <w:b w:val="0"/>
          <w:bCs w:val="0"/>
          <w:sz w:val="24"/>
          <w:szCs w:val="24"/>
        </w:rPr>
        <w:t>–</w:t>
      </w:r>
      <w:r w:rsidR="00BE49FB" w:rsidRPr="008376FC">
        <w:rPr>
          <w:rFonts w:asciiTheme="majorHAnsi" w:eastAsia="Times New Roman" w:hAnsiTheme="majorHAnsi" w:cstheme="majorHAnsi"/>
          <w:b w:val="0"/>
          <w:bCs w:val="0"/>
          <w:sz w:val="24"/>
          <w:szCs w:val="24"/>
        </w:rPr>
        <w:t xml:space="preserve"> la finele anului 2021 </w:t>
      </w:r>
      <w:r w:rsidR="002F6864">
        <w:rPr>
          <w:rFonts w:asciiTheme="majorHAnsi" w:eastAsia="Times New Roman" w:hAnsiTheme="majorHAnsi" w:cstheme="majorHAnsi"/>
          <w:b w:val="0"/>
          <w:bCs w:val="0"/>
          <w:sz w:val="24"/>
          <w:szCs w:val="24"/>
        </w:rPr>
        <w:t>erau</w:t>
      </w:r>
      <w:r w:rsidR="00BE49FB" w:rsidRPr="008376FC">
        <w:rPr>
          <w:rFonts w:asciiTheme="majorHAnsi" w:eastAsia="Times New Roman" w:hAnsiTheme="majorHAnsi" w:cstheme="majorHAnsi"/>
          <w:b w:val="0"/>
          <w:bCs w:val="0"/>
          <w:sz w:val="24"/>
          <w:szCs w:val="24"/>
        </w:rPr>
        <w:t xml:space="preserve"> active 490 de autorizații pentru utilizarea specială a apei, eliberate pentru  utilizarea  sondelor și 57 de autorizații pentru stațiile de epurare a apelor uzate. Conform informațiilor IPM, la data divizării </w:t>
      </w:r>
      <w:r w:rsidR="009A380B">
        <w:rPr>
          <w:rFonts w:asciiTheme="majorHAnsi" w:eastAsia="Times New Roman" w:hAnsiTheme="majorHAnsi" w:cstheme="majorHAnsi"/>
          <w:b w:val="0"/>
          <w:bCs w:val="0"/>
          <w:sz w:val="24"/>
          <w:szCs w:val="24"/>
        </w:rPr>
        <w:t xml:space="preserve">responsabilităților </w:t>
      </w:r>
      <w:r w:rsidR="00BE49FB" w:rsidRPr="008376FC">
        <w:rPr>
          <w:rFonts w:asciiTheme="majorHAnsi" w:eastAsia="Times New Roman" w:hAnsiTheme="majorHAnsi" w:cstheme="majorHAnsi"/>
          <w:b w:val="0"/>
          <w:bCs w:val="0"/>
          <w:sz w:val="24"/>
          <w:szCs w:val="24"/>
        </w:rPr>
        <w:t xml:space="preserve">(anul 2019), erau active 325 de autorizații, din care la 110 autorizații termenul de valabilitate deja </w:t>
      </w:r>
      <w:r w:rsidR="009A380B">
        <w:rPr>
          <w:rFonts w:asciiTheme="majorHAnsi" w:eastAsia="Times New Roman" w:hAnsiTheme="majorHAnsi" w:cstheme="majorHAnsi"/>
          <w:b w:val="0"/>
          <w:bCs w:val="0"/>
          <w:sz w:val="24"/>
          <w:szCs w:val="24"/>
        </w:rPr>
        <w:t>er</w:t>
      </w:r>
      <w:r w:rsidR="00BE49FB" w:rsidRPr="008376FC">
        <w:rPr>
          <w:rFonts w:asciiTheme="majorHAnsi" w:eastAsia="Times New Roman" w:hAnsiTheme="majorHAnsi" w:cstheme="majorHAnsi"/>
          <w:b w:val="0"/>
          <w:bCs w:val="0"/>
          <w:sz w:val="24"/>
          <w:szCs w:val="24"/>
        </w:rPr>
        <w:t>a expirat. Pentru a integra în SIA GEAP și în RAP informați</w:t>
      </w:r>
      <w:r w:rsidR="009A380B">
        <w:rPr>
          <w:rFonts w:asciiTheme="majorHAnsi" w:eastAsia="Times New Roman" w:hAnsiTheme="majorHAnsi" w:cstheme="majorHAnsi"/>
          <w:b w:val="0"/>
          <w:bCs w:val="0"/>
          <w:sz w:val="24"/>
          <w:szCs w:val="24"/>
        </w:rPr>
        <w:t>ile</w:t>
      </w:r>
      <w:r w:rsidR="00BE49FB" w:rsidRPr="008376FC">
        <w:rPr>
          <w:rFonts w:asciiTheme="majorHAnsi" w:eastAsia="Times New Roman" w:hAnsiTheme="majorHAnsi" w:cstheme="majorHAnsi"/>
          <w:b w:val="0"/>
          <w:bCs w:val="0"/>
          <w:sz w:val="24"/>
          <w:szCs w:val="24"/>
        </w:rPr>
        <w:t xml:space="preserve"> integral</w:t>
      </w:r>
      <w:r w:rsidR="009A380B">
        <w:rPr>
          <w:rFonts w:asciiTheme="majorHAnsi" w:eastAsia="Times New Roman" w:hAnsiTheme="majorHAnsi" w:cstheme="majorHAnsi"/>
          <w:b w:val="0"/>
          <w:bCs w:val="0"/>
          <w:sz w:val="24"/>
          <w:szCs w:val="24"/>
        </w:rPr>
        <w:t>e</w:t>
      </w:r>
      <w:r w:rsidR="00BE49FB" w:rsidRPr="008376FC">
        <w:rPr>
          <w:rFonts w:asciiTheme="majorHAnsi" w:eastAsia="Times New Roman" w:hAnsiTheme="majorHAnsi" w:cstheme="majorHAnsi"/>
          <w:b w:val="0"/>
          <w:bCs w:val="0"/>
          <w:sz w:val="24"/>
          <w:szCs w:val="24"/>
        </w:rPr>
        <w:t xml:space="preserve">, este necesar de efectuat transmiterea Listei autorizațiilor active la data divizării responsabilităților de la IES/IPM la AM, cu </w:t>
      </w:r>
      <w:r w:rsidR="009A380B">
        <w:rPr>
          <w:rFonts w:asciiTheme="majorHAnsi" w:eastAsia="Times New Roman" w:hAnsiTheme="majorHAnsi" w:cstheme="majorHAnsi"/>
          <w:b w:val="0"/>
          <w:bCs w:val="0"/>
          <w:sz w:val="24"/>
          <w:szCs w:val="24"/>
        </w:rPr>
        <w:t>înregistrarea</w:t>
      </w:r>
      <w:r w:rsidR="009A380B" w:rsidRPr="008376FC">
        <w:rPr>
          <w:rFonts w:asciiTheme="majorHAnsi" w:eastAsia="Times New Roman" w:hAnsiTheme="majorHAnsi" w:cstheme="majorHAnsi"/>
          <w:b w:val="0"/>
          <w:bCs w:val="0"/>
          <w:sz w:val="24"/>
          <w:szCs w:val="24"/>
        </w:rPr>
        <w:t xml:space="preserve"> </w:t>
      </w:r>
      <w:r w:rsidR="00BE49FB" w:rsidRPr="008376FC">
        <w:rPr>
          <w:rFonts w:asciiTheme="majorHAnsi" w:eastAsia="Times New Roman" w:hAnsiTheme="majorHAnsi" w:cstheme="majorHAnsi"/>
          <w:b w:val="0"/>
          <w:bCs w:val="0"/>
          <w:sz w:val="24"/>
          <w:szCs w:val="24"/>
        </w:rPr>
        <w:t>informațiilor respective atât în SIA GEAP</w:t>
      </w:r>
      <w:r w:rsidR="009A380B">
        <w:rPr>
          <w:rFonts w:asciiTheme="majorHAnsi" w:eastAsia="Times New Roman" w:hAnsiTheme="majorHAnsi" w:cstheme="majorHAnsi"/>
          <w:b w:val="0"/>
          <w:bCs w:val="0"/>
          <w:sz w:val="24"/>
          <w:szCs w:val="24"/>
        </w:rPr>
        <w:t>,</w:t>
      </w:r>
      <w:r w:rsidR="00BE49FB" w:rsidRPr="008376FC">
        <w:rPr>
          <w:rFonts w:asciiTheme="majorHAnsi" w:eastAsia="Times New Roman" w:hAnsiTheme="majorHAnsi" w:cstheme="majorHAnsi"/>
          <w:b w:val="0"/>
          <w:bCs w:val="0"/>
          <w:sz w:val="24"/>
          <w:szCs w:val="24"/>
        </w:rPr>
        <w:t xml:space="preserve"> cât și în RAP.</w:t>
      </w:r>
    </w:p>
    <w:p w:rsidR="00BE49FB" w:rsidRPr="008376FC" w:rsidRDefault="00BE49FB" w:rsidP="00F61756">
      <w:pPr>
        <w:pStyle w:val="a3"/>
        <w:numPr>
          <w:ilvl w:val="2"/>
          <w:numId w:val="39"/>
        </w:numPr>
        <w:shd w:val="clear" w:color="auto" w:fill="FFFFFF"/>
        <w:spacing w:before="120" w:line="276" w:lineRule="auto"/>
        <w:ind w:left="0" w:firstLine="0"/>
        <w:jc w:val="both"/>
        <w:rPr>
          <w:rFonts w:asciiTheme="majorHAnsi" w:hAnsiTheme="majorHAnsi" w:cstheme="majorHAnsi"/>
          <w:b/>
          <w:color w:val="0070C0"/>
          <w:lang w:val="en-US"/>
        </w:rPr>
      </w:pPr>
      <w:r w:rsidRPr="008376FC">
        <w:rPr>
          <w:rFonts w:asciiTheme="majorHAnsi" w:hAnsiTheme="majorHAnsi" w:cstheme="majorHAnsi"/>
          <w:b/>
          <w:color w:val="0070C0"/>
          <w:lang w:val="en-US"/>
        </w:rPr>
        <w:t>Capacitatea de epurare a apelor uzate prin sisteme</w:t>
      </w:r>
      <w:r w:rsidR="009A380B">
        <w:rPr>
          <w:rFonts w:asciiTheme="majorHAnsi" w:hAnsiTheme="majorHAnsi" w:cstheme="majorHAnsi"/>
          <w:b/>
          <w:color w:val="0070C0"/>
          <w:lang w:val="en-US"/>
        </w:rPr>
        <w:t>le</w:t>
      </w:r>
      <w:r w:rsidRPr="008376FC">
        <w:rPr>
          <w:rFonts w:asciiTheme="majorHAnsi" w:hAnsiTheme="majorHAnsi" w:cstheme="majorHAnsi"/>
          <w:b/>
          <w:color w:val="0070C0"/>
          <w:lang w:val="en-US"/>
        </w:rPr>
        <w:t xml:space="preserve"> de epurare este </w:t>
      </w:r>
      <w:r w:rsidR="00ED3A0F">
        <w:rPr>
          <w:rFonts w:asciiTheme="majorHAnsi" w:hAnsiTheme="majorHAnsi" w:cstheme="majorHAnsi"/>
          <w:b/>
          <w:color w:val="0070C0"/>
          <w:lang w:val="en-US"/>
        </w:rPr>
        <w:t xml:space="preserve">de </w:t>
      </w:r>
      <w:r w:rsidRPr="008376FC">
        <w:rPr>
          <w:rFonts w:asciiTheme="majorHAnsi" w:hAnsiTheme="majorHAnsi" w:cstheme="majorHAnsi"/>
          <w:b/>
          <w:color w:val="0070C0"/>
          <w:lang w:val="en-US"/>
        </w:rPr>
        <w:t>sub 30% d</w:t>
      </w:r>
      <w:r w:rsidR="00ED3A0F">
        <w:rPr>
          <w:rFonts w:asciiTheme="majorHAnsi" w:hAnsiTheme="majorHAnsi" w:cstheme="majorHAnsi"/>
          <w:b/>
          <w:color w:val="0070C0"/>
          <w:lang w:val="en-US"/>
        </w:rPr>
        <w:t>in</w:t>
      </w:r>
      <w:r w:rsidRPr="008376FC">
        <w:rPr>
          <w:rFonts w:asciiTheme="majorHAnsi" w:hAnsiTheme="majorHAnsi" w:cstheme="majorHAnsi"/>
          <w:b/>
          <w:color w:val="0070C0"/>
          <w:lang w:val="en-US"/>
        </w:rPr>
        <w:t xml:space="preserve"> nivelul proiectat</w:t>
      </w:r>
      <w:r w:rsidR="009A380B">
        <w:rPr>
          <w:rFonts w:asciiTheme="majorHAnsi" w:hAnsiTheme="majorHAnsi" w:cstheme="majorHAnsi"/>
          <w:b/>
          <w:color w:val="0070C0"/>
          <w:lang w:val="en-US"/>
        </w:rPr>
        <w:t>.</w:t>
      </w:r>
    </w:p>
    <w:p w:rsidR="00BE49FB" w:rsidRPr="008376FC" w:rsidRDefault="00BE49FB" w:rsidP="00F61756">
      <w:pPr>
        <w:spacing w:before="120" w:after="0" w:line="276" w:lineRule="auto"/>
        <w:ind w:right="-2"/>
        <w:jc w:val="both"/>
        <w:rPr>
          <w:rFonts w:asciiTheme="majorHAnsi" w:eastAsia="Calibri" w:hAnsiTheme="majorHAnsi" w:cstheme="majorHAnsi"/>
          <w:b w:val="0"/>
          <w:bCs w:val="0"/>
          <w:sz w:val="24"/>
          <w:szCs w:val="24"/>
        </w:rPr>
      </w:pPr>
      <w:r w:rsidRPr="008376FC">
        <w:rPr>
          <w:rFonts w:asciiTheme="majorHAnsi" w:eastAsia="Calibri" w:hAnsiTheme="majorHAnsi" w:cstheme="majorHAnsi"/>
          <w:b w:val="0"/>
          <w:bCs w:val="0"/>
          <w:sz w:val="24"/>
          <w:szCs w:val="24"/>
        </w:rPr>
        <w:t xml:space="preserve">Conform prevederilor </w:t>
      </w:r>
      <w:r w:rsidR="009A380B">
        <w:rPr>
          <w:rFonts w:asciiTheme="majorHAnsi" w:eastAsia="Calibri" w:hAnsiTheme="majorHAnsi" w:cstheme="majorHAnsi"/>
          <w:b w:val="0"/>
          <w:bCs w:val="0"/>
          <w:sz w:val="24"/>
          <w:szCs w:val="24"/>
        </w:rPr>
        <w:t xml:space="preserve">din </w:t>
      </w:r>
      <w:r w:rsidRPr="008376FC">
        <w:rPr>
          <w:rFonts w:asciiTheme="majorHAnsi" w:eastAsia="Calibri" w:hAnsiTheme="majorHAnsi" w:cstheme="majorHAnsi"/>
          <w:b w:val="0"/>
          <w:bCs w:val="0"/>
          <w:sz w:val="24"/>
          <w:szCs w:val="24"/>
        </w:rPr>
        <w:t xml:space="preserve">Hotărârea de Guvern nr. 950 din 25.11.2013 </w:t>
      </w:r>
      <w:r w:rsidR="009A380B">
        <w:rPr>
          <w:rFonts w:asciiTheme="majorHAnsi" w:eastAsia="Calibri" w:hAnsiTheme="majorHAnsi" w:cstheme="majorHAnsi"/>
          <w:b w:val="0"/>
          <w:bCs w:val="0"/>
          <w:sz w:val="24"/>
          <w:szCs w:val="24"/>
        </w:rPr>
        <w:t>„P</w:t>
      </w:r>
      <w:r w:rsidRPr="008376FC">
        <w:rPr>
          <w:rFonts w:asciiTheme="majorHAnsi" w:eastAsia="Calibri" w:hAnsiTheme="majorHAnsi" w:cstheme="majorHAnsi"/>
          <w:b w:val="0"/>
          <w:bCs w:val="0"/>
          <w:sz w:val="24"/>
          <w:szCs w:val="24"/>
        </w:rPr>
        <w:t xml:space="preserve">entru aprobarea Regulamentului privind cerințele de colectare, epurare și deversare a apelor uzate în sistemul de canalizare și/sau </w:t>
      </w:r>
      <w:r w:rsidR="009A380B">
        <w:rPr>
          <w:rFonts w:asciiTheme="majorHAnsi" w:eastAsia="Calibri" w:hAnsiTheme="majorHAnsi" w:cstheme="majorHAnsi"/>
          <w:b w:val="0"/>
          <w:bCs w:val="0"/>
          <w:sz w:val="24"/>
          <w:szCs w:val="24"/>
        </w:rPr>
        <w:t xml:space="preserve">în </w:t>
      </w:r>
      <w:r w:rsidRPr="008376FC">
        <w:rPr>
          <w:rFonts w:asciiTheme="majorHAnsi" w:eastAsia="Calibri" w:hAnsiTheme="majorHAnsi" w:cstheme="majorHAnsi"/>
          <w:b w:val="0"/>
          <w:bCs w:val="0"/>
          <w:sz w:val="24"/>
          <w:szCs w:val="24"/>
        </w:rPr>
        <w:t>emisar</w:t>
      </w:r>
      <w:r w:rsidR="009A380B">
        <w:rPr>
          <w:rFonts w:asciiTheme="majorHAnsi" w:eastAsia="Calibri" w:hAnsiTheme="majorHAnsi" w:cstheme="majorHAnsi"/>
          <w:b w:val="0"/>
          <w:bCs w:val="0"/>
          <w:sz w:val="24"/>
          <w:szCs w:val="24"/>
        </w:rPr>
        <w:t>e</w:t>
      </w:r>
      <w:r w:rsidRPr="008376FC">
        <w:rPr>
          <w:rFonts w:asciiTheme="majorHAnsi" w:eastAsia="Calibri" w:hAnsiTheme="majorHAnsi" w:cstheme="majorHAnsi"/>
          <w:b w:val="0"/>
          <w:bCs w:val="0"/>
          <w:sz w:val="24"/>
          <w:szCs w:val="24"/>
        </w:rPr>
        <w:t xml:space="preserve"> pentru localitățile urbane și rurale</w:t>
      </w:r>
      <w:r w:rsidR="009A380B">
        <w:rPr>
          <w:rFonts w:asciiTheme="majorHAnsi" w:eastAsia="Calibri" w:hAnsiTheme="majorHAnsi" w:cstheme="majorHAnsi"/>
          <w:b w:val="0"/>
          <w:bCs w:val="0"/>
          <w:sz w:val="24"/>
          <w:szCs w:val="24"/>
        </w:rPr>
        <w:t>”,</w:t>
      </w:r>
      <w:r w:rsidRPr="008376FC">
        <w:rPr>
          <w:rFonts w:asciiTheme="majorHAnsi" w:eastAsia="Calibri" w:hAnsiTheme="majorHAnsi" w:cstheme="majorHAnsi"/>
          <w:b w:val="0"/>
          <w:bCs w:val="0"/>
          <w:sz w:val="24"/>
          <w:szCs w:val="24"/>
        </w:rPr>
        <w:t xml:space="preserve"> înainte de a fi evacuate în receptori</w:t>
      </w:r>
      <w:r w:rsidR="00ED3A0F">
        <w:rPr>
          <w:rFonts w:asciiTheme="majorHAnsi" w:eastAsia="Calibri" w:hAnsiTheme="majorHAnsi" w:cstheme="majorHAnsi"/>
          <w:b w:val="0"/>
          <w:bCs w:val="0"/>
          <w:sz w:val="24"/>
          <w:szCs w:val="24"/>
        </w:rPr>
        <w:t>i</w:t>
      </w:r>
      <w:r w:rsidRPr="008376FC">
        <w:rPr>
          <w:rFonts w:asciiTheme="majorHAnsi" w:eastAsia="Calibri" w:hAnsiTheme="majorHAnsi" w:cstheme="majorHAnsi"/>
          <w:b w:val="0"/>
          <w:bCs w:val="0"/>
          <w:sz w:val="24"/>
          <w:szCs w:val="24"/>
        </w:rPr>
        <w:t xml:space="preserve"> naturali, apele uzate menajere și </w:t>
      </w:r>
      <w:r w:rsidR="009A380B">
        <w:rPr>
          <w:rFonts w:asciiTheme="majorHAnsi" w:eastAsia="Calibri" w:hAnsiTheme="majorHAnsi" w:cstheme="majorHAnsi"/>
          <w:b w:val="0"/>
          <w:bCs w:val="0"/>
          <w:sz w:val="24"/>
          <w:szCs w:val="24"/>
        </w:rPr>
        <w:t xml:space="preserve">de </w:t>
      </w:r>
      <w:r w:rsidRPr="008376FC">
        <w:rPr>
          <w:rFonts w:asciiTheme="majorHAnsi" w:eastAsia="Calibri" w:hAnsiTheme="majorHAnsi" w:cstheme="majorHAnsi"/>
          <w:b w:val="0"/>
          <w:bCs w:val="0"/>
          <w:sz w:val="24"/>
          <w:szCs w:val="24"/>
        </w:rPr>
        <w:t>canalizare publice urmează a fi supuse unei epurări corespunzătoare.</w:t>
      </w:r>
    </w:p>
    <w:p w:rsidR="00BE49FB" w:rsidRPr="008376FC" w:rsidRDefault="00BE49FB" w:rsidP="00F61756">
      <w:pPr>
        <w:spacing w:before="120" w:after="0" w:line="276" w:lineRule="auto"/>
        <w:ind w:right="-2"/>
        <w:jc w:val="both"/>
        <w:rPr>
          <w:rFonts w:asciiTheme="majorHAnsi" w:eastAsia="Calibri" w:hAnsiTheme="majorHAnsi" w:cstheme="majorHAnsi"/>
          <w:bCs w:val="0"/>
          <w:i/>
          <w:sz w:val="24"/>
          <w:szCs w:val="24"/>
        </w:rPr>
      </w:pPr>
      <w:r w:rsidRPr="008376FC">
        <w:rPr>
          <w:rFonts w:asciiTheme="majorHAnsi" w:eastAsia="Calibri" w:hAnsiTheme="majorHAnsi" w:cstheme="majorHAnsi"/>
          <w:b w:val="0"/>
          <w:bCs w:val="0"/>
          <w:sz w:val="24"/>
          <w:szCs w:val="24"/>
        </w:rPr>
        <w:t>Evacuarea</w:t>
      </w:r>
      <w:r w:rsidRPr="008376FC">
        <w:rPr>
          <w:rFonts w:asciiTheme="majorHAnsi" w:eastAsia="Calibri" w:hAnsiTheme="majorHAnsi" w:cstheme="majorHAnsi"/>
          <w:b w:val="0"/>
          <w:bCs w:val="0"/>
          <w:spacing w:val="36"/>
          <w:sz w:val="24"/>
          <w:szCs w:val="24"/>
        </w:rPr>
        <w:t xml:space="preserve"> </w:t>
      </w:r>
      <w:r w:rsidRPr="008376FC">
        <w:rPr>
          <w:rFonts w:asciiTheme="majorHAnsi" w:eastAsia="Calibri" w:hAnsiTheme="majorHAnsi" w:cstheme="majorHAnsi"/>
          <w:b w:val="0"/>
          <w:bCs w:val="0"/>
          <w:sz w:val="24"/>
          <w:szCs w:val="24"/>
        </w:rPr>
        <w:t>apei</w:t>
      </w:r>
      <w:r w:rsidRPr="008376FC">
        <w:rPr>
          <w:rFonts w:asciiTheme="majorHAnsi" w:eastAsia="Calibri" w:hAnsiTheme="majorHAnsi" w:cstheme="majorHAnsi"/>
          <w:b w:val="0"/>
          <w:bCs w:val="0"/>
          <w:spacing w:val="34"/>
          <w:sz w:val="24"/>
          <w:szCs w:val="24"/>
        </w:rPr>
        <w:t xml:space="preserve"> </w:t>
      </w:r>
      <w:r w:rsidRPr="008376FC">
        <w:rPr>
          <w:rFonts w:asciiTheme="majorHAnsi" w:eastAsia="Calibri" w:hAnsiTheme="majorHAnsi" w:cstheme="majorHAnsi"/>
          <w:b w:val="0"/>
          <w:bCs w:val="0"/>
          <w:sz w:val="24"/>
          <w:szCs w:val="24"/>
        </w:rPr>
        <w:t>uzate</w:t>
      </w:r>
      <w:r w:rsidRPr="008376FC">
        <w:rPr>
          <w:rFonts w:asciiTheme="majorHAnsi" w:eastAsia="Calibri" w:hAnsiTheme="majorHAnsi" w:cstheme="majorHAnsi"/>
          <w:b w:val="0"/>
          <w:bCs w:val="0"/>
          <w:spacing w:val="33"/>
          <w:sz w:val="24"/>
          <w:szCs w:val="24"/>
        </w:rPr>
        <w:t xml:space="preserve"> </w:t>
      </w:r>
      <w:r w:rsidRPr="008376FC">
        <w:rPr>
          <w:rFonts w:asciiTheme="majorHAnsi" w:eastAsia="Calibri" w:hAnsiTheme="majorHAnsi" w:cstheme="majorHAnsi"/>
          <w:b w:val="0"/>
          <w:bCs w:val="0"/>
          <w:sz w:val="24"/>
          <w:szCs w:val="24"/>
        </w:rPr>
        <w:t>în</w:t>
      </w:r>
      <w:r w:rsidRPr="008376FC">
        <w:rPr>
          <w:rFonts w:asciiTheme="majorHAnsi" w:eastAsia="Calibri" w:hAnsiTheme="majorHAnsi" w:cstheme="majorHAnsi"/>
          <w:b w:val="0"/>
          <w:bCs w:val="0"/>
          <w:spacing w:val="36"/>
          <w:sz w:val="24"/>
          <w:szCs w:val="24"/>
        </w:rPr>
        <w:t xml:space="preserve"> </w:t>
      </w:r>
      <w:r w:rsidRPr="008376FC">
        <w:rPr>
          <w:rFonts w:asciiTheme="majorHAnsi" w:eastAsia="Calibri" w:hAnsiTheme="majorHAnsi" w:cstheme="majorHAnsi"/>
          <w:b w:val="0"/>
          <w:bCs w:val="0"/>
          <w:sz w:val="24"/>
          <w:szCs w:val="24"/>
        </w:rPr>
        <w:t>receptorii</w:t>
      </w:r>
      <w:r w:rsidRPr="008376FC">
        <w:rPr>
          <w:rFonts w:asciiTheme="majorHAnsi" w:eastAsia="Calibri" w:hAnsiTheme="majorHAnsi" w:cstheme="majorHAnsi"/>
          <w:b w:val="0"/>
          <w:bCs w:val="0"/>
          <w:spacing w:val="36"/>
          <w:sz w:val="24"/>
          <w:szCs w:val="24"/>
        </w:rPr>
        <w:t xml:space="preserve"> </w:t>
      </w:r>
      <w:r w:rsidRPr="008376FC">
        <w:rPr>
          <w:rFonts w:asciiTheme="majorHAnsi" w:eastAsia="Calibri" w:hAnsiTheme="majorHAnsi" w:cstheme="majorHAnsi"/>
          <w:b w:val="0"/>
          <w:bCs w:val="0"/>
          <w:sz w:val="24"/>
          <w:szCs w:val="24"/>
        </w:rPr>
        <w:t>naturali</w:t>
      </w:r>
      <w:r w:rsidRPr="008376FC">
        <w:rPr>
          <w:rFonts w:asciiTheme="majorHAnsi" w:eastAsia="Calibri" w:hAnsiTheme="majorHAnsi" w:cstheme="majorHAnsi"/>
          <w:b w:val="0"/>
          <w:bCs w:val="0"/>
          <w:spacing w:val="36"/>
          <w:sz w:val="24"/>
          <w:szCs w:val="24"/>
        </w:rPr>
        <w:t xml:space="preserve"> </w:t>
      </w:r>
      <w:r w:rsidRPr="008376FC">
        <w:rPr>
          <w:rFonts w:asciiTheme="majorHAnsi" w:eastAsia="Calibri" w:hAnsiTheme="majorHAnsi" w:cstheme="majorHAnsi"/>
          <w:b w:val="0"/>
          <w:bCs w:val="0"/>
          <w:sz w:val="24"/>
          <w:szCs w:val="24"/>
        </w:rPr>
        <w:t>trebuie</w:t>
      </w:r>
      <w:r w:rsidRPr="008376FC">
        <w:rPr>
          <w:rFonts w:asciiTheme="majorHAnsi" w:eastAsia="Calibri" w:hAnsiTheme="majorHAnsi" w:cstheme="majorHAnsi"/>
          <w:b w:val="0"/>
          <w:bCs w:val="0"/>
          <w:spacing w:val="35"/>
          <w:sz w:val="24"/>
          <w:szCs w:val="24"/>
        </w:rPr>
        <w:t xml:space="preserve"> </w:t>
      </w:r>
      <w:r w:rsidRPr="008376FC">
        <w:rPr>
          <w:rFonts w:asciiTheme="majorHAnsi" w:eastAsia="Calibri" w:hAnsiTheme="majorHAnsi" w:cstheme="majorHAnsi"/>
          <w:b w:val="0"/>
          <w:bCs w:val="0"/>
          <w:sz w:val="24"/>
          <w:szCs w:val="24"/>
        </w:rPr>
        <w:t>să</w:t>
      </w:r>
      <w:r w:rsidRPr="008376FC">
        <w:rPr>
          <w:rFonts w:asciiTheme="majorHAnsi" w:eastAsia="Calibri" w:hAnsiTheme="majorHAnsi" w:cstheme="majorHAnsi"/>
          <w:b w:val="0"/>
          <w:bCs w:val="0"/>
          <w:spacing w:val="35"/>
          <w:sz w:val="24"/>
          <w:szCs w:val="24"/>
        </w:rPr>
        <w:t xml:space="preserve"> </w:t>
      </w:r>
      <w:r w:rsidRPr="008376FC">
        <w:rPr>
          <w:rFonts w:asciiTheme="majorHAnsi" w:eastAsia="Calibri" w:hAnsiTheme="majorHAnsi" w:cstheme="majorHAnsi"/>
          <w:b w:val="0"/>
          <w:bCs w:val="0"/>
          <w:sz w:val="24"/>
          <w:szCs w:val="24"/>
        </w:rPr>
        <w:t>fie</w:t>
      </w:r>
      <w:r w:rsidRPr="008376FC">
        <w:rPr>
          <w:rFonts w:asciiTheme="majorHAnsi" w:eastAsia="Calibri" w:hAnsiTheme="majorHAnsi" w:cstheme="majorHAnsi"/>
          <w:b w:val="0"/>
          <w:bCs w:val="0"/>
          <w:spacing w:val="35"/>
          <w:sz w:val="24"/>
          <w:szCs w:val="24"/>
        </w:rPr>
        <w:t xml:space="preserve"> </w:t>
      </w:r>
      <w:r w:rsidRPr="008376FC">
        <w:rPr>
          <w:rFonts w:asciiTheme="majorHAnsi" w:eastAsia="Calibri" w:hAnsiTheme="majorHAnsi" w:cstheme="majorHAnsi"/>
          <w:b w:val="0"/>
          <w:bCs w:val="0"/>
          <w:sz w:val="24"/>
          <w:szCs w:val="24"/>
        </w:rPr>
        <w:t>efectuată</w:t>
      </w:r>
      <w:r w:rsidRPr="008376FC">
        <w:rPr>
          <w:rFonts w:asciiTheme="majorHAnsi" w:eastAsia="Calibri" w:hAnsiTheme="majorHAnsi" w:cstheme="majorHAnsi"/>
          <w:b w:val="0"/>
          <w:bCs w:val="0"/>
          <w:spacing w:val="35"/>
          <w:sz w:val="24"/>
          <w:szCs w:val="24"/>
        </w:rPr>
        <w:t xml:space="preserve"> </w:t>
      </w:r>
      <w:r w:rsidRPr="008376FC">
        <w:rPr>
          <w:rFonts w:asciiTheme="majorHAnsi" w:eastAsia="Calibri" w:hAnsiTheme="majorHAnsi" w:cstheme="majorHAnsi"/>
          <w:b w:val="0"/>
          <w:bCs w:val="0"/>
          <w:sz w:val="24"/>
          <w:szCs w:val="24"/>
        </w:rPr>
        <w:t>doar</w:t>
      </w:r>
      <w:r w:rsidRPr="008376FC">
        <w:rPr>
          <w:rFonts w:asciiTheme="majorHAnsi" w:eastAsia="Calibri" w:hAnsiTheme="majorHAnsi" w:cstheme="majorHAnsi"/>
          <w:b w:val="0"/>
          <w:bCs w:val="0"/>
          <w:spacing w:val="35"/>
          <w:sz w:val="24"/>
          <w:szCs w:val="24"/>
        </w:rPr>
        <w:t xml:space="preserve"> </w:t>
      </w:r>
      <w:r w:rsidRPr="008376FC">
        <w:rPr>
          <w:rFonts w:asciiTheme="majorHAnsi" w:eastAsia="Calibri" w:hAnsiTheme="majorHAnsi" w:cstheme="majorHAnsi"/>
          <w:b w:val="0"/>
          <w:bCs w:val="0"/>
          <w:sz w:val="24"/>
          <w:szCs w:val="24"/>
        </w:rPr>
        <w:t>după asigurarea</w:t>
      </w:r>
      <w:r w:rsidRPr="008376FC">
        <w:rPr>
          <w:rFonts w:asciiTheme="majorHAnsi" w:eastAsia="Calibri" w:hAnsiTheme="majorHAnsi" w:cstheme="majorHAnsi"/>
          <w:b w:val="0"/>
          <w:bCs w:val="0"/>
          <w:spacing w:val="-3"/>
          <w:sz w:val="24"/>
          <w:szCs w:val="24"/>
        </w:rPr>
        <w:t xml:space="preserve"> </w:t>
      </w:r>
      <w:r w:rsidRPr="008376FC">
        <w:rPr>
          <w:rFonts w:asciiTheme="majorHAnsi" w:eastAsia="Calibri" w:hAnsiTheme="majorHAnsi" w:cstheme="majorHAnsi"/>
          <w:b w:val="0"/>
          <w:bCs w:val="0"/>
          <w:sz w:val="24"/>
          <w:szCs w:val="24"/>
        </w:rPr>
        <w:t>epurării</w:t>
      </w:r>
      <w:r w:rsidRPr="008376FC">
        <w:rPr>
          <w:rFonts w:asciiTheme="majorHAnsi" w:eastAsia="Calibri" w:hAnsiTheme="majorHAnsi" w:cstheme="majorHAnsi"/>
          <w:b w:val="0"/>
          <w:bCs w:val="0"/>
          <w:spacing w:val="-4"/>
          <w:sz w:val="24"/>
          <w:szCs w:val="24"/>
        </w:rPr>
        <w:t xml:space="preserve"> </w:t>
      </w:r>
      <w:r w:rsidRPr="008376FC">
        <w:rPr>
          <w:rFonts w:asciiTheme="majorHAnsi" w:eastAsia="Calibri" w:hAnsiTheme="majorHAnsi" w:cstheme="majorHAnsi"/>
          <w:b w:val="0"/>
          <w:bCs w:val="0"/>
          <w:sz w:val="24"/>
          <w:szCs w:val="24"/>
        </w:rPr>
        <w:t>necesare.</w:t>
      </w:r>
      <w:r w:rsidRPr="008376FC">
        <w:rPr>
          <w:rFonts w:asciiTheme="majorHAnsi" w:eastAsia="Calibri" w:hAnsiTheme="majorHAnsi" w:cstheme="majorHAnsi"/>
          <w:b w:val="0"/>
          <w:bCs w:val="0"/>
          <w:spacing w:val="-4"/>
          <w:sz w:val="24"/>
          <w:szCs w:val="24"/>
        </w:rPr>
        <w:t xml:space="preserve"> </w:t>
      </w:r>
      <w:r w:rsidRPr="008376FC">
        <w:rPr>
          <w:rFonts w:asciiTheme="majorHAnsi" w:eastAsia="Calibri" w:hAnsiTheme="majorHAnsi" w:cstheme="majorHAnsi"/>
          <w:b w:val="0"/>
          <w:bCs w:val="0"/>
          <w:sz w:val="24"/>
          <w:szCs w:val="24"/>
        </w:rPr>
        <w:t>Situația</w:t>
      </w:r>
      <w:r w:rsidRPr="008376FC">
        <w:rPr>
          <w:rFonts w:asciiTheme="majorHAnsi" w:eastAsia="Calibri" w:hAnsiTheme="majorHAnsi" w:cstheme="majorHAnsi"/>
          <w:b w:val="0"/>
          <w:bCs w:val="0"/>
          <w:spacing w:val="-5"/>
          <w:sz w:val="24"/>
          <w:szCs w:val="24"/>
        </w:rPr>
        <w:t xml:space="preserve"> </w:t>
      </w:r>
      <w:r w:rsidRPr="008376FC">
        <w:rPr>
          <w:rFonts w:asciiTheme="majorHAnsi" w:eastAsia="Calibri" w:hAnsiTheme="majorHAnsi" w:cstheme="majorHAnsi"/>
          <w:b w:val="0"/>
          <w:bCs w:val="0"/>
          <w:sz w:val="24"/>
          <w:szCs w:val="24"/>
        </w:rPr>
        <w:t>din</w:t>
      </w:r>
      <w:r w:rsidRPr="008376FC">
        <w:rPr>
          <w:rFonts w:asciiTheme="majorHAnsi" w:eastAsia="Calibri" w:hAnsiTheme="majorHAnsi" w:cstheme="majorHAnsi"/>
          <w:b w:val="0"/>
          <w:bCs w:val="0"/>
          <w:spacing w:val="-4"/>
          <w:sz w:val="24"/>
          <w:szCs w:val="24"/>
        </w:rPr>
        <w:t xml:space="preserve"> </w:t>
      </w:r>
      <w:r w:rsidRPr="008376FC">
        <w:rPr>
          <w:rFonts w:asciiTheme="majorHAnsi" w:eastAsia="Calibri" w:hAnsiTheme="majorHAnsi" w:cstheme="majorHAnsi"/>
          <w:b w:val="0"/>
          <w:bCs w:val="0"/>
          <w:sz w:val="24"/>
          <w:szCs w:val="24"/>
        </w:rPr>
        <w:t>țară</w:t>
      </w:r>
      <w:r w:rsidRPr="008376FC">
        <w:rPr>
          <w:rFonts w:asciiTheme="majorHAnsi" w:eastAsia="Calibri" w:hAnsiTheme="majorHAnsi" w:cstheme="majorHAnsi"/>
          <w:b w:val="0"/>
          <w:bCs w:val="0"/>
          <w:spacing w:val="-3"/>
          <w:sz w:val="24"/>
          <w:szCs w:val="24"/>
        </w:rPr>
        <w:t xml:space="preserve"> </w:t>
      </w:r>
      <w:r w:rsidRPr="008376FC">
        <w:rPr>
          <w:rFonts w:asciiTheme="majorHAnsi" w:eastAsia="Calibri" w:hAnsiTheme="majorHAnsi" w:cstheme="majorHAnsi"/>
          <w:b w:val="0"/>
          <w:bCs w:val="0"/>
          <w:sz w:val="24"/>
          <w:szCs w:val="24"/>
        </w:rPr>
        <w:t>la</w:t>
      </w:r>
      <w:r w:rsidRPr="008376FC">
        <w:rPr>
          <w:rFonts w:asciiTheme="majorHAnsi" w:eastAsia="Calibri" w:hAnsiTheme="majorHAnsi" w:cstheme="majorHAnsi"/>
          <w:b w:val="0"/>
          <w:bCs w:val="0"/>
          <w:spacing w:val="-4"/>
          <w:sz w:val="24"/>
          <w:szCs w:val="24"/>
        </w:rPr>
        <w:t xml:space="preserve"> </w:t>
      </w:r>
      <w:r w:rsidRPr="008376FC">
        <w:rPr>
          <w:rFonts w:asciiTheme="majorHAnsi" w:eastAsia="Calibri" w:hAnsiTheme="majorHAnsi" w:cstheme="majorHAnsi"/>
          <w:b w:val="0"/>
          <w:bCs w:val="0"/>
          <w:sz w:val="24"/>
          <w:szCs w:val="24"/>
        </w:rPr>
        <w:t>acest</w:t>
      </w:r>
      <w:r w:rsidRPr="008376FC">
        <w:rPr>
          <w:rFonts w:asciiTheme="majorHAnsi" w:eastAsia="Calibri" w:hAnsiTheme="majorHAnsi" w:cstheme="majorHAnsi"/>
          <w:b w:val="0"/>
          <w:bCs w:val="0"/>
          <w:spacing w:val="-3"/>
          <w:sz w:val="24"/>
          <w:szCs w:val="24"/>
        </w:rPr>
        <w:t xml:space="preserve"> </w:t>
      </w:r>
      <w:r w:rsidRPr="008376FC">
        <w:rPr>
          <w:rFonts w:asciiTheme="majorHAnsi" w:eastAsia="Calibri" w:hAnsiTheme="majorHAnsi" w:cstheme="majorHAnsi"/>
          <w:b w:val="0"/>
          <w:bCs w:val="0"/>
          <w:sz w:val="24"/>
          <w:szCs w:val="24"/>
        </w:rPr>
        <w:t>capitol</w:t>
      </w:r>
      <w:r w:rsidRPr="008376FC">
        <w:rPr>
          <w:rFonts w:asciiTheme="majorHAnsi" w:eastAsia="Calibri" w:hAnsiTheme="majorHAnsi" w:cstheme="majorHAnsi"/>
          <w:b w:val="0"/>
          <w:bCs w:val="0"/>
          <w:spacing w:val="-5"/>
          <w:sz w:val="24"/>
          <w:szCs w:val="24"/>
        </w:rPr>
        <w:t xml:space="preserve"> </w:t>
      </w:r>
      <w:r w:rsidRPr="008376FC">
        <w:rPr>
          <w:rFonts w:asciiTheme="majorHAnsi" w:eastAsia="Calibri" w:hAnsiTheme="majorHAnsi" w:cstheme="majorHAnsi"/>
          <w:b w:val="0"/>
          <w:bCs w:val="0"/>
          <w:sz w:val="24"/>
          <w:szCs w:val="24"/>
        </w:rPr>
        <w:t>denotă</w:t>
      </w:r>
      <w:r w:rsidRPr="008376FC">
        <w:rPr>
          <w:rFonts w:asciiTheme="majorHAnsi" w:eastAsia="Calibri" w:hAnsiTheme="majorHAnsi" w:cstheme="majorHAnsi"/>
          <w:b w:val="0"/>
          <w:bCs w:val="0"/>
          <w:spacing w:val="-4"/>
          <w:sz w:val="24"/>
          <w:szCs w:val="24"/>
        </w:rPr>
        <w:t xml:space="preserve"> </w:t>
      </w:r>
      <w:r w:rsidRPr="008376FC">
        <w:rPr>
          <w:rFonts w:asciiTheme="majorHAnsi" w:eastAsia="Calibri" w:hAnsiTheme="majorHAnsi" w:cstheme="majorHAnsi"/>
          <w:b w:val="0"/>
          <w:bCs w:val="0"/>
          <w:sz w:val="24"/>
          <w:szCs w:val="24"/>
        </w:rPr>
        <w:t>lipsa</w:t>
      </w:r>
      <w:r w:rsidRPr="008376FC">
        <w:rPr>
          <w:rFonts w:asciiTheme="majorHAnsi" w:eastAsia="Calibri" w:hAnsiTheme="majorHAnsi" w:cstheme="majorHAnsi"/>
          <w:b w:val="0"/>
          <w:bCs w:val="0"/>
          <w:spacing w:val="-4"/>
          <w:sz w:val="24"/>
          <w:szCs w:val="24"/>
        </w:rPr>
        <w:t xml:space="preserve"> </w:t>
      </w:r>
      <w:r w:rsidRPr="008376FC">
        <w:rPr>
          <w:rFonts w:asciiTheme="majorHAnsi" w:eastAsia="Calibri" w:hAnsiTheme="majorHAnsi" w:cstheme="majorHAnsi"/>
          <w:b w:val="0"/>
          <w:bCs w:val="0"/>
          <w:sz w:val="24"/>
          <w:szCs w:val="24"/>
        </w:rPr>
        <w:t>asigurării</w:t>
      </w:r>
      <w:r w:rsidRPr="008376FC">
        <w:rPr>
          <w:rFonts w:asciiTheme="majorHAnsi" w:eastAsia="Calibri" w:hAnsiTheme="majorHAnsi" w:cstheme="majorHAnsi"/>
          <w:b w:val="0"/>
          <w:bCs w:val="0"/>
          <w:spacing w:val="-2"/>
          <w:sz w:val="24"/>
          <w:szCs w:val="24"/>
        </w:rPr>
        <w:t xml:space="preserve"> </w:t>
      </w:r>
      <w:r w:rsidRPr="008376FC">
        <w:rPr>
          <w:rFonts w:asciiTheme="majorHAnsi" w:eastAsia="Calibri" w:hAnsiTheme="majorHAnsi" w:cstheme="majorHAnsi"/>
          <w:b w:val="0"/>
          <w:bCs w:val="0"/>
          <w:sz w:val="24"/>
          <w:szCs w:val="24"/>
        </w:rPr>
        <w:t>cu sisteme</w:t>
      </w:r>
      <w:r w:rsidRPr="008376FC">
        <w:rPr>
          <w:rFonts w:asciiTheme="majorHAnsi" w:eastAsia="Calibri" w:hAnsiTheme="majorHAnsi" w:cstheme="majorHAnsi"/>
          <w:b w:val="0"/>
          <w:bCs w:val="0"/>
          <w:spacing w:val="-1"/>
          <w:sz w:val="24"/>
          <w:szCs w:val="24"/>
        </w:rPr>
        <w:t xml:space="preserve"> </w:t>
      </w:r>
      <w:r w:rsidRPr="008376FC">
        <w:rPr>
          <w:rFonts w:asciiTheme="majorHAnsi" w:eastAsia="Calibri" w:hAnsiTheme="majorHAnsi" w:cstheme="majorHAnsi"/>
          <w:b w:val="0"/>
          <w:bCs w:val="0"/>
          <w:sz w:val="24"/>
          <w:szCs w:val="24"/>
        </w:rPr>
        <w:t>de canalizare și, respectiv,</w:t>
      </w:r>
      <w:r w:rsidRPr="008376FC">
        <w:rPr>
          <w:rFonts w:asciiTheme="majorHAnsi" w:eastAsia="Calibri" w:hAnsiTheme="majorHAnsi" w:cstheme="majorHAnsi"/>
          <w:b w:val="0"/>
          <w:bCs w:val="0"/>
          <w:spacing w:val="-1"/>
          <w:sz w:val="24"/>
          <w:szCs w:val="24"/>
        </w:rPr>
        <w:t xml:space="preserve"> </w:t>
      </w:r>
      <w:r w:rsidRPr="008376FC">
        <w:rPr>
          <w:rFonts w:asciiTheme="majorHAnsi" w:eastAsia="Calibri" w:hAnsiTheme="majorHAnsi" w:cstheme="majorHAnsi"/>
          <w:b w:val="0"/>
          <w:bCs w:val="0"/>
          <w:sz w:val="24"/>
          <w:szCs w:val="24"/>
        </w:rPr>
        <w:t>a epurării apelor</w:t>
      </w:r>
      <w:r w:rsidRPr="008376FC">
        <w:rPr>
          <w:rFonts w:asciiTheme="majorHAnsi" w:eastAsia="Calibri" w:hAnsiTheme="majorHAnsi" w:cstheme="majorHAnsi"/>
          <w:b w:val="0"/>
          <w:bCs w:val="0"/>
          <w:spacing w:val="-1"/>
          <w:sz w:val="24"/>
          <w:szCs w:val="24"/>
        </w:rPr>
        <w:t xml:space="preserve"> </w:t>
      </w:r>
      <w:r w:rsidRPr="008376FC">
        <w:rPr>
          <w:rFonts w:asciiTheme="majorHAnsi" w:eastAsia="Calibri" w:hAnsiTheme="majorHAnsi" w:cstheme="majorHAnsi"/>
          <w:b w:val="0"/>
          <w:bCs w:val="0"/>
          <w:sz w:val="24"/>
          <w:szCs w:val="24"/>
        </w:rPr>
        <w:t>uzate, ceea</w:t>
      </w:r>
      <w:r w:rsidRPr="008376FC">
        <w:rPr>
          <w:rFonts w:asciiTheme="majorHAnsi" w:eastAsia="Calibri" w:hAnsiTheme="majorHAnsi" w:cstheme="majorHAnsi"/>
          <w:b w:val="0"/>
          <w:bCs w:val="0"/>
          <w:spacing w:val="-2"/>
          <w:sz w:val="24"/>
          <w:szCs w:val="24"/>
        </w:rPr>
        <w:t xml:space="preserve"> </w:t>
      </w:r>
      <w:r w:rsidRPr="008376FC">
        <w:rPr>
          <w:rFonts w:asciiTheme="majorHAnsi" w:eastAsia="Calibri" w:hAnsiTheme="majorHAnsi" w:cstheme="majorHAnsi"/>
          <w:b w:val="0"/>
          <w:bCs w:val="0"/>
          <w:sz w:val="24"/>
          <w:szCs w:val="24"/>
        </w:rPr>
        <w:t>ce determină</w:t>
      </w:r>
      <w:r w:rsidRPr="008376FC">
        <w:rPr>
          <w:rFonts w:asciiTheme="majorHAnsi" w:eastAsia="Calibri" w:hAnsiTheme="majorHAnsi" w:cstheme="majorHAnsi"/>
          <w:b w:val="0"/>
          <w:bCs w:val="0"/>
          <w:spacing w:val="-1"/>
          <w:sz w:val="24"/>
          <w:szCs w:val="24"/>
        </w:rPr>
        <w:t xml:space="preserve"> </w:t>
      </w:r>
      <w:r w:rsidRPr="008376FC">
        <w:rPr>
          <w:rFonts w:asciiTheme="majorHAnsi" w:eastAsia="Calibri" w:hAnsiTheme="majorHAnsi" w:cstheme="majorHAnsi"/>
          <w:b w:val="0"/>
          <w:bCs w:val="0"/>
          <w:sz w:val="24"/>
          <w:szCs w:val="24"/>
        </w:rPr>
        <w:t>poluarea apelor</w:t>
      </w:r>
      <w:r w:rsidRPr="008376FC">
        <w:rPr>
          <w:rFonts w:asciiTheme="majorHAnsi" w:eastAsia="Calibri" w:hAnsiTheme="majorHAnsi" w:cstheme="majorHAnsi"/>
          <w:b w:val="0"/>
          <w:bCs w:val="0"/>
          <w:spacing w:val="-5"/>
          <w:sz w:val="24"/>
          <w:szCs w:val="24"/>
        </w:rPr>
        <w:t xml:space="preserve"> </w:t>
      </w:r>
      <w:r w:rsidRPr="008376FC">
        <w:rPr>
          <w:rFonts w:asciiTheme="majorHAnsi" w:eastAsia="Calibri" w:hAnsiTheme="majorHAnsi" w:cstheme="majorHAnsi"/>
          <w:b w:val="0"/>
          <w:bCs w:val="0"/>
          <w:sz w:val="24"/>
          <w:szCs w:val="24"/>
        </w:rPr>
        <w:t>subterane</w:t>
      </w:r>
      <w:r w:rsidRPr="008376FC">
        <w:rPr>
          <w:rFonts w:asciiTheme="majorHAnsi" w:eastAsia="Calibri" w:hAnsiTheme="majorHAnsi" w:cstheme="majorHAnsi"/>
          <w:b w:val="0"/>
          <w:bCs w:val="0"/>
          <w:spacing w:val="-3"/>
          <w:sz w:val="24"/>
          <w:szCs w:val="24"/>
        </w:rPr>
        <w:t xml:space="preserve"> </w:t>
      </w:r>
      <w:r w:rsidRPr="008376FC">
        <w:rPr>
          <w:rFonts w:asciiTheme="majorHAnsi" w:eastAsia="Calibri" w:hAnsiTheme="majorHAnsi" w:cstheme="majorHAnsi"/>
          <w:b w:val="0"/>
          <w:bCs w:val="0"/>
          <w:sz w:val="24"/>
          <w:szCs w:val="24"/>
        </w:rPr>
        <w:t>și</w:t>
      </w:r>
      <w:r w:rsidRPr="008376FC">
        <w:rPr>
          <w:rFonts w:asciiTheme="majorHAnsi" w:eastAsia="Calibri" w:hAnsiTheme="majorHAnsi" w:cstheme="majorHAnsi"/>
          <w:b w:val="0"/>
          <w:bCs w:val="0"/>
          <w:spacing w:val="-5"/>
          <w:sz w:val="24"/>
          <w:szCs w:val="24"/>
        </w:rPr>
        <w:t xml:space="preserve"> </w:t>
      </w:r>
      <w:r w:rsidRPr="008376FC">
        <w:rPr>
          <w:rFonts w:asciiTheme="majorHAnsi" w:eastAsia="Calibri" w:hAnsiTheme="majorHAnsi" w:cstheme="majorHAnsi"/>
          <w:b w:val="0"/>
          <w:bCs w:val="0"/>
          <w:sz w:val="24"/>
          <w:szCs w:val="24"/>
        </w:rPr>
        <w:t>de</w:t>
      </w:r>
      <w:r w:rsidRPr="008376FC">
        <w:rPr>
          <w:rFonts w:asciiTheme="majorHAnsi" w:eastAsia="Calibri" w:hAnsiTheme="majorHAnsi" w:cstheme="majorHAnsi"/>
          <w:b w:val="0"/>
          <w:bCs w:val="0"/>
          <w:spacing w:val="-4"/>
          <w:sz w:val="24"/>
          <w:szCs w:val="24"/>
        </w:rPr>
        <w:t xml:space="preserve"> </w:t>
      </w:r>
      <w:r w:rsidRPr="008376FC">
        <w:rPr>
          <w:rFonts w:asciiTheme="majorHAnsi" w:eastAsia="Calibri" w:hAnsiTheme="majorHAnsi" w:cstheme="majorHAnsi"/>
          <w:b w:val="0"/>
          <w:bCs w:val="0"/>
          <w:sz w:val="24"/>
          <w:szCs w:val="24"/>
        </w:rPr>
        <w:t>suprafață,</w:t>
      </w:r>
      <w:r w:rsidRPr="008376FC">
        <w:rPr>
          <w:rFonts w:asciiTheme="majorHAnsi" w:eastAsia="Calibri" w:hAnsiTheme="majorHAnsi" w:cstheme="majorHAnsi"/>
          <w:b w:val="0"/>
          <w:bCs w:val="0"/>
          <w:spacing w:val="-5"/>
          <w:sz w:val="24"/>
          <w:szCs w:val="24"/>
        </w:rPr>
        <w:t xml:space="preserve"> </w:t>
      </w:r>
      <w:r w:rsidRPr="008376FC">
        <w:rPr>
          <w:rFonts w:asciiTheme="majorHAnsi" w:eastAsia="Calibri" w:hAnsiTheme="majorHAnsi" w:cstheme="majorHAnsi"/>
          <w:b w:val="0"/>
          <w:bCs w:val="0"/>
          <w:sz w:val="24"/>
          <w:szCs w:val="24"/>
        </w:rPr>
        <w:t>influențând</w:t>
      </w:r>
      <w:r w:rsidRPr="008376FC">
        <w:rPr>
          <w:rFonts w:asciiTheme="majorHAnsi" w:eastAsia="Calibri" w:hAnsiTheme="majorHAnsi" w:cstheme="majorHAnsi"/>
          <w:b w:val="0"/>
          <w:bCs w:val="0"/>
          <w:spacing w:val="-1"/>
          <w:sz w:val="24"/>
          <w:szCs w:val="24"/>
        </w:rPr>
        <w:t xml:space="preserve"> </w:t>
      </w:r>
      <w:r w:rsidRPr="008376FC">
        <w:rPr>
          <w:rFonts w:asciiTheme="majorHAnsi" w:eastAsia="Calibri" w:hAnsiTheme="majorHAnsi" w:cstheme="majorHAnsi"/>
          <w:b w:val="0"/>
          <w:bCs w:val="0"/>
          <w:sz w:val="24"/>
          <w:szCs w:val="24"/>
        </w:rPr>
        <w:t>asupra</w:t>
      </w:r>
      <w:r w:rsidRPr="008376FC">
        <w:rPr>
          <w:rFonts w:asciiTheme="majorHAnsi" w:eastAsia="Calibri" w:hAnsiTheme="majorHAnsi" w:cstheme="majorHAnsi"/>
          <w:b w:val="0"/>
          <w:bCs w:val="0"/>
          <w:spacing w:val="-1"/>
          <w:sz w:val="24"/>
          <w:szCs w:val="24"/>
        </w:rPr>
        <w:t xml:space="preserve"> </w:t>
      </w:r>
      <w:r w:rsidRPr="008376FC">
        <w:rPr>
          <w:rFonts w:asciiTheme="majorHAnsi" w:eastAsia="Calibri" w:hAnsiTheme="majorHAnsi" w:cstheme="majorHAnsi"/>
          <w:b w:val="0"/>
          <w:bCs w:val="0"/>
          <w:sz w:val="24"/>
          <w:szCs w:val="24"/>
        </w:rPr>
        <w:t>sănătății</w:t>
      </w:r>
      <w:r w:rsidRPr="008376FC">
        <w:rPr>
          <w:rFonts w:asciiTheme="majorHAnsi" w:eastAsia="Calibri" w:hAnsiTheme="majorHAnsi" w:cstheme="majorHAnsi"/>
          <w:b w:val="0"/>
          <w:bCs w:val="0"/>
          <w:spacing w:val="-5"/>
          <w:sz w:val="24"/>
          <w:szCs w:val="24"/>
        </w:rPr>
        <w:t xml:space="preserve"> </w:t>
      </w:r>
      <w:r w:rsidRPr="008376FC">
        <w:rPr>
          <w:rFonts w:asciiTheme="majorHAnsi" w:eastAsia="Calibri" w:hAnsiTheme="majorHAnsi" w:cstheme="majorHAnsi"/>
          <w:b w:val="0"/>
          <w:bCs w:val="0"/>
          <w:sz w:val="24"/>
          <w:szCs w:val="24"/>
        </w:rPr>
        <w:t>populației.</w:t>
      </w:r>
    </w:p>
    <w:p w:rsidR="00BE49FB" w:rsidRPr="008376FC" w:rsidRDefault="00BE49FB" w:rsidP="00F61756">
      <w:pPr>
        <w:spacing w:before="120" w:after="0" w:line="276" w:lineRule="auto"/>
        <w:ind w:right="-2"/>
        <w:jc w:val="both"/>
        <w:rPr>
          <w:rFonts w:asciiTheme="majorHAnsi" w:eastAsia="Calibri" w:hAnsiTheme="majorHAnsi" w:cstheme="majorHAnsi"/>
          <w:b w:val="0"/>
          <w:bCs w:val="0"/>
          <w:sz w:val="24"/>
          <w:szCs w:val="24"/>
        </w:rPr>
      </w:pPr>
      <w:r w:rsidRPr="008376FC">
        <w:rPr>
          <w:rFonts w:asciiTheme="majorHAnsi" w:eastAsia="Calibri" w:hAnsiTheme="majorHAnsi" w:cstheme="majorHAnsi"/>
          <w:b w:val="0"/>
          <w:bCs w:val="0"/>
          <w:sz w:val="24"/>
          <w:szCs w:val="24"/>
        </w:rPr>
        <w:t>De</w:t>
      </w:r>
      <w:r w:rsidRPr="008376FC">
        <w:rPr>
          <w:rFonts w:asciiTheme="majorHAnsi" w:eastAsia="Calibri" w:hAnsiTheme="majorHAnsi" w:cstheme="majorHAnsi"/>
          <w:b w:val="0"/>
          <w:bCs w:val="0"/>
          <w:spacing w:val="43"/>
          <w:sz w:val="24"/>
          <w:szCs w:val="24"/>
        </w:rPr>
        <w:t xml:space="preserve"> </w:t>
      </w:r>
      <w:r w:rsidRPr="008376FC">
        <w:rPr>
          <w:rFonts w:asciiTheme="majorHAnsi" w:eastAsia="Calibri" w:hAnsiTheme="majorHAnsi" w:cstheme="majorHAnsi"/>
          <w:b w:val="0"/>
          <w:bCs w:val="0"/>
          <w:sz w:val="24"/>
          <w:szCs w:val="24"/>
        </w:rPr>
        <w:t>asemenea,</w:t>
      </w:r>
      <w:r w:rsidRPr="008376FC">
        <w:rPr>
          <w:rFonts w:asciiTheme="majorHAnsi" w:eastAsia="Calibri" w:hAnsiTheme="majorHAnsi" w:cstheme="majorHAnsi"/>
          <w:b w:val="0"/>
          <w:bCs w:val="0"/>
          <w:spacing w:val="41"/>
          <w:sz w:val="24"/>
          <w:szCs w:val="24"/>
        </w:rPr>
        <w:t xml:space="preserve"> </w:t>
      </w:r>
      <w:r w:rsidRPr="008376FC">
        <w:rPr>
          <w:rFonts w:asciiTheme="majorHAnsi" w:eastAsia="Calibri" w:hAnsiTheme="majorHAnsi" w:cstheme="majorHAnsi"/>
          <w:b w:val="0"/>
          <w:bCs w:val="0"/>
          <w:sz w:val="24"/>
          <w:szCs w:val="24"/>
        </w:rPr>
        <w:t>nu</w:t>
      </w:r>
      <w:r w:rsidRPr="008376FC">
        <w:rPr>
          <w:rFonts w:asciiTheme="majorHAnsi" w:eastAsia="Calibri" w:hAnsiTheme="majorHAnsi" w:cstheme="majorHAnsi"/>
          <w:b w:val="0"/>
          <w:bCs w:val="0"/>
          <w:spacing w:val="41"/>
          <w:sz w:val="24"/>
          <w:szCs w:val="24"/>
        </w:rPr>
        <w:t xml:space="preserve"> </w:t>
      </w:r>
      <w:r w:rsidRPr="008376FC">
        <w:rPr>
          <w:rFonts w:asciiTheme="majorHAnsi" w:eastAsia="Calibri" w:hAnsiTheme="majorHAnsi" w:cstheme="majorHAnsi"/>
          <w:b w:val="0"/>
          <w:bCs w:val="0"/>
          <w:sz w:val="24"/>
          <w:szCs w:val="24"/>
        </w:rPr>
        <w:t>se</w:t>
      </w:r>
      <w:r w:rsidRPr="008376FC">
        <w:rPr>
          <w:rFonts w:asciiTheme="majorHAnsi" w:eastAsia="Calibri" w:hAnsiTheme="majorHAnsi" w:cstheme="majorHAnsi"/>
          <w:b w:val="0"/>
          <w:bCs w:val="0"/>
          <w:spacing w:val="41"/>
          <w:sz w:val="24"/>
          <w:szCs w:val="24"/>
        </w:rPr>
        <w:t xml:space="preserve"> </w:t>
      </w:r>
      <w:r w:rsidRPr="008376FC">
        <w:rPr>
          <w:rFonts w:asciiTheme="majorHAnsi" w:eastAsia="Calibri" w:hAnsiTheme="majorHAnsi" w:cstheme="majorHAnsi"/>
          <w:b w:val="0"/>
          <w:bCs w:val="0"/>
          <w:sz w:val="24"/>
          <w:szCs w:val="24"/>
        </w:rPr>
        <w:t>permite</w:t>
      </w:r>
      <w:r w:rsidRPr="008376FC">
        <w:rPr>
          <w:rFonts w:asciiTheme="majorHAnsi" w:eastAsia="Calibri" w:hAnsiTheme="majorHAnsi" w:cstheme="majorHAnsi"/>
          <w:b w:val="0"/>
          <w:bCs w:val="0"/>
          <w:spacing w:val="44"/>
          <w:sz w:val="24"/>
          <w:szCs w:val="24"/>
        </w:rPr>
        <w:t xml:space="preserve"> </w:t>
      </w:r>
      <w:r w:rsidRPr="008376FC">
        <w:rPr>
          <w:rFonts w:asciiTheme="majorHAnsi" w:eastAsia="Calibri" w:hAnsiTheme="majorHAnsi" w:cstheme="majorHAnsi"/>
          <w:b w:val="0"/>
          <w:bCs w:val="0"/>
          <w:sz w:val="24"/>
          <w:szCs w:val="24"/>
        </w:rPr>
        <w:t>evacuarea</w:t>
      </w:r>
      <w:r w:rsidRPr="008376FC">
        <w:rPr>
          <w:rFonts w:asciiTheme="majorHAnsi" w:eastAsia="Calibri" w:hAnsiTheme="majorHAnsi" w:cstheme="majorHAnsi"/>
          <w:b w:val="0"/>
          <w:bCs w:val="0"/>
          <w:spacing w:val="43"/>
          <w:sz w:val="24"/>
          <w:szCs w:val="24"/>
        </w:rPr>
        <w:t xml:space="preserve"> </w:t>
      </w:r>
      <w:r w:rsidRPr="008376FC">
        <w:rPr>
          <w:rFonts w:asciiTheme="majorHAnsi" w:eastAsia="Calibri" w:hAnsiTheme="majorHAnsi" w:cstheme="majorHAnsi"/>
          <w:b w:val="0"/>
          <w:bCs w:val="0"/>
          <w:sz w:val="24"/>
          <w:szCs w:val="24"/>
        </w:rPr>
        <w:t>apelor</w:t>
      </w:r>
      <w:r w:rsidRPr="008376FC">
        <w:rPr>
          <w:rFonts w:asciiTheme="majorHAnsi" w:eastAsia="Calibri" w:hAnsiTheme="majorHAnsi" w:cstheme="majorHAnsi"/>
          <w:b w:val="0"/>
          <w:bCs w:val="0"/>
          <w:spacing w:val="44"/>
          <w:sz w:val="24"/>
          <w:szCs w:val="24"/>
        </w:rPr>
        <w:t xml:space="preserve"> </w:t>
      </w:r>
      <w:r w:rsidRPr="008376FC">
        <w:rPr>
          <w:rFonts w:asciiTheme="majorHAnsi" w:eastAsia="Calibri" w:hAnsiTheme="majorHAnsi" w:cstheme="majorHAnsi"/>
          <w:b w:val="0"/>
          <w:bCs w:val="0"/>
          <w:sz w:val="24"/>
          <w:szCs w:val="24"/>
        </w:rPr>
        <w:t>reziduale</w:t>
      </w:r>
      <w:r w:rsidRPr="008376FC">
        <w:rPr>
          <w:rFonts w:asciiTheme="majorHAnsi" w:eastAsia="Calibri" w:hAnsiTheme="majorHAnsi" w:cstheme="majorHAnsi"/>
          <w:b w:val="0"/>
          <w:bCs w:val="0"/>
          <w:spacing w:val="43"/>
          <w:sz w:val="24"/>
          <w:szCs w:val="24"/>
        </w:rPr>
        <w:t xml:space="preserve"> </w:t>
      </w:r>
      <w:r w:rsidRPr="008376FC">
        <w:rPr>
          <w:rFonts w:asciiTheme="majorHAnsi" w:eastAsia="Calibri" w:hAnsiTheme="majorHAnsi" w:cstheme="majorHAnsi"/>
          <w:b w:val="0"/>
          <w:bCs w:val="0"/>
          <w:sz w:val="24"/>
          <w:szCs w:val="24"/>
        </w:rPr>
        <w:t>în</w:t>
      </w:r>
      <w:r w:rsidRPr="008376FC">
        <w:rPr>
          <w:rFonts w:asciiTheme="majorHAnsi" w:eastAsia="Calibri" w:hAnsiTheme="majorHAnsi" w:cstheme="majorHAnsi"/>
          <w:b w:val="0"/>
          <w:bCs w:val="0"/>
          <w:spacing w:val="44"/>
          <w:sz w:val="24"/>
          <w:szCs w:val="24"/>
        </w:rPr>
        <w:t xml:space="preserve"> </w:t>
      </w:r>
      <w:r w:rsidRPr="008376FC">
        <w:rPr>
          <w:rFonts w:asciiTheme="majorHAnsi" w:eastAsia="Calibri" w:hAnsiTheme="majorHAnsi" w:cstheme="majorHAnsi"/>
          <w:b w:val="0"/>
          <w:bCs w:val="0"/>
          <w:sz w:val="24"/>
          <w:szCs w:val="24"/>
        </w:rPr>
        <w:t>lipsa</w:t>
      </w:r>
      <w:r w:rsidRPr="008376FC">
        <w:rPr>
          <w:rFonts w:asciiTheme="majorHAnsi" w:eastAsia="Calibri" w:hAnsiTheme="majorHAnsi" w:cstheme="majorHAnsi"/>
          <w:b w:val="0"/>
          <w:bCs w:val="0"/>
          <w:spacing w:val="41"/>
          <w:sz w:val="24"/>
          <w:szCs w:val="24"/>
        </w:rPr>
        <w:t xml:space="preserve"> </w:t>
      </w:r>
      <w:r w:rsidRPr="008376FC">
        <w:rPr>
          <w:rFonts w:asciiTheme="majorHAnsi" w:eastAsia="Calibri" w:hAnsiTheme="majorHAnsi" w:cstheme="majorHAnsi"/>
          <w:b w:val="0"/>
          <w:bCs w:val="0"/>
          <w:sz w:val="24"/>
          <w:szCs w:val="24"/>
        </w:rPr>
        <w:t>autorizației.  Conform</w:t>
      </w:r>
      <w:r w:rsidRPr="008376FC">
        <w:rPr>
          <w:rFonts w:asciiTheme="majorHAnsi" w:eastAsia="Calibri" w:hAnsiTheme="majorHAnsi" w:cstheme="majorHAnsi"/>
          <w:b w:val="0"/>
          <w:bCs w:val="0"/>
          <w:spacing w:val="46"/>
          <w:sz w:val="24"/>
          <w:szCs w:val="24"/>
        </w:rPr>
        <w:t xml:space="preserve"> </w:t>
      </w:r>
      <w:r w:rsidRPr="008376FC">
        <w:rPr>
          <w:rFonts w:asciiTheme="majorHAnsi" w:eastAsia="Calibri" w:hAnsiTheme="majorHAnsi" w:cstheme="majorHAnsi"/>
          <w:b w:val="0"/>
          <w:bCs w:val="0"/>
          <w:sz w:val="24"/>
          <w:szCs w:val="24"/>
        </w:rPr>
        <w:t>bunelor</w:t>
      </w:r>
      <w:r w:rsidRPr="008376FC">
        <w:rPr>
          <w:rFonts w:asciiTheme="majorHAnsi" w:eastAsia="Calibri" w:hAnsiTheme="majorHAnsi" w:cstheme="majorHAnsi"/>
          <w:b w:val="0"/>
          <w:bCs w:val="0"/>
          <w:spacing w:val="45"/>
          <w:sz w:val="24"/>
          <w:szCs w:val="24"/>
        </w:rPr>
        <w:t xml:space="preserve"> </w:t>
      </w:r>
      <w:r w:rsidRPr="008376FC">
        <w:rPr>
          <w:rFonts w:asciiTheme="majorHAnsi" w:eastAsia="Calibri" w:hAnsiTheme="majorHAnsi" w:cstheme="majorHAnsi"/>
          <w:b w:val="0"/>
          <w:bCs w:val="0"/>
          <w:sz w:val="24"/>
          <w:szCs w:val="24"/>
        </w:rPr>
        <w:t>practici,</w:t>
      </w:r>
      <w:r w:rsidRPr="008376FC">
        <w:rPr>
          <w:rFonts w:asciiTheme="majorHAnsi" w:eastAsia="Calibri" w:hAnsiTheme="majorHAnsi" w:cstheme="majorHAnsi"/>
          <w:b w:val="0"/>
          <w:bCs w:val="0"/>
          <w:spacing w:val="44"/>
          <w:sz w:val="24"/>
          <w:szCs w:val="24"/>
        </w:rPr>
        <w:t xml:space="preserve"> </w:t>
      </w:r>
      <w:r w:rsidRPr="008376FC">
        <w:rPr>
          <w:rFonts w:asciiTheme="majorHAnsi" w:eastAsia="Calibri" w:hAnsiTheme="majorHAnsi" w:cstheme="majorHAnsi"/>
          <w:b w:val="0"/>
          <w:bCs w:val="0"/>
          <w:sz w:val="24"/>
          <w:szCs w:val="24"/>
        </w:rPr>
        <w:t>odată</w:t>
      </w:r>
      <w:r w:rsidRPr="008376FC">
        <w:rPr>
          <w:rFonts w:asciiTheme="majorHAnsi" w:eastAsia="Calibri" w:hAnsiTheme="majorHAnsi" w:cstheme="majorHAnsi"/>
          <w:b w:val="0"/>
          <w:bCs w:val="0"/>
          <w:spacing w:val="47"/>
          <w:sz w:val="24"/>
          <w:szCs w:val="24"/>
        </w:rPr>
        <w:t xml:space="preserve"> </w:t>
      </w:r>
      <w:r w:rsidRPr="008376FC">
        <w:rPr>
          <w:rFonts w:asciiTheme="majorHAnsi" w:eastAsia="Calibri" w:hAnsiTheme="majorHAnsi" w:cstheme="majorHAnsi"/>
          <w:b w:val="0"/>
          <w:bCs w:val="0"/>
          <w:sz w:val="24"/>
          <w:szCs w:val="24"/>
        </w:rPr>
        <w:t>cu</w:t>
      </w:r>
      <w:r w:rsidRPr="008376FC">
        <w:rPr>
          <w:rFonts w:asciiTheme="majorHAnsi" w:eastAsia="Calibri" w:hAnsiTheme="majorHAnsi" w:cstheme="majorHAnsi"/>
          <w:b w:val="0"/>
          <w:bCs w:val="0"/>
          <w:spacing w:val="48"/>
          <w:sz w:val="24"/>
          <w:szCs w:val="24"/>
        </w:rPr>
        <w:t xml:space="preserve"> </w:t>
      </w:r>
      <w:r w:rsidRPr="008376FC">
        <w:rPr>
          <w:rFonts w:asciiTheme="majorHAnsi" w:eastAsia="Calibri" w:hAnsiTheme="majorHAnsi" w:cstheme="majorHAnsi"/>
          <w:b w:val="0"/>
          <w:bCs w:val="0"/>
          <w:sz w:val="24"/>
          <w:szCs w:val="24"/>
        </w:rPr>
        <w:t>construcția</w:t>
      </w:r>
      <w:r w:rsidRPr="008376FC">
        <w:rPr>
          <w:rFonts w:asciiTheme="majorHAnsi" w:eastAsia="Calibri" w:hAnsiTheme="majorHAnsi" w:cstheme="majorHAnsi"/>
          <w:b w:val="0"/>
          <w:bCs w:val="0"/>
          <w:spacing w:val="45"/>
          <w:sz w:val="24"/>
          <w:szCs w:val="24"/>
        </w:rPr>
        <w:t xml:space="preserve"> </w:t>
      </w:r>
      <w:r w:rsidRPr="008376FC">
        <w:rPr>
          <w:rFonts w:asciiTheme="majorHAnsi" w:eastAsia="Calibri" w:hAnsiTheme="majorHAnsi" w:cstheme="majorHAnsi"/>
          <w:b w:val="0"/>
          <w:bCs w:val="0"/>
          <w:sz w:val="24"/>
          <w:szCs w:val="24"/>
        </w:rPr>
        <w:t>sistemelor</w:t>
      </w:r>
      <w:r w:rsidRPr="008376FC">
        <w:rPr>
          <w:rFonts w:asciiTheme="majorHAnsi" w:eastAsia="Calibri" w:hAnsiTheme="majorHAnsi" w:cstheme="majorHAnsi"/>
          <w:b w:val="0"/>
          <w:bCs w:val="0"/>
          <w:spacing w:val="45"/>
          <w:sz w:val="24"/>
          <w:szCs w:val="24"/>
        </w:rPr>
        <w:t xml:space="preserve"> </w:t>
      </w:r>
      <w:r w:rsidRPr="008376FC">
        <w:rPr>
          <w:rFonts w:asciiTheme="majorHAnsi" w:eastAsia="Calibri" w:hAnsiTheme="majorHAnsi" w:cstheme="majorHAnsi"/>
          <w:b w:val="0"/>
          <w:bCs w:val="0"/>
          <w:sz w:val="24"/>
          <w:szCs w:val="24"/>
        </w:rPr>
        <w:t>de</w:t>
      </w:r>
      <w:r w:rsidRPr="008376FC">
        <w:rPr>
          <w:rFonts w:asciiTheme="majorHAnsi" w:eastAsia="Calibri" w:hAnsiTheme="majorHAnsi" w:cstheme="majorHAnsi"/>
          <w:b w:val="0"/>
          <w:bCs w:val="0"/>
          <w:spacing w:val="44"/>
          <w:sz w:val="24"/>
          <w:szCs w:val="24"/>
        </w:rPr>
        <w:t xml:space="preserve"> </w:t>
      </w:r>
      <w:r w:rsidRPr="008376FC">
        <w:rPr>
          <w:rFonts w:asciiTheme="majorHAnsi" w:eastAsia="Calibri" w:hAnsiTheme="majorHAnsi" w:cstheme="majorHAnsi"/>
          <w:b w:val="0"/>
          <w:bCs w:val="0"/>
          <w:sz w:val="24"/>
          <w:szCs w:val="24"/>
        </w:rPr>
        <w:t>alimentare</w:t>
      </w:r>
      <w:r w:rsidRPr="008376FC">
        <w:rPr>
          <w:rFonts w:asciiTheme="majorHAnsi" w:eastAsia="Calibri" w:hAnsiTheme="majorHAnsi" w:cstheme="majorHAnsi"/>
          <w:b w:val="0"/>
          <w:bCs w:val="0"/>
          <w:spacing w:val="47"/>
          <w:sz w:val="24"/>
          <w:szCs w:val="24"/>
        </w:rPr>
        <w:t xml:space="preserve"> </w:t>
      </w:r>
      <w:r w:rsidRPr="008376FC">
        <w:rPr>
          <w:rFonts w:asciiTheme="majorHAnsi" w:eastAsia="Calibri" w:hAnsiTheme="majorHAnsi" w:cstheme="majorHAnsi"/>
          <w:b w:val="0"/>
          <w:bCs w:val="0"/>
          <w:sz w:val="24"/>
          <w:szCs w:val="24"/>
        </w:rPr>
        <w:t>cu</w:t>
      </w:r>
      <w:r w:rsidRPr="008376FC">
        <w:rPr>
          <w:rFonts w:asciiTheme="majorHAnsi" w:eastAsia="Calibri" w:hAnsiTheme="majorHAnsi" w:cstheme="majorHAnsi"/>
          <w:b w:val="0"/>
          <w:bCs w:val="0"/>
          <w:spacing w:val="48"/>
          <w:sz w:val="24"/>
          <w:szCs w:val="24"/>
        </w:rPr>
        <w:t xml:space="preserve"> </w:t>
      </w:r>
      <w:r w:rsidRPr="008376FC">
        <w:rPr>
          <w:rFonts w:asciiTheme="majorHAnsi" w:eastAsia="Calibri" w:hAnsiTheme="majorHAnsi" w:cstheme="majorHAnsi"/>
          <w:b w:val="0"/>
          <w:bCs w:val="0"/>
          <w:sz w:val="24"/>
          <w:szCs w:val="24"/>
        </w:rPr>
        <w:t>apă,</w:t>
      </w:r>
      <w:r w:rsidRPr="008376FC">
        <w:rPr>
          <w:rFonts w:asciiTheme="majorHAnsi" w:eastAsia="Calibri" w:hAnsiTheme="majorHAnsi" w:cstheme="majorHAnsi"/>
          <w:b w:val="0"/>
          <w:bCs w:val="0"/>
          <w:spacing w:val="44"/>
          <w:sz w:val="24"/>
          <w:szCs w:val="24"/>
        </w:rPr>
        <w:t xml:space="preserve"> </w:t>
      </w:r>
      <w:r w:rsidRPr="008376FC">
        <w:rPr>
          <w:rFonts w:asciiTheme="majorHAnsi" w:eastAsia="Calibri" w:hAnsiTheme="majorHAnsi" w:cstheme="majorHAnsi"/>
          <w:b w:val="0"/>
          <w:bCs w:val="0"/>
          <w:sz w:val="24"/>
          <w:szCs w:val="24"/>
        </w:rPr>
        <w:t>e</w:t>
      </w:r>
      <w:r w:rsidR="00ED3A0F">
        <w:rPr>
          <w:rFonts w:asciiTheme="majorHAnsi" w:eastAsia="Calibri" w:hAnsiTheme="majorHAnsi" w:cstheme="majorHAnsi"/>
          <w:b w:val="0"/>
          <w:bCs w:val="0"/>
          <w:sz w:val="24"/>
          <w:szCs w:val="24"/>
        </w:rPr>
        <w:t>ste</w:t>
      </w:r>
      <w:r w:rsidRPr="008376FC">
        <w:rPr>
          <w:rFonts w:asciiTheme="majorHAnsi" w:eastAsia="Calibri" w:hAnsiTheme="majorHAnsi" w:cstheme="majorHAnsi"/>
          <w:b w:val="0"/>
          <w:bCs w:val="0"/>
          <w:sz w:val="24"/>
          <w:szCs w:val="24"/>
        </w:rPr>
        <w:t xml:space="preserve"> necesar</w:t>
      </w:r>
      <w:r w:rsidRPr="008376FC">
        <w:rPr>
          <w:rFonts w:asciiTheme="majorHAnsi" w:eastAsia="Calibri" w:hAnsiTheme="majorHAnsi" w:cstheme="majorHAnsi"/>
          <w:b w:val="0"/>
          <w:bCs w:val="0"/>
          <w:spacing w:val="22"/>
          <w:sz w:val="24"/>
          <w:szCs w:val="24"/>
        </w:rPr>
        <w:t xml:space="preserve"> </w:t>
      </w:r>
      <w:r w:rsidRPr="008376FC">
        <w:rPr>
          <w:rFonts w:asciiTheme="majorHAnsi" w:eastAsia="Calibri" w:hAnsiTheme="majorHAnsi" w:cstheme="majorHAnsi"/>
          <w:b w:val="0"/>
          <w:bCs w:val="0"/>
          <w:sz w:val="24"/>
          <w:szCs w:val="24"/>
        </w:rPr>
        <w:t>de</w:t>
      </w:r>
      <w:r w:rsidRPr="008376FC">
        <w:rPr>
          <w:rFonts w:asciiTheme="majorHAnsi" w:eastAsia="Calibri" w:hAnsiTheme="majorHAnsi" w:cstheme="majorHAnsi"/>
          <w:b w:val="0"/>
          <w:bCs w:val="0"/>
          <w:spacing w:val="24"/>
          <w:sz w:val="24"/>
          <w:szCs w:val="24"/>
        </w:rPr>
        <w:t xml:space="preserve"> </w:t>
      </w:r>
      <w:r w:rsidRPr="008376FC">
        <w:rPr>
          <w:rFonts w:asciiTheme="majorHAnsi" w:eastAsia="Calibri" w:hAnsiTheme="majorHAnsi" w:cstheme="majorHAnsi"/>
          <w:b w:val="0"/>
          <w:bCs w:val="0"/>
          <w:sz w:val="24"/>
          <w:szCs w:val="24"/>
        </w:rPr>
        <w:t>a</w:t>
      </w:r>
      <w:r w:rsidRPr="008376FC">
        <w:rPr>
          <w:rFonts w:asciiTheme="majorHAnsi" w:eastAsia="Calibri" w:hAnsiTheme="majorHAnsi" w:cstheme="majorHAnsi"/>
          <w:b w:val="0"/>
          <w:bCs w:val="0"/>
          <w:spacing w:val="24"/>
          <w:sz w:val="24"/>
          <w:szCs w:val="24"/>
        </w:rPr>
        <w:t xml:space="preserve"> </w:t>
      </w:r>
      <w:r w:rsidRPr="008376FC">
        <w:rPr>
          <w:rFonts w:asciiTheme="majorHAnsi" w:eastAsia="Calibri" w:hAnsiTheme="majorHAnsi" w:cstheme="majorHAnsi"/>
          <w:b w:val="0"/>
          <w:bCs w:val="0"/>
          <w:sz w:val="24"/>
          <w:szCs w:val="24"/>
        </w:rPr>
        <w:t>construi</w:t>
      </w:r>
      <w:r w:rsidRPr="008376FC">
        <w:rPr>
          <w:rFonts w:asciiTheme="majorHAnsi" w:eastAsia="Calibri" w:hAnsiTheme="majorHAnsi" w:cstheme="majorHAnsi"/>
          <w:b w:val="0"/>
          <w:bCs w:val="0"/>
          <w:spacing w:val="27"/>
          <w:sz w:val="24"/>
          <w:szCs w:val="24"/>
        </w:rPr>
        <w:t xml:space="preserve"> </w:t>
      </w:r>
      <w:r w:rsidRPr="008376FC">
        <w:rPr>
          <w:rFonts w:asciiTheme="majorHAnsi" w:eastAsia="Calibri" w:hAnsiTheme="majorHAnsi" w:cstheme="majorHAnsi"/>
          <w:b w:val="0"/>
          <w:bCs w:val="0"/>
          <w:sz w:val="24"/>
          <w:szCs w:val="24"/>
        </w:rPr>
        <w:t>și</w:t>
      </w:r>
      <w:r w:rsidRPr="008376FC">
        <w:rPr>
          <w:rFonts w:asciiTheme="majorHAnsi" w:eastAsia="Calibri" w:hAnsiTheme="majorHAnsi" w:cstheme="majorHAnsi"/>
          <w:b w:val="0"/>
          <w:bCs w:val="0"/>
          <w:spacing w:val="25"/>
          <w:sz w:val="24"/>
          <w:szCs w:val="24"/>
        </w:rPr>
        <w:t xml:space="preserve"> </w:t>
      </w:r>
      <w:r w:rsidRPr="008376FC">
        <w:rPr>
          <w:rFonts w:asciiTheme="majorHAnsi" w:eastAsia="Calibri" w:hAnsiTheme="majorHAnsi" w:cstheme="majorHAnsi"/>
          <w:b w:val="0"/>
          <w:bCs w:val="0"/>
          <w:sz w:val="24"/>
          <w:szCs w:val="24"/>
        </w:rPr>
        <w:t>sisteme</w:t>
      </w:r>
      <w:r w:rsidRPr="008376FC">
        <w:rPr>
          <w:rFonts w:asciiTheme="majorHAnsi" w:eastAsia="Calibri" w:hAnsiTheme="majorHAnsi" w:cstheme="majorHAnsi"/>
          <w:b w:val="0"/>
          <w:bCs w:val="0"/>
          <w:spacing w:val="22"/>
          <w:sz w:val="24"/>
          <w:szCs w:val="24"/>
        </w:rPr>
        <w:t xml:space="preserve"> </w:t>
      </w:r>
      <w:r w:rsidRPr="008376FC">
        <w:rPr>
          <w:rFonts w:asciiTheme="majorHAnsi" w:eastAsia="Calibri" w:hAnsiTheme="majorHAnsi" w:cstheme="majorHAnsi"/>
          <w:b w:val="0"/>
          <w:bCs w:val="0"/>
          <w:sz w:val="24"/>
          <w:szCs w:val="24"/>
        </w:rPr>
        <w:t>de</w:t>
      </w:r>
      <w:r w:rsidRPr="008376FC">
        <w:rPr>
          <w:rFonts w:asciiTheme="majorHAnsi" w:eastAsia="Calibri" w:hAnsiTheme="majorHAnsi" w:cstheme="majorHAnsi"/>
          <w:b w:val="0"/>
          <w:bCs w:val="0"/>
          <w:spacing w:val="25"/>
          <w:sz w:val="24"/>
          <w:szCs w:val="24"/>
        </w:rPr>
        <w:t xml:space="preserve"> </w:t>
      </w:r>
      <w:r w:rsidRPr="008376FC">
        <w:rPr>
          <w:rFonts w:asciiTheme="majorHAnsi" w:eastAsia="Calibri" w:hAnsiTheme="majorHAnsi" w:cstheme="majorHAnsi"/>
          <w:b w:val="0"/>
          <w:bCs w:val="0"/>
          <w:sz w:val="24"/>
          <w:szCs w:val="24"/>
        </w:rPr>
        <w:t>canalizare.</w:t>
      </w:r>
      <w:r w:rsidRPr="008376FC">
        <w:rPr>
          <w:rFonts w:asciiTheme="majorHAnsi" w:eastAsia="Calibri" w:hAnsiTheme="majorHAnsi" w:cstheme="majorHAnsi"/>
          <w:b w:val="0"/>
          <w:bCs w:val="0"/>
          <w:spacing w:val="24"/>
          <w:sz w:val="24"/>
          <w:szCs w:val="24"/>
        </w:rPr>
        <w:t xml:space="preserve"> </w:t>
      </w:r>
      <w:r w:rsidRPr="008376FC">
        <w:rPr>
          <w:rFonts w:asciiTheme="majorHAnsi" w:eastAsia="Calibri" w:hAnsiTheme="majorHAnsi" w:cstheme="majorHAnsi"/>
          <w:b w:val="0"/>
          <w:bCs w:val="0"/>
          <w:sz w:val="24"/>
          <w:szCs w:val="24"/>
        </w:rPr>
        <w:t>Rolul</w:t>
      </w:r>
      <w:r w:rsidRPr="008376FC">
        <w:rPr>
          <w:rFonts w:asciiTheme="majorHAnsi" w:eastAsia="Calibri" w:hAnsiTheme="majorHAnsi" w:cstheme="majorHAnsi"/>
          <w:b w:val="0"/>
          <w:bCs w:val="0"/>
          <w:spacing w:val="25"/>
          <w:sz w:val="24"/>
          <w:szCs w:val="24"/>
        </w:rPr>
        <w:t xml:space="preserve"> </w:t>
      </w:r>
      <w:r w:rsidRPr="008376FC">
        <w:rPr>
          <w:rFonts w:asciiTheme="majorHAnsi" w:eastAsia="Calibri" w:hAnsiTheme="majorHAnsi" w:cstheme="majorHAnsi"/>
          <w:b w:val="0"/>
          <w:bCs w:val="0"/>
          <w:sz w:val="24"/>
          <w:szCs w:val="24"/>
        </w:rPr>
        <w:t>de</w:t>
      </w:r>
      <w:r w:rsidRPr="008376FC">
        <w:rPr>
          <w:rFonts w:asciiTheme="majorHAnsi" w:eastAsia="Calibri" w:hAnsiTheme="majorHAnsi" w:cstheme="majorHAnsi"/>
          <w:b w:val="0"/>
          <w:bCs w:val="0"/>
          <w:spacing w:val="22"/>
          <w:sz w:val="24"/>
          <w:szCs w:val="24"/>
        </w:rPr>
        <w:t xml:space="preserve"> </w:t>
      </w:r>
      <w:r w:rsidRPr="008376FC">
        <w:rPr>
          <w:rFonts w:asciiTheme="majorHAnsi" w:eastAsia="Calibri" w:hAnsiTheme="majorHAnsi" w:cstheme="majorHAnsi"/>
          <w:b w:val="0"/>
          <w:bCs w:val="0"/>
          <w:sz w:val="24"/>
          <w:szCs w:val="24"/>
        </w:rPr>
        <w:t>preluare</w:t>
      </w:r>
      <w:r w:rsidRPr="008376FC">
        <w:rPr>
          <w:rFonts w:asciiTheme="majorHAnsi" w:eastAsia="Calibri" w:hAnsiTheme="majorHAnsi" w:cstheme="majorHAnsi"/>
          <w:b w:val="0"/>
          <w:bCs w:val="0"/>
          <w:spacing w:val="31"/>
          <w:sz w:val="24"/>
          <w:szCs w:val="24"/>
        </w:rPr>
        <w:t xml:space="preserve"> </w:t>
      </w:r>
      <w:r w:rsidRPr="008376FC">
        <w:rPr>
          <w:rFonts w:asciiTheme="majorHAnsi" w:eastAsia="Calibri" w:hAnsiTheme="majorHAnsi" w:cstheme="majorHAnsi"/>
          <w:b w:val="0"/>
          <w:bCs w:val="0"/>
          <w:sz w:val="24"/>
          <w:szCs w:val="24"/>
        </w:rPr>
        <w:t>și</w:t>
      </w:r>
      <w:r w:rsidRPr="008376FC">
        <w:rPr>
          <w:rFonts w:asciiTheme="majorHAnsi" w:eastAsia="Calibri" w:hAnsiTheme="majorHAnsi" w:cstheme="majorHAnsi"/>
          <w:b w:val="0"/>
          <w:bCs w:val="0"/>
          <w:spacing w:val="25"/>
          <w:sz w:val="24"/>
          <w:szCs w:val="24"/>
        </w:rPr>
        <w:t xml:space="preserve"> </w:t>
      </w:r>
      <w:r w:rsidRPr="008376FC">
        <w:rPr>
          <w:rFonts w:asciiTheme="majorHAnsi" w:eastAsia="Calibri" w:hAnsiTheme="majorHAnsi" w:cstheme="majorHAnsi"/>
          <w:b w:val="0"/>
          <w:bCs w:val="0"/>
          <w:sz w:val="24"/>
          <w:szCs w:val="24"/>
        </w:rPr>
        <w:t>epurare</w:t>
      </w:r>
      <w:r w:rsidRPr="008376FC">
        <w:rPr>
          <w:rFonts w:asciiTheme="majorHAnsi" w:eastAsia="Calibri" w:hAnsiTheme="majorHAnsi" w:cstheme="majorHAnsi"/>
          <w:b w:val="0"/>
          <w:bCs w:val="0"/>
          <w:spacing w:val="26"/>
          <w:sz w:val="24"/>
          <w:szCs w:val="24"/>
        </w:rPr>
        <w:t xml:space="preserve"> </w:t>
      </w:r>
      <w:r w:rsidRPr="008376FC">
        <w:rPr>
          <w:rFonts w:asciiTheme="majorHAnsi" w:eastAsia="Calibri" w:hAnsiTheme="majorHAnsi" w:cstheme="majorHAnsi"/>
          <w:b w:val="0"/>
          <w:bCs w:val="0"/>
          <w:sz w:val="24"/>
          <w:szCs w:val="24"/>
        </w:rPr>
        <w:t>a</w:t>
      </w:r>
      <w:r w:rsidRPr="008376FC">
        <w:rPr>
          <w:rFonts w:asciiTheme="majorHAnsi" w:eastAsia="Calibri" w:hAnsiTheme="majorHAnsi" w:cstheme="majorHAnsi"/>
          <w:b w:val="0"/>
          <w:bCs w:val="0"/>
          <w:spacing w:val="24"/>
          <w:sz w:val="24"/>
          <w:szCs w:val="24"/>
        </w:rPr>
        <w:t xml:space="preserve"> </w:t>
      </w:r>
      <w:r w:rsidRPr="008376FC">
        <w:rPr>
          <w:rFonts w:asciiTheme="majorHAnsi" w:eastAsia="Calibri" w:hAnsiTheme="majorHAnsi" w:cstheme="majorHAnsi"/>
          <w:b w:val="0"/>
          <w:bCs w:val="0"/>
          <w:sz w:val="24"/>
          <w:szCs w:val="24"/>
        </w:rPr>
        <w:t>apelor uzate</w:t>
      </w:r>
      <w:r w:rsidRPr="008376FC">
        <w:rPr>
          <w:rFonts w:asciiTheme="majorHAnsi" w:eastAsia="Calibri" w:hAnsiTheme="majorHAnsi" w:cstheme="majorHAnsi"/>
          <w:b w:val="0"/>
          <w:bCs w:val="0"/>
          <w:spacing w:val="12"/>
          <w:sz w:val="24"/>
          <w:szCs w:val="24"/>
        </w:rPr>
        <w:t xml:space="preserve"> </w:t>
      </w:r>
      <w:r w:rsidRPr="008376FC">
        <w:rPr>
          <w:rFonts w:asciiTheme="majorHAnsi" w:eastAsia="Calibri" w:hAnsiTheme="majorHAnsi" w:cstheme="majorHAnsi"/>
          <w:b w:val="0"/>
          <w:bCs w:val="0"/>
          <w:sz w:val="24"/>
          <w:szCs w:val="24"/>
        </w:rPr>
        <w:t>menajere</w:t>
      </w:r>
      <w:r w:rsidRPr="008376FC">
        <w:rPr>
          <w:rFonts w:asciiTheme="majorHAnsi" w:eastAsia="Calibri" w:hAnsiTheme="majorHAnsi" w:cstheme="majorHAnsi"/>
          <w:b w:val="0"/>
          <w:bCs w:val="0"/>
          <w:spacing w:val="82"/>
          <w:sz w:val="24"/>
          <w:szCs w:val="24"/>
        </w:rPr>
        <w:t xml:space="preserve"> </w:t>
      </w:r>
      <w:r w:rsidRPr="008376FC">
        <w:rPr>
          <w:rFonts w:asciiTheme="majorHAnsi" w:eastAsia="Calibri" w:hAnsiTheme="majorHAnsi" w:cstheme="majorHAnsi"/>
          <w:b w:val="0"/>
          <w:bCs w:val="0"/>
          <w:sz w:val="24"/>
          <w:szCs w:val="24"/>
        </w:rPr>
        <w:t>și</w:t>
      </w:r>
      <w:r w:rsidRPr="008376FC">
        <w:rPr>
          <w:rFonts w:asciiTheme="majorHAnsi" w:eastAsia="Calibri" w:hAnsiTheme="majorHAnsi" w:cstheme="majorHAnsi"/>
          <w:b w:val="0"/>
          <w:bCs w:val="0"/>
          <w:spacing w:val="78"/>
          <w:sz w:val="24"/>
          <w:szCs w:val="24"/>
        </w:rPr>
        <w:t xml:space="preserve"> </w:t>
      </w:r>
      <w:r w:rsidRPr="008376FC">
        <w:rPr>
          <w:rFonts w:asciiTheme="majorHAnsi" w:eastAsia="Calibri" w:hAnsiTheme="majorHAnsi" w:cstheme="majorHAnsi"/>
          <w:b w:val="0"/>
          <w:bCs w:val="0"/>
          <w:sz w:val="24"/>
          <w:szCs w:val="24"/>
        </w:rPr>
        <w:t>industriale</w:t>
      </w:r>
      <w:r w:rsidRPr="008376FC">
        <w:rPr>
          <w:rFonts w:asciiTheme="majorHAnsi" w:eastAsia="Calibri" w:hAnsiTheme="majorHAnsi" w:cstheme="majorHAnsi"/>
          <w:b w:val="0"/>
          <w:bCs w:val="0"/>
          <w:spacing w:val="81"/>
          <w:sz w:val="24"/>
          <w:szCs w:val="24"/>
        </w:rPr>
        <w:t xml:space="preserve"> </w:t>
      </w:r>
      <w:r w:rsidRPr="008376FC">
        <w:rPr>
          <w:rFonts w:asciiTheme="majorHAnsi" w:eastAsia="Calibri" w:hAnsiTheme="majorHAnsi" w:cstheme="majorHAnsi"/>
          <w:b w:val="0"/>
          <w:bCs w:val="0"/>
          <w:sz w:val="24"/>
          <w:szCs w:val="24"/>
        </w:rPr>
        <w:t>revine</w:t>
      </w:r>
      <w:r w:rsidRPr="008376FC">
        <w:rPr>
          <w:rFonts w:asciiTheme="majorHAnsi" w:eastAsia="Calibri" w:hAnsiTheme="majorHAnsi" w:cstheme="majorHAnsi"/>
          <w:b w:val="0"/>
          <w:bCs w:val="0"/>
          <w:spacing w:val="80"/>
          <w:sz w:val="24"/>
          <w:szCs w:val="24"/>
        </w:rPr>
        <w:t xml:space="preserve"> </w:t>
      </w:r>
      <w:r w:rsidRPr="008376FC">
        <w:rPr>
          <w:rFonts w:asciiTheme="majorHAnsi" w:eastAsia="Calibri" w:hAnsiTheme="majorHAnsi" w:cstheme="majorHAnsi"/>
          <w:b w:val="0"/>
          <w:bCs w:val="0"/>
          <w:sz w:val="24"/>
          <w:szCs w:val="24"/>
        </w:rPr>
        <w:t>stațiilor</w:t>
      </w:r>
      <w:r w:rsidRPr="008376FC">
        <w:rPr>
          <w:rFonts w:asciiTheme="majorHAnsi" w:eastAsia="Calibri" w:hAnsiTheme="majorHAnsi" w:cstheme="majorHAnsi"/>
          <w:b w:val="0"/>
          <w:bCs w:val="0"/>
          <w:spacing w:val="78"/>
          <w:sz w:val="24"/>
          <w:szCs w:val="24"/>
        </w:rPr>
        <w:t xml:space="preserve"> </w:t>
      </w:r>
      <w:r w:rsidRPr="008376FC">
        <w:rPr>
          <w:rFonts w:asciiTheme="majorHAnsi" w:eastAsia="Calibri" w:hAnsiTheme="majorHAnsi" w:cstheme="majorHAnsi"/>
          <w:b w:val="0"/>
          <w:bCs w:val="0"/>
          <w:sz w:val="24"/>
          <w:szCs w:val="24"/>
        </w:rPr>
        <w:t>de</w:t>
      </w:r>
      <w:r w:rsidRPr="008376FC">
        <w:rPr>
          <w:rFonts w:asciiTheme="majorHAnsi" w:eastAsia="Calibri" w:hAnsiTheme="majorHAnsi" w:cstheme="majorHAnsi"/>
          <w:b w:val="0"/>
          <w:bCs w:val="0"/>
          <w:spacing w:val="79"/>
          <w:sz w:val="24"/>
          <w:szCs w:val="24"/>
        </w:rPr>
        <w:t xml:space="preserve"> </w:t>
      </w:r>
      <w:r w:rsidRPr="008376FC">
        <w:rPr>
          <w:rFonts w:asciiTheme="majorHAnsi" w:eastAsia="Calibri" w:hAnsiTheme="majorHAnsi" w:cstheme="majorHAnsi"/>
          <w:b w:val="0"/>
          <w:bCs w:val="0"/>
          <w:sz w:val="24"/>
          <w:szCs w:val="24"/>
        </w:rPr>
        <w:t>epurare,</w:t>
      </w:r>
      <w:r w:rsidRPr="008376FC">
        <w:rPr>
          <w:rFonts w:asciiTheme="majorHAnsi" w:eastAsia="Calibri" w:hAnsiTheme="majorHAnsi" w:cstheme="majorHAnsi"/>
          <w:b w:val="0"/>
          <w:bCs w:val="0"/>
          <w:spacing w:val="79"/>
          <w:sz w:val="24"/>
          <w:szCs w:val="24"/>
        </w:rPr>
        <w:t xml:space="preserve"> </w:t>
      </w:r>
      <w:r w:rsidRPr="008376FC">
        <w:rPr>
          <w:rFonts w:asciiTheme="majorHAnsi" w:eastAsia="Calibri" w:hAnsiTheme="majorHAnsi" w:cstheme="majorHAnsi"/>
          <w:b w:val="0"/>
          <w:bCs w:val="0"/>
          <w:sz w:val="24"/>
          <w:szCs w:val="24"/>
        </w:rPr>
        <w:t>acestea</w:t>
      </w:r>
      <w:r w:rsidRPr="008376FC">
        <w:rPr>
          <w:rFonts w:asciiTheme="majorHAnsi" w:eastAsia="Calibri" w:hAnsiTheme="majorHAnsi" w:cstheme="majorHAnsi"/>
          <w:b w:val="0"/>
          <w:bCs w:val="0"/>
          <w:spacing w:val="81"/>
          <w:sz w:val="24"/>
          <w:szCs w:val="24"/>
        </w:rPr>
        <w:t xml:space="preserve"> </w:t>
      </w:r>
      <w:r w:rsidRPr="008376FC">
        <w:rPr>
          <w:rFonts w:asciiTheme="majorHAnsi" w:eastAsia="Calibri" w:hAnsiTheme="majorHAnsi" w:cstheme="majorHAnsi"/>
          <w:b w:val="0"/>
          <w:bCs w:val="0"/>
          <w:sz w:val="24"/>
          <w:szCs w:val="24"/>
        </w:rPr>
        <w:t>având</w:t>
      </w:r>
      <w:r w:rsidRPr="008376FC">
        <w:rPr>
          <w:rFonts w:asciiTheme="majorHAnsi" w:eastAsia="Calibri" w:hAnsiTheme="majorHAnsi" w:cstheme="majorHAnsi"/>
          <w:b w:val="0"/>
          <w:bCs w:val="0"/>
          <w:spacing w:val="79"/>
          <w:sz w:val="24"/>
          <w:szCs w:val="24"/>
        </w:rPr>
        <w:t xml:space="preserve"> </w:t>
      </w:r>
      <w:r w:rsidRPr="008376FC">
        <w:rPr>
          <w:rFonts w:asciiTheme="majorHAnsi" w:eastAsia="Calibri" w:hAnsiTheme="majorHAnsi" w:cstheme="majorHAnsi"/>
          <w:b w:val="0"/>
          <w:bCs w:val="0"/>
          <w:sz w:val="24"/>
          <w:szCs w:val="24"/>
        </w:rPr>
        <w:t>ca</w:t>
      </w:r>
      <w:r w:rsidRPr="008376FC">
        <w:rPr>
          <w:rFonts w:asciiTheme="majorHAnsi" w:eastAsia="Calibri" w:hAnsiTheme="majorHAnsi" w:cstheme="majorHAnsi"/>
          <w:b w:val="0"/>
          <w:bCs w:val="0"/>
          <w:spacing w:val="78"/>
          <w:sz w:val="24"/>
          <w:szCs w:val="24"/>
        </w:rPr>
        <w:t xml:space="preserve"> </w:t>
      </w:r>
      <w:r w:rsidRPr="008376FC">
        <w:rPr>
          <w:rFonts w:asciiTheme="majorHAnsi" w:eastAsia="Calibri" w:hAnsiTheme="majorHAnsi" w:cstheme="majorHAnsi"/>
          <w:b w:val="0"/>
          <w:bCs w:val="0"/>
          <w:sz w:val="24"/>
          <w:szCs w:val="24"/>
        </w:rPr>
        <w:t>scop îmbunătățirea</w:t>
      </w:r>
      <w:r w:rsidRPr="008376FC">
        <w:rPr>
          <w:rFonts w:asciiTheme="majorHAnsi" w:eastAsia="Calibri" w:hAnsiTheme="majorHAnsi" w:cstheme="majorHAnsi"/>
          <w:b w:val="0"/>
          <w:bCs w:val="0"/>
          <w:spacing w:val="-16"/>
          <w:sz w:val="24"/>
          <w:szCs w:val="24"/>
        </w:rPr>
        <w:t xml:space="preserve"> </w:t>
      </w:r>
      <w:r w:rsidRPr="008376FC">
        <w:rPr>
          <w:rFonts w:asciiTheme="majorHAnsi" w:eastAsia="Calibri" w:hAnsiTheme="majorHAnsi" w:cstheme="majorHAnsi"/>
          <w:b w:val="0"/>
          <w:bCs w:val="0"/>
          <w:sz w:val="24"/>
          <w:szCs w:val="24"/>
        </w:rPr>
        <w:t>calității</w:t>
      </w:r>
      <w:r w:rsidRPr="008376FC">
        <w:rPr>
          <w:rFonts w:asciiTheme="majorHAnsi" w:eastAsia="Calibri" w:hAnsiTheme="majorHAnsi" w:cstheme="majorHAnsi"/>
          <w:b w:val="0"/>
          <w:bCs w:val="0"/>
          <w:spacing w:val="-16"/>
          <w:sz w:val="24"/>
          <w:szCs w:val="24"/>
        </w:rPr>
        <w:t xml:space="preserve"> </w:t>
      </w:r>
      <w:r w:rsidRPr="008376FC">
        <w:rPr>
          <w:rFonts w:asciiTheme="majorHAnsi" w:eastAsia="Calibri" w:hAnsiTheme="majorHAnsi" w:cstheme="majorHAnsi"/>
          <w:b w:val="0"/>
          <w:bCs w:val="0"/>
          <w:sz w:val="24"/>
          <w:szCs w:val="24"/>
        </w:rPr>
        <w:t>apelor</w:t>
      </w:r>
      <w:r w:rsidRPr="008376FC">
        <w:rPr>
          <w:rFonts w:asciiTheme="majorHAnsi" w:eastAsia="Calibri" w:hAnsiTheme="majorHAnsi" w:cstheme="majorHAnsi"/>
          <w:b w:val="0"/>
          <w:bCs w:val="0"/>
          <w:spacing w:val="-17"/>
          <w:sz w:val="24"/>
          <w:szCs w:val="24"/>
        </w:rPr>
        <w:t xml:space="preserve"> </w:t>
      </w:r>
      <w:r w:rsidRPr="008376FC">
        <w:rPr>
          <w:rFonts w:asciiTheme="majorHAnsi" w:eastAsia="Calibri" w:hAnsiTheme="majorHAnsi" w:cstheme="majorHAnsi"/>
          <w:b w:val="0"/>
          <w:bCs w:val="0"/>
          <w:sz w:val="24"/>
          <w:szCs w:val="24"/>
        </w:rPr>
        <w:t>uzate,</w:t>
      </w:r>
      <w:r w:rsidRPr="008376FC">
        <w:rPr>
          <w:rFonts w:asciiTheme="majorHAnsi" w:eastAsia="Calibri" w:hAnsiTheme="majorHAnsi" w:cstheme="majorHAnsi"/>
          <w:b w:val="0"/>
          <w:bCs w:val="0"/>
          <w:spacing w:val="-16"/>
          <w:sz w:val="24"/>
          <w:szCs w:val="24"/>
        </w:rPr>
        <w:t xml:space="preserve"> </w:t>
      </w:r>
      <w:r w:rsidRPr="008376FC">
        <w:rPr>
          <w:rFonts w:asciiTheme="majorHAnsi" w:eastAsia="Calibri" w:hAnsiTheme="majorHAnsi" w:cstheme="majorHAnsi"/>
          <w:b w:val="0"/>
          <w:bCs w:val="0"/>
          <w:sz w:val="24"/>
          <w:szCs w:val="24"/>
        </w:rPr>
        <w:t>pentru</w:t>
      </w:r>
      <w:r w:rsidRPr="008376FC">
        <w:rPr>
          <w:rFonts w:asciiTheme="majorHAnsi" w:eastAsia="Calibri" w:hAnsiTheme="majorHAnsi" w:cstheme="majorHAnsi"/>
          <w:b w:val="0"/>
          <w:bCs w:val="0"/>
          <w:spacing w:val="-14"/>
          <w:sz w:val="24"/>
          <w:szCs w:val="24"/>
        </w:rPr>
        <w:t xml:space="preserve"> </w:t>
      </w:r>
      <w:r w:rsidRPr="008376FC">
        <w:rPr>
          <w:rFonts w:asciiTheme="majorHAnsi" w:eastAsia="Calibri" w:hAnsiTheme="majorHAnsi" w:cstheme="majorHAnsi"/>
          <w:b w:val="0"/>
          <w:bCs w:val="0"/>
          <w:sz w:val="24"/>
          <w:szCs w:val="24"/>
        </w:rPr>
        <w:t>a</w:t>
      </w:r>
      <w:r w:rsidRPr="008376FC">
        <w:rPr>
          <w:rFonts w:asciiTheme="majorHAnsi" w:eastAsia="Calibri" w:hAnsiTheme="majorHAnsi" w:cstheme="majorHAnsi"/>
          <w:b w:val="0"/>
          <w:bCs w:val="0"/>
          <w:spacing w:val="-17"/>
          <w:sz w:val="24"/>
          <w:szCs w:val="24"/>
        </w:rPr>
        <w:t xml:space="preserve"> </w:t>
      </w:r>
      <w:r w:rsidRPr="008376FC">
        <w:rPr>
          <w:rFonts w:asciiTheme="majorHAnsi" w:eastAsia="Calibri" w:hAnsiTheme="majorHAnsi" w:cstheme="majorHAnsi"/>
          <w:b w:val="0"/>
          <w:bCs w:val="0"/>
          <w:sz w:val="24"/>
          <w:szCs w:val="24"/>
        </w:rPr>
        <w:t>putea</w:t>
      </w:r>
      <w:r w:rsidRPr="008376FC">
        <w:rPr>
          <w:rFonts w:asciiTheme="majorHAnsi" w:eastAsia="Calibri" w:hAnsiTheme="majorHAnsi" w:cstheme="majorHAnsi"/>
          <w:b w:val="0"/>
          <w:bCs w:val="0"/>
          <w:spacing w:val="-16"/>
          <w:sz w:val="24"/>
          <w:szCs w:val="24"/>
        </w:rPr>
        <w:t xml:space="preserve"> </w:t>
      </w:r>
      <w:r w:rsidRPr="008376FC">
        <w:rPr>
          <w:rFonts w:asciiTheme="majorHAnsi" w:eastAsia="Calibri" w:hAnsiTheme="majorHAnsi" w:cstheme="majorHAnsi"/>
          <w:b w:val="0"/>
          <w:bCs w:val="0"/>
          <w:sz w:val="24"/>
          <w:szCs w:val="24"/>
        </w:rPr>
        <w:t>fi</w:t>
      </w:r>
      <w:r w:rsidRPr="008376FC">
        <w:rPr>
          <w:rFonts w:asciiTheme="majorHAnsi" w:eastAsia="Calibri" w:hAnsiTheme="majorHAnsi" w:cstheme="majorHAnsi"/>
          <w:b w:val="0"/>
          <w:bCs w:val="0"/>
          <w:spacing w:val="-14"/>
          <w:sz w:val="24"/>
          <w:szCs w:val="24"/>
        </w:rPr>
        <w:t xml:space="preserve"> </w:t>
      </w:r>
      <w:r w:rsidRPr="008376FC">
        <w:rPr>
          <w:rFonts w:asciiTheme="majorHAnsi" w:eastAsia="Calibri" w:hAnsiTheme="majorHAnsi" w:cstheme="majorHAnsi"/>
          <w:b w:val="0"/>
          <w:bCs w:val="0"/>
          <w:sz w:val="24"/>
          <w:szCs w:val="24"/>
        </w:rPr>
        <w:t>deversate</w:t>
      </w:r>
      <w:r w:rsidRPr="008376FC">
        <w:rPr>
          <w:rFonts w:asciiTheme="majorHAnsi" w:eastAsia="Calibri" w:hAnsiTheme="majorHAnsi" w:cstheme="majorHAnsi"/>
          <w:b w:val="0"/>
          <w:bCs w:val="0"/>
          <w:spacing w:val="-15"/>
          <w:sz w:val="24"/>
          <w:szCs w:val="24"/>
        </w:rPr>
        <w:t xml:space="preserve"> </w:t>
      </w:r>
      <w:r w:rsidRPr="008376FC">
        <w:rPr>
          <w:rFonts w:asciiTheme="majorHAnsi" w:eastAsia="Calibri" w:hAnsiTheme="majorHAnsi" w:cstheme="majorHAnsi"/>
          <w:b w:val="0"/>
          <w:bCs w:val="0"/>
          <w:sz w:val="24"/>
          <w:szCs w:val="24"/>
        </w:rPr>
        <w:t>fără</w:t>
      </w:r>
      <w:r w:rsidRPr="008376FC">
        <w:rPr>
          <w:rFonts w:asciiTheme="majorHAnsi" w:eastAsia="Calibri" w:hAnsiTheme="majorHAnsi" w:cstheme="majorHAnsi"/>
          <w:b w:val="0"/>
          <w:bCs w:val="0"/>
          <w:spacing w:val="-16"/>
          <w:sz w:val="24"/>
          <w:szCs w:val="24"/>
        </w:rPr>
        <w:t xml:space="preserve"> </w:t>
      </w:r>
      <w:r w:rsidRPr="008376FC">
        <w:rPr>
          <w:rFonts w:asciiTheme="majorHAnsi" w:eastAsia="Calibri" w:hAnsiTheme="majorHAnsi" w:cstheme="majorHAnsi"/>
          <w:b w:val="0"/>
          <w:bCs w:val="0"/>
          <w:sz w:val="24"/>
          <w:szCs w:val="24"/>
        </w:rPr>
        <w:t>a</w:t>
      </w:r>
      <w:r w:rsidRPr="008376FC">
        <w:rPr>
          <w:rFonts w:asciiTheme="majorHAnsi" w:eastAsia="Calibri" w:hAnsiTheme="majorHAnsi" w:cstheme="majorHAnsi"/>
          <w:b w:val="0"/>
          <w:bCs w:val="0"/>
          <w:spacing w:val="-15"/>
          <w:sz w:val="24"/>
          <w:szCs w:val="24"/>
        </w:rPr>
        <w:t xml:space="preserve"> </w:t>
      </w:r>
      <w:r w:rsidRPr="008376FC">
        <w:rPr>
          <w:rFonts w:asciiTheme="majorHAnsi" w:eastAsia="Calibri" w:hAnsiTheme="majorHAnsi" w:cstheme="majorHAnsi"/>
          <w:b w:val="0"/>
          <w:bCs w:val="0"/>
          <w:sz w:val="24"/>
          <w:szCs w:val="24"/>
        </w:rPr>
        <w:t>prejudicia</w:t>
      </w:r>
      <w:r w:rsidRPr="008376FC">
        <w:rPr>
          <w:rFonts w:asciiTheme="majorHAnsi" w:eastAsia="Calibri" w:hAnsiTheme="majorHAnsi" w:cstheme="majorHAnsi"/>
          <w:b w:val="0"/>
          <w:bCs w:val="0"/>
          <w:spacing w:val="-15"/>
          <w:sz w:val="24"/>
          <w:szCs w:val="24"/>
        </w:rPr>
        <w:t xml:space="preserve"> </w:t>
      </w:r>
      <w:r w:rsidRPr="008376FC">
        <w:rPr>
          <w:rFonts w:asciiTheme="majorHAnsi" w:eastAsia="Calibri" w:hAnsiTheme="majorHAnsi" w:cstheme="majorHAnsi"/>
          <w:b w:val="0"/>
          <w:bCs w:val="0"/>
          <w:sz w:val="24"/>
          <w:szCs w:val="24"/>
        </w:rPr>
        <w:t>mediul.</w:t>
      </w:r>
    </w:p>
    <w:p w:rsidR="00BE49FB" w:rsidRPr="008376FC" w:rsidRDefault="00ED3A0F" w:rsidP="00F61756">
      <w:pPr>
        <w:widowControl w:val="0"/>
        <w:autoSpaceDE w:val="0"/>
        <w:autoSpaceDN w:val="0"/>
        <w:spacing w:before="120" w:after="0" w:line="276" w:lineRule="auto"/>
        <w:ind w:left="45" w:right="-2"/>
        <w:jc w:val="both"/>
        <w:rPr>
          <w:rFonts w:asciiTheme="majorHAnsi" w:eastAsia="Times New Roman" w:hAnsiTheme="majorHAnsi" w:cstheme="majorHAnsi"/>
          <w:b w:val="0"/>
          <w:bCs w:val="0"/>
          <w:sz w:val="24"/>
          <w:szCs w:val="24"/>
        </w:rPr>
      </w:pPr>
      <w:r>
        <w:rPr>
          <w:rFonts w:asciiTheme="majorHAnsi" w:eastAsia="Times New Roman" w:hAnsiTheme="majorHAnsi" w:cstheme="majorHAnsi"/>
          <w:b w:val="0"/>
          <w:bCs w:val="0"/>
          <w:sz w:val="24"/>
          <w:szCs w:val="24"/>
        </w:rPr>
        <w:t>Majoritatea</w:t>
      </w:r>
      <w:r w:rsidR="00BE49FB" w:rsidRPr="008376FC">
        <w:rPr>
          <w:rFonts w:asciiTheme="majorHAnsi" w:eastAsia="Times New Roman" w:hAnsiTheme="majorHAnsi" w:cstheme="majorHAnsi"/>
          <w:b w:val="0"/>
          <w:bCs w:val="0"/>
          <w:sz w:val="24"/>
          <w:szCs w:val="24"/>
        </w:rPr>
        <w:t xml:space="preserve"> stațiilor de epurare au fost construite în anii </w:t>
      </w:r>
      <w:r w:rsidR="00221DA5">
        <w:rPr>
          <w:rFonts w:asciiTheme="majorHAnsi" w:eastAsia="Times New Roman" w:hAnsiTheme="majorHAnsi" w:cstheme="majorHAnsi"/>
          <w:b w:val="0"/>
          <w:bCs w:val="0"/>
          <w:sz w:val="24"/>
          <w:szCs w:val="24"/>
        </w:rPr>
        <w:t>50-60</w:t>
      </w:r>
      <w:r w:rsidR="00221DA5" w:rsidRPr="008376FC">
        <w:rPr>
          <w:rFonts w:asciiTheme="majorHAnsi" w:eastAsia="Times New Roman" w:hAnsiTheme="majorHAnsi" w:cstheme="majorHAnsi"/>
          <w:b w:val="0"/>
          <w:bCs w:val="0"/>
          <w:sz w:val="24"/>
          <w:szCs w:val="24"/>
        </w:rPr>
        <w:t xml:space="preserve"> </w:t>
      </w:r>
      <w:r w:rsidR="00BE49FB" w:rsidRPr="008376FC">
        <w:rPr>
          <w:rFonts w:asciiTheme="majorHAnsi" w:eastAsia="Times New Roman" w:hAnsiTheme="majorHAnsi" w:cstheme="majorHAnsi"/>
          <w:b w:val="0"/>
          <w:bCs w:val="0"/>
          <w:sz w:val="24"/>
          <w:szCs w:val="24"/>
        </w:rPr>
        <w:t>a</w:t>
      </w:r>
      <w:r>
        <w:rPr>
          <w:rFonts w:asciiTheme="majorHAnsi" w:eastAsia="Times New Roman" w:hAnsiTheme="majorHAnsi" w:cstheme="majorHAnsi"/>
          <w:b w:val="0"/>
          <w:bCs w:val="0"/>
          <w:sz w:val="24"/>
          <w:szCs w:val="24"/>
        </w:rPr>
        <w:t>i</w:t>
      </w:r>
      <w:r w:rsidR="00BE49FB" w:rsidRPr="008376FC">
        <w:rPr>
          <w:rFonts w:asciiTheme="majorHAnsi" w:eastAsia="Times New Roman" w:hAnsiTheme="majorHAnsi" w:cstheme="majorHAnsi"/>
          <w:b w:val="0"/>
          <w:bCs w:val="0"/>
          <w:sz w:val="24"/>
          <w:szCs w:val="24"/>
        </w:rPr>
        <w:t xml:space="preserve"> secolului XX și sunt sau distruse</w:t>
      </w:r>
      <w:r>
        <w:rPr>
          <w:rFonts w:asciiTheme="majorHAnsi" w:eastAsia="Times New Roman" w:hAnsiTheme="majorHAnsi" w:cstheme="majorHAnsi"/>
          <w:b w:val="0"/>
          <w:bCs w:val="0"/>
          <w:sz w:val="24"/>
          <w:szCs w:val="24"/>
        </w:rPr>
        <w:t>,</w:t>
      </w:r>
      <w:r w:rsidR="00BE49FB" w:rsidRPr="008376FC">
        <w:rPr>
          <w:rFonts w:asciiTheme="majorHAnsi" w:eastAsia="Times New Roman" w:hAnsiTheme="majorHAnsi" w:cstheme="majorHAnsi"/>
          <w:b w:val="0"/>
          <w:bCs w:val="0"/>
          <w:sz w:val="24"/>
          <w:szCs w:val="24"/>
        </w:rPr>
        <w:t xml:space="preserve"> sau au un grad sporit de uzură a construcțiilor. Una din cauzele degradării stațiilor de epurare a apelor uzate este și faptul că acestea nu au fost utilizate la capacitatea lor maximă proiectată. Alt</w:t>
      </w:r>
      <w:r>
        <w:rPr>
          <w:rFonts w:asciiTheme="majorHAnsi" w:eastAsia="Times New Roman" w:hAnsiTheme="majorHAnsi" w:cstheme="majorHAnsi"/>
          <w:b w:val="0"/>
          <w:bCs w:val="0"/>
          <w:sz w:val="24"/>
          <w:szCs w:val="24"/>
        </w:rPr>
        <w:t>ă</w:t>
      </w:r>
      <w:r w:rsidR="00BE49FB" w:rsidRPr="008376FC">
        <w:rPr>
          <w:rFonts w:asciiTheme="majorHAnsi" w:eastAsia="Times New Roman" w:hAnsiTheme="majorHAnsi" w:cstheme="majorHAnsi"/>
          <w:b w:val="0"/>
          <w:bCs w:val="0"/>
          <w:sz w:val="24"/>
          <w:szCs w:val="24"/>
        </w:rPr>
        <w:t xml:space="preserve"> cauză este că sistemele de alimentare cu apă și canalizare și stațiile de epurare a apelor uza</w:t>
      </w:r>
      <w:r>
        <w:rPr>
          <w:rFonts w:asciiTheme="majorHAnsi" w:eastAsia="Times New Roman" w:hAnsiTheme="majorHAnsi" w:cstheme="majorHAnsi"/>
          <w:b w:val="0"/>
          <w:bCs w:val="0"/>
          <w:sz w:val="24"/>
          <w:szCs w:val="24"/>
        </w:rPr>
        <w:t>t</w:t>
      </w:r>
      <w:r w:rsidR="00BE49FB" w:rsidRPr="008376FC">
        <w:rPr>
          <w:rFonts w:asciiTheme="majorHAnsi" w:eastAsia="Times New Roman" w:hAnsiTheme="majorHAnsi" w:cstheme="majorHAnsi"/>
          <w:b w:val="0"/>
          <w:bCs w:val="0"/>
          <w:sz w:val="24"/>
          <w:szCs w:val="24"/>
        </w:rPr>
        <w:t xml:space="preserve">e, inclusiv toată infrastructura aferentă domeniului de alimentare cu apă și sanitație, este  </w:t>
      </w:r>
      <w:r w:rsidR="00AF010C" w:rsidRPr="008376FC">
        <w:rPr>
          <w:rFonts w:asciiTheme="majorHAnsi" w:eastAsia="Times New Roman" w:hAnsiTheme="majorHAnsi" w:cstheme="majorHAnsi"/>
          <w:b w:val="0"/>
          <w:bCs w:val="0"/>
          <w:sz w:val="24"/>
          <w:szCs w:val="24"/>
        </w:rPr>
        <w:t>gestiun</w:t>
      </w:r>
      <w:r w:rsidR="00AF010C">
        <w:rPr>
          <w:rFonts w:asciiTheme="majorHAnsi" w:eastAsia="Times New Roman" w:hAnsiTheme="majorHAnsi" w:cstheme="majorHAnsi"/>
          <w:b w:val="0"/>
          <w:bCs w:val="0"/>
          <w:sz w:val="24"/>
          <w:szCs w:val="24"/>
        </w:rPr>
        <w:t>ată de</w:t>
      </w:r>
      <w:r w:rsidR="00AF010C" w:rsidRPr="008376FC">
        <w:rPr>
          <w:rFonts w:asciiTheme="majorHAnsi" w:eastAsia="Times New Roman" w:hAnsiTheme="majorHAnsi" w:cstheme="majorHAnsi"/>
          <w:b w:val="0"/>
          <w:bCs w:val="0"/>
          <w:sz w:val="24"/>
          <w:szCs w:val="24"/>
        </w:rPr>
        <w:t xml:space="preserve"> </w:t>
      </w:r>
      <w:r w:rsidR="00BE49FB" w:rsidRPr="008376FC">
        <w:rPr>
          <w:rFonts w:asciiTheme="majorHAnsi" w:eastAsia="Times New Roman" w:hAnsiTheme="majorHAnsi" w:cstheme="majorHAnsi"/>
          <w:b w:val="0"/>
          <w:bCs w:val="0"/>
          <w:sz w:val="24"/>
          <w:szCs w:val="24"/>
        </w:rPr>
        <w:t xml:space="preserve">APL, care nu dispun de personal </w:t>
      </w:r>
      <w:r>
        <w:rPr>
          <w:rFonts w:asciiTheme="majorHAnsi" w:eastAsia="Times New Roman" w:hAnsiTheme="majorHAnsi" w:cstheme="majorHAnsi"/>
          <w:b w:val="0"/>
          <w:bCs w:val="0"/>
          <w:sz w:val="24"/>
          <w:szCs w:val="24"/>
        </w:rPr>
        <w:t>calificat și</w:t>
      </w:r>
      <w:r w:rsidR="00BE49FB" w:rsidRPr="008376FC">
        <w:rPr>
          <w:rFonts w:asciiTheme="majorHAnsi" w:eastAsia="Times New Roman" w:hAnsiTheme="majorHAnsi" w:cstheme="majorHAnsi"/>
          <w:b w:val="0"/>
          <w:bCs w:val="0"/>
          <w:sz w:val="24"/>
          <w:szCs w:val="24"/>
        </w:rPr>
        <w:t xml:space="preserve"> cu experiență pentru a le gestiona efectiv şi eficace, precum și de investiții necesare pentru a menține infrastructura respectivă în stare funcțională. În consecință, la finele anului 2021, din totalul de 101 stații de epurare a apelor uzate, 9</w:t>
      </w:r>
      <w:r>
        <w:rPr>
          <w:rFonts w:asciiTheme="majorHAnsi" w:eastAsia="Times New Roman" w:hAnsiTheme="majorHAnsi" w:cstheme="majorHAnsi"/>
          <w:b w:val="0"/>
          <w:bCs w:val="0"/>
          <w:sz w:val="24"/>
          <w:szCs w:val="24"/>
        </w:rPr>
        <w:t>,</w:t>
      </w:r>
      <w:r w:rsidR="00BE49FB" w:rsidRPr="008376FC">
        <w:rPr>
          <w:rFonts w:asciiTheme="majorHAnsi" w:eastAsia="Times New Roman" w:hAnsiTheme="majorHAnsi" w:cstheme="majorHAnsi"/>
          <w:b w:val="0"/>
          <w:bCs w:val="0"/>
          <w:sz w:val="24"/>
          <w:szCs w:val="24"/>
        </w:rPr>
        <w:t xml:space="preserve"> sau 8,9%</w:t>
      </w:r>
      <w:r>
        <w:rPr>
          <w:rFonts w:asciiTheme="majorHAnsi" w:eastAsia="Times New Roman" w:hAnsiTheme="majorHAnsi" w:cstheme="majorHAnsi"/>
          <w:b w:val="0"/>
          <w:bCs w:val="0"/>
          <w:sz w:val="24"/>
          <w:szCs w:val="24"/>
        </w:rPr>
        <w:t>,</w:t>
      </w:r>
      <w:r w:rsidR="00BE49FB" w:rsidRPr="008376FC">
        <w:rPr>
          <w:rFonts w:asciiTheme="majorHAnsi" w:eastAsia="Times New Roman" w:hAnsiTheme="majorHAnsi" w:cstheme="majorHAnsi"/>
          <w:b w:val="0"/>
          <w:bCs w:val="0"/>
          <w:sz w:val="24"/>
          <w:szCs w:val="24"/>
        </w:rPr>
        <w:t xml:space="preserve"> nu sunt funcționale. </w:t>
      </w:r>
    </w:p>
    <w:p w:rsidR="00724D50" w:rsidRDefault="00BE49FB" w:rsidP="00F61756">
      <w:pPr>
        <w:spacing w:after="0" w:line="276" w:lineRule="auto"/>
        <w:jc w:val="both"/>
        <w:rPr>
          <w:rFonts w:asciiTheme="majorHAnsi" w:eastAsia="Calibri" w:hAnsiTheme="majorHAnsi" w:cstheme="majorHAnsi"/>
          <w:bCs w:val="0"/>
          <w:noProof/>
          <w:sz w:val="20"/>
          <w:szCs w:val="20"/>
          <w:lang w:eastAsia="ru-RU"/>
        </w:rPr>
      </w:pPr>
      <w:r w:rsidRPr="008376FC">
        <w:rPr>
          <w:rFonts w:asciiTheme="majorHAnsi" w:eastAsia="Times New Roman" w:hAnsiTheme="majorHAnsi" w:cstheme="majorHAnsi"/>
          <w:b w:val="0"/>
          <w:bCs w:val="0"/>
          <w:sz w:val="24"/>
          <w:szCs w:val="24"/>
        </w:rPr>
        <w:t>Analiza datelor prezentate de BNS</w:t>
      </w:r>
      <w:r w:rsidRPr="008376FC">
        <w:rPr>
          <w:rFonts w:asciiTheme="majorHAnsi" w:eastAsia="Times New Roman" w:hAnsiTheme="majorHAnsi" w:cstheme="majorHAnsi"/>
          <w:b w:val="0"/>
          <w:bCs w:val="0"/>
          <w:sz w:val="24"/>
          <w:szCs w:val="24"/>
          <w:vertAlign w:val="superscript"/>
        </w:rPr>
        <w:footnoteReference w:id="89"/>
      </w:r>
      <w:r w:rsidRPr="008376FC">
        <w:rPr>
          <w:rFonts w:asciiTheme="majorHAnsi" w:eastAsia="Times New Roman" w:hAnsiTheme="majorHAnsi" w:cstheme="majorHAnsi"/>
          <w:b w:val="0"/>
          <w:bCs w:val="0"/>
          <w:sz w:val="24"/>
          <w:szCs w:val="24"/>
        </w:rPr>
        <w:t xml:space="preserve"> privitor la volumul de apă captat de stațiile de epurare a apelor uzate </w:t>
      </w:r>
      <w:r w:rsidR="00ED3A0F">
        <w:rPr>
          <w:rFonts w:asciiTheme="majorHAnsi" w:eastAsia="Times New Roman" w:hAnsiTheme="majorHAnsi" w:cstheme="majorHAnsi"/>
          <w:b w:val="0"/>
          <w:bCs w:val="0"/>
          <w:sz w:val="24"/>
          <w:szCs w:val="24"/>
        </w:rPr>
        <w:t>relevă</w:t>
      </w:r>
      <w:r w:rsidRPr="008376FC">
        <w:rPr>
          <w:rFonts w:asciiTheme="majorHAnsi" w:eastAsia="Times New Roman" w:hAnsiTheme="majorHAnsi" w:cstheme="majorHAnsi"/>
          <w:b w:val="0"/>
          <w:bCs w:val="0"/>
          <w:sz w:val="24"/>
          <w:szCs w:val="24"/>
        </w:rPr>
        <w:t xml:space="preserve"> că</w:t>
      </w:r>
      <w:r w:rsidR="00ED3A0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în anii 2016-2018</w:t>
      </w:r>
      <w:r w:rsidR="00ED3A0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acesta a variat</w:t>
      </w:r>
      <w:r w:rsidR="00ED3A0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față de volumul proiectat</w:t>
      </w:r>
      <w:r w:rsidR="00ED3A0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între 32,2% în anul 2016 și 28,6% în anul 2018.  </w:t>
      </w:r>
    </w:p>
    <w:p w:rsidR="00BE49FB" w:rsidRPr="008376FC" w:rsidRDefault="00460159" w:rsidP="00F61756">
      <w:pPr>
        <w:spacing w:after="0" w:line="276" w:lineRule="auto"/>
        <w:jc w:val="right"/>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Tabelul nr. 2</w:t>
      </w:r>
      <w:r w:rsidR="00FF1425" w:rsidRPr="008376FC">
        <w:rPr>
          <w:rFonts w:asciiTheme="majorHAnsi" w:eastAsia="Calibri" w:hAnsiTheme="majorHAnsi" w:cstheme="majorHAnsi"/>
          <w:bCs w:val="0"/>
          <w:noProof/>
          <w:sz w:val="20"/>
          <w:szCs w:val="20"/>
          <w:lang w:eastAsia="ru-RU"/>
        </w:rPr>
        <w:t>2</w:t>
      </w:r>
    </w:p>
    <w:tbl>
      <w:tblPr>
        <w:tblStyle w:val="TableGrid1"/>
        <w:tblW w:w="9850" w:type="dxa"/>
        <w:tblLook w:val="04A0" w:firstRow="1" w:lastRow="0" w:firstColumn="1" w:lastColumn="0" w:noHBand="0" w:noVBand="1"/>
      </w:tblPr>
      <w:tblGrid>
        <w:gridCol w:w="1968"/>
        <w:gridCol w:w="1968"/>
        <w:gridCol w:w="1972"/>
        <w:gridCol w:w="1968"/>
        <w:gridCol w:w="1974"/>
      </w:tblGrid>
      <w:tr w:rsidR="00777DAC" w:rsidRPr="008376FC" w:rsidTr="00724D50">
        <w:trPr>
          <w:trHeight w:val="311"/>
        </w:trPr>
        <w:tc>
          <w:tcPr>
            <w:tcW w:w="9850" w:type="dxa"/>
            <w:gridSpan w:val="5"/>
            <w:tcBorders>
              <w:top w:val="nil"/>
              <w:left w:val="nil"/>
              <w:bottom w:val="single" w:sz="4" w:space="0" w:color="auto"/>
              <w:right w:val="nil"/>
            </w:tcBorders>
          </w:tcPr>
          <w:p w:rsidR="00777DAC" w:rsidRPr="008376FC" w:rsidRDefault="00777DAC" w:rsidP="00F61756">
            <w:pPr>
              <w:spacing w:line="276" w:lineRule="auto"/>
              <w:jc w:val="center"/>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Informati</w:t>
            </w:r>
            <w:r w:rsidR="00ED3A0F">
              <w:rPr>
                <w:rFonts w:asciiTheme="majorHAnsi" w:eastAsia="Calibri" w:hAnsiTheme="majorHAnsi" w:cstheme="majorHAnsi"/>
                <w:bCs w:val="0"/>
                <w:noProof/>
                <w:sz w:val="20"/>
                <w:szCs w:val="20"/>
                <w:lang w:eastAsia="ru-RU"/>
              </w:rPr>
              <w:t>i</w:t>
            </w:r>
            <w:r w:rsidRPr="008376FC">
              <w:rPr>
                <w:rFonts w:asciiTheme="majorHAnsi" w:eastAsia="Calibri" w:hAnsiTheme="majorHAnsi" w:cstheme="majorHAnsi"/>
                <w:bCs w:val="0"/>
                <w:noProof/>
                <w:sz w:val="20"/>
                <w:szCs w:val="20"/>
                <w:lang w:eastAsia="ru-RU"/>
              </w:rPr>
              <w:t xml:space="preserve"> privind </w:t>
            </w:r>
            <w:r w:rsidR="00F94F10">
              <w:rPr>
                <w:rFonts w:asciiTheme="majorHAnsi" w:eastAsia="Calibri" w:hAnsiTheme="majorHAnsi" w:cstheme="majorHAnsi"/>
                <w:bCs w:val="0"/>
                <w:noProof/>
                <w:sz w:val="20"/>
                <w:szCs w:val="20"/>
                <w:lang w:eastAsia="ru-RU"/>
              </w:rPr>
              <w:t xml:space="preserve">capacitatea de </w:t>
            </w:r>
            <w:r w:rsidRPr="008376FC">
              <w:rPr>
                <w:rFonts w:asciiTheme="majorHAnsi" w:eastAsia="Calibri" w:hAnsiTheme="majorHAnsi" w:cstheme="majorHAnsi"/>
                <w:bCs w:val="0"/>
                <w:noProof/>
                <w:sz w:val="20"/>
                <w:szCs w:val="20"/>
                <w:lang w:eastAsia="ru-RU"/>
              </w:rPr>
              <w:t>captare</w:t>
            </w:r>
            <w:r w:rsidR="00F94F10">
              <w:rPr>
                <w:rFonts w:asciiTheme="majorHAnsi" w:eastAsia="Calibri" w:hAnsiTheme="majorHAnsi" w:cstheme="majorHAnsi"/>
                <w:bCs w:val="0"/>
                <w:noProof/>
                <w:sz w:val="20"/>
                <w:szCs w:val="20"/>
                <w:lang w:eastAsia="ru-RU"/>
              </w:rPr>
              <w:t xml:space="preserve"> </w:t>
            </w:r>
            <w:r w:rsidRPr="008376FC">
              <w:rPr>
                <w:rFonts w:asciiTheme="majorHAnsi" w:eastAsia="Calibri" w:hAnsiTheme="majorHAnsi" w:cstheme="majorHAnsi"/>
                <w:bCs w:val="0"/>
                <w:noProof/>
                <w:sz w:val="20"/>
                <w:szCs w:val="20"/>
                <w:lang w:eastAsia="ru-RU"/>
              </w:rPr>
              <w:t xml:space="preserve">a </w:t>
            </w:r>
            <w:r w:rsidR="00F94F10">
              <w:rPr>
                <w:rFonts w:asciiTheme="majorHAnsi" w:eastAsia="Calibri" w:hAnsiTheme="majorHAnsi" w:cstheme="majorHAnsi"/>
                <w:bCs w:val="0"/>
                <w:noProof/>
                <w:sz w:val="20"/>
                <w:szCs w:val="20"/>
                <w:lang w:eastAsia="ru-RU"/>
              </w:rPr>
              <w:t xml:space="preserve">apelor uzate </w:t>
            </w:r>
            <w:r w:rsidRPr="008376FC">
              <w:rPr>
                <w:rFonts w:asciiTheme="majorHAnsi" w:eastAsia="Calibri" w:hAnsiTheme="majorHAnsi" w:cstheme="majorHAnsi"/>
                <w:bCs w:val="0"/>
                <w:noProof/>
                <w:sz w:val="20"/>
                <w:szCs w:val="20"/>
                <w:lang w:eastAsia="ru-RU"/>
              </w:rPr>
              <w:t>de staţiile de epurare proiectat</w:t>
            </w:r>
            <w:r w:rsidR="00F94F10">
              <w:rPr>
                <w:rFonts w:asciiTheme="majorHAnsi" w:eastAsia="Calibri" w:hAnsiTheme="majorHAnsi" w:cstheme="majorHAnsi"/>
                <w:bCs w:val="0"/>
                <w:noProof/>
                <w:sz w:val="20"/>
                <w:szCs w:val="20"/>
                <w:lang w:eastAsia="ru-RU"/>
              </w:rPr>
              <w:t>ă</w:t>
            </w:r>
            <w:r w:rsidRPr="008376FC">
              <w:rPr>
                <w:rFonts w:asciiTheme="majorHAnsi" w:eastAsia="Calibri" w:hAnsiTheme="majorHAnsi" w:cstheme="majorHAnsi"/>
                <w:bCs w:val="0"/>
                <w:noProof/>
                <w:sz w:val="20"/>
                <w:szCs w:val="20"/>
                <w:lang w:eastAsia="ru-RU"/>
              </w:rPr>
              <w:t xml:space="preserve"> faţă de real</w:t>
            </w:r>
            <w:r w:rsidR="00F94F10">
              <w:rPr>
                <w:rFonts w:asciiTheme="majorHAnsi" w:eastAsia="Calibri" w:hAnsiTheme="majorHAnsi" w:cstheme="majorHAnsi"/>
                <w:bCs w:val="0"/>
                <w:noProof/>
                <w:sz w:val="20"/>
                <w:szCs w:val="20"/>
                <w:lang w:eastAsia="ru-RU"/>
              </w:rPr>
              <w:t xml:space="preserve"> captată</w:t>
            </w:r>
          </w:p>
        </w:tc>
      </w:tr>
      <w:tr w:rsidR="00BE49FB" w:rsidRPr="008376FC" w:rsidTr="00724D50">
        <w:trPr>
          <w:trHeight w:val="311"/>
        </w:trPr>
        <w:tc>
          <w:tcPr>
            <w:tcW w:w="1968" w:type="dxa"/>
            <w:vMerge w:val="restart"/>
            <w:tcBorders>
              <w:top w:val="single" w:sz="4" w:space="0" w:color="auto"/>
            </w:tcBorders>
            <w:shd w:val="clear" w:color="auto" w:fill="BDD6EE" w:themeFill="accent1" w:themeFillTint="66"/>
          </w:tcPr>
          <w:p w:rsidR="00BE49FB" w:rsidRPr="008376FC" w:rsidRDefault="00ED3A0F" w:rsidP="00F61756">
            <w:pPr>
              <w:spacing w:line="276" w:lineRule="auto"/>
              <w:contextualSpacing/>
              <w:jc w:val="both"/>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A</w:t>
            </w:r>
            <w:r w:rsidR="00BE49FB" w:rsidRPr="008376FC">
              <w:rPr>
                <w:rFonts w:asciiTheme="majorHAnsi" w:eastAsia="Calibri" w:hAnsiTheme="majorHAnsi" w:cstheme="majorHAnsi"/>
                <w:bCs w:val="0"/>
                <w:noProof/>
                <w:sz w:val="20"/>
                <w:szCs w:val="20"/>
                <w:lang w:eastAsia="ru-RU"/>
              </w:rPr>
              <w:t>nii</w:t>
            </w:r>
          </w:p>
        </w:tc>
        <w:tc>
          <w:tcPr>
            <w:tcW w:w="3940" w:type="dxa"/>
            <w:gridSpan w:val="2"/>
            <w:tcBorders>
              <w:top w:val="single" w:sz="4" w:space="0" w:color="auto"/>
            </w:tcBorders>
            <w:shd w:val="clear" w:color="auto" w:fill="BDD6EE" w:themeFill="accent1" w:themeFillTint="66"/>
          </w:tcPr>
          <w:p w:rsidR="00BE49FB" w:rsidRPr="008376FC" w:rsidRDefault="00BE49FB" w:rsidP="00F61756">
            <w:pPr>
              <w:spacing w:line="276" w:lineRule="auto"/>
              <w:contextualSpacing/>
              <w:jc w:val="both"/>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Capacitatea stațiilor de epurare a apelor uzate, m</w:t>
            </w:r>
            <w:r w:rsidRPr="008376FC">
              <w:rPr>
                <w:rFonts w:asciiTheme="majorHAnsi" w:eastAsia="Calibri" w:hAnsiTheme="majorHAnsi" w:cstheme="majorHAnsi"/>
                <w:bCs w:val="0"/>
                <w:noProof/>
                <w:sz w:val="20"/>
                <w:szCs w:val="20"/>
                <w:vertAlign w:val="superscript"/>
                <w:lang w:eastAsia="ru-RU"/>
              </w:rPr>
              <w:t>3</w:t>
            </w:r>
            <w:r w:rsidRPr="008376FC">
              <w:rPr>
                <w:rFonts w:asciiTheme="majorHAnsi" w:eastAsia="Calibri" w:hAnsiTheme="majorHAnsi" w:cstheme="majorHAnsi"/>
                <w:bCs w:val="0"/>
                <w:noProof/>
                <w:sz w:val="20"/>
                <w:szCs w:val="20"/>
                <w:lang w:eastAsia="ru-RU"/>
              </w:rPr>
              <w:t xml:space="preserve"> </w:t>
            </w:r>
            <w:r w:rsidR="00F94F10">
              <w:rPr>
                <w:rFonts w:asciiTheme="majorHAnsi" w:eastAsia="Calibri" w:hAnsiTheme="majorHAnsi" w:cstheme="majorHAnsi"/>
                <w:bCs w:val="0"/>
                <w:noProof/>
                <w:sz w:val="20"/>
                <w:szCs w:val="20"/>
                <w:lang w:eastAsia="ru-RU"/>
              </w:rPr>
              <w:t>/</w:t>
            </w:r>
            <w:r w:rsidRPr="008376FC">
              <w:rPr>
                <w:rFonts w:asciiTheme="majorHAnsi" w:eastAsia="Calibri" w:hAnsiTheme="majorHAnsi" w:cstheme="majorHAnsi"/>
                <w:bCs w:val="0"/>
                <w:noProof/>
                <w:sz w:val="20"/>
                <w:szCs w:val="20"/>
                <w:lang w:eastAsia="ru-RU"/>
              </w:rPr>
              <w:t>24 ore</w:t>
            </w:r>
          </w:p>
        </w:tc>
        <w:tc>
          <w:tcPr>
            <w:tcW w:w="1968" w:type="dxa"/>
            <w:vMerge w:val="restart"/>
            <w:tcBorders>
              <w:top w:val="single" w:sz="4" w:space="0" w:color="auto"/>
            </w:tcBorders>
            <w:shd w:val="clear" w:color="auto" w:fill="BDD6EE" w:themeFill="accent1" w:themeFillTint="66"/>
          </w:tcPr>
          <w:p w:rsidR="00BE49FB" w:rsidRPr="008376FC" w:rsidRDefault="00BE49FB" w:rsidP="00F61756">
            <w:pPr>
              <w:spacing w:line="276" w:lineRule="auto"/>
              <w:contextualSpacing/>
              <w:jc w:val="both"/>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Devieri</w:t>
            </w:r>
          </w:p>
        </w:tc>
        <w:tc>
          <w:tcPr>
            <w:tcW w:w="1973" w:type="dxa"/>
            <w:vMerge w:val="restart"/>
            <w:tcBorders>
              <w:top w:val="single" w:sz="4" w:space="0" w:color="auto"/>
            </w:tcBorders>
            <w:shd w:val="clear" w:color="auto" w:fill="BDD6EE" w:themeFill="accent1" w:themeFillTint="66"/>
          </w:tcPr>
          <w:p w:rsidR="00BE49FB" w:rsidRPr="008376FC" w:rsidRDefault="00BE49FB" w:rsidP="00F61756">
            <w:pPr>
              <w:spacing w:line="276" w:lineRule="auto"/>
              <w:contextualSpacing/>
              <w:jc w:val="both"/>
              <w:rPr>
                <w:rFonts w:asciiTheme="majorHAnsi" w:eastAsia="Calibri" w:hAnsiTheme="majorHAnsi" w:cstheme="majorHAnsi"/>
                <w:bCs w:val="0"/>
                <w:noProof/>
                <w:sz w:val="20"/>
                <w:szCs w:val="20"/>
                <w:lang w:eastAsia="ru-RU"/>
              </w:rPr>
            </w:pPr>
            <w:r w:rsidRPr="00C04B44">
              <w:rPr>
                <w:rFonts w:asciiTheme="majorHAnsi" w:eastAsia="Calibri" w:hAnsiTheme="majorHAnsi" w:cstheme="majorHAnsi"/>
                <w:bCs w:val="0"/>
                <w:noProof/>
                <w:sz w:val="20"/>
                <w:szCs w:val="20"/>
                <w:lang w:eastAsia="ru-RU"/>
              </w:rPr>
              <w:t>Încărcătura</w:t>
            </w:r>
            <w:r w:rsidRPr="008376FC">
              <w:rPr>
                <w:rFonts w:asciiTheme="majorHAnsi" w:eastAsia="Calibri" w:hAnsiTheme="majorHAnsi" w:cstheme="majorHAnsi"/>
                <w:bCs w:val="0"/>
                <w:noProof/>
                <w:sz w:val="20"/>
                <w:szCs w:val="20"/>
                <w:lang w:eastAsia="ru-RU"/>
              </w:rPr>
              <w:t xml:space="preserve"> de la capacitatea proiectată</w:t>
            </w:r>
          </w:p>
        </w:tc>
      </w:tr>
      <w:tr w:rsidR="00BE49FB" w:rsidRPr="008376FC" w:rsidTr="00724D50">
        <w:trPr>
          <w:trHeight w:val="216"/>
        </w:trPr>
        <w:tc>
          <w:tcPr>
            <w:tcW w:w="1968" w:type="dxa"/>
            <w:vMerge/>
          </w:tcPr>
          <w:p w:rsidR="00BE49FB" w:rsidRPr="008376FC" w:rsidRDefault="00BE49FB" w:rsidP="00F61756">
            <w:pPr>
              <w:spacing w:line="276" w:lineRule="auto"/>
              <w:contextualSpacing/>
              <w:jc w:val="both"/>
              <w:rPr>
                <w:rFonts w:asciiTheme="majorHAnsi" w:eastAsia="Calibri" w:hAnsiTheme="majorHAnsi" w:cstheme="majorHAnsi"/>
                <w:bCs w:val="0"/>
                <w:noProof/>
                <w:sz w:val="20"/>
                <w:szCs w:val="20"/>
                <w:lang w:eastAsia="ru-RU"/>
              </w:rPr>
            </w:pPr>
          </w:p>
        </w:tc>
        <w:tc>
          <w:tcPr>
            <w:tcW w:w="1968" w:type="dxa"/>
            <w:shd w:val="clear" w:color="auto" w:fill="BDD6EE" w:themeFill="accent1" w:themeFillTint="66"/>
          </w:tcPr>
          <w:p w:rsidR="00BE49FB" w:rsidRPr="008376FC" w:rsidRDefault="00BE49FB" w:rsidP="00F61756">
            <w:pPr>
              <w:spacing w:line="276" w:lineRule="auto"/>
              <w:jc w:val="both"/>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proiect</w:t>
            </w:r>
            <w:r w:rsidR="00F94F10">
              <w:rPr>
                <w:rFonts w:asciiTheme="majorHAnsi" w:eastAsia="Calibri" w:hAnsiTheme="majorHAnsi" w:cstheme="majorHAnsi"/>
                <w:bCs w:val="0"/>
                <w:noProof/>
                <w:sz w:val="20"/>
                <w:szCs w:val="20"/>
                <w:lang w:eastAsia="ru-RU"/>
              </w:rPr>
              <w:t>ată</w:t>
            </w:r>
          </w:p>
        </w:tc>
        <w:tc>
          <w:tcPr>
            <w:tcW w:w="1972" w:type="dxa"/>
            <w:shd w:val="clear" w:color="auto" w:fill="BDD6EE" w:themeFill="accent1" w:themeFillTint="66"/>
          </w:tcPr>
          <w:p w:rsidR="00BE49FB" w:rsidRPr="008376FC" w:rsidRDefault="00F94F10" w:rsidP="00F61756">
            <w:pPr>
              <w:spacing w:line="276" w:lineRule="auto"/>
              <w:jc w:val="both"/>
              <w:rPr>
                <w:rFonts w:asciiTheme="majorHAnsi" w:eastAsia="Calibri" w:hAnsiTheme="majorHAnsi" w:cstheme="majorHAnsi"/>
                <w:bCs w:val="0"/>
                <w:noProof/>
                <w:sz w:val="20"/>
                <w:szCs w:val="20"/>
                <w:lang w:eastAsia="ru-RU"/>
              </w:rPr>
            </w:pPr>
            <w:r>
              <w:rPr>
                <w:rFonts w:asciiTheme="majorHAnsi" w:eastAsia="Calibri" w:hAnsiTheme="majorHAnsi" w:cstheme="majorHAnsi"/>
                <w:bCs w:val="0"/>
                <w:noProof/>
                <w:sz w:val="20"/>
                <w:szCs w:val="20"/>
                <w:lang w:eastAsia="ru-RU"/>
              </w:rPr>
              <w:t>r</w:t>
            </w:r>
            <w:r w:rsidR="00BE49FB" w:rsidRPr="008376FC">
              <w:rPr>
                <w:rFonts w:asciiTheme="majorHAnsi" w:eastAsia="Calibri" w:hAnsiTheme="majorHAnsi" w:cstheme="majorHAnsi"/>
                <w:bCs w:val="0"/>
                <w:noProof/>
                <w:sz w:val="20"/>
                <w:szCs w:val="20"/>
                <w:lang w:eastAsia="ru-RU"/>
              </w:rPr>
              <w:t>eală</w:t>
            </w:r>
          </w:p>
        </w:tc>
        <w:tc>
          <w:tcPr>
            <w:tcW w:w="1968" w:type="dxa"/>
            <w:vMerge/>
          </w:tcPr>
          <w:p w:rsidR="00BE49FB" w:rsidRPr="008376FC" w:rsidRDefault="00BE49FB" w:rsidP="00F61756">
            <w:pPr>
              <w:spacing w:line="276" w:lineRule="auto"/>
              <w:contextualSpacing/>
              <w:jc w:val="both"/>
              <w:rPr>
                <w:rFonts w:asciiTheme="majorHAnsi" w:eastAsia="Calibri" w:hAnsiTheme="majorHAnsi" w:cstheme="majorHAnsi"/>
                <w:bCs w:val="0"/>
                <w:noProof/>
                <w:sz w:val="20"/>
                <w:szCs w:val="20"/>
                <w:lang w:eastAsia="ru-RU"/>
              </w:rPr>
            </w:pPr>
          </w:p>
        </w:tc>
        <w:tc>
          <w:tcPr>
            <w:tcW w:w="1973" w:type="dxa"/>
            <w:vMerge/>
          </w:tcPr>
          <w:p w:rsidR="00BE49FB" w:rsidRPr="008376FC" w:rsidRDefault="00BE49FB" w:rsidP="00F61756">
            <w:pPr>
              <w:spacing w:line="276" w:lineRule="auto"/>
              <w:contextualSpacing/>
              <w:jc w:val="both"/>
              <w:rPr>
                <w:rFonts w:asciiTheme="majorHAnsi" w:eastAsia="Calibri" w:hAnsiTheme="majorHAnsi" w:cstheme="majorHAnsi"/>
                <w:bCs w:val="0"/>
                <w:noProof/>
                <w:sz w:val="20"/>
                <w:szCs w:val="20"/>
                <w:lang w:eastAsia="ru-RU"/>
              </w:rPr>
            </w:pPr>
          </w:p>
        </w:tc>
      </w:tr>
      <w:tr w:rsidR="00BE49FB" w:rsidRPr="008376FC" w:rsidTr="00724D50">
        <w:trPr>
          <w:trHeight w:val="202"/>
        </w:trPr>
        <w:tc>
          <w:tcPr>
            <w:tcW w:w="1968" w:type="dxa"/>
          </w:tcPr>
          <w:p w:rsidR="00BE49FB" w:rsidRPr="008376FC" w:rsidRDefault="00BE49FB" w:rsidP="00F61756">
            <w:pPr>
              <w:spacing w:line="276" w:lineRule="auto"/>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2016</w:t>
            </w:r>
          </w:p>
        </w:tc>
        <w:tc>
          <w:tcPr>
            <w:tcW w:w="1968" w:type="dxa"/>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2.011,5</w:t>
            </w:r>
          </w:p>
        </w:tc>
        <w:tc>
          <w:tcPr>
            <w:tcW w:w="1972" w:type="dxa"/>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648,2</w:t>
            </w:r>
          </w:p>
        </w:tc>
        <w:tc>
          <w:tcPr>
            <w:tcW w:w="1968" w:type="dxa"/>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noProof/>
                <w:sz w:val="20"/>
                <w:szCs w:val="20"/>
                <w:lang w:eastAsia="ru-RU"/>
              </w:rPr>
              <w:t>1.363,3</w:t>
            </w:r>
          </w:p>
        </w:tc>
        <w:tc>
          <w:tcPr>
            <w:tcW w:w="1973" w:type="dxa"/>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noProof/>
                <w:sz w:val="20"/>
                <w:szCs w:val="20"/>
                <w:lang w:eastAsia="ru-RU"/>
              </w:rPr>
              <w:t>32,2%</w:t>
            </w:r>
          </w:p>
        </w:tc>
      </w:tr>
      <w:tr w:rsidR="00BE49FB" w:rsidRPr="008376FC" w:rsidTr="00724D50">
        <w:trPr>
          <w:trHeight w:val="216"/>
        </w:trPr>
        <w:tc>
          <w:tcPr>
            <w:tcW w:w="1968" w:type="dxa"/>
            <w:tcBorders>
              <w:bottom w:val="single" w:sz="4" w:space="0" w:color="auto"/>
            </w:tcBorders>
          </w:tcPr>
          <w:p w:rsidR="00BE49FB" w:rsidRPr="008376FC" w:rsidRDefault="00BE49FB" w:rsidP="00F61756">
            <w:pPr>
              <w:spacing w:line="276" w:lineRule="auto"/>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2017</w:t>
            </w:r>
          </w:p>
        </w:tc>
        <w:tc>
          <w:tcPr>
            <w:tcW w:w="1968" w:type="dxa"/>
            <w:tcBorders>
              <w:bottom w:val="single" w:sz="4" w:space="0" w:color="auto"/>
            </w:tcBorders>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xml:space="preserve">        651.949,3</w:t>
            </w:r>
            <w:r w:rsidRPr="008376FC">
              <w:rPr>
                <w:rFonts w:asciiTheme="majorHAnsi" w:eastAsia="Times New Roman" w:hAnsiTheme="majorHAnsi" w:cstheme="majorHAnsi"/>
                <w:b w:val="0"/>
                <w:bCs w:val="0"/>
                <w:color w:val="FF0000"/>
                <w:sz w:val="20"/>
                <w:szCs w:val="20"/>
                <w:lang w:eastAsia="ru-RU"/>
              </w:rPr>
              <w:sym w:font="Wingdings" w:char="F0E9"/>
            </w:r>
            <w:r w:rsidRPr="008376FC">
              <w:rPr>
                <w:rFonts w:asciiTheme="majorHAnsi" w:eastAsia="Times New Roman" w:hAnsiTheme="majorHAnsi" w:cstheme="majorHAnsi"/>
                <w:b w:val="0"/>
                <w:bCs w:val="0"/>
                <w:sz w:val="20"/>
                <w:szCs w:val="20"/>
                <w:lang w:eastAsia="ru-RU"/>
              </w:rPr>
              <w:t xml:space="preserve"> </w:t>
            </w:r>
          </w:p>
        </w:tc>
        <w:tc>
          <w:tcPr>
            <w:tcW w:w="1972" w:type="dxa"/>
            <w:tcBorders>
              <w:bottom w:val="single" w:sz="4" w:space="0" w:color="auto"/>
            </w:tcBorders>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xml:space="preserve">        191.916,3</w:t>
            </w:r>
            <w:r w:rsidRPr="008376FC">
              <w:rPr>
                <w:rFonts w:asciiTheme="majorHAnsi" w:eastAsia="Times New Roman" w:hAnsiTheme="majorHAnsi" w:cstheme="majorHAnsi"/>
                <w:b w:val="0"/>
                <w:bCs w:val="0"/>
                <w:color w:val="FF0000"/>
                <w:sz w:val="20"/>
                <w:szCs w:val="20"/>
                <w:lang w:eastAsia="ru-RU"/>
              </w:rPr>
              <w:sym w:font="Wingdings" w:char="F0E9"/>
            </w:r>
            <w:r w:rsidRPr="008376FC">
              <w:rPr>
                <w:rFonts w:asciiTheme="majorHAnsi" w:eastAsia="Times New Roman" w:hAnsiTheme="majorHAnsi" w:cstheme="majorHAnsi"/>
                <w:b w:val="0"/>
                <w:bCs w:val="0"/>
                <w:sz w:val="20"/>
                <w:szCs w:val="20"/>
                <w:lang w:eastAsia="ru-RU"/>
              </w:rPr>
              <w:t xml:space="preserve"> </w:t>
            </w:r>
          </w:p>
        </w:tc>
        <w:tc>
          <w:tcPr>
            <w:tcW w:w="1968" w:type="dxa"/>
            <w:tcBorders>
              <w:bottom w:val="single" w:sz="4" w:space="0" w:color="auto"/>
            </w:tcBorders>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noProof/>
                <w:sz w:val="20"/>
                <w:szCs w:val="20"/>
                <w:lang w:eastAsia="ru-RU"/>
              </w:rPr>
              <w:t>460.033</w:t>
            </w:r>
            <w:r w:rsidRPr="008376FC">
              <w:rPr>
                <w:rFonts w:asciiTheme="majorHAnsi" w:eastAsia="Times New Roman" w:hAnsiTheme="majorHAnsi" w:cstheme="majorHAnsi"/>
                <w:b w:val="0"/>
                <w:bCs w:val="0"/>
                <w:color w:val="FF0000"/>
                <w:sz w:val="20"/>
                <w:szCs w:val="20"/>
                <w:lang w:eastAsia="ru-RU"/>
              </w:rPr>
              <w:sym w:font="Wingdings" w:char="F0E9"/>
            </w:r>
          </w:p>
        </w:tc>
        <w:tc>
          <w:tcPr>
            <w:tcW w:w="1973" w:type="dxa"/>
            <w:tcBorders>
              <w:bottom w:val="single" w:sz="4" w:space="0" w:color="auto"/>
            </w:tcBorders>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noProof/>
                <w:sz w:val="20"/>
                <w:szCs w:val="20"/>
                <w:lang w:eastAsia="ru-RU"/>
              </w:rPr>
              <w:t>29,4%</w:t>
            </w:r>
            <w:r w:rsidRPr="008376FC">
              <w:rPr>
                <w:rFonts w:asciiTheme="majorHAnsi" w:eastAsia="Times New Roman" w:hAnsiTheme="majorHAnsi" w:cstheme="majorHAnsi"/>
                <w:b w:val="0"/>
                <w:bCs w:val="0"/>
                <w:color w:val="00B050"/>
                <w:sz w:val="20"/>
                <w:szCs w:val="20"/>
                <w:lang w:eastAsia="ru-RU"/>
              </w:rPr>
              <w:sym w:font="Wingdings" w:char="F0EA"/>
            </w:r>
          </w:p>
        </w:tc>
      </w:tr>
      <w:tr w:rsidR="00BE49FB" w:rsidRPr="008376FC" w:rsidTr="00724D50">
        <w:trPr>
          <w:trHeight w:val="216"/>
        </w:trPr>
        <w:tc>
          <w:tcPr>
            <w:tcW w:w="1968" w:type="dxa"/>
            <w:tcBorders>
              <w:bottom w:val="single" w:sz="4" w:space="0" w:color="auto"/>
            </w:tcBorders>
          </w:tcPr>
          <w:p w:rsidR="00BE49FB" w:rsidRPr="008376FC" w:rsidRDefault="00BE49FB" w:rsidP="00F61756">
            <w:pPr>
              <w:spacing w:line="276" w:lineRule="auto"/>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2018</w:t>
            </w:r>
          </w:p>
        </w:tc>
        <w:tc>
          <w:tcPr>
            <w:tcW w:w="1968" w:type="dxa"/>
            <w:tcBorders>
              <w:bottom w:val="single" w:sz="4" w:space="0" w:color="auto"/>
            </w:tcBorders>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xml:space="preserve">       601.768,9</w:t>
            </w:r>
            <w:r w:rsidRPr="008376FC">
              <w:rPr>
                <w:rFonts w:asciiTheme="majorHAnsi" w:eastAsia="Times New Roman" w:hAnsiTheme="majorHAnsi" w:cstheme="majorHAnsi"/>
                <w:b w:val="0"/>
                <w:bCs w:val="0"/>
                <w:color w:val="00B050"/>
                <w:sz w:val="20"/>
                <w:szCs w:val="20"/>
                <w:lang w:eastAsia="ru-RU"/>
              </w:rPr>
              <w:sym w:font="Wingdings" w:char="F0EA"/>
            </w:r>
            <w:r w:rsidRPr="008376FC">
              <w:rPr>
                <w:rFonts w:asciiTheme="majorHAnsi" w:eastAsia="Times New Roman" w:hAnsiTheme="majorHAnsi" w:cstheme="majorHAnsi"/>
                <w:b w:val="0"/>
                <w:bCs w:val="0"/>
                <w:sz w:val="20"/>
                <w:szCs w:val="20"/>
                <w:lang w:eastAsia="ru-RU"/>
              </w:rPr>
              <w:t xml:space="preserve"> </w:t>
            </w:r>
          </w:p>
        </w:tc>
        <w:tc>
          <w:tcPr>
            <w:tcW w:w="1972" w:type="dxa"/>
            <w:tcBorders>
              <w:bottom w:val="single" w:sz="4" w:space="0" w:color="auto"/>
            </w:tcBorders>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sz w:val="20"/>
                <w:szCs w:val="20"/>
                <w:lang w:eastAsia="ru-RU"/>
              </w:rPr>
              <w:t xml:space="preserve">    172.200,3</w:t>
            </w:r>
            <w:r w:rsidRPr="008376FC">
              <w:rPr>
                <w:rFonts w:asciiTheme="majorHAnsi" w:eastAsia="Times New Roman" w:hAnsiTheme="majorHAnsi" w:cstheme="majorHAnsi"/>
                <w:b w:val="0"/>
                <w:bCs w:val="0"/>
                <w:color w:val="00B050"/>
                <w:sz w:val="20"/>
                <w:szCs w:val="20"/>
                <w:lang w:eastAsia="ru-RU"/>
              </w:rPr>
              <w:sym w:font="Wingdings" w:char="F0EA"/>
            </w:r>
            <w:r w:rsidRPr="008376FC">
              <w:rPr>
                <w:rFonts w:asciiTheme="majorHAnsi" w:eastAsia="Times New Roman" w:hAnsiTheme="majorHAnsi" w:cstheme="majorHAnsi"/>
                <w:b w:val="0"/>
                <w:bCs w:val="0"/>
                <w:color w:val="00B050"/>
                <w:sz w:val="20"/>
                <w:szCs w:val="20"/>
                <w:lang w:eastAsia="ru-RU"/>
              </w:rPr>
              <w:t xml:space="preserve"> </w:t>
            </w:r>
          </w:p>
        </w:tc>
        <w:tc>
          <w:tcPr>
            <w:tcW w:w="1968" w:type="dxa"/>
            <w:tcBorders>
              <w:bottom w:val="single" w:sz="4" w:space="0" w:color="auto"/>
            </w:tcBorders>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noProof/>
                <w:sz w:val="20"/>
                <w:szCs w:val="20"/>
                <w:lang w:eastAsia="ru-RU"/>
              </w:rPr>
              <w:t>429.568,6</w:t>
            </w:r>
            <w:r w:rsidRPr="008376FC">
              <w:rPr>
                <w:rFonts w:asciiTheme="majorHAnsi" w:eastAsia="Times New Roman" w:hAnsiTheme="majorHAnsi" w:cstheme="majorHAnsi"/>
                <w:b w:val="0"/>
                <w:bCs w:val="0"/>
                <w:color w:val="00B050"/>
                <w:sz w:val="20"/>
                <w:szCs w:val="20"/>
                <w:lang w:eastAsia="ru-RU"/>
              </w:rPr>
              <w:sym w:font="Wingdings" w:char="F0EA"/>
            </w:r>
          </w:p>
        </w:tc>
        <w:tc>
          <w:tcPr>
            <w:tcW w:w="1973" w:type="dxa"/>
            <w:tcBorders>
              <w:bottom w:val="single" w:sz="4" w:space="0" w:color="auto"/>
            </w:tcBorders>
          </w:tcPr>
          <w:p w:rsidR="00BE49FB" w:rsidRPr="008376FC" w:rsidRDefault="00BE49FB" w:rsidP="00F61756">
            <w:pPr>
              <w:spacing w:line="276" w:lineRule="auto"/>
              <w:jc w:val="right"/>
              <w:rPr>
                <w:rFonts w:asciiTheme="majorHAnsi" w:eastAsia="Times New Roman" w:hAnsiTheme="majorHAnsi" w:cstheme="majorHAnsi"/>
                <w:b w:val="0"/>
                <w:bCs w:val="0"/>
                <w:sz w:val="20"/>
                <w:szCs w:val="20"/>
                <w:lang w:eastAsia="ru-RU"/>
              </w:rPr>
            </w:pPr>
            <w:r w:rsidRPr="008376FC">
              <w:rPr>
                <w:rFonts w:asciiTheme="majorHAnsi" w:eastAsia="Times New Roman" w:hAnsiTheme="majorHAnsi" w:cstheme="majorHAnsi"/>
                <w:b w:val="0"/>
                <w:bCs w:val="0"/>
                <w:noProof/>
                <w:sz w:val="20"/>
                <w:szCs w:val="20"/>
                <w:lang w:eastAsia="ru-RU"/>
              </w:rPr>
              <w:t>28,6%</w:t>
            </w:r>
            <w:r w:rsidRPr="008376FC">
              <w:rPr>
                <w:rFonts w:asciiTheme="majorHAnsi" w:eastAsia="Times New Roman" w:hAnsiTheme="majorHAnsi" w:cstheme="majorHAnsi"/>
                <w:b w:val="0"/>
                <w:bCs w:val="0"/>
                <w:color w:val="00B050"/>
                <w:sz w:val="20"/>
                <w:szCs w:val="20"/>
                <w:lang w:eastAsia="ru-RU"/>
              </w:rPr>
              <w:sym w:font="Wingdings" w:char="F0EA"/>
            </w:r>
          </w:p>
        </w:tc>
      </w:tr>
      <w:tr w:rsidR="00777DAC" w:rsidRPr="008376FC" w:rsidTr="00724D50">
        <w:trPr>
          <w:trHeight w:val="216"/>
        </w:trPr>
        <w:tc>
          <w:tcPr>
            <w:tcW w:w="9850" w:type="dxa"/>
            <w:gridSpan w:val="5"/>
            <w:tcBorders>
              <w:top w:val="single" w:sz="4" w:space="0" w:color="auto"/>
              <w:left w:val="nil"/>
              <w:bottom w:val="nil"/>
              <w:right w:val="nil"/>
            </w:tcBorders>
          </w:tcPr>
          <w:p w:rsidR="00777DAC" w:rsidRPr="00812814" w:rsidRDefault="00777DAC" w:rsidP="00214F0C">
            <w:pPr>
              <w:spacing w:line="276" w:lineRule="auto"/>
              <w:jc w:val="both"/>
              <w:rPr>
                <w:rFonts w:asciiTheme="majorHAnsi" w:eastAsia="Calibri" w:hAnsiTheme="majorHAnsi" w:cstheme="majorHAnsi"/>
                <w:b w:val="0"/>
                <w:bCs w:val="0"/>
                <w:i/>
                <w:noProof/>
                <w:sz w:val="20"/>
                <w:szCs w:val="20"/>
                <w:lang w:eastAsia="ru-RU"/>
              </w:rPr>
            </w:pPr>
            <w:r w:rsidRPr="00812814">
              <w:rPr>
                <w:rFonts w:asciiTheme="majorHAnsi" w:eastAsia="Calibri" w:hAnsiTheme="majorHAnsi" w:cstheme="majorHAnsi"/>
                <w:i/>
                <w:noProof/>
                <w:sz w:val="20"/>
                <w:szCs w:val="20"/>
                <w:lang w:eastAsia="ru-RU"/>
              </w:rPr>
              <w:t>Sursa:</w:t>
            </w:r>
            <w:r w:rsidRPr="00812814">
              <w:rPr>
                <w:rFonts w:asciiTheme="majorHAnsi" w:eastAsia="Calibri" w:hAnsiTheme="majorHAnsi" w:cstheme="majorHAnsi"/>
                <w:b w:val="0"/>
                <w:bCs w:val="0"/>
                <w:i/>
                <w:noProof/>
                <w:sz w:val="20"/>
                <w:szCs w:val="20"/>
                <w:lang w:eastAsia="ru-RU"/>
              </w:rPr>
              <w:t xml:space="preserve"> Date</w:t>
            </w:r>
            <w:r w:rsidR="00F94F10">
              <w:rPr>
                <w:rFonts w:asciiTheme="majorHAnsi" w:eastAsia="Calibri" w:hAnsiTheme="majorHAnsi" w:cstheme="majorHAnsi"/>
                <w:b w:val="0"/>
                <w:bCs w:val="0"/>
                <w:i/>
                <w:noProof/>
                <w:sz w:val="20"/>
                <w:szCs w:val="20"/>
                <w:lang w:eastAsia="ru-RU"/>
              </w:rPr>
              <w:t xml:space="preserve"> oferite de</w:t>
            </w:r>
            <w:r w:rsidRPr="00812814">
              <w:rPr>
                <w:rFonts w:asciiTheme="majorHAnsi" w:eastAsia="Calibri" w:hAnsiTheme="majorHAnsi" w:cstheme="majorHAnsi"/>
                <w:b w:val="0"/>
                <w:bCs w:val="0"/>
                <w:i/>
                <w:noProof/>
                <w:sz w:val="20"/>
                <w:szCs w:val="20"/>
                <w:lang w:eastAsia="ru-RU"/>
              </w:rPr>
              <w:t xml:space="preserve"> BNS</w:t>
            </w:r>
            <w:r w:rsidRPr="00812814">
              <w:rPr>
                <w:rFonts w:asciiTheme="majorHAnsi" w:eastAsia="Calibri" w:hAnsiTheme="majorHAnsi" w:cstheme="majorHAnsi"/>
                <w:b w:val="0"/>
                <w:bCs w:val="0"/>
                <w:i/>
                <w:noProof/>
                <w:sz w:val="20"/>
                <w:szCs w:val="20"/>
                <w:vertAlign w:val="superscript"/>
                <w:lang w:eastAsia="ru-RU"/>
              </w:rPr>
              <w:footnoteReference w:id="90"/>
            </w:r>
            <w:r w:rsidRPr="00812814">
              <w:rPr>
                <w:rFonts w:asciiTheme="majorHAnsi" w:eastAsia="Calibri" w:hAnsiTheme="majorHAnsi" w:cstheme="majorHAnsi"/>
                <w:b w:val="0"/>
                <w:bCs w:val="0"/>
                <w:i/>
                <w:noProof/>
                <w:sz w:val="20"/>
                <w:szCs w:val="20"/>
                <w:lang w:eastAsia="ru-RU"/>
              </w:rPr>
              <w:t>.</w:t>
            </w:r>
          </w:p>
        </w:tc>
      </w:tr>
    </w:tbl>
    <w:p w:rsidR="00BE49FB" w:rsidRPr="008376FC" w:rsidRDefault="00BE49FB" w:rsidP="00214F0C">
      <w:pPr>
        <w:spacing w:after="0" w:line="276" w:lineRule="auto"/>
        <w:jc w:val="both"/>
        <w:rPr>
          <w:rFonts w:asciiTheme="majorHAnsi" w:eastAsia="Calibri" w:hAnsiTheme="majorHAnsi" w:cstheme="majorHAnsi"/>
          <w:b w:val="0"/>
          <w:bCs w:val="0"/>
          <w:noProof/>
          <w:sz w:val="24"/>
          <w:szCs w:val="24"/>
          <w:lang w:eastAsia="ru-RU"/>
        </w:rPr>
      </w:pPr>
    </w:p>
    <w:p w:rsidR="00BE49FB" w:rsidRPr="008376FC" w:rsidRDefault="00BE49FB" w:rsidP="00214F0C">
      <w:pPr>
        <w:spacing w:after="0" w:line="276" w:lineRule="auto"/>
        <w:contextualSpacing/>
        <w:jc w:val="both"/>
        <w:rPr>
          <w:rFonts w:asciiTheme="majorHAnsi" w:eastAsia="Calibri" w:hAnsiTheme="majorHAnsi" w:cstheme="majorHAnsi"/>
          <w:b w:val="0"/>
          <w:bCs w:val="0"/>
          <w:noProof/>
          <w:sz w:val="24"/>
          <w:szCs w:val="24"/>
          <w:lang w:eastAsia="ru-RU"/>
        </w:rPr>
      </w:pPr>
      <w:r w:rsidRPr="008376FC">
        <w:rPr>
          <w:rFonts w:asciiTheme="majorHAnsi" w:eastAsia="Calibri" w:hAnsiTheme="majorHAnsi" w:cstheme="majorHAnsi"/>
          <w:b w:val="0"/>
          <w:bCs w:val="0"/>
          <w:noProof/>
          <w:sz w:val="24"/>
          <w:szCs w:val="24"/>
          <w:lang w:eastAsia="ru-RU"/>
        </w:rPr>
        <w:t>Totodată, analiza informațiilor prezentate de primării denotă că</w:t>
      </w:r>
      <w:r w:rsidR="00F94F10">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în anul 2016 unele primării </w:t>
      </w:r>
      <w:r w:rsidR="00C04B44">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deși au arătat existența în localitate a stațiilor de epurare, nu au completat indicatorii privind volumul proiectat de epurare a apelor uzate (38 de operatori economici din 109 care au prezentat rapoarte) și cel de facto epurat (47 de operatori economici). Ace</w:t>
      </w:r>
      <w:r w:rsidR="00F94F10">
        <w:rPr>
          <w:rFonts w:asciiTheme="majorHAnsi" w:eastAsia="Calibri" w:hAnsiTheme="majorHAnsi" w:cstheme="majorHAnsi"/>
          <w:b w:val="0"/>
          <w:bCs w:val="0"/>
          <w:noProof/>
          <w:sz w:val="24"/>
          <w:szCs w:val="24"/>
          <w:lang w:eastAsia="ru-RU"/>
        </w:rPr>
        <w:t>e</w:t>
      </w:r>
      <w:r w:rsidRPr="008376FC">
        <w:rPr>
          <w:rFonts w:asciiTheme="majorHAnsi" w:eastAsia="Calibri" w:hAnsiTheme="majorHAnsi" w:cstheme="majorHAnsi"/>
          <w:b w:val="0"/>
          <w:bCs w:val="0"/>
          <w:noProof/>
          <w:sz w:val="24"/>
          <w:szCs w:val="24"/>
          <w:lang w:eastAsia="ru-RU"/>
        </w:rPr>
        <w:t>ași situație se atestă și în anul 2018, din totalul de 97 de operatori economici, 64 nu au prezentat datele privind capacitarea proiectată de epurare a apelor uzate, iar 72 nu au prezentat datele privind volumul real epurat al apelor uzate. Astfel, datele deținute de BNS privind volumele de captare a apelor uzate proiectate și cele epurate de</w:t>
      </w:r>
      <w:r w:rsidR="00F94F10">
        <w:rPr>
          <w:rFonts w:asciiTheme="majorHAnsi" w:eastAsia="Calibri" w:hAnsiTheme="majorHAnsi" w:cstheme="majorHAnsi"/>
          <w:b w:val="0"/>
          <w:bCs w:val="0"/>
          <w:noProof/>
          <w:sz w:val="24"/>
          <w:szCs w:val="24"/>
          <w:lang w:eastAsia="ru-RU"/>
        </w:rPr>
        <w:t xml:space="preserve"> </w:t>
      </w:r>
      <w:r w:rsidRPr="008376FC">
        <w:rPr>
          <w:rFonts w:asciiTheme="majorHAnsi" w:eastAsia="Calibri" w:hAnsiTheme="majorHAnsi" w:cstheme="majorHAnsi"/>
          <w:b w:val="0"/>
          <w:bCs w:val="0"/>
          <w:noProof/>
          <w:sz w:val="24"/>
          <w:szCs w:val="24"/>
          <w:lang w:eastAsia="ru-RU"/>
        </w:rPr>
        <w:t xml:space="preserve">facto nu relevă situația reală în domeniu. </w:t>
      </w:r>
    </w:p>
    <w:p w:rsidR="00460159" w:rsidRPr="008376FC" w:rsidRDefault="00460159" w:rsidP="00214F0C">
      <w:pPr>
        <w:spacing w:after="0" w:line="276" w:lineRule="auto"/>
        <w:contextualSpacing/>
        <w:jc w:val="both"/>
        <w:rPr>
          <w:rFonts w:asciiTheme="majorHAnsi" w:eastAsia="Calibri" w:hAnsiTheme="majorHAnsi" w:cstheme="majorHAnsi"/>
          <w:b w:val="0"/>
          <w:bCs w:val="0"/>
          <w:noProof/>
          <w:sz w:val="24"/>
          <w:szCs w:val="24"/>
          <w:lang w:eastAsia="ru-RU"/>
        </w:rPr>
      </w:pPr>
    </w:p>
    <w:p w:rsidR="00214F0C" w:rsidRPr="008376FC" w:rsidRDefault="00BE49FB" w:rsidP="00214F0C">
      <w:pPr>
        <w:tabs>
          <w:tab w:val="left" w:pos="8010"/>
          <w:tab w:val="right" w:pos="9354"/>
        </w:tabs>
        <w:spacing w:after="0" w:line="276" w:lineRule="auto"/>
        <w:contextualSpacing/>
        <w:jc w:val="both"/>
        <w:rPr>
          <w:rFonts w:asciiTheme="majorHAnsi" w:eastAsia="Calibri" w:hAnsiTheme="majorHAnsi" w:cstheme="majorHAnsi"/>
          <w:bCs w:val="0"/>
          <w:noProof/>
          <w:sz w:val="24"/>
          <w:szCs w:val="24"/>
          <w:lang w:eastAsia="ru-RU"/>
        </w:rPr>
      </w:pPr>
      <w:r w:rsidRPr="008376FC">
        <w:rPr>
          <w:rFonts w:asciiTheme="majorHAnsi" w:eastAsia="Calibri" w:hAnsiTheme="majorHAnsi" w:cstheme="majorHAnsi"/>
          <w:b w:val="0"/>
          <w:bCs w:val="0"/>
          <w:noProof/>
          <w:sz w:val="24"/>
          <w:szCs w:val="24"/>
          <w:lang w:eastAsia="ru-RU"/>
        </w:rPr>
        <w:t xml:space="preserve">Datele prezentate de operatorii care au raportat ambii indicatori (în anul 2016 </w:t>
      </w:r>
      <w:r w:rsidR="00501C66">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58</w:t>
      </w:r>
      <w:r w:rsidR="00501C66">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și în anul 2018  - 43 de operatori) </w:t>
      </w:r>
      <w:r w:rsidR="00501C66">
        <w:rPr>
          <w:rFonts w:asciiTheme="majorHAnsi" w:eastAsia="Calibri" w:hAnsiTheme="majorHAnsi" w:cstheme="majorHAnsi"/>
          <w:b w:val="0"/>
          <w:bCs w:val="0"/>
          <w:noProof/>
          <w:sz w:val="24"/>
          <w:szCs w:val="24"/>
          <w:lang w:eastAsia="ru-RU"/>
        </w:rPr>
        <w:t>relevă</w:t>
      </w:r>
      <w:r w:rsidRPr="008376FC">
        <w:rPr>
          <w:rFonts w:asciiTheme="majorHAnsi" w:eastAsia="Calibri" w:hAnsiTheme="majorHAnsi" w:cstheme="majorHAnsi"/>
          <w:b w:val="0"/>
          <w:bCs w:val="0"/>
          <w:noProof/>
          <w:sz w:val="24"/>
          <w:szCs w:val="24"/>
          <w:lang w:eastAsia="ru-RU"/>
        </w:rPr>
        <w:t xml:space="preserve"> că volumul apelor uzate </w:t>
      </w:r>
      <w:r w:rsidR="00501C66">
        <w:rPr>
          <w:rFonts w:asciiTheme="majorHAnsi" w:eastAsia="Calibri" w:hAnsiTheme="majorHAnsi" w:cstheme="majorHAnsi"/>
          <w:b w:val="0"/>
          <w:bCs w:val="0"/>
          <w:noProof/>
          <w:sz w:val="24"/>
          <w:szCs w:val="24"/>
          <w:lang w:eastAsia="ru-RU"/>
        </w:rPr>
        <w:t xml:space="preserve">real </w:t>
      </w:r>
      <w:r w:rsidRPr="008376FC">
        <w:rPr>
          <w:rFonts w:asciiTheme="majorHAnsi" w:eastAsia="Calibri" w:hAnsiTheme="majorHAnsi" w:cstheme="majorHAnsi"/>
          <w:b w:val="0"/>
          <w:bCs w:val="0"/>
          <w:noProof/>
          <w:sz w:val="24"/>
          <w:szCs w:val="24"/>
          <w:lang w:eastAsia="ru-RU"/>
        </w:rPr>
        <w:t>epurate</w:t>
      </w:r>
      <w:r w:rsidR="00501C66">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față de volumul proiectat</w:t>
      </w:r>
      <w:r w:rsidR="00501C66">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variază de la 0,7% p</w:t>
      </w:r>
      <w:r w:rsidR="00501C66">
        <w:rPr>
          <w:rFonts w:asciiTheme="majorHAnsi" w:eastAsia="Calibri" w:hAnsiTheme="majorHAnsi" w:cstheme="majorHAnsi"/>
          <w:b w:val="0"/>
          <w:bCs w:val="0"/>
          <w:noProof/>
          <w:sz w:val="24"/>
          <w:szCs w:val="24"/>
          <w:lang w:eastAsia="ru-RU"/>
        </w:rPr>
        <w:t>â</w:t>
      </w:r>
      <w:r w:rsidRPr="008376FC">
        <w:rPr>
          <w:rFonts w:asciiTheme="majorHAnsi" w:eastAsia="Calibri" w:hAnsiTheme="majorHAnsi" w:cstheme="majorHAnsi"/>
          <w:b w:val="0"/>
          <w:bCs w:val="0"/>
          <w:noProof/>
          <w:sz w:val="24"/>
          <w:szCs w:val="24"/>
          <w:lang w:eastAsia="ru-RU"/>
        </w:rPr>
        <w:t>nă la 100%. La capacitatea proiectată de 100%, în anul 2016 au lucrat stațiile de epurare  gestionate de 17 operat</w:t>
      </w:r>
      <w:r w:rsidR="00501C66">
        <w:rPr>
          <w:rFonts w:asciiTheme="majorHAnsi" w:eastAsia="Calibri" w:hAnsiTheme="majorHAnsi" w:cstheme="majorHAnsi"/>
          <w:b w:val="0"/>
          <w:bCs w:val="0"/>
          <w:noProof/>
          <w:sz w:val="24"/>
          <w:szCs w:val="24"/>
          <w:lang w:eastAsia="ru-RU"/>
        </w:rPr>
        <w:t>o</w:t>
      </w:r>
      <w:r w:rsidRPr="008376FC">
        <w:rPr>
          <w:rFonts w:asciiTheme="majorHAnsi" w:eastAsia="Calibri" w:hAnsiTheme="majorHAnsi" w:cstheme="majorHAnsi"/>
          <w:b w:val="0"/>
          <w:bCs w:val="0"/>
          <w:noProof/>
          <w:sz w:val="24"/>
          <w:szCs w:val="24"/>
          <w:lang w:eastAsia="ru-RU"/>
        </w:rPr>
        <w:t>ri, iar în anul 2018 - 10 operatori econ</w:t>
      </w:r>
      <w:r w:rsidR="00501C66">
        <w:rPr>
          <w:rFonts w:asciiTheme="majorHAnsi" w:eastAsia="Calibri" w:hAnsiTheme="majorHAnsi" w:cstheme="majorHAnsi"/>
          <w:b w:val="0"/>
          <w:bCs w:val="0"/>
          <w:noProof/>
          <w:sz w:val="24"/>
          <w:szCs w:val="24"/>
          <w:lang w:eastAsia="ru-RU"/>
        </w:rPr>
        <w:t>o</w:t>
      </w:r>
      <w:r w:rsidRPr="008376FC">
        <w:rPr>
          <w:rFonts w:asciiTheme="majorHAnsi" w:eastAsia="Calibri" w:hAnsiTheme="majorHAnsi" w:cstheme="majorHAnsi"/>
          <w:b w:val="0"/>
          <w:bCs w:val="0"/>
          <w:noProof/>
          <w:sz w:val="24"/>
          <w:szCs w:val="24"/>
          <w:lang w:eastAsia="ru-RU"/>
        </w:rPr>
        <w:t>mici (a se vedea datele din tabelul de mai jos).</w:t>
      </w:r>
    </w:p>
    <w:p w:rsidR="00BE49FB" w:rsidRPr="008376FC" w:rsidRDefault="009A4BC4" w:rsidP="00F61756">
      <w:pPr>
        <w:tabs>
          <w:tab w:val="left" w:pos="8010"/>
          <w:tab w:val="right" w:pos="9354"/>
        </w:tabs>
        <w:spacing w:after="0" w:line="276" w:lineRule="auto"/>
        <w:contextualSpacing/>
        <w:jc w:val="right"/>
        <w:rPr>
          <w:rFonts w:asciiTheme="majorHAnsi" w:eastAsia="Calibri" w:hAnsiTheme="majorHAnsi" w:cstheme="majorHAnsi"/>
          <w:b w:val="0"/>
          <w:bCs w:val="0"/>
          <w:noProof/>
          <w:sz w:val="24"/>
          <w:szCs w:val="24"/>
          <w:lang w:eastAsia="ru-RU"/>
        </w:rPr>
      </w:pPr>
      <w:r w:rsidRPr="008376FC">
        <w:rPr>
          <w:rFonts w:asciiTheme="majorHAnsi" w:eastAsia="Calibri" w:hAnsiTheme="majorHAnsi" w:cstheme="majorHAnsi"/>
          <w:bCs w:val="0"/>
          <w:noProof/>
          <w:sz w:val="20"/>
          <w:szCs w:val="20"/>
          <w:lang w:eastAsia="ru-RU"/>
        </w:rPr>
        <w:t>Tabelul nr.</w:t>
      </w:r>
      <w:r w:rsidR="00364E0F" w:rsidRPr="008376FC">
        <w:rPr>
          <w:rFonts w:asciiTheme="majorHAnsi" w:eastAsia="Calibri" w:hAnsiTheme="majorHAnsi" w:cstheme="majorHAnsi"/>
          <w:bCs w:val="0"/>
          <w:noProof/>
          <w:sz w:val="20"/>
          <w:szCs w:val="20"/>
          <w:lang w:eastAsia="ru-RU"/>
        </w:rPr>
        <w:t>2</w:t>
      </w:r>
      <w:r w:rsidR="00FF1425" w:rsidRPr="008376FC">
        <w:rPr>
          <w:rFonts w:asciiTheme="majorHAnsi" w:eastAsia="Calibri" w:hAnsiTheme="majorHAnsi" w:cstheme="majorHAnsi"/>
          <w:bCs w:val="0"/>
          <w:noProof/>
          <w:sz w:val="20"/>
          <w:szCs w:val="20"/>
          <w:lang w:eastAsia="ru-RU"/>
        </w:rPr>
        <w:t>3</w:t>
      </w:r>
    </w:p>
    <w:tbl>
      <w:tblPr>
        <w:tblStyle w:val="TableGrid1"/>
        <w:tblW w:w="0" w:type="auto"/>
        <w:tblLook w:val="04A0" w:firstRow="1" w:lastRow="0" w:firstColumn="1" w:lastColumn="0" w:noHBand="0" w:noVBand="1"/>
      </w:tblPr>
      <w:tblGrid>
        <w:gridCol w:w="942"/>
        <w:gridCol w:w="1341"/>
        <w:gridCol w:w="1522"/>
        <w:gridCol w:w="1043"/>
        <w:gridCol w:w="819"/>
        <w:gridCol w:w="819"/>
        <w:gridCol w:w="702"/>
        <w:gridCol w:w="702"/>
        <w:gridCol w:w="734"/>
        <w:gridCol w:w="1064"/>
      </w:tblGrid>
      <w:tr w:rsidR="00B7342F" w:rsidRPr="008376FC" w:rsidTr="009A4BC4">
        <w:trPr>
          <w:trHeight w:val="300"/>
        </w:trPr>
        <w:tc>
          <w:tcPr>
            <w:tcW w:w="9925" w:type="dxa"/>
            <w:gridSpan w:val="10"/>
            <w:tcBorders>
              <w:top w:val="nil"/>
              <w:left w:val="nil"/>
              <w:bottom w:val="single" w:sz="4" w:space="0" w:color="auto"/>
              <w:right w:val="nil"/>
            </w:tcBorders>
          </w:tcPr>
          <w:p w:rsidR="00B7342F" w:rsidRPr="008376FC" w:rsidRDefault="00B7342F" w:rsidP="00983223">
            <w:pPr>
              <w:contextualSpacing/>
              <w:jc w:val="both"/>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Sinteza volumului de ape uza</w:t>
            </w:r>
            <w:r w:rsidR="00501C66">
              <w:rPr>
                <w:rFonts w:asciiTheme="majorHAnsi" w:eastAsia="Calibri" w:hAnsiTheme="majorHAnsi" w:cstheme="majorHAnsi"/>
                <w:bCs w:val="0"/>
                <w:noProof/>
                <w:sz w:val="20"/>
                <w:szCs w:val="20"/>
                <w:lang w:eastAsia="ru-RU"/>
              </w:rPr>
              <w:t>t</w:t>
            </w:r>
            <w:r w:rsidRPr="008376FC">
              <w:rPr>
                <w:rFonts w:asciiTheme="majorHAnsi" w:eastAsia="Calibri" w:hAnsiTheme="majorHAnsi" w:cstheme="majorHAnsi"/>
                <w:bCs w:val="0"/>
                <w:noProof/>
                <w:sz w:val="20"/>
                <w:szCs w:val="20"/>
                <w:lang w:eastAsia="ru-RU"/>
              </w:rPr>
              <w:t xml:space="preserve">e epurate în </w:t>
            </w:r>
            <w:r w:rsidR="00501C66">
              <w:rPr>
                <w:rFonts w:asciiTheme="majorHAnsi" w:eastAsia="Calibri" w:hAnsiTheme="majorHAnsi" w:cstheme="majorHAnsi"/>
                <w:bCs w:val="0"/>
                <w:noProof/>
                <w:sz w:val="20"/>
                <w:szCs w:val="20"/>
                <w:lang w:eastAsia="ru-RU"/>
              </w:rPr>
              <w:t xml:space="preserve">anii </w:t>
            </w:r>
            <w:r w:rsidRPr="008376FC">
              <w:rPr>
                <w:rFonts w:asciiTheme="majorHAnsi" w:eastAsia="Calibri" w:hAnsiTheme="majorHAnsi" w:cstheme="majorHAnsi"/>
                <w:bCs w:val="0"/>
                <w:noProof/>
                <w:sz w:val="20"/>
                <w:szCs w:val="20"/>
                <w:lang w:eastAsia="ru-RU"/>
              </w:rPr>
              <w:t>2016-2018</w:t>
            </w:r>
          </w:p>
        </w:tc>
      </w:tr>
      <w:tr w:rsidR="00BE49FB" w:rsidRPr="008376FC" w:rsidTr="009A4BC4">
        <w:trPr>
          <w:trHeight w:val="300"/>
        </w:trPr>
        <w:tc>
          <w:tcPr>
            <w:tcW w:w="968" w:type="dxa"/>
            <w:vMerge w:val="restart"/>
            <w:tcBorders>
              <w:top w:val="single" w:sz="4" w:space="0" w:color="auto"/>
            </w:tcBorders>
            <w:shd w:val="clear" w:color="auto" w:fill="BDD6EE" w:themeFill="accent1" w:themeFillTint="66"/>
          </w:tcPr>
          <w:p w:rsidR="00BE49FB" w:rsidRPr="008376FC" w:rsidRDefault="00BE49FB" w:rsidP="00983223">
            <w:pPr>
              <w:contextualSpacing/>
              <w:jc w:val="both"/>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Anii</w:t>
            </w:r>
          </w:p>
        </w:tc>
        <w:tc>
          <w:tcPr>
            <w:tcW w:w="1354" w:type="dxa"/>
            <w:vMerge w:val="restart"/>
            <w:tcBorders>
              <w:top w:val="single" w:sz="4" w:space="0" w:color="auto"/>
            </w:tcBorders>
            <w:shd w:val="clear" w:color="auto" w:fill="BDD6EE" w:themeFill="accent1" w:themeFillTint="66"/>
          </w:tcPr>
          <w:p w:rsidR="00BE49FB" w:rsidRPr="008376FC" w:rsidRDefault="00BE49FB" w:rsidP="00983223">
            <w:pPr>
              <w:contextualSpacing/>
              <w:jc w:val="both"/>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 xml:space="preserve">Nr. </w:t>
            </w:r>
            <w:r w:rsidR="00F43B57">
              <w:rPr>
                <w:rFonts w:asciiTheme="majorHAnsi" w:eastAsia="Calibri" w:hAnsiTheme="majorHAnsi" w:cstheme="majorHAnsi"/>
                <w:bCs w:val="0"/>
                <w:noProof/>
                <w:sz w:val="20"/>
                <w:szCs w:val="20"/>
                <w:lang w:eastAsia="ru-RU"/>
              </w:rPr>
              <w:t xml:space="preserve">total al </w:t>
            </w:r>
            <w:r w:rsidRPr="008376FC">
              <w:rPr>
                <w:rFonts w:asciiTheme="majorHAnsi" w:eastAsia="Calibri" w:hAnsiTheme="majorHAnsi" w:cstheme="majorHAnsi"/>
                <w:bCs w:val="0"/>
                <w:noProof/>
                <w:sz w:val="20"/>
                <w:szCs w:val="20"/>
                <w:lang w:eastAsia="ru-RU"/>
              </w:rPr>
              <w:t>opera</w:t>
            </w:r>
            <w:r w:rsidR="00501C66">
              <w:rPr>
                <w:rFonts w:asciiTheme="majorHAnsi" w:eastAsia="Calibri" w:hAnsiTheme="majorHAnsi" w:cstheme="majorHAnsi"/>
                <w:bCs w:val="0"/>
                <w:noProof/>
                <w:sz w:val="20"/>
                <w:szCs w:val="20"/>
                <w:lang w:eastAsia="ru-RU"/>
              </w:rPr>
              <w:t>t</w:t>
            </w:r>
            <w:r w:rsidRPr="008376FC">
              <w:rPr>
                <w:rFonts w:asciiTheme="majorHAnsi" w:eastAsia="Calibri" w:hAnsiTheme="majorHAnsi" w:cstheme="majorHAnsi"/>
                <w:bCs w:val="0"/>
                <w:noProof/>
                <w:sz w:val="20"/>
                <w:szCs w:val="20"/>
                <w:lang w:eastAsia="ru-RU"/>
              </w:rPr>
              <w:t xml:space="preserve">orilor care au prezentat  rapoartele </w:t>
            </w:r>
            <w:r w:rsidR="00C04B44" w:rsidRPr="00C04B44">
              <w:rPr>
                <w:rFonts w:asciiTheme="majorHAnsi" w:eastAsia="Calibri" w:hAnsiTheme="majorHAnsi" w:cstheme="majorHAnsi"/>
                <w:bCs w:val="0"/>
                <w:noProof/>
                <w:sz w:val="20"/>
                <w:szCs w:val="20"/>
                <w:lang w:eastAsia="ru-RU"/>
              </w:rPr>
              <w:t>Forma nr.</w:t>
            </w:r>
            <w:r w:rsidRPr="00C04B44">
              <w:rPr>
                <w:rFonts w:asciiTheme="majorHAnsi" w:eastAsia="Calibri" w:hAnsiTheme="majorHAnsi" w:cstheme="majorHAnsi"/>
                <w:bCs w:val="0"/>
                <w:noProof/>
                <w:sz w:val="20"/>
                <w:szCs w:val="20"/>
                <w:lang w:eastAsia="ru-RU"/>
              </w:rPr>
              <w:t>1 apeduct – canalizare</w:t>
            </w:r>
            <w:r w:rsidR="00F43B57">
              <w:rPr>
                <w:rFonts w:asciiTheme="majorHAnsi" w:eastAsia="Calibri" w:hAnsiTheme="majorHAnsi" w:cstheme="majorHAnsi"/>
                <w:bCs w:val="0"/>
                <w:noProof/>
                <w:sz w:val="20"/>
                <w:szCs w:val="20"/>
                <w:lang w:eastAsia="ru-RU"/>
              </w:rPr>
              <w:t xml:space="preserve"> </w:t>
            </w:r>
            <w:r w:rsidRPr="008376FC">
              <w:rPr>
                <w:rFonts w:asciiTheme="majorHAnsi" w:eastAsia="Calibri" w:hAnsiTheme="majorHAnsi" w:cstheme="majorHAnsi"/>
                <w:bCs w:val="0"/>
                <w:noProof/>
                <w:sz w:val="20"/>
                <w:szCs w:val="20"/>
                <w:lang w:eastAsia="ru-RU"/>
              </w:rPr>
              <w:t xml:space="preserve"> </w:t>
            </w:r>
          </w:p>
        </w:tc>
        <w:tc>
          <w:tcPr>
            <w:tcW w:w="1550" w:type="dxa"/>
            <w:vMerge w:val="restart"/>
            <w:tcBorders>
              <w:top w:val="single" w:sz="4" w:space="0" w:color="auto"/>
            </w:tcBorders>
            <w:shd w:val="clear" w:color="auto" w:fill="BDD6EE" w:themeFill="accent1" w:themeFillTint="66"/>
          </w:tcPr>
          <w:p w:rsidR="00BE49FB" w:rsidRPr="008376FC" w:rsidRDefault="00BE49FB" w:rsidP="00983223">
            <w:pPr>
              <w:contextualSpacing/>
              <w:jc w:val="both"/>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Nr. opera</w:t>
            </w:r>
            <w:r w:rsidR="00501C66">
              <w:rPr>
                <w:rFonts w:asciiTheme="majorHAnsi" w:eastAsia="Calibri" w:hAnsiTheme="majorHAnsi" w:cstheme="majorHAnsi"/>
                <w:bCs w:val="0"/>
                <w:noProof/>
                <w:sz w:val="20"/>
                <w:szCs w:val="20"/>
                <w:lang w:eastAsia="ru-RU"/>
              </w:rPr>
              <w:t>t</w:t>
            </w:r>
            <w:r w:rsidRPr="008376FC">
              <w:rPr>
                <w:rFonts w:asciiTheme="majorHAnsi" w:eastAsia="Calibri" w:hAnsiTheme="majorHAnsi" w:cstheme="majorHAnsi"/>
                <w:bCs w:val="0"/>
                <w:noProof/>
                <w:sz w:val="20"/>
                <w:szCs w:val="20"/>
                <w:lang w:eastAsia="ru-RU"/>
              </w:rPr>
              <w:t xml:space="preserve">orilor care au prezentat  în </w:t>
            </w:r>
            <w:r w:rsidRPr="00F43B57">
              <w:rPr>
                <w:rFonts w:asciiTheme="majorHAnsi" w:eastAsia="Calibri" w:hAnsiTheme="majorHAnsi" w:cstheme="majorHAnsi"/>
                <w:bCs w:val="0"/>
                <w:noProof/>
                <w:sz w:val="20"/>
                <w:szCs w:val="20"/>
                <w:lang w:eastAsia="ru-RU"/>
              </w:rPr>
              <w:t xml:space="preserve">rapoartele </w:t>
            </w:r>
            <w:r w:rsidR="00C04B44" w:rsidRPr="00F43B57">
              <w:rPr>
                <w:rFonts w:asciiTheme="majorHAnsi" w:eastAsia="Calibri" w:hAnsiTheme="majorHAnsi" w:cstheme="majorHAnsi"/>
                <w:bCs w:val="0"/>
                <w:noProof/>
                <w:sz w:val="20"/>
                <w:szCs w:val="20"/>
                <w:lang w:eastAsia="ru-RU"/>
              </w:rPr>
              <w:t>Forma nr.</w:t>
            </w:r>
            <w:r w:rsidRPr="00F43B57">
              <w:rPr>
                <w:rFonts w:asciiTheme="majorHAnsi" w:eastAsia="Calibri" w:hAnsiTheme="majorHAnsi" w:cstheme="majorHAnsi"/>
                <w:bCs w:val="0"/>
                <w:noProof/>
                <w:sz w:val="20"/>
                <w:szCs w:val="20"/>
                <w:lang w:eastAsia="ru-RU"/>
              </w:rPr>
              <w:t>1 apeduct</w:t>
            </w:r>
            <w:r w:rsidRPr="008376FC">
              <w:rPr>
                <w:rFonts w:asciiTheme="majorHAnsi" w:eastAsia="Calibri" w:hAnsiTheme="majorHAnsi" w:cstheme="majorHAnsi"/>
                <w:bCs w:val="0"/>
                <w:noProof/>
                <w:sz w:val="20"/>
                <w:szCs w:val="20"/>
                <w:lang w:eastAsia="ru-RU"/>
              </w:rPr>
              <w:t xml:space="preserve"> – canalizare</w:t>
            </w:r>
            <w:r w:rsidR="00C04B44">
              <w:rPr>
                <w:rFonts w:asciiTheme="majorHAnsi" w:eastAsia="Calibri" w:hAnsiTheme="majorHAnsi" w:cstheme="majorHAnsi"/>
                <w:bCs w:val="0"/>
                <w:noProof/>
                <w:sz w:val="20"/>
                <w:szCs w:val="20"/>
                <w:lang w:eastAsia="ru-RU"/>
              </w:rPr>
              <w:t>,</w:t>
            </w:r>
            <w:r w:rsidRPr="008376FC">
              <w:rPr>
                <w:rFonts w:asciiTheme="majorHAnsi" w:eastAsia="Calibri" w:hAnsiTheme="majorHAnsi" w:cstheme="majorHAnsi"/>
                <w:bCs w:val="0"/>
                <w:noProof/>
                <w:sz w:val="20"/>
                <w:szCs w:val="20"/>
                <w:lang w:eastAsia="ru-RU"/>
              </w:rPr>
              <w:t xml:space="preserve"> date ptivind volumul  proiectat </w:t>
            </w:r>
            <w:r w:rsidR="00501C66">
              <w:rPr>
                <w:rFonts w:asciiTheme="majorHAnsi" w:eastAsia="Calibri" w:hAnsiTheme="majorHAnsi" w:cstheme="majorHAnsi"/>
                <w:bCs w:val="0"/>
                <w:noProof/>
                <w:sz w:val="20"/>
                <w:szCs w:val="20"/>
                <w:lang w:eastAsia="ru-RU"/>
              </w:rPr>
              <w:t>de</w:t>
            </w:r>
            <w:r w:rsidRPr="008376FC">
              <w:rPr>
                <w:rFonts w:asciiTheme="majorHAnsi" w:eastAsia="Calibri" w:hAnsiTheme="majorHAnsi" w:cstheme="majorHAnsi"/>
                <w:bCs w:val="0"/>
                <w:noProof/>
                <w:sz w:val="20"/>
                <w:szCs w:val="20"/>
                <w:lang w:eastAsia="ru-RU"/>
              </w:rPr>
              <w:t xml:space="preserve"> epur</w:t>
            </w:r>
            <w:r w:rsidR="00501C66">
              <w:rPr>
                <w:rFonts w:asciiTheme="majorHAnsi" w:eastAsia="Calibri" w:hAnsiTheme="majorHAnsi" w:cstheme="majorHAnsi"/>
                <w:bCs w:val="0"/>
                <w:noProof/>
                <w:sz w:val="20"/>
                <w:szCs w:val="20"/>
                <w:lang w:eastAsia="ru-RU"/>
              </w:rPr>
              <w:t>are a</w:t>
            </w:r>
            <w:r w:rsidRPr="008376FC">
              <w:rPr>
                <w:rFonts w:asciiTheme="majorHAnsi" w:eastAsia="Calibri" w:hAnsiTheme="majorHAnsi" w:cstheme="majorHAnsi"/>
                <w:bCs w:val="0"/>
                <w:noProof/>
                <w:sz w:val="20"/>
                <w:szCs w:val="20"/>
                <w:lang w:eastAsia="ru-RU"/>
              </w:rPr>
              <w:t xml:space="preserve"> apelor uzate și de facto epurat  </w:t>
            </w:r>
          </w:p>
        </w:tc>
        <w:tc>
          <w:tcPr>
            <w:tcW w:w="4989" w:type="dxa"/>
            <w:gridSpan w:val="6"/>
            <w:tcBorders>
              <w:top w:val="single" w:sz="4" w:space="0" w:color="auto"/>
            </w:tcBorders>
            <w:shd w:val="clear" w:color="auto" w:fill="BDD6EE" w:themeFill="accent1" w:themeFillTint="66"/>
          </w:tcPr>
          <w:p w:rsidR="00BE49FB" w:rsidRPr="008376FC" w:rsidRDefault="00BE49FB" w:rsidP="00983223">
            <w:pPr>
              <w:contextualSpacing/>
              <w:jc w:val="both"/>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Capacitatea de captare</w:t>
            </w:r>
            <w:r w:rsidRPr="008376FC">
              <w:rPr>
                <w:rFonts w:asciiTheme="majorHAnsi" w:eastAsia="Calibri" w:hAnsiTheme="majorHAnsi" w:cstheme="majorHAnsi"/>
                <w:bCs w:val="0"/>
                <w:noProof/>
                <w:sz w:val="20"/>
                <w:szCs w:val="20"/>
                <w:vertAlign w:val="superscript"/>
                <w:lang w:eastAsia="ru-RU"/>
              </w:rPr>
              <w:footnoteReference w:id="91"/>
            </w:r>
          </w:p>
        </w:tc>
        <w:tc>
          <w:tcPr>
            <w:tcW w:w="1064" w:type="dxa"/>
            <w:vMerge w:val="restart"/>
            <w:tcBorders>
              <w:top w:val="single" w:sz="4" w:space="0" w:color="auto"/>
            </w:tcBorders>
            <w:shd w:val="clear" w:color="auto" w:fill="BDD6EE" w:themeFill="accent1" w:themeFillTint="66"/>
          </w:tcPr>
          <w:p w:rsidR="00BE49FB" w:rsidRPr="008376FC" w:rsidRDefault="00BE49FB" w:rsidP="00983223">
            <w:pPr>
              <w:contextualSpacing/>
              <w:jc w:val="both"/>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Total sisteme de epurare a apelor uzate gestionate</w:t>
            </w:r>
          </w:p>
        </w:tc>
      </w:tr>
      <w:tr w:rsidR="00BE49FB" w:rsidRPr="008376FC" w:rsidTr="009A4BC4">
        <w:trPr>
          <w:trHeight w:val="50"/>
        </w:trPr>
        <w:tc>
          <w:tcPr>
            <w:tcW w:w="968" w:type="dxa"/>
            <w:vMerge/>
          </w:tcPr>
          <w:p w:rsidR="00BE49FB" w:rsidRPr="008376FC" w:rsidRDefault="00BE49FB" w:rsidP="00983223">
            <w:pPr>
              <w:contextualSpacing/>
              <w:jc w:val="both"/>
              <w:rPr>
                <w:rFonts w:asciiTheme="majorHAnsi" w:eastAsia="Calibri" w:hAnsiTheme="majorHAnsi" w:cstheme="majorHAnsi"/>
                <w:bCs w:val="0"/>
                <w:noProof/>
                <w:sz w:val="20"/>
                <w:szCs w:val="20"/>
                <w:lang w:eastAsia="ru-RU"/>
              </w:rPr>
            </w:pPr>
          </w:p>
        </w:tc>
        <w:tc>
          <w:tcPr>
            <w:tcW w:w="1354" w:type="dxa"/>
            <w:vMerge/>
          </w:tcPr>
          <w:p w:rsidR="00BE49FB" w:rsidRPr="008376FC" w:rsidRDefault="00BE49FB" w:rsidP="00983223">
            <w:pPr>
              <w:contextualSpacing/>
              <w:jc w:val="both"/>
              <w:rPr>
                <w:rFonts w:asciiTheme="majorHAnsi" w:eastAsia="Calibri" w:hAnsiTheme="majorHAnsi" w:cstheme="majorHAnsi"/>
                <w:bCs w:val="0"/>
                <w:noProof/>
                <w:sz w:val="20"/>
                <w:szCs w:val="20"/>
                <w:lang w:eastAsia="ru-RU"/>
              </w:rPr>
            </w:pPr>
          </w:p>
        </w:tc>
        <w:tc>
          <w:tcPr>
            <w:tcW w:w="1550" w:type="dxa"/>
            <w:vMerge/>
          </w:tcPr>
          <w:p w:rsidR="00BE49FB" w:rsidRPr="008376FC" w:rsidRDefault="00BE49FB" w:rsidP="00983223">
            <w:pPr>
              <w:contextualSpacing/>
              <w:jc w:val="both"/>
              <w:rPr>
                <w:rFonts w:asciiTheme="majorHAnsi" w:eastAsia="Calibri" w:hAnsiTheme="majorHAnsi" w:cstheme="majorHAnsi"/>
                <w:bCs w:val="0"/>
                <w:noProof/>
                <w:sz w:val="20"/>
                <w:szCs w:val="20"/>
                <w:lang w:eastAsia="ru-RU"/>
              </w:rPr>
            </w:pPr>
          </w:p>
        </w:tc>
        <w:tc>
          <w:tcPr>
            <w:tcW w:w="1091" w:type="dxa"/>
            <w:shd w:val="clear" w:color="auto" w:fill="BDD6EE" w:themeFill="accent1" w:themeFillTint="66"/>
            <w:textDirection w:val="btLr"/>
          </w:tcPr>
          <w:p w:rsidR="00BE49FB" w:rsidRPr="008376FC" w:rsidRDefault="00BE49FB" w:rsidP="00983223">
            <w:pPr>
              <w:contextualSpacing/>
              <w:jc w:val="center"/>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0-10%</w:t>
            </w:r>
          </w:p>
        </w:tc>
        <w:tc>
          <w:tcPr>
            <w:tcW w:w="849" w:type="dxa"/>
            <w:shd w:val="clear" w:color="auto" w:fill="BDD6EE" w:themeFill="accent1" w:themeFillTint="66"/>
            <w:textDirection w:val="btLr"/>
          </w:tcPr>
          <w:p w:rsidR="00BE49FB" w:rsidRPr="008376FC" w:rsidRDefault="00BE49FB" w:rsidP="00983223">
            <w:pPr>
              <w:contextualSpacing/>
              <w:jc w:val="center"/>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10-30%</w:t>
            </w:r>
          </w:p>
        </w:tc>
        <w:tc>
          <w:tcPr>
            <w:tcW w:w="849" w:type="dxa"/>
            <w:shd w:val="clear" w:color="auto" w:fill="BDD6EE" w:themeFill="accent1" w:themeFillTint="66"/>
            <w:textDirection w:val="btLr"/>
          </w:tcPr>
          <w:p w:rsidR="00BE49FB" w:rsidRPr="008376FC" w:rsidRDefault="00BE49FB" w:rsidP="00983223">
            <w:pPr>
              <w:contextualSpacing/>
              <w:jc w:val="center"/>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30-50%</w:t>
            </w:r>
          </w:p>
        </w:tc>
        <w:tc>
          <w:tcPr>
            <w:tcW w:w="722" w:type="dxa"/>
            <w:shd w:val="clear" w:color="auto" w:fill="BDD6EE" w:themeFill="accent1" w:themeFillTint="66"/>
            <w:textDirection w:val="btLr"/>
          </w:tcPr>
          <w:p w:rsidR="00BE49FB" w:rsidRPr="008376FC" w:rsidRDefault="00BE49FB" w:rsidP="00983223">
            <w:pPr>
              <w:contextualSpacing/>
              <w:jc w:val="center"/>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50-70%</w:t>
            </w:r>
          </w:p>
        </w:tc>
        <w:tc>
          <w:tcPr>
            <w:tcW w:w="722" w:type="dxa"/>
            <w:shd w:val="clear" w:color="auto" w:fill="BDD6EE" w:themeFill="accent1" w:themeFillTint="66"/>
            <w:textDirection w:val="btLr"/>
          </w:tcPr>
          <w:p w:rsidR="00BE49FB" w:rsidRPr="008376FC" w:rsidRDefault="00BE49FB" w:rsidP="00983223">
            <w:pPr>
              <w:contextualSpacing/>
              <w:jc w:val="center"/>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70-99%</w:t>
            </w:r>
          </w:p>
        </w:tc>
        <w:tc>
          <w:tcPr>
            <w:tcW w:w="756" w:type="dxa"/>
            <w:shd w:val="clear" w:color="auto" w:fill="BDD6EE" w:themeFill="accent1" w:themeFillTint="66"/>
            <w:textDirection w:val="btLr"/>
          </w:tcPr>
          <w:p w:rsidR="00BE49FB" w:rsidRPr="008376FC" w:rsidRDefault="00BE49FB" w:rsidP="00983223">
            <w:pPr>
              <w:contextualSpacing/>
              <w:jc w:val="center"/>
              <w:rPr>
                <w:rFonts w:asciiTheme="majorHAnsi" w:eastAsia="Calibri" w:hAnsiTheme="majorHAnsi" w:cstheme="majorHAnsi"/>
                <w:bCs w:val="0"/>
                <w:noProof/>
                <w:sz w:val="20"/>
                <w:szCs w:val="20"/>
                <w:lang w:eastAsia="ru-RU"/>
              </w:rPr>
            </w:pPr>
            <w:r w:rsidRPr="008376FC">
              <w:rPr>
                <w:rFonts w:asciiTheme="majorHAnsi" w:eastAsia="Calibri" w:hAnsiTheme="majorHAnsi" w:cstheme="majorHAnsi"/>
                <w:bCs w:val="0"/>
                <w:noProof/>
                <w:sz w:val="20"/>
                <w:szCs w:val="20"/>
                <w:lang w:eastAsia="ru-RU"/>
              </w:rPr>
              <w:t>100%</w:t>
            </w:r>
          </w:p>
        </w:tc>
        <w:tc>
          <w:tcPr>
            <w:tcW w:w="1064" w:type="dxa"/>
            <w:vMerge/>
            <w:textDirection w:val="btLr"/>
          </w:tcPr>
          <w:p w:rsidR="00BE49FB" w:rsidRPr="008376FC" w:rsidRDefault="00BE49FB" w:rsidP="00983223">
            <w:pPr>
              <w:contextualSpacing/>
              <w:jc w:val="both"/>
              <w:rPr>
                <w:rFonts w:asciiTheme="majorHAnsi" w:eastAsia="Calibri" w:hAnsiTheme="majorHAnsi" w:cstheme="majorHAnsi"/>
                <w:bCs w:val="0"/>
                <w:noProof/>
                <w:sz w:val="20"/>
                <w:szCs w:val="20"/>
                <w:lang w:eastAsia="ru-RU"/>
              </w:rPr>
            </w:pPr>
          </w:p>
        </w:tc>
      </w:tr>
      <w:tr w:rsidR="00BE49FB" w:rsidRPr="008376FC" w:rsidTr="0040073B">
        <w:trPr>
          <w:trHeight w:val="219"/>
        </w:trPr>
        <w:tc>
          <w:tcPr>
            <w:tcW w:w="968" w:type="dxa"/>
            <w:vMerge w:val="restart"/>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2016</w:t>
            </w:r>
          </w:p>
        </w:tc>
        <w:tc>
          <w:tcPr>
            <w:tcW w:w="1354"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109</w:t>
            </w:r>
          </w:p>
        </w:tc>
        <w:tc>
          <w:tcPr>
            <w:tcW w:w="1550"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58</w:t>
            </w:r>
          </w:p>
        </w:tc>
        <w:tc>
          <w:tcPr>
            <w:tcW w:w="1091"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14</w:t>
            </w:r>
          </w:p>
        </w:tc>
        <w:tc>
          <w:tcPr>
            <w:tcW w:w="849"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12</w:t>
            </w:r>
          </w:p>
        </w:tc>
        <w:tc>
          <w:tcPr>
            <w:tcW w:w="849"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3</w:t>
            </w:r>
          </w:p>
        </w:tc>
        <w:tc>
          <w:tcPr>
            <w:tcW w:w="722"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5</w:t>
            </w:r>
          </w:p>
        </w:tc>
        <w:tc>
          <w:tcPr>
            <w:tcW w:w="722"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7</w:t>
            </w:r>
          </w:p>
        </w:tc>
        <w:tc>
          <w:tcPr>
            <w:tcW w:w="756"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17</w:t>
            </w:r>
          </w:p>
        </w:tc>
        <w:tc>
          <w:tcPr>
            <w:tcW w:w="1064"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x</w:t>
            </w:r>
          </w:p>
        </w:tc>
      </w:tr>
      <w:tr w:rsidR="00BE49FB" w:rsidRPr="008376FC" w:rsidTr="0040073B">
        <w:trPr>
          <w:trHeight w:val="219"/>
        </w:trPr>
        <w:tc>
          <w:tcPr>
            <w:tcW w:w="968" w:type="dxa"/>
            <w:vMerge/>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p>
        </w:tc>
        <w:tc>
          <w:tcPr>
            <w:tcW w:w="2904" w:type="dxa"/>
            <w:gridSpan w:val="2"/>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Număr sisteme de epurare</w:t>
            </w:r>
            <w:r w:rsidR="009D2DEF">
              <w:rPr>
                <w:rFonts w:asciiTheme="majorHAnsi" w:eastAsia="Calibri" w:hAnsiTheme="majorHAnsi" w:cstheme="majorHAnsi"/>
                <w:b w:val="0"/>
                <w:bCs w:val="0"/>
                <w:noProof/>
                <w:sz w:val="20"/>
                <w:szCs w:val="20"/>
                <w:lang w:eastAsia="ru-RU"/>
              </w:rPr>
              <w:t>,</w:t>
            </w:r>
            <w:r w:rsidRPr="008376FC">
              <w:rPr>
                <w:rFonts w:asciiTheme="majorHAnsi" w:eastAsia="Calibri" w:hAnsiTheme="majorHAnsi" w:cstheme="majorHAnsi"/>
                <w:b w:val="0"/>
                <w:bCs w:val="0"/>
                <w:noProof/>
                <w:sz w:val="20"/>
                <w:szCs w:val="20"/>
                <w:lang w:eastAsia="ru-RU"/>
              </w:rPr>
              <w:t xml:space="preserve"> total</w:t>
            </w:r>
          </w:p>
        </w:tc>
        <w:tc>
          <w:tcPr>
            <w:tcW w:w="1091"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18</w:t>
            </w:r>
          </w:p>
        </w:tc>
        <w:tc>
          <w:tcPr>
            <w:tcW w:w="849"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13</w:t>
            </w:r>
          </w:p>
        </w:tc>
        <w:tc>
          <w:tcPr>
            <w:tcW w:w="849"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6</w:t>
            </w:r>
          </w:p>
        </w:tc>
        <w:tc>
          <w:tcPr>
            <w:tcW w:w="722"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5</w:t>
            </w:r>
          </w:p>
        </w:tc>
        <w:tc>
          <w:tcPr>
            <w:tcW w:w="722"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9</w:t>
            </w:r>
          </w:p>
        </w:tc>
        <w:tc>
          <w:tcPr>
            <w:tcW w:w="756"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17</w:t>
            </w:r>
          </w:p>
        </w:tc>
        <w:tc>
          <w:tcPr>
            <w:tcW w:w="1064"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68</w:t>
            </w:r>
          </w:p>
        </w:tc>
      </w:tr>
      <w:tr w:rsidR="00BE49FB" w:rsidRPr="008376FC" w:rsidTr="009A4BC4">
        <w:trPr>
          <w:trHeight w:val="219"/>
        </w:trPr>
        <w:tc>
          <w:tcPr>
            <w:tcW w:w="968" w:type="dxa"/>
            <w:vMerge/>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p>
        </w:tc>
        <w:tc>
          <w:tcPr>
            <w:tcW w:w="2904" w:type="dxa"/>
            <w:gridSpan w:val="2"/>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Număr sisteme de epurare</w:t>
            </w:r>
            <w:r w:rsidR="009D2DEF">
              <w:rPr>
                <w:rFonts w:asciiTheme="majorHAnsi" w:eastAsia="Calibri" w:hAnsiTheme="majorHAnsi" w:cstheme="majorHAnsi"/>
                <w:b w:val="0"/>
                <w:bCs w:val="0"/>
                <w:noProof/>
                <w:sz w:val="20"/>
                <w:szCs w:val="20"/>
                <w:lang w:eastAsia="ru-RU"/>
              </w:rPr>
              <w:t>,</w:t>
            </w:r>
            <w:r w:rsidRPr="008376FC">
              <w:rPr>
                <w:rFonts w:asciiTheme="majorHAnsi" w:eastAsia="Calibri" w:hAnsiTheme="majorHAnsi" w:cstheme="majorHAnsi"/>
                <w:b w:val="0"/>
                <w:bCs w:val="0"/>
                <w:noProof/>
                <w:sz w:val="20"/>
                <w:szCs w:val="20"/>
                <w:lang w:eastAsia="ru-RU"/>
              </w:rPr>
              <w:t xml:space="preserve"> funcționale</w:t>
            </w:r>
          </w:p>
        </w:tc>
        <w:tc>
          <w:tcPr>
            <w:tcW w:w="1091"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18</w:t>
            </w:r>
          </w:p>
        </w:tc>
        <w:tc>
          <w:tcPr>
            <w:tcW w:w="849"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13</w:t>
            </w:r>
          </w:p>
        </w:tc>
        <w:tc>
          <w:tcPr>
            <w:tcW w:w="849"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5</w:t>
            </w:r>
          </w:p>
        </w:tc>
        <w:tc>
          <w:tcPr>
            <w:tcW w:w="722"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5</w:t>
            </w:r>
          </w:p>
        </w:tc>
        <w:tc>
          <w:tcPr>
            <w:tcW w:w="722"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9</w:t>
            </w:r>
          </w:p>
        </w:tc>
        <w:tc>
          <w:tcPr>
            <w:tcW w:w="756"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17</w:t>
            </w:r>
          </w:p>
        </w:tc>
        <w:tc>
          <w:tcPr>
            <w:tcW w:w="1064"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67</w:t>
            </w:r>
          </w:p>
        </w:tc>
      </w:tr>
      <w:tr w:rsidR="00BE49FB" w:rsidRPr="008376FC" w:rsidTr="0040073B">
        <w:trPr>
          <w:trHeight w:val="219"/>
        </w:trPr>
        <w:tc>
          <w:tcPr>
            <w:tcW w:w="968" w:type="dxa"/>
            <w:vMerge w:val="restart"/>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2018</w:t>
            </w:r>
          </w:p>
        </w:tc>
        <w:tc>
          <w:tcPr>
            <w:tcW w:w="1354"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97</w:t>
            </w:r>
          </w:p>
        </w:tc>
        <w:tc>
          <w:tcPr>
            <w:tcW w:w="1550"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43</w:t>
            </w:r>
          </w:p>
        </w:tc>
        <w:tc>
          <w:tcPr>
            <w:tcW w:w="1091"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8</w:t>
            </w:r>
          </w:p>
        </w:tc>
        <w:tc>
          <w:tcPr>
            <w:tcW w:w="849"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11</w:t>
            </w:r>
          </w:p>
        </w:tc>
        <w:tc>
          <w:tcPr>
            <w:tcW w:w="849"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12</w:t>
            </w:r>
          </w:p>
        </w:tc>
        <w:tc>
          <w:tcPr>
            <w:tcW w:w="722"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6</w:t>
            </w:r>
          </w:p>
        </w:tc>
        <w:tc>
          <w:tcPr>
            <w:tcW w:w="722"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6</w:t>
            </w:r>
          </w:p>
        </w:tc>
        <w:tc>
          <w:tcPr>
            <w:tcW w:w="756"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10</w:t>
            </w:r>
          </w:p>
        </w:tc>
        <w:tc>
          <w:tcPr>
            <w:tcW w:w="1064"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x</w:t>
            </w:r>
          </w:p>
        </w:tc>
      </w:tr>
      <w:tr w:rsidR="00BE49FB" w:rsidRPr="008376FC" w:rsidTr="0040073B">
        <w:trPr>
          <w:trHeight w:val="219"/>
        </w:trPr>
        <w:tc>
          <w:tcPr>
            <w:tcW w:w="968" w:type="dxa"/>
            <w:vMerge/>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p>
        </w:tc>
        <w:tc>
          <w:tcPr>
            <w:tcW w:w="2904" w:type="dxa"/>
            <w:gridSpan w:val="2"/>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Număr sisteme de epurare</w:t>
            </w:r>
            <w:r w:rsidR="009D2DEF">
              <w:rPr>
                <w:rFonts w:asciiTheme="majorHAnsi" w:eastAsia="Calibri" w:hAnsiTheme="majorHAnsi" w:cstheme="majorHAnsi"/>
                <w:b w:val="0"/>
                <w:bCs w:val="0"/>
                <w:noProof/>
                <w:sz w:val="20"/>
                <w:szCs w:val="20"/>
                <w:lang w:eastAsia="ru-RU"/>
              </w:rPr>
              <w:t>,</w:t>
            </w:r>
            <w:r w:rsidRPr="008376FC">
              <w:rPr>
                <w:rFonts w:asciiTheme="majorHAnsi" w:eastAsia="Calibri" w:hAnsiTheme="majorHAnsi" w:cstheme="majorHAnsi"/>
                <w:b w:val="0"/>
                <w:bCs w:val="0"/>
                <w:noProof/>
                <w:sz w:val="20"/>
                <w:szCs w:val="20"/>
                <w:lang w:eastAsia="ru-RU"/>
              </w:rPr>
              <w:t xml:space="preserve"> total</w:t>
            </w:r>
          </w:p>
        </w:tc>
        <w:tc>
          <w:tcPr>
            <w:tcW w:w="1091"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11</w:t>
            </w:r>
          </w:p>
        </w:tc>
        <w:tc>
          <w:tcPr>
            <w:tcW w:w="849"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13</w:t>
            </w:r>
          </w:p>
        </w:tc>
        <w:tc>
          <w:tcPr>
            <w:tcW w:w="849"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18</w:t>
            </w:r>
          </w:p>
        </w:tc>
        <w:tc>
          <w:tcPr>
            <w:tcW w:w="722"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6</w:t>
            </w:r>
          </w:p>
        </w:tc>
        <w:tc>
          <w:tcPr>
            <w:tcW w:w="722"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9</w:t>
            </w:r>
          </w:p>
        </w:tc>
        <w:tc>
          <w:tcPr>
            <w:tcW w:w="756"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12</w:t>
            </w:r>
          </w:p>
        </w:tc>
        <w:tc>
          <w:tcPr>
            <w:tcW w:w="1064" w:type="dxa"/>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69</w:t>
            </w:r>
          </w:p>
        </w:tc>
      </w:tr>
      <w:tr w:rsidR="00BE49FB" w:rsidRPr="008376FC" w:rsidTr="009A4BC4">
        <w:trPr>
          <w:trHeight w:val="219"/>
        </w:trPr>
        <w:tc>
          <w:tcPr>
            <w:tcW w:w="968" w:type="dxa"/>
            <w:vMerge/>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p>
        </w:tc>
        <w:tc>
          <w:tcPr>
            <w:tcW w:w="2904" w:type="dxa"/>
            <w:gridSpan w:val="2"/>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Număr sisteme de epurare</w:t>
            </w:r>
            <w:r w:rsidR="009D2DEF">
              <w:rPr>
                <w:rFonts w:asciiTheme="majorHAnsi" w:eastAsia="Calibri" w:hAnsiTheme="majorHAnsi" w:cstheme="majorHAnsi"/>
                <w:b w:val="0"/>
                <w:bCs w:val="0"/>
                <w:noProof/>
                <w:sz w:val="20"/>
                <w:szCs w:val="20"/>
                <w:lang w:eastAsia="ru-RU"/>
              </w:rPr>
              <w:t>,</w:t>
            </w:r>
            <w:r w:rsidRPr="008376FC">
              <w:rPr>
                <w:rFonts w:asciiTheme="majorHAnsi" w:eastAsia="Calibri" w:hAnsiTheme="majorHAnsi" w:cstheme="majorHAnsi"/>
                <w:b w:val="0"/>
                <w:bCs w:val="0"/>
                <w:noProof/>
                <w:sz w:val="20"/>
                <w:szCs w:val="20"/>
                <w:lang w:eastAsia="ru-RU"/>
              </w:rPr>
              <w:t xml:space="preserve"> funcționale</w:t>
            </w:r>
          </w:p>
        </w:tc>
        <w:tc>
          <w:tcPr>
            <w:tcW w:w="1091"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11</w:t>
            </w:r>
          </w:p>
        </w:tc>
        <w:tc>
          <w:tcPr>
            <w:tcW w:w="849"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13</w:t>
            </w:r>
          </w:p>
        </w:tc>
        <w:tc>
          <w:tcPr>
            <w:tcW w:w="849"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17</w:t>
            </w:r>
          </w:p>
        </w:tc>
        <w:tc>
          <w:tcPr>
            <w:tcW w:w="722"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6</w:t>
            </w:r>
          </w:p>
        </w:tc>
        <w:tc>
          <w:tcPr>
            <w:tcW w:w="722"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9</w:t>
            </w:r>
          </w:p>
        </w:tc>
        <w:tc>
          <w:tcPr>
            <w:tcW w:w="756"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12</w:t>
            </w:r>
          </w:p>
        </w:tc>
        <w:tc>
          <w:tcPr>
            <w:tcW w:w="1064" w:type="dxa"/>
            <w:tcBorders>
              <w:bottom w:val="single" w:sz="4" w:space="0" w:color="auto"/>
            </w:tcBorders>
          </w:tcPr>
          <w:p w:rsidR="00BE49FB" w:rsidRPr="008376FC" w:rsidRDefault="00BE49FB" w:rsidP="00983223">
            <w:pPr>
              <w:contextualSpacing/>
              <w:jc w:val="both"/>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b w:val="0"/>
                <w:bCs w:val="0"/>
                <w:noProof/>
                <w:sz w:val="20"/>
                <w:szCs w:val="20"/>
                <w:lang w:eastAsia="ru-RU"/>
              </w:rPr>
              <w:t>68</w:t>
            </w:r>
          </w:p>
        </w:tc>
      </w:tr>
      <w:tr w:rsidR="00B7342F" w:rsidRPr="008376FC" w:rsidTr="009A4BC4">
        <w:trPr>
          <w:trHeight w:val="219"/>
        </w:trPr>
        <w:tc>
          <w:tcPr>
            <w:tcW w:w="9925" w:type="dxa"/>
            <w:gridSpan w:val="10"/>
            <w:tcBorders>
              <w:top w:val="single" w:sz="4" w:space="0" w:color="auto"/>
              <w:left w:val="nil"/>
              <w:bottom w:val="nil"/>
              <w:right w:val="nil"/>
            </w:tcBorders>
          </w:tcPr>
          <w:p w:rsidR="00B7342F" w:rsidRPr="00C04B44" w:rsidRDefault="00B7342F" w:rsidP="00983223">
            <w:pPr>
              <w:jc w:val="both"/>
              <w:rPr>
                <w:rFonts w:asciiTheme="majorHAnsi" w:eastAsia="Calibri" w:hAnsiTheme="majorHAnsi" w:cstheme="majorHAnsi"/>
                <w:b w:val="0"/>
                <w:bCs w:val="0"/>
                <w:i/>
                <w:noProof/>
                <w:sz w:val="20"/>
                <w:szCs w:val="20"/>
                <w:lang w:eastAsia="ru-RU"/>
              </w:rPr>
            </w:pPr>
            <w:r w:rsidRPr="00C04B44">
              <w:rPr>
                <w:rFonts w:asciiTheme="majorHAnsi" w:eastAsia="Calibri" w:hAnsiTheme="majorHAnsi" w:cstheme="majorHAnsi"/>
                <w:bCs w:val="0"/>
                <w:i/>
                <w:noProof/>
                <w:sz w:val="20"/>
                <w:szCs w:val="20"/>
                <w:lang w:eastAsia="ru-RU"/>
              </w:rPr>
              <w:t>Sursa:</w:t>
            </w:r>
            <w:r w:rsidRPr="00C04B44">
              <w:rPr>
                <w:rFonts w:asciiTheme="majorHAnsi" w:eastAsia="Calibri" w:hAnsiTheme="majorHAnsi" w:cstheme="majorHAnsi"/>
                <w:b w:val="0"/>
                <w:bCs w:val="0"/>
                <w:i/>
                <w:noProof/>
                <w:sz w:val="20"/>
                <w:szCs w:val="20"/>
                <w:lang w:eastAsia="ru-RU"/>
              </w:rPr>
              <w:t xml:space="preserve"> Date</w:t>
            </w:r>
            <w:r w:rsidR="009D2DEF">
              <w:rPr>
                <w:rFonts w:asciiTheme="majorHAnsi" w:eastAsia="Calibri" w:hAnsiTheme="majorHAnsi" w:cstheme="majorHAnsi"/>
                <w:b w:val="0"/>
                <w:bCs w:val="0"/>
                <w:i/>
                <w:noProof/>
                <w:sz w:val="20"/>
                <w:szCs w:val="20"/>
                <w:lang w:eastAsia="ru-RU"/>
              </w:rPr>
              <w:t xml:space="preserve"> oferite d</w:t>
            </w:r>
            <w:r w:rsidRPr="00C04B44">
              <w:rPr>
                <w:rFonts w:asciiTheme="majorHAnsi" w:eastAsia="Calibri" w:hAnsiTheme="majorHAnsi" w:cstheme="majorHAnsi"/>
                <w:b w:val="0"/>
                <w:bCs w:val="0"/>
                <w:i/>
                <w:noProof/>
                <w:sz w:val="20"/>
                <w:szCs w:val="20"/>
                <w:lang w:eastAsia="ru-RU"/>
              </w:rPr>
              <w:t>e BNS și calculele auditului.</w:t>
            </w:r>
          </w:p>
        </w:tc>
      </w:tr>
    </w:tbl>
    <w:p w:rsidR="009A4BC4" w:rsidRPr="008376FC" w:rsidRDefault="009A4BC4" w:rsidP="00F61756">
      <w:pPr>
        <w:spacing w:before="120" w:after="0" w:line="276" w:lineRule="auto"/>
        <w:contextualSpacing/>
        <w:jc w:val="both"/>
        <w:rPr>
          <w:rFonts w:asciiTheme="majorHAnsi" w:eastAsia="Calibri" w:hAnsiTheme="majorHAnsi" w:cstheme="majorHAnsi"/>
          <w:b w:val="0"/>
          <w:bCs w:val="0"/>
          <w:noProof/>
          <w:sz w:val="24"/>
          <w:szCs w:val="24"/>
          <w:lang w:eastAsia="ru-RU"/>
        </w:rPr>
      </w:pPr>
    </w:p>
    <w:p w:rsidR="00BE49FB" w:rsidRPr="008376FC" w:rsidRDefault="00BE49FB" w:rsidP="00F61756">
      <w:pPr>
        <w:spacing w:before="120" w:after="0" w:line="276" w:lineRule="auto"/>
        <w:contextualSpacing/>
        <w:jc w:val="both"/>
        <w:rPr>
          <w:rFonts w:asciiTheme="majorHAnsi" w:eastAsia="Calibri" w:hAnsiTheme="majorHAnsi" w:cstheme="majorHAnsi"/>
          <w:b w:val="0"/>
          <w:bCs w:val="0"/>
          <w:noProof/>
          <w:sz w:val="24"/>
          <w:szCs w:val="24"/>
          <w:lang w:eastAsia="ru-RU"/>
        </w:rPr>
      </w:pPr>
      <w:r w:rsidRPr="008376FC">
        <w:rPr>
          <w:rFonts w:asciiTheme="majorHAnsi" w:eastAsia="Calibri" w:hAnsiTheme="majorHAnsi" w:cstheme="majorHAnsi"/>
          <w:b w:val="0"/>
          <w:bCs w:val="0"/>
          <w:noProof/>
          <w:sz w:val="24"/>
          <w:szCs w:val="24"/>
          <w:lang w:eastAsia="ru-RU"/>
        </w:rPr>
        <w:t>Datele din Tabel denotă că, în anul 2016, din 58 de operatori care gestionează 68 de sisteme de epurare a apelor uzate, 45,6%</w:t>
      </w:r>
      <w:r w:rsidR="009D2DEF">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sau 31</w:t>
      </w:r>
      <w:r w:rsidRPr="008376FC">
        <w:rPr>
          <w:rFonts w:asciiTheme="majorHAnsi" w:eastAsia="Calibri" w:hAnsiTheme="majorHAnsi" w:cstheme="majorHAnsi"/>
          <w:b w:val="0"/>
          <w:bCs w:val="0"/>
          <w:noProof/>
          <w:sz w:val="24"/>
          <w:szCs w:val="24"/>
          <w:vertAlign w:val="superscript"/>
          <w:lang w:eastAsia="ru-RU"/>
        </w:rPr>
        <w:footnoteReference w:id="92"/>
      </w:r>
      <w:r w:rsidRPr="008376FC">
        <w:rPr>
          <w:rFonts w:asciiTheme="majorHAnsi" w:eastAsia="Calibri" w:hAnsiTheme="majorHAnsi" w:cstheme="majorHAnsi"/>
          <w:b w:val="0"/>
          <w:bCs w:val="0"/>
          <w:noProof/>
          <w:sz w:val="24"/>
          <w:szCs w:val="24"/>
          <w:lang w:eastAsia="ru-RU"/>
        </w:rPr>
        <w:t xml:space="preserve"> de stații lucrează la capacitate de pănă la 30% din capacitatea lor proiectată, iar în anul 2018</w:t>
      </w:r>
      <w:r w:rsidR="009D2DEF">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din 69 de siste</w:t>
      </w:r>
      <w:r w:rsidR="009D2DEF">
        <w:rPr>
          <w:rFonts w:asciiTheme="majorHAnsi" w:eastAsia="Calibri" w:hAnsiTheme="majorHAnsi" w:cstheme="majorHAnsi"/>
          <w:b w:val="0"/>
          <w:bCs w:val="0"/>
          <w:noProof/>
          <w:sz w:val="24"/>
          <w:szCs w:val="24"/>
          <w:lang w:eastAsia="ru-RU"/>
        </w:rPr>
        <w:t>m</w:t>
      </w:r>
      <w:r w:rsidRPr="008376FC">
        <w:rPr>
          <w:rFonts w:asciiTheme="majorHAnsi" w:eastAsia="Calibri" w:hAnsiTheme="majorHAnsi" w:cstheme="majorHAnsi"/>
          <w:b w:val="0"/>
          <w:bCs w:val="0"/>
          <w:noProof/>
          <w:sz w:val="24"/>
          <w:szCs w:val="24"/>
          <w:lang w:eastAsia="ru-RU"/>
        </w:rPr>
        <w:t>e gestionate de 43 de operatori, numătul stațiilor de epurare a apelor uzate cu capa</w:t>
      </w:r>
      <w:r w:rsidR="009D2DEF">
        <w:rPr>
          <w:rFonts w:asciiTheme="majorHAnsi" w:eastAsia="Calibri" w:hAnsiTheme="majorHAnsi" w:cstheme="majorHAnsi"/>
          <w:b w:val="0"/>
          <w:bCs w:val="0"/>
          <w:noProof/>
          <w:sz w:val="24"/>
          <w:szCs w:val="24"/>
          <w:lang w:eastAsia="ru-RU"/>
        </w:rPr>
        <w:t>c</w:t>
      </w:r>
      <w:r w:rsidRPr="008376FC">
        <w:rPr>
          <w:rFonts w:asciiTheme="majorHAnsi" w:eastAsia="Calibri" w:hAnsiTheme="majorHAnsi" w:cstheme="majorHAnsi"/>
          <w:b w:val="0"/>
          <w:bCs w:val="0"/>
          <w:noProof/>
          <w:sz w:val="24"/>
          <w:szCs w:val="24"/>
          <w:lang w:eastAsia="ru-RU"/>
        </w:rPr>
        <w:t>itatea sub 30% s-a diminuat p</w:t>
      </w:r>
      <w:r w:rsidR="009D2DEF">
        <w:rPr>
          <w:rFonts w:asciiTheme="majorHAnsi" w:eastAsia="Calibri" w:hAnsiTheme="majorHAnsi" w:cstheme="majorHAnsi"/>
          <w:b w:val="0"/>
          <w:bCs w:val="0"/>
          <w:noProof/>
          <w:sz w:val="24"/>
          <w:szCs w:val="24"/>
          <w:lang w:eastAsia="ru-RU"/>
        </w:rPr>
        <w:t>â</w:t>
      </w:r>
      <w:r w:rsidRPr="008376FC">
        <w:rPr>
          <w:rFonts w:asciiTheme="majorHAnsi" w:eastAsia="Calibri" w:hAnsiTheme="majorHAnsi" w:cstheme="majorHAnsi"/>
          <w:b w:val="0"/>
          <w:bCs w:val="0"/>
          <w:noProof/>
          <w:sz w:val="24"/>
          <w:szCs w:val="24"/>
          <w:lang w:eastAsia="ru-RU"/>
        </w:rPr>
        <w:t>nă la 24</w:t>
      </w:r>
      <w:r w:rsidRPr="008376FC">
        <w:rPr>
          <w:rFonts w:asciiTheme="majorHAnsi" w:eastAsia="Calibri" w:hAnsiTheme="majorHAnsi" w:cstheme="majorHAnsi"/>
          <w:b w:val="0"/>
          <w:bCs w:val="0"/>
          <w:noProof/>
          <w:sz w:val="24"/>
          <w:szCs w:val="24"/>
          <w:vertAlign w:val="superscript"/>
          <w:lang w:eastAsia="ru-RU"/>
        </w:rPr>
        <w:footnoteReference w:id="93"/>
      </w:r>
      <w:r w:rsidRPr="008376FC">
        <w:rPr>
          <w:rFonts w:asciiTheme="majorHAnsi" w:eastAsia="Calibri" w:hAnsiTheme="majorHAnsi" w:cstheme="majorHAnsi"/>
          <w:b w:val="0"/>
          <w:bCs w:val="0"/>
          <w:noProof/>
          <w:sz w:val="24"/>
          <w:szCs w:val="24"/>
          <w:lang w:eastAsia="ru-RU"/>
        </w:rPr>
        <w:t xml:space="preserve"> de unități.  </w:t>
      </w:r>
    </w:p>
    <w:p w:rsidR="00BE49FB" w:rsidRPr="008376FC" w:rsidRDefault="00BE49FB" w:rsidP="00F61756">
      <w:pPr>
        <w:spacing w:before="120" w:after="0" w:line="276" w:lineRule="auto"/>
        <w:contextualSpacing/>
        <w:jc w:val="both"/>
        <w:rPr>
          <w:rFonts w:asciiTheme="majorHAnsi" w:eastAsia="Calibri" w:hAnsiTheme="majorHAnsi" w:cstheme="majorHAnsi"/>
          <w:bCs w:val="0"/>
          <w:noProof/>
          <w:sz w:val="24"/>
          <w:szCs w:val="24"/>
          <w:lang w:eastAsia="ru-RU"/>
        </w:rPr>
      </w:pPr>
      <w:r w:rsidRPr="008376FC">
        <w:rPr>
          <w:rFonts w:asciiTheme="majorHAnsi" w:eastAsia="Calibri" w:hAnsiTheme="majorHAnsi" w:cstheme="majorHAnsi"/>
          <w:b w:val="0"/>
          <w:bCs w:val="0"/>
          <w:noProof/>
          <w:sz w:val="24"/>
          <w:szCs w:val="24"/>
          <w:lang w:eastAsia="ru-RU"/>
        </w:rPr>
        <w:t>La finele anului 2021, conform datelor BNS, în raioanele Glodeni, Soroca, Dub</w:t>
      </w:r>
      <w:r w:rsidR="009D2DEF">
        <w:rPr>
          <w:rFonts w:asciiTheme="majorHAnsi" w:eastAsia="Calibri" w:hAnsiTheme="majorHAnsi" w:cstheme="majorHAnsi"/>
          <w:b w:val="0"/>
          <w:bCs w:val="0"/>
          <w:noProof/>
          <w:sz w:val="24"/>
          <w:szCs w:val="24"/>
          <w:lang w:eastAsia="ru-RU"/>
        </w:rPr>
        <w:t>ă</w:t>
      </w:r>
      <w:r w:rsidRPr="008376FC">
        <w:rPr>
          <w:rFonts w:asciiTheme="majorHAnsi" w:eastAsia="Calibri" w:hAnsiTheme="majorHAnsi" w:cstheme="majorHAnsi"/>
          <w:b w:val="0"/>
          <w:bCs w:val="0"/>
          <w:noProof/>
          <w:sz w:val="24"/>
          <w:szCs w:val="24"/>
          <w:lang w:eastAsia="ru-RU"/>
        </w:rPr>
        <w:t>sari și Rezina se atest</w:t>
      </w:r>
      <w:r w:rsidR="009D2DEF">
        <w:rPr>
          <w:rFonts w:asciiTheme="majorHAnsi" w:eastAsia="Calibri" w:hAnsiTheme="majorHAnsi" w:cstheme="majorHAnsi"/>
          <w:b w:val="0"/>
          <w:bCs w:val="0"/>
          <w:noProof/>
          <w:sz w:val="24"/>
          <w:szCs w:val="24"/>
          <w:lang w:eastAsia="ru-RU"/>
        </w:rPr>
        <w:t xml:space="preserve">a </w:t>
      </w:r>
      <w:r w:rsidRPr="008376FC">
        <w:rPr>
          <w:rFonts w:asciiTheme="majorHAnsi" w:eastAsia="Calibri" w:hAnsiTheme="majorHAnsi" w:cstheme="majorHAnsi"/>
          <w:b w:val="0"/>
          <w:bCs w:val="0"/>
          <w:noProof/>
          <w:sz w:val="24"/>
          <w:szCs w:val="24"/>
          <w:lang w:eastAsia="ru-RU"/>
        </w:rPr>
        <w:t>lipsa stațiilor de epurare. Totodată, în r-</w:t>
      </w:r>
      <w:r w:rsidR="009D2DEF">
        <w:rPr>
          <w:rFonts w:asciiTheme="majorHAnsi" w:eastAsia="Calibri" w:hAnsiTheme="majorHAnsi" w:cstheme="majorHAnsi"/>
          <w:b w:val="0"/>
          <w:bCs w:val="0"/>
          <w:noProof/>
          <w:sz w:val="24"/>
          <w:szCs w:val="24"/>
          <w:lang w:eastAsia="ru-RU"/>
        </w:rPr>
        <w:t>n</w:t>
      </w:r>
      <w:r w:rsidRPr="008376FC">
        <w:rPr>
          <w:rFonts w:asciiTheme="majorHAnsi" w:eastAsia="Calibri" w:hAnsiTheme="majorHAnsi" w:cstheme="majorHAnsi"/>
          <w:b w:val="0"/>
          <w:bCs w:val="0"/>
          <w:noProof/>
          <w:sz w:val="24"/>
          <w:szCs w:val="24"/>
          <w:lang w:eastAsia="ru-RU"/>
        </w:rPr>
        <w:t>ul Ialoveni</w:t>
      </w:r>
      <w:r w:rsidR="009D2DEF">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din 2 stații de epurare a apelor uzate</w:t>
      </w:r>
      <w:r w:rsidR="009D2DEF">
        <w:rPr>
          <w:rFonts w:asciiTheme="majorHAnsi" w:eastAsia="Calibri" w:hAnsiTheme="majorHAnsi" w:cstheme="majorHAnsi"/>
          <w:b w:val="0"/>
          <w:bCs w:val="0"/>
          <w:noProof/>
          <w:sz w:val="24"/>
          <w:szCs w:val="24"/>
          <w:lang w:eastAsia="ru-RU"/>
        </w:rPr>
        <w:t>,</w:t>
      </w:r>
      <w:r w:rsidRPr="008376FC">
        <w:rPr>
          <w:rFonts w:asciiTheme="majorHAnsi" w:eastAsia="Calibri" w:hAnsiTheme="majorHAnsi" w:cstheme="majorHAnsi"/>
          <w:b w:val="0"/>
          <w:bCs w:val="0"/>
          <w:noProof/>
          <w:sz w:val="24"/>
          <w:szCs w:val="24"/>
          <w:lang w:eastAsia="ru-RU"/>
        </w:rPr>
        <w:t xml:space="preserve"> nu funcționează niciuna. </w:t>
      </w:r>
    </w:p>
    <w:p w:rsidR="00BE49FB" w:rsidRPr="008376FC" w:rsidRDefault="00BE49FB" w:rsidP="00F61756">
      <w:pPr>
        <w:spacing w:before="120" w:after="0" w:line="276" w:lineRule="auto"/>
        <w:contextualSpacing/>
        <w:jc w:val="both"/>
        <w:rPr>
          <w:rFonts w:asciiTheme="majorHAnsi" w:eastAsia="Calibri" w:hAnsiTheme="majorHAnsi" w:cstheme="majorHAnsi"/>
          <w:b w:val="0"/>
          <w:bCs w:val="0"/>
          <w:noProof/>
          <w:sz w:val="24"/>
          <w:szCs w:val="24"/>
          <w:lang w:eastAsia="ru-RU"/>
        </w:rPr>
      </w:pPr>
      <w:r w:rsidRPr="008376FC">
        <w:rPr>
          <w:rFonts w:asciiTheme="majorHAnsi" w:eastAsia="Calibri" w:hAnsiTheme="majorHAnsi" w:cstheme="majorHAnsi"/>
          <w:b w:val="0"/>
          <w:bCs w:val="0"/>
          <w:noProof/>
          <w:sz w:val="24"/>
          <w:szCs w:val="24"/>
          <w:lang w:eastAsia="ru-RU"/>
        </w:rPr>
        <w:t xml:space="preserve">Rămâne îngrijorătoare situaţia ecologică creată de apele uzate neepurate evacuate din or. Soroca și or. Rezina în fluviul Nistru, </w:t>
      </w:r>
      <w:r w:rsidR="009D2DEF">
        <w:rPr>
          <w:rFonts w:asciiTheme="majorHAnsi" w:eastAsia="Calibri" w:hAnsiTheme="majorHAnsi" w:cstheme="majorHAnsi"/>
          <w:b w:val="0"/>
          <w:bCs w:val="0"/>
          <w:noProof/>
          <w:sz w:val="24"/>
          <w:szCs w:val="24"/>
          <w:lang w:eastAsia="ru-RU"/>
        </w:rPr>
        <w:t xml:space="preserve">din </w:t>
      </w:r>
      <w:r w:rsidRPr="008376FC">
        <w:rPr>
          <w:rFonts w:asciiTheme="majorHAnsi" w:eastAsia="Calibri" w:hAnsiTheme="majorHAnsi" w:cstheme="majorHAnsi"/>
          <w:b w:val="0"/>
          <w:bCs w:val="0"/>
          <w:noProof/>
          <w:sz w:val="24"/>
          <w:szCs w:val="24"/>
          <w:lang w:eastAsia="ru-RU"/>
        </w:rPr>
        <w:t>or. Cantemir în r</w:t>
      </w:r>
      <w:r w:rsidR="00E741F5">
        <w:rPr>
          <w:rFonts w:asciiTheme="majorHAnsi" w:eastAsia="Calibri" w:hAnsiTheme="majorHAnsi" w:cstheme="majorHAnsi"/>
          <w:b w:val="0"/>
          <w:bCs w:val="0"/>
          <w:noProof/>
          <w:sz w:val="24"/>
          <w:szCs w:val="24"/>
          <w:lang w:eastAsia="ru-RU"/>
        </w:rPr>
        <w:t xml:space="preserve">âul </w:t>
      </w:r>
      <w:r w:rsidRPr="008376FC">
        <w:rPr>
          <w:rFonts w:asciiTheme="majorHAnsi" w:eastAsia="Calibri" w:hAnsiTheme="majorHAnsi" w:cstheme="majorHAnsi"/>
          <w:b w:val="0"/>
          <w:bCs w:val="0"/>
          <w:noProof/>
          <w:sz w:val="24"/>
          <w:szCs w:val="24"/>
          <w:lang w:eastAsia="ru-RU"/>
        </w:rPr>
        <w:t>Prut etc.</w:t>
      </w:r>
    </w:p>
    <w:p w:rsidR="00BE49FB" w:rsidRPr="008376FC" w:rsidRDefault="00E741F5" w:rsidP="00F61756">
      <w:pPr>
        <w:widowControl w:val="0"/>
        <w:autoSpaceDE w:val="0"/>
        <w:autoSpaceDN w:val="0"/>
        <w:spacing w:before="120" w:after="0" w:line="276" w:lineRule="auto"/>
        <w:ind w:right="-77"/>
        <w:jc w:val="both"/>
        <w:rPr>
          <w:rFonts w:asciiTheme="majorHAnsi" w:eastAsia="Times New Roman" w:hAnsiTheme="majorHAnsi" w:cstheme="majorHAnsi"/>
          <w:b w:val="0"/>
          <w:bCs w:val="0"/>
          <w:sz w:val="24"/>
          <w:szCs w:val="24"/>
        </w:rPr>
      </w:pPr>
      <w:r>
        <w:rPr>
          <w:rFonts w:asciiTheme="majorHAnsi" w:eastAsia="Times New Roman" w:hAnsiTheme="majorHAnsi" w:cstheme="majorHAnsi"/>
          <w:b w:val="0"/>
          <w:bCs w:val="0"/>
          <w:sz w:val="24"/>
          <w:szCs w:val="24"/>
        </w:rPr>
        <w:t xml:space="preserve">În prezent, </w:t>
      </w:r>
      <w:r w:rsidR="00BE49FB" w:rsidRPr="008376FC">
        <w:rPr>
          <w:rFonts w:asciiTheme="majorHAnsi" w:eastAsia="Times New Roman" w:hAnsiTheme="majorHAnsi" w:cstheme="majorHAnsi"/>
          <w:b w:val="0"/>
          <w:bCs w:val="0"/>
          <w:sz w:val="24"/>
          <w:szCs w:val="24"/>
        </w:rPr>
        <w:t>nu există modalităţi</w:t>
      </w:r>
      <w:r>
        <w:rPr>
          <w:rFonts w:asciiTheme="majorHAnsi" w:eastAsia="Times New Roman" w:hAnsiTheme="majorHAnsi" w:cstheme="majorHAnsi"/>
          <w:b w:val="0"/>
          <w:bCs w:val="0"/>
          <w:sz w:val="24"/>
          <w:szCs w:val="24"/>
        </w:rPr>
        <w:t xml:space="preserve"> de</w:t>
      </w:r>
      <w:r w:rsidR="00BE49FB" w:rsidRPr="008376FC">
        <w:rPr>
          <w:rFonts w:asciiTheme="majorHAnsi" w:eastAsia="Times New Roman" w:hAnsiTheme="majorHAnsi" w:cstheme="majorHAnsi"/>
          <w:b w:val="0"/>
          <w:bCs w:val="0"/>
          <w:sz w:val="24"/>
          <w:szCs w:val="24"/>
        </w:rPr>
        <w:t xml:space="preserve"> oprire</w:t>
      </w:r>
      <w:r>
        <w:rPr>
          <w:rFonts w:asciiTheme="majorHAnsi" w:eastAsia="Times New Roman" w:hAnsiTheme="majorHAnsi" w:cstheme="majorHAnsi"/>
          <w:b w:val="0"/>
          <w:bCs w:val="0"/>
          <w:sz w:val="24"/>
          <w:szCs w:val="24"/>
        </w:rPr>
        <w:t xml:space="preserve"> </w:t>
      </w:r>
      <w:r w:rsidR="00BE49FB" w:rsidRPr="008376FC">
        <w:rPr>
          <w:rFonts w:asciiTheme="majorHAnsi" w:eastAsia="Times New Roman" w:hAnsiTheme="majorHAnsi" w:cstheme="majorHAnsi"/>
          <w:b w:val="0"/>
          <w:bCs w:val="0"/>
          <w:sz w:val="24"/>
          <w:szCs w:val="24"/>
        </w:rPr>
        <w:t xml:space="preserve">a deversării apelor uzate în </w:t>
      </w:r>
      <w:r>
        <w:rPr>
          <w:rFonts w:asciiTheme="majorHAnsi" w:eastAsia="Times New Roman" w:hAnsiTheme="majorHAnsi" w:cstheme="majorHAnsi"/>
          <w:b w:val="0"/>
          <w:bCs w:val="0"/>
          <w:sz w:val="24"/>
          <w:szCs w:val="24"/>
        </w:rPr>
        <w:t xml:space="preserve">bazine </w:t>
      </w:r>
      <w:r w:rsidR="00BE49FB" w:rsidRPr="008376FC">
        <w:rPr>
          <w:rFonts w:asciiTheme="majorHAnsi" w:eastAsia="Times New Roman" w:hAnsiTheme="majorHAnsi" w:cstheme="majorHAnsi"/>
          <w:b w:val="0"/>
          <w:bCs w:val="0"/>
          <w:sz w:val="24"/>
          <w:szCs w:val="24"/>
        </w:rPr>
        <w:t>naturale, deoarece populaţia este</w:t>
      </w:r>
      <w:r w:rsidR="00BE49FB" w:rsidRPr="008376FC">
        <w:rPr>
          <w:rFonts w:asciiTheme="majorHAnsi" w:eastAsia="Times New Roman" w:hAnsiTheme="majorHAnsi" w:cstheme="majorHAnsi"/>
          <w:b w:val="0"/>
          <w:bCs w:val="0"/>
          <w:spacing w:val="1"/>
          <w:sz w:val="24"/>
          <w:szCs w:val="24"/>
        </w:rPr>
        <w:t xml:space="preserve"> </w:t>
      </w:r>
      <w:r w:rsidR="00BE49FB" w:rsidRPr="008376FC">
        <w:rPr>
          <w:rFonts w:asciiTheme="majorHAnsi" w:eastAsia="Times New Roman" w:hAnsiTheme="majorHAnsi" w:cstheme="majorHAnsi"/>
          <w:b w:val="0"/>
          <w:bCs w:val="0"/>
          <w:sz w:val="24"/>
          <w:szCs w:val="24"/>
        </w:rPr>
        <w:t>conectată</w:t>
      </w:r>
      <w:r w:rsidR="00BE49FB" w:rsidRPr="008376FC">
        <w:rPr>
          <w:rFonts w:asciiTheme="majorHAnsi" w:eastAsia="Times New Roman" w:hAnsiTheme="majorHAnsi" w:cstheme="majorHAnsi"/>
          <w:b w:val="0"/>
          <w:bCs w:val="0"/>
          <w:spacing w:val="32"/>
          <w:sz w:val="24"/>
          <w:szCs w:val="24"/>
        </w:rPr>
        <w:t xml:space="preserve"> </w:t>
      </w:r>
      <w:r w:rsidR="00BE49FB" w:rsidRPr="008376FC">
        <w:rPr>
          <w:rFonts w:asciiTheme="majorHAnsi" w:eastAsia="Times New Roman" w:hAnsiTheme="majorHAnsi" w:cstheme="majorHAnsi"/>
          <w:b w:val="0"/>
          <w:bCs w:val="0"/>
          <w:sz w:val="24"/>
          <w:szCs w:val="24"/>
        </w:rPr>
        <w:t>la</w:t>
      </w:r>
      <w:r w:rsidR="00BE49FB" w:rsidRPr="008376FC">
        <w:rPr>
          <w:rFonts w:asciiTheme="majorHAnsi" w:eastAsia="Times New Roman" w:hAnsiTheme="majorHAnsi" w:cstheme="majorHAnsi"/>
          <w:b w:val="0"/>
          <w:bCs w:val="0"/>
          <w:spacing w:val="36"/>
          <w:sz w:val="24"/>
          <w:szCs w:val="24"/>
        </w:rPr>
        <w:t xml:space="preserve"> </w:t>
      </w:r>
      <w:r w:rsidR="00BE49FB" w:rsidRPr="008376FC">
        <w:rPr>
          <w:rFonts w:asciiTheme="majorHAnsi" w:eastAsia="Times New Roman" w:hAnsiTheme="majorHAnsi" w:cstheme="majorHAnsi"/>
          <w:b w:val="0"/>
          <w:bCs w:val="0"/>
          <w:sz w:val="24"/>
          <w:szCs w:val="24"/>
        </w:rPr>
        <w:t>sistem</w:t>
      </w:r>
      <w:r>
        <w:rPr>
          <w:rFonts w:asciiTheme="majorHAnsi" w:eastAsia="Times New Roman" w:hAnsiTheme="majorHAnsi" w:cstheme="majorHAnsi"/>
          <w:b w:val="0"/>
          <w:bCs w:val="0"/>
          <w:sz w:val="24"/>
          <w:szCs w:val="24"/>
        </w:rPr>
        <w:t>e</w:t>
      </w:r>
      <w:r w:rsidR="00BE49FB" w:rsidRPr="008376FC">
        <w:rPr>
          <w:rFonts w:asciiTheme="majorHAnsi" w:eastAsia="Times New Roman" w:hAnsiTheme="majorHAnsi" w:cstheme="majorHAnsi"/>
          <w:b w:val="0"/>
          <w:bCs w:val="0"/>
          <w:spacing w:val="35"/>
          <w:sz w:val="24"/>
          <w:szCs w:val="24"/>
        </w:rPr>
        <w:t xml:space="preserve"> </w:t>
      </w:r>
      <w:r w:rsidR="00BE49FB" w:rsidRPr="008376FC">
        <w:rPr>
          <w:rFonts w:asciiTheme="majorHAnsi" w:eastAsia="Times New Roman" w:hAnsiTheme="majorHAnsi" w:cstheme="majorHAnsi"/>
          <w:b w:val="0"/>
          <w:bCs w:val="0"/>
          <w:sz w:val="24"/>
          <w:szCs w:val="24"/>
        </w:rPr>
        <w:t>de</w:t>
      </w:r>
      <w:r w:rsidR="00BE49FB" w:rsidRPr="008376FC">
        <w:rPr>
          <w:rFonts w:asciiTheme="majorHAnsi" w:eastAsia="Times New Roman" w:hAnsiTheme="majorHAnsi" w:cstheme="majorHAnsi"/>
          <w:b w:val="0"/>
          <w:bCs w:val="0"/>
          <w:spacing w:val="35"/>
          <w:sz w:val="24"/>
          <w:szCs w:val="24"/>
        </w:rPr>
        <w:t xml:space="preserve"> </w:t>
      </w:r>
      <w:r w:rsidR="00BE49FB" w:rsidRPr="008376FC">
        <w:rPr>
          <w:rFonts w:asciiTheme="majorHAnsi" w:eastAsia="Times New Roman" w:hAnsiTheme="majorHAnsi" w:cstheme="majorHAnsi"/>
          <w:b w:val="0"/>
          <w:bCs w:val="0"/>
          <w:sz w:val="24"/>
          <w:szCs w:val="24"/>
        </w:rPr>
        <w:t>canalizare chiar și în lipsa stațiilor de epurare a apelor uzate.</w:t>
      </w:r>
      <w:r w:rsidR="00BE49FB" w:rsidRPr="008376FC">
        <w:rPr>
          <w:rFonts w:asciiTheme="majorHAnsi" w:eastAsia="Times New Roman" w:hAnsiTheme="majorHAnsi" w:cstheme="majorHAnsi"/>
          <w:b w:val="0"/>
          <w:bCs w:val="0"/>
          <w:spacing w:val="34"/>
          <w:sz w:val="24"/>
          <w:szCs w:val="24"/>
        </w:rPr>
        <w:t xml:space="preserve"> </w:t>
      </w:r>
      <w:r w:rsidR="00BE49FB" w:rsidRPr="008376FC">
        <w:rPr>
          <w:rFonts w:asciiTheme="majorHAnsi" w:eastAsia="Times New Roman" w:hAnsiTheme="majorHAnsi" w:cstheme="majorHAnsi"/>
          <w:b w:val="0"/>
          <w:bCs w:val="0"/>
          <w:sz w:val="24"/>
          <w:szCs w:val="24"/>
        </w:rPr>
        <w:t>Astfel,</w:t>
      </w:r>
      <w:r w:rsidR="00BE49FB" w:rsidRPr="008376FC">
        <w:rPr>
          <w:rFonts w:asciiTheme="majorHAnsi" w:eastAsia="Times New Roman" w:hAnsiTheme="majorHAnsi" w:cstheme="majorHAnsi"/>
          <w:b w:val="0"/>
          <w:bCs w:val="0"/>
          <w:spacing w:val="34"/>
          <w:sz w:val="24"/>
          <w:szCs w:val="24"/>
        </w:rPr>
        <w:t xml:space="preserve"> </w:t>
      </w:r>
      <w:r w:rsidR="00BE49FB" w:rsidRPr="008376FC">
        <w:rPr>
          <w:rFonts w:asciiTheme="majorHAnsi" w:eastAsia="Times New Roman" w:hAnsiTheme="majorHAnsi" w:cstheme="majorHAnsi"/>
          <w:b w:val="0"/>
          <w:bCs w:val="0"/>
          <w:sz w:val="24"/>
          <w:szCs w:val="24"/>
        </w:rPr>
        <w:t>chiar</w:t>
      </w:r>
      <w:r w:rsidR="00BE49FB" w:rsidRPr="008376FC">
        <w:rPr>
          <w:rFonts w:asciiTheme="majorHAnsi" w:eastAsia="Times New Roman" w:hAnsiTheme="majorHAnsi" w:cstheme="majorHAnsi"/>
          <w:b w:val="0"/>
          <w:bCs w:val="0"/>
          <w:spacing w:val="36"/>
          <w:sz w:val="24"/>
          <w:szCs w:val="24"/>
        </w:rPr>
        <w:t xml:space="preserve"> </w:t>
      </w:r>
      <w:r w:rsidR="00BE49FB" w:rsidRPr="008376FC">
        <w:rPr>
          <w:rFonts w:asciiTheme="majorHAnsi" w:eastAsia="Times New Roman" w:hAnsiTheme="majorHAnsi" w:cstheme="majorHAnsi"/>
          <w:b w:val="0"/>
          <w:bCs w:val="0"/>
          <w:sz w:val="24"/>
          <w:szCs w:val="24"/>
        </w:rPr>
        <w:t>dacă</w:t>
      </w:r>
      <w:r w:rsidR="00BE49FB" w:rsidRPr="008376FC">
        <w:rPr>
          <w:rFonts w:asciiTheme="majorHAnsi" w:eastAsia="Times New Roman" w:hAnsiTheme="majorHAnsi" w:cstheme="majorHAnsi"/>
          <w:b w:val="0"/>
          <w:bCs w:val="0"/>
          <w:spacing w:val="33"/>
          <w:sz w:val="24"/>
          <w:szCs w:val="24"/>
        </w:rPr>
        <w:t xml:space="preserve"> </w:t>
      </w:r>
      <w:r w:rsidR="00BE49FB" w:rsidRPr="008376FC">
        <w:rPr>
          <w:rFonts w:asciiTheme="majorHAnsi" w:eastAsia="Times New Roman" w:hAnsiTheme="majorHAnsi" w:cstheme="majorHAnsi"/>
          <w:b w:val="0"/>
          <w:bCs w:val="0"/>
          <w:sz w:val="24"/>
          <w:szCs w:val="24"/>
        </w:rPr>
        <w:t>întreprinderile</w:t>
      </w:r>
      <w:r w:rsidR="00BE49FB" w:rsidRPr="008376FC">
        <w:rPr>
          <w:rFonts w:asciiTheme="majorHAnsi" w:eastAsia="Times New Roman" w:hAnsiTheme="majorHAnsi" w:cstheme="majorHAnsi"/>
          <w:b w:val="0"/>
          <w:bCs w:val="0"/>
          <w:spacing w:val="36"/>
          <w:sz w:val="24"/>
          <w:szCs w:val="24"/>
        </w:rPr>
        <w:t xml:space="preserve"> </w:t>
      </w:r>
      <w:r w:rsidR="00BE49FB" w:rsidRPr="008376FC">
        <w:rPr>
          <w:rFonts w:asciiTheme="majorHAnsi" w:eastAsia="Times New Roman" w:hAnsiTheme="majorHAnsi" w:cstheme="majorHAnsi"/>
          <w:b w:val="0"/>
          <w:bCs w:val="0"/>
          <w:sz w:val="24"/>
          <w:szCs w:val="24"/>
        </w:rPr>
        <w:t>gestionare</w:t>
      </w:r>
      <w:r>
        <w:rPr>
          <w:rFonts w:asciiTheme="majorHAnsi" w:eastAsia="Times New Roman" w:hAnsiTheme="majorHAnsi" w:cstheme="majorHAnsi"/>
          <w:b w:val="0"/>
          <w:bCs w:val="0"/>
          <w:sz w:val="24"/>
          <w:szCs w:val="24"/>
        </w:rPr>
        <w:t xml:space="preserve"> </w:t>
      </w:r>
      <w:r w:rsidR="00BE49FB" w:rsidRPr="008376FC">
        <w:rPr>
          <w:rFonts w:asciiTheme="majorHAnsi" w:eastAsia="Times New Roman" w:hAnsiTheme="majorHAnsi" w:cstheme="majorHAnsi"/>
          <w:b w:val="0"/>
          <w:bCs w:val="0"/>
          <w:spacing w:val="-58"/>
          <w:sz w:val="24"/>
          <w:szCs w:val="24"/>
        </w:rPr>
        <w:t xml:space="preserve">  </w:t>
      </w:r>
      <w:r w:rsidR="00BE49FB" w:rsidRPr="008376FC">
        <w:rPr>
          <w:rFonts w:asciiTheme="majorHAnsi" w:eastAsia="Times New Roman" w:hAnsiTheme="majorHAnsi" w:cstheme="majorHAnsi"/>
          <w:b w:val="0"/>
          <w:bCs w:val="0"/>
          <w:sz w:val="24"/>
          <w:szCs w:val="24"/>
        </w:rPr>
        <w:t xml:space="preserve">ale sistemelor de canalizare sunt avertizate în privinţa necesităţii </w:t>
      </w:r>
      <w:r>
        <w:rPr>
          <w:rFonts w:asciiTheme="majorHAnsi" w:eastAsia="Times New Roman" w:hAnsiTheme="majorHAnsi" w:cstheme="majorHAnsi"/>
          <w:b w:val="0"/>
          <w:bCs w:val="0"/>
          <w:sz w:val="24"/>
          <w:szCs w:val="24"/>
        </w:rPr>
        <w:t xml:space="preserve">de </w:t>
      </w:r>
      <w:r w:rsidR="00BE49FB" w:rsidRPr="008376FC">
        <w:rPr>
          <w:rFonts w:asciiTheme="majorHAnsi" w:eastAsia="Times New Roman" w:hAnsiTheme="majorHAnsi" w:cstheme="majorHAnsi"/>
          <w:b w:val="0"/>
          <w:bCs w:val="0"/>
          <w:sz w:val="24"/>
          <w:szCs w:val="24"/>
        </w:rPr>
        <w:t>epur</w:t>
      </w:r>
      <w:r>
        <w:rPr>
          <w:rFonts w:asciiTheme="majorHAnsi" w:eastAsia="Times New Roman" w:hAnsiTheme="majorHAnsi" w:cstheme="majorHAnsi"/>
          <w:b w:val="0"/>
          <w:bCs w:val="0"/>
          <w:sz w:val="24"/>
          <w:szCs w:val="24"/>
        </w:rPr>
        <w:t>are a</w:t>
      </w:r>
      <w:r w:rsidR="00BE49FB" w:rsidRPr="008376FC">
        <w:rPr>
          <w:rFonts w:asciiTheme="majorHAnsi" w:eastAsia="Times New Roman" w:hAnsiTheme="majorHAnsi" w:cstheme="majorHAnsi"/>
          <w:b w:val="0"/>
          <w:bCs w:val="0"/>
          <w:sz w:val="24"/>
          <w:szCs w:val="24"/>
        </w:rPr>
        <w:t xml:space="preserve"> apelor uzate şi</w:t>
      </w:r>
      <w:r w:rsidR="00BE49FB" w:rsidRPr="008376FC">
        <w:rPr>
          <w:rFonts w:asciiTheme="majorHAnsi" w:eastAsia="Times New Roman" w:hAnsiTheme="majorHAnsi" w:cstheme="majorHAnsi"/>
          <w:b w:val="0"/>
          <w:bCs w:val="0"/>
          <w:spacing w:val="1"/>
          <w:sz w:val="24"/>
          <w:szCs w:val="24"/>
        </w:rPr>
        <w:t xml:space="preserve"> </w:t>
      </w:r>
      <w:r w:rsidR="00BE49FB" w:rsidRPr="008376FC">
        <w:rPr>
          <w:rFonts w:asciiTheme="majorHAnsi" w:eastAsia="Times New Roman" w:hAnsiTheme="majorHAnsi" w:cstheme="majorHAnsi"/>
          <w:b w:val="0"/>
          <w:bCs w:val="0"/>
          <w:sz w:val="24"/>
          <w:szCs w:val="24"/>
        </w:rPr>
        <w:t>activitatea acestora nu se autorizează de către organele competente din lipsa staţiei</w:t>
      </w:r>
      <w:r w:rsidR="00BE49FB" w:rsidRPr="008376FC">
        <w:rPr>
          <w:rFonts w:asciiTheme="majorHAnsi" w:eastAsia="Times New Roman" w:hAnsiTheme="majorHAnsi" w:cstheme="majorHAnsi"/>
          <w:b w:val="0"/>
          <w:bCs w:val="0"/>
          <w:spacing w:val="1"/>
          <w:sz w:val="24"/>
          <w:szCs w:val="24"/>
        </w:rPr>
        <w:t xml:space="preserve"> </w:t>
      </w:r>
      <w:r w:rsidR="00BE49FB" w:rsidRPr="008376FC">
        <w:rPr>
          <w:rFonts w:asciiTheme="majorHAnsi" w:eastAsia="Times New Roman" w:hAnsiTheme="majorHAnsi" w:cstheme="majorHAnsi"/>
          <w:b w:val="0"/>
          <w:bCs w:val="0"/>
          <w:sz w:val="24"/>
          <w:szCs w:val="24"/>
        </w:rPr>
        <w:t>de</w:t>
      </w:r>
      <w:r w:rsidR="00BE49FB" w:rsidRPr="008376FC">
        <w:rPr>
          <w:rFonts w:asciiTheme="majorHAnsi" w:eastAsia="Times New Roman" w:hAnsiTheme="majorHAnsi" w:cstheme="majorHAnsi"/>
          <w:b w:val="0"/>
          <w:bCs w:val="0"/>
          <w:spacing w:val="1"/>
          <w:sz w:val="24"/>
          <w:szCs w:val="24"/>
        </w:rPr>
        <w:t xml:space="preserve"> </w:t>
      </w:r>
      <w:r w:rsidR="00BE49FB" w:rsidRPr="008376FC">
        <w:rPr>
          <w:rFonts w:asciiTheme="majorHAnsi" w:eastAsia="Times New Roman" w:hAnsiTheme="majorHAnsi" w:cstheme="majorHAnsi"/>
          <w:b w:val="0"/>
          <w:bCs w:val="0"/>
          <w:sz w:val="24"/>
          <w:szCs w:val="24"/>
        </w:rPr>
        <w:t>epurare,</w:t>
      </w:r>
      <w:r w:rsidR="00BE49FB" w:rsidRPr="008376FC">
        <w:rPr>
          <w:rFonts w:asciiTheme="majorHAnsi" w:eastAsia="Times New Roman" w:hAnsiTheme="majorHAnsi" w:cstheme="majorHAnsi"/>
          <w:b w:val="0"/>
          <w:bCs w:val="0"/>
          <w:spacing w:val="1"/>
          <w:sz w:val="24"/>
          <w:szCs w:val="24"/>
        </w:rPr>
        <w:t xml:space="preserve"> </w:t>
      </w:r>
      <w:r w:rsidR="00BE49FB" w:rsidRPr="008376FC">
        <w:rPr>
          <w:rFonts w:asciiTheme="majorHAnsi" w:eastAsia="Times New Roman" w:hAnsiTheme="majorHAnsi" w:cstheme="majorHAnsi"/>
          <w:b w:val="0"/>
          <w:bCs w:val="0"/>
          <w:sz w:val="24"/>
          <w:szCs w:val="24"/>
        </w:rPr>
        <w:t>acestea</w:t>
      </w:r>
      <w:r w:rsidR="00BE49FB" w:rsidRPr="008376FC">
        <w:rPr>
          <w:rFonts w:asciiTheme="majorHAnsi" w:eastAsia="Times New Roman" w:hAnsiTheme="majorHAnsi" w:cstheme="majorHAnsi"/>
          <w:b w:val="0"/>
          <w:bCs w:val="0"/>
          <w:spacing w:val="1"/>
          <w:sz w:val="24"/>
          <w:szCs w:val="24"/>
        </w:rPr>
        <w:t xml:space="preserve"> </w:t>
      </w:r>
      <w:r w:rsidR="00BE49FB" w:rsidRPr="008376FC">
        <w:rPr>
          <w:rFonts w:asciiTheme="majorHAnsi" w:eastAsia="Times New Roman" w:hAnsiTheme="majorHAnsi" w:cstheme="majorHAnsi"/>
          <w:b w:val="0"/>
          <w:bCs w:val="0"/>
          <w:sz w:val="24"/>
          <w:szCs w:val="24"/>
        </w:rPr>
        <w:t>oricum</w:t>
      </w:r>
      <w:r w:rsidR="00BE49FB" w:rsidRPr="008376FC">
        <w:rPr>
          <w:rFonts w:asciiTheme="majorHAnsi" w:eastAsia="Times New Roman" w:hAnsiTheme="majorHAnsi" w:cstheme="majorHAnsi"/>
          <w:b w:val="0"/>
          <w:bCs w:val="0"/>
          <w:spacing w:val="1"/>
          <w:sz w:val="24"/>
          <w:szCs w:val="24"/>
        </w:rPr>
        <w:t xml:space="preserve"> </w:t>
      </w:r>
      <w:r w:rsidR="00BE49FB" w:rsidRPr="008376FC">
        <w:rPr>
          <w:rFonts w:asciiTheme="majorHAnsi" w:eastAsia="Times New Roman" w:hAnsiTheme="majorHAnsi" w:cstheme="majorHAnsi"/>
          <w:b w:val="0"/>
          <w:bCs w:val="0"/>
          <w:sz w:val="24"/>
          <w:szCs w:val="24"/>
        </w:rPr>
        <w:t>activează și prestează servicii de canalizare,</w:t>
      </w:r>
      <w:r w:rsidR="00BE49FB" w:rsidRPr="008376FC">
        <w:rPr>
          <w:rFonts w:asciiTheme="majorHAnsi" w:eastAsia="Times New Roman" w:hAnsiTheme="majorHAnsi" w:cstheme="majorHAnsi"/>
          <w:b w:val="0"/>
          <w:bCs w:val="0"/>
          <w:spacing w:val="1"/>
          <w:sz w:val="24"/>
          <w:szCs w:val="24"/>
        </w:rPr>
        <w:t xml:space="preserve"> </w:t>
      </w:r>
      <w:r w:rsidR="00BE49FB" w:rsidRPr="008376FC">
        <w:rPr>
          <w:rFonts w:asciiTheme="majorHAnsi" w:eastAsia="Times New Roman" w:hAnsiTheme="majorHAnsi" w:cstheme="majorHAnsi"/>
          <w:b w:val="0"/>
          <w:bCs w:val="0"/>
          <w:sz w:val="24"/>
          <w:szCs w:val="24"/>
        </w:rPr>
        <w:t>deoarece</w:t>
      </w:r>
      <w:r w:rsidR="00BE49FB" w:rsidRPr="008376FC">
        <w:rPr>
          <w:rFonts w:asciiTheme="majorHAnsi" w:eastAsia="Times New Roman" w:hAnsiTheme="majorHAnsi" w:cstheme="majorHAnsi"/>
          <w:b w:val="0"/>
          <w:bCs w:val="0"/>
          <w:spacing w:val="1"/>
          <w:sz w:val="24"/>
          <w:szCs w:val="24"/>
        </w:rPr>
        <w:t xml:space="preserve"> </w:t>
      </w:r>
      <w:r w:rsidR="00BE49FB" w:rsidRPr="008376FC">
        <w:rPr>
          <w:rFonts w:asciiTheme="majorHAnsi" w:eastAsia="Times New Roman" w:hAnsiTheme="majorHAnsi" w:cstheme="majorHAnsi"/>
          <w:b w:val="0"/>
          <w:bCs w:val="0"/>
          <w:sz w:val="24"/>
          <w:szCs w:val="24"/>
        </w:rPr>
        <w:t>nu</w:t>
      </w:r>
      <w:r w:rsidR="00BE49FB" w:rsidRPr="008376FC">
        <w:rPr>
          <w:rFonts w:asciiTheme="majorHAnsi" w:eastAsia="Times New Roman" w:hAnsiTheme="majorHAnsi" w:cstheme="majorHAnsi"/>
          <w:b w:val="0"/>
          <w:bCs w:val="0"/>
          <w:spacing w:val="1"/>
          <w:sz w:val="24"/>
          <w:szCs w:val="24"/>
        </w:rPr>
        <w:t xml:space="preserve"> </w:t>
      </w:r>
      <w:r w:rsidR="00BE49FB" w:rsidRPr="008376FC">
        <w:rPr>
          <w:rFonts w:asciiTheme="majorHAnsi" w:eastAsia="Times New Roman" w:hAnsiTheme="majorHAnsi" w:cstheme="majorHAnsi"/>
          <w:b w:val="0"/>
          <w:bCs w:val="0"/>
          <w:sz w:val="24"/>
          <w:szCs w:val="24"/>
        </w:rPr>
        <w:t>există</w:t>
      </w:r>
      <w:r w:rsidR="00BE49FB" w:rsidRPr="008376FC">
        <w:rPr>
          <w:rFonts w:asciiTheme="majorHAnsi" w:eastAsia="Times New Roman" w:hAnsiTheme="majorHAnsi" w:cstheme="majorHAnsi"/>
          <w:b w:val="0"/>
          <w:bCs w:val="0"/>
          <w:spacing w:val="1"/>
          <w:sz w:val="24"/>
          <w:szCs w:val="24"/>
        </w:rPr>
        <w:t xml:space="preserve"> </w:t>
      </w:r>
      <w:r w:rsidR="00BE49FB" w:rsidRPr="008376FC">
        <w:rPr>
          <w:rFonts w:asciiTheme="majorHAnsi" w:eastAsia="Times New Roman" w:hAnsiTheme="majorHAnsi" w:cstheme="majorHAnsi"/>
          <w:b w:val="0"/>
          <w:bCs w:val="0"/>
          <w:sz w:val="24"/>
          <w:szCs w:val="24"/>
        </w:rPr>
        <w:t>pârghii</w:t>
      </w:r>
      <w:r w:rsidR="00BE49FB" w:rsidRPr="008376FC">
        <w:rPr>
          <w:rFonts w:asciiTheme="majorHAnsi" w:eastAsia="Times New Roman" w:hAnsiTheme="majorHAnsi" w:cstheme="majorHAnsi"/>
          <w:b w:val="0"/>
          <w:bCs w:val="0"/>
          <w:spacing w:val="1"/>
          <w:sz w:val="24"/>
          <w:szCs w:val="24"/>
        </w:rPr>
        <w:t xml:space="preserve"> </w:t>
      </w:r>
      <w:r w:rsidR="00BE49FB" w:rsidRPr="008376FC">
        <w:rPr>
          <w:rFonts w:asciiTheme="majorHAnsi" w:eastAsia="Times New Roman" w:hAnsiTheme="majorHAnsi" w:cstheme="majorHAnsi"/>
          <w:b w:val="0"/>
          <w:bCs w:val="0"/>
          <w:sz w:val="24"/>
          <w:szCs w:val="24"/>
        </w:rPr>
        <w:t>de</w:t>
      </w:r>
      <w:r w:rsidR="00BE49FB" w:rsidRPr="008376FC">
        <w:rPr>
          <w:rFonts w:asciiTheme="majorHAnsi" w:eastAsia="Times New Roman" w:hAnsiTheme="majorHAnsi" w:cstheme="majorHAnsi"/>
          <w:b w:val="0"/>
          <w:bCs w:val="0"/>
          <w:spacing w:val="1"/>
          <w:sz w:val="24"/>
          <w:szCs w:val="24"/>
        </w:rPr>
        <w:t xml:space="preserve"> </w:t>
      </w:r>
      <w:r w:rsidR="00BE49FB" w:rsidRPr="008376FC">
        <w:rPr>
          <w:rFonts w:asciiTheme="majorHAnsi" w:eastAsia="Times New Roman" w:hAnsiTheme="majorHAnsi" w:cstheme="majorHAnsi"/>
          <w:b w:val="0"/>
          <w:bCs w:val="0"/>
          <w:sz w:val="24"/>
          <w:szCs w:val="24"/>
        </w:rPr>
        <w:t>a</w:t>
      </w:r>
      <w:r>
        <w:rPr>
          <w:rFonts w:asciiTheme="majorHAnsi" w:eastAsia="Times New Roman" w:hAnsiTheme="majorHAnsi" w:cstheme="majorHAnsi"/>
          <w:b w:val="0"/>
          <w:bCs w:val="0"/>
          <w:sz w:val="24"/>
          <w:szCs w:val="24"/>
        </w:rPr>
        <w:t xml:space="preserve"> </w:t>
      </w:r>
      <w:r w:rsidR="00BE49FB" w:rsidRPr="008376FC">
        <w:rPr>
          <w:rFonts w:asciiTheme="majorHAnsi" w:eastAsia="Times New Roman" w:hAnsiTheme="majorHAnsi" w:cstheme="majorHAnsi"/>
          <w:b w:val="0"/>
          <w:bCs w:val="0"/>
          <w:spacing w:val="-57"/>
          <w:sz w:val="24"/>
          <w:szCs w:val="24"/>
        </w:rPr>
        <w:t xml:space="preserve"> </w:t>
      </w:r>
      <w:r w:rsidR="00BE49FB" w:rsidRPr="008376FC">
        <w:rPr>
          <w:rFonts w:asciiTheme="majorHAnsi" w:eastAsia="Times New Roman" w:hAnsiTheme="majorHAnsi" w:cstheme="majorHAnsi"/>
          <w:b w:val="0"/>
          <w:bCs w:val="0"/>
          <w:sz w:val="24"/>
          <w:szCs w:val="24"/>
        </w:rPr>
        <w:t>împiedica</w:t>
      </w:r>
      <w:r w:rsidR="00BE49FB" w:rsidRPr="008376FC">
        <w:rPr>
          <w:rFonts w:asciiTheme="majorHAnsi" w:eastAsia="Times New Roman" w:hAnsiTheme="majorHAnsi" w:cstheme="majorHAnsi"/>
          <w:b w:val="0"/>
          <w:bCs w:val="0"/>
          <w:spacing w:val="-2"/>
          <w:sz w:val="24"/>
          <w:szCs w:val="24"/>
        </w:rPr>
        <w:t xml:space="preserve"> </w:t>
      </w:r>
      <w:r w:rsidR="00BE49FB" w:rsidRPr="008376FC">
        <w:rPr>
          <w:rFonts w:asciiTheme="majorHAnsi" w:eastAsia="Times New Roman" w:hAnsiTheme="majorHAnsi" w:cstheme="majorHAnsi"/>
          <w:b w:val="0"/>
          <w:bCs w:val="0"/>
          <w:sz w:val="24"/>
          <w:szCs w:val="24"/>
        </w:rPr>
        <w:t>exploatarea</w:t>
      </w:r>
      <w:r w:rsidR="00BE49FB" w:rsidRPr="008376FC">
        <w:rPr>
          <w:rFonts w:asciiTheme="majorHAnsi" w:eastAsia="Times New Roman" w:hAnsiTheme="majorHAnsi" w:cstheme="majorHAnsi"/>
          <w:b w:val="0"/>
          <w:bCs w:val="0"/>
          <w:spacing w:val="-1"/>
          <w:sz w:val="24"/>
          <w:szCs w:val="24"/>
        </w:rPr>
        <w:t xml:space="preserve"> </w:t>
      </w:r>
      <w:r w:rsidR="00BE49FB" w:rsidRPr="008376FC">
        <w:rPr>
          <w:rFonts w:asciiTheme="majorHAnsi" w:eastAsia="Times New Roman" w:hAnsiTheme="majorHAnsi" w:cstheme="majorHAnsi"/>
          <w:b w:val="0"/>
          <w:bCs w:val="0"/>
          <w:sz w:val="24"/>
          <w:szCs w:val="24"/>
        </w:rPr>
        <w:t>sistemelor de</w:t>
      </w:r>
      <w:r w:rsidR="00BE49FB" w:rsidRPr="008376FC">
        <w:rPr>
          <w:rFonts w:asciiTheme="majorHAnsi" w:eastAsia="Times New Roman" w:hAnsiTheme="majorHAnsi" w:cstheme="majorHAnsi"/>
          <w:b w:val="0"/>
          <w:bCs w:val="0"/>
          <w:spacing w:val="-2"/>
          <w:sz w:val="24"/>
          <w:szCs w:val="24"/>
        </w:rPr>
        <w:t xml:space="preserve"> </w:t>
      </w:r>
      <w:r w:rsidR="00BE49FB" w:rsidRPr="008376FC">
        <w:rPr>
          <w:rFonts w:asciiTheme="majorHAnsi" w:eastAsia="Times New Roman" w:hAnsiTheme="majorHAnsi" w:cstheme="majorHAnsi"/>
          <w:b w:val="0"/>
          <w:bCs w:val="0"/>
          <w:sz w:val="24"/>
          <w:szCs w:val="24"/>
        </w:rPr>
        <w:t>canalizare care nu sunt conectate la stațiile de epurare a apelor uzate.</w:t>
      </w:r>
    </w:p>
    <w:tbl>
      <w:tblPr>
        <w:tblStyle w:val="TableGrid4"/>
        <w:tblW w:w="0" w:type="auto"/>
        <w:shd w:val="clear" w:color="auto" w:fill="BDD6EE" w:themeFill="accent1" w:themeFillTint="66"/>
        <w:tblLook w:val="04A0" w:firstRow="1" w:lastRow="0" w:firstColumn="1" w:lastColumn="0" w:noHBand="0" w:noVBand="1"/>
      </w:tblPr>
      <w:tblGrid>
        <w:gridCol w:w="9678"/>
      </w:tblGrid>
      <w:tr w:rsidR="00BE49FB" w:rsidRPr="008376FC" w:rsidTr="002C6378">
        <w:tc>
          <w:tcPr>
            <w:tcW w:w="10060" w:type="dxa"/>
            <w:shd w:val="clear" w:color="auto" w:fill="auto"/>
          </w:tcPr>
          <w:p w:rsidR="00BE49FB" w:rsidRPr="008376FC" w:rsidRDefault="002C6378" w:rsidP="00F61756">
            <w:pPr>
              <w:spacing w:before="120" w:line="276" w:lineRule="auto"/>
              <w:contextualSpacing/>
              <w:rPr>
                <w:rFonts w:asciiTheme="majorHAnsi" w:eastAsia="Calibri" w:hAnsiTheme="majorHAnsi" w:cstheme="majorHAnsi"/>
                <w:b w:val="0"/>
                <w:bCs w:val="0"/>
                <w:noProof/>
                <w:sz w:val="24"/>
                <w:szCs w:val="24"/>
                <w:lang w:eastAsia="ru-RU"/>
              </w:rPr>
            </w:pPr>
            <w:r w:rsidRPr="008376FC">
              <w:rPr>
                <w:rFonts w:asciiTheme="majorHAnsi" w:eastAsia="Calibri" w:hAnsiTheme="majorHAnsi" w:cstheme="majorHAnsi"/>
                <w:bCs w:val="0"/>
                <w:noProof/>
                <w:sz w:val="24"/>
                <w:szCs w:val="24"/>
                <w:lang w:eastAsia="ru-RU"/>
              </w:rPr>
              <w:t>Nota nr.3</w:t>
            </w:r>
            <w:r w:rsidR="00BE49FB" w:rsidRPr="008376FC">
              <w:rPr>
                <w:rFonts w:asciiTheme="majorHAnsi" w:eastAsia="Calibri" w:hAnsiTheme="majorHAnsi" w:cstheme="majorHAnsi"/>
                <w:bCs w:val="0"/>
                <w:noProof/>
                <w:sz w:val="24"/>
                <w:szCs w:val="24"/>
                <w:lang w:eastAsia="ru-RU"/>
              </w:rPr>
              <w:t>:</w:t>
            </w:r>
            <w:r w:rsidR="00BE49FB" w:rsidRPr="008376FC">
              <w:rPr>
                <w:rFonts w:asciiTheme="majorHAnsi" w:eastAsia="Calibri" w:hAnsiTheme="majorHAnsi" w:cstheme="majorHAnsi"/>
                <w:b w:val="0"/>
                <w:bCs w:val="0"/>
                <w:noProof/>
                <w:sz w:val="24"/>
                <w:szCs w:val="24"/>
                <w:lang w:eastAsia="ru-RU"/>
              </w:rPr>
              <w:t xml:space="preserve"> Conform explicațiilor responsabililor din cadrul BNS, în anul 2019, ca urmare a consultării cu APC, BNS</w:t>
            </w:r>
            <w:r w:rsidR="00BE49FB" w:rsidRPr="008376FC">
              <w:rPr>
                <w:rFonts w:asciiTheme="majorHAnsi" w:eastAsia="Calibri" w:hAnsiTheme="majorHAnsi" w:cstheme="majorHAnsi"/>
                <w:b w:val="0"/>
                <w:bCs w:val="0"/>
                <w:noProof/>
                <w:sz w:val="24"/>
                <w:szCs w:val="24"/>
                <w:vertAlign w:val="superscript"/>
                <w:lang w:eastAsia="ru-RU"/>
              </w:rPr>
              <w:footnoteReference w:id="94"/>
            </w:r>
            <w:r w:rsidR="00BE49FB" w:rsidRPr="008376FC">
              <w:rPr>
                <w:rFonts w:asciiTheme="majorHAnsi" w:eastAsia="Calibri" w:hAnsiTheme="majorHAnsi" w:cstheme="majorHAnsi"/>
                <w:b w:val="0"/>
                <w:bCs w:val="0"/>
                <w:noProof/>
                <w:sz w:val="24"/>
                <w:szCs w:val="24"/>
                <w:lang w:eastAsia="ru-RU"/>
              </w:rPr>
              <w:t xml:space="preserve"> a revizuit Formularul Raportului de colectare a datelor, </w:t>
            </w:r>
            <w:r w:rsidR="00504447" w:rsidRPr="00504447">
              <w:rPr>
                <w:rFonts w:asciiTheme="majorHAnsi" w:eastAsia="Calibri" w:hAnsiTheme="majorHAnsi" w:cstheme="majorHAnsi"/>
                <w:b w:val="0"/>
                <w:bCs w:val="0"/>
                <w:noProof/>
                <w:sz w:val="24"/>
                <w:szCs w:val="24"/>
                <w:lang w:eastAsia="ru-RU"/>
              </w:rPr>
              <w:t xml:space="preserve">indicatorii  </w:t>
            </w:r>
            <w:r w:rsidR="00E741F5" w:rsidRPr="00504447">
              <w:rPr>
                <w:rFonts w:asciiTheme="majorHAnsi" w:eastAsia="Calibri" w:hAnsiTheme="majorHAnsi" w:cstheme="majorHAnsi"/>
                <w:b w:val="0"/>
                <w:bCs w:val="0"/>
                <w:noProof/>
                <w:sz w:val="24"/>
                <w:szCs w:val="24"/>
                <w:lang w:eastAsia="ru-RU"/>
              </w:rPr>
              <w:t>privind</w:t>
            </w:r>
            <w:r w:rsidR="00BE49FB" w:rsidRPr="00504447">
              <w:rPr>
                <w:rFonts w:asciiTheme="majorHAnsi" w:eastAsia="Calibri" w:hAnsiTheme="majorHAnsi" w:cstheme="majorHAnsi"/>
                <w:b w:val="0"/>
                <w:bCs w:val="0"/>
                <w:noProof/>
                <w:sz w:val="24"/>
                <w:szCs w:val="24"/>
                <w:lang w:eastAsia="ru-RU"/>
              </w:rPr>
              <w:t xml:space="preserve"> </w:t>
            </w:r>
            <w:r w:rsidR="00504447" w:rsidRPr="00504447">
              <w:rPr>
                <w:rFonts w:asciiTheme="majorHAnsi" w:eastAsia="Calibri" w:hAnsiTheme="majorHAnsi" w:cstheme="majorHAnsi"/>
                <w:b w:val="0"/>
                <w:bCs w:val="0"/>
                <w:noProof/>
                <w:sz w:val="24"/>
                <w:szCs w:val="24"/>
                <w:lang w:eastAsia="ru-RU"/>
              </w:rPr>
              <w:t xml:space="preserve">volumul de apă proiectat și real captat </w:t>
            </w:r>
            <w:r w:rsidR="00BE49FB" w:rsidRPr="00504447">
              <w:rPr>
                <w:rFonts w:asciiTheme="majorHAnsi" w:eastAsia="Calibri" w:hAnsiTheme="majorHAnsi" w:cstheme="majorHAnsi"/>
                <w:b w:val="0"/>
                <w:bCs w:val="0"/>
                <w:noProof/>
                <w:sz w:val="24"/>
                <w:szCs w:val="24"/>
                <w:lang w:eastAsia="ru-RU"/>
              </w:rPr>
              <w:t>fiind exclus deoarece reprezintă o informație tehnică deținută de operatorii</w:t>
            </w:r>
            <w:r w:rsidR="00E741F5">
              <w:rPr>
                <w:rFonts w:asciiTheme="majorHAnsi" w:eastAsia="Calibri" w:hAnsiTheme="majorHAnsi" w:cstheme="majorHAnsi"/>
                <w:b w:val="0"/>
                <w:bCs w:val="0"/>
                <w:noProof/>
                <w:sz w:val="24"/>
                <w:szCs w:val="24"/>
                <w:lang w:eastAsia="ru-RU"/>
              </w:rPr>
              <w:t xml:space="preserve"> </w:t>
            </w:r>
            <w:r w:rsidR="00BE49FB" w:rsidRPr="008376FC">
              <w:rPr>
                <w:rFonts w:asciiTheme="majorHAnsi" w:eastAsia="Calibri" w:hAnsiTheme="majorHAnsi" w:cstheme="majorHAnsi"/>
                <w:b w:val="0"/>
                <w:bCs w:val="0"/>
                <w:noProof/>
                <w:sz w:val="24"/>
                <w:szCs w:val="24"/>
                <w:lang w:eastAsia="ru-RU"/>
              </w:rPr>
              <w:t>de servicii teritoriale a</w:t>
            </w:r>
            <w:r w:rsidR="00E741F5">
              <w:rPr>
                <w:rFonts w:asciiTheme="majorHAnsi" w:eastAsia="Calibri" w:hAnsiTheme="majorHAnsi" w:cstheme="majorHAnsi"/>
                <w:b w:val="0"/>
                <w:bCs w:val="0"/>
                <w:noProof/>
                <w:sz w:val="24"/>
                <w:szCs w:val="24"/>
                <w:lang w:eastAsia="ru-RU"/>
              </w:rPr>
              <w:t>i</w:t>
            </w:r>
            <w:r w:rsidR="00BE49FB" w:rsidRPr="008376FC">
              <w:rPr>
                <w:rFonts w:asciiTheme="majorHAnsi" w:eastAsia="Calibri" w:hAnsiTheme="majorHAnsi" w:cstheme="majorHAnsi"/>
                <w:b w:val="0"/>
                <w:bCs w:val="0"/>
                <w:noProof/>
                <w:sz w:val="24"/>
                <w:szCs w:val="24"/>
                <w:lang w:eastAsia="ru-RU"/>
              </w:rPr>
              <w:t xml:space="preserve"> Asosiațiilor Ap</w:t>
            </w:r>
            <w:r w:rsidR="00E741F5">
              <w:rPr>
                <w:rFonts w:asciiTheme="majorHAnsi" w:eastAsia="Calibri" w:hAnsiTheme="majorHAnsi" w:cstheme="majorHAnsi"/>
                <w:b w:val="0"/>
                <w:bCs w:val="0"/>
                <w:noProof/>
                <w:sz w:val="24"/>
                <w:szCs w:val="24"/>
                <w:lang w:eastAsia="ru-RU"/>
              </w:rPr>
              <w:t>ă-</w:t>
            </w:r>
            <w:r w:rsidR="00BE49FB" w:rsidRPr="008376FC">
              <w:rPr>
                <w:rFonts w:asciiTheme="majorHAnsi" w:eastAsia="Calibri" w:hAnsiTheme="majorHAnsi" w:cstheme="majorHAnsi"/>
                <w:b w:val="0"/>
                <w:bCs w:val="0"/>
                <w:noProof/>
                <w:sz w:val="24"/>
                <w:szCs w:val="24"/>
                <w:lang w:eastAsia="ru-RU"/>
              </w:rPr>
              <w:t xml:space="preserve">Canal. </w:t>
            </w:r>
          </w:p>
          <w:p w:rsidR="00BE49FB" w:rsidRPr="008376FC" w:rsidRDefault="00BE49FB" w:rsidP="00F61756">
            <w:pPr>
              <w:widowControl w:val="0"/>
              <w:autoSpaceDE w:val="0"/>
              <w:autoSpaceDN w:val="0"/>
              <w:spacing w:before="120" w:line="276" w:lineRule="auto"/>
              <w:ind w:right="-77"/>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noProof/>
                <w:sz w:val="24"/>
                <w:szCs w:val="24"/>
                <w:lang w:eastAsia="ru-RU"/>
              </w:rPr>
              <w:t xml:space="preserve">Totodată, unii respondenți nu dispun de astfel de date, </w:t>
            </w:r>
            <w:r w:rsidR="007830DC">
              <w:rPr>
                <w:rFonts w:asciiTheme="majorHAnsi" w:eastAsia="Times New Roman" w:hAnsiTheme="majorHAnsi" w:cstheme="majorHAnsi"/>
                <w:b w:val="0"/>
                <w:bCs w:val="0"/>
                <w:noProof/>
                <w:sz w:val="24"/>
                <w:szCs w:val="24"/>
                <w:lang w:eastAsia="ru-RU"/>
              </w:rPr>
              <w:t>ceea ce a determinat</w:t>
            </w:r>
            <w:r w:rsidRPr="008376FC">
              <w:rPr>
                <w:rFonts w:asciiTheme="majorHAnsi" w:eastAsia="Times New Roman" w:hAnsiTheme="majorHAnsi" w:cstheme="majorHAnsi"/>
                <w:b w:val="0"/>
                <w:bCs w:val="0"/>
                <w:noProof/>
                <w:sz w:val="24"/>
                <w:szCs w:val="24"/>
                <w:lang w:eastAsia="ru-RU"/>
              </w:rPr>
              <w:t xml:space="preserve"> </w:t>
            </w:r>
            <w:r w:rsidR="004528CE" w:rsidRPr="008376FC">
              <w:rPr>
                <w:rFonts w:asciiTheme="majorHAnsi" w:eastAsia="Times New Roman" w:hAnsiTheme="majorHAnsi" w:cstheme="majorHAnsi"/>
                <w:b w:val="0"/>
                <w:bCs w:val="0"/>
                <w:noProof/>
                <w:sz w:val="24"/>
                <w:szCs w:val="24"/>
                <w:lang w:eastAsia="ru-RU"/>
              </w:rPr>
              <w:t xml:space="preserve">BNS </w:t>
            </w:r>
            <w:r w:rsidR="007830DC">
              <w:rPr>
                <w:rFonts w:asciiTheme="majorHAnsi" w:eastAsia="Times New Roman" w:hAnsiTheme="majorHAnsi" w:cstheme="majorHAnsi"/>
                <w:b w:val="0"/>
                <w:bCs w:val="0"/>
                <w:noProof/>
                <w:sz w:val="24"/>
                <w:szCs w:val="24"/>
                <w:lang w:eastAsia="ru-RU"/>
              </w:rPr>
              <w:t xml:space="preserve">de </w:t>
            </w:r>
            <w:r w:rsidR="004528CE" w:rsidRPr="008376FC">
              <w:rPr>
                <w:rFonts w:asciiTheme="majorHAnsi" w:eastAsia="Times New Roman" w:hAnsiTheme="majorHAnsi" w:cstheme="majorHAnsi"/>
                <w:b w:val="0"/>
                <w:bCs w:val="0"/>
                <w:noProof/>
                <w:sz w:val="24"/>
                <w:szCs w:val="24"/>
                <w:lang w:eastAsia="ru-RU"/>
              </w:rPr>
              <w:t>a</w:t>
            </w:r>
            <w:r w:rsidR="007830DC">
              <w:rPr>
                <w:rFonts w:asciiTheme="majorHAnsi" w:eastAsia="Times New Roman" w:hAnsiTheme="majorHAnsi" w:cstheme="majorHAnsi"/>
                <w:b w:val="0"/>
                <w:bCs w:val="0"/>
                <w:noProof/>
                <w:sz w:val="24"/>
                <w:szCs w:val="24"/>
                <w:lang w:eastAsia="ru-RU"/>
              </w:rPr>
              <w:t xml:space="preserve"> le</w:t>
            </w:r>
            <w:r w:rsidR="004528CE" w:rsidRPr="008376FC">
              <w:rPr>
                <w:rFonts w:asciiTheme="majorHAnsi" w:eastAsia="Times New Roman" w:hAnsiTheme="majorHAnsi" w:cstheme="majorHAnsi"/>
                <w:b w:val="0"/>
                <w:bCs w:val="0"/>
                <w:noProof/>
                <w:sz w:val="24"/>
                <w:szCs w:val="24"/>
                <w:lang w:eastAsia="ru-RU"/>
              </w:rPr>
              <w:t xml:space="preserve"> exclude</w:t>
            </w:r>
            <w:r w:rsidRPr="008376FC">
              <w:rPr>
                <w:rFonts w:asciiTheme="majorHAnsi" w:eastAsia="Times New Roman" w:hAnsiTheme="majorHAnsi" w:cstheme="majorHAnsi"/>
                <w:b w:val="0"/>
                <w:bCs w:val="0"/>
                <w:noProof/>
                <w:sz w:val="24"/>
                <w:szCs w:val="24"/>
                <w:lang w:eastAsia="ru-RU"/>
              </w:rPr>
              <w:t xml:space="preserve"> din formularul statistic.   </w:t>
            </w:r>
          </w:p>
        </w:tc>
      </w:tr>
    </w:tbl>
    <w:p w:rsidR="00294D64" w:rsidRPr="008376FC" w:rsidRDefault="00294D64" w:rsidP="00F61756">
      <w:pPr>
        <w:pStyle w:val="a3"/>
        <w:spacing w:line="276" w:lineRule="auto"/>
        <w:ind w:left="0"/>
        <w:jc w:val="both"/>
        <w:rPr>
          <w:rFonts w:asciiTheme="majorHAnsi" w:eastAsia="Calibri" w:hAnsiTheme="majorHAnsi" w:cstheme="majorHAnsi"/>
          <w:b/>
          <w:noProof/>
          <w:color w:val="0070C0"/>
          <w:lang w:val="en-US"/>
        </w:rPr>
      </w:pPr>
    </w:p>
    <w:p w:rsidR="00BE49FB" w:rsidRPr="008376FC" w:rsidRDefault="00BE49FB" w:rsidP="00F61756">
      <w:pPr>
        <w:pStyle w:val="a3"/>
        <w:numPr>
          <w:ilvl w:val="2"/>
          <w:numId w:val="39"/>
        </w:numPr>
        <w:spacing w:line="276" w:lineRule="auto"/>
        <w:ind w:left="0" w:firstLine="0"/>
        <w:jc w:val="both"/>
        <w:rPr>
          <w:rFonts w:asciiTheme="majorHAnsi" w:eastAsia="Calibri" w:hAnsiTheme="majorHAnsi" w:cstheme="majorHAnsi"/>
          <w:b/>
          <w:noProof/>
          <w:color w:val="0070C0"/>
          <w:lang w:val="en-US"/>
        </w:rPr>
      </w:pPr>
      <w:r w:rsidRPr="008376FC">
        <w:rPr>
          <w:rFonts w:asciiTheme="majorHAnsi" w:eastAsia="Calibri" w:hAnsiTheme="majorHAnsi" w:cstheme="majorHAnsi"/>
          <w:b/>
          <w:noProof/>
          <w:color w:val="0070C0"/>
          <w:lang w:val="en-US"/>
        </w:rPr>
        <w:t>Lungimea totală a rețel</w:t>
      </w:r>
      <w:r w:rsidR="007830DC">
        <w:rPr>
          <w:rFonts w:asciiTheme="majorHAnsi" w:eastAsia="Calibri" w:hAnsiTheme="majorHAnsi" w:cstheme="majorHAnsi"/>
          <w:b/>
          <w:noProof/>
          <w:color w:val="0070C0"/>
          <w:lang w:val="en-US"/>
        </w:rPr>
        <w:t>e</w:t>
      </w:r>
      <w:r w:rsidRPr="008376FC">
        <w:rPr>
          <w:rFonts w:asciiTheme="majorHAnsi" w:eastAsia="Calibri" w:hAnsiTheme="majorHAnsi" w:cstheme="majorHAnsi"/>
          <w:b/>
          <w:noProof/>
          <w:color w:val="0070C0"/>
          <w:lang w:val="en-US"/>
        </w:rPr>
        <w:t>lor de apeduct și de canalizare este în creștere</w:t>
      </w:r>
      <w:r w:rsidR="007830DC">
        <w:rPr>
          <w:rFonts w:asciiTheme="majorHAnsi" w:eastAsia="Calibri" w:hAnsiTheme="majorHAnsi" w:cstheme="majorHAnsi"/>
          <w:b/>
          <w:noProof/>
          <w:color w:val="0070C0"/>
          <w:lang w:val="en-US"/>
        </w:rPr>
        <w:t>.</w:t>
      </w:r>
    </w:p>
    <w:p w:rsidR="00BE49FB" w:rsidRPr="008376FC" w:rsidRDefault="00BE49FB" w:rsidP="00F61756">
      <w:pPr>
        <w:spacing w:after="0" w:line="276" w:lineRule="auto"/>
        <w:contextualSpacing/>
        <w:jc w:val="both"/>
        <w:rPr>
          <w:rFonts w:asciiTheme="majorHAnsi" w:eastAsia="Calibri" w:hAnsiTheme="majorHAnsi" w:cstheme="majorHAnsi"/>
          <w:b w:val="0"/>
          <w:bCs w:val="0"/>
          <w:sz w:val="24"/>
          <w:szCs w:val="24"/>
        </w:rPr>
      </w:pPr>
      <w:r w:rsidRPr="008376FC">
        <w:rPr>
          <w:rFonts w:asciiTheme="majorHAnsi" w:eastAsia="Calibri" w:hAnsiTheme="majorHAnsi" w:cstheme="majorHAnsi"/>
          <w:b w:val="0"/>
          <w:bCs w:val="0"/>
          <w:sz w:val="24"/>
          <w:szCs w:val="24"/>
        </w:rPr>
        <w:t>În plan evolutiv, sisteme</w:t>
      </w:r>
      <w:r w:rsidR="007830DC">
        <w:rPr>
          <w:rFonts w:asciiTheme="majorHAnsi" w:eastAsia="Calibri" w:hAnsiTheme="majorHAnsi" w:cstheme="majorHAnsi"/>
          <w:b w:val="0"/>
          <w:bCs w:val="0"/>
          <w:sz w:val="24"/>
          <w:szCs w:val="24"/>
        </w:rPr>
        <w:t>le</w:t>
      </w:r>
      <w:r w:rsidRPr="008376FC">
        <w:rPr>
          <w:rFonts w:asciiTheme="majorHAnsi" w:eastAsia="Calibri" w:hAnsiTheme="majorHAnsi" w:cstheme="majorHAnsi"/>
          <w:b w:val="0"/>
          <w:bCs w:val="0"/>
          <w:sz w:val="24"/>
          <w:szCs w:val="24"/>
        </w:rPr>
        <w:t xml:space="preserve"> de alimentare cu apă și canalizare sunt în dezvoltare și modernizare continuă</w:t>
      </w:r>
      <w:r w:rsidR="007830DC">
        <w:rPr>
          <w:rFonts w:asciiTheme="majorHAnsi" w:eastAsia="Calibri" w:hAnsiTheme="majorHAnsi" w:cstheme="majorHAnsi"/>
          <w:b w:val="0"/>
          <w:bCs w:val="0"/>
          <w:sz w:val="24"/>
          <w:szCs w:val="24"/>
        </w:rPr>
        <w:t>,</w:t>
      </w:r>
      <w:r w:rsidRPr="008376FC">
        <w:rPr>
          <w:rFonts w:asciiTheme="majorHAnsi" w:eastAsia="Calibri" w:hAnsiTheme="majorHAnsi" w:cstheme="majorHAnsi"/>
          <w:b w:val="0"/>
          <w:bCs w:val="0"/>
          <w:sz w:val="24"/>
          <w:szCs w:val="24"/>
        </w:rPr>
        <w:t xml:space="preserve"> prin</w:t>
      </w:r>
      <w:r w:rsidRPr="008376FC">
        <w:rPr>
          <w:rFonts w:asciiTheme="majorHAnsi" w:eastAsia="Calibri" w:hAnsiTheme="majorHAnsi" w:cstheme="majorHAnsi"/>
          <w:b w:val="0"/>
          <w:bCs w:val="0"/>
          <w:spacing w:val="1"/>
          <w:sz w:val="24"/>
          <w:szCs w:val="24"/>
        </w:rPr>
        <w:t xml:space="preserve"> </w:t>
      </w:r>
      <w:r w:rsidRPr="008376FC">
        <w:rPr>
          <w:rFonts w:asciiTheme="majorHAnsi" w:eastAsia="Calibri" w:hAnsiTheme="majorHAnsi" w:cstheme="majorHAnsi"/>
          <w:b w:val="0"/>
          <w:bCs w:val="0"/>
          <w:sz w:val="24"/>
          <w:szCs w:val="24"/>
        </w:rPr>
        <w:t>implementarea mai multor strategii și politici care se intersectează</w:t>
      </w:r>
      <w:r w:rsidR="007830DC">
        <w:rPr>
          <w:rFonts w:asciiTheme="majorHAnsi" w:eastAsia="Calibri" w:hAnsiTheme="majorHAnsi" w:cstheme="majorHAnsi"/>
          <w:b w:val="0"/>
          <w:bCs w:val="0"/>
          <w:sz w:val="24"/>
          <w:szCs w:val="24"/>
        </w:rPr>
        <w:t>, precum</w:t>
      </w:r>
      <w:r w:rsidRPr="008376FC">
        <w:rPr>
          <w:rFonts w:asciiTheme="majorHAnsi" w:eastAsia="Calibri" w:hAnsiTheme="majorHAnsi" w:cstheme="majorHAnsi"/>
          <w:b w:val="0"/>
          <w:bCs w:val="0"/>
          <w:sz w:val="24"/>
          <w:szCs w:val="24"/>
        </w:rPr>
        <w:t xml:space="preserve"> și cu suportul proiectelor cu finanțare externă, ceea ce condiționează</w:t>
      </w:r>
      <w:r w:rsidRPr="008376FC">
        <w:rPr>
          <w:rFonts w:asciiTheme="majorHAnsi" w:eastAsia="Calibri" w:hAnsiTheme="majorHAnsi" w:cstheme="majorHAnsi"/>
          <w:b w:val="0"/>
          <w:bCs w:val="0"/>
          <w:spacing w:val="1"/>
          <w:sz w:val="24"/>
          <w:szCs w:val="24"/>
        </w:rPr>
        <w:t xml:space="preserve"> </w:t>
      </w:r>
      <w:r w:rsidRPr="008376FC">
        <w:rPr>
          <w:rFonts w:asciiTheme="majorHAnsi" w:eastAsia="Calibri" w:hAnsiTheme="majorHAnsi" w:cstheme="majorHAnsi"/>
          <w:b w:val="0"/>
          <w:bCs w:val="0"/>
          <w:sz w:val="24"/>
          <w:szCs w:val="24"/>
        </w:rPr>
        <w:t>extinderea apeductelor și</w:t>
      </w:r>
      <w:r w:rsidRPr="008376FC">
        <w:rPr>
          <w:rFonts w:asciiTheme="majorHAnsi" w:eastAsia="Calibri" w:hAnsiTheme="majorHAnsi" w:cstheme="majorHAnsi"/>
          <w:b w:val="0"/>
          <w:bCs w:val="0"/>
          <w:spacing w:val="60"/>
          <w:sz w:val="24"/>
          <w:szCs w:val="24"/>
        </w:rPr>
        <w:t xml:space="preserve"> </w:t>
      </w:r>
      <w:r w:rsidRPr="008376FC">
        <w:rPr>
          <w:rFonts w:asciiTheme="majorHAnsi" w:eastAsia="Calibri" w:hAnsiTheme="majorHAnsi" w:cstheme="majorHAnsi"/>
          <w:b w:val="0"/>
          <w:bCs w:val="0"/>
          <w:sz w:val="24"/>
          <w:szCs w:val="24"/>
        </w:rPr>
        <w:t>a rețelelor de canalizare.</w:t>
      </w:r>
    </w:p>
    <w:p w:rsidR="00BC185D" w:rsidRDefault="00BE49FB" w:rsidP="00F61756">
      <w:pPr>
        <w:spacing w:before="120" w:after="0" w:line="276" w:lineRule="auto"/>
        <w:contextualSpacing/>
        <w:jc w:val="both"/>
        <w:rPr>
          <w:rFonts w:asciiTheme="majorHAnsi" w:eastAsia="Calibri" w:hAnsiTheme="majorHAnsi" w:cstheme="majorHAnsi"/>
          <w:b w:val="0"/>
          <w:bCs w:val="0"/>
          <w:sz w:val="24"/>
          <w:szCs w:val="24"/>
        </w:rPr>
      </w:pPr>
      <w:r w:rsidRPr="001D2241">
        <w:rPr>
          <w:rFonts w:asciiTheme="majorHAnsi" w:eastAsia="Calibri" w:hAnsiTheme="majorHAnsi" w:cstheme="majorHAnsi"/>
          <w:b w:val="0"/>
          <w:bCs w:val="0"/>
          <w:sz w:val="24"/>
          <w:szCs w:val="24"/>
        </w:rPr>
        <w:t>Conform datelor</w:t>
      </w:r>
      <w:r w:rsidR="007830DC" w:rsidRPr="001D2241">
        <w:rPr>
          <w:rFonts w:asciiTheme="majorHAnsi" w:eastAsia="Calibri" w:hAnsiTheme="majorHAnsi" w:cstheme="majorHAnsi"/>
          <w:b w:val="0"/>
          <w:bCs w:val="0"/>
          <w:sz w:val="24"/>
          <w:szCs w:val="24"/>
        </w:rPr>
        <w:t xml:space="preserve"> disponibile,</w:t>
      </w:r>
      <w:r w:rsidRPr="001D2241">
        <w:rPr>
          <w:rFonts w:asciiTheme="majorHAnsi" w:eastAsia="Calibri" w:hAnsiTheme="majorHAnsi" w:cstheme="majorHAnsi"/>
          <w:b w:val="0"/>
          <w:bCs w:val="0"/>
          <w:sz w:val="24"/>
          <w:szCs w:val="24"/>
        </w:rPr>
        <w:t xml:space="preserve"> lungimea totală a </w:t>
      </w:r>
      <w:r w:rsidRPr="001D2241">
        <w:rPr>
          <w:rFonts w:asciiTheme="majorHAnsi" w:eastAsia="Calibri" w:hAnsiTheme="majorHAnsi" w:cstheme="majorHAnsi"/>
          <w:b w:val="0"/>
          <w:bCs w:val="0"/>
          <w:spacing w:val="-57"/>
          <w:sz w:val="24"/>
          <w:szCs w:val="24"/>
        </w:rPr>
        <w:t xml:space="preserve"> </w:t>
      </w:r>
      <w:r w:rsidRPr="001D2241">
        <w:rPr>
          <w:rFonts w:asciiTheme="majorHAnsi" w:eastAsia="Calibri" w:hAnsiTheme="majorHAnsi" w:cstheme="majorHAnsi"/>
          <w:b w:val="0"/>
          <w:bCs w:val="0"/>
          <w:sz w:val="24"/>
          <w:szCs w:val="24"/>
        </w:rPr>
        <w:t xml:space="preserve">rețelelor </w:t>
      </w:r>
      <w:r w:rsidR="001D2241" w:rsidRPr="001D2241">
        <w:rPr>
          <w:rFonts w:asciiTheme="majorHAnsi" w:eastAsia="Calibri" w:hAnsiTheme="majorHAnsi" w:cstheme="majorHAnsi"/>
          <w:b w:val="0"/>
          <w:bCs w:val="0"/>
          <w:sz w:val="24"/>
          <w:szCs w:val="24"/>
        </w:rPr>
        <w:t xml:space="preserve">de alimentare și </w:t>
      </w:r>
      <w:r w:rsidRPr="001D2241">
        <w:rPr>
          <w:rFonts w:asciiTheme="majorHAnsi" w:eastAsia="Calibri" w:hAnsiTheme="majorHAnsi" w:cstheme="majorHAnsi"/>
          <w:b w:val="0"/>
          <w:bCs w:val="0"/>
          <w:sz w:val="24"/>
          <w:szCs w:val="24"/>
        </w:rPr>
        <w:t>de distribuție a apei în anul 2021 a constituit 16,4 mii km</w:t>
      </w:r>
      <w:r w:rsidR="007830DC" w:rsidRPr="001D2241">
        <w:rPr>
          <w:rFonts w:asciiTheme="majorHAnsi" w:eastAsia="Calibri" w:hAnsiTheme="majorHAnsi" w:cstheme="majorHAnsi"/>
          <w:b w:val="0"/>
          <w:bCs w:val="0"/>
          <w:sz w:val="24"/>
          <w:szCs w:val="24"/>
        </w:rPr>
        <w:t>,</w:t>
      </w:r>
      <w:r w:rsidRPr="001D2241">
        <w:rPr>
          <w:rFonts w:asciiTheme="majorHAnsi" w:eastAsia="Calibri" w:hAnsiTheme="majorHAnsi" w:cstheme="majorHAnsi"/>
          <w:b w:val="0"/>
          <w:bCs w:val="0"/>
          <w:sz w:val="24"/>
          <w:szCs w:val="24"/>
        </w:rPr>
        <w:t xml:space="preserve"> sau cu</w:t>
      </w:r>
      <w:r w:rsidRPr="001D2241">
        <w:rPr>
          <w:rFonts w:asciiTheme="majorHAnsi" w:eastAsia="Calibri" w:hAnsiTheme="majorHAnsi" w:cstheme="majorHAnsi"/>
          <w:b w:val="0"/>
          <w:bCs w:val="0"/>
          <w:spacing w:val="1"/>
          <w:sz w:val="24"/>
          <w:szCs w:val="24"/>
        </w:rPr>
        <w:t xml:space="preserve"> </w:t>
      </w:r>
      <w:r w:rsidRPr="001D2241">
        <w:rPr>
          <w:rFonts w:asciiTheme="majorHAnsi" w:eastAsia="Calibri" w:hAnsiTheme="majorHAnsi" w:cstheme="majorHAnsi"/>
          <w:b w:val="0"/>
          <w:bCs w:val="0"/>
          <w:sz w:val="24"/>
          <w:szCs w:val="24"/>
        </w:rPr>
        <w:t>3,1 mii km (18,9%) mai mult faţă de anul 2016. Lungimea rețelelor de canalizare a crescut de la 2,8 mii km în 2016 la 3,0 mii km</w:t>
      </w:r>
      <w:r w:rsidR="007830DC" w:rsidRPr="001D2241">
        <w:rPr>
          <w:rFonts w:asciiTheme="majorHAnsi" w:eastAsia="Calibri" w:hAnsiTheme="majorHAnsi" w:cstheme="majorHAnsi"/>
          <w:b w:val="0"/>
          <w:bCs w:val="0"/>
          <w:sz w:val="24"/>
          <w:szCs w:val="24"/>
        </w:rPr>
        <w:t xml:space="preserve"> în anul</w:t>
      </w:r>
      <w:r w:rsidR="001D2241" w:rsidRPr="001D2241">
        <w:rPr>
          <w:rFonts w:asciiTheme="majorHAnsi" w:eastAsia="Calibri" w:hAnsiTheme="majorHAnsi" w:cstheme="majorHAnsi"/>
          <w:b w:val="0"/>
          <w:bCs w:val="0"/>
          <w:sz w:val="24"/>
          <w:szCs w:val="24"/>
        </w:rPr>
        <w:t xml:space="preserve"> 2021</w:t>
      </w:r>
      <w:r w:rsidRPr="001D2241">
        <w:rPr>
          <w:rFonts w:asciiTheme="majorHAnsi" w:eastAsia="Calibri" w:hAnsiTheme="majorHAnsi" w:cstheme="majorHAnsi"/>
          <w:b w:val="0"/>
          <w:bCs w:val="0"/>
          <w:sz w:val="24"/>
          <w:szCs w:val="24"/>
        </w:rPr>
        <w:t>. Din lungimea</w:t>
      </w:r>
      <w:r w:rsidRPr="008376FC">
        <w:rPr>
          <w:rFonts w:asciiTheme="majorHAnsi" w:eastAsia="Calibri" w:hAnsiTheme="majorHAnsi" w:cstheme="majorHAnsi"/>
          <w:b w:val="0"/>
          <w:bCs w:val="0"/>
          <w:sz w:val="24"/>
          <w:szCs w:val="24"/>
        </w:rPr>
        <w:t xml:space="preserve"> totală a rețelelor de apeduct, la finele anului 2021 </w:t>
      </w:r>
      <w:r w:rsidR="007830DC">
        <w:rPr>
          <w:rFonts w:asciiTheme="majorHAnsi" w:eastAsia="Calibri" w:hAnsiTheme="majorHAnsi" w:cstheme="majorHAnsi"/>
          <w:b w:val="0"/>
          <w:bCs w:val="0"/>
          <w:sz w:val="24"/>
          <w:szCs w:val="24"/>
        </w:rPr>
        <w:t>erau</w:t>
      </w:r>
      <w:r w:rsidRPr="008376FC">
        <w:rPr>
          <w:rFonts w:asciiTheme="majorHAnsi" w:eastAsia="Calibri" w:hAnsiTheme="majorHAnsi" w:cstheme="majorHAnsi"/>
          <w:b w:val="0"/>
          <w:bCs w:val="0"/>
          <w:sz w:val="24"/>
          <w:szCs w:val="24"/>
        </w:rPr>
        <w:t xml:space="preserve"> funcționale 16,3 mii km</w:t>
      </w:r>
      <w:r w:rsidR="007830DC">
        <w:rPr>
          <w:rFonts w:asciiTheme="majorHAnsi" w:eastAsia="Calibri" w:hAnsiTheme="majorHAnsi" w:cstheme="majorHAnsi"/>
          <w:b w:val="0"/>
          <w:bCs w:val="0"/>
          <w:sz w:val="24"/>
          <w:szCs w:val="24"/>
        </w:rPr>
        <w:t>,</w:t>
      </w:r>
      <w:r w:rsidRPr="008376FC">
        <w:rPr>
          <w:rFonts w:asciiTheme="majorHAnsi" w:eastAsia="Calibri" w:hAnsiTheme="majorHAnsi" w:cstheme="majorHAnsi"/>
          <w:b w:val="0"/>
          <w:bCs w:val="0"/>
          <w:sz w:val="24"/>
          <w:szCs w:val="24"/>
        </w:rPr>
        <w:t xml:space="preserve"> sau 99,0%, iar din lungimea totală a rețelelor de canalizare </w:t>
      </w:r>
      <w:r w:rsidR="007830DC">
        <w:rPr>
          <w:rFonts w:asciiTheme="majorHAnsi" w:eastAsia="Calibri" w:hAnsiTheme="majorHAnsi" w:cstheme="majorHAnsi"/>
          <w:b w:val="0"/>
          <w:bCs w:val="0"/>
          <w:sz w:val="24"/>
          <w:szCs w:val="24"/>
        </w:rPr>
        <w:t xml:space="preserve">– </w:t>
      </w:r>
      <w:r w:rsidRPr="008376FC">
        <w:rPr>
          <w:rFonts w:asciiTheme="majorHAnsi" w:eastAsia="Calibri" w:hAnsiTheme="majorHAnsi" w:cstheme="majorHAnsi"/>
          <w:b w:val="0"/>
          <w:bCs w:val="0"/>
          <w:sz w:val="24"/>
          <w:szCs w:val="24"/>
        </w:rPr>
        <w:t>2,9 mii km</w:t>
      </w:r>
      <w:r w:rsidR="007830DC">
        <w:rPr>
          <w:rFonts w:asciiTheme="majorHAnsi" w:eastAsia="Calibri" w:hAnsiTheme="majorHAnsi" w:cstheme="majorHAnsi"/>
          <w:b w:val="0"/>
          <w:bCs w:val="0"/>
          <w:sz w:val="24"/>
          <w:szCs w:val="24"/>
        </w:rPr>
        <w:t>,</w:t>
      </w:r>
      <w:r w:rsidRPr="008376FC">
        <w:rPr>
          <w:rFonts w:asciiTheme="majorHAnsi" w:eastAsia="Calibri" w:hAnsiTheme="majorHAnsi" w:cstheme="majorHAnsi"/>
          <w:b w:val="0"/>
          <w:bCs w:val="0"/>
          <w:sz w:val="24"/>
          <w:szCs w:val="24"/>
        </w:rPr>
        <w:t xml:space="preserve"> sau 95,8% (</w:t>
      </w:r>
      <w:r w:rsidR="007830DC">
        <w:rPr>
          <w:rFonts w:asciiTheme="majorHAnsi" w:eastAsia="Calibri" w:hAnsiTheme="majorHAnsi" w:cstheme="majorHAnsi"/>
          <w:b w:val="0"/>
          <w:bCs w:val="0"/>
          <w:sz w:val="24"/>
          <w:szCs w:val="24"/>
        </w:rPr>
        <w:t>v</w:t>
      </w:r>
      <w:r w:rsidRPr="008376FC">
        <w:rPr>
          <w:rFonts w:asciiTheme="majorHAnsi" w:eastAsia="Calibri" w:hAnsiTheme="majorHAnsi" w:cstheme="majorHAnsi"/>
          <w:b w:val="0"/>
          <w:bCs w:val="0"/>
          <w:sz w:val="24"/>
          <w:szCs w:val="24"/>
        </w:rPr>
        <w:t xml:space="preserve">ezi </w:t>
      </w:r>
      <w:r w:rsidR="00ED2CE9" w:rsidRPr="008376FC">
        <w:rPr>
          <w:rFonts w:asciiTheme="majorHAnsi" w:eastAsia="Calibri" w:hAnsiTheme="majorHAnsi" w:cstheme="majorHAnsi"/>
          <w:b w:val="0"/>
          <w:bCs w:val="0"/>
          <w:sz w:val="24"/>
          <w:szCs w:val="24"/>
        </w:rPr>
        <w:t xml:space="preserve">figura </w:t>
      </w:r>
      <w:r w:rsidRPr="008376FC">
        <w:rPr>
          <w:rFonts w:asciiTheme="majorHAnsi" w:eastAsia="Calibri" w:hAnsiTheme="majorHAnsi" w:cstheme="majorHAnsi"/>
          <w:b w:val="0"/>
          <w:bCs w:val="0"/>
          <w:sz w:val="24"/>
          <w:szCs w:val="24"/>
        </w:rPr>
        <w:t>de mai jos).</w:t>
      </w:r>
    </w:p>
    <w:p w:rsidR="00983223" w:rsidRDefault="00983223" w:rsidP="00F61756">
      <w:pPr>
        <w:spacing w:before="120" w:after="0" w:line="276" w:lineRule="auto"/>
        <w:contextualSpacing/>
        <w:jc w:val="both"/>
        <w:rPr>
          <w:rFonts w:asciiTheme="majorHAnsi" w:eastAsia="Calibri" w:hAnsiTheme="majorHAnsi" w:cstheme="majorHAnsi"/>
          <w:b w:val="0"/>
          <w:bCs w:val="0"/>
          <w:sz w:val="24"/>
          <w:szCs w:val="24"/>
        </w:rPr>
      </w:pPr>
    </w:p>
    <w:tbl>
      <w:tblPr>
        <w:tblStyle w:val="TableGrid4"/>
        <w:tblW w:w="9635" w:type="dxa"/>
        <w:tblInd w:w="137" w:type="dxa"/>
        <w:tblLayout w:type="fixed"/>
        <w:tblLook w:val="04A0" w:firstRow="1" w:lastRow="0" w:firstColumn="1" w:lastColumn="0" w:noHBand="0" w:noVBand="1"/>
      </w:tblPr>
      <w:tblGrid>
        <w:gridCol w:w="5081"/>
        <w:gridCol w:w="4554"/>
      </w:tblGrid>
      <w:tr w:rsidR="00BC185D" w:rsidRPr="008376FC" w:rsidTr="00BC185D">
        <w:trPr>
          <w:trHeight w:val="95"/>
        </w:trPr>
        <w:tc>
          <w:tcPr>
            <w:tcW w:w="5081" w:type="dxa"/>
          </w:tcPr>
          <w:p w:rsidR="00BC185D" w:rsidRPr="008376FC" w:rsidRDefault="00BC185D" w:rsidP="00BC185D">
            <w:pPr>
              <w:widowControl w:val="0"/>
              <w:autoSpaceDE w:val="0"/>
              <w:autoSpaceDN w:val="0"/>
              <w:spacing w:before="120"/>
              <w:ind w:right="114"/>
              <w:jc w:val="right"/>
              <w:rPr>
                <w:rFonts w:asciiTheme="majorHAnsi" w:eastAsia="Times New Roman" w:hAnsiTheme="majorHAnsi" w:cstheme="majorHAnsi"/>
                <w:b w:val="0"/>
                <w:bCs w:val="0"/>
                <w:noProof/>
                <w:spacing w:val="59"/>
                <w:sz w:val="20"/>
                <w:szCs w:val="20"/>
                <w:lang w:val="ru-RU" w:eastAsia="ru-RU"/>
              </w:rPr>
            </w:pPr>
            <w:r w:rsidRPr="008376FC">
              <w:rPr>
                <w:rFonts w:asciiTheme="majorHAnsi" w:eastAsia="Times New Roman" w:hAnsiTheme="majorHAnsi" w:cstheme="majorHAnsi"/>
                <w:bCs w:val="0"/>
                <w:sz w:val="20"/>
                <w:szCs w:val="20"/>
              </w:rPr>
              <w:t>Figur</w:t>
            </w:r>
            <w:r>
              <w:rPr>
                <w:rFonts w:asciiTheme="majorHAnsi" w:eastAsia="Times New Roman" w:hAnsiTheme="majorHAnsi" w:cstheme="majorHAnsi"/>
                <w:bCs w:val="0"/>
                <w:sz w:val="20"/>
                <w:szCs w:val="20"/>
              </w:rPr>
              <w:t>a</w:t>
            </w:r>
            <w:r w:rsidRPr="008376FC">
              <w:rPr>
                <w:rFonts w:asciiTheme="majorHAnsi" w:eastAsia="Times New Roman" w:hAnsiTheme="majorHAnsi" w:cstheme="majorHAnsi"/>
                <w:bCs w:val="0"/>
                <w:sz w:val="20"/>
                <w:szCs w:val="20"/>
              </w:rPr>
              <w:t xml:space="preserve"> nr. 27</w:t>
            </w:r>
          </w:p>
        </w:tc>
        <w:tc>
          <w:tcPr>
            <w:tcW w:w="4554" w:type="dxa"/>
          </w:tcPr>
          <w:p w:rsidR="00BC185D" w:rsidRPr="008376FC" w:rsidRDefault="00BC185D" w:rsidP="002473C0">
            <w:pPr>
              <w:widowControl w:val="0"/>
              <w:autoSpaceDE w:val="0"/>
              <w:autoSpaceDN w:val="0"/>
              <w:spacing w:before="120"/>
              <w:ind w:left="212" w:right="114"/>
              <w:jc w:val="right"/>
              <w:rPr>
                <w:rFonts w:asciiTheme="majorHAnsi" w:eastAsia="Times New Roman" w:hAnsiTheme="majorHAnsi" w:cstheme="majorHAnsi"/>
                <w:b w:val="0"/>
                <w:bCs w:val="0"/>
                <w:noProof/>
                <w:spacing w:val="59"/>
                <w:sz w:val="20"/>
                <w:szCs w:val="20"/>
                <w:lang w:val="ru-RU" w:eastAsia="ru-RU"/>
              </w:rPr>
            </w:pPr>
            <w:r w:rsidRPr="008376FC">
              <w:rPr>
                <w:rFonts w:asciiTheme="majorHAnsi" w:eastAsia="Times New Roman" w:hAnsiTheme="majorHAnsi" w:cstheme="majorHAnsi"/>
                <w:bCs w:val="0"/>
                <w:sz w:val="20"/>
                <w:szCs w:val="20"/>
              </w:rPr>
              <w:t>Figur</w:t>
            </w:r>
            <w:r>
              <w:rPr>
                <w:rFonts w:asciiTheme="majorHAnsi" w:eastAsia="Times New Roman" w:hAnsiTheme="majorHAnsi" w:cstheme="majorHAnsi"/>
                <w:bCs w:val="0"/>
                <w:sz w:val="20"/>
                <w:szCs w:val="20"/>
              </w:rPr>
              <w:t xml:space="preserve">a </w:t>
            </w:r>
            <w:r w:rsidRPr="008376FC">
              <w:rPr>
                <w:rFonts w:asciiTheme="majorHAnsi" w:eastAsia="Times New Roman" w:hAnsiTheme="majorHAnsi" w:cstheme="majorHAnsi"/>
                <w:bCs w:val="0"/>
                <w:sz w:val="20"/>
                <w:szCs w:val="20"/>
              </w:rPr>
              <w:t>nr. 28</w:t>
            </w:r>
          </w:p>
        </w:tc>
      </w:tr>
      <w:tr w:rsidR="00BC185D" w:rsidRPr="008376FC" w:rsidTr="00BC185D">
        <w:trPr>
          <w:trHeight w:val="3502"/>
        </w:trPr>
        <w:tc>
          <w:tcPr>
            <w:tcW w:w="5081" w:type="dxa"/>
          </w:tcPr>
          <w:p w:rsidR="00BC185D" w:rsidRPr="008376FC" w:rsidRDefault="00BC185D" w:rsidP="002473C0">
            <w:pPr>
              <w:widowControl w:val="0"/>
              <w:autoSpaceDE w:val="0"/>
              <w:autoSpaceDN w:val="0"/>
              <w:spacing w:before="46"/>
              <w:ind w:right="114"/>
              <w:rPr>
                <w:rFonts w:asciiTheme="majorHAnsi" w:eastAsia="Times New Roman" w:hAnsiTheme="majorHAnsi" w:cstheme="majorHAnsi"/>
                <w:b w:val="0"/>
                <w:bCs w:val="0"/>
                <w:spacing w:val="59"/>
                <w:sz w:val="24"/>
                <w:szCs w:val="24"/>
              </w:rPr>
            </w:pPr>
            <w:r w:rsidRPr="008376FC">
              <w:rPr>
                <w:rFonts w:asciiTheme="majorHAnsi" w:eastAsia="Times New Roman" w:hAnsiTheme="majorHAnsi" w:cstheme="majorHAnsi"/>
                <w:b w:val="0"/>
                <w:bCs w:val="0"/>
                <w:noProof/>
                <w:spacing w:val="59"/>
                <w:sz w:val="24"/>
                <w:szCs w:val="24"/>
                <w:lang w:val="ru-RU" w:eastAsia="ru-RU"/>
              </w:rPr>
              <w:drawing>
                <wp:inline distT="0" distB="0" distL="0" distR="0" wp14:anchorId="530539AA" wp14:editId="0A820A06">
                  <wp:extent cx="3124200" cy="2184400"/>
                  <wp:effectExtent l="0" t="0" r="0" b="6350"/>
                  <wp:docPr id="7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c>
          <w:tcPr>
            <w:tcW w:w="4554" w:type="dxa"/>
          </w:tcPr>
          <w:p w:rsidR="00BC185D" w:rsidRPr="008376FC" w:rsidRDefault="00BC185D" w:rsidP="002473C0">
            <w:pPr>
              <w:widowControl w:val="0"/>
              <w:autoSpaceDE w:val="0"/>
              <w:autoSpaceDN w:val="0"/>
              <w:spacing w:before="46"/>
              <w:ind w:right="114"/>
              <w:rPr>
                <w:rFonts w:asciiTheme="majorHAnsi" w:eastAsia="Times New Roman" w:hAnsiTheme="majorHAnsi" w:cstheme="majorHAnsi"/>
                <w:b w:val="0"/>
                <w:bCs w:val="0"/>
                <w:spacing w:val="59"/>
                <w:sz w:val="24"/>
                <w:szCs w:val="24"/>
              </w:rPr>
            </w:pPr>
            <w:r w:rsidRPr="008376FC">
              <w:rPr>
                <w:rFonts w:asciiTheme="majorHAnsi" w:eastAsia="Times New Roman" w:hAnsiTheme="majorHAnsi" w:cstheme="majorHAnsi"/>
                <w:b w:val="0"/>
                <w:bCs w:val="0"/>
                <w:noProof/>
                <w:spacing w:val="59"/>
                <w:sz w:val="24"/>
                <w:szCs w:val="24"/>
                <w:lang w:val="ru-RU" w:eastAsia="ru-RU"/>
              </w:rPr>
              <w:drawing>
                <wp:inline distT="0" distB="0" distL="0" distR="0" wp14:anchorId="39C744CC" wp14:editId="2CA71DED">
                  <wp:extent cx="2771775" cy="2184400"/>
                  <wp:effectExtent l="0" t="0" r="9525" b="6350"/>
                  <wp:docPr id="7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bl>
    <w:p w:rsidR="00BE49FB" w:rsidRPr="001D2241" w:rsidRDefault="00BE49FB" w:rsidP="00F61756">
      <w:pPr>
        <w:spacing w:after="0" w:line="276" w:lineRule="auto"/>
        <w:ind w:firstLine="284"/>
        <w:jc w:val="both"/>
        <w:rPr>
          <w:rFonts w:asciiTheme="majorHAnsi" w:eastAsia="Calibri" w:hAnsiTheme="majorHAnsi" w:cstheme="majorHAnsi"/>
          <w:b w:val="0"/>
          <w:bCs w:val="0"/>
          <w:i/>
          <w:noProof/>
          <w:sz w:val="20"/>
          <w:szCs w:val="20"/>
          <w:lang w:eastAsia="ru-RU"/>
        </w:rPr>
      </w:pPr>
      <w:r w:rsidRPr="001D2241">
        <w:rPr>
          <w:rFonts w:asciiTheme="majorHAnsi" w:eastAsia="Calibri" w:hAnsiTheme="majorHAnsi" w:cstheme="majorHAnsi"/>
          <w:i/>
          <w:noProof/>
          <w:sz w:val="20"/>
          <w:szCs w:val="20"/>
          <w:lang w:eastAsia="ru-RU"/>
        </w:rPr>
        <w:t>Sursa:</w:t>
      </w:r>
      <w:r w:rsidRPr="001D2241">
        <w:rPr>
          <w:rFonts w:asciiTheme="majorHAnsi" w:eastAsia="Calibri" w:hAnsiTheme="majorHAnsi" w:cstheme="majorHAnsi"/>
          <w:b w:val="0"/>
          <w:bCs w:val="0"/>
          <w:i/>
          <w:noProof/>
          <w:sz w:val="20"/>
          <w:szCs w:val="20"/>
          <w:lang w:eastAsia="ru-RU"/>
        </w:rPr>
        <w:t xml:space="preserve"> Date</w:t>
      </w:r>
      <w:r w:rsidR="005E0F85">
        <w:rPr>
          <w:rFonts w:asciiTheme="majorHAnsi" w:eastAsia="Calibri" w:hAnsiTheme="majorHAnsi" w:cstheme="majorHAnsi"/>
          <w:b w:val="0"/>
          <w:bCs w:val="0"/>
          <w:i/>
          <w:noProof/>
          <w:sz w:val="20"/>
          <w:szCs w:val="20"/>
          <w:lang w:eastAsia="ru-RU"/>
        </w:rPr>
        <w:t xml:space="preserve"> oferite d</w:t>
      </w:r>
      <w:r w:rsidRPr="001D2241">
        <w:rPr>
          <w:rFonts w:asciiTheme="majorHAnsi" w:eastAsia="Calibri" w:hAnsiTheme="majorHAnsi" w:cstheme="majorHAnsi"/>
          <w:b w:val="0"/>
          <w:bCs w:val="0"/>
          <w:i/>
          <w:noProof/>
          <w:sz w:val="20"/>
          <w:szCs w:val="20"/>
          <w:lang w:eastAsia="ru-RU"/>
        </w:rPr>
        <w:t>e BNS.</w:t>
      </w:r>
    </w:p>
    <w:p w:rsidR="00BE49FB" w:rsidRPr="008376FC" w:rsidRDefault="00BE49FB" w:rsidP="00F61756">
      <w:pPr>
        <w:widowControl w:val="0"/>
        <w:autoSpaceDE w:val="0"/>
        <w:autoSpaceDN w:val="0"/>
        <w:spacing w:before="120" w:after="0" w:line="276" w:lineRule="auto"/>
        <w:ind w:right="-94"/>
        <w:jc w:val="both"/>
        <w:rPr>
          <w:rFonts w:asciiTheme="majorHAnsi" w:eastAsia="Times New Roman" w:hAnsiTheme="majorHAnsi" w:cstheme="majorHAnsi"/>
          <w:b w:val="0"/>
          <w:bCs w:val="0"/>
          <w:spacing w:val="1"/>
          <w:sz w:val="24"/>
          <w:szCs w:val="24"/>
        </w:rPr>
      </w:pPr>
      <w:r w:rsidRPr="005E0F85">
        <w:rPr>
          <w:rFonts w:asciiTheme="majorHAnsi" w:eastAsia="Times New Roman" w:hAnsiTheme="majorHAnsi" w:cstheme="majorHAnsi"/>
          <w:b w:val="0"/>
          <w:bCs w:val="0"/>
          <w:sz w:val="24"/>
          <w:szCs w:val="24"/>
        </w:rPr>
        <w:t xml:space="preserve">Datele de mai sus denotă o problemă majoră la nivel național, </w:t>
      </w:r>
      <w:r w:rsidR="005E0F85">
        <w:rPr>
          <w:rFonts w:asciiTheme="majorHAnsi" w:eastAsia="Times New Roman" w:hAnsiTheme="majorHAnsi" w:cstheme="majorHAnsi"/>
          <w:b w:val="0"/>
          <w:bCs w:val="0"/>
          <w:sz w:val="24"/>
          <w:szCs w:val="24"/>
        </w:rPr>
        <w:t>și anume că</w:t>
      </w:r>
      <w:r w:rsidRPr="005E0F85">
        <w:rPr>
          <w:rFonts w:asciiTheme="majorHAnsi" w:eastAsia="Times New Roman" w:hAnsiTheme="majorHAnsi" w:cstheme="majorHAnsi"/>
          <w:b w:val="0"/>
          <w:bCs w:val="0"/>
          <w:sz w:val="24"/>
          <w:szCs w:val="24"/>
        </w:rPr>
        <w:t xml:space="preserve"> viteza de </w:t>
      </w:r>
      <w:r w:rsidRPr="005E0F85">
        <w:rPr>
          <w:rFonts w:asciiTheme="majorHAnsi" w:eastAsia="Times New Roman" w:hAnsiTheme="majorHAnsi" w:cstheme="majorHAnsi"/>
          <w:b w:val="0"/>
          <w:bCs w:val="0"/>
          <w:spacing w:val="-57"/>
          <w:sz w:val="24"/>
          <w:szCs w:val="24"/>
        </w:rPr>
        <w:t xml:space="preserve"> </w:t>
      </w:r>
      <w:r w:rsidRPr="005E0F85">
        <w:rPr>
          <w:rFonts w:asciiTheme="majorHAnsi" w:eastAsia="Times New Roman" w:hAnsiTheme="majorHAnsi" w:cstheme="majorHAnsi"/>
          <w:b w:val="0"/>
          <w:bCs w:val="0"/>
          <w:sz w:val="24"/>
          <w:szCs w:val="24"/>
        </w:rPr>
        <w:t xml:space="preserve">extindere a rețelelor de canalizare </w:t>
      </w:r>
      <w:r w:rsidR="005E0F85">
        <w:rPr>
          <w:rFonts w:asciiTheme="majorHAnsi" w:eastAsia="Times New Roman" w:hAnsiTheme="majorHAnsi" w:cstheme="majorHAnsi"/>
          <w:b w:val="0"/>
          <w:bCs w:val="0"/>
          <w:sz w:val="24"/>
          <w:szCs w:val="24"/>
        </w:rPr>
        <w:t>este</w:t>
      </w:r>
      <w:r w:rsidRPr="008376FC">
        <w:rPr>
          <w:rFonts w:asciiTheme="majorHAnsi" w:eastAsia="Times New Roman" w:hAnsiTheme="majorHAnsi" w:cstheme="majorHAnsi"/>
          <w:b w:val="0"/>
          <w:bCs w:val="0"/>
          <w:sz w:val="24"/>
          <w:szCs w:val="24"/>
        </w:rPr>
        <w:t xml:space="preserve"> mult mai mică față de </w:t>
      </w:r>
      <w:r w:rsidR="005E0F85">
        <w:rPr>
          <w:rFonts w:asciiTheme="majorHAnsi" w:eastAsia="Times New Roman" w:hAnsiTheme="majorHAnsi" w:cstheme="majorHAnsi"/>
          <w:b w:val="0"/>
          <w:bCs w:val="0"/>
          <w:sz w:val="24"/>
          <w:szCs w:val="24"/>
        </w:rPr>
        <w:t>rețelele</w:t>
      </w:r>
      <w:r w:rsidRPr="008376FC">
        <w:rPr>
          <w:rFonts w:asciiTheme="majorHAnsi" w:eastAsia="Times New Roman" w:hAnsiTheme="majorHAnsi" w:cstheme="majorHAnsi"/>
          <w:b w:val="0"/>
          <w:bCs w:val="0"/>
          <w:sz w:val="24"/>
          <w:szCs w:val="24"/>
        </w:rPr>
        <w:t xml:space="preserve"> de distribuție a apei. Situația</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 xml:space="preserve">actuală </w:t>
      </w:r>
      <w:r w:rsidR="005E0F85">
        <w:rPr>
          <w:rFonts w:asciiTheme="majorHAnsi" w:eastAsia="Times New Roman" w:hAnsiTheme="majorHAnsi" w:cstheme="majorHAnsi"/>
          <w:b w:val="0"/>
          <w:bCs w:val="0"/>
          <w:sz w:val="24"/>
          <w:szCs w:val="24"/>
        </w:rPr>
        <w:t>este</w:t>
      </w:r>
      <w:r w:rsidRPr="008376FC">
        <w:rPr>
          <w:rFonts w:asciiTheme="majorHAnsi" w:eastAsia="Times New Roman" w:hAnsiTheme="majorHAnsi" w:cstheme="majorHAnsi"/>
          <w:b w:val="0"/>
          <w:bCs w:val="0"/>
          <w:sz w:val="24"/>
          <w:szCs w:val="24"/>
        </w:rPr>
        <w:t xml:space="preserve"> mult mai gravă decât în anul 2008, </w:t>
      </w:r>
      <w:r w:rsidR="005E0F85">
        <w:rPr>
          <w:rFonts w:asciiTheme="majorHAnsi" w:eastAsia="Times New Roman" w:hAnsiTheme="majorHAnsi" w:cstheme="majorHAnsi"/>
          <w:b w:val="0"/>
          <w:bCs w:val="0"/>
          <w:sz w:val="24"/>
          <w:szCs w:val="24"/>
        </w:rPr>
        <w:t>când</w:t>
      </w:r>
      <w:r w:rsidRPr="008376FC">
        <w:rPr>
          <w:rFonts w:asciiTheme="majorHAnsi" w:eastAsia="Times New Roman" w:hAnsiTheme="majorHAnsi" w:cstheme="majorHAnsi"/>
          <w:b w:val="0"/>
          <w:bCs w:val="0"/>
          <w:sz w:val="24"/>
          <w:szCs w:val="24"/>
        </w:rPr>
        <w:t xml:space="preserve"> rețelele de canalizare acopereau circa 34,2%</w:t>
      </w:r>
      <w:r w:rsidRPr="008376FC">
        <w:rPr>
          <w:rFonts w:asciiTheme="majorHAnsi" w:eastAsia="Times New Roman" w:hAnsiTheme="majorHAnsi" w:cstheme="majorHAnsi"/>
          <w:b w:val="0"/>
          <w:bCs w:val="0"/>
          <w:sz w:val="24"/>
          <w:szCs w:val="24"/>
          <w:vertAlign w:val="superscript"/>
        </w:rPr>
        <w:footnoteReference w:id="95"/>
      </w:r>
      <w:r w:rsidRPr="008376FC">
        <w:rPr>
          <w:rFonts w:asciiTheme="majorHAnsi" w:eastAsia="Times New Roman" w:hAnsiTheme="majorHAnsi" w:cstheme="majorHAnsi"/>
          <w:b w:val="0"/>
          <w:bCs w:val="0"/>
          <w:sz w:val="24"/>
          <w:szCs w:val="24"/>
        </w:rPr>
        <w:t xml:space="preserve"> din rețelele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de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distribuție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apei,</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față</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de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18,4%</w:t>
      </w:r>
      <w:r w:rsidRPr="008376FC">
        <w:rPr>
          <w:rFonts w:asciiTheme="majorHAnsi" w:eastAsia="Times New Roman" w:hAnsiTheme="majorHAnsi" w:cstheme="majorHAnsi"/>
          <w:b w:val="0"/>
          <w:bCs w:val="0"/>
          <w:sz w:val="24"/>
          <w:szCs w:val="24"/>
          <w:vertAlign w:val="superscript"/>
        </w:rPr>
        <w:footnoteReference w:id="96"/>
      </w:r>
      <w:r w:rsidRPr="008376FC">
        <w:rPr>
          <w:rFonts w:asciiTheme="majorHAnsi" w:eastAsia="Times New Roman" w:hAnsiTheme="majorHAnsi" w:cstheme="majorHAnsi"/>
          <w:b w:val="0"/>
          <w:bCs w:val="0"/>
          <w:spacing w:val="1"/>
          <w:sz w:val="24"/>
          <w:szCs w:val="24"/>
        </w:rPr>
        <w:t xml:space="preserve"> </w:t>
      </w:r>
      <w:r w:rsidR="005E0F85">
        <w:rPr>
          <w:rFonts w:asciiTheme="majorHAnsi" w:eastAsia="Times New Roman" w:hAnsiTheme="majorHAnsi" w:cstheme="majorHAnsi"/>
          <w:b w:val="0"/>
          <w:bCs w:val="0"/>
          <w:spacing w:val="1"/>
          <w:sz w:val="24"/>
          <w:szCs w:val="24"/>
        </w:rPr>
        <w:t xml:space="preserve">cât este </w:t>
      </w:r>
      <w:r w:rsidRPr="008376FC">
        <w:rPr>
          <w:rFonts w:asciiTheme="majorHAnsi" w:eastAsia="Times New Roman" w:hAnsiTheme="majorHAnsi" w:cstheme="majorHAnsi"/>
          <w:b w:val="0"/>
          <w:bCs w:val="0"/>
          <w:sz w:val="24"/>
          <w:szCs w:val="24"/>
        </w:rPr>
        <w:t>în</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prezent.</w:t>
      </w:r>
      <w:r w:rsidRPr="008376FC">
        <w:rPr>
          <w:rFonts w:asciiTheme="majorHAnsi" w:eastAsia="Times New Roman" w:hAnsiTheme="majorHAnsi" w:cstheme="majorHAnsi"/>
          <w:b w:val="0"/>
          <w:bCs w:val="0"/>
          <w:spacing w:val="1"/>
          <w:sz w:val="24"/>
          <w:szCs w:val="24"/>
        </w:rPr>
        <w:t xml:space="preserve"> </w:t>
      </w:r>
    </w:p>
    <w:p w:rsidR="00BE49FB" w:rsidRPr="008376FC" w:rsidRDefault="00BE49FB" w:rsidP="00F61756">
      <w:pPr>
        <w:widowControl w:val="0"/>
        <w:autoSpaceDE w:val="0"/>
        <w:autoSpaceDN w:val="0"/>
        <w:spacing w:before="120" w:after="0" w:line="276" w:lineRule="auto"/>
        <w:ind w:right="48"/>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Raionul Orhei</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 xml:space="preserve">gestionează cea mai lungă rețea de distribuție a apei (839 km), fiind urmat de </w:t>
      </w:r>
      <w:r w:rsidR="005E0F85">
        <w:rPr>
          <w:rFonts w:asciiTheme="majorHAnsi" w:eastAsia="Times New Roman" w:hAnsiTheme="majorHAnsi" w:cstheme="majorHAnsi"/>
          <w:b w:val="0"/>
          <w:bCs w:val="0"/>
          <w:sz w:val="24"/>
          <w:szCs w:val="24"/>
        </w:rPr>
        <w:t xml:space="preserve">raioanele </w:t>
      </w:r>
      <w:r w:rsidRPr="008376FC">
        <w:rPr>
          <w:rFonts w:asciiTheme="majorHAnsi" w:eastAsia="Times New Roman" w:hAnsiTheme="majorHAnsi" w:cstheme="majorHAnsi"/>
          <w:b w:val="0"/>
          <w:bCs w:val="0"/>
          <w:sz w:val="24"/>
          <w:szCs w:val="24"/>
        </w:rPr>
        <w:t>Căușeni (713 km), Basarabeasca (682 km), H</w:t>
      </w:r>
      <w:r w:rsidR="005E0F85">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ncești (660 km) și Florești (609 km). Cea mai gravă</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 xml:space="preserve">situație </w:t>
      </w:r>
      <w:r w:rsidR="005E0F85">
        <w:rPr>
          <w:rFonts w:asciiTheme="majorHAnsi" w:eastAsia="Times New Roman" w:hAnsiTheme="majorHAnsi" w:cstheme="majorHAnsi"/>
          <w:b w:val="0"/>
          <w:bCs w:val="0"/>
          <w:sz w:val="24"/>
          <w:szCs w:val="24"/>
        </w:rPr>
        <w:t>se referă la</w:t>
      </w:r>
      <w:r w:rsidRPr="008376FC">
        <w:rPr>
          <w:rFonts w:asciiTheme="majorHAnsi" w:eastAsia="Times New Roman" w:hAnsiTheme="majorHAnsi" w:cstheme="majorHAnsi"/>
          <w:b w:val="0"/>
          <w:bCs w:val="0"/>
          <w:sz w:val="24"/>
          <w:szCs w:val="24"/>
        </w:rPr>
        <w:t xml:space="preserve"> gradul de acoperire cu rețele de canalizare, ace</w:t>
      </w:r>
      <w:r w:rsidR="00394020">
        <w:rPr>
          <w:rFonts w:asciiTheme="majorHAnsi" w:eastAsia="Times New Roman" w:hAnsiTheme="majorHAnsi" w:cstheme="majorHAnsi"/>
          <w:b w:val="0"/>
          <w:bCs w:val="0"/>
          <w:sz w:val="24"/>
          <w:szCs w:val="24"/>
        </w:rPr>
        <w:t>stea</w:t>
      </w:r>
      <w:r w:rsidRPr="008376FC">
        <w:rPr>
          <w:rFonts w:asciiTheme="majorHAnsi" w:eastAsia="Times New Roman" w:hAnsiTheme="majorHAnsi" w:cstheme="majorHAnsi"/>
          <w:b w:val="0"/>
          <w:bCs w:val="0"/>
          <w:sz w:val="24"/>
          <w:szCs w:val="24"/>
        </w:rPr>
        <w:t xml:space="preserve"> fiind mai mic</w:t>
      </w:r>
      <w:r w:rsidR="00394020">
        <w:rPr>
          <w:rFonts w:asciiTheme="majorHAnsi" w:eastAsia="Times New Roman" w:hAnsiTheme="majorHAnsi" w:cstheme="majorHAnsi"/>
          <w:b w:val="0"/>
          <w:bCs w:val="0"/>
          <w:sz w:val="24"/>
          <w:szCs w:val="24"/>
        </w:rPr>
        <w:t>i</w:t>
      </w:r>
      <w:r w:rsidRPr="008376FC">
        <w:rPr>
          <w:rFonts w:asciiTheme="majorHAnsi" w:eastAsia="Times New Roman" w:hAnsiTheme="majorHAnsi" w:cstheme="majorHAnsi"/>
          <w:b w:val="0"/>
          <w:bCs w:val="0"/>
          <w:sz w:val="24"/>
          <w:szCs w:val="24"/>
        </w:rPr>
        <w:t xml:space="preserve"> și </w:t>
      </w:r>
      <w:r w:rsidR="005A7BA8">
        <w:rPr>
          <w:rFonts w:asciiTheme="majorHAnsi" w:eastAsia="Times New Roman" w:hAnsiTheme="majorHAnsi" w:cstheme="majorHAnsi"/>
          <w:b w:val="0"/>
          <w:bCs w:val="0"/>
          <w:sz w:val="24"/>
          <w:szCs w:val="24"/>
        </w:rPr>
        <w:t xml:space="preserve">cu un ritm de </w:t>
      </w:r>
      <w:r w:rsidRPr="008376FC">
        <w:rPr>
          <w:rFonts w:asciiTheme="majorHAnsi" w:eastAsia="Times New Roman" w:hAnsiTheme="majorHAnsi" w:cstheme="majorHAnsi"/>
          <w:b w:val="0"/>
          <w:bCs w:val="0"/>
          <w:sz w:val="24"/>
          <w:szCs w:val="24"/>
        </w:rPr>
        <w:t>dezvolta</w:t>
      </w:r>
      <w:r w:rsidR="005A7BA8">
        <w:rPr>
          <w:rFonts w:asciiTheme="majorHAnsi" w:eastAsia="Times New Roman" w:hAnsiTheme="majorHAnsi" w:cstheme="majorHAnsi"/>
          <w:b w:val="0"/>
          <w:bCs w:val="0"/>
          <w:sz w:val="24"/>
          <w:szCs w:val="24"/>
        </w:rPr>
        <w:t>re</w:t>
      </w:r>
      <w:r w:rsidRPr="008376FC">
        <w:rPr>
          <w:rFonts w:asciiTheme="majorHAnsi" w:eastAsia="Times New Roman" w:hAnsiTheme="majorHAnsi" w:cstheme="majorHAnsi"/>
          <w:b w:val="0"/>
          <w:bCs w:val="0"/>
          <w:sz w:val="24"/>
          <w:szCs w:val="24"/>
        </w:rPr>
        <w:t xml:space="preserve"> tot mai lent. O</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 xml:space="preserve">situație mai bună </w:t>
      </w:r>
      <w:r w:rsidR="00394020">
        <w:rPr>
          <w:rFonts w:asciiTheme="majorHAnsi" w:eastAsia="Times New Roman" w:hAnsiTheme="majorHAnsi" w:cstheme="majorHAnsi"/>
          <w:b w:val="0"/>
          <w:bCs w:val="0"/>
          <w:sz w:val="24"/>
          <w:szCs w:val="24"/>
        </w:rPr>
        <w:t>privind</w:t>
      </w:r>
      <w:r w:rsidRPr="008376FC">
        <w:rPr>
          <w:rFonts w:asciiTheme="majorHAnsi" w:eastAsia="Times New Roman" w:hAnsiTheme="majorHAnsi" w:cstheme="majorHAnsi"/>
          <w:b w:val="0"/>
          <w:bCs w:val="0"/>
          <w:sz w:val="24"/>
          <w:szCs w:val="24"/>
        </w:rPr>
        <w:t xml:space="preserve"> sistemele de canalizare se atestă la Bălți (157 km), Anenii Noi (135 km), Orhei (126 km), unde gradul de acoperire cu</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rețele</w:t>
      </w:r>
      <w:r w:rsidRPr="008376FC">
        <w:rPr>
          <w:rFonts w:asciiTheme="majorHAnsi" w:eastAsia="Times New Roman" w:hAnsiTheme="majorHAnsi" w:cstheme="majorHAnsi"/>
          <w:b w:val="0"/>
          <w:bCs w:val="0"/>
          <w:spacing w:val="-2"/>
          <w:sz w:val="24"/>
          <w:szCs w:val="24"/>
        </w:rPr>
        <w:t xml:space="preserve"> </w:t>
      </w:r>
      <w:r w:rsidRPr="008376FC">
        <w:rPr>
          <w:rFonts w:asciiTheme="majorHAnsi" w:eastAsia="Times New Roman" w:hAnsiTheme="majorHAnsi" w:cstheme="majorHAnsi"/>
          <w:b w:val="0"/>
          <w:bCs w:val="0"/>
          <w:sz w:val="24"/>
          <w:szCs w:val="24"/>
        </w:rPr>
        <w:t>de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canalizare</w:t>
      </w:r>
      <w:r w:rsidRPr="008376FC">
        <w:rPr>
          <w:rFonts w:asciiTheme="majorHAnsi" w:eastAsia="Times New Roman" w:hAnsiTheme="majorHAnsi" w:cstheme="majorHAnsi"/>
          <w:b w:val="0"/>
          <w:bCs w:val="0"/>
          <w:spacing w:val="-2"/>
          <w:sz w:val="24"/>
          <w:szCs w:val="24"/>
        </w:rPr>
        <w:t xml:space="preserve"> </w:t>
      </w:r>
      <w:r w:rsidRPr="008376FC">
        <w:rPr>
          <w:rFonts w:asciiTheme="majorHAnsi" w:eastAsia="Times New Roman" w:hAnsiTheme="majorHAnsi" w:cstheme="majorHAnsi"/>
          <w:b w:val="0"/>
          <w:bCs w:val="0"/>
          <w:sz w:val="24"/>
          <w:szCs w:val="24"/>
        </w:rPr>
        <w:t>este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mai mare.</w:t>
      </w:r>
      <w:r w:rsidRPr="008376FC">
        <w:rPr>
          <w:rFonts w:asciiTheme="majorHAnsi" w:eastAsia="Times New Roman" w:hAnsiTheme="majorHAnsi" w:cstheme="majorHAnsi"/>
          <w:b w:val="0"/>
          <w:bCs w:val="0"/>
          <w:spacing w:val="1"/>
          <w:sz w:val="24"/>
          <w:szCs w:val="24"/>
        </w:rPr>
        <w:t xml:space="preserve"> </w:t>
      </w:r>
      <w:r w:rsidR="00394020">
        <w:rPr>
          <w:rFonts w:asciiTheme="majorHAnsi" w:eastAsia="Times New Roman" w:hAnsiTheme="majorHAnsi" w:cstheme="majorHAnsi"/>
          <w:b w:val="0"/>
          <w:bCs w:val="0"/>
          <w:spacing w:val="1"/>
          <w:sz w:val="24"/>
          <w:szCs w:val="24"/>
        </w:rPr>
        <w:t>Dezvoltarea</w:t>
      </w:r>
      <w:r w:rsidRPr="008376FC">
        <w:rPr>
          <w:rFonts w:asciiTheme="majorHAnsi" w:eastAsia="Times New Roman" w:hAnsiTheme="majorHAnsi" w:cstheme="majorHAnsi"/>
          <w:b w:val="0"/>
          <w:bCs w:val="0"/>
          <w:spacing w:val="1"/>
          <w:sz w:val="24"/>
          <w:szCs w:val="24"/>
        </w:rPr>
        <w:t xml:space="preserve"> rețelelor de apeduct și de canalizare </w:t>
      </w:r>
      <w:r w:rsidR="00394020">
        <w:rPr>
          <w:rFonts w:asciiTheme="majorHAnsi" w:eastAsia="Times New Roman" w:hAnsiTheme="majorHAnsi" w:cstheme="majorHAnsi"/>
          <w:b w:val="0"/>
          <w:bCs w:val="0"/>
          <w:spacing w:val="1"/>
          <w:sz w:val="24"/>
          <w:szCs w:val="24"/>
        </w:rPr>
        <w:t>în</w:t>
      </w:r>
      <w:r w:rsidRPr="008376FC">
        <w:rPr>
          <w:rFonts w:asciiTheme="majorHAnsi" w:eastAsia="Times New Roman" w:hAnsiTheme="majorHAnsi" w:cstheme="majorHAnsi"/>
          <w:b w:val="0"/>
          <w:bCs w:val="0"/>
          <w:spacing w:val="1"/>
          <w:sz w:val="24"/>
          <w:szCs w:val="24"/>
        </w:rPr>
        <w:t xml:space="preserve"> UAT </w:t>
      </w:r>
      <w:r w:rsidRPr="008376FC">
        <w:rPr>
          <w:rFonts w:asciiTheme="majorHAnsi" w:eastAsia="Times New Roman" w:hAnsiTheme="majorHAnsi" w:cstheme="majorHAnsi"/>
          <w:b w:val="0"/>
          <w:bCs w:val="0"/>
          <w:sz w:val="24"/>
          <w:szCs w:val="24"/>
        </w:rPr>
        <w:t>variază atât în ceea ce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privește lungimea rețelelor</w:t>
      </w:r>
      <w:r w:rsidR="00394020">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cât și </w:t>
      </w:r>
      <w:r w:rsidR="00394020">
        <w:rPr>
          <w:rFonts w:asciiTheme="majorHAnsi" w:eastAsia="Times New Roman" w:hAnsiTheme="majorHAnsi" w:cstheme="majorHAnsi"/>
          <w:b w:val="0"/>
          <w:bCs w:val="0"/>
          <w:sz w:val="24"/>
          <w:szCs w:val="24"/>
        </w:rPr>
        <w:t xml:space="preserve">în ceea ce privește </w:t>
      </w:r>
      <w:r w:rsidRPr="008376FC">
        <w:rPr>
          <w:rFonts w:asciiTheme="majorHAnsi" w:eastAsia="Times New Roman" w:hAnsiTheme="majorHAnsi" w:cstheme="majorHAnsi"/>
          <w:b w:val="0"/>
          <w:bCs w:val="0"/>
          <w:sz w:val="24"/>
          <w:szCs w:val="24"/>
        </w:rPr>
        <w:t xml:space="preserve">raportul apeduct – canalizare. Situațiile se prezintă în </w:t>
      </w:r>
      <w:r w:rsidR="00394020">
        <w:rPr>
          <w:rFonts w:asciiTheme="majorHAnsi" w:eastAsia="Times New Roman" w:hAnsiTheme="majorHAnsi" w:cstheme="majorHAnsi"/>
          <w:b w:val="0"/>
          <w:bCs w:val="0"/>
          <w:sz w:val="24"/>
          <w:szCs w:val="24"/>
        </w:rPr>
        <w:t>f</w:t>
      </w:r>
      <w:r w:rsidRPr="008376FC">
        <w:rPr>
          <w:rFonts w:asciiTheme="majorHAnsi" w:eastAsia="Times New Roman" w:hAnsiTheme="majorHAnsi" w:cstheme="majorHAnsi"/>
          <w:b w:val="0"/>
          <w:bCs w:val="0"/>
          <w:sz w:val="24"/>
          <w:szCs w:val="24"/>
        </w:rPr>
        <w:t xml:space="preserve">igurile din Anexa nr. </w:t>
      </w:r>
      <w:r w:rsidR="00DF15BE" w:rsidRPr="008376FC">
        <w:rPr>
          <w:rFonts w:asciiTheme="majorHAnsi" w:eastAsia="Times New Roman" w:hAnsiTheme="majorHAnsi" w:cstheme="majorHAnsi"/>
          <w:b w:val="0"/>
          <w:bCs w:val="0"/>
          <w:sz w:val="24"/>
          <w:szCs w:val="24"/>
        </w:rPr>
        <w:t>9</w:t>
      </w:r>
      <w:r w:rsidRPr="008376FC">
        <w:rPr>
          <w:rFonts w:asciiTheme="majorHAnsi" w:eastAsia="Times New Roman" w:hAnsiTheme="majorHAnsi" w:cstheme="majorHAnsi"/>
          <w:b w:val="0"/>
          <w:bCs w:val="0"/>
          <w:sz w:val="24"/>
          <w:szCs w:val="24"/>
        </w:rPr>
        <w:t xml:space="preserve"> la prezentul Raport de audit.</w:t>
      </w:r>
    </w:p>
    <w:p w:rsidR="00BE49FB" w:rsidRPr="008376FC" w:rsidRDefault="00BE49FB" w:rsidP="00F61756">
      <w:pPr>
        <w:widowControl w:val="0"/>
        <w:autoSpaceDE w:val="0"/>
        <w:autoSpaceDN w:val="0"/>
        <w:spacing w:before="120" w:after="0" w:line="276" w:lineRule="auto"/>
        <w:ind w:right="-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Evacuarea apei uzate în receptorii naturali trebuie să fie efectuată doar după</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asigurarea</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epurării</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necesare.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Situaţia</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din</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ţară</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la</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acest</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capitol</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denotă</w:t>
      </w:r>
      <w:r w:rsidRPr="008376FC">
        <w:rPr>
          <w:rFonts w:asciiTheme="majorHAnsi" w:eastAsia="Times New Roman" w:hAnsiTheme="majorHAnsi" w:cstheme="majorHAnsi"/>
          <w:b w:val="0"/>
          <w:bCs w:val="0"/>
          <w:spacing w:val="60"/>
          <w:sz w:val="24"/>
          <w:szCs w:val="24"/>
        </w:rPr>
        <w:t xml:space="preserve"> </w:t>
      </w:r>
      <w:r w:rsidRPr="008376FC">
        <w:rPr>
          <w:rFonts w:asciiTheme="majorHAnsi" w:eastAsia="Times New Roman" w:hAnsiTheme="majorHAnsi" w:cstheme="majorHAnsi"/>
          <w:b w:val="0"/>
          <w:bCs w:val="0"/>
          <w:sz w:val="24"/>
          <w:szCs w:val="24"/>
        </w:rPr>
        <w:t>lipsa</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asigurării cu sisteme de canalizare şi, respectiv, a epurării apelor uzate, ceea ce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determină poluarea apelor subterane şi de suprafaţă, influențând asupra sănătăţii</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populaţiei.</w:t>
      </w:r>
    </w:p>
    <w:p w:rsidR="00BE49FB" w:rsidRPr="008376FC" w:rsidRDefault="00BE49FB" w:rsidP="00F61756">
      <w:pPr>
        <w:widowControl w:val="0"/>
        <w:autoSpaceDE w:val="0"/>
        <w:autoSpaceDN w:val="0"/>
        <w:spacing w:before="120" w:after="0" w:line="276" w:lineRule="auto"/>
        <w:ind w:right="-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Volumul</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insuficient</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de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ape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uzate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şi</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concentrația</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excesivă</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de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nocivități</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recepționate dereglează funcționarea optimă a procesului tehnologic de epurare</w:t>
      </w:r>
      <w:r w:rsidR="00BA55D3">
        <w:rPr>
          <w:rFonts w:asciiTheme="majorHAnsi" w:eastAsia="Times New Roman" w:hAnsiTheme="majorHAnsi" w:cstheme="majorHAnsi"/>
          <w:b w:val="0"/>
          <w:bCs w:val="0"/>
          <w:sz w:val="24"/>
          <w:szCs w:val="24"/>
        </w:rPr>
        <w:t xml:space="preserve"> a apelor uzate</w:t>
      </w:r>
      <w:r w:rsidRPr="008376FC">
        <w:rPr>
          <w:rFonts w:asciiTheme="majorHAnsi" w:eastAsia="Times New Roman" w:hAnsiTheme="majorHAnsi" w:cstheme="majorHAnsi"/>
          <w:b w:val="0"/>
          <w:bCs w:val="0"/>
          <w:sz w:val="24"/>
          <w:szCs w:val="24"/>
        </w:rPr>
        <w:t>.</w:t>
      </w:r>
    </w:p>
    <w:p w:rsidR="00BE49FB" w:rsidRPr="008376FC" w:rsidRDefault="00BE49FB" w:rsidP="00F61756">
      <w:pPr>
        <w:widowControl w:val="0"/>
        <w:autoSpaceDE w:val="0"/>
        <w:autoSpaceDN w:val="0"/>
        <w:spacing w:before="120" w:after="0" w:line="276" w:lineRule="auto"/>
        <w:ind w:right="-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Din lipsa staţii</w:t>
      </w:r>
      <w:r w:rsidR="00BA55D3">
        <w:rPr>
          <w:rFonts w:asciiTheme="majorHAnsi" w:eastAsia="Times New Roman" w:hAnsiTheme="majorHAnsi" w:cstheme="majorHAnsi"/>
          <w:b w:val="0"/>
          <w:bCs w:val="0"/>
          <w:sz w:val="24"/>
          <w:szCs w:val="24"/>
        </w:rPr>
        <w:t>lor</w:t>
      </w:r>
      <w:r w:rsidRPr="008376FC">
        <w:rPr>
          <w:rFonts w:asciiTheme="majorHAnsi" w:eastAsia="Times New Roman" w:hAnsiTheme="majorHAnsi" w:cstheme="majorHAnsi"/>
          <w:b w:val="0"/>
          <w:bCs w:val="0"/>
          <w:sz w:val="24"/>
          <w:szCs w:val="24"/>
        </w:rPr>
        <w:t xml:space="preserve"> de epurare, apele uzate sunt deversate direct în receptorii</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naturali, ceea ce duce nu doar la poluarea apelor, ci şi la răspândirea unui miros</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neplăcut.</w:t>
      </w:r>
    </w:p>
    <w:p w:rsidR="00BE49FB" w:rsidRPr="008376FC" w:rsidRDefault="00BE49FB" w:rsidP="00F61756">
      <w:pPr>
        <w:widowControl w:val="0"/>
        <w:autoSpaceDE w:val="0"/>
        <w:autoSpaceDN w:val="0"/>
        <w:spacing w:before="120" w:after="0" w:line="276" w:lineRule="auto"/>
        <w:ind w:right="-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Nici IPM, în calitate de organ de control ecologic, nici ANSP, în calitate de organ de supraveghere a sănătăţii publice, nu deţin</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p</w:t>
      </w:r>
      <w:r w:rsidR="00BA55D3">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 xml:space="preserve">rghiile necesare pentru a preveni poluarea mediului, deoarece unele surse de apă </w:t>
      </w:r>
      <w:r w:rsidRPr="008376FC">
        <w:rPr>
          <w:rFonts w:asciiTheme="majorHAnsi" w:eastAsia="Times New Roman" w:hAnsiTheme="majorHAnsi" w:cstheme="majorHAnsi"/>
          <w:b w:val="0"/>
          <w:bCs w:val="0"/>
          <w:spacing w:val="-57"/>
          <w:sz w:val="24"/>
          <w:szCs w:val="24"/>
        </w:rPr>
        <w:t xml:space="preserve"> </w:t>
      </w:r>
      <w:r w:rsidRPr="008376FC">
        <w:rPr>
          <w:rFonts w:asciiTheme="majorHAnsi" w:eastAsia="Times New Roman" w:hAnsiTheme="majorHAnsi" w:cstheme="majorHAnsi"/>
          <w:b w:val="0"/>
          <w:bCs w:val="0"/>
          <w:sz w:val="24"/>
          <w:szCs w:val="24"/>
        </w:rPr>
        <w:t>(puţuri săpate), haznale, precum şi latrine se află pe propriet</w:t>
      </w:r>
      <w:r w:rsidR="007F7F5A">
        <w:rPr>
          <w:rFonts w:asciiTheme="majorHAnsi" w:eastAsia="Times New Roman" w:hAnsiTheme="majorHAnsi" w:cstheme="majorHAnsi"/>
          <w:b w:val="0"/>
          <w:bCs w:val="0"/>
          <w:sz w:val="24"/>
          <w:szCs w:val="24"/>
        </w:rPr>
        <w:t>ăți</w:t>
      </w:r>
      <w:r w:rsidRPr="008376FC">
        <w:rPr>
          <w:rFonts w:asciiTheme="majorHAnsi" w:eastAsia="Times New Roman" w:hAnsiTheme="majorHAnsi" w:cstheme="majorHAnsi"/>
          <w:b w:val="0"/>
          <w:bCs w:val="0"/>
          <w:sz w:val="24"/>
          <w:szCs w:val="24"/>
        </w:rPr>
        <w:t xml:space="preserve"> privat</w:t>
      </w:r>
      <w:r w:rsidR="007F7F5A">
        <w:rPr>
          <w:rFonts w:asciiTheme="majorHAnsi" w:eastAsia="Times New Roman" w:hAnsiTheme="majorHAnsi" w:cstheme="majorHAnsi"/>
          <w:b w:val="0"/>
          <w:bCs w:val="0"/>
          <w:sz w:val="24"/>
          <w:szCs w:val="24"/>
        </w:rPr>
        <w:t>e</w:t>
      </w:r>
      <w:r w:rsidRPr="008376FC">
        <w:rPr>
          <w:rFonts w:asciiTheme="majorHAnsi" w:eastAsia="Times New Roman" w:hAnsiTheme="majorHAnsi" w:cstheme="majorHAnsi"/>
          <w:b w:val="0"/>
          <w:bCs w:val="0"/>
          <w:sz w:val="24"/>
          <w:szCs w:val="24"/>
        </w:rPr>
        <w:t xml:space="preserve"> şi </w:t>
      </w:r>
      <w:r w:rsidR="007F7F5A">
        <w:rPr>
          <w:rFonts w:asciiTheme="majorHAnsi" w:eastAsia="Times New Roman" w:hAnsiTheme="majorHAnsi" w:cstheme="majorHAnsi"/>
          <w:b w:val="0"/>
          <w:bCs w:val="0"/>
          <w:sz w:val="24"/>
          <w:szCs w:val="24"/>
        </w:rPr>
        <w:t xml:space="preserve">instituțiile respective </w:t>
      </w:r>
      <w:r w:rsidRPr="008376FC">
        <w:rPr>
          <w:rFonts w:asciiTheme="majorHAnsi" w:eastAsia="Times New Roman" w:hAnsiTheme="majorHAnsi" w:cstheme="majorHAnsi"/>
          <w:b w:val="0"/>
          <w:bCs w:val="0"/>
          <w:sz w:val="24"/>
          <w:szCs w:val="24"/>
        </w:rPr>
        <w:t xml:space="preserve">nu au </w:t>
      </w:r>
      <w:r w:rsidRPr="008376FC">
        <w:rPr>
          <w:rFonts w:asciiTheme="majorHAnsi" w:eastAsia="Times New Roman" w:hAnsiTheme="majorHAnsi" w:cstheme="majorHAnsi"/>
          <w:b w:val="0"/>
          <w:bCs w:val="0"/>
          <w:spacing w:val="-57"/>
          <w:sz w:val="24"/>
          <w:szCs w:val="24"/>
        </w:rPr>
        <w:t xml:space="preserve"> </w:t>
      </w:r>
      <w:r w:rsidRPr="008376FC">
        <w:rPr>
          <w:rFonts w:asciiTheme="majorHAnsi" w:eastAsia="Times New Roman" w:hAnsiTheme="majorHAnsi" w:cstheme="majorHAnsi"/>
          <w:b w:val="0"/>
          <w:bCs w:val="0"/>
          <w:sz w:val="24"/>
          <w:szCs w:val="24"/>
        </w:rPr>
        <w:t>posibilitate</w:t>
      </w:r>
      <w:r w:rsidR="007F7F5A">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de</w:t>
      </w:r>
      <w:r w:rsidRPr="008376FC">
        <w:rPr>
          <w:rFonts w:asciiTheme="majorHAnsi" w:eastAsia="Times New Roman" w:hAnsiTheme="majorHAnsi" w:cstheme="majorHAnsi"/>
          <w:b w:val="0"/>
          <w:bCs w:val="0"/>
          <w:spacing w:val="-2"/>
          <w:sz w:val="24"/>
          <w:szCs w:val="24"/>
        </w:rPr>
        <w:t xml:space="preserve"> </w:t>
      </w:r>
      <w:r w:rsidRPr="008376FC">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pacing w:val="-2"/>
          <w:sz w:val="24"/>
          <w:szCs w:val="24"/>
        </w:rPr>
        <w:t xml:space="preserve"> </w:t>
      </w:r>
      <w:r w:rsidR="007F7F5A">
        <w:rPr>
          <w:rFonts w:asciiTheme="majorHAnsi" w:eastAsia="Times New Roman" w:hAnsiTheme="majorHAnsi" w:cstheme="majorHAnsi"/>
          <w:b w:val="0"/>
          <w:bCs w:val="0"/>
          <w:spacing w:val="-2"/>
          <w:sz w:val="24"/>
          <w:szCs w:val="24"/>
        </w:rPr>
        <w:t xml:space="preserve">le </w:t>
      </w:r>
      <w:r w:rsidRPr="008376FC">
        <w:rPr>
          <w:rFonts w:asciiTheme="majorHAnsi" w:eastAsia="Times New Roman" w:hAnsiTheme="majorHAnsi" w:cstheme="majorHAnsi"/>
          <w:b w:val="0"/>
          <w:bCs w:val="0"/>
          <w:sz w:val="24"/>
          <w:szCs w:val="24"/>
        </w:rPr>
        <w:t>influenţa, precum</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 xml:space="preserve">şi nu </w:t>
      </w:r>
      <w:r w:rsidR="007F7F5A">
        <w:rPr>
          <w:rFonts w:asciiTheme="majorHAnsi" w:eastAsia="Times New Roman" w:hAnsiTheme="majorHAnsi" w:cstheme="majorHAnsi"/>
          <w:b w:val="0"/>
          <w:bCs w:val="0"/>
          <w:sz w:val="24"/>
          <w:szCs w:val="24"/>
        </w:rPr>
        <w:t>dețin</w:t>
      </w:r>
      <w:r w:rsidRPr="008376FC">
        <w:rPr>
          <w:rFonts w:asciiTheme="majorHAnsi" w:eastAsia="Times New Roman" w:hAnsiTheme="majorHAnsi" w:cstheme="majorHAnsi"/>
          <w:b w:val="0"/>
          <w:bCs w:val="0"/>
          <w:sz w:val="24"/>
          <w:szCs w:val="24"/>
        </w:rPr>
        <w:t xml:space="preserve"> informaţi</w:t>
      </w:r>
      <w:r w:rsidR="007F7F5A">
        <w:rPr>
          <w:rFonts w:asciiTheme="majorHAnsi" w:eastAsia="Times New Roman" w:hAnsiTheme="majorHAnsi" w:cstheme="majorHAnsi"/>
          <w:b w:val="0"/>
          <w:bCs w:val="0"/>
          <w:sz w:val="24"/>
          <w:szCs w:val="24"/>
        </w:rPr>
        <w:t>i</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suficient</w:t>
      </w:r>
      <w:r w:rsidR="007F7F5A">
        <w:rPr>
          <w:rFonts w:asciiTheme="majorHAnsi" w:eastAsia="Times New Roman" w:hAnsiTheme="majorHAnsi" w:cstheme="majorHAnsi"/>
          <w:b w:val="0"/>
          <w:bCs w:val="0"/>
          <w:sz w:val="24"/>
          <w:szCs w:val="24"/>
        </w:rPr>
        <w:t>e</w:t>
      </w:r>
      <w:r w:rsidRPr="008376FC">
        <w:rPr>
          <w:rFonts w:asciiTheme="majorHAnsi" w:eastAsia="Times New Roman" w:hAnsiTheme="majorHAnsi" w:cstheme="majorHAnsi"/>
          <w:b w:val="0"/>
          <w:bCs w:val="0"/>
          <w:sz w:val="24"/>
          <w:szCs w:val="24"/>
        </w:rPr>
        <w:t xml:space="preserve"> despre acestea pentru a le putea verifica.</w:t>
      </w:r>
    </w:p>
    <w:p w:rsidR="00BE49FB" w:rsidRPr="008376FC" w:rsidRDefault="00BE49FB" w:rsidP="00F61756">
      <w:pPr>
        <w:widowControl w:val="0"/>
        <w:autoSpaceDE w:val="0"/>
        <w:autoSpaceDN w:val="0"/>
        <w:spacing w:before="120" w:after="0" w:line="276" w:lineRule="auto"/>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Majoritatea instalațiilor existente de epurare sunt sau deteriorate,  sau </w:t>
      </w:r>
      <w:r w:rsidR="007F7F5A">
        <w:rPr>
          <w:rFonts w:asciiTheme="majorHAnsi" w:eastAsia="Times New Roman" w:hAnsiTheme="majorHAnsi" w:cstheme="majorHAnsi"/>
          <w:b w:val="0"/>
          <w:bCs w:val="0"/>
          <w:sz w:val="24"/>
          <w:szCs w:val="24"/>
        </w:rPr>
        <w:t>ne</w:t>
      </w:r>
      <w:r w:rsidRPr="008376FC">
        <w:rPr>
          <w:rFonts w:asciiTheme="majorHAnsi" w:eastAsia="Times New Roman" w:hAnsiTheme="majorHAnsi" w:cstheme="majorHAnsi"/>
          <w:b w:val="0"/>
          <w:bCs w:val="0"/>
          <w:sz w:val="24"/>
          <w:szCs w:val="24"/>
        </w:rPr>
        <w:t xml:space="preserve">operaționale,  sau sunt </w:t>
      </w:r>
      <w:r w:rsidR="007F7F5A">
        <w:rPr>
          <w:rFonts w:asciiTheme="majorHAnsi" w:eastAsia="Times New Roman" w:hAnsiTheme="majorHAnsi" w:cstheme="majorHAnsi"/>
          <w:b w:val="0"/>
          <w:bCs w:val="0"/>
          <w:sz w:val="24"/>
          <w:szCs w:val="24"/>
        </w:rPr>
        <w:t xml:space="preserve">parțial </w:t>
      </w:r>
      <w:r w:rsidRPr="008376FC">
        <w:rPr>
          <w:rFonts w:asciiTheme="majorHAnsi" w:eastAsia="Times New Roman" w:hAnsiTheme="majorHAnsi" w:cstheme="majorHAnsi"/>
          <w:b w:val="0"/>
          <w:bCs w:val="0"/>
          <w:sz w:val="24"/>
          <w:szCs w:val="24"/>
        </w:rPr>
        <w:t>operaționale. Serviciile de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canalizare în zonele rurale rămân la nivelul rudimentar de dezvoltare, ceea ce reprezintă</w:t>
      </w:r>
      <w:r w:rsidRPr="008376FC">
        <w:rPr>
          <w:rFonts w:asciiTheme="majorHAnsi" w:eastAsia="Times New Roman" w:hAnsiTheme="majorHAnsi" w:cstheme="majorHAnsi"/>
          <w:b w:val="0"/>
          <w:bCs w:val="0"/>
          <w:spacing w:val="3"/>
          <w:sz w:val="24"/>
          <w:szCs w:val="24"/>
        </w:rPr>
        <w:t xml:space="preserve"> </w:t>
      </w:r>
      <w:r w:rsidRPr="008376FC">
        <w:rPr>
          <w:rFonts w:asciiTheme="majorHAnsi" w:eastAsia="Times New Roman" w:hAnsiTheme="majorHAnsi" w:cstheme="majorHAnsi"/>
          <w:b w:val="0"/>
          <w:bCs w:val="0"/>
          <w:sz w:val="24"/>
          <w:szCs w:val="24"/>
        </w:rPr>
        <w:t>o</w:t>
      </w:r>
      <w:r w:rsidRPr="008376FC">
        <w:rPr>
          <w:rFonts w:asciiTheme="majorHAnsi" w:eastAsia="Times New Roman" w:hAnsiTheme="majorHAnsi" w:cstheme="majorHAnsi"/>
          <w:b w:val="0"/>
          <w:bCs w:val="0"/>
          <w:spacing w:val="4"/>
          <w:sz w:val="24"/>
          <w:szCs w:val="24"/>
        </w:rPr>
        <w:t xml:space="preserve"> </w:t>
      </w:r>
      <w:r w:rsidRPr="008376FC">
        <w:rPr>
          <w:rFonts w:asciiTheme="majorHAnsi" w:eastAsia="Times New Roman" w:hAnsiTheme="majorHAnsi" w:cstheme="majorHAnsi"/>
          <w:b w:val="0"/>
          <w:bCs w:val="0"/>
          <w:sz w:val="24"/>
          <w:szCs w:val="24"/>
        </w:rPr>
        <w:t>problemă</w:t>
      </w:r>
      <w:r w:rsidRPr="008376FC">
        <w:rPr>
          <w:rFonts w:asciiTheme="majorHAnsi" w:eastAsia="Times New Roman" w:hAnsiTheme="majorHAnsi" w:cstheme="majorHAnsi"/>
          <w:b w:val="0"/>
          <w:bCs w:val="0"/>
          <w:spacing w:val="4"/>
          <w:sz w:val="24"/>
          <w:szCs w:val="24"/>
        </w:rPr>
        <w:t xml:space="preserve"> </w:t>
      </w:r>
      <w:r w:rsidRPr="008376FC">
        <w:rPr>
          <w:rFonts w:asciiTheme="majorHAnsi" w:eastAsia="Times New Roman" w:hAnsiTheme="majorHAnsi" w:cstheme="majorHAnsi"/>
          <w:b w:val="0"/>
          <w:bCs w:val="0"/>
          <w:sz w:val="24"/>
          <w:szCs w:val="24"/>
        </w:rPr>
        <w:t>foarte</w:t>
      </w:r>
      <w:r w:rsidRPr="008376FC">
        <w:rPr>
          <w:rFonts w:asciiTheme="majorHAnsi" w:eastAsia="Times New Roman" w:hAnsiTheme="majorHAnsi" w:cstheme="majorHAnsi"/>
          <w:b w:val="0"/>
          <w:bCs w:val="0"/>
          <w:spacing w:val="5"/>
          <w:sz w:val="24"/>
          <w:szCs w:val="24"/>
        </w:rPr>
        <w:t xml:space="preserve"> </w:t>
      </w:r>
      <w:r w:rsidRPr="008376FC">
        <w:rPr>
          <w:rFonts w:asciiTheme="majorHAnsi" w:eastAsia="Times New Roman" w:hAnsiTheme="majorHAnsi" w:cstheme="majorHAnsi"/>
          <w:b w:val="0"/>
          <w:bCs w:val="0"/>
          <w:sz w:val="24"/>
          <w:szCs w:val="24"/>
        </w:rPr>
        <w:t>gravă</w:t>
      </w:r>
      <w:r w:rsidRPr="008376FC">
        <w:rPr>
          <w:rFonts w:asciiTheme="majorHAnsi" w:eastAsia="Times New Roman" w:hAnsiTheme="majorHAnsi" w:cstheme="majorHAnsi"/>
          <w:b w:val="0"/>
          <w:bCs w:val="0"/>
          <w:spacing w:val="3"/>
          <w:sz w:val="24"/>
          <w:szCs w:val="24"/>
        </w:rPr>
        <w:t xml:space="preserve"> </w:t>
      </w:r>
      <w:r w:rsidRPr="008376FC">
        <w:rPr>
          <w:rFonts w:asciiTheme="majorHAnsi" w:eastAsia="Times New Roman" w:hAnsiTheme="majorHAnsi" w:cstheme="majorHAnsi"/>
          <w:b w:val="0"/>
          <w:bCs w:val="0"/>
          <w:sz w:val="24"/>
          <w:szCs w:val="24"/>
        </w:rPr>
        <w:t>care</w:t>
      </w:r>
      <w:r w:rsidRPr="008376FC">
        <w:rPr>
          <w:rFonts w:asciiTheme="majorHAnsi" w:eastAsia="Times New Roman" w:hAnsiTheme="majorHAnsi" w:cstheme="majorHAnsi"/>
          <w:b w:val="0"/>
          <w:bCs w:val="0"/>
          <w:spacing w:val="5"/>
          <w:sz w:val="24"/>
          <w:szCs w:val="24"/>
        </w:rPr>
        <w:t xml:space="preserve"> </w:t>
      </w:r>
      <w:r w:rsidRPr="008376FC">
        <w:rPr>
          <w:rFonts w:asciiTheme="majorHAnsi" w:eastAsia="Times New Roman" w:hAnsiTheme="majorHAnsi" w:cstheme="majorHAnsi"/>
          <w:b w:val="0"/>
          <w:bCs w:val="0"/>
          <w:sz w:val="24"/>
          <w:szCs w:val="24"/>
        </w:rPr>
        <w:t>amenință</w:t>
      </w:r>
      <w:r w:rsidRPr="008376FC">
        <w:rPr>
          <w:rFonts w:asciiTheme="majorHAnsi" w:eastAsia="Times New Roman" w:hAnsiTheme="majorHAnsi" w:cstheme="majorHAnsi"/>
          <w:b w:val="0"/>
          <w:bCs w:val="0"/>
          <w:spacing w:val="4"/>
          <w:sz w:val="24"/>
          <w:szCs w:val="24"/>
        </w:rPr>
        <w:t xml:space="preserve"> </w:t>
      </w:r>
      <w:r w:rsidRPr="008376FC">
        <w:rPr>
          <w:rFonts w:asciiTheme="majorHAnsi" w:eastAsia="Times New Roman" w:hAnsiTheme="majorHAnsi" w:cstheme="majorHAnsi"/>
          <w:b w:val="0"/>
          <w:bCs w:val="0"/>
          <w:sz w:val="24"/>
          <w:szCs w:val="24"/>
        </w:rPr>
        <w:t>mediul</w:t>
      </w:r>
      <w:r w:rsidRPr="008376FC">
        <w:rPr>
          <w:rFonts w:asciiTheme="majorHAnsi" w:eastAsia="Times New Roman" w:hAnsiTheme="majorHAnsi" w:cstheme="majorHAnsi"/>
          <w:b w:val="0"/>
          <w:bCs w:val="0"/>
          <w:spacing w:val="5"/>
          <w:sz w:val="24"/>
          <w:szCs w:val="24"/>
        </w:rPr>
        <w:t xml:space="preserve"> </w:t>
      </w:r>
      <w:r w:rsidRPr="008376FC">
        <w:rPr>
          <w:rFonts w:asciiTheme="majorHAnsi" w:eastAsia="Times New Roman" w:hAnsiTheme="majorHAnsi" w:cstheme="majorHAnsi"/>
          <w:b w:val="0"/>
          <w:bCs w:val="0"/>
          <w:sz w:val="24"/>
          <w:szCs w:val="24"/>
        </w:rPr>
        <w:t>înconjurător</w:t>
      </w:r>
      <w:r w:rsidRPr="008376FC">
        <w:rPr>
          <w:rFonts w:asciiTheme="majorHAnsi" w:eastAsia="Times New Roman" w:hAnsiTheme="majorHAnsi" w:cstheme="majorHAnsi"/>
          <w:b w:val="0"/>
          <w:bCs w:val="0"/>
          <w:spacing w:val="4"/>
          <w:sz w:val="24"/>
          <w:szCs w:val="24"/>
        </w:rPr>
        <w:t xml:space="preserve"> </w:t>
      </w:r>
      <w:r w:rsidRPr="008376FC">
        <w:rPr>
          <w:rFonts w:asciiTheme="majorHAnsi" w:eastAsia="Times New Roman" w:hAnsiTheme="majorHAnsi" w:cstheme="majorHAnsi"/>
          <w:b w:val="0"/>
          <w:bCs w:val="0"/>
          <w:sz w:val="24"/>
          <w:szCs w:val="24"/>
        </w:rPr>
        <w:t>și</w:t>
      </w:r>
      <w:r w:rsidRPr="008376FC">
        <w:rPr>
          <w:rFonts w:asciiTheme="majorHAnsi" w:eastAsia="Times New Roman" w:hAnsiTheme="majorHAnsi" w:cstheme="majorHAnsi"/>
          <w:b w:val="0"/>
          <w:bCs w:val="0"/>
          <w:noProof/>
          <w:sz w:val="24"/>
          <w:szCs w:val="24"/>
          <w:lang w:eastAsia="ru-RU"/>
        </w:rPr>
        <w:t xml:space="preserve"> </w:t>
      </w:r>
      <w:r w:rsidRPr="008376FC">
        <w:rPr>
          <w:rFonts w:asciiTheme="majorHAnsi" w:eastAsia="Times New Roman" w:hAnsiTheme="majorHAnsi" w:cstheme="majorHAnsi"/>
          <w:b w:val="0"/>
          <w:bCs w:val="0"/>
          <w:sz w:val="24"/>
          <w:szCs w:val="24"/>
        </w:rPr>
        <w:t>sănătatea</w:t>
      </w:r>
      <w:r w:rsidRPr="008376FC">
        <w:rPr>
          <w:rFonts w:asciiTheme="majorHAnsi" w:eastAsia="Times New Roman" w:hAnsiTheme="majorHAnsi" w:cstheme="majorHAnsi"/>
          <w:b w:val="0"/>
          <w:bCs w:val="0"/>
          <w:spacing w:val="33"/>
          <w:sz w:val="24"/>
          <w:szCs w:val="24"/>
        </w:rPr>
        <w:t xml:space="preserve"> </w:t>
      </w:r>
      <w:r w:rsidRPr="008376FC">
        <w:rPr>
          <w:rFonts w:asciiTheme="majorHAnsi" w:eastAsia="Times New Roman" w:hAnsiTheme="majorHAnsi" w:cstheme="majorHAnsi"/>
          <w:b w:val="0"/>
          <w:bCs w:val="0"/>
          <w:sz w:val="24"/>
          <w:szCs w:val="24"/>
        </w:rPr>
        <w:t>populației,</w:t>
      </w:r>
      <w:r w:rsidRPr="008376FC">
        <w:rPr>
          <w:rFonts w:asciiTheme="majorHAnsi" w:eastAsia="Times New Roman" w:hAnsiTheme="majorHAnsi" w:cstheme="majorHAnsi"/>
          <w:b w:val="0"/>
          <w:bCs w:val="0"/>
          <w:spacing w:val="35"/>
          <w:sz w:val="24"/>
          <w:szCs w:val="24"/>
        </w:rPr>
        <w:t xml:space="preserve"> </w:t>
      </w:r>
      <w:r w:rsidRPr="008376FC">
        <w:rPr>
          <w:rFonts w:asciiTheme="majorHAnsi" w:eastAsia="Times New Roman" w:hAnsiTheme="majorHAnsi" w:cstheme="majorHAnsi"/>
          <w:b w:val="0"/>
          <w:bCs w:val="0"/>
          <w:sz w:val="24"/>
          <w:szCs w:val="24"/>
        </w:rPr>
        <w:t>din</w:t>
      </w:r>
      <w:r w:rsidRPr="008376FC">
        <w:rPr>
          <w:rFonts w:asciiTheme="majorHAnsi" w:eastAsia="Times New Roman" w:hAnsiTheme="majorHAnsi" w:cstheme="majorHAnsi"/>
          <w:b w:val="0"/>
          <w:bCs w:val="0"/>
          <w:spacing w:val="35"/>
          <w:sz w:val="24"/>
          <w:szCs w:val="24"/>
        </w:rPr>
        <w:t xml:space="preserve"> </w:t>
      </w:r>
      <w:r w:rsidRPr="008376FC">
        <w:rPr>
          <w:rFonts w:asciiTheme="majorHAnsi" w:eastAsia="Times New Roman" w:hAnsiTheme="majorHAnsi" w:cstheme="majorHAnsi"/>
          <w:b w:val="0"/>
          <w:bCs w:val="0"/>
          <w:sz w:val="24"/>
          <w:szCs w:val="24"/>
        </w:rPr>
        <w:t>cauza</w:t>
      </w:r>
      <w:r w:rsidRPr="008376FC">
        <w:rPr>
          <w:rFonts w:asciiTheme="majorHAnsi" w:eastAsia="Times New Roman" w:hAnsiTheme="majorHAnsi" w:cstheme="majorHAnsi"/>
          <w:b w:val="0"/>
          <w:bCs w:val="0"/>
          <w:spacing w:val="33"/>
          <w:sz w:val="24"/>
          <w:szCs w:val="24"/>
        </w:rPr>
        <w:t xml:space="preserve"> </w:t>
      </w:r>
      <w:r w:rsidRPr="008376FC">
        <w:rPr>
          <w:rFonts w:asciiTheme="majorHAnsi" w:eastAsia="Times New Roman" w:hAnsiTheme="majorHAnsi" w:cstheme="majorHAnsi"/>
          <w:b w:val="0"/>
          <w:bCs w:val="0"/>
          <w:sz w:val="24"/>
          <w:szCs w:val="24"/>
        </w:rPr>
        <w:t>apelor</w:t>
      </w:r>
      <w:r w:rsidRPr="008376FC">
        <w:rPr>
          <w:rFonts w:asciiTheme="majorHAnsi" w:eastAsia="Times New Roman" w:hAnsiTheme="majorHAnsi" w:cstheme="majorHAnsi"/>
          <w:b w:val="0"/>
          <w:bCs w:val="0"/>
          <w:spacing w:val="35"/>
          <w:sz w:val="24"/>
          <w:szCs w:val="24"/>
        </w:rPr>
        <w:t xml:space="preserve"> </w:t>
      </w:r>
      <w:r w:rsidRPr="008376FC">
        <w:rPr>
          <w:rFonts w:asciiTheme="majorHAnsi" w:eastAsia="Times New Roman" w:hAnsiTheme="majorHAnsi" w:cstheme="majorHAnsi"/>
          <w:b w:val="0"/>
          <w:bCs w:val="0"/>
          <w:sz w:val="24"/>
          <w:szCs w:val="24"/>
        </w:rPr>
        <w:t>uzate</w:t>
      </w:r>
      <w:r w:rsidRPr="008376FC">
        <w:rPr>
          <w:rFonts w:asciiTheme="majorHAnsi" w:eastAsia="Times New Roman" w:hAnsiTheme="majorHAnsi" w:cstheme="majorHAnsi"/>
          <w:b w:val="0"/>
          <w:bCs w:val="0"/>
          <w:spacing w:val="36"/>
          <w:sz w:val="24"/>
          <w:szCs w:val="24"/>
        </w:rPr>
        <w:t xml:space="preserve"> </w:t>
      </w:r>
      <w:r w:rsidRPr="008376FC">
        <w:rPr>
          <w:rFonts w:asciiTheme="majorHAnsi" w:eastAsia="Times New Roman" w:hAnsiTheme="majorHAnsi" w:cstheme="majorHAnsi"/>
          <w:b w:val="0"/>
          <w:bCs w:val="0"/>
          <w:sz w:val="24"/>
          <w:szCs w:val="24"/>
        </w:rPr>
        <w:t>cu</w:t>
      </w:r>
      <w:r w:rsidRPr="008376FC">
        <w:rPr>
          <w:rFonts w:asciiTheme="majorHAnsi" w:eastAsia="Times New Roman" w:hAnsiTheme="majorHAnsi" w:cstheme="majorHAnsi"/>
          <w:b w:val="0"/>
          <w:bCs w:val="0"/>
          <w:spacing w:val="34"/>
          <w:sz w:val="24"/>
          <w:szCs w:val="24"/>
        </w:rPr>
        <w:t xml:space="preserve"> </w:t>
      </w:r>
      <w:r w:rsidRPr="008376FC">
        <w:rPr>
          <w:rFonts w:asciiTheme="majorHAnsi" w:eastAsia="Times New Roman" w:hAnsiTheme="majorHAnsi" w:cstheme="majorHAnsi"/>
          <w:b w:val="0"/>
          <w:bCs w:val="0"/>
          <w:sz w:val="24"/>
          <w:szCs w:val="24"/>
        </w:rPr>
        <w:t>încărcare</w:t>
      </w:r>
      <w:r w:rsidRPr="008376FC">
        <w:rPr>
          <w:rFonts w:asciiTheme="majorHAnsi" w:eastAsia="Times New Roman" w:hAnsiTheme="majorHAnsi" w:cstheme="majorHAnsi"/>
          <w:b w:val="0"/>
          <w:bCs w:val="0"/>
          <w:spacing w:val="33"/>
          <w:sz w:val="24"/>
          <w:szCs w:val="24"/>
        </w:rPr>
        <w:t xml:space="preserve"> </w:t>
      </w:r>
      <w:r w:rsidRPr="008376FC">
        <w:rPr>
          <w:rFonts w:asciiTheme="majorHAnsi" w:eastAsia="Times New Roman" w:hAnsiTheme="majorHAnsi" w:cstheme="majorHAnsi"/>
          <w:b w:val="0"/>
          <w:bCs w:val="0"/>
          <w:sz w:val="24"/>
          <w:szCs w:val="24"/>
        </w:rPr>
        <w:t>variată</w:t>
      </w:r>
      <w:r w:rsidRPr="008376FC">
        <w:rPr>
          <w:rFonts w:asciiTheme="majorHAnsi" w:eastAsia="Times New Roman" w:hAnsiTheme="majorHAnsi" w:cstheme="majorHAnsi"/>
          <w:b w:val="0"/>
          <w:bCs w:val="0"/>
          <w:spacing w:val="34"/>
          <w:sz w:val="24"/>
          <w:szCs w:val="24"/>
        </w:rPr>
        <w:t xml:space="preserve"> </w:t>
      </w:r>
      <w:r w:rsidRPr="008376FC">
        <w:rPr>
          <w:rFonts w:asciiTheme="majorHAnsi" w:eastAsia="Times New Roman" w:hAnsiTheme="majorHAnsi" w:cstheme="majorHAnsi"/>
          <w:b w:val="0"/>
          <w:bCs w:val="0"/>
          <w:sz w:val="24"/>
          <w:szCs w:val="24"/>
        </w:rPr>
        <w:t>de</w:t>
      </w:r>
      <w:r w:rsidRPr="008376FC">
        <w:rPr>
          <w:rFonts w:asciiTheme="majorHAnsi" w:eastAsia="Times New Roman" w:hAnsiTheme="majorHAnsi" w:cstheme="majorHAnsi"/>
          <w:b w:val="0"/>
          <w:bCs w:val="0"/>
          <w:spacing w:val="33"/>
          <w:sz w:val="24"/>
          <w:szCs w:val="24"/>
        </w:rPr>
        <w:t xml:space="preserve"> </w:t>
      </w:r>
      <w:r w:rsidRPr="008376FC">
        <w:rPr>
          <w:rFonts w:asciiTheme="majorHAnsi" w:eastAsia="Times New Roman" w:hAnsiTheme="majorHAnsi" w:cstheme="majorHAnsi"/>
          <w:b w:val="0"/>
          <w:bCs w:val="0"/>
          <w:sz w:val="24"/>
          <w:szCs w:val="24"/>
        </w:rPr>
        <w:t>poluanți</w:t>
      </w:r>
      <w:r w:rsidRPr="008376FC">
        <w:rPr>
          <w:rFonts w:asciiTheme="majorHAnsi" w:eastAsia="Times New Roman" w:hAnsiTheme="majorHAnsi" w:cstheme="majorHAnsi"/>
          <w:b w:val="0"/>
          <w:bCs w:val="0"/>
          <w:spacing w:val="35"/>
          <w:sz w:val="24"/>
          <w:szCs w:val="24"/>
        </w:rPr>
        <w:t xml:space="preserve"> </w:t>
      </w:r>
      <w:r w:rsidRPr="008376FC">
        <w:rPr>
          <w:rFonts w:asciiTheme="majorHAnsi" w:eastAsia="Times New Roman" w:hAnsiTheme="majorHAnsi" w:cstheme="majorHAnsi"/>
          <w:b w:val="0"/>
          <w:bCs w:val="0"/>
          <w:sz w:val="24"/>
          <w:szCs w:val="24"/>
        </w:rPr>
        <w:t>care</w:t>
      </w:r>
      <w:r w:rsidRPr="008376FC">
        <w:rPr>
          <w:rFonts w:asciiTheme="majorHAnsi" w:eastAsia="Times New Roman" w:hAnsiTheme="majorHAnsi" w:cstheme="majorHAnsi"/>
          <w:b w:val="0"/>
          <w:bCs w:val="0"/>
          <w:spacing w:val="35"/>
          <w:sz w:val="24"/>
          <w:szCs w:val="24"/>
        </w:rPr>
        <w:t xml:space="preserve"> </w:t>
      </w:r>
      <w:r w:rsidRPr="008376FC">
        <w:rPr>
          <w:rFonts w:asciiTheme="majorHAnsi" w:eastAsia="Times New Roman" w:hAnsiTheme="majorHAnsi" w:cstheme="majorHAnsi"/>
          <w:b w:val="0"/>
          <w:bCs w:val="0"/>
          <w:sz w:val="24"/>
          <w:szCs w:val="24"/>
        </w:rPr>
        <w:t>ajung</w:t>
      </w:r>
      <w:r w:rsidRPr="008376FC">
        <w:rPr>
          <w:rFonts w:asciiTheme="majorHAnsi" w:eastAsia="Times New Roman" w:hAnsiTheme="majorHAnsi" w:cstheme="majorHAnsi"/>
          <w:b w:val="0"/>
          <w:bCs w:val="0"/>
          <w:spacing w:val="32"/>
          <w:sz w:val="24"/>
          <w:szCs w:val="24"/>
        </w:rPr>
        <w:t xml:space="preserve"> </w:t>
      </w:r>
      <w:r w:rsidRPr="008376FC">
        <w:rPr>
          <w:rFonts w:asciiTheme="majorHAnsi" w:eastAsia="Times New Roman" w:hAnsiTheme="majorHAnsi" w:cstheme="majorHAnsi"/>
          <w:b w:val="0"/>
          <w:bCs w:val="0"/>
          <w:sz w:val="24"/>
          <w:szCs w:val="24"/>
        </w:rPr>
        <w:t>direct</w:t>
      </w:r>
      <w:r w:rsidRPr="008376FC">
        <w:rPr>
          <w:rFonts w:asciiTheme="majorHAnsi" w:eastAsia="Times New Roman" w:hAnsiTheme="majorHAnsi" w:cstheme="majorHAnsi"/>
          <w:b w:val="0"/>
          <w:bCs w:val="0"/>
          <w:spacing w:val="36"/>
          <w:sz w:val="24"/>
          <w:szCs w:val="24"/>
        </w:rPr>
        <w:t xml:space="preserve"> </w:t>
      </w:r>
      <w:r w:rsidRPr="008376FC">
        <w:rPr>
          <w:rFonts w:asciiTheme="majorHAnsi" w:eastAsia="Times New Roman" w:hAnsiTheme="majorHAnsi" w:cstheme="majorHAnsi"/>
          <w:b w:val="0"/>
          <w:bCs w:val="0"/>
          <w:sz w:val="24"/>
          <w:szCs w:val="24"/>
        </w:rPr>
        <w:t>în</w:t>
      </w:r>
      <w:r w:rsidRPr="008376FC">
        <w:rPr>
          <w:rFonts w:asciiTheme="majorHAnsi" w:eastAsia="Times New Roman" w:hAnsiTheme="majorHAnsi" w:cstheme="majorHAnsi"/>
          <w:b w:val="0"/>
          <w:bCs w:val="0"/>
          <w:spacing w:val="-57"/>
          <w:sz w:val="24"/>
          <w:szCs w:val="24"/>
        </w:rPr>
        <w:t xml:space="preserve">  </w:t>
      </w:r>
      <w:r w:rsidRPr="008376FC">
        <w:rPr>
          <w:rFonts w:asciiTheme="majorHAnsi" w:eastAsia="Times New Roman" w:hAnsiTheme="majorHAnsi" w:cstheme="majorHAnsi"/>
          <w:b w:val="0"/>
          <w:bCs w:val="0"/>
          <w:sz w:val="24"/>
          <w:szCs w:val="24"/>
        </w:rPr>
        <w:t>mediul</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înconjurător.</w:t>
      </w:r>
    </w:p>
    <w:p w:rsidR="00BE49FB" w:rsidRPr="008376FC" w:rsidRDefault="00BE49FB" w:rsidP="00F61756">
      <w:pPr>
        <w:pStyle w:val="a3"/>
        <w:numPr>
          <w:ilvl w:val="2"/>
          <w:numId w:val="39"/>
        </w:numPr>
        <w:tabs>
          <w:tab w:val="left" w:pos="567"/>
          <w:tab w:val="left" w:pos="851"/>
          <w:tab w:val="left" w:pos="993"/>
        </w:tabs>
        <w:spacing w:before="120" w:line="276" w:lineRule="auto"/>
        <w:ind w:left="0" w:firstLine="0"/>
        <w:jc w:val="both"/>
        <w:rPr>
          <w:rFonts w:asciiTheme="majorHAnsi" w:hAnsiTheme="majorHAnsi" w:cstheme="majorHAnsi"/>
          <w:b/>
          <w:color w:val="0070C0"/>
          <w:spacing w:val="1"/>
          <w:lang w:val="en-US"/>
        </w:rPr>
      </w:pPr>
      <w:r w:rsidRPr="008376FC">
        <w:rPr>
          <w:rFonts w:asciiTheme="majorHAnsi" w:hAnsiTheme="majorHAnsi" w:cstheme="majorHAnsi"/>
          <w:b/>
          <w:color w:val="0070C0"/>
          <w:spacing w:val="1"/>
          <w:lang w:val="en-US"/>
        </w:rPr>
        <w:t>Numărul localităților conectate la sisteme de canalizare este în creștere</w:t>
      </w:r>
      <w:r w:rsidR="007F7F5A">
        <w:rPr>
          <w:rFonts w:asciiTheme="majorHAnsi" w:hAnsiTheme="majorHAnsi" w:cstheme="majorHAnsi"/>
          <w:b/>
          <w:color w:val="0070C0"/>
          <w:spacing w:val="1"/>
          <w:lang w:val="en-US"/>
        </w:rPr>
        <w:t>.</w:t>
      </w:r>
    </w:p>
    <w:p w:rsidR="00BE49FB" w:rsidRPr="008376FC" w:rsidRDefault="00BE49FB" w:rsidP="00F61756">
      <w:pPr>
        <w:spacing w:before="120" w:after="0" w:line="276" w:lineRule="auto"/>
        <w:jc w:val="both"/>
        <w:rPr>
          <w:rFonts w:asciiTheme="majorHAnsi" w:eastAsia="Times New Roman" w:hAnsiTheme="majorHAnsi" w:cstheme="majorHAnsi"/>
          <w:b w:val="0"/>
          <w:bCs w:val="0"/>
          <w:spacing w:val="1"/>
          <w:sz w:val="24"/>
          <w:szCs w:val="24"/>
        </w:rPr>
      </w:pPr>
      <w:r w:rsidRPr="008376FC">
        <w:rPr>
          <w:rFonts w:asciiTheme="majorHAnsi" w:eastAsia="Times New Roman" w:hAnsiTheme="majorHAnsi" w:cstheme="majorHAnsi"/>
          <w:b w:val="0"/>
          <w:bCs w:val="0"/>
          <w:spacing w:val="1"/>
          <w:sz w:val="24"/>
          <w:szCs w:val="24"/>
        </w:rPr>
        <w:t>Din anul 2016 până în anul 2021 numărul localităților conectate la sisteme</w:t>
      </w:r>
      <w:r w:rsidR="007F7F5A">
        <w:rPr>
          <w:rFonts w:asciiTheme="majorHAnsi" w:eastAsia="Times New Roman" w:hAnsiTheme="majorHAnsi" w:cstheme="majorHAnsi"/>
          <w:b w:val="0"/>
          <w:bCs w:val="0"/>
          <w:spacing w:val="1"/>
          <w:sz w:val="24"/>
          <w:szCs w:val="24"/>
        </w:rPr>
        <w:t>le</w:t>
      </w:r>
      <w:r w:rsidRPr="008376FC">
        <w:rPr>
          <w:rFonts w:asciiTheme="majorHAnsi" w:eastAsia="Times New Roman" w:hAnsiTheme="majorHAnsi" w:cstheme="majorHAnsi"/>
          <w:b w:val="0"/>
          <w:bCs w:val="0"/>
          <w:spacing w:val="1"/>
          <w:sz w:val="24"/>
          <w:szCs w:val="24"/>
        </w:rPr>
        <w:t xml:space="preserve"> de canalizare a crescut</w:t>
      </w:r>
      <w:r w:rsidR="007F7F5A">
        <w:rPr>
          <w:rFonts w:asciiTheme="majorHAnsi" w:eastAsia="Times New Roman" w:hAnsiTheme="majorHAnsi" w:cstheme="majorHAnsi"/>
          <w:b w:val="0"/>
          <w:bCs w:val="0"/>
          <w:spacing w:val="1"/>
          <w:sz w:val="24"/>
          <w:szCs w:val="24"/>
        </w:rPr>
        <w:t>,</w:t>
      </w:r>
      <w:r w:rsidRPr="008376FC">
        <w:rPr>
          <w:rFonts w:asciiTheme="majorHAnsi" w:eastAsia="Times New Roman" w:hAnsiTheme="majorHAnsi" w:cstheme="majorHAnsi"/>
          <w:b w:val="0"/>
          <w:bCs w:val="0"/>
          <w:spacing w:val="1"/>
          <w:sz w:val="24"/>
          <w:szCs w:val="24"/>
        </w:rPr>
        <w:t xml:space="preserve"> de la 105 la 134 de localități, iar ca pondere în totalul localităților, aceasta este cu mult sub nivelul de conectare a localităților </w:t>
      </w:r>
      <w:r w:rsidR="008B1F64">
        <w:rPr>
          <w:rFonts w:asciiTheme="majorHAnsi" w:eastAsia="Times New Roman" w:hAnsiTheme="majorHAnsi" w:cstheme="majorHAnsi"/>
          <w:b w:val="0"/>
          <w:bCs w:val="0"/>
          <w:spacing w:val="1"/>
          <w:sz w:val="24"/>
          <w:szCs w:val="24"/>
        </w:rPr>
        <w:t>la</w:t>
      </w:r>
      <w:r w:rsidRPr="008376FC">
        <w:rPr>
          <w:rFonts w:asciiTheme="majorHAnsi" w:eastAsia="Times New Roman" w:hAnsiTheme="majorHAnsi" w:cstheme="majorHAnsi"/>
          <w:b w:val="0"/>
          <w:bCs w:val="0"/>
          <w:spacing w:val="1"/>
          <w:sz w:val="24"/>
          <w:szCs w:val="24"/>
        </w:rPr>
        <w:t xml:space="preserve"> sisteme</w:t>
      </w:r>
      <w:r w:rsidR="008B1F64">
        <w:rPr>
          <w:rFonts w:asciiTheme="majorHAnsi" w:eastAsia="Times New Roman" w:hAnsiTheme="majorHAnsi" w:cstheme="majorHAnsi"/>
          <w:b w:val="0"/>
          <w:bCs w:val="0"/>
          <w:spacing w:val="1"/>
          <w:sz w:val="24"/>
          <w:szCs w:val="24"/>
        </w:rPr>
        <w:t>le</w:t>
      </w:r>
      <w:r w:rsidRPr="008376FC">
        <w:rPr>
          <w:rFonts w:asciiTheme="majorHAnsi" w:eastAsia="Times New Roman" w:hAnsiTheme="majorHAnsi" w:cstheme="majorHAnsi"/>
          <w:b w:val="0"/>
          <w:bCs w:val="0"/>
          <w:spacing w:val="1"/>
          <w:sz w:val="24"/>
          <w:szCs w:val="24"/>
        </w:rPr>
        <w:t xml:space="preserve"> de alimentare cu apă. Astfel, în anul 2016 nivelul de conectare la sistemele de canalizare a constituit 6,8% din totalul localităților din țară (1553) și în anul 2021 – 8,7%. </w:t>
      </w:r>
    </w:p>
    <w:p w:rsidR="002E0436" w:rsidRPr="008376FC" w:rsidRDefault="00BE49FB" w:rsidP="00F61756">
      <w:pPr>
        <w:spacing w:before="120"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spacing w:val="1"/>
          <w:sz w:val="24"/>
          <w:szCs w:val="24"/>
        </w:rPr>
        <w:t>Totodată, analiza pe raioane a conectării populației la sisteme</w:t>
      </w:r>
      <w:r w:rsidR="003C4537">
        <w:rPr>
          <w:rFonts w:asciiTheme="majorHAnsi" w:eastAsia="Times New Roman" w:hAnsiTheme="majorHAnsi" w:cstheme="majorHAnsi"/>
          <w:b w:val="0"/>
          <w:bCs w:val="0"/>
          <w:spacing w:val="1"/>
          <w:sz w:val="24"/>
          <w:szCs w:val="24"/>
        </w:rPr>
        <w:t>le</w:t>
      </w:r>
      <w:r w:rsidRPr="008376FC">
        <w:rPr>
          <w:rFonts w:asciiTheme="majorHAnsi" w:eastAsia="Times New Roman" w:hAnsiTheme="majorHAnsi" w:cstheme="majorHAnsi"/>
          <w:b w:val="0"/>
          <w:bCs w:val="0"/>
          <w:spacing w:val="1"/>
          <w:sz w:val="24"/>
          <w:szCs w:val="24"/>
        </w:rPr>
        <w:t xml:space="preserve"> de canalizare denotă că, doar localitățile din municipiile Chișinău și Bălți sunt conectare la sisteme de canalizare la nivel de 77,1% și</w:t>
      </w:r>
      <w:r w:rsidR="003C4537">
        <w:rPr>
          <w:rFonts w:asciiTheme="majorHAnsi" w:eastAsia="Times New Roman" w:hAnsiTheme="majorHAnsi" w:cstheme="majorHAnsi"/>
          <w:b w:val="0"/>
          <w:bCs w:val="0"/>
          <w:spacing w:val="1"/>
          <w:sz w:val="24"/>
          <w:szCs w:val="24"/>
        </w:rPr>
        <w:t>,</w:t>
      </w:r>
      <w:r w:rsidRPr="008376FC">
        <w:rPr>
          <w:rFonts w:asciiTheme="majorHAnsi" w:eastAsia="Times New Roman" w:hAnsiTheme="majorHAnsi" w:cstheme="majorHAnsi"/>
          <w:b w:val="0"/>
          <w:bCs w:val="0"/>
          <w:spacing w:val="1"/>
          <w:sz w:val="24"/>
          <w:szCs w:val="24"/>
        </w:rPr>
        <w:t xml:space="preserve"> respectiv</w:t>
      </w:r>
      <w:r w:rsidR="003C4537">
        <w:rPr>
          <w:rFonts w:asciiTheme="majorHAnsi" w:eastAsia="Times New Roman" w:hAnsiTheme="majorHAnsi" w:cstheme="majorHAnsi"/>
          <w:b w:val="0"/>
          <w:bCs w:val="0"/>
          <w:spacing w:val="1"/>
          <w:sz w:val="24"/>
          <w:szCs w:val="24"/>
        </w:rPr>
        <w:t>,</w:t>
      </w:r>
      <w:r w:rsidRPr="008376FC">
        <w:rPr>
          <w:rFonts w:asciiTheme="majorHAnsi" w:eastAsia="Times New Roman" w:hAnsiTheme="majorHAnsi" w:cstheme="majorHAnsi"/>
          <w:b w:val="0"/>
          <w:bCs w:val="0"/>
          <w:spacing w:val="1"/>
          <w:sz w:val="24"/>
          <w:szCs w:val="24"/>
        </w:rPr>
        <w:t xml:space="preserve"> 66,7%, mun.Chișinău înregistrând o creștere de la 54,3% (19 localități din 35) p</w:t>
      </w:r>
      <w:r w:rsidR="003C4537">
        <w:rPr>
          <w:rFonts w:asciiTheme="majorHAnsi" w:eastAsia="Times New Roman" w:hAnsiTheme="majorHAnsi" w:cstheme="majorHAnsi"/>
          <w:b w:val="0"/>
          <w:bCs w:val="0"/>
          <w:spacing w:val="1"/>
          <w:sz w:val="24"/>
          <w:szCs w:val="24"/>
        </w:rPr>
        <w:t>â</w:t>
      </w:r>
      <w:r w:rsidRPr="008376FC">
        <w:rPr>
          <w:rFonts w:asciiTheme="majorHAnsi" w:eastAsia="Times New Roman" w:hAnsiTheme="majorHAnsi" w:cstheme="majorHAnsi"/>
          <w:b w:val="0"/>
          <w:bCs w:val="0"/>
          <w:spacing w:val="1"/>
          <w:sz w:val="24"/>
          <w:szCs w:val="24"/>
        </w:rPr>
        <w:t>nă la 77,1% (27</w:t>
      </w:r>
      <w:r w:rsidR="003C4537">
        <w:rPr>
          <w:rFonts w:asciiTheme="majorHAnsi" w:eastAsia="Times New Roman" w:hAnsiTheme="majorHAnsi" w:cstheme="majorHAnsi"/>
          <w:b w:val="0"/>
          <w:bCs w:val="0"/>
          <w:spacing w:val="1"/>
          <w:sz w:val="24"/>
          <w:szCs w:val="24"/>
        </w:rPr>
        <w:t xml:space="preserve"> de </w:t>
      </w:r>
      <w:r w:rsidRPr="008376FC">
        <w:rPr>
          <w:rFonts w:asciiTheme="majorHAnsi" w:eastAsia="Times New Roman" w:hAnsiTheme="majorHAnsi" w:cstheme="majorHAnsi"/>
          <w:b w:val="0"/>
          <w:bCs w:val="0"/>
          <w:spacing w:val="1"/>
          <w:sz w:val="24"/>
          <w:szCs w:val="24"/>
        </w:rPr>
        <w:t>localități din 35), conectarea localităților din mun. Bălți fiind la nivelul anului 2016</w:t>
      </w:r>
      <w:r w:rsidR="00A24645">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pacing w:val="1"/>
          <w:sz w:val="24"/>
          <w:szCs w:val="24"/>
        </w:rPr>
        <w:t xml:space="preserve"> (2 din 3). Mai sus de media de 8,7% sunt conectate la sistemele de canalizare raioanele Dondușeni – 10% (3 localități din 30), Ocnița – 9,1% (3 localități din 33), </w:t>
      </w:r>
      <w:r w:rsidRPr="008376FC">
        <w:rPr>
          <w:rFonts w:asciiTheme="majorHAnsi" w:eastAsia="Times New Roman" w:hAnsiTheme="majorHAnsi" w:cstheme="majorHAnsi"/>
          <w:b w:val="0"/>
          <w:bCs w:val="0"/>
          <w:sz w:val="24"/>
          <w:szCs w:val="24"/>
          <w:lang w:eastAsia="ru-RU"/>
        </w:rPr>
        <w:t xml:space="preserve">Anenii Noi </w:t>
      </w:r>
      <w:r w:rsidR="008051DF">
        <w:rPr>
          <w:rFonts w:asciiTheme="majorHAnsi" w:eastAsia="Times New Roman" w:hAnsiTheme="majorHAnsi" w:cstheme="majorHAnsi"/>
          <w:b w:val="0"/>
          <w:bCs w:val="0"/>
          <w:sz w:val="24"/>
          <w:szCs w:val="24"/>
          <w:lang w:eastAsia="ru-RU"/>
        </w:rPr>
        <w:t>–</w:t>
      </w:r>
      <w:r w:rsidRPr="008376FC">
        <w:rPr>
          <w:rFonts w:asciiTheme="majorHAnsi" w:eastAsia="Times New Roman" w:hAnsiTheme="majorHAnsi" w:cstheme="majorHAnsi"/>
          <w:b w:val="0"/>
          <w:bCs w:val="0"/>
          <w:sz w:val="24"/>
          <w:szCs w:val="24"/>
          <w:lang w:eastAsia="ru-RU"/>
        </w:rPr>
        <w:t xml:space="preserve"> 22,2% (10 localități din 45), Călărași – 18,2% (8 localități din 44 ), Criuleni – 16,3% (7 localități din 43), Dubăsari – 13,3% </w:t>
      </w:r>
      <w:r w:rsidR="00A24645">
        <w:rPr>
          <w:rFonts w:asciiTheme="majorHAnsi" w:eastAsia="Times New Roman" w:hAnsiTheme="majorHAnsi" w:cstheme="majorHAnsi"/>
          <w:b w:val="0"/>
          <w:bCs w:val="0"/>
          <w:sz w:val="24"/>
          <w:szCs w:val="24"/>
          <w:lang w:eastAsia="ru-RU"/>
        </w:rPr>
        <w:t xml:space="preserve">     </w:t>
      </w:r>
      <w:r w:rsidRPr="008376FC">
        <w:rPr>
          <w:rFonts w:asciiTheme="majorHAnsi" w:eastAsia="Times New Roman" w:hAnsiTheme="majorHAnsi" w:cstheme="majorHAnsi"/>
          <w:b w:val="0"/>
          <w:bCs w:val="0"/>
          <w:sz w:val="24"/>
          <w:szCs w:val="24"/>
          <w:lang w:eastAsia="ru-RU"/>
        </w:rPr>
        <w:t xml:space="preserve">(2 localități din 15), Ialoveni 8,8% (3 localități din 34), Strășeni – 10,3% (4 localități </w:t>
      </w:r>
      <w:r w:rsidR="008051DF">
        <w:rPr>
          <w:rFonts w:asciiTheme="majorHAnsi" w:eastAsia="Times New Roman" w:hAnsiTheme="majorHAnsi" w:cstheme="majorHAnsi"/>
          <w:b w:val="0"/>
          <w:bCs w:val="0"/>
          <w:sz w:val="24"/>
          <w:szCs w:val="24"/>
          <w:lang w:eastAsia="ru-RU"/>
        </w:rPr>
        <w:t xml:space="preserve">din </w:t>
      </w:r>
      <w:r w:rsidRPr="008376FC">
        <w:rPr>
          <w:rFonts w:asciiTheme="majorHAnsi" w:eastAsia="Times New Roman" w:hAnsiTheme="majorHAnsi" w:cstheme="majorHAnsi"/>
          <w:b w:val="0"/>
          <w:bCs w:val="0"/>
          <w:sz w:val="24"/>
          <w:szCs w:val="24"/>
          <w:lang w:eastAsia="ru-RU"/>
        </w:rPr>
        <w:t>39), Basarabeasca – 10,0% (1localitate din 10), Leova – 10% (4 localități din 40), Taraclia – 11,5%</w:t>
      </w:r>
      <w:r w:rsidR="00A24645">
        <w:rPr>
          <w:rFonts w:asciiTheme="majorHAnsi" w:eastAsia="Times New Roman" w:hAnsiTheme="majorHAnsi" w:cstheme="majorHAnsi"/>
          <w:b w:val="0"/>
          <w:bCs w:val="0"/>
          <w:sz w:val="24"/>
          <w:szCs w:val="24"/>
          <w:lang w:eastAsia="ru-RU"/>
        </w:rPr>
        <w:t xml:space="preserve">             </w:t>
      </w:r>
      <w:r w:rsidRPr="008376FC">
        <w:rPr>
          <w:rFonts w:asciiTheme="majorHAnsi" w:eastAsia="Times New Roman" w:hAnsiTheme="majorHAnsi" w:cstheme="majorHAnsi"/>
          <w:b w:val="0"/>
          <w:bCs w:val="0"/>
          <w:sz w:val="24"/>
          <w:szCs w:val="24"/>
          <w:lang w:eastAsia="ru-RU"/>
        </w:rPr>
        <w:t xml:space="preserve"> (3 loca</w:t>
      </w:r>
      <w:r w:rsidR="002E0436" w:rsidRPr="008376FC">
        <w:rPr>
          <w:rFonts w:asciiTheme="majorHAnsi" w:eastAsia="Times New Roman" w:hAnsiTheme="majorHAnsi" w:cstheme="majorHAnsi"/>
          <w:b w:val="0"/>
          <w:bCs w:val="0"/>
          <w:sz w:val="24"/>
          <w:szCs w:val="24"/>
          <w:lang w:eastAsia="ru-RU"/>
        </w:rPr>
        <w:t xml:space="preserve">lități din 26), UTA Găgăuzia </w:t>
      </w:r>
      <w:r w:rsidR="0011652D">
        <w:rPr>
          <w:rFonts w:asciiTheme="majorHAnsi" w:eastAsia="Times New Roman" w:hAnsiTheme="majorHAnsi" w:cstheme="majorHAnsi"/>
          <w:b w:val="0"/>
          <w:bCs w:val="0"/>
          <w:sz w:val="24"/>
          <w:szCs w:val="24"/>
          <w:lang w:eastAsia="ru-RU"/>
        </w:rPr>
        <w:t>–</w:t>
      </w:r>
      <w:r w:rsidR="002E0436" w:rsidRPr="008376FC">
        <w:rPr>
          <w:rFonts w:asciiTheme="majorHAnsi" w:eastAsia="Times New Roman" w:hAnsiTheme="majorHAnsi" w:cstheme="majorHAnsi"/>
          <w:b w:val="0"/>
          <w:bCs w:val="0"/>
          <w:sz w:val="24"/>
          <w:szCs w:val="24"/>
          <w:lang w:eastAsia="ru-RU"/>
        </w:rPr>
        <w:t xml:space="preserve"> </w:t>
      </w:r>
      <w:r w:rsidRPr="008376FC">
        <w:rPr>
          <w:rFonts w:asciiTheme="majorHAnsi" w:eastAsia="Times New Roman" w:hAnsiTheme="majorHAnsi" w:cstheme="majorHAnsi"/>
          <w:b w:val="0"/>
          <w:bCs w:val="0"/>
          <w:sz w:val="24"/>
          <w:szCs w:val="24"/>
          <w:lang w:eastAsia="ru-RU"/>
        </w:rPr>
        <w:t>21,9% (7 localități din 32). La celelalte raio</w:t>
      </w:r>
      <w:r w:rsidR="0011652D">
        <w:rPr>
          <w:rFonts w:asciiTheme="majorHAnsi" w:eastAsia="Times New Roman" w:hAnsiTheme="majorHAnsi" w:cstheme="majorHAnsi"/>
          <w:b w:val="0"/>
          <w:bCs w:val="0"/>
          <w:sz w:val="24"/>
          <w:szCs w:val="24"/>
          <w:lang w:eastAsia="ru-RU"/>
        </w:rPr>
        <w:t>a</w:t>
      </w:r>
      <w:r w:rsidRPr="008376FC">
        <w:rPr>
          <w:rFonts w:asciiTheme="majorHAnsi" w:eastAsia="Times New Roman" w:hAnsiTheme="majorHAnsi" w:cstheme="majorHAnsi"/>
          <w:b w:val="0"/>
          <w:bCs w:val="0"/>
          <w:sz w:val="24"/>
          <w:szCs w:val="24"/>
          <w:lang w:eastAsia="ru-RU"/>
        </w:rPr>
        <w:t xml:space="preserve">ne nivelul de conectare la sistemele de canalizare este sub nivelul mediu pe țară, cel mai jos nivel fiind atestat în </w:t>
      </w:r>
      <w:r w:rsidR="0011652D">
        <w:rPr>
          <w:rFonts w:asciiTheme="majorHAnsi" w:eastAsia="Times New Roman" w:hAnsiTheme="majorHAnsi" w:cstheme="majorHAnsi"/>
          <w:b w:val="0"/>
          <w:bCs w:val="0"/>
          <w:sz w:val="24"/>
          <w:szCs w:val="24"/>
          <w:lang w:eastAsia="ru-RU"/>
        </w:rPr>
        <w:t xml:space="preserve">raionul </w:t>
      </w:r>
      <w:r w:rsidRPr="008376FC">
        <w:rPr>
          <w:rFonts w:asciiTheme="majorHAnsi" w:eastAsia="Times New Roman" w:hAnsiTheme="majorHAnsi" w:cstheme="majorHAnsi"/>
          <w:b w:val="0"/>
          <w:bCs w:val="0"/>
          <w:sz w:val="24"/>
          <w:szCs w:val="24"/>
          <w:lang w:eastAsia="ru-RU"/>
        </w:rPr>
        <w:t xml:space="preserve">Fălești </w:t>
      </w:r>
      <w:r w:rsidR="0011652D">
        <w:rPr>
          <w:rFonts w:asciiTheme="majorHAnsi" w:eastAsia="Times New Roman" w:hAnsiTheme="majorHAnsi" w:cstheme="majorHAnsi"/>
          <w:b w:val="0"/>
          <w:bCs w:val="0"/>
          <w:sz w:val="24"/>
          <w:szCs w:val="24"/>
          <w:lang w:eastAsia="ru-RU"/>
        </w:rPr>
        <w:t>–</w:t>
      </w:r>
      <w:r w:rsidRPr="008376FC">
        <w:rPr>
          <w:rFonts w:asciiTheme="majorHAnsi" w:eastAsia="Times New Roman" w:hAnsiTheme="majorHAnsi" w:cstheme="majorHAnsi"/>
          <w:b w:val="0"/>
          <w:bCs w:val="0"/>
          <w:sz w:val="24"/>
          <w:szCs w:val="24"/>
          <w:lang w:eastAsia="ru-RU"/>
        </w:rPr>
        <w:t>1,3% (1</w:t>
      </w:r>
      <w:r w:rsidR="0011652D">
        <w:rPr>
          <w:rFonts w:asciiTheme="majorHAnsi" w:eastAsia="Times New Roman" w:hAnsiTheme="majorHAnsi" w:cstheme="majorHAnsi"/>
          <w:b w:val="0"/>
          <w:bCs w:val="0"/>
          <w:sz w:val="24"/>
          <w:szCs w:val="24"/>
          <w:lang w:eastAsia="ru-RU"/>
        </w:rPr>
        <w:t xml:space="preserve"> </w:t>
      </w:r>
      <w:r w:rsidRPr="008376FC">
        <w:rPr>
          <w:rFonts w:asciiTheme="majorHAnsi" w:eastAsia="Times New Roman" w:hAnsiTheme="majorHAnsi" w:cstheme="majorHAnsi"/>
          <w:b w:val="0"/>
          <w:bCs w:val="0"/>
          <w:sz w:val="24"/>
          <w:szCs w:val="24"/>
          <w:lang w:eastAsia="ru-RU"/>
        </w:rPr>
        <w:t>localitate din 77). În 7 raioane ale țării (Drochia, Fălăști, Glodeni, Soroca, Rezina, Basarabeasca</w:t>
      </w:r>
      <w:r w:rsidR="0011652D">
        <w:rPr>
          <w:rFonts w:asciiTheme="majorHAnsi" w:eastAsia="Times New Roman" w:hAnsiTheme="majorHAnsi" w:cstheme="majorHAnsi"/>
          <w:b w:val="0"/>
          <w:bCs w:val="0"/>
          <w:sz w:val="24"/>
          <w:szCs w:val="24"/>
          <w:lang w:eastAsia="ru-RU"/>
        </w:rPr>
        <w:t xml:space="preserve"> și</w:t>
      </w:r>
      <w:r w:rsidRPr="008376FC">
        <w:rPr>
          <w:rFonts w:asciiTheme="majorHAnsi" w:eastAsia="Times New Roman" w:hAnsiTheme="majorHAnsi" w:cstheme="majorHAnsi"/>
          <w:b w:val="0"/>
          <w:bCs w:val="0"/>
          <w:sz w:val="24"/>
          <w:szCs w:val="24"/>
          <w:lang w:eastAsia="ru-RU"/>
        </w:rPr>
        <w:t xml:space="preserve"> Cantemir)</w:t>
      </w:r>
      <w:r w:rsidR="0011652D">
        <w:rPr>
          <w:rFonts w:asciiTheme="majorHAnsi" w:eastAsia="Times New Roman" w:hAnsiTheme="majorHAnsi" w:cstheme="majorHAnsi"/>
          <w:b w:val="0"/>
          <w:bCs w:val="0"/>
          <w:sz w:val="24"/>
          <w:szCs w:val="24"/>
          <w:lang w:eastAsia="ru-RU"/>
        </w:rPr>
        <w:t>,</w:t>
      </w:r>
      <w:r w:rsidRPr="008376FC">
        <w:rPr>
          <w:rFonts w:asciiTheme="majorHAnsi" w:eastAsia="Times New Roman" w:hAnsiTheme="majorHAnsi" w:cstheme="majorHAnsi"/>
          <w:b w:val="0"/>
          <w:bCs w:val="0"/>
          <w:sz w:val="24"/>
          <w:szCs w:val="24"/>
          <w:lang w:eastAsia="ru-RU"/>
        </w:rPr>
        <w:t xml:space="preserve"> la sistemele de canalizare sunt conectate doar centrele raionale (orașe).</w:t>
      </w:r>
    </w:p>
    <w:p w:rsidR="005D7A3C" w:rsidRPr="008376FC" w:rsidRDefault="005D7A3C" w:rsidP="00F61756">
      <w:pPr>
        <w:spacing w:before="120" w:after="0" w:line="276" w:lineRule="auto"/>
        <w:jc w:val="right"/>
        <w:rPr>
          <w:rFonts w:asciiTheme="majorHAnsi" w:eastAsia="Times New Roman" w:hAnsiTheme="majorHAnsi" w:cstheme="majorHAnsi"/>
          <w:b w:val="0"/>
          <w:bCs w:val="0"/>
          <w:sz w:val="20"/>
          <w:szCs w:val="20"/>
          <w:lang w:val="ru-RU" w:eastAsia="ru-RU"/>
        </w:rPr>
      </w:pPr>
      <w:r w:rsidRPr="008376FC">
        <w:rPr>
          <w:rFonts w:asciiTheme="majorHAnsi" w:eastAsia="Times New Roman" w:hAnsiTheme="majorHAnsi" w:cstheme="majorHAnsi"/>
          <w:sz w:val="20"/>
          <w:szCs w:val="20"/>
          <w:lang w:eastAsia="ru-RU"/>
        </w:rPr>
        <w:t xml:space="preserve">Figura nr. </w:t>
      </w:r>
      <w:r w:rsidR="00FF1425" w:rsidRPr="008376FC">
        <w:rPr>
          <w:rFonts w:asciiTheme="majorHAnsi" w:eastAsia="Times New Roman" w:hAnsiTheme="majorHAnsi" w:cstheme="majorHAnsi"/>
          <w:sz w:val="20"/>
          <w:szCs w:val="20"/>
          <w:lang w:eastAsia="ru-RU"/>
        </w:rPr>
        <w:t>29</w:t>
      </w:r>
    </w:p>
    <w:p w:rsidR="00BE49FB" w:rsidRPr="008376FC" w:rsidRDefault="00BE49FB" w:rsidP="00F61756">
      <w:pPr>
        <w:spacing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noProof/>
          <w:sz w:val="24"/>
          <w:szCs w:val="24"/>
          <w:lang w:val="ru-RU" w:eastAsia="ru-RU"/>
        </w:rPr>
        <w:drawing>
          <wp:inline distT="0" distB="0" distL="0" distR="0">
            <wp:extent cx="6153150" cy="2282190"/>
            <wp:effectExtent l="19050" t="0" r="19050" b="381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2E0436" w:rsidRDefault="002E0436" w:rsidP="00F61756">
      <w:pPr>
        <w:pStyle w:val="a3"/>
        <w:tabs>
          <w:tab w:val="left" w:pos="0"/>
          <w:tab w:val="left" w:pos="567"/>
          <w:tab w:val="left" w:pos="993"/>
        </w:tabs>
        <w:spacing w:line="276" w:lineRule="auto"/>
        <w:ind w:left="0"/>
        <w:jc w:val="both"/>
        <w:rPr>
          <w:rFonts w:asciiTheme="majorHAnsi" w:hAnsiTheme="majorHAnsi" w:cstheme="majorHAnsi"/>
          <w:lang w:val="en-US"/>
        </w:rPr>
      </w:pPr>
      <w:r w:rsidRPr="00E9038B">
        <w:rPr>
          <w:rFonts w:asciiTheme="majorHAnsi" w:hAnsiTheme="majorHAnsi" w:cstheme="majorHAnsi"/>
          <w:b/>
          <w:i/>
          <w:sz w:val="20"/>
          <w:szCs w:val="20"/>
          <w:lang w:val="en-US"/>
        </w:rPr>
        <w:t>Sursa:</w:t>
      </w:r>
      <w:r w:rsidRPr="00E9038B">
        <w:rPr>
          <w:rFonts w:asciiTheme="majorHAnsi" w:hAnsiTheme="majorHAnsi" w:cstheme="majorHAnsi"/>
          <w:i/>
          <w:sz w:val="20"/>
          <w:szCs w:val="20"/>
          <w:lang w:val="en-US"/>
        </w:rPr>
        <w:t xml:space="preserve"> Date</w:t>
      </w:r>
      <w:r w:rsidR="0011652D">
        <w:rPr>
          <w:rFonts w:asciiTheme="majorHAnsi" w:hAnsiTheme="majorHAnsi" w:cstheme="majorHAnsi"/>
          <w:i/>
          <w:sz w:val="20"/>
          <w:szCs w:val="20"/>
          <w:lang w:val="en-US"/>
        </w:rPr>
        <w:t xml:space="preserve"> oferite de </w:t>
      </w:r>
      <w:r w:rsidRPr="00E9038B">
        <w:rPr>
          <w:rFonts w:asciiTheme="majorHAnsi" w:hAnsiTheme="majorHAnsi" w:cstheme="majorHAnsi"/>
          <w:i/>
          <w:sz w:val="20"/>
          <w:szCs w:val="20"/>
          <w:lang w:val="en-US"/>
        </w:rPr>
        <w:t>BNS.</w:t>
      </w:r>
      <w:r w:rsidR="00724D50">
        <w:rPr>
          <w:rFonts w:asciiTheme="majorHAnsi" w:hAnsiTheme="majorHAnsi" w:cstheme="majorHAnsi"/>
          <w:lang w:val="en-US"/>
        </w:rPr>
        <w:tab/>
      </w:r>
    </w:p>
    <w:p w:rsidR="00724D50" w:rsidRPr="008376FC" w:rsidRDefault="00724D50" w:rsidP="00F61756">
      <w:pPr>
        <w:pStyle w:val="a3"/>
        <w:tabs>
          <w:tab w:val="left" w:pos="567"/>
          <w:tab w:val="left" w:pos="851"/>
          <w:tab w:val="left" w:pos="993"/>
          <w:tab w:val="left" w:pos="3270"/>
        </w:tabs>
        <w:spacing w:line="276" w:lineRule="auto"/>
        <w:ind w:left="0"/>
        <w:jc w:val="both"/>
        <w:rPr>
          <w:rFonts w:asciiTheme="majorHAnsi" w:hAnsiTheme="majorHAnsi" w:cstheme="majorHAnsi"/>
          <w:lang w:val="en-US"/>
        </w:rPr>
      </w:pPr>
    </w:p>
    <w:p w:rsidR="002E0436" w:rsidRPr="008376FC" w:rsidRDefault="00BE49FB" w:rsidP="00F61756">
      <w:pPr>
        <w:pStyle w:val="a3"/>
        <w:numPr>
          <w:ilvl w:val="2"/>
          <w:numId w:val="39"/>
        </w:numPr>
        <w:spacing w:line="276" w:lineRule="auto"/>
        <w:ind w:left="0" w:firstLine="0"/>
        <w:jc w:val="both"/>
        <w:rPr>
          <w:rFonts w:asciiTheme="majorHAnsi" w:hAnsiTheme="majorHAnsi" w:cstheme="majorHAnsi"/>
          <w:b/>
          <w:color w:val="0070C0"/>
          <w:spacing w:val="1"/>
          <w:lang w:val="en-US"/>
        </w:rPr>
      </w:pPr>
      <w:r w:rsidRPr="008376FC">
        <w:rPr>
          <w:rFonts w:asciiTheme="majorHAnsi" w:hAnsiTheme="majorHAnsi" w:cstheme="majorHAnsi"/>
          <w:b/>
          <w:color w:val="0070C0"/>
          <w:spacing w:val="1"/>
          <w:lang w:val="en-US"/>
        </w:rPr>
        <w:t>Numărul localităților din țară conectate la stațiile de tratare a apei este în creștere</w:t>
      </w:r>
      <w:r w:rsidR="0011652D">
        <w:rPr>
          <w:rFonts w:asciiTheme="majorHAnsi" w:hAnsiTheme="majorHAnsi" w:cstheme="majorHAnsi"/>
          <w:b/>
          <w:color w:val="0070C0"/>
          <w:spacing w:val="1"/>
          <w:lang w:val="en-US"/>
        </w:rPr>
        <w:t>,</w:t>
      </w:r>
      <w:r w:rsidRPr="008376FC">
        <w:rPr>
          <w:rFonts w:asciiTheme="majorHAnsi" w:hAnsiTheme="majorHAnsi" w:cstheme="majorHAnsi"/>
          <w:b/>
          <w:color w:val="0070C0"/>
          <w:spacing w:val="1"/>
          <w:lang w:val="en-US"/>
        </w:rPr>
        <w:t xml:space="preserve"> de la 39  în anul 2016 la</w:t>
      </w:r>
      <w:r w:rsidR="00294D64" w:rsidRPr="008376FC">
        <w:rPr>
          <w:rFonts w:asciiTheme="majorHAnsi" w:hAnsiTheme="majorHAnsi" w:cstheme="majorHAnsi"/>
          <w:b/>
          <w:color w:val="0070C0"/>
          <w:spacing w:val="1"/>
          <w:lang w:val="en-US"/>
        </w:rPr>
        <w:t xml:space="preserve"> 67 de localități în anul 2021</w:t>
      </w:r>
      <w:r w:rsidR="0011652D">
        <w:rPr>
          <w:rFonts w:asciiTheme="majorHAnsi" w:hAnsiTheme="majorHAnsi" w:cstheme="majorHAnsi"/>
          <w:b/>
          <w:color w:val="0070C0"/>
          <w:spacing w:val="1"/>
          <w:lang w:val="en-US"/>
        </w:rPr>
        <w:t>.</w:t>
      </w:r>
    </w:p>
    <w:p w:rsidR="002E0436" w:rsidRPr="008376FC" w:rsidRDefault="002E0436" w:rsidP="00F61756">
      <w:pPr>
        <w:spacing w:after="0" w:line="276" w:lineRule="auto"/>
        <w:jc w:val="both"/>
        <w:rPr>
          <w:rFonts w:asciiTheme="majorHAnsi" w:hAnsiTheme="majorHAnsi" w:cstheme="majorHAnsi"/>
          <w:spacing w:val="1"/>
          <w:lang w:val="en-US"/>
        </w:rPr>
      </w:pPr>
    </w:p>
    <w:p w:rsidR="00BE49FB" w:rsidRPr="008376FC" w:rsidRDefault="00BE49FB" w:rsidP="00F61756">
      <w:pPr>
        <w:spacing w:after="0" w:line="276" w:lineRule="auto"/>
        <w:jc w:val="both"/>
        <w:rPr>
          <w:rFonts w:asciiTheme="majorHAnsi" w:hAnsiTheme="majorHAnsi" w:cstheme="majorHAnsi"/>
          <w:b w:val="0"/>
          <w:spacing w:val="1"/>
          <w:sz w:val="24"/>
          <w:szCs w:val="24"/>
        </w:rPr>
      </w:pPr>
      <w:r w:rsidRPr="008376FC">
        <w:rPr>
          <w:rFonts w:asciiTheme="majorHAnsi" w:hAnsiTheme="majorHAnsi" w:cstheme="majorHAnsi"/>
          <w:b w:val="0"/>
          <w:spacing w:val="1"/>
          <w:sz w:val="24"/>
          <w:szCs w:val="24"/>
        </w:rPr>
        <w:t>Cel mai înalt nivel de conectare la stațiile de tratare a apei îl are raionul Basarabeasca (60%), urmat de UTA Găgăuzia (28,1%), Strășeni (10,3%). În mun. Bălți, raioanele Drochia, Fălești, S</w:t>
      </w:r>
      <w:r w:rsidR="0011652D">
        <w:rPr>
          <w:rFonts w:asciiTheme="majorHAnsi" w:hAnsiTheme="majorHAnsi" w:cstheme="majorHAnsi"/>
          <w:b w:val="0"/>
          <w:spacing w:val="1"/>
          <w:sz w:val="24"/>
          <w:szCs w:val="24"/>
        </w:rPr>
        <w:t>â</w:t>
      </w:r>
      <w:r w:rsidRPr="008376FC">
        <w:rPr>
          <w:rFonts w:asciiTheme="majorHAnsi" w:hAnsiTheme="majorHAnsi" w:cstheme="majorHAnsi"/>
          <w:b w:val="0"/>
          <w:spacing w:val="1"/>
          <w:sz w:val="24"/>
          <w:szCs w:val="24"/>
        </w:rPr>
        <w:t>ngerei, Ialoveni și Cimișlia</w:t>
      </w:r>
      <w:r w:rsidR="0011652D">
        <w:rPr>
          <w:rFonts w:asciiTheme="majorHAnsi" w:hAnsiTheme="majorHAnsi" w:cstheme="majorHAnsi"/>
          <w:b w:val="0"/>
          <w:spacing w:val="1"/>
          <w:sz w:val="24"/>
          <w:szCs w:val="24"/>
        </w:rPr>
        <w:t>,</w:t>
      </w:r>
      <w:r w:rsidRPr="008376FC">
        <w:rPr>
          <w:rFonts w:asciiTheme="majorHAnsi" w:hAnsiTheme="majorHAnsi" w:cstheme="majorHAnsi"/>
          <w:b w:val="0"/>
          <w:spacing w:val="1"/>
          <w:sz w:val="24"/>
          <w:szCs w:val="24"/>
        </w:rPr>
        <w:t xml:space="preserve"> la stațiile de tratare a apei nu este conectată nicio localitate. La celelalte raioane</w:t>
      </w:r>
      <w:r w:rsidR="0011652D">
        <w:rPr>
          <w:rFonts w:asciiTheme="majorHAnsi" w:hAnsiTheme="majorHAnsi" w:cstheme="majorHAnsi"/>
          <w:b w:val="0"/>
          <w:spacing w:val="1"/>
          <w:sz w:val="24"/>
          <w:szCs w:val="24"/>
        </w:rPr>
        <w:t>,</w:t>
      </w:r>
      <w:r w:rsidRPr="008376FC">
        <w:rPr>
          <w:rFonts w:asciiTheme="majorHAnsi" w:hAnsiTheme="majorHAnsi" w:cstheme="majorHAnsi"/>
          <w:b w:val="0"/>
          <w:spacing w:val="1"/>
          <w:sz w:val="24"/>
          <w:szCs w:val="24"/>
        </w:rPr>
        <w:t xml:space="preserve"> nivelul de conectare </w:t>
      </w:r>
      <w:r w:rsidR="0011652D">
        <w:rPr>
          <w:rFonts w:asciiTheme="majorHAnsi" w:hAnsiTheme="majorHAnsi" w:cstheme="majorHAnsi"/>
          <w:b w:val="0"/>
          <w:spacing w:val="1"/>
          <w:sz w:val="24"/>
          <w:szCs w:val="24"/>
        </w:rPr>
        <w:t>este</w:t>
      </w:r>
      <w:r w:rsidRPr="008376FC">
        <w:rPr>
          <w:rFonts w:asciiTheme="majorHAnsi" w:hAnsiTheme="majorHAnsi" w:cstheme="majorHAnsi"/>
          <w:b w:val="0"/>
          <w:spacing w:val="1"/>
          <w:sz w:val="24"/>
          <w:szCs w:val="24"/>
        </w:rPr>
        <w:t xml:space="preserve"> sub 10%: mun. Chișinău (8,6%), </w:t>
      </w:r>
      <w:r w:rsidR="0011652D">
        <w:rPr>
          <w:rFonts w:asciiTheme="majorHAnsi" w:hAnsiTheme="majorHAnsi" w:cstheme="majorHAnsi"/>
          <w:b w:val="0"/>
          <w:spacing w:val="1"/>
          <w:sz w:val="24"/>
          <w:szCs w:val="24"/>
        </w:rPr>
        <w:t xml:space="preserve">raioanele </w:t>
      </w:r>
      <w:r w:rsidRPr="008376FC">
        <w:rPr>
          <w:rFonts w:asciiTheme="majorHAnsi" w:hAnsiTheme="majorHAnsi" w:cstheme="majorHAnsi"/>
          <w:b w:val="0"/>
          <w:spacing w:val="1"/>
          <w:sz w:val="24"/>
          <w:szCs w:val="24"/>
        </w:rPr>
        <w:t xml:space="preserve">Dondușeni (10%), Florești (9,5%), Șoldănești (9,1%), Nisporeni (7,7%) etc. </w:t>
      </w:r>
    </w:p>
    <w:p w:rsidR="00BE49FB" w:rsidRPr="00214F0C" w:rsidRDefault="00BE49FB" w:rsidP="00827362">
      <w:pPr>
        <w:spacing w:after="0" w:line="240" w:lineRule="auto"/>
        <w:jc w:val="right"/>
        <w:rPr>
          <w:rFonts w:asciiTheme="majorHAnsi" w:eastAsia="Times New Roman" w:hAnsiTheme="majorHAnsi" w:cstheme="majorHAnsi"/>
          <w:bCs w:val="0"/>
          <w:spacing w:val="1"/>
          <w:sz w:val="20"/>
          <w:szCs w:val="20"/>
        </w:rPr>
      </w:pPr>
      <w:r w:rsidRPr="00214F0C">
        <w:rPr>
          <w:rFonts w:asciiTheme="majorHAnsi" w:eastAsia="Times New Roman" w:hAnsiTheme="majorHAnsi" w:cstheme="majorHAnsi"/>
          <w:bCs w:val="0"/>
          <w:spacing w:val="1"/>
          <w:sz w:val="20"/>
          <w:szCs w:val="20"/>
        </w:rPr>
        <w:t>Figura nr.</w:t>
      </w:r>
      <w:r w:rsidR="00FF1425" w:rsidRPr="00214F0C">
        <w:rPr>
          <w:rFonts w:asciiTheme="majorHAnsi" w:eastAsia="Times New Roman" w:hAnsiTheme="majorHAnsi" w:cstheme="majorHAnsi"/>
          <w:bCs w:val="0"/>
          <w:spacing w:val="1"/>
          <w:sz w:val="20"/>
          <w:szCs w:val="20"/>
        </w:rPr>
        <w:t>30</w:t>
      </w:r>
    </w:p>
    <w:p w:rsidR="00E9038B" w:rsidRPr="008376FC" w:rsidRDefault="00983223" w:rsidP="00827362">
      <w:pPr>
        <w:spacing w:after="0" w:line="240" w:lineRule="auto"/>
        <w:jc w:val="right"/>
        <w:rPr>
          <w:rFonts w:asciiTheme="majorHAnsi" w:eastAsia="Times New Roman" w:hAnsiTheme="majorHAnsi" w:cstheme="majorHAnsi"/>
          <w:bCs w:val="0"/>
          <w:spacing w:val="1"/>
          <w:sz w:val="24"/>
          <w:szCs w:val="24"/>
        </w:rPr>
      </w:pPr>
      <w:r w:rsidRPr="00214F0C">
        <w:rPr>
          <w:rFonts w:asciiTheme="majorHAnsi" w:eastAsia="Times New Roman" w:hAnsiTheme="majorHAnsi" w:cstheme="majorHAnsi"/>
          <w:noProof/>
          <w:sz w:val="20"/>
          <w:szCs w:val="20"/>
          <w:lang w:val="ru-RU" w:eastAsia="ru-RU"/>
        </w:rPr>
        <w:drawing>
          <wp:anchor distT="0" distB="0" distL="114300" distR="114300" simplePos="0" relativeHeight="251655168" behindDoc="0" locked="0" layoutInCell="1" allowOverlap="1">
            <wp:simplePos x="0" y="0"/>
            <wp:positionH relativeFrom="margin">
              <wp:posOffset>-113030</wp:posOffset>
            </wp:positionH>
            <wp:positionV relativeFrom="paragraph">
              <wp:posOffset>236855</wp:posOffset>
            </wp:positionV>
            <wp:extent cx="6267450" cy="2244725"/>
            <wp:effectExtent l="0" t="0" r="0" b="3175"/>
            <wp:wrapTopAndBottom/>
            <wp:docPr id="1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V relativeFrom="margin">
              <wp14:pctHeight>0</wp14:pctHeight>
            </wp14:sizeRelV>
          </wp:anchor>
        </w:drawing>
      </w:r>
    </w:p>
    <w:p w:rsidR="00BE37CD" w:rsidRPr="00E9038B" w:rsidRDefault="00BE37CD" w:rsidP="00827362">
      <w:pPr>
        <w:pStyle w:val="a3"/>
        <w:ind w:left="0"/>
        <w:jc w:val="both"/>
        <w:rPr>
          <w:rFonts w:asciiTheme="majorHAnsi" w:hAnsiTheme="majorHAnsi" w:cstheme="majorHAnsi"/>
          <w:i/>
          <w:sz w:val="20"/>
          <w:szCs w:val="20"/>
          <w:lang w:val="en-US"/>
        </w:rPr>
      </w:pPr>
      <w:r w:rsidRPr="00E9038B">
        <w:rPr>
          <w:rFonts w:asciiTheme="majorHAnsi" w:hAnsiTheme="majorHAnsi" w:cstheme="majorHAnsi"/>
          <w:b/>
          <w:i/>
          <w:sz w:val="20"/>
          <w:szCs w:val="20"/>
          <w:lang w:val="en-US"/>
        </w:rPr>
        <w:t>Sursa:</w:t>
      </w:r>
      <w:r w:rsidRPr="00E9038B">
        <w:rPr>
          <w:rFonts w:asciiTheme="majorHAnsi" w:hAnsiTheme="majorHAnsi" w:cstheme="majorHAnsi"/>
          <w:i/>
          <w:sz w:val="20"/>
          <w:szCs w:val="20"/>
          <w:lang w:val="en-US"/>
        </w:rPr>
        <w:t xml:space="preserve"> Date</w:t>
      </w:r>
      <w:r w:rsidR="0011652D" w:rsidRPr="00E9038B">
        <w:rPr>
          <w:rFonts w:asciiTheme="majorHAnsi" w:hAnsiTheme="majorHAnsi" w:cstheme="majorHAnsi"/>
          <w:i/>
          <w:sz w:val="20"/>
          <w:szCs w:val="20"/>
          <w:lang w:val="en-US"/>
        </w:rPr>
        <w:t xml:space="preserve"> oferite de</w:t>
      </w:r>
      <w:r w:rsidRPr="00E9038B">
        <w:rPr>
          <w:rFonts w:asciiTheme="majorHAnsi" w:hAnsiTheme="majorHAnsi" w:cstheme="majorHAnsi"/>
          <w:i/>
          <w:sz w:val="20"/>
          <w:szCs w:val="20"/>
          <w:lang w:val="en-US"/>
        </w:rPr>
        <w:t xml:space="preserve"> BNS.</w:t>
      </w:r>
    </w:p>
    <w:p w:rsidR="00BE37CD" w:rsidRPr="008376FC" w:rsidRDefault="00BE37CD" w:rsidP="00F61756">
      <w:pPr>
        <w:pStyle w:val="a3"/>
        <w:spacing w:line="276" w:lineRule="auto"/>
        <w:ind w:left="0"/>
        <w:jc w:val="both"/>
        <w:rPr>
          <w:rFonts w:asciiTheme="majorHAnsi" w:hAnsiTheme="majorHAnsi" w:cstheme="majorHAnsi"/>
          <w:b/>
          <w:lang w:val="en-US"/>
        </w:rPr>
      </w:pPr>
    </w:p>
    <w:p w:rsidR="0088086E" w:rsidRDefault="0063716B" w:rsidP="00F61756">
      <w:pPr>
        <w:pStyle w:val="a3"/>
        <w:numPr>
          <w:ilvl w:val="2"/>
          <w:numId w:val="39"/>
        </w:numPr>
        <w:spacing w:line="276" w:lineRule="auto"/>
        <w:ind w:left="0" w:firstLine="0"/>
        <w:jc w:val="both"/>
        <w:rPr>
          <w:rFonts w:asciiTheme="majorHAnsi" w:hAnsiTheme="majorHAnsi" w:cstheme="majorHAnsi"/>
          <w:b/>
          <w:lang w:val="en-US"/>
        </w:rPr>
      </w:pPr>
      <w:r>
        <w:rPr>
          <w:rFonts w:asciiTheme="majorHAnsi" w:hAnsiTheme="majorHAnsi" w:cstheme="majorHAnsi"/>
          <w:b/>
          <w:lang w:val="en-US"/>
        </w:rPr>
        <w:t xml:space="preserve"> </w:t>
      </w:r>
      <w:r w:rsidR="00BE49FB" w:rsidRPr="008376FC">
        <w:rPr>
          <w:rFonts w:asciiTheme="majorHAnsi" w:hAnsiTheme="majorHAnsi" w:cstheme="majorHAnsi"/>
          <w:b/>
          <w:lang w:val="en-US"/>
        </w:rPr>
        <w:t xml:space="preserve">Numărul localităților conectate la stațiile de epurare a apelor uzate este în creștere, de la 63 în 2016 la 80 de </w:t>
      </w:r>
      <w:r w:rsidR="00BE49FB" w:rsidRPr="00E9038B">
        <w:rPr>
          <w:rFonts w:asciiTheme="majorHAnsi" w:hAnsiTheme="majorHAnsi" w:cstheme="majorHAnsi"/>
          <w:b/>
          <w:lang w:val="en-US"/>
        </w:rPr>
        <w:t>localități</w:t>
      </w:r>
      <w:r w:rsidR="0011652D" w:rsidRPr="00E9038B">
        <w:rPr>
          <w:rFonts w:asciiTheme="majorHAnsi" w:hAnsiTheme="majorHAnsi" w:cstheme="majorHAnsi"/>
          <w:b/>
          <w:lang w:val="en-US"/>
        </w:rPr>
        <w:t xml:space="preserve"> în anul</w:t>
      </w:r>
      <w:r w:rsidR="0011652D">
        <w:rPr>
          <w:rFonts w:asciiTheme="majorHAnsi" w:hAnsiTheme="majorHAnsi" w:cstheme="majorHAnsi"/>
          <w:b/>
          <w:lang w:val="en-US"/>
        </w:rPr>
        <w:t xml:space="preserve"> 2021</w:t>
      </w:r>
      <w:r w:rsidR="00BE49FB" w:rsidRPr="008376FC">
        <w:rPr>
          <w:rFonts w:asciiTheme="majorHAnsi" w:hAnsiTheme="majorHAnsi" w:cstheme="majorHAnsi"/>
          <w:b/>
          <w:lang w:val="en-US"/>
        </w:rPr>
        <w:t xml:space="preserve">. </w:t>
      </w:r>
    </w:p>
    <w:p w:rsidR="00B842EA" w:rsidRPr="008376FC" w:rsidRDefault="00BE49FB" w:rsidP="00F61756">
      <w:pPr>
        <w:pStyle w:val="a3"/>
        <w:spacing w:line="276" w:lineRule="auto"/>
        <w:ind w:left="0"/>
        <w:jc w:val="both"/>
        <w:rPr>
          <w:rFonts w:asciiTheme="majorHAnsi" w:hAnsiTheme="majorHAnsi" w:cstheme="majorHAnsi"/>
          <w:spacing w:val="1"/>
          <w:lang w:val="en-US"/>
        </w:rPr>
      </w:pPr>
      <w:r w:rsidRPr="008376FC">
        <w:rPr>
          <w:rFonts w:asciiTheme="majorHAnsi" w:hAnsiTheme="majorHAnsi" w:cstheme="majorHAnsi"/>
          <w:spacing w:val="1"/>
          <w:lang w:val="en-US"/>
        </w:rPr>
        <w:t>Cel mai înalt nivel de conectare a populației la stațiile de epurare a apelor uzate se atestă în mun. Bălți (66,7%), urmat de mun. Chișinău (25,7%), Călărași (13,6%), UTA Găgăuzia (12,5%), câte 10% fiecare din raioanele Dondușeni, Basarabeasca, Leova. În raioanele Glodeni, Soroca, Dubăsari, Ialoveni și  Rezina</w:t>
      </w:r>
      <w:r w:rsidR="0011652D">
        <w:rPr>
          <w:rFonts w:asciiTheme="majorHAnsi" w:hAnsiTheme="majorHAnsi" w:cstheme="majorHAnsi"/>
          <w:spacing w:val="1"/>
          <w:lang w:val="en-US"/>
        </w:rPr>
        <w:t>,</w:t>
      </w:r>
      <w:r w:rsidRPr="008376FC">
        <w:rPr>
          <w:rFonts w:asciiTheme="majorHAnsi" w:hAnsiTheme="majorHAnsi" w:cstheme="majorHAnsi"/>
          <w:spacing w:val="1"/>
          <w:lang w:val="en-US"/>
        </w:rPr>
        <w:t xml:space="preserve"> nicio localitate nu este conectată la stațiile de epurare a apelor uzate. În celelalte raioane</w:t>
      </w:r>
      <w:r w:rsidR="0011652D">
        <w:rPr>
          <w:rFonts w:asciiTheme="majorHAnsi" w:hAnsiTheme="majorHAnsi" w:cstheme="majorHAnsi"/>
          <w:spacing w:val="1"/>
          <w:lang w:val="en-US"/>
        </w:rPr>
        <w:t>,</w:t>
      </w:r>
      <w:r w:rsidRPr="008376FC">
        <w:rPr>
          <w:rFonts w:asciiTheme="majorHAnsi" w:hAnsiTheme="majorHAnsi" w:cstheme="majorHAnsi"/>
          <w:spacing w:val="1"/>
          <w:lang w:val="en-US"/>
        </w:rPr>
        <w:t xml:space="preserve"> numărul localităților conecta</w:t>
      </w:r>
      <w:r w:rsidR="0011652D">
        <w:rPr>
          <w:rFonts w:asciiTheme="majorHAnsi" w:hAnsiTheme="majorHAnsi" w:cstheme="majorHAnsi"/>
          <w:spacing w:val="1"/>
          <w:lang w:val="en-US"/>
        </w:rPr>
        <w:t>t</w:t>
      </w:r>
      <w:r w:rsidRPr="008376FC">
        <w:rPr>
          <w:rFonts w:asciiTheme="majorHAnsi" w:hAnsiTheme="majorHAnsi" w:cstheme="majorHAnsi"/>
          <w:spacing w:val="1"/>
          <w:lang w:val="en-US"/>
        </w:rPr>
        <w:t>e la stațiile de epurare a apelor uzate este sub 10%.</w:t>
      </w:r>
    </w:p>
    <w:p w:rsidR="00BE37CD" w:rsidRPr="008376FC" w:rsidRDefault="00BE37CD" w:rsidP="00827362">
      <w:pPr>
        <w:pStyle w:val="a3"/>
        <w:spacing w:line="276" w:lineRule="auto"/>
        <w:ind w:left="0"/>
        <w:jc w:val="right"/>
        <w:rPr>
          <w:rFonts w:asciiTheme="majorHAnsi" w:hAnsiTheme="majorHAnsi" w:cstheme="majorHAnsi"/>
          <w:spacing w:val="1"/>
          <w:sz w:val="20"/>
          <w:szCs w:val="20"/>
          <w:lang w:val="en-US"/>
        </w:rPr>
      </w:pPr>
      <w:r w:rsidRPr="008376FC">
        <w:rPr>
          <w:rFonts w:asciiTheme="majorHAnsi" w:hAnsiTheme="majorHAnsi" w:cstheme="majorHAnsi"/>
          <w:b/>
          <w:bCs/>
          <w:spacing w:val="1"/>
          <w:sz w:val="20"/>
          <w:szCs w:val="20"/>
          <w:lang w:val="ro-RO"/>
        </w:rPr>
        <w:t xml:space="preserve">                                                                                                                                         Figura nr. 3</w:t>
      </w:r>
      <w:r w:rsidR="00FF1425" w:rsidRPr="008376FC">
        <w:rPr>
          <w:rFonts w:asciiTheme="majorHAnsi" w:hAnsiTheme="majorHAnsi" w:cstheme="majorHAnsi"/>
          <w:b/>
          <w:bCs/>
          <w:spacing w:val="1"/>
          <w:sz w:val="20"/>
          <w:szCs w:val="20"/>
          <w:lang w:val="ro-RO"/>
        </w:rPr>
        <w:t>1</w:t>
      </w:r>
    </w:p>
    <w:p w:rsidR="00BE49FB" w:rsidRPr="008376FC" w:rsidRDefault="00BE49FB" w:rsidP="00F61756">
      <w:pPr>
        <w:spacing w:line="276" w:lineRule="auto"/>
        <w:jc w:val="both"/>
        <w:rPr>
          <w:rFonts w:asciiTheme="majorHAnsi" w:eastAsia="Times New Roman" w:hAnsiTheme="majorHAnsi" w:cstheme="majorHAnsi"/>
          <w:b w:val="0"/>
          <w:bCs w:val="0"/>
          <w:spacing w:val="1"/>
          <w:sz w:val="24"/>
          <w:szCs w:val="24"/>
        </w:rPr>
      </w:pPr>
      <w:r w:rsidRPr="008376FC">
        <w:rPr>
          <w:rFonts w:asciiTheme="majorHAnsi" w:eastAsia="Times New Roman" w:hAnsiTheme="majorHAnsi" w:cstheme="majorHAnsi"/>
          <w:noProof/>
          <w:sz w:val="24"/>
          <w:szCs w:val="24"/>
          <w:lang w:val="ru-RU" w:eastAsia="ru-RU"/>
        </w:rPr>
        <w:drawing>
          <wp:inline distT="0" distB="0" distL="0" distR="0">
            <wp:extent cx="6153150" cy="2139461"/>
            <wp:effectExtent l="0" t="0" r="0" b="13335"/>
            <wp:docPr id="34"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1652D" w:rsidRPr="00A675D5" w:rsidRDefault="0011652D" w:rsidP="00F61756">
      <w:pPr>
        <w:pStyle w:val="a3"/>
        <w:spacing w:line="276" w:lineRule="auto"/>
        <w:ind w:left="0"/>
        <w:jc w:val="both"/>
        <w:rPr>
          <w:rFonts w:asciiTheme="majorHAnsi" w:hAnsiTheme="majorHAnsi" w:cstheme="majorHAnsi"/>
          <w:i/>
          <w:sz w:val="20"/>
          <w:szCs w:val="20"/>
          <w:lang w:val="en-US"/>
        </w:rPr>
      </w:pPr>
      <w:r w:rsidRPr="00A675D5">
        <w:rPr>
          <w:rFonts w:asciiTheme="majorHAnsi" w:hAnsiTheme="majorHAnsi" w:cstheme="majorHAnsi"/>
          <w:b/>
          <w:i/>
          <w:sz w:val="20"/>
          <w:szCs w:val="20"/>
          <w:lang w:val="en-US"/>
        </w:rPr>
        <w:t>Sursa:</w:t>
      </w:r>
      <w:r w:rsidRPr="00A675D5">
        <w:rPr>
          <w:rFonts w:asciiTheme="majorHAnsi" w:hAnsiTheme="majorHAnsi" w:cstheme="majorHAnsi"/>
          <w:i/>
          <w:sz w:val="20"/>
          <w:szCs w:val="20"/>
          <w:lang w:val="en-US"/>
        </w:rPr>
        <w:t xml:space="preserve"> Date oferite de BNS.</w:t>
      </w:r>
    </w:p>
    <w:p w:rsidR="005C113C" w:rsidRPr="008376FC" w:rsidRDefault="005C113C" w:rsidP="00F61756">
      <w:pPr>
        <w:pStyle w:val="a3"/>
        <w:spacing w:line="276" w:lineRule="auto"/>
        <w:ind w:left="1440"/>
        <w:jc w:val="both"/>
        <w:rPr>
          <w:rFonts w:asciiTheme="majorHAnsi" w:eastAsia="Calibri" w:hAnsiTheme="majorHAnsi" w:cstheme="majorHAnsi"/>
          <w:b/>
          <w:color w:val="0070C0"/>
          <w:shd w:val="clear" w:color="auto" w:fill="FFFFFF"/>
          <w:lang w:val="en-US"/>
        </w:rPr>
      </w:pPr>
    </w:p>
    <w:p w:rsidR="00BE49FB" w:rsidRPr="008376FC" w:rsidRDefault="00FA1856" w:rsidP="00F61756">
      <w:pPr>
        <w:pStyle w:val="a3"/>
        <w:spacing w:line="276" w:lineRule="auto"/>
        <w:ind w:left="0"/>
        <w:jc w:val="both"/>
        <w:rPr>
          <w:rFonts w:asciiTheme="majorHAnsi" w:eastAsia="Calibri" w:hAnsiTheme="majorHAnsi" w:cstheme="majorHAnsi"/>
          <w:b/>
          <w:color w:val="0070C0"/>
          <w:shd w:val="clear" w:color="auto" w:fill="FFFFFF"/>
          <w:lang w:val="en-US"/>
        </w:rPr>
      </w:pPr>
      <w:r w:rsidRPr="008376FC">
        <w:rPr>
          <w:rFonts w:asciiTheme="majorHAnsi" w:eastAsia="Calibri" w:hAnsiTheme="majorHAnsi" w:cstheme="majorHAnsi"/>
          <w:b/>
          <w:color w:val="0070C0"/>
          <w:shd w:val="clear" w:color="auto" w:fill="FFFFFF"/>
          <w:lang w:val="en-US"/>
        </w:rPr>
        <w:t>4.3.</w:t>
      </w:r>
      <w:r w:rsidR="00781C32" w:rsidRPr="008376FC">
        <w:rPr>
          <w:rFonts w:asciiTheme="majorHAnsi" w:eastAsia="Calibri" w:hAnsiTheme="majorHAnsi" w:cstheme="majorHAnsi"/>
          <w:b/>
          <w:color w:val="0070C0"/>
          <w:shd w:val="clear" w:color="auto" w:fill="FFFFFF"/>
          <w:lang w:val="en-US"/>
        </w:rPr>
        <w:t>2</w:t>
      </w:r>
      <w:r w:rsidR="00781C32">
        <w:rPr>
          <w:rFonts w:asciiTheme="majorHAnsi" w:eastAsia="Calibri" w:hAnsiTheme="majorHAnsi" w:cstheme="majorHAnsi"/>
          <w:b/>
          <w:color w:val="0070C0"/>
          <w:shd w:val="clear" w:color="auto" w:fill="FFFFFF"/>
          <w:lang w:val="en-US"/>
        </w:rPr>
        <w:t>1</w:t>
      </w:r>
      <w:r w:rsidR="005C113C" w:rsidRPr="008376FC">
        <w:rPr>
          <w:rFonts w:asciiTheme="majorHAnsi" w:eastAsia="Calibri" w:hAnsiTheme="majorHAnsi" w:cstheme="majorHAnsi"/>
          <w:b/>
          <w:color w:val="0070C0"/>
          <w:shd w:val="clear" w:color="auto" w:fill="FFFFFF"/>
          <w:lang w:val="en-US"/>
        </w:rPr>
        <w:t xml:space="preserve">. </w:t>
      </w:r>
      <w:r w:rsidR="00BE49FB" w:rsidRPr="008376FC">
        <w:rPr>
          <w:rFonts w:asciiTheme="majorHAnsi" w:eastAsia="Calibri" w:hAnsiTheme="majorHAnsi" w:cstheme="majorHAnsi"/>
          <w:b/>
          <w:color w:val="0070C0"/>
          <w:shd w:val="clear" w:color="auto" w:fill="FFFFFF"/>
          <w:lang w:val="en-US"/>
        </w:rPr>
        <w:t xml:space="preserve"> Sistemul de date aferente domeniul</w:t>
      </w:r>
      <w:r w:rsidR="0011652D">
        <w:rPr>
          <w:rFonts w:asciiTheme="majorHAnsi" w:eastAsia="Calibri" w:hAnsiTheme="majorHAnsi" w:cstheme="majorHAnsi"/>
          <w:b/>
          <w:color w:val="0070C0"/>
          <w:shd w:val="clear" w:color="auto" w:fill="FFFFFF"/>
          <w:lang w:val="en-US"/>
        </w:rPr>
        <w:t>ui</w:t>
      </w:r>
      <w:r w:rsidR="00BE49FB" w:rsidRPr="008376FC">
        <w:rPr>
          <w:rFonts w:asciiTheme="majorHAnsi" w:eastAsia="Calibri" w:hAnsiTheme="majorHAnsi" w:cstheme="majorHAnsi"/>
          <w:b/>
          <w:color w:val="0070C0"/>
          <w:shd w:val="clear" w:color="auto" w:fill="FFFFFF"/>
          <w:lang w:val="en-US"/>
        </w:rPr>
        <w:t xml:space="preserve"> alimentării cu apă şi sanitație</w:t>
      </w:r>
      <w:r w:rsidR="0011652D">
        <w:rPr>
          <w:rFonts w:asciiTheme="majorHAnsi" w:eastAsia="Calibri" w:hAnsiTheme="majorHAnsi" w:cstheme="majorHAnsi"/>
          <w:b/>
          <w:color w:val="0070C0"/>
          <w:shd w:val="clear" w:color="auto" w:fill="FFFFFF"/>
          <w:lang w:val="en-US"/>
        </w:rPr>
        <w:t>i</w:t>
      </w:r>
      <w:r w:rsidR="00BE49FB" w:rsidRPr="008376FC">
        <w:rPr>
          <w:rFonts w:asciiTheme="majorHAnsi" w:eastAsia="Calibri" w:hAnsiTheme="majorHAnsi" w:cstheme="majorHAnsi"/>
          <w:b/>
          <w:color w:val="0070C0"/>
          <w:shd w:val="clear" w:color="auto" w:fill="FFFFFF"/>
          <w:lang w:val="en-US"/>
        </w:rPr>
        <w:t>, colectat de BNS</w:t>
      </w:r>
      <w:r w:rsidR="00DF2487">
        <w:rPr>
          <w:rFonts w:asciiTheme="majorHAnsi" w:eastAsia="Calibri" w:hAnsiTheme="majorHAnsi" w:cstheme="majorHAnsi"/>
          <w:b/>
          <w:color w:val="0070C0"/>
          <w:shd w:val="clear" w:color="auto" w:fill="FFFFFF"/>
          <w:lang w:val="en-US"/>
        </w:rPr>
        <w:t>,</w:t>
      </w:r>
      <w:r w:rsidR="00BE49FB" w:rsidRPr="008376FC">
        <w:rPr>
          <w:rFonts w:asciiTheme="majorHAnsi" w:eastAsia="Calibri" w:hAnsiTheme="majorHAnsi" w:cstheme="majorHAnsi"/>
          <w:b/>
          <w:color w:val="0070C0"/>
          <w:shd w:val="clear" w:color="auto" w:fill="FFFFFF"/>
          <w:lang w:val="en-US"/>
        </w:rPr>
        <w:t xml:space="preserve"> deși a fost revizuit de mai multe ori, nu acoperă întregul spectru de date relevante și nu asigură plenitudinea lor</w:t>
      </w:r>
      <w:r w:rsidR="00DF2487">
        <w:rPr>
          <w:rFonts w:asciiTheme="majorHAnsi" w:eastAsia="Calibri" w:hAnsiTheme="majorHAnsi" w:cstheme="majorHAnsi"/>
          <w:b/>
          <w:color w:val="0070C0"/>
          <w:shd w:val="clear" w:color="auto" w:fill="FFFFFF"/>
          <w:lang w:val="en-US"/>
        </w:rPr>
        <w:t>.</w:t>
      </w:r>
    </w:p>
    <w:p w:rsidR="00BE49FB" w:rsidRPr="008376FC" w:rsidRDefault="00BE49FB" w:rsidP="00F61756">
      <w:pPr>
        <w:spacing w:before="120" w:after="0" w:line="276" w:lineRule="auto"/>
        <w:jc w:val="both"/>
        <w:rPr>
          <w:rFonts w:asciiTheme="majorHAnsi" w:eastAsia="Calibri" w:hAnsiTheme="majorHAnsi" w:cstheme="majorHAnsi"/>
          <w:b w:val="0"/>
          <w:bCs w:val="0"/>
          <w:sz w:val="24"/>
          <w:szCs w:val="24"/>
          <w:shd w:val="clear" w:color="auto" w:fill="FFFFFF"/>
        </w:rPr>
      </w:pPr>
      <w:r w:rsidRPr="008376FC">
        <w:rPr>
          <w:rFonts w:asciiTheme="majorHAnsi" w:eastAsia="Calibri" w:hAnsiTheme="majorHAnsi" w:cstheme="majorHAnsi"/>
          <w:b w:val="0"/>
          <w:bCs w:val="0"/>
          <w:sz w:val="24"/>
          <w:szCs w:val="24"/>
          <w:shd w:val="clear" w:color="auto" w:fill="FFFFFF"/>
        </w:rPr>
        <w:t>Conform Legii nr.93 din 26.05.2017 cu privire la statistica oficială, organele statistice au dreptul să obțină datele statistice de la toate persoane</w:t>
      </w:r>
      <w:r w:rsidR="009D4ED8">
        <w:rPr>
          <w:rFonts w:asciiTheme="majorHAnsi" w:eastAsia="Calibri" w:hAnsiTheme="majorHAnsi" w:cstheme="majorHAnsi"/>
          <w:b w:val="0"/>
          <w:bCs w:val="0"/>
          <w:sz w:val="24"/>
          <w:szCs w:val="24"/>
          <w:shd w:val="clear" w:color="auto" w:fill="FFFFFF"/>
        </w:rPr>
        <w:t>le</w:t>
      </w:r>
      <w:r w:rsidRPr="008376FC">
        <w:rPr>
          <w:rFonts w:asciiTheme="majorHAnsi" w:eastAsia="Calibri" w:hAnsiTheme="majorHAnsi" w:cstheme="majorHAnsi"/>
          <w:b w:val="0"/>
          <w:bCs w:val="0"/>
          <w:sz w:val="24"/>
          <w:szCs w:val="24"/>
          <w:shd w:val="clear" w:color="auto" w:fill="FFFFFF"/>
        </w:rPr>
        <w:t xml:space="preserve"> fizice sau juridice, indiferent de forma de proprietate, cu asigurarea confidențialității datelor individuale obținute și utilizarea lor numai în scopurile statistice. </w:t>
      </w:r>
    </w:p>
    <w:p w:rsidR="00BE49FB" w:rsidRPr="008376FC" w:rsidRDefault="00BE49FB" w:rsidP="00F61756">
      <w:pPr>
        <w:spacing w:before="120" w:after="0" w:line="276" w:lineRule="auto"/>
        <w:jc w:val="both"/>
        <w:rPr>
          <w:rFonts w:asciiTheme="majorHAnsi" w:eastAsia="Calibri" w:hAnsiTheme="majorHAnsi" w:cstheme="majorHAnsi"/>
          <w:b w:val="0"/>
          <w:bCs w:val="0"/>
          <w:sz w:val="24"/>
          <w:szCs w:val="24"/>
          <w:shd w:val="clear" w:color="auto" w:fill="FFFFFF"/>
        </w:rPr>
      </w:pPr>
      <w:r w:rsidRPr="008376FC">
        <w:rPr>
          <w:rFonts w:asciiTheme="majorHAnsi" w:eastAsia="Calibri" w:hAnsiTheme="majorHAnsi" w:cstheme="majorHAnsi"/>
          <w:b w:val="0"/>
          <w:bCs w:val="0"/>
          <w:sz w:val="24"/>
          <w:szCs w:val="24"/>
          <w:shd w:val="clear" w:color="auto" w:fill="FFFFFF"/>
        </w:rPr>
        <w:t>BNS colectează și diseminează date statistice în domeniul alimentării cu apă şi sanitaţie</w:t>
      </w:r>
      <w:r w:rsidR="009D4ED8">
        <w:rPr>
          <w:rFonts w:asciiTheme="majorHAnsi" w:eastAsia="Calibri" w:hAnsiTheme="majorHAnsi" w:cstheme="majorHAnsi"/>
          <w:b w:val="0"/>
          <w:bCs w:val="0"/>
          <w:sz w:val="24"/>
          <w:szCs w:val="24"/>
          <w:shd w:val="clear" w:color="auto" w:fill="FFFFFF"/>
        </w:rPr>
        <w:t>i</w:t>
      </w:r>
      <w:r w:rsidRPr="008376FC">
        <w:rPr>
          <w:rFonts w:asciiTheme="majorHAnsi" w:eastAsia="Calibri" w:hAnsiTheme="majorHAnsi" w:cstheme="majorHAnsi"/>
          <w:b w:val="0"/>
          <w:bCs w:val="0"/>
          <w:sz w:val="24"/>
          <w:szCs w:val="24"/>
          <w:shd w:val="clear" w:color="auto" w:fill="FFFFFF"/>
        </w:rPr>
        <w:t xml:space="preserve"> prin intermediul Raportului statistic nr.1 Apeduct – canalizare, care este destinat exclusiv colectării informațiilor aferente funcționării sistemelor  publice de alimentare cu apă și canalizare. </w:t>
      </w:r>
    </w:p>
    <w:p w:rsidR="00BE49FB" w:rsidRPr="008376FC" w:rsidRDefault="00BE49FB" w:rsidP="00F61756">
      <w:pPr>
        <w:spacing w:before="120" w:after="0" w:line="276" w:lineRule="auto"/>
        <w:jc w:val="both"/>
        <w:rPr>
          <w:rFonts w:asciiTheme="majorHAnsi" w:eastAsia="Calibri" w:hAnsiTheme="majorHAnsi" w:cstheme="majorHAnsi"/>
          <w:b w:val="0"/>
          <w:bCs w:val="0"/>
          <w:sz w:val="24"/>
          <w:szCs w:val="24"/>
          <w:shd w:val="clear" w:color="auto" w:fill="FFFFFF"/>
        </w:rPr>
      </w:pPr>
      <w:r w:rsidRPr="008376FC">
        <w:rPr>
          <w:rFonts w:asciiTheme="majorHAnsi" w:eastAsia="Calibri" w:hAnsiTheme="majorHAnsi" w:cstheme="majorHAnsi"/>
          <w:b w:val="0"/>
          <w:bCs w:val="0"/>
          <w:sz w:val="24"/>
          <w:szCs w:val="24"/>
          <w:shd w:val="clear" w:color="auto" w:fill="FFFFFF"/>
        </w:rPr>
        <w:t>Rapoartele se prezintă de primăriile și întreprinderile ce dispun de sisteme de alimentare cu apă și de canalizare, ce livrează apă populației și care efectuează colectarea și epurarea apelor uzate, către organele teritoriale de statistică până la 15 februarie</w:t>
      </w:r>
      <w:r w:rsidRPr="008376FC">
        <w:rPr>
          <w:rFonts w:asciiTheme="majorHAnsi" w:eastAsia="Calibri" w:hAnsiTheme="majorHAnsi" w:cstheme="majorHAnsi"/>
          <w:b w:val="0"/>
          <w:bCs w:val="0"/>
          <w:sz w:val="24"/>
          <w:szCs w:val="24"/>
          <w:shd w:val="clear" w:color="auto" w:fill="FFFFFF"/>
          <w:vertAlign w:val="superscript"/>
        </w:rPr>
        <w:footnoteReference w:id="97"/>
      </w:r>
      <w:r w:rsidRPr="008376FC">
        <w:rPr>
          <w:rFonts w:asciiTheme="majorHAnsi" w:eastAsia="Calibri" w:hAnsiTheme="majorHAnsi" w:cstheme="majorHAnsi"/>
          <w:b w:val="0"/>
          <w:bCs w:val="0"/>
          <w:sz w:val="24"/>
          <w:szCs w:val="24"/>
          <w:shd w:val="clear" w:color="auto" w:fill="FFFFFF"/>
        </w:rPr>
        <w:t xml:space="preserve"> a fiecărui an, iar ultimele le prezintă BNS</w:t>
      </w:r>
      <w:r w:rsidR="009D4ED8">
        <w:rPr>
          <w:rFonts w:asciiTheme="majorHAnsi" w:eastAsia="Calibri" w:hAnsiTheme="majorHAnsi" w:cstheme="majorHAnsi"/>
          <w:b w:val="0"/>
          <w:bCs w:val="0"/>
          <w:sz w:val="24"/>
          <w:szCs w:val="24"/>
          <w:shd w:val="clear" w:color="auto" w:fill="FFFFFF"/>
        </w:rPr>
        <w:t>,</w:t>
      </w:r>
      <w:r w:rsidRPr="008376FC">
        <w:rPr>
          <w:rFonts w:asciiTheme="majorHAnsi" w:eastAsia="Calibri" w:hAnsiTheme="majorHAnsi" w:cstheme="majorHAnsi"/>
          <w:b w:val="0"/>
          <w:bCs w:val="0"/>
          <w:sz w:val="24"/>
          <w:szCs w:val="24"/>
          <w:shd w:val="clear" w:color="auto" w:fill="FFFFFF"/>
        </w:rPr>
        <w:t xml:space="preserve"> către 5 martie. Neprezentarea la timp a datelor statistice, prezentarea datelor eronate sau în volum incomplet constituie contravenție și se sancționează conform legislației în vigoare. În perioada 2014-2021</w:t>
      </w:r>
      <w:r w:rsidR="009D4ED8">
        <w:rPr>
          <w:rFonts w:asciiTheme="majorHAnsi" w:eastAsia="Calibri" w:hAnsiTheme="majorHAnsi" w:cstheme="majorHAnsi"/>
          <w:b w:val="0"/>
          <w:bCs w:val="0"/>
          <w:sz w:val="24"/>
          <w:szCs w:val="24"/>
          <w:shd w:val="clear" w:color="auto" w:fill="FFFFFF"/>
        </w:rPr>
        <w:t>,</w:t>
      </w:r>
      <w:r w:rsidRPr="008376FC">
        <w:rPr>
          <w:rFonts w:asciiTheme="majorHAnsi" w:eastAsia="Calibri" w:hAnsiTheme="majorHAnsi" w:cstheme="majorHAnsi"/>
          <w:b w:val="0"/>
          <w:bCs w:val="0"/>
          <w:sz w:val="24"/>
          <w:szCs w:val="24"/>
          <w:shd w:val="clear" w:color="auto" w:fill="FFFFFF"/>
        </w:rPr>
        <w:t xml:space="preserve"> BNS nu a aplicat sancțiuni nici pentru neprezentarea Rapoartelor în termen</w:t>
      </w:r>
      <w:r w:rsidR="009D4ED8">
        <w:rPr>
          <w:rFonts w:asciiTheme="majorHAnsi" w:eastAsia="Calibri" w:hAnsiTheme="majorHAnsi" w:cstheme="majorHAnsi"/>
          <w:b w:val="0"/>
          <w:bCs w:val="0"/>
          <w:sz w:val="24"/>
          <w:szCs w:val="24"/>
          <w:shd w:val="clear" w:color="auto" w:fill="FFFFFF"/>
        </w:rPr>
        <w:t>ele</w:t>
      </w:r>
      <w:r w:rsidRPr="008376FC">
        <w:rPr>
          <w:rFonts w:asciiTheme="majorHAnsi" w:eastAsia="Calibri" w:hAnsiTheme="majorHAnsi" w:cstheme="majorHAnsi"/>
          <w:b w:val="0"/>
          <w:bCs w:val="0"/>
          <w:sz w:val="24"/>
          <w:szCs w:val="24"/>
          <w:shd w:val="clear" w:color="auto" w:fill="FFFFFF"/>
        </w:rPr>
        <w:t xml:space="preserve"> stabili</w:t>
      </w:r>
      <w:r w:rsidR="009D4ED8">
        <w:rPr>
          <w:rFonts w:asciiTheme="majorHAnsi" w:eastAsia="Calibri" w:hAnsiTheme="majorHAnsi" w:cstheme="majorHAnsi"/>
          <w:b w:val="0"/>
          <w:bCs w:val="0"/>
          <w:sz w:val="24"/>
          <w:szCs w:val="24"/>
          <w:shd w:val="clear" w:color="auto" w:fill="FFFFFF"/>
        </w:rPr>
        <w:t>te</w:t>
      </w:r>
      <w:r w:rsidRPr="008376FC">
        <w:rPr>
          <w:rFonts w:asciiTheme="majorHAnsi" w:eastAsia="Calibri" w:hAnsiTheme="majorHAnsi" w:cstheme="majorHAnsi"/>
          <w:b w:val="0"/>
          <w:bCs w:val="0"/>
          <w:sz w:val="24"/>
          <w:szCs w:val="24"/>
          <w:shd w:val="clear" w:color="auto" w:fill="FFFFFF"/>
        </w:rPr>
        <w:t>, nici pentru prezentarea datelor în volum incomplet.</w:t>
      </w:r>
    </w:p>
    <w:p w:rsidR="00BE49FB" w:rsidRPr="008376FC" w:rsidRDefault="00BE49FB" w:rsidP="00F61756">
      <w:pPr>
        <w:spacing w:before="120" w:after="0" w:line="276" w:lineRule="auto"/>
        <w:jc w:val="both"/>
        <w:rPr>
          <w:rFonts w:asciiTheme="majorHAnsi" w:eastAsia="Calibri" w:hAnsiTheme="majorHAnsi" w:cstheme="majorHAnsi"/>
          <w:b w:val="0"/>
          <w:bCs w:val="0"/>
          <w:sz w:val="24"/>
          <w:szCs w:val="24"/>
          <w:shd w:val="clear" w:color="auto" w:fill="FFFFFF"/>
        </w:rPr>
      </w:pPr>
      <w:r w:rsidRPr="008376FC">
        <w:rPr>
          <w:rFonts w:asciiTheme="majorHAnsi" w:eastAsia="Calibri" w:hAnsiTheme="majorHAnsi" w:cstheme="majorHAnsi"/>
          <w:b w:val="0"/>
          <w:bCs w:val="0"/>
          <w:sz w:val="24"/>
          <w:szCs w:val="24"/>
          <w:shd w:val="clear" w:color="auto" w:fill="FFFFFF"/>
        </w:rPr>
        <w:t xml:space="preserve">Analiza componenței indicatorilor și plenitudinii informațiilor incluse în Rapoartele statistice nr.1 Apeduct – canalizare </w:t>
      </w:r>
      <w:r w:rsidR="009D4ED8">
        <w:rPr>
          <w:rFonts w:asciiTheme="majorHAnsi" w:eastAsia="Calibri" w:hAnsiTheme="majorHAnsi" w:cstheme="majorHAnsi"/>
          <w:b w:val="0"/>
          <w:bCs w:val="0"/>
          <w:sz w:val="24"/>
          <w:szCs w:val="24"/>
          <w:shd w:val="clear" w:color="auto" w:fill="FFFFFF"/>
        </w:rPr>
        <w:t>relevă</w:t>
      </w:r>
      <w:r w:rsidRPr="008376FC">
        <w:rPr>
          <w:rFonts w:asciiTheme="majorHAnsi" w:eastAsia="Calibri" w:hAnsiTheme="majorHAnsi" w:cstheme="majorHAnsi"/>
          <w:b w:val="0"/>
          <w:bCs w:val="0"/>
          <w:sz w:val="24"/>
          <w:szCs w:val="24"/>
          <w:shd w:val="clear" w:color="auto" w:fill="FFFFFF"/>
        </w:rPr>
        <w:t xml:space="preserve"> unele deficiențe, care se prezintă mai jos. </w:t>
      </w:r>
    </w:p>
    <w:p w:rsidR="00BE49FB" w:rsidRPr="008376FC" w:rsidRDefault="009D4ED8" w:rsidP="00F61756">
      <w:pPr>
        <w:numPr>
          <w:ilvl w:val="0"/>
          <w:numId w:val="12"/>
        </w:numPr>
        <w:spacing w:before="120" w:after="0" w:line="276" w:lineRule="auto"/>
        <w:ind w:left="0" w:firstLine="0"/>
        <w:contextualSpacing/>
        <w:jc w:val="both"/>
        <w:rPr>
          <w:rFonts w:asciiTheme="majorHAnsi" w:eastAsia="Calibri" w:hAnsiTheme="majorHAnsi" w:cstheme="majorHAnsi"/>
          <w:bCs w:val="0"/>
          <w:sz w:val="24"/>
          <w:szCs w:val="24"/>
          <w:shd w:val="clear" w:color="auto" w:fill="FFFFFF"/>
        </w:rPr>
      </w:pPr>
      <w:r>
        <w:rPr>
          <w:rFonts w:asciiTheme="majorHAnsi" w:eastAsia="Calibri" w:hAnsiTheme="majorHAnsi" w:cstheme="majorHAnsi"/>
          <w:bCs w:val="0"/>
          <w:sz w:val="24"/>
          <w:szCs w:val="24"/>
          <w:shd w:val="clear" w:color="auto" w:fill="FFFFFF"/>
        </w:rPr>
        <w:t>R</w:t>
      </w:r>
      <w:r w:rsidR="00BE49FB" w:rsidRPr="008376FC">
        <w:rPr>
          <w:rFonts w:asciiTheme="majorHAnsi" w:eastAsia="Calibri" w:hAnsiTheme="majorHAnsi" w:cstheme="majorHAnsi"/>
          <w:bCs w:val="0"/>
          <w:sz w:val="24"/>
          <w:szCs w:val="24"/>
          <w:shd w:val="clear" w:color="auto" w:fill="FFFFFF"/>
        </w:rPr>
        <w:t>evizuirea de mai multe ori a sistemului de indicatori inclus în Raportul statistic nr.1 Apeduct – canalizare</w:t>
      </w:r>
    </w:p>
    <w:p w:rsidR="00BE49FB" w:rsidRPr="008376FC" w:rsidRDefault="00BE49FB" w:rsidP="00F61756">
      <w:pPr>
        <w:spacing w:before="120" w:after="0" w:line="276" w:lineRule="auto"/>
        <w:jc w:val="both"/>
        <w:rPr>
          <w:rFonts w:asciiTheme="majorHAnsi" w:eastAsia="Calibri" w:hAnsiTheme="majorHAnsi" w:cstheme="majorHAnsi"/>
          <w:b w:val="0"/>
          <w:bCs w:val="0"/>
          <w:sz w:val="24"/>
          <w:szCs w:val="24"/>
          <w:shd w:val="clear" w:color="auto" w:fill="FFFFFF"/>
        </w:rPr>
      </w:pPr>
      <w:r w:rsidRPr="008376FC">
        <w:rPr>
          <w:rFonts w:asciiTheme="majorHAnsi" w:eastAsia="Calibri" w:hAnsiTheme="majorHAnsi" w:cstheme="majorHAnsi"/>
          <w:b w:val="0"/>
          <w:bCs w:val="0"/>
          <w:sz w:val="24"/>
          <w:szCs w:val="24"/>
          <w:shd w:val="clear" w:color="auto" w:fill="FFFFFF"/>
        </w:rPr>
        <w:t>Conform informațiilor BNS, în anul 2014 a fost revizuită metodologia de colectare a datelor privind activitatea întreprinderilor, instituţiilor care dispun de sisteme de alimentare cu apă şi canalizare, fiind extinsă sfera de cuprindere şi unitatea de referință a acestora. Astfel, începând cu anul 2014, întreprinderile, deținătoare/gestionare a sistemelor de alimentare cu apă și canalizare, raportează informațiile aferente la nivel de localitate deservită. Sistemul de indicatori a fost revizuit de mai multe ori, și la finele anului 2021 acesta include</w:t>
      </w:r>
      <w:r w:rsidR="009D4ED8">
        <w:rPr>
          <w:rFonts w:asciiTheme="majorHAnsi" w:eastAsia="Calibri" w:hAnsiTheme="majorHAnsi" w:cstheme="majorHAnsi"/>
          <w:b w:val="0"/>
          <w:bCs w:val="0"/>
          <w:sz w:val="24"/>
          <w:szCs w:val="24"/>
          <w:shd w:val="clear" w:color="auto" w:fill="FFFFFF"/>
        </w:rPr>
        <w:t>a</w:t>
      </w:r>
      <w:r w:rsidRPr="008376FC">
        <w:rPr>
          <w:rFonts w:asciiTheme="majorHAnsi" w:eastAsia="Calibri" w:hAnsiTheme="majorHAnsi" w:cstheme="majorHAnsi"/>
          <w:b w:val="0"/>
          <w:bCs w:val="0"/>
          <w:sz w:val="24"/>
          <w:szCs w:val="24"/>
          <w:shd w:val="clear" w:color="auto" w:fill="FFFFFF"/>
        </w:rPr>
        <w:t xml:space="preserve"> pentru sistemele de alimentare cu apă 18 indicatori</w:t>
      </w:r>
      <w:r w:rsidR="009D4ED8">
        <w:rPr>
          <w:rFonts w:asciiTheme="majorHAnsi" w:eastAsia="Calibri" w:hAnsiTheme="majorHAnsi" w:cstheme="majorHAnsi"/>
          <w:b w:val="0"/>
          <w:bCs w:val="0"/>
          <w:sz w:val="24"/>
          <w:szCs w:val="24"/>
          <w:shd w:val="clear" w:color="auto" w:fill="FFFFFF"/>
        </w:rPr>
        <w:t>,</w:t>
      </w:r>
      <w:r w:rsidRPr="008376FC">
        <w:rPr>
          <w:rFonts w:asciiTheme="majorHAnsi" w:eastAsia="Calibri" w:hAnsiTheme="majorHAnsi" w:cstheme="majorHAnsi"/>
          <w:b w:val="0"/>
          <w:bCs w:val="0"/>
          <w:sz w:val="24"/>
          <w:szCs w:val="24"/>
          <w:shd w:val="clear" w:color="auto" w:fill="FFFFFF"/>
        </w:rPr>
        <w:t xml:space="preserve"> și pentru sistemele de canalizare – 14 indicatori.</w:t>
      </w:r>
    </w:p>
    <w:p w:rsidR="00BE49FB" w:rsidRPr="008376FC" w:rsidRDefault="00BE49FB" w:rsidP="00214F0C">
      <w:pPr>
        <w:spacing w:after="0" w:line="276" w:lineRule="auto"/>
        <w:jc w:val="right"/>
        <w:rPr>
          <w:rFonts w:asciiTheme="majorHAnsi" w:eastAsia="Calibri" w:hAnsiTheme="majorHAnsi" w:cstheme="majorHAnsi"/>
          <w:bCs w:val="0"/>
          <w:sz w:val="24"/>
          <w:szCs w:val="24"/>
          <w:shd w:val="clear" w:color="auto" w:fill="FFFFFF"/>
        </w:rPr>
      </w:pPr>
      <w:r w:rsidRPr="008376FC">
        <w:rPr>
          <w:rFonts w:asciiTheme="majorHAnsi" w:eastAsia="Calibri" w:hAnsiTheme="majorHAnsi" w:cstheme="majorHAnsi"/>
          <w:bCs w:val="0"/>
          <w:sz w:val="20"/>
          <w:szCs w:val="20"/>
          <w:shd w:val="clear" w:color="auto" w:fill="FFFFFF"/>
        </w:rPr>
        <w:t>Figura</w:t>
      </w:r>
      <w:r w:rsidR="00ED2CE9" w:rsidRPr="008376FC">
        <w:rPr>
          <w:rFonts w:asciiTheme="majorHAnsi" w:eastAsia="Calibri" w:hAnsiTheme="majorHAnsi" w:cstheme="majorHAnsi"/>
          <w:bCs w:val="0"/>
          <w:sz w:val="20"/>
          <w:szCs w:val="20"/>
          <w:shd w:val="clear" w:color="auto" w:fill="FFFFFF"/>
        </w:rPr>
        <w:t xml:space="preserve"> nr.</w:t>
      </w:r>
      <w:r w:rsidR="005C113C" w:rsidRPr="008376FC">
        <w:rPr>
          <w:rFonts w:asciiTheme="majorHAnsi" w:eastAsia="Calibri" w:hAnsiTheme="majorHAnsi" w:cstheme="majorHAnsi"/>
          <w:bCs w:val="0"/>
          <w:sz w:val="20"/>
          <w:szCs w:val="20"/>
          <w:shd w:val="clear" w:color="auto" w:fill="FFFFFF"/>
        </w:rPr>
        <w:t>3</w:t>
      </w:r>
      <w:r w:rsidR="00FF1425" w:rsidRPr="008376FC">
        <w:rPr>
          <w:rFonts w:asciiTheme="majorHAnsi" w:eastAsia="Calibri" w:hAnsiTheme="majorHAnsi" w:cstheme="majorHAnsi"/>
          <w:bCs w:val="0"/>
          <w:sz w:val="20"/>
          <w:szCs w:val="20"/>
          <w:shd w:val="clear" w:color="auto" w:fill="FFFFFF"/>
        </w:rPr>
        <w:t>2</w:t>
      </w:r>
    </w:p>
    <w:p w:rsidR="00BE49FB" w:rsidRPr="008376FC" w:rsidRDefault="00BE49FB" w:rsidP="00F61756">
      <w:pPr>
        <w:spacing w:after="0" w:line="276" w:lineRule="auto"/>
        <w:jc w:val="both"/>
        <w:rPr>
          <w:rFonts w:asciiTheme="majorHAnsi" w:eastAsia="Calibri" w:hAnsiTheme="majorHAnsi" w:cstheme="majorHAnsi"/>
          <w:b w:val="0"/>
          <w:bCs w:val="0"/>
          <w:sz w:val="24"/>
          <w:szCs w:val="24"/>
          <w:shd w:val="clear" w:color="auto" w:fill="FFFFFF"/>
        </w:rPr>
      </w:pPr>
      <w:r w:rsidRPr="008376FC">
        <w:rPr>
          <w:rFonts w:asciiTheme="majorHAnsi" w:eastAsia="Calibri" w:hAnsiTheme="majorHAnsi" w:cstheme="majorHAnsi"/>
          <w:b w:val="0"/>
          <w:bCs w:val="0"/>
          <w:noProof/>
          <w:sz w:val="24"/>
          <w:szCs w:val="24"/>
          <w:shd w:val="clear" w:color="auto" w:fill="FFFFFF"/>
          <w:lang w:val="ru-RU" w:eastAsia="ru-RU"/>
        </w:rPr>
        <w:drawing>
          <wp:inline distT="0" distB="0" distL="0" distR="0">
            <wp:extent cx="6115050" cy="1348153"/>
            <wp:effectExtent l="0" t="0" r="0" b="4445"/>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9D4ED8" w:rsidRPr="00A675D5" w:rsidRDefault="009D4ED8" w:rsidP="00F61756">
      <w:pPr>
        <w:pStyle w:val="a3"/>
        <w:spacing w:line="276" w:lineRule="auto"/>
        <w:ind w:left="0"/>
        <w:jc w:val="both"/>
        <w:rPr>
          <w:rFonts w:asciiTheme="majorHAnsi" w:hAnsiTheme="majorHAnsi" w:cstheme="majorHAnsi"/>
          <w:i/>
          <w:sz w:val="20"/>
          <w:szCs w:val="20"/>
          <w:lang w:val="en-US"/>
        </w:rPr>
      </w:pPr>
      <w:r w:rsidRPr="00A675D5">
        <w:rPr>
          <w:rFonts w:asciiTheme="majorHAnsi" w:hAnsiTheme="majorHAnsi" w:cstheme="majorHAnsi"/>
          <w:b/>
          <w:i/>
          <w:sz w:val="20"/>
          <w:szCs w:val="20"/>
          <w:lang w:val="en-US"/>
        </w:rPr>
        <w:t>Sursa:</w:t>
      </w:r>
      <w:r w:rsidRPr="00A675D5">
        <w:rPr>
          <w:rFonts w:asciiTheme="majorHAnsi" w:hAnsiTheme="majorHAnsi" w:cstheme="majorHAnsi"/>
          <w:i/>
          <w:sz w:val="20"/>
          <w:szCs w:val="20"/>
          <w:lang w:val="en-US"/>
        </w:rPr>
        <w:t xml:space="preserve"> Date oferite de BNS.</w:t>
      </w:r>
    </w:p>
    <w:p w:rsidR="00BE49FB" w:rsidRPr="008376FC" w:rsidRDefault="00BE49FB" w:rsidP="00F61756">
      <w:pPr>
        <w:spacing w:after="0" w:line="276" w:lineRule="auto"/>
        <w:jc w:val="both"/>
        <w:rPr>
          <w:rFonts w:asciiTheme="majorHAnsi" w:eastAsia="Calibri" w:hAnsiTheme="majorHAnsi" w:cstheme="majorHAnsi"/>
          <w:b w:val="0"/>
          <w:bCs w:val="0"/>
          <w:sz w:val="24"/>
          <w:szCs w:val="24"/>
          <w:shd w:val="clear" w:color="auto" w:fill="FFFFFF"/>
        </w:rPr>
      </w:pPr>
    </w:p>
    <w:p w:rsidR="00E0066E" w:rsidRDefault="00BE49FB" w:rsidP="00F61756">
      <w:pPr>
        <w:spacing w:before="120" w:after="0" w:line="276" w:lineRule="auto"/>
        <w:jc w:val="both"/>
        <w:rPr>
          <w:rFonts w:asciiTheme="majorHAnsi" w:eastAsia="Calibri" w:hAnsiTheme="majorHAnsi" w:cstheme="majorHAnsi"/>
          <w:b w:val="0"/>
          <w:bCs w:val="0"/>
          <w:sz w:val="24"/>
          <w:szCs w:val="24"/>
          <w:shd w:val="clear" w:color="auto" w:fill="FFFFFF"/>
        </w:rPr>
      </w:pPr>
      <w:r w:rsidRPr="008376FC">
        <w:rPr>
          <w:rFonts w:asciiTheme="majorHAnsi" w:eastAsia="Calibri" w:hAnsiTheme="majorHAnsi" w:cstheme="majorHAnsi"/>
          <w:b w:val="0"/>
          <w:bCs w:val="0"/>
          <w:sz w:val="24"/>
          <w:szCs w:val="24"/>
          <w:shd w:val="clear" w:color="auto" w:fill="FFFFFF"/>
        </w:rPr>
        <w:t>Datele din figură denotă că, în an</w:t>
      </w:r>
      <w:r w:rsidR="009D4ED8">
        <w:rPr>
          <w:rFonts w:asciiTheme="majorHAnsi" w:eastAsia="Calibri" w:hAnsiTheme="majorHAnsi" w:cstheme="majorHAnsi"/>
          <w:b w:val="0"/>
          <w:bCs w:val="0"/>
          <w:sz w:val="24"/>
          <w:szCs w:val="24"/>
          <w:shd w:val="clear" w:color="auto" w:fill="FFFFFF"/>
        </w:rPr>
        <w:t>ii</w:t>
      </w:r>
      <w:r w:rsidRPr="008376FC">
        <w:rPr>
          <w:rFonts w:asciiTheme="majorHAnsi" w:eastAsia="Calibri" w:hAnsiTheme="majorHAnsi" w:cstheme="majorHAnsi"/>
          <w:b w:val="0"/>
          <w:bCs w:val="0"/>
          <w:sz w:val="24"/>
          <w:szCs w:val="24"/>
          <w:shd w:val="clear" w:color="auto" w:fill="FFFFFF"/>
        </w:rPr>
        <w:t xml:space="preserve"> 2019 și 2021 sistemul de indicatori a fost revizuit, </w:t>
      </w:r>
      <w:r w:rsidR="009D4ED8">
        <w:rPr>
          <w:rFonts w:asciiTheme="majorHAnsi" w:eastAsia="Calibri" w:hAnsiTheme="majorHAnsi" w:cstheme="majorHAnsi"/>
          <w:b w:val="0"/>
          <w:bCs w:val="0"/>
          <w:sz w:val="24"/>
          <w:szCs w:val="24"/>
          <w:shd w:val="clear" w:color="auto" w:fill="FFFFFF"/>
        </w:rPr>
        <w:t xml:space="preserve">o </w:t>
      </w:r>
      <w:r w:rsidRPr="008376FC">
        <w:rPr>
          <w:rFonts w:asciiTheme="majorHAnsi" w:eastAsia="Calibri" w:hAnsiTheme="majorHAnsi" w:cstheme="majorHAnsi"/>
          <w:b w:val="0"/>
          <w:bCs w:val="0"/>
          <w:sz w:val="24"/>
          <w:szCs w:val="24"/>
          <w:shd w:val="clear" w:color="auto" w:fill="FFFFFF"/>
        </w:rPr>
        <w:t>mare parte d</w:t>
      </w:r>
      <w:r w:rsidR="009D4ED8">
        <w:rPr>
          <w:rFonts w:asciiTheme="majorHAnsi" w:eastAsia="Calibri" w:hAnsiTheme="majorHAnsi" w:cstheme="majorHAnsi"/>
          <w:b w:val="0"/>
          <w:bCs w:val="0"/>
          <w:sz w:val="24"/>
          <w:szCs w:val="24"/>
          <w:shd w:val="clear" w:color="auto" w:fill="FFFFFF"/>
        </w:rPr>
        <w:t>in</w:t>
      </w:r>
      <w:r w:rsidRPr="008376FC">
        <w:rPr>
          <w:rFonts w:asciiTheme="majorHAnsi" w:eastAsia="Calibri" w:hAnsiTheme="majorHAnsi" w:cstheme="majorHAnsi"/>
          <w:b w:val="0"/>
          <w:bCs w:val="0"/>
          <w:sz w:val="24"/>
          <w:szCs w:val="24"/>
          <w:shd w:val="clear" w:color="auto" w:fill="FFFFFF"/>
        </w:rPr>
        <w:t xml:space="preserve"> indicatori</w:t>
      </w:r>
      <w:r w:rsidR="009D4ED8">
        <w:rPr>
          <w:rFonts w:asciiTheme="majorHAnsi" w:eastAsia="Calibri" w:hAnsiTheme="majorHAnsi" w:cstheme="majorHAnsi"/>
          <w:b w:val="0"/>
          <w:bCs w:val="0"/>
          <w:sz w:val="24"/>
          <w:szCs w:val="24"/>
          <w:shd w:val="clear" w:color="auto" w:fill="FFFFFF"/>
        </w:rPr>
        <w:t>i</w:t>
      </w:r>
      <w:r w:rsidRPr="008376FC">
        <w:rPr>
          <w:rFonts w:asciiTheme="majorHAnsi" w:eastAsia="Calibri" w:hAnsiTheme="majorHAnsi" w:cstheme="majorHAnsi"/>
          <w:b w:val="0"/>
          <w:bCs w:val="0"/>
          <w:sz w:val="24"/>
          <w:szCs w:val="24"/>
          <w:shd w:val="clear" w:color="auto" w:fill="FFFFFF"/>
        </w:rPr>
        <w:t xml:space="preserve"> colectați în anii 2014-2018 fiind excluși. De menționat că, începând cu anul 2021</w:t>
      </w:r>
      <w:r w:rsidR="009D4ED8">
        <w:rPr>
          <w:rFonts w:asciiTheme="majorHAnsi" w:eastAsia="Calibri" w:hAnsiTheme="majorHAnsi" w:cstheme="majorHAnsi"/>
          <w:b w:val="0"/>
          <w:bCs w:val="0"/>
          <w:sz w:val="24"/>
          <w:szCs w:val="24"/>
          <w:shd w:val="clear" w:color="auto" w:fill="FFFFFF"/>
        </w:rPr>
        <w:t>,</w:t>
      </w:r>
      <w:r w:rsidRPr="008376FC">
        <w:rPr>
          <w:rFonts w:asciiTheme="majorHAnsi" w:eastAsia="Calibri" w:hAnsiTheme="majorHAnsi" w:cstheme="majorHAnsi"/>
          <w:b w:val="0"/>
          <w:bCs w:val="0"/>
          <w:sz w:val="24"/>
          <w:szCs w:val="24"/>
          <w:shd w:val="clear" w:color="auto" w:fill="FFFFFF"/>
        </w:rPr>
        <w:t xml:space="preserve"> indicatorul „Numărul populației conectate la sistemul de alimentare cu apă” </w:t>
      </w:r>
      <w:r w:rsidR="00E0066E" w:rsidRPr="008376FC">
        <w:rPr>
          <w:rFonts w:asciiTheme="majorHAnsi" w:eastAsia="Calibri" w:hAnsiTheme="majorHAnsi" w:cstheme="majorHAnsi"/>
          <w:b w:val="0"/>
          <w:bCs w:val="0"/>
          <w:sz w:val="24"/>
          <w:szCs w:val="24"/>
          <w:shd w:val="clear" w:color="auto" w:fill="FFFFFF"/>
        </w:rPr>
        <w:t>și</w:t>
      </w:r>
      <w:r w:rsidRPr="008376FC">
        <w:rPr>
          <w:rFonts w:asciiTheme="majorHAnsi" w:eastAsia="Calibri" w:hAnsiTheme="majorHAnsi" w:cstheme="majorHAnsi"/>
          <w:b w:val="0"/>
          <w:bCs w:val="0"/>
          <w:sz w:val="24"/>
          <w:szCs w:val="24"/>
          <w:shd w:val="clear" w:color="auto" w:fill="FFFFFF"/>
        </w:rPr>
        <w:t xml:space="preserve"> indicatorul „Numărul populației conectate la sistemul de canalizare”</w:t>
      </w:r>
      <w:r w:rsidR="00E0066E" w:rsidRPr="008376FC">
        <w:rPr>
          <w:rFonts w:asciiTheme="majorHAnsi" w:eastAsia="Calibri" w:hAnsiTheme="majorHAnsi" w:cstheme="majorHAnsi"/>
          <w:b w:val="0"/>
          <w:bCs w:val="0"/>
          <w:sz w:val="24"/>
          <w:szCs w:val="24"/>
          <w:shd w:val="clear" w:color="auto" w:fill="FFFFFF"/>
        </w:rPr>
        <w:t xml:space="preserve"> au fost exclu</w:t>
      </w:r>
      <w:r w:rsidR="008238B4">
        <w:rPr>
          <w:rFonts w:asciiTheme="majorHAnsi" w:eastAsia="Calibri" w:hAnsiTheme="majorHAnsi" w:cstheme="majorHAnsi"/>
          <w:b w:val="0"/>
          <w:bCs w:val="0"/>
          <w:sz w:val="24"/>
          <w:szCs w:val="24"/>
          <w:shd w:val="clear" w:color="auto" w:fill="FFFFFF"/>
        </w:rPr>
        <w:t>și</w:t>
      </w:r>
      <w:r w:rsidR="00E0066E" w:rsidRPr="008376FC">
        <w:rPr>
          <w:rFonts w:asciiTheme="majorHAnsi" w:eastAsia="Calibri" w:hAnsiTheme="majorHAnsi" w:cstheme="majorHAnsi"/>
          <w:b w:val="0"/>
          <w:bCs w:val="0"/>
          <w:sz w:val="24"/>
          <w:szCs w:val="24"/>
          <w:shd w:val="clear" w:color="auto" w:fill="FFFFFF"/>
        </w:rPr>
        <w:t xml:space="preserve"> din Formularul statistic nr.1, fiind inc</w:t>
      </w:r>
      <w:r w:rsidR="00F97F0B">
        <w:rPr>
          <w:rFonts w:asciiTheme="majorHAnsi" w:eastAsia="Calibri" w:hAnsiTheme="majorHAnsi" w:cstheme="majorHAnsi"/>
          <w:b w:val="0"/>
          <w:bCs w:val="0"/>
          <w:sz w:val="24"/>
          <w:szCs w:val="24"/>
          <w:shd w:val="clear" w:color="auto" w:fill="FFFFFF"/>
        </w:rPr>
        <w:t>l</w:t>
      </w:r>
      <w:r w:rsidR="00E0066E" w:rsidRPr="008376FC">
        <w:rPr>
          <w:rFonts w:asciiTheme="majorHAnsi" w:eastAsia="Calibri" w:hAnsiTheme="majorHAnsi" w:cstheme="majorHAnsi"/>
          <w:b w:val="0"/>
          <w:bCs w:val="0"/>
          <w:sz w:val="24"/>
          <w:szCs w:val="24"/>
          <w:shd w:val="clear" w:color="auto" w:fill="FFFFFF"/>
        </w:rPr>
        <w:t>u</w:t>
      </w:r>
      <w:r w:rsidR="008238B4">
        <w:rPr>
          <w:rFonts w:asciiTheme="majorHAnsi" w:eastAsia="Calibri" w:hAnsiTheme="majorHAnsi" w:cstheme="majorHAnsi"/>
          <w:b w:val="0"/>
          <w:bCs w:val="0"/>
          <w:sz w:val="24"/>
          <w:szCs w:val="24"/>
          <w:shd w:val="clear" w:color="auto" w:fill="FFFFFF"/>
        </w:rPr>
        <w:t>și</w:t>
      </w:r>
      <w:r w:rsidR="00E0066E" w:rsidRPr="008376FC">
        <w:rPr>
          <w:rFonts w:asciiTheme="majorHAnsi" w:eastAsia="Calibri" w:hAnsiTheme="majorHAnsi" w:cstheme="majorHAnsi"/>
          <w:b w:val="0"/>
          <w:bCs w:val="0"/>
          <w:sz w:val="24"/>
          <w:szCs w:val="24"/>
          <w:shd w:val="clear" w:color="auto" w:fill="FFFFFF"/>
        </w:rPr>
        <w:t xml:space="preserve"> în Cercet</w:t>
      </w:r>
      <w:r w:rsidR="008238B4">
        <w:rPr>
          <w:rFonts w:asciiTheme="majorHAnsi" w:eastAsia="Calibri" w:hAnsiTheme="majorHAnsi" w:cstheme="majorHAnsi"/>
          <w:b w:val="0"/>
          <w:bCs w:val="0"/>
          <w:sz w:val="24"/>
          <w:szCs w:val="24"/>
          <w:shd w:val="clear" w:color="auto" w:fill="FFFFFF"/>
        </w:rPr>
        <w:t>area</w:t>
      </w:r>
      <w:r w:rsidR="00E0066E" w:rsidRPr="008376FC">
        <w:rPr>
          <w:rFonts w:asciiTheme="majorHAnsi" w:eastAsia="Calibri" w:hAnsiTheme="majorHAnsi" w:cstheme="majorHAnsi"/>
          <w:b w:val="0"/>
          <w:bCs w:val="0"/>
          <w:sz w:val="24"/>
          <w:szCs w:val="24"/>
          <w:shd w:val="clear" w:color="auto" w:fill="FFFFFF"/>
        </w:rPr>
        <w:t xml:space="preserve"> Bugetelor Gospodăriilor Casnice</w:t>
      </w:r>
      <w:r w:rsidR="000415E7" w:rsidRPr="008376FC">
        <w:rPr>
          <w:rFonts w:asciiTheme="majorHAnsi" w:eastAsia="Calibri" w:hAnsiTheme="majorHAnsi" w:cstheme="majorHAnsi"/>
          <w:b w:val="0"/>
          <w:bCs w:val="0"/>
          <w:sz w:val="24"/>
          <w:szCs w:val="24"/>
          <w:shd w:val="clear" w:color="auto" w:fill="FFFFFF"/>
        </w:rPr>
        <w:t>, care se efectu</w:t>
      </w:r>
      <w:r w:rsidR="008238B4">
        <w:rPr>
          <w:rFonts w:asciiTheme="majorHAnsi" w:eastAsia="Calibri" w:hAnsiTheme="majorHAnsi" w:cstheme="majorHAnsi"/>
          <w:b w:val="0"/>
          <w:bCs w:val="0"/>
          <w:sz w:val="24"/>
          <w:szCs w:val="24"/>
          <w:shd w:val="clear" w:color="auto" w:fill="FFFFFF"/>
        </w:rPr>
        <w:t>e</w:t>
      </w:r>
      <w:r w:rsidR="000415E7" w:rsidRPr="008376FC">
        <w:rPr>
          <w:rFonts w:asciiTheme="majorHAnsi" w:eastAsia="Calibri" w:hAnsiTheme="majorHAnsi" w:cstheme="majorHAnsi"/>
          <w:b w:val="0"/>
          <w:bCs w:val="0"/>
          <w:sz w:val="24"/>
          <w:szCs w:val="24"/>
          <w:shd w:val="clear" w:color="auto" w:fill="FFFFFF"/>
        </w:rPr>
        <w:t xml:space="preserve">ază anual. </w:t>
      </w:r>
      <w:r w:rsidR="00E0066E" w:rsidRPr="008376FC">
        <w:rPr>
          <w:rFonts w:asciiTheme="majorHAnsi" w:eastAsia="Calibri" w:hAnsiTheme="majorHAnsi" w:cstheme="majorHAnsi"/>
          <w:b w:val="0"/>
          <w:bCs w:val="0"/>
          <w:sz w:val="24"/>
          <w:szCs w:val="24"/>
          <w:shd w:val="clear" w:color="auto" w:fill="FFFFFF"/>
        </w:rPr>
        <w:t xml:space="preserve"> </w:t>
      </w:r>
    </w:p>
    <w:p w:rsidR="00827362" w:rsidRPr="008376FC" w:rsidRDefault="00827362" w:rsidP="00F61756">
      <w:pPr>
        <w:spacing w:before="120" w:after="0" w:line="276" w:lineRule="auto"/>
        <w:jc w:val="both"/>
        <w:rPr>
          <w:rFonts w:asciiTheme="majorHAnsi" w:eastAsia="Calibri" w:hAnsiTheme="majorHAnsi" w:cstheme="majorHAnsi"/>
          <w:b w:val="0"/>
          <w:bCs w:val="0"/>
          <w:sz w:val="24"/>
          <w:szCs w:val="24"/>
          <w:shd w:val="clear" w:color="auto" w:fill="FFFFFF"/>
        </w:rPr>
      </w:pPr>
    </w:p>
    <w:tbl>
      <w:tblPr>
        <w:tblStyle w:val="TableGrid4"/>
        <w:tblW w:w="0" w:type="auto"/>
        <w:tblLook w:val="04A0" w:firstRow="1" w:lastRow="0" w:firstColumn="1" w:lastColumn="0" w:noHBand="0" w:noVBand="1"/>
      </w:tblPr>
      <w:tblGrid>
        <w:gridCol w:w="9678"/>
      </w:tblGrid>
      <w:tr w:rsidR="00BE49FB" w:rsidRPr="008376FC" w:rsidTr="00EE6630">
        <w:tc>
          <w:tcPr>
            <w:tcW w:w="9905" w:type="dxa"/>
            <w:shd w:val="clear" w:color="auto" w:fill="auto"/>
          </w:tcPr>
          <w:p w:rsidR="00BE49FB" w:rsidRPr="008376FC" w:rsidRDefault="00BE49FB" w:rsidP="00F61756">
            <w:pPr>
              <w:spacing w:line="276" w:lineRule="auto"/>
              <w:rPr>
                <w:rFonts w:asciiTheme="majorHAnsi" w:eastAsia="Calibri" w:hAnsiTheme="majorHAnsi" w:cstheme="majorHAnsi"/>
                <w:b w:val="0"/>
                <w:bCs w:val="0"/>
                <w:sz w:val="24"/>
                <w:szCs w:val="24"/>
                <w:shd w:val="clear" w:color="auto" w:fill="FFFFFF"/>
              </w:rPr>
            </w:pPr>
            <w:r w:rsidRPr="008376FC">
              <w:rPr>
                <w:rFonts w:asciiTheme="majorHAnsi" w:eastAsia="Calibri" w:hAnsiTheme="majorHAnsi" w:cstheme="majorHAnsi"/>
                <w:bCs w:val="0"/>
                <w:sz w:val="24"/>
                <w:szCs w:val="24"/>
                <w:shd w:val="clear" w:color="auto" w:fill="FFFFFF"/>
              </w:rPr>
              <w:t>Nota nr.</w:t>
            </w:r>
            <w:r w:rsidR="002C6378" w:rsidRPr="008376FC">
              <w:rPr>
                <w:rFonts w:asciiTheme="majorHAnsi" w:eastAsia="Calibri" w:hAnsiTheme="majorHAnsi" w:cstheme="majorHAnsi"/>
                <w:bCs w:val="0"/>
                <w:sz w:val="24"/>
                <w:szCs w:val="24"/>
                <w:shd w:val="clear" w:color="auto" w:fill="FFFFFF"/>
              </w:rPr>
              <w:t>4</w:t>
            </w:r>
            <w:r w:rsidRPr="008376FC">
              <w:rPr>
                <w:rFonts w:asciiTheme="majorHAnsi" w:eastAsia="Calibri" w:hAnsiTheme="majorHAnsi" w:cstheme="majorHAnsi"/>
                <w:bCs w:val="0"/>
                <w:sz w:val="24"/>
                <w:szCs w:val="24"/>
                <w:shd w:val="clear" w:color="auto" w:fill="FFFFFF"/>
              </w:rPr>
              <w:t>:</w:t>
            </w:r>
            <w:r w:rsidRPr="008376FC">
              <w:rPr>
                <w:rFonts w:asciiTheme="majorHAnsi" w:eastAsia="Calibri" w:hAnsiTheme="majorHAnsi" w:cstheme="majorHAnsi"/>
                <w:b w:val="0"/>
                <w:bCs w:val="0"/>
                <w:sz w:val="24"/>
                <w:szCs w:val="24"/>
                <w:shd w:val="clear" w:color="auto" w:fill="FFFFFF"/>
              </w:rPr>
              <w:t xml:space="preserve"> Conform explicațiilor responsabililor din cadrul  BNS, s-a decis excluderea acestor indicatori din formularul p</w:t>
            </w:r>
            <w:r w:rsidR="00F97F0B">
              <w:rPr>
                <w:rFonts w:asciiTheme="majorHAnsi" w:eastAsia="Calibri" w:hAnsiTheme="majorHAnsi" w:cstheme="majorHAnsi"/>
                <w:b w:val="0"/>
                <w:bCs w:val="0"/>
                <w:sz w:val="24"/>
                <w:szCs w:val="24"/>
                <w:shd w:val="clear" w:color="auto" w:fill="FFFFFF"/>
              </w:rPr>
              <w:t>rivind</w:t>
            </w:r>
            <w:r w:rsidRPr="008376FC">
              <w:rPr>
                <w:rFonts w:asciiTheme="majorHAnsi" w:eastAsia="Calibri" w:hAnsiTheme="majorHAnsi" w:cstheme="majorHAnsi"/>
                <w:b w:val="0"/>
                <w:bCs w:val="0"/>
                <w:sz w:val="24"/>
                <w:szCs w:val="24"/>
                <w:shd w:val="clear" w:color="auto" w:fill="FFFFFF"/>
              </w:rPr>
              <w:t xml:space="preserve"> apa </w:t>
            </w:r>
            <w:r w:rsidR="00F97F0B">
              <w:rPr>
                <w:rFonts w:asciiTheme="majorHAnsi" w:eastAsia="Calibri" w:hAnsiTheme="majorHAnsi" w:cstheme="majorHAnsi"/>
                <w:b w:val="0"/>
                <w:bCs w:val="0"/>
                <w:sz w:val="24"/>
                <w:szCs w:val="24"/>
                <w:shd w:val="clear" w:color="auto" w:fill="FFFFFF"/>
              </w:rPr>
              <w:t>ș</w:t>
            </w:r>
            <w:r w:rsidRPr="008376FC">
              <w:rPr>
                <w:rFonts w:asciiTheme="majorHAnsi" w:eastAsia="Calibri" w:hAnsiTheme="majorHAnsi" w:cstheme="majorHAnsi"/>
                <w:b w:val="0"/>
                <w:bCs w:val="0"/>
                <w:sz w:val="24"/>
                <w:szCs w:val="24"/>
                <w:shd w:val="clear" w:color="auto" w:fill="FFFFFF"/>
              </w:rPr>
              <w:t>i canalizare</w:t>
            </w:r>
            <w:r w:rsidR="00F97F0B">
              <w:rPr>
                <w:rFonts w:asciiTheme="majorHAnsi" w:eastAsia="Calibri" w:hAnsiTheme="majorHAnsi" w:cstheme="majorHAnsi"/>
                <w:b w:val="0"/>
                <w:bCs w:val="0"/>
                <w:sz w:val="24"/>
                <w:szCs w:val="24"/>
                <w:shd w:val="clear" w:color="auto" w:fill="FFFFFF"/>
              </w:rPr>
              <w:t>a,</w:t>
            </w:r>
            <w:r w:rsidRPr="008376FC">
              <w:rPr>
                <w:rFonts w:asciiTheme="majorHAnsi" w:eastAsia="Calibri" w:hAnsiTheme="majorHAnsi" w:cstheme="majorHAnsi"/>
                <w:b w:val="0"/>
                <w:bCs w:val="0"/>
                <w:sz w:val="24"/>
                <w:szCs w:val="24"/>
                <w:shd w:val="clear" w:color="auto" w:fill="FFFFFF"/>
              </w:rPr>
              <w:t xml:space="preserve"> din cauza informații</w:t>
            </w:r>
            <w:r w:rsidR="00F97F0B">
              <w:rPr>
                <w:rFonts w:asciiTheme="majorHAnsi" w:eastAsia="Calibri" w:hAnsiTheme="majorHAnsi" w:cstheme="majorHAnsi"/>
                <w:b w:val="0"/>
                <w:bCs w:val="0"/>
                <w:sz w:val="24"/>
                <w:szCs w:val="24"/>
                <w:shd w:val="clear" w:color="auto" w:fill="FFFFFF"/>
              </w:rPr>
              <w:t>lor</w:t>
            </w:r>
            <w:r w:rsidRPr="008376FC">
              <w:rPr>
                <w:rFonts w:asciiTheme="majorHAnsi" w:eastAsia="Calibri" w:hAnsiTheme="majorHAnsi" w:cstheme="majorHAnsi"/>
                <w:b w:val="0"/>
                <w:bCs w:val="0"/>
                <w:sz w:val="24"/>
                <w:szCs w:val="24"/>
                <w:shd w:val="clear" w:color="auto" w:fill="FFFFFF"/>
              </w:rPr>
              <w:t xml:space="preserve"> necalitative (incomplete, incomparabile </w:t>
            </w:r>
            <w:r w:rsidR="00F97F0B">
              <w:rPr>
                <w:rFonts w:asciiTheme="majorHAnsi" w:eastAsia="Calibri" w:hAnsiTheme="majorHAnsi" w:cstheme="majorHAnsi"/>
                <w:b w:val="0"/>
                <w:bCs w:val="0"/>
                <w:sz w:val="24"/>
                <w:szCs w:val="24"/>
                <w:shd w:val="clear" w:color="auto" w:fill="FFFFFF"/>
              </w:rPr>
              <w:t>î</w:t>
            </w:r>
            <w:r w:rsidRPr="008376FC">
              <w:rPr>
                <w:rFonts w:asciiTheme="majorHAnsi" w:eastAsia="Calibri" w:hAnsiTheme="majorHAnsi" w:cstheme="majorHAnsi"/>
                <w:b w:val="0"/>
                <w:bCs w:val="0"/>
                <w:sz w:val="24"/>
                <w:szCs w:val="24"/>
                <w:shd w:val="clear" w:color="auto" w:fill="FFFFFF"/>
              </w:rPr>
              <w:t>n timp), care era furnizată de entitățile respondente. Motivul de bază invocat de către respondenți a fost imposibilitatea furnizării acestor date privind populația, deoarece ea este lipsă în contractele privind furnizarea/prestarea serviciului public de alimentare cu apă şi de canalizare încheiate cu consumatorii, contracte</w:t>
            </w:r>
            <w:r w:rsidR="00F97F0B">
              <w:rPr>
                <w:rFonts w:asciiTheme="majorHAnsi" w:eastAsia="Calibri" w:hAnsiTheme="majorHAnsi" w:cstheme="majorHAnsi"/>
                <w:b w:val="0"/>
                <w:bCs w:val="0"/>
                <w:sz w:val="24"/>
                <w:szCs w:val="24"/>
                <w:shd w:val="clear" w:color="auto" w:fill="FFFFFF"/>
              </w:rPr>
              <w:t>le</w:t>
            </w:r>
            <w:r w:rsidRPr="008376FC">
              <w:rPr>
                <w:rFonts w:asciiTheme="majorHAnsi" w:eastAsia="Calibri" w:hAnsiTheme="majorHAnsi" w:cstheme="majorHAnsi"/>
                <w:b w:val="0"/>
                <w:bCs w:val="0"/>
                <w:sz w:val="24"/>
                <w:szCs w:val="24"/>
                <w:shd w:val="clear" w:color="auto" w:fill="FFFFFF"/>
              </w:rPr>
              <w:t xml:space="preserve"> cu consumatori</w:t>
            </w:r>
            <w:r w:rsidR="00F97F0B">
              <w:rPr>
                <w:rFonts w:asciiTheme="majorHAnsi" w:eastAsia="Calibri" w:hAnsiTheme="majorHAnsi" w:cstheme="majorHAnsi"/>
                <w:b w:val="0"/>
                <w:bCs w:val="0"/>
                <w:sz w:val="24"/>
                <w:szCs w:val="24"/>
                <w:shd w:val="clear" w:color="auto" w:fill="FFFFFF"/>
              </w:rPr>
              <w:t>i</w:t>
            </w:r>
            <w:r w:rsidRPr="008376FC">
              <w:rPr>
                <w:rFonts w:asciiTheme="majorHAnsi" w:eastAsia="Calibri" w:hAnsiTheme="majorHAnsi" w:cstheme="majorHAnsi"/>
                <w:b w:val="0"/>
                <w:bCs w:val="0"/>
                <w:sz w:val="24"/>
                <w:szCs w:val="24"/>
                <w:shd w:val="clear" w:color="auto" w:fill="FFFFFF"/>
              </w:rPr>
              <w:t xml:space="preserve"> fiind înregistrate per locuință</w:t>
            </w:r>
            <w:r w:rsidR="000415E7" w:rsidRPr="008376FC">
              <w:rPr>
                <w:rFonts w:asciiTheme="majorHAnsi" w:eastAsia="Calibri" w:hAnsiTheme="majorHAnsi" w:cstheme="majorHAnsi"/>
                <w:b w:val="0"/>
                <w:bCs w:val="0"/>
                <w:sz w:val="24"/>
                <w:szCs w:val="24"/>
                <w:shd w:val="clear" w:color="auto" w:fill="FFFFFF"/>
              </w:rPr>
              <w:t xml:space="preserve">. </w:t>
            </w:r>
          </w:p>
          <w:p w:rsidR="000415E7" w:rsidRPr="008376FC" w:rsidRDefault="000415E7" w:rsidP="00F61756">
            <w:pPr>
              <w:pStyle w:val="af"/>
              <w:spacing w:line="276" w:lineRule="auto"/>
              <w:rPr>
                <w:rFonts w:asciiTheme="majorHAnsi" w:eastAsia="Calibri" w:hAnsiTheme="majorHAnsi" w:cstheme="majorHAnsi"/>
                <w:b/>
                <w:bCs/>
                <w:sz w:val="24"/>
                <w:szCs w:val="24"/>
                <w:shd w:val="clear" w:color="auto" w:fill="FFFFFF"/>
              </w:rPr>
            </w:pPr>
            <w:r w:rsidRPr="00E9038B">
              <w:rPr>
                <w:rFonts w:asciiTheme="majorHAnsi" w:hAnsiTheme="majorHAnsi" w:cstheme="majorHAnsi"/>
                <w:bCs/>
                <w:sz w:val="24"/>
                <w:szCs w:val="24"/>
              </w:rPr>
              <w:t>Totodată,</w:t>
            </w:r>
            <w:r w:rsidRPr="00E9038B">
              <w:rPr>
                <w:rFonts w:asciiTheme="majorHAnsi" w:eastAsia="Calibri" w:hAnsiTheme="majorHAnsi" w:cstheme="majorHAnsi"/>
                <w:bCs/>
                <w:sz w:val="24"/>
                <w:szCs w:val="24"/>
                <w:shd w:val="clear" w:color="auto" w:fill="FFFFFF"/>
              </w:rPr>
              <w:t xml:space="preserve"> </w:t>
            </w:r>
            <w:r w:rsidR="00F97F0B" w:rsidRPr="00E9038B">
              <w:rPr>
                <w:rFonts w:asciiTheme="majorHAnsi" w:hAnsiTheme="majorHAnsi" w:cstheme="majorHAnsi"/>
                <w:bCs/>
                <w:sz w:val="24"/>
                <w:szCs w:val="24"/>
              </w:rPr>
              <w:t>pe</w:t>
            </w:r>
            <w:r w:rsidRPr="00E9038B">
              <w:rPr>
                <w:rFonts w:asciiTheme="majorHAnsi" w:hAnsiTheme="majorHAnsi" w:cstheme="majorHAnsi"/>
                <w:bCs/>
                <w:sz w:val="24"/>
                <w:szCs w:val="24"/>
              </w:rPr>
              <w:t xml:space="preserve">ntru asigurarea calității și coerenței interne a datelor pe care </w:t>
            </w:r>
            <w:r w:rsidR="00CD7288" w:rsidRPr="00E9038B">
              <w:rPr>
                <w:rFonts w:asciiTheme="majorHAnsi" w:hAnsiTheme="majorHAnsi" w:cstheme="majorHAnsi"/>
                <w:bCs/>
                <w:sz w:val="24"/>
                <w:szCs w:val="24"/>
              </w:rPr>
              <w:t xml:space="preserve">le </w:t>
            </w:r>
            <w:r w:rsidRPr="00E9038B">
              <w:rPr>
                <w:rFonts w:asciiTheme="majorHAnsi" w:hAnsiTheme="majorHAnsi" w:cstheme="majorHAnsi"/>
                <w:bCs/>
                <w:sz w:val="24"/>
                <w:szCs w:val="24"/>
              </w:rPr>
              <w:t xml:space="preserve">produce, </w:t>
            </w:r>
            <w:r w:rsidR="00F97F0B" w:rsidRPr="00E9038B">
              <w:rPr>
                <w:rFonts w:asciiTheme="majorHAnsi" w:hAnsiTheme="majorHAnsi" w:cstheme="majorHAnsi"/>
                <w:bCs/>
                <w:sz w:val="24"/>
                <w:szCs w:val="24"/>
              </w:rPr>
              <w:t>precum și în</w:t>
            </w:r>
            <w:r w:rsidRPr="00E9038B">
              <w:rPr>
                <w:rFonts w:asciiTheme="majorHAnsi" w:hAnsiTheme="majorHAnsi" w:cstheme="majorHAnsi"/>
                <w:bCs/>
                <w:sz w:val="24"/>
                <w:szCs w:val="24"/>
              </w:rPr>
              <w:t xml:space="preserve"> scopul monitorizării SND, ODD (</w:t>
            </w:r>
            <w:r w:rsidR="00F97F0B" w:rsidRPr="00E9038B">
              <w:rPr>
                <w:rFonts w:asciiTheme="majorHAnsi" w:hAnsiTheme="majorHAnsi" w:cstheme="majorHAnsi"/>
                <w:bCs/>
                <w:sz w:val="24"/>
                <w:szCs w:val="24"/>
              </w:rPr>
              <w:t>î</w:t>
            </w:r>
            <w:r w:rsidRPr="00E9038B">
              <w:rPr>
                <w:rFonts w:asciiTheme="majorHAnsi" w:hAnsiTheme="majorHAnsi" w:cstheme="majorHAnsi"/>
                <w:bCs/>
                <w:sz w:val="24"/>
                <w:szCs w:val="24"/>
              </w:rPr>
              <w:t>n baza HG</w:t>
            </w:r>
            <w:r w:rsidR="00F97F0B" w:rsidRPr="00E9038B">
              <w:rPr>
                <w:rFonts w:asciiTheme="majorHAnsi" w:hAnsiTheme="majorHAnsi" w:cstheme="majorHAnsi"/>
                <w:bCs/>
                <w:sz w:val="24"/>
                <w:szCs w:val="24"/>
              </w:rPr>
              <w:t xml:space="preserve"> nr.</w:t>
            </w:r>
            <w:r w:rsidRPr="00E9038B">
              <w:rPr>
                <w:rFonts w:asciiTheme="majorHAnsi" w:hAnsiTheme="majorHAnsi" w:cstheme="majorHAnsi"/>
                <w:bCs/>
                <w:sz w:val="24"/>
                <w:szCs w:val="24"/>
              </w:rPr>
              <w:t>953/2022), BNS furnizeaz</w:t>
            </w:r>
            <w:r w:rsidR="00F97F0B" w:rsidRPr="00E9038B">
              <w:rPr>
                <w:rFonts w:asciiTheme="majorHAnsi" w:hAnsiTheme="majorHAnsi" w:cstheme="majorHAnsi"/>
                <w:bCs/>
                <w:sz w:val="24"/>
                <w:szCs w:val="24"/>
              </w:rPr>
              <w:t>ă</w:t>
            </w:r>
            <w:r w:rsidRPr="00E9038B">
              <w:rPr>
                <w:rFonts w:asciiTheme="majorHAnsi" w:hAnsiTheme="majorHAnsi" w:cstheme="majorHAnsi"/>
                <w:bCs/>
                <w:sz w:val="24"/>
                <w:szCs w:val="24"/>
              </w:rPr>
              <w:t xml:space="preserve"> date privind indicatorii</w:t>
            </w:r>
            <w:r w:rsidR="00F97F0B" w:rsidRPr="00E9038B">
              <w:rPr>
                <w:rFonts w:asciiTheme="majorHAnsi" w:hAnsiTheme="majorHAnsi" w:cstheme="majorHAnsi"/>
                <w:bCs/>
                <w:sz w:val="24"/>
                <w:szCs w:val="24"/>
              </w:rPr>
              <w:t>:</w:t>
            </w:r>
            <w:r w:rsidRPr="00E9038B">
              <w:rPr>
                <w:rFonts w:asciiTheme="majorHAnsi" w:hAnsiTheme="majorHAnsi" w:cstheme="majorHAnsi"/>
                <w:bCs/>
                <w:sz w:val="24"/>
                <w:szCs w:val="24"/>
              </w:rPr>
              <w:t xml:space="preserve"> </w:t>
            </w:r>
            <w:r w:rsidRPr="00E9038B">
              <w:rPr>
                <w:rFonts w:asciiTheme="majorHAnsi" w:hAnsiTheme="majorHAnsi" w:cstheme="majorHAnsi"/>
                <w:bCs/>
                <w:i/>
                <w:sz w:val="24"/>
                <w:szCs w:val="24"/>
              </w:rPr>
              <w:t>ponderea populației cu acces la sistem</w:t>
            </w:r>
            <w:r w:rsidR="00F97F0B" w:rsidRPr="00E9038B">
              <w:rPr>
                <w:rFonts w:asciiTheme="majorHAnsi" w:hAnsiTheme="majorHAnsi" w:cstheme="majorHAnsi"/>
                <w:bCs/>
                <w:i/>
                <w:sz w:val="24"/>
                <w:szCs w:val="24"/>
              </w:rPr>
              <w:t>ul</w:t>
            </w:r>
            <w:r w:rsidRPr="00E9038B">
              <w:rPr>
                <w:rFonts w:asciiTheme="majorHAnsi" w:hAnsiTheme="majorHAnsi" w:cstheme="majorHAnsi"/>
                <w:bCs/>
                <w:i/>
                <w:sz w:val="24"/>
                <w:szCs w:val="24"/>
              </w:rPr>
              <w:t xml:space="preserve"> de canalizare</w:t>
            </w:r>
            <w:r w:rsidRPr="00E9038B">
              <w:rPr>
                <w:rFonts w:asciiTheme="majorHAnsi" w:hAnsiTheme="majorHAnsi" w:cstheme="majorHAnsi"/>
                <w:bCs/>
                <w:sz w:val="24"/>
                <w:szCs w:val="24"/>
              </w:rPr>
              <w:t xml:space="preserve"> (indicator</w:t>
            </w:r>
            <w:r w:rsidR="00F97F0B" w:rsidRPr="00E9038B">
              <w:rPr>
                <w:rFonts w:asciiTheme="majorHAnsi" w:hAnsiTheme="majorHAnsi" w:cstheme="majorHAnsi"/>
                <w:bCs/>
                <w:sz w:val="24"/>
                <w:szCs w:val="24"/>
              </w:rPr>
              <w:t>ul</w:t>
            </w:r>
            <w:r w:rsidRPr="00E9038B">
              <w:rPr>
                <w:rFonts w:asciiTheme="majorHAnsi" w:hAnsiTheme="majorHAnsi" w:cstheme="majorHAnsi"/>
                <w:bCs/>
                <w:sz w:val="24"/>
                <w:szCs w:val="24"/>
              </w:rPr>
              <w:t xml:space="preserve"> ODD 6.2.1.a.) și </w:t>
            </w:r>
            <w:r w:rsidRPr="00E9038B">
              <w:rPr>
                <w:rFonts w:asciiTheme="majorHAnsi" w:hAnsiTheme="majorHAnsi" w:cstheme="majorHAnsi"/>
                <w:bCs/>
                <w:i/>
                <w:sz w:val="24"/>
                <w:szCs w:val="24"/>
              </w:rPr>
              <w:t>ponderea populației cu acces la surse sigure de alimentare cu apă</w:t>
            </w:r>
            <w:r w:rsidRPr="008376FC">
              <w:rPr>
                <w:rFonts w:asciiTheme="majorHAnsi" w:hAnsiTheme="majorHAnsi" w:cstheme="majorHAnsi"/>
                <w:bCs/>
                <w:sz w:val="24"/>
                <w:szCs w:val="24"/>
              </w:rPr>
              <w:t xml:space="preserve"> (indicator</w:t>
            </w:r>
            <w:r w:rsidR="00F97F0B">
              <w:rPr>
                <w:rFonts w:asciiTheme="majorHAnsi" w:hAnsiTheme="majorHAnsi" w:cstheme="majorHAnsi"/>
                <w:bCs/>
                <w:sz w:val="24"/>
                <w:szCs w:val="24"/>
              </w:rPr>
              <w:t>ul</w:t>
            </w:r>
            <w:r w:rsidRPr="008376FC">
              <w:rPr>
                <w:rFonts w:asciiTheme="majorHAnsi" w:hAnsiTheme="majorHAnsi" w:cstheme="majorHAnsi"/>
                <w:bCs/>
                <w:sz w:val="24"/>
                <w:szCs w:val="24"/>
              </w:rPr>
              <w:t xml:space="preserve"> ODD 6.1.1</w:t>
            </w:r>
            <w:r w:rsidR="00BE7F70" w:rsidRPr="008376FC">
              <w:rPr>
                <w:rFonts w:asciiTheme="majorHAnsi" w:hAnsiTheme="majorHAnsi" w:cstheme="majorHAnsi"/>
                <w:bCs/>
                <w:sz w:val="24"/>
                <w:szCs w:val="24"/>
              </w:rPr>
              <w:t>.</w:t>
            </w:r>
            <w:r w:rsidR="00F97F0B">
              <w:rPr>
                <w:rFonts w:asciiTheme="majorHAnsi" w:hAnsiTheme="majorHAnsi" w:cstheme="majorHAnsi"/>
                <w:bCs/>
                <w:sz w:val="24"/>
                <w:szCs w:val="24"/>
              </w:rPr>
              <w:t>).</w:t>
            </w:r>
          </w:p>
        </w:tc>
      </w:tr>
    </w:tbl>
    <w:p w:rsidR="005C113C" w:rsidRPr="008376FC" w:rsidRDefault="005C113C" w:rsidP="00F61756">
      <w:pPr>
        <w:spacing w:after="0" w:line="276" w:lineRule="auto"/>
        <w:jc w:val="both"/>
        <w:rPr>
          <w:rFonts w:asciiTheme="majorHAnsi" w:eastAsia="Calibri" w:hAnsiTheme="majorHAnsi" w:cstheme="majorHAnsi"/>
          <w:b w:val="0"/>
          <w:bCs w:val="0"/>
          <w:sz w:val="24"/>
          <w:szCs w:val="24"/>
          <w:shd w:val="clear" w:color="auto" w:fill="FFFFFF"/>
        </w:rPr>
      </w:pPr>
    </w:p>
    <w:p w:rsidR="00BE49FB" w:rsidRPr="008376FC" w:rsidRDefault="00BE49FB" w:rsidP="00F61756">
      <w:pPr>
        <w:spacing w:after="0" w:line="276" w:lineRule="auto"/>
        <w:jc w:val="both"/>
        <w:rPr>
          <w:rFonts w:asciiTheme="majorHAnsi" w:eastAsia="Calibri" w:hAnsiTheme="majorHAnsi" w:cstheme="majorHAnsi"/>
          <w:b w:val="0"/>
          <w:bCs w:val="0"/>
          <w:sz w:val="24"/>
          <w:szCs w:val="24"/>
          <w:shd w:val="clear" w:color="auto" w:fill="FFFFFF"/>
        </w:rPr>
      </w:pPr>
      <w:r w:rsidRPr="008376FC">
        <w:rPr>
          <w:rFonts w:asciiTheme="majorHAnsi" w:eastAsia="Calibri" w:hAnsiTheme="majorHAnsi" w:cstheme="majorHAnsi"/>
          <w:b w:val="0"/>
          <w:bCs w:val="0"/>
          <w:sz w:val="24"/>
          <w:szCs w:val="24"/>
          <w:shd w:val="clear" w:color="auto" w:fill="FFFFFF"/>
        </w:rPr>
        <w:t>De menționat că, în anul 2019 au fost exclu</w:t>
      </w:r>
      <w:r w:rsidR="00F97F0B">
        <w:rPr>
          <w:rFonts w:asciiTheme="majorHAnsi" w:eastAsia="Calibri" w:hAnsiTheme="majorHAnsi" w:cstheme="majorHAnsi"/>
          <w:b w:val="0"/>
          <w:bCs w:val="0"/>
          <w:sz w:val="24"/>
          <w:szCs w:val="24"/>
          <w:shd w:val="clear" w:color="auto" w:fill="FFFFFF"/>
        </w:rPr>
        <w:t>și</w:t>
      </w:r>
      <w:r w:rsidRPr="008376FC">
        <w:rPr>
          <w:rFonts w:asciiTheme="majorHAnsi" w:eastAsia="Calibri" w:hAnsiTheme="majorHAnsi" w:cstheme="majorHAnsi"/>
          <w:b w:val="0"/>
          <w:bCs w:val="0"/>
          <w:sz w:val="24"/>
          <w:szCs w:val="24"/>
          <w:shd w:val="clear" w:color="auto" w:fill="FFFFFF"/>
        </w:rPr>
        <w:t xml:space="preserve"> un șir de indicatori importanți, cum ar fi: (i) numărul sistemelor de canalizarea reconstruite, (ii)</w:t>
      </w:r>
      <w:r w:rsidRPr="008376FC">
        <w:rPr>
          <w:rFonts w:asciiTheme="majorHAnsi" w:eastAsia="Calibri" w:hAnsiTheme="majorHAnsi" w:cstheme="majorHAnsi"/>
          <w:b w:val="0"/>
          <w:bCs w:val="0"/>
          <w:sz w:val="24"/>
          <w:szCs w:val="24"/>
        </w:rPr>
        <w:t xml:space="preserve"> </w:t>
      </w:r>
      <w:r w:rsidR="00F97F0B">
        <w:rPr>
          <w:rFonts w:asciiTheme="majorHAnsi" w:eastAsia="Calibri" w:hAnsiTheme="majorHAnsi" w:cstheme="majorHAnsi"/>
          <w:b w:val="0"/>
          <w:bCs w:val="0"/>
          <w:sz w:val="24"/>
          <w:szCs w:val="24"/>
          <w:shd w:val="clear" w:color="auto" w:fill="FFFFFF"/>
        </w:rPr>
        <w:t>c</w:t>
      </w:r>
      <w:r w:rsidRPr="008376FC">
        <w:rPr>
          <w:rFonts w:asciiTheme="majorHAnsi" w:eastAsia="Calibri" w:hAnsiTheme="majorHAnsi" w:cstheme="majorHAnsi"/>
          <w:b w:val="0"/>
          <w:bCs w:val="0"/>
          <w:sz w:val="24"/>
          <w:szCs w:val="24"/>
          <w:shd w:val="clear" w:color="auto" w:fill="FFFFFF"/>
        </w:rPr>
        <w:t xml:space="preserve">apacitatea stațiilor de epurare a apelor uzate </w:t>
      </w:r>
      <w:r w:rsidR="00F97F0B">
        <w:rPr>
          <w:rFonts w:asciiTheme="majorHAnsi" w:eastAsia="Calibri" w:hAnsiTheme="majorHAnsi" w:cstheme="majorHAnsi"/>
          <w:b w:val="0"/>
          <w:bCs w:val="0"/>
          <w:sz w:val="24"/>
          <w:szCs w:val="24"/>
          <w:shd w:val="clear" w:color="auto" w:fill="FFFFFF"/>
        </w:rPr>
        <w:t>(</w:t>
      </w:r>
      <w:r w:rsidRPr="008376FC">
        <w:rPr>
          <w:rFonts w:asciiTheme="majorHAnsi" w:eastAsia="Calibri" w:hAnsiTheme="majorHAnsi" w:cstheme="majorHAnsi"/>
          <w:b w:val="0"/>
          <w:bCs w:val="0"/>
          <w:sz w:val="24"/>
          <w:szCs w:val="24"/>
          <w:shd w:val="clear" w:color="auto" w:fill="FFFFFF"/>
        </w:rPr>
        <w:t>m</w:t>
      </w:r>
      <w:r w:rsidRPr="008376FC">
        <w:rPr>
          <w:rFonts w:asciiTheme="majorHAnsi" w:eastAsia="Calibri" w:hAnsiTheme="majorHAnsi" w:cstheme="majorHAnsi"/>
          <w:b w:val="0"/>
          <w:bCs w:val="0"/>
          <w:sz w:val="24"/>
          <w:szCs w:val="24"/>
          <w:shd w:val="clear" w:color="auto" w:fill="FFFFFF"/>
          <w:vertAlign w:val="superscript"/>
        </w:rPr>
        <w:t>3</w:t>
      </w:r>
      <w:r w:rsidRPr="008376FC">
        <w:rPr>
          <w:rFonts w:asciiTheme="majorHAnsi" w:eastAsia="Calibri" w:hAnsiTheme="majorHAnsi" w:cstheme="majorHAnsi"/>
          <w:b w:val="0"/>
          <w:bCs w:val="0"/>
          <w:sz w:val="24"/>
          <w:szCs w:val="24"/>
          <w:shd w:val="clear" w:color="auto" w:fill="FFFFFF"/>
        </w:rPr>
        <w:t xml:space="preserve"> în 24 ore</w:t>
      </w:r>
      <w:r w:rsidR="00F97F0B">
        <w:rPr>
          <w:rFonts w:asciiTheme="majorHAnsi" w:eastAsia="Calibri" w:hAnsiTheme="majorHAnsi" w:cstheme="majorHAnsi"/>
          <w:b w:val="0"/>
          <w:bCs w:val="0"/>
          <w:sz w:val="24"/>
          <w:szCs w:val="24"/>
          <w:shd w:val="clear" w:color="auto" w:fill="FFFFFF"/>
        </w:rPr>
        <w:t>)</w:t>
      </w:r>
      <w:r w:rsidRPr="008376FC">
        <w:rPr>
          <w:rFonts w:asciiTheme="majorHAnsi" w:eastAsia="Calibri" w:hAnsiTheme="majorHAnsi" w:cstheme="majorHAnsi"/>
          <w:b w:val="0"/>
          <w:bCs w:val="0"/>
          <w:sz w:val="24"/>
          <w:szCs w:val="24"/>
          <w:shd w:val="clear" w:color="auto" w:fill="FFFFFF"/>
        </w:rPr>
        <w:t xml:space="preserve"> (proiectat și real/de facto), (iii) numărul stațiilor de pompare a apelor uzate (în funcțiune și reconstruite),  (iv) numărul sistemelor de canalizare reconstruite, (v) numărul stațiilor de pompare a apei etc. Lipsa acestor informații nu relevă un tablou integru în domeniul vizat. </w:t>
      </w:r>
    </w:p>
    <w:p w:rsidR="005C113C" w:rsidRPr="008376FC" w:rsidRDefault="005C113C" w:rsidP="00F61756">
      <w:pPr>
        <w:spacing w:after="0" w:line="276" w:lineRule="auto"/>
        <w:jc w:val="both"/>
        <w:rPr>
          <w:rFonts w:asciiTheme="majorHAnsi" w:eastAsia="Calibri" w:hAnsiTheme="majorHAnsi" w:cstheme="majorHAnsi"/>
          <w:b w:val="0"/>
          <w:bCs w:val="0"/>
          <w:sz w:val="24"/>
          <w:szCs w:val="24"/>
          <w:shd w:val="clear" w:color="auto" w:fill="FFFFFF"/>
        </w:rPr>
      </w:pPr>
    </w:p>
    <w:tbl>
      <w:tblPr>
        <w:tblStyle w:val="TableGrid4"/>
        <w:tblW w:w="0" w:type="auto"/>
        <w:tblLook w:val="04A0" w:firstRow="1" w:lastRow="0" w:firstColumn="1" w:lastColumn="0" w:noHBand="0" w:noVBand="1"/>
      </w:tblPr>
      <w:tblGrid>
        <w:gridCol w:w="9678"/>
      </w:tblGrid>
      <w:tr w:rsidR="00BE49FB" w:rsidRPr="008376FC" w:rsidTr="0087456A">
        <w:tc>
          <w:tcPr>
            <w:tcW w:w="10060" w:type="dxa"/>
            <w:shd w:val="clear" w:color="auto" w:fill="auto"/>
          </w:tcPr>
          <w:p w:rsidR="0087456A" w:rsidRPr="0045055E" w:rsidRDefault="00BE49FB" w:rsidP="00F61756">
            <w:pPr>
              <w:spacing w:line="276" w:lineRule="auto"/>
              <w:rPr>
                <w:rFonts w:asciiTheme="majorHAnsi" w:eastAsia="Calibri" w:hAnsiTheme="majorHAnsi" w:cstheme="majorHAnsi"/>
                <w:b w:val="0"/>
                <w:bCs w:val="0"/>
                <w:sz w:val="24"/>
                <w:szCs w:val="24"/>
                <w:shd w:val="clear" w:color="auto" w:fill="FFFFFF"/>
              </w:rPr>
            </w:pPr>
            <w:r w:rsidRPr="008376FC">
              <w:rPr>
                <w:rFonts w:asciiTheme="majorHAnsi" w:eastAsia="Calibri" w:hAnsiTheme="majorHAnsi" w:cstheme="majorHAnsi"/>
                <w:b w:val="0"/>
                <w:bCs w:val="0"/>
                <w:sz w:val="24"/>
                <w:szCs w:val="24"/>
                <w:shd w:val="clear" w:color="auto" w:fill="FFFFFF"/>
              </w:rPr>
              <w:t xml:space="preserve"> </w:t>
            </w:r>
            <w:r w:rsidR="002C6378" w:rsidRPr="0045055E">
              <w:rPr>
                <w:rFonts w:asciiTheme="majorHAnsi" w:eastAsia="Calibri" w:hAnsiTheme="majorHAnsi" w:cstheme="majorHAnsi"/>
                <w:bCs w:val="0"/>
                <w:sz w:val="24"/>
                <w:szCs w:val="24"/>
                <w:shd w:val="clear" w:color="auto" w:fill="FFFFFF"/>
              </w:rPr>
              <w:t>Nota nr.5:</w:t>
            </w:r>
            <w:r w:rsidR="002C6378" w:rsidRPr="0045055E">
              <w:rPr>
                <w:rFonts w:asciiTheme="majorHAnsi" w:eastAsia="Calibri" w:hAnsiTheme="majorHAnsi" w:cstheme="majorHAnsi"/>
                <w:b w:val="0"/>
                <w:bCs w:val="0"/>
                <w:sz w:val="24"/>
                <w:szCs w:val="24"/>
                <w:shd w:val="clear" w:color="auto" w:fill="FFFFFF"/>
              </w:rPr>
              <w:t xml:space="preserve"> </w:t>
            </w:r>
            <w:r w:rsidRPr="0045055E">
              <w:rPr>
                <w:rFonts w:asciiTheme="majorHAnsi" w:eastAsia="Calibri" w:hAnsiTheme="majorHAnsi" w:cstheme="majorHAnsi"/>
                <w:b w:val="0"/>
                <w:bCs w:val="0"/>
                <w:sz w:val="24"/>
                <w:szCs w:val="24"/>
                <w:shd w:val="clear" w:color="auto" w:fill="FFFFFF"/>
              </w:rPr>
              <w:t>Conform explicațiilor reprezentanților din cadrul BNS, evaluarea și revizuirea formularelor de colectare a datelor se efectuiază anual. Revizuirea are loc în contextul solictărilor permenente de reducere a sarcinii asupra respondenților, dar și în funcție de necesitățile la nivel național. Astfel, pe 9 iulie 2019 a avut loc Masa rotundă privind revizuirea indicatorilor din domeniul utilităților publice, la care au participat reprezentanții instituțiilor cu atribuții în sfera colectării și monitorizării datelor din domeniul respectiv.</w:t>
            </w:r>
            <w:r w:rsidR="0087456A" w:rsidRPr="0045055E">
              <w:rPr>
                <w:rFonts w:asciiTheme="majorHAnsi" w:eastAsia="Calibri" w:hAnsiTheme="majorHAnsi" w:cstheme="majorHAnsi"/>
                <w:b w:val="0"/>
                <w:bCs w:val="0"/>
                <w:sz w:val="24"/>
                <w:szCs w:val="24"/>
                <w:shd w:val="clear" w:color="auto" w:fill="FFFFFF"/>
              </w:rPr>
              <w:t xml:space="preserve"> </w:t>
            </w:r>
          </w:p>
          <w:p w:rsidR="00BE49FB" w:rsidRPr="0045055E" w:rsidRDefault="005C113C" w:rsidP="00F61756">
            <w:pPr>
              <w:spacing w:line="276" w:lineRule="auto"/>
              <w:rPr>
                <w:rFonts w:asciiTheme="majorHAnsi" w:eastAsia="Calibri" w:hAnsiTheme="majorHAnsi" w:cstheme="majorHAnsi"/>
                <w:b w:val="0"/>
                <w:bCs w:val="0"/>
                <w:sz w:val="24"/>
                <w:szCs w:val="24"/>
                <w:shd w:val="clear" w:color="auto" w:fill="FFFFFF"/>
              </w:rPr>
            </w:pPr>
            <w:r w:rsidRPr="0045055E">
              <w:rPr>
                <w:rFonts w:asciiTheme="majorHAnsi" w:eastAsia="Calibri" w:hAnsiTheme="majorHAnsi" w:cstheme="majorHAnsi"/>
                <w:b w:val="0"/>
                <w:bCs w:val="0"/>
                <w:sz w:val="24"/>
                <w:szCs w:val="24"/>
                <w:shd w:val="clear" w:color="auto" w:fill="FFFFFF"/>
              </w:rPr>
              <w:t xml:space="preserve">       </w:t>
            </w:r>
            <w:r w:rsidR="00BE49FB" w:rsidRPr="0045055E">
              <w:rPr>
                <w:rFonts w:asciiTheme="majorHAnsi" w:eastAsia="Calibri" w:hAnsiTheme="majorHAnsi" w:cstheme="majorHAnsi"/>
                <w:b w:val="0"/>
                <w:bCs w:val="0"/>
                <w:sz w:val="24"/>
                <w:szCs w:val="24"/>
                <w:shd w:val="clear" w:color="auto" w:fill="FFFFFF"/>
              </w:rPr>
              <w:t xml:space="preserve">Indicatorii </w:t>
            </w:r>
            <w:r w:rsidR="00F97F0B" w:rsidRPr="0045055E">
              <w:rPr>
                <w:rFonts w:asciiTheme="majorHAnsi" w:eastAsia="Calibri" w:hAnsiTheme="majorHAnsi" w:cstheme="majorHAnsi"/>
                <w:b w:val="0"/>
                <w:bCs w:val="0"/>
                <w:sz w:val="24"/>
                <w:szCs w:val="24"/>
                <w:shd w:val="clear" w:color="auto" w:fill="FFFFFF"/>
              </w:rPr>
              <w:t xml:space="preserve">pentru </w:t>
            </w:r>
            <w:r w:rsidR="00BE49FB" w:rsidRPr="0045055E">
              <w:rPr>
                <w:rFonts w:asciiTheme="majorHAnsi" w:eastAsia="Calibri" w:hAnsiTheme="majorHAnsi" w:cstheme="majorHAnsi"/>
                <w:b w:val="0"/>
                <w:bCs w:val="0"/>
                <w:sz w:val="24"/>
                <w:szCs w:val="24"/>
                <w:shd w:val="clear" w:color="auto" w:fill="FFFFFF"/>
              </w:rPr>
              <w:t>„Numărul sistemelor de canalizare reconstruite” s-a propus spre excludere întrucât se reflectă în lungimea apeductului.</w:t>
            </w:r>
          </w:p>
          <w:p w:rsidR="00BE49FB" w:rsidRPr="0045055E" w:rsidRDefault="005C113C" w:rsidP="00F61756">
            <w:pPr>
              <w:spacing w:line="276" w:lineRule="auto"/>
              <w:rPr>
                <w:rFonts w:asciiTheme="majorHAnsi" w:eastAsia="Calibri" w:hAnsiTheme="majorHAnsi" w:cstheme="majorHAnsi"/>
                <w:b w:val="0"/>
                <w:bCs w:val="0"/>
                <w:sz w:val="24"/>
                <w:szCs w:val="24"/>
                <w:shd w:val="clear" w:color="auto" w:fill="FFFFFF"/>
              </w:rPr>
            </w:pPr>
            <w:r w:rsidRPr="0045055E">
              <w:rPr>
                <w:rFonts w:asciiTheme="majorHAnsi" w:eastAsia="Calibri" w:hAnsiTheme="majorHAnsi" w:cstheme="majorHAnsi"/>
                <w:b w:val="0"/>
                <w:bCs w:val="0"/>
                <w:sz w:val="24"/>
                <w:szCs w:val="24"/>
                <w:shd w:val="clear" w:color="auto" w:fill="FFFFFF"/>
              </w:rPr>
              <w:t xml:space="preserve">       </w:t>
            </w:r>
            <w:r w:rsidR="00BE49FB" w:rsidRPr="0045055E">
              <w:rPr>
                <w:rFonts w:asciiTheme="majorHAnsi" w:eastAsia="Calibri" w:hAnsiTheme="majorHAnsi" w:cstheme="majorHAnsi"/>
                <w:b w:val="0"/>
                <w:bCs w:val="0"/>
                <w:sz w:val="24"/>
                <w:szCs w:val="24"/>
                <w:shd w:val="clear" w:color="auto" w:fill="FFFFFF"/>
              </w:rPr>
              <w:t xml:space="preserve">Capacitatea staţiilor de </w:t>
            </w:r>
            <w:r w:rsidR="0045055E" w:rsidRPr="0045055E">
              <w:rPr>
                <w:rFonts w:asciiTheme="majorHAnsi" w:eastAsia="Calibri" w:hAnsiTheme="majorHAnsi" w:cstheme="majorHAnsi"/>
                <w:b w:val="0"/>
                <w:bCs w:val="0"/>
                <w:sz w:val="24"/>
                <w:szCs w:val="24"/>
                <w:shd w:val="clear" w:color="auto" w:fill="FFFFFF"/>
              </w:rPr>
              <w:t>epurare</w:t>
            </w:r>
            <w:r w:rsidR="00EC6F14">
              <w:rPr>
                <w:rFonts w:asciiTheme="majorHAnsi" w:eastAsia="Calibri" w:hAnsiTheme="majorHAnsi" w:cstheme="majorHAnsi"/>
                <w:b w:val="0"/>
                <w:bCs w:val="0"/>
                <w:sz w:val="24"/>
                <w:szCs w:val="24"/>
                <w:shd w:val="clear" w:color="auto" w:fill="FFFFFF"/>
              </w:rPr>
              <w:t xml:space="preserve"> a apelor uzate</w:t>
            </w:r>
            <w:r w:rsidR="0045055E" w:rsidRPr="0045055E">
              <w:rPr>
                <w:rFonts w:asciiTheme="majorHAnsi" w:eastAsia="Calibri" w:hAnsiTheme="majorHAnsi" w:cstheme="majorHAnsi"/>
                <w:b w:val="0"/>
                <w:bCs w:val="0"/>
                <w:sz w:val="24"/>
                <w:szCs w:val="24"/>
                <w:shd w:val="clear" w:color="auto" w:fill="FFFFFF"/>
              </w:rPr>
              <w:t xml:space="preserve"> </w:t>
            </w:r>
            <w:r w:rsidR="00BE49FB" w:rsidRPr="0045055E">
              <w:rPr>
                <w:rFonts w:asciiTheme="majorHAnsi" w:eastAsia="Calibri" w:hAnsiTheme="majorHAnsi" w:cstheme="majorHAnsi"/>
                <w:b w:val="0"/>
                <w:bCs w:val="0"/>
                <w:sz w:val="24"/>
                <w:szCs w:val="24"/>
                <w:shd w:val="clear" w:color="auto" w:fill="FFFFFF"/>
              </w:rPr>
              <w:t>s-a exclus, dat fiind faptul că este o informație tehnică</w:t>
            </w:r>
            <w:r w:rsidR="004E123D" w:rsidRPr="0045055E">
              <w:rPr>
                <w:rFonts w:asciiTheme="majorHAnsi" w:eastAsia="Calibri" w:hAnsiTheme="majorHAnsi" w:cstheme="majorHAnsi"/>
                <w:b w:val="0"/>
                <w:bCs w:val="0"/>
                <w:sz w:val="24"/>
                <w:szCs w:val="24"/>
                <w:shd w:val="clear" w:color="auto" w:fill="FFFFFF"/>
              </w:rPr>
              <w:t>,</w:t>
            </w:r>
            <w:r w:rsidR="00BE49FB" w:rsidRPr="0045055E">
              <w:rPr>
                <w:rFonts w:asciiTheme="majorHAnsi" w:eastAsia="Calibri" w:hAnsiTheme="majorHAnsi" w:cstheme="majorHAnsi"/>
                <w:b w:val="0"/>
                <w:bCs w:val="0"/>
                <w:sz w:val="24"/>
                <w:szCs w:val="24"/>
                <w:shd w:val="clear" w:color="auto" w:fill="FFFFFF"/>
              </w:rPr>
              <w:t xml:space="preserve"> deținută de operatorii de servicii de alimentare cu apă și canalizare.</w:t>
            </w:r>
          </w:p>
          <w:p w:rsidR="00BE49FB" w:rsidRPr="008376FC" w:rsidRDefault="005C113C" w:rsidP="00F61756">
            <w:pPr>
              <w:spacing w:line="276" w:lineRule="auto"/>
              <w:rPr>
                <w:rFonts w:asciiTheme="majorHAnsi" w:eastAsia="Calibri" w:hAnsiTheme="majorHAnsi" w:cstheme="majorHAnsi"/>
                <w:b w:val="0"/>
                <w:bCs w:val="0"/>
                <w:sz w:val="24"/>
                <w:szCs w:val="24"/>
                <w:shd w:val="clear" w:color="auto" w:fill="FFFFFF"/>
              </w:rPr>
            </w:pPr>
            <w:r w:rsidRPr="0045055E">
              <w:rPr>
                <w:rFonts w:asciiTheme="majorHAnsi" w:eastAsia="Calibri" w:hAnsiTheme="majorHAnsi" w:cstheme="majorHAnsi"/>
                <w:b w:val="0"/>
                <w:bCs w:val="0"/>
                <w:sz w:val="24"/>
                <w:szCs w:val="24"/>
                <w:shd w:val="clear" w:color="auto" w:fill="FFFFFF"/>
              </w:rPr>
              <w:t xml:space="preserve">       </w:t>
            </w:r>
            <w:r w:rsidR="00BE49FB" w:rsidRPr="0045055E">
              <w:rPr>
                <w:rFonts w:asciiTheme="majorHAnsi" w:eastAsia="Calibri" w:hAnsiTheme="majorHAnsi" w:cstheme="majorHAnsi"/>
                <w:b w:val="0"/>
                <w:bCs w:val="0"/>
                <w:sz w:val="24"/>
                <w:szCs w:val="24"/>
                <w:shd w:val="clear" w:color="auto" w:fill="FFFFFF"/>
              </w:rPr>
              <w:t xml:space="preserve">Numărul staţiilor de pompare a apei  s-a exclus deoarece </w:t>
            </w:r>
            <w:r w:rsidR="004E123D" w:rsidRPr="0045055E">
              <w:rPr>
                <w:rFonts w:asciiTheme="majorHAnsi" w:eastAsia="Calibri" w:hAnsiTheme="majorHAnsi" w:cstheme="majorHAnsi"/>
                <w:b w:val="0"/>
                <w:bCs w:val="0"/>
                <w:sz w:val="24"/>
                <w:szCs w:val="24"/>
                <w:shd w:val="clear" w:color="auto" w:fill="FFFFFF"/>
              </w:rPr>
              <w:t>s</w:t>
            </w:r>
            <w:r w:rsidR="00BE49FB" w:rsidRPr="0045055E">
              <w:rPr>
                <w:rFonts w:asciiTheme="majorHAnsi" w:eastAsia="Calibri" w:hAnsiTheme="majorHAnsi" w:cstheme="majorHAnsi"/>
                <w:b w:val="0"/>
                <w:bCs w:val="0"/>
                <w:sz w:val="24"/>
                <w:szCs w:val="24"/>
                <w:shd w:val="clear" w:color="auto" w:fill="FFFFFF"/>
              </w:rPr>
              <w:t xml:space="preserve">tația de pompare este un element tehnic al sistemelor, dar care nu arată calitatea sistemului, prezența acesteia fiind necesară doar în anumite condiții, în </w:t>
            </w:r>
            <w:r w:rsidR="004E123D" w:rsidRPr="0045055E">
              <w:rPr>
                <w:rFonts w:asciiTheme="majorHAnsi" w:eastAsia="Calibri" w:hAnsiTheme="majorHAnsi" w:cstheme="majorHAnsi"/>
                <w:b w:val="0"/>
                <w:bCs w:val="0"/>
                <w:sz w:val="24"/>
                <w:szCs w:val="24"/>
                <w:shd w:val="clear" w:color="auto" w:fill="FFFFFF"/>
              </w:rPr>
              <w:t xml:space="preserve">funcție </w:t>
            </w:r>
            <w:r w:rsidR="00BE49FB" w:rsidRPr="0045055E">
              <w:rPr>
                <w:rFonts w:asciiTheme="majorHAnsi" w:eastAsia="Calibri" w:hAnsiTheme="majorHAnsi" w:cstheme="majorHAnsi"/>
                <w:b w:val="0"/>
                <w:bCs w:val="0"/>
                <w:sz w:val="24"/>
                <w:szCs w:val="24"/>
                <w:shd w:val="clear" w:color="auto" w:fill="FFFFFF"/>
              </w:rPr>
              <w:t>de relief.</w:t>
            </w:r>
          </w:p>
        </w:tc>
      </w:tr>
    </w:tbl>
    <w:p w:rsidR="00D6055A" w:rsidRPr="008376FC" w:rsidRDefault="00D6055A" w:rsidP="00F61756">
      <w:pPr>
        <w:shd w:val="clear" w:color="auto" w:fill="FFFFFF"/>
        <w:spacing w:after="0" w:line="276" w:lineRule="auto"/>
        <w:jc w:val="both"/>
        <w:rPr>
          <w:rFonts w:asciiTheme="majorHAnsi" w:eastAsia="Times New Roman" w:hAnsiTheme="majorHAnsi" w:cstheme="majorHAnsi"/>
          <w:b w:val="0"/>
          <w:bCs w:val="0"/>
          <w:sz w:val="24"/>
          <w:szCs w:val="24"/>
          <w:lang w:eastAsia="ru-RU"/>
        </w:rPr>
      </w:pPr>
    </w:p>
    <w:p w:rsidR="00BE49FB" w:rsidRPr="008376FC" w:rsidRDefault="00BE49FB" w:rsidP="00F61756">
      <w:pPr>
        <w:shd w:val="clear" w:color="auto" w:fill="FFFFFF"/>
        <w:spacing w:after="0" w:line="276" w:lineRule="auto"/>
        <w:jc w:val="both"/>
        <w:rPr>
          <w:rFonts w:asciiTheme="majorHAnsi" w:eastAsia="Times New Roman" w:hAnsiTheme="majorHAnsi" w:cstheme="majorHAnsi"/>
          <w:b w:val="0"/>
          <w:bCs w:val="0"/>
          <w:sz w:val="24"/>
          <w:szCs w:val="24"/>
          <w:lang w:val="en-US" w:eastAsia="ru-RU"/>
        </w:rPr>
      </w:pPr>
      <w:r w:rsidRPr="008376FC">
        <w:rPr>
          <w:rFonts w:asciiTheme="majorHAnsi" w:eastAsia="Times New Roman" w:hAnsiTheme="majorHAnsi" w:cstheme="majorHAnsi"/>
          <w:b w:val="0"/>
          <w:bCs w:val="0"/>
          <w:sz w:val="24"/>
          <w:szCs w:val="24"/>
          <w:lang w:eastAsia="ru-RU"/>
        </w:rPr>
        <w:t xml:space="preserve">Totodată, este cert că sistemul de indicatori generalizați de BNS trebuie să includă toate informațiile cu privire la </w:t>
      </w:r>
      <w:r w:rsidRPr="008376FC">
        <w:rPr>
          <w:rFonts w:asciiTheme="majorHAnsi" w:eastAsia="Times New Roman" w:hAnsiTheme="majorHAnsi" w:cstheme="majorHAnsi"/>
          <w:b w:val="0"/>
          <w:bCs w:val="0"/>
          <w:sz w:val="24"/>
          <w:szCs w:val="24"/>
          <w:lang w:val="en-US" w:eastAsia="ru-RU"/>
        </w:rPr>
        <w:t>captarea, tratarea, transportul, acumularea şi distribuţia apei, respectiv, canalizarea, epurarea şi evacuarea apelor uzate. În acest sens, este necesar de revizuit actualul sistem de indicatori aferenți domeniului de aprivizionare cu apă și canalizare în așa mod ca acesta să releve un tablou real și să permită factorilor de decizie să adop</w:t>
      </w:r>
      <w:r w:rsidR="00CD7288">
        <w:rPr>
          <w:rFonts w:asciiTheme="majorHAnsi" w:eastAsia="Times New Roman" w:hAnsiTheme="majorHAnsi" w:cstheme="majorHAnsi"/>
          <w:b w:val="0"/>
          <w:bCs w:val="0"/>
          <w:sz w:val="24"/>
          <w:szCs w:val="24"/>
          <w:lang w:val="en-US" w:eastAsia="ru-RU"/>
        </w:rPr>
        <w:t>t</w:t>
      </w:r>
      <w:r w:rsidRPr="008376FC">
        <w:rPr>
          <w:rFonts w:asciiTheme="majorHAnsi" w:eastAsia="Times New Roman" w:hAnsiTheme="majorHAnsi" w:cstheme="majorHAnsi"/>
          <w:b w:val="0"/>
          <w:bCs w:val="0"/>
          <w:sz w:val="24"/>
          <w:szCs w:val="24"/>
          <w:lang w:val="en-US" w:eastAsia="ru-RU"/>
        </w:rPr>
        <w:t>e de</w:t>
      </w:r>
      <w:r w:rsidR="00CD7288">
        <w:rPr>
          <w:rFonts w:asciiTheme="majorHAnsi" w:eastAsia="Times New Roman" w:hAnsiTheme="majorHAnsi" w:cstheme="majorHAnsi"/>
          <w:b w:val="0"/>
          <w:bCs w:val="0"/>
          <w:sz w:val="24"/>
          <w:szCs w:val="24"/>
          <w:lang w:val="en-US" w:eastAsia="ru-RU"/>
        </w:rPr>
        <w:t>ci</w:t>
      </w:r>
      <w:r w:rsidRPr="008376FC">
        <w:rPr>
          <w:rFonts w:asciiTheme="majorHAnsi" w:eastAsia="Times New Roman" w:hAnsiTheme="majorHAnsi" w:cstheme="majorHAnsi"/>
          <w:b w:val="0"/>
          <w:bCs w:val="0"/>
          <w:sz w:val="24"/>
          <w:szCs w:val="24"/>
          <w:lang w:val="en-US" w:eastAsia="ru-RU"/>
        </w:rPr>
        <w:t>zii oportune. Este necesar ca s</w:t>
      </w:r>
      <w:r w:rsidRPr="008376FC">
        <w:rPr>
          <w:rFonts w:asciiTheme="majorHAnsi" w:eastAsia="Times New Roman" w:hAnsiTheme="majorHAnsi" w:cstheme="majorHAnsi"/>
          <w:b w:val="0"/>
          <w:bCs w:val="0"/>
          <w:sz w:val="24"/>
          <w:szCs w:val="24"/>
          <w:lang w:eastAsia="ru-RU"/>
        </w:rPr>
        <w:t xml:space="preserve">istemul național de indicatori în </w:t>
      </w:r>
      <w:r w:rsidRPr="008376FC">
        <w:rPr>
          <w:rFonts w:asciiTheme="majorHAnsi" w:eastAsia="Times New Roman" w:hAnsiTheme="majorHAnsi" w:cstheme="majorHAnsi"/>
          <w:b w:val="0"/>
          <w:bCs w:val="0"/>
          <w:sz w:val="24"/>
          <w:szCs w:val="24"/>
          <w:lang w:val="en-US" w:eastAsia="ru-RU"/>
        </w:rPr>
        <w:t>domeniul de aprivizionare cu apă și canalizare să întrunească atât indicatori din statistica oficială (produși de BNS), în conformitate cu standardele internaționale și ale UE în domeniu, cât și indicatori și informații din sursele administrtative ale ministerelor, organelor competente specializate în domeniu.</w:t>
      </w:r>
    </w:p>
    <w:p w:rsidR="00BE49FB" w:rsidRPr="008376FC" w:rsidRDefault="00BE49FB" w:rsidP="00F61756">
      <w:pPr>
        <w:numPr>
          <w:ilvl w:val="0"/>
          <w:numId w:val="13"/>
        </w:numPr>
        <w:spacing w:before="120" w:after="0" w:line="276" w:lineRule="auto"/>
        <w:contextualSpacing/>
        <w:jc w:val="both"/>
        <w:rPr>
          <w:rFonts w:asciiTheme="majorHAnsi" w:eastAsia="Calibri" w:hAnsiTheme="majorHAnsi" w:cstheme="majorHAnsi"/>
          <w:bCs w:val="0"/>
          <w:sz w:val="24"/>
          <w:szCs w:val="24"/>
          <w:shd w:val="clear" w:color="auto" w:fill="FFFFFF"/>
        </w:rPr>
      </w:pPr>
      <w:r w:rsidRPr="008376FC">
        <w:rPr>
          <w:rFonts w:asciiTheme="majorHAnsi" w:eastAsia="Calibri" w:hAnsiTheme="majorHAnsi" w:cstheme="majorHAnsi"/>
          <w:bCs w:val="0"/>
          <w:sz w:val="24"/>
          <w:szCs w:val="24"/>
          <w:shd w:val="clear" w:color="auto" w:fill="FFFFFF"/>
        </w:rPr>
        <w:t>Nu este asigurată plenitudinea datelor la nivel de țară</w:t>
      </w:r>
      <w:r w:rsidR="00CD7288">
        <w:rPr>
          <w:rFonts w:asciiTheme="majorHAnsi" w:eastAsia="Calibri" w:hAnsiTheme="majorHAnsi" w:cstheme="majorHAnsi"/>
          <w:bCs w:val="0"/>
          <w:sz w:val="24"/>
          <w:szCs w:val="24"/>
          <w:shd w:val="clear" w:color="auto" w:fill="FFFFFF"/>
        </w:rPr>
        <w:t>.</w:t>
      </w:r>
    </w:p>
    <w:p w:rsidR="00214F0C" w:rsidRDefault="00BE49FB" w:rsidP="00827362">
      <w:pPr>
        <w:shd w:val="clear" w:color="auto" w:fill="FFFFFF"/>
        <w:spacing w:before="120" w:after="0" w:line="276" w:lineRule="auto"/>
        <w:jc w:val="both"/>
        <w:rPr>
          <w:rFonts w:asciiTheme="majorHAnsi" w:eastAsia="Times New Roman" w:hAnsiTheme="majorHAnsi" w:cstheme="majorHAnsi"/>
          <w:bCs w:val="0"/>
          <w:sz w:val="20"/>
          <w:szCs w:val="20"/>
          <w:shd w:val="clear" w:color="auto" w:fill="FFFFFF"/>
          <w:lang w:eastAsia="ru-RU"/>
        </w:rPr>
      </w:pPr>
      <w:r w:rsidRPr="008376FC">
        <w:rPr>
          <w:rFonts w:asciiTheme="majorHAnsi" w:eastAsia="Times New Roman" w:hAnsiTheme="majorHAnsi" w:cstheme="majorHAnsi"/>
          <w:b w:val="0"/>
          <w:bCs w:val="0"/>
          <w:sz w:val="24"/>
          <w:szCs w:val="24"/>
          <w:shd w:val="clear" w:color="auto" w:fill="FFFFFF"/>
          <w:lang w:val="en-US" w:eastAsia="ru-RU"/>
        </w:rPr>
        <w:t xml:space="preserve">Analiza numărului de întreprinderi și primării care au prezentat Rapoartele statistice nr.1 Apeduct – canalizare „Funcționarea sistemelor publice de alimentare cu apă și de canalizare” denotă că numărul acestora variază de la an la an, ceea ce </w:t>
      </w:r>
      <w:r w:rsidR="00CD7288">
        <w:rPr>
          <w:rFonts w:asciiTheme="majorHAnsi" w:eastAsia="Times New Roman" w:hAnsiTheme="majorHAnsi" w:cstheme="majorHAnsi"/>
          <w:b w:val="0"/>
          <w:bCs w:val="0"/>
          <w:sz w:val="24"/>
          <w:szCs w:val="24"/>
          <w:shd w:val="clear" w:color="auto" w:fill="FFFFFF"/>
          <w:lang w:val="en-US" w:eastAsia="ru-RU"/>
        </w:rPr>
        <w:t>relevă</w:t>
      </w:r>
      <w:r w:rsidRPr="008376FC">
        <w:rPr>
          <w:rFonts w:asciiTheme="majorHAnsi" w:eastAsia="Times New Roman" w:hAnsiTheme="majorHAnsi" w:cstheme="majorHAnsi"/>
          <w:b w:val="0"/>
          <w:bCs w:val="0"/>
          <w:sz w:val="24"/>
          <w:szCs w:val="24"/>
          <w:shd w:val="clear" w:color="auto" w:fill="FFFFFF"/>
          <w:lang w:val="en-US" w:eastAsia="ru-RU"/>
        </w:rPr>
        <w:t xml:space="preserve"> că datele generalizate pe țară nu </w:t>
      </w:r>
      <w:r w:rsidR="00CD7288">
        <w:rPr>
          <w:rFonts w:asciiTheme="majorHAnsi" w:eastAsia="Times New Roman" w:hAnsiTheme="majorHAnsi" w:cstheme="majorHAnsi"/>
          <w:b w:val="0"/>
          <w:bCs w:val="0"/>
          <w:sz w:val="24"/>
          <w:szCs w:val="24"/>
          <w:shd w:val="clear" w:color="auto" w:fill="FFFFFF"/>
          <w:lang w:val="en-US" w:eastAsia="ru-RU"/>
        </w:rPr>
        <w:t>prezintă</w:t>
      </w:r>
      <w:r w:rsidR="00CD7288" w:rsidRPr="008376FC">
        <w:rPr>
          <w:rFonts w:asciiTheme="majorHAnsi" w:eastAsia="Times New Roman" w:hAnsiTheme="majorHAnsi" w:cstheme="majorHAnsi"/>
          <w:b w:val="0"/>
          <w:bCs w:val="0"/>
          <w:sz w:val="24"/>
          <w:szCs w:val="24"/>
          <w:shd w:val="clear" w:color="auto" w:fill="FFFFFF"/>
          <w:lang w:val="en-US" w:eastAsia="ru-RU"/>
        </w:rPr>
        <w:t xml:space="preserve"> </w:t>
      </w:r>
      <w:r w:rsidRPr="008376FC">
        <w:rPr>
          <w:rFonts w:asciiTheme="majorHAnsi" w:eastAsia="Times New Roman" w:hAnsiTheme="majorHAnsi" w:cstheme="majorHAnsi"/>
          <w:b w:val="0"/>
          <w:bCs w:val="0"/>
          <w:sz w:val="24"/>
          <w:szCs w:val="24"/>
          <w:shd w:val="clear" w:color="auto" w:fill="FFFFFF"/>
          <w:lang w:val="en-US" w:eastAsia="ru-RU"/>
        </w:rPr>
        <w:t>situația reală în domeniu. Astfel, numărul întreprinderilor și primăriilor care au prezentat Rapoartele statistice respective privind sistemele de alimentare cu apă a variat în anii 2016-2021 de la 614  la 685, iar pentru sisteme</w:t>
      </w:r>
      <w:r w:rsidR="00CD7288">
        <w:rPr>
          <w:rFonts w:asciiTheme="majorHAnsi" w:eastAsia="Times New Roman" w:hAnsiTheme="majorHAnsi" w:cstheme="majorHAnsi"/>
          <w:b w:val="0"/>
          <w:bCs w:val="0"/>
          <w:sz w:val="24"/>
          <w:szCs w:val="24"/>
          <w:shd w:val="clear" w:color="auto" w:fill="FFFFFF"/>
          <w:lang w:val="en-US" w:eastAsia="ru-RU"/>
        </w:rPr>
        <w:t>le</w:t>
      </w:r>
      <w:r w:rsidRPr="008376FC">
        <w:rPr>
          <w:rFonts w:asciiTheme="majorHAnsi" w:eastAsia="Times New Roman" w:hAnsiTheme="majorHAnsi" w:cstheme="majorHAnsi"/>
          <w:b w:val="0"/>
          <w:bCs w:val="0"/>
          <w:sz w:val="24"/>
          <w:szCs w:val="24"/>
          <w:shd w:val="clear" w:color="auto" w:fill="FFFFFF"/>
          <w:lang w:val="en-US" w:eastAsia="ru-RU"/>
        </w:rPr>
        <w:t xml:space="preserve"> de canalizare, de la 98 până la 105. </w:t>
      </w:r>
    </w:p>
    <w:p w:rsidR="00DF14D4" w:rsidRPr="008376FC" w:rsidRDefault="00DF14D4" w:rsidP="00F61756">
      <w:pPr>
        <w:shd w:val="clear" w:color="auto" w:fill="FFFFFF"/>
        <w:spacing w:line="276" w:lineRule="auto"/>
        <w:ind w:firstLine="540"/>
        <w:jc w:val="right"/>
        <w:rPr>
          <w:rFonts w:asciiTheme="majorHAnsi" w:eastAsia="Times New Roman" w:hAnsiTheme="majorHAnsi" w:cstheme="majorHAnsi"/>
          <w:b w:val="0"/>
          <w:bCs w:val="0"/>
          <w:sz w:val="24"/>
          <w:szCs w:val="24"/>
          <w:shd w:val="clear" w:color="auto" w:fill="FFFFFF"/>
          <w:lang w:val="en-US" w:eastAsia="ru-RU"/>
        </w:rPr>
      </w:pPr>
      <w:r w:rsidRPr="008376FC">
        <w:rPr>
          <w:rFonts w:asciiTheme="majorHAnsi" w:eastAsia="Times New Roman" w:hAnsiTheme="majorHAnsi" w:cstheme="majorHAnsi"/>
          <w:bCs w:val="0"/>
          <w:sz w:val="20"/>
          <w:szCs w:val="20"/>
          <w:shd w:val="clear" w:color="auto" w:fill="FFFFFF"/>
          <w:lang w:eastAsia="ru-RU"/>
        </w:rPr>
        <w:t xml:space="preserve">Tabelul nr. </w:t>
      </w:r>
      <w:r w:rsidR="00364E0F" w:rsidRPr="008376FC">
        <w:rPr>
          <w:rFonts w:asciiTheme="majorHAnsi" w:eastAsia="Times New Roman" w:hAnsiTheme="majorHAnsi" w:cstheme="majorHAnsi"/>
          <w:bCs w:val="0"/>
          <w:sz w:val="20"/>
          <w:szCs w:val="20"/>
          <w:shd w:val="clear" w:color="auto" w:fill="FFFFFF"/>
          <w:lang w:eastAsia="ru-RU"/>
        </w:rPr>
        <w:t>2</w:t>
      </w:r>
      <w:r w:rsidR="00FF1425" w:rsidRPr="008376FC">
        <w:rPr>
          <w:rFonts w:asciiTheme="majorHAnsi" w:eastAsia="Times New Roman" w:hAnsiTheme="majorHAnsi" w:cstheme="majorHAnsi"/>
          <w:bCs w:val="0"/>
          <w:sz w:val="20"/>
          <w:szCs w:val="20"/>
          <w:shd w:val="clear" w:color="auto" w:fill="FFFFFF"/>
          <w:lang w:eastAsia="ru-RU"/>
        </w:rPr>
        <w:t>4</w:t>
      </w:r>
    </w:p>
    <w:tbl>
      <w:tblPr>
        <w:tblStyle w:val="TableGrid4"/>
        <w:tblW w:w="9891" w:type="dxa"/>
        <w:shd w:val="clear" w:color="auto" w:fill="FFFFFF" w:themeFill="background1"/>
        <w:tblLook w:val="04A0" w:firstRow="1" w:lastRow="0" w:firstColumn="1" w:lastColumn="0" w:noHBand="0" w:noVBand="1"/>
      </w:tblPr>
      <w:tblGrid>
        <w:gridCol w:w="4278"/>
        <w:gridCol w:w="1070"/>
        <w:gridCol w:w="918"/>
        <w:gridCol w:w="916"/>
        <w:gridCol w:w="918"/>
        <w:gridCol w:w="916"/>
        <w:gridCol w:w="875"/>
      </w:tblGrid>
      <w:tr w:rsidR="0087456A" w:rsidRPr="008376FC" w:rsidTr="00214F0C">
        <w:trPr>
          <w:trHeight w:val="123"/>
        </w:trPr>
        <w:tc>
          <w:tcPr>
            <w:tcW w:w="9891" w:type="dxa"/>
            <w:gridSpan w:val="7"/>
            <w:tcBorders>
              <w:top w:val="nil"/>
              <w:left w:val="nil"/>
              <w:bottom w:val="single" w:sz="4" w:space="0" w:color="auto"/>
              <w:right w:val="nil"/>
            </w:tcBorders>
            <w:shd w:val="clear" w:color="auto" w:fill="FFFFFF" w:themeFill="background1"/>
          </w:tcPr>
          <w:p w:rsidR="0087456A" w:rsidRPr="008376FC" w:rsidRDefault="0087456A" w:rsidP="00214F0C">
            <w:pPr>
              <w:shd w:val="clear" w:color="auto" w:fill="FFFFFF"/>
              <w:rPr>
                <w:rFonts w:asciiTheme="majorHAnsi" w:eastAsia="Times New Roman" w:hAnsiTheme="majorHAnsi" w:cstheme="majorHAnsi"/>
                <w:bCs w:val="0"/>
                <w:sz w:val="20"/>
                <w:szCs w:val="20"/>
                <w:shd w:val="clear" w:color="auto" w:fill="FFFFFF"/>
                <w:lang w:eastAsia="ru-RU"/>
              </w:rPr>
            </w:pPr>
            <w:r w:rsidRPr="008376FC">
              <w:rPr>
                <w:rFonts w:asciiTheme="majorHAnsi" w:eastAsia="Times New Roman" w:hAnsiTheme="majorHAnsi" w:cstheme="majorHAnsi"/>
                <w:bCs w:val="0"/>
                <w:sz w:val="20"/>
                <w:szCs w:val="20"/>
                <w:shd w:val="clear" w:color="auto" w:fill="FFFFFF"/>
                <w:lang w:eastAsia="ru-RU"/>
              </w:rPr>
              <w:t xml:space="preserve">Numărul întreprinderilor și primăriilor care au prezentat BNS Rapoartele statistice nr. 1 </w:t>
            </w:r>
            <w:r w:rsidR="00CD7288">
              <w:rPr>
                <w:rFonts w:asciiTheme="majorHAnsi" w:eastAsia="Times New Roman" w:hAnsiTheme="majorHAnsi" w:cstheme="majorHAnsi"/>
                <w:bCs w:val="0"/>
                <w:sz w:val="20"/>
                <w:szCs w:val="20"/>
                <w:shd w:val="clear" w:color="auto" w:fill="FFFFFF"/>
                <w:lang w:eastAsia="ru-RU"/>
              </w:rPr>
              <w:t>A</w:t>
            </w:r>
            <w:r w:rsidRPr="008376FC">
              <w:rPr>
                <w:rFonts w:asciiTheme="majorHAnsi" w:eastAsia="Times New Roman" w:hAnsiTheme="majorHAnsi" w:cstheme="majorHAnsi"/>
                <w:bCs w:val="0"/>
                <w:sz w:val="20"/>
                <w:szCs w:val="20"/>
                <w:shd w:val="clear" w:color="auto" w:fill="FFFFFF"/>
                <w:lang w:eastAsia="ru-RU"/>
              </w:rPr>
              <w:t>peduct – canalizare</w:t>
            </w:r>
          </w:p>
        </w:tc>
      </w:tr>
      <w:tr w:rsidR="00BE49FB" w:rsidRPr="008376FC" w:rsidTr="005C7C93">
        <w:trPr>
          <w:trHeight w:val="116"/>
        </w:trPr>
        <w:tc>
          <w:tcPr>
            <w:tcW w:w="4278" w:type="dxa"/>
            <w:tcBorders>
              <w:top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Cs w:val="0"/>
                <w:sz w:val="20"/>
                <w:szCs w:val="20"/>
                <w:shd w:val="clear" w:color="auto" w:fill="FFFFFF"/>
                <w:lang w:eastAsia="ru-RU"/>
              </w:rPr>
            </w:pPr>
            <w:r w:rsidRPr="008376FC">
              <w:rPr>
                <w:rFonts w:asciiTheme="majorHAnsi" w:eastAsia="Times New Roman" w:hAnsiTheme="majorHAnsi" w:cstheme="majorHAnsi"/>
                <w:bCs w:val="0"/>
                <w:sz w:val="20"/>
                <w:szCs w:val="20"/>
                <w:shd w:val="clear" w:color="auto" w:fill="FFFFFF"/>
                <w:lang w:eastAsia="ru-RU"/>
              </w:rPr>
              <w:t>Indicatorii</w:t>
            </w:r>
          </w:p>
        </w:tc>
        <w:tc>
          <w:tcPr>
            <w:tcW w:w="1070" w:type="dxa"/>
            <w:tcBorders>
              <w:top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Cs w:val="0"/>
                <w:sz w:val="20"/>
                <w:szCs w:val="20"/>
                <w:shd w:val="clear" w:color="auto" w:fill="FFFFFF"/>
                <w:lang w:eastAsia="ru-RU"/>
              </w:rPr>
            </w:pPr>
            <w:r w:rsidRPr="008376FC">
              <w:rPr>
                <w:rFonts w:asciiTheme="majorHAnsi" w:eastAsia="Times New Roman" w:hAnsiTheme="majorHAnsi" w:cstheme="majorHAnsi"/>
                <w:bCs w:val="0"/>
                <w:sz w:val="20"/>
                <w:szCs w:val="20"/>
                <w:shd w:val="clear" w:color="auto" w:fill="FFFFFF"/>
                <w:lang w:eastAsia="ru-RU"/>
              </w:rPr>
              <w:t>2016</w:t>
            </w:r>
          </w:p>
        </w:tc>
        <w:tc>
          <w:tcPr>
            <w:tcW w:w="918" w:type="dxa"/>
            <w:tcBorders>
              <w:top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Cs w:val="0"/>
                <w:sz w:val="20"/>
                <w:szCs w:val="20"/>
                <w:shd w:val="clear" w:color="auto" w:fill="FFFFFF"/>
                <w:lang w:eastAsia="ru-RU"/>
              </w:rPr>
            </w:pPr>
            <w:r w:rsidRPr="008376FC">
              <w:rPr>
                <w:rFonts w:asciiTheme="majorHAnsi" w:eastAsia="Times New Roman" w:hAnsiTheme="majorHAnsi" w:cstheme="majorHAnsi"/>
                <w:bCs w:val="0"/>
                <w:sz w:val="20"/>
                <w:szCs w:val="20"/>
                <w:shd w:val="clear" w:color="auto" w:fill="FFFFFF"/>
                <w:lang w:eastAsia="ru-RU"/>
              </w:rPr>
              <w:t>2017</w:t>
            </w:r>
          </w:p>
        </w:tc>
        <w:tc>
          <w:tcPr>
            <w:tcW w:w="916" w:type="dxa"/>
            <w:tcBorders>
              <w:top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Cs w:val="0"/>
                <w:sz w:val="20"/>
                <w:szCs w:val="20"/>
                <w:shd w:val="clear" w:color="auto" w:fill="FFFFFF"/>
                <w:lang w:eastAsia="ru-RU"/>
              </w:rPr>
            </w:pPr>
            <w:r w:rsidRPr="008376FC">
              <w:rPr>
                <w:rFonts w:asciiTheme="majorHAnsi" w:eastAsia="Times New Roman" w:hAnsiTheme="majorHAnsi" w:cstheme="majorHAnsi"/>
                <w:bCs w:val="0"/>
                <w:sz w:val="20"/>
                <w:szCs w:val="20"/>
                <w:shd w:val="clear" w:color="auto" w:fill="FFFFFF"/>
                <w:lang w:eastAsia="ru-RU"/>
              </w:rPr>
              <w:t>2018</w:t>
            </w:r>
          </w:p>
        </w:tc>
        <w:tc>
          <w:tcPr>
            <w:tcW w:w="918" w:type="dxa"/>
            <w:tcBorders>
              <w:top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Cs w:val="0"/>
                <w:sz w:val="20"/>
                <w:szCs w:val="20"/>
                <w:shd w:val="clear" w:color="auto" w:fill="FFFFFF"/>
                <w:lang w:eastAsia="ru-RU"/>
              </w:rPr>
            </w:pPr>
            <w:r w:rsidRPr="008376FC">
              <w:rPr>
                <w:rFonts w:asciiTheme="majorHAnsi" w:eastAsia="Times New Roman" w:hAnsiTheme="majorHAnsi" w:cstheme="majorHAnsi"/>
                <w:bCs w:val="0"/>
                <w:sz w:val="20"/>
                <w:szCs w:val="20"/>
                <w:shd w:val="clear" w:color="auto" w:fill="FFFFFF"/>
                <w:lang w:eastAsia="ru-RU"/>
              </w:rPr>
              <w:t>2019</w:t>
            </w:r>
          </w:p>
        </w:tc>
        <w:tc>
          <w:tcPr>
            <w:tcW w:w="916" w:type="dxa"/>
            <w:tcBorders>
              <w:top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Cs w:val="0"/>
                <w:sz w:val="20"/>
                <w:szCs w:val="20"/>
                <w:shd w:val="clear" w:color="auto" w:fill="FFFFFF"/>
                <w:lang w:eastAsia="ru-RU"/>
              </w:rPr>
            </w:pPr>
            <w:r w:rsidRPr="008376FC">
              <w:rPr>
                <w:rFonts w:asciiTheme="majorHAnsi" w:eastAsia="Times New Roman" w:hAnsiTheme="majorHAnsi" w:cstheme="majorHAnsi"/>
                <w:bCs w:val="0"/>
                <w:sz w:val="20"/>
                <w:szCs w:val="20"/>
                <w:shd w:val="clear" w:color="auto" w:fill="FFFFFF"/>
                <w:lang w:eastAsia="ru-RU"/>
              </w:rPr>
              <w:t>2020</w:t>
            </w:r>
          </w:p>
        </w:tc>
        <w:tc>
          <w:tcPr>
            <w:tcW w:w="873" w:type="dxa"/>
            <w:tcBorders>
              <w:top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Cs w:val="0"/>
                <w:sz w:val="20"/>
                <w:szCs w:val="20"/>
                <w:shd w:val="clear" w:color="auto" w:fill="FFFFFF"/>
                <w:lang w:eastAsia="ru-RU"/>
              </w:rPr>
            </w:pPr>
            <w:r w:rsidRPr="008376FC">
              <w:rPr>
                <w:rFonts w:asciiTheme="majorHAnsi" w:eastAsia="Times New Roman" w:hAnsiTheme="majorHAnsi" w:cstheme="majorHAnsi"/>
                <w:bCs w:val="0"/>
                <w:sz w:val="20"/>
                <w:szCs w:val="20"/>
                <w:shd w:val="clear" w:color="auto" w:fill="FFFFFF"/>
                <w:lang w:eastAsia="ru-RU"/>
              </w:rPr>
              <w:t>2021</w:t>
            </w:r>
          </w:p>
        </w:tc>
      </w:tr>
      <w:tr w:rsidR="00BE49FB" w:rsidRPr="008376FC" w:rsidTr="005C7C93">
        <w:trPr>
          <w:trHeight w:val="133"/>
        </w:trPr>
        <w:tc>
          <w:tcPr>
            <w:tcW w:w="4278"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Sisteme de alimentare cu apă</w:t>
            </w:r>
          </w:p>
        </w:tc>
        <w:tc>
          <w:tcPr>
            <w:tcW w:w="1070"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614</w:t>
            </w:r>
          </w:p>
        </w:tc>
        <w:tc>
          <w:tcPr>
            <w:tcW w:w="918"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616</w:t>
            </w:r>
            <w:r w:rsidRPr="008376FC">
              <w:rPr>
                <w:rFonts w:asciiTheme="majorHAnsi" w:eastAsia="Times New Roman" w:hAnsiTheme="majorHAnsi" w:cstheme="majorHAnsi"/>
                <w:b w:val="0"/>
                <w:bCs w:val="0"/>
                <w:color w:val="FF0000"/>
                <w:sz w:val="20"/>
                <w:szCs w:val="20"/>
                <w:shd w:val="clear" w:color="auto" w:fill="FFFFFF"/>
                <w:lang w:eastAsia="ru-RU"/>
              </w:rPr>
              <w:sym w:font="Wingdings" w:char="F0E9"/>
            </w:r>
          </w:p>
        </w:tc>
        <w:tc>
          <w:tcPr>
            <w:tcW w:w="916"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623</w:t>
            </w:r>
            <w:r w:rsidRPr="008376FC">
              <w:rPr>
                <w:rFonts w:asciiTheme="majorHAnsi" w:eastAsia="Times New Roman" w:hAnsiTheme="majorHAnsi" w:cstheme="majorHAnsi"/>
                <w:b w:val="0"/>
                <w:bCs w:val="0"/>
                <w:color w:val="FF0000"/>
                <w:sz w:val="20"/>
                <w:szCs w:val="20"/>
                <w:shd w:val="clear" w:color="auto" w:fill="FFFFFF"/>
                <w:lang w:eastAsia="ru-RU"/>
              </w:rPr>
              <w:sym w:font="Wingdings" w:char="F0E9"/>
            </w:r>
          </w:p>
        </w:tc>
        <w:tc>
          <w:tcPr>
            <w:tcW w:w="918"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630</w:t>
            </w:r>
            <w:r w:rsidRPr="008376FC">
              <w:rPr>
                <w:rFonts w:asciiTheme="majorHAnsi" w:eastAsia="Times New Roman" w:hAnsiTheme="majorHAnsi" w:cstheme="majorHAnsi"/>
                <w:b w:val="0"/>
                <w:bCs w:val="0"/>
                <w:color w:val="FF0000"/>
                <w:sz w:val="20"/>
                <w:szCs w:val="20"/>
                <w:shd w:val="clear" w:color="auto" w:fill="FFFFFF"/>
                <w:lang w:eastAsia="ru-RU"/>
              </w:rPr>
              <w:sym w:font="Wingdings" w:char="F0E9"/>
            </w:r>
          </w:p>
        </w:tc>
        <w:tc>
          <w:tcPr>
            <w:tcW w:w="916"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651</w:t>
            </w:r>
            <w:r w:rsidRPr="008376FC">
              <w:rPr>
                <w:rFonts w:asciiTheme="majorHAnsi" w:eastAsia="Times New Roman" w:hAnsiTheme="majorHAnsi" w:cstheme="majorHAnsi"/>
                <w:b w:val="0"/>
                <w:bCs w:val="0"/>
                <w:color w:val="FF0000"/>
                <w:sz w:val="20"/>
                <w:szCs w:val="20"/>
                <w:shd w:val="clear" w:color="auto" w:fill="FFFFFF"/>
                <w:lang w:eastAsia="ru-RU"/>
              </w:rPr>
              <w:sym w:font="Wingdings" w:char="F0E9"/>
            </w:r>
          </w:p>
        </w:tc>
        <w:tc>
          <w:tcPr>
            <w:tcW w:w="873"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685</w:t>
            </w:r>
            <w:r w:rsidRPr="008376FC">
              <w:rPr>
                <w:rFonts w:asciiTheme="majorHAnsi" w:eastAsia="Times New Roman" w:hAnsiTheme="majorHAnsi" w:cstheme="majorHAnsi"/>
                <w:b w:val="0"/>
                <w:bCs w:val="0"/>
                <w:color w:val="FF0000"/>
                <w:sz w:val="20"/>
                <w:szCs w:val="20"/>
                <w:shd w:val="clear" w:color="auto" w:fill="FFFFFF"/>
                <w:lang w:eastAsia="ru-RU"/>
              </w:rPr>
              <w:sym w:font="Wingdings" w:char="F0E9"/>
            </w:r>
          </w:p>
        </w:tc>
      </w:tr>
      <w:tr w:rsidR="00BE49FB" w:rsidRPr="008376FC" w:rsidTr="005C7C93">
        <w:trPr>
          <w:trHeight w:val="55"/>
        </w:trPr>
        <w:tc>
          <w:tcPr>
            <w:tcW w:w="4278"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 xml:space="preserve">Sisteme </w:t>
            </w:r>
            <w:r w:rsidRPr="0045055E">
              <w:rPr>
                <w:rFonts w:asciiTheme="majorHAnsi" w:eastAsia="Times New Roman" w:hAnsiTheme="majorHAnsi" w:cstheme="majorHAnsi"/>
                <w:b w:val="0"/>
                <w:bCs w:val="0"/>
                <w:sz w:val="20"/>
                <w:szCs w:val="20"/>
                <w:shd w:val="clear" w:color="auto" w:fill="FFFFFF"/>
                <w:lang w:eastAsia="ru-RU"/>
              </w:rPr>
              <w:t xml:space="preserve">de canalizare </w:t>
            </w:r>
          </w:p>
        </w:tc>
        <w:tc>
          <w:tcPr>
            <w:tcW w:w="1070"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109</w:t>
            </w:r>
          </w:p>
        </w:tc>
        <w:tc>
          <w:tcPr>
            <w:tcW w:w="918"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99</w:t>
            </w:r>
            <w:r w:rsidRPr="008376FC">
              <w:rPr>
                <w:rFonts w:asciiTheme="majorHAnsi" w:eastAsia="Times New Roman" w:hAnsiTheme="majorHAnsi" w:cstheme="majorHAnsi"/>
                <w:b w:val="0"/>
                <w:bCs w:val="0"/>
                <w:color w:val="00B050"/>
                <w:sz w:val="20"/>
                <w:szCs w:val="20"/>
                <w:shd w:val="clear" w:color="auto" w:fill="FFFFFF"/>
                <w:lang w:eastAsia="ru-RU"/>
              </w:rPr>
              <w:sym w:font="Wingdings" w:char="F0EA"/>
            </w:r>
          </w:p>
        </w:tc>
        <w:tc>
          <w:tcPr>
            <w:tcW w:w="916"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98</w:t>
            </w:r>
            <w:r w:rsidRPr="008376FC">
              <w:rPr>
                <w:rFonts w:asciiTheme="majorHAnsi" w:eastAsia="Times New Roman" w:hAnsiTheme="majorHAnsi" w:cstheme="majorHAnsi"/>
                <w:b w:val="0"/>
                <w:bCs w:val="0"/>
                <w:color w:val="00B050"/>
                <w:sz w:val="20"/>
                <w:szCs w:val="20"/>
                <w:shd w:val="clear" w:color="auto" w:fill="FFFFFF"/>
                <w:lang w:eastAsia="ru-RU"/>
              </w:rPr>
              <w:sym w:font="Wingdings" w:char="F0EA"/>
            </w:r>
          </w:p>
        </w:tc>
        <w:tc>
          <w:tcPr>
            <w:tcW w:w="918"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99</w:t>
            </w:r>
            <w:r w:rsidRPr="008376FC">
              <w:rPr>
                <w:rFonts w:asciiTheme="majorHAnsi" w:eastAsia="Times New Roman" w:hAnsiTheme="majorHAnsi" w:cstheme="majorHAnsi"/>
                <w:bCs w:val="0"/>
                <w:color w:val="00B050"/>
                <w:sz w:val="20"/>
                <w:szCs w:val="20"/>
                <w:shd w:val="clear" w:color="auto" w:fill="FFFFFF"/>
                <w:lang w:eastAsia="ru-RU"/>
              </w:rPr>
              <w:sym w:font="Wingdings" w:char="F0E9"/>
            </w:r>
          </w:p>
        </w:tc>
        <w:tc>
          <w:tcPr>
            <w:tcW w:w="916"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101</w:t>
            </w:r>
            <w:r w:rsidRPr="008376FC">
              <w:rPr>
                <w:rFonts w:asciiTheme="majorHAnsi" w:eastAsia="Times New Roman" w:hAnsiTheme="majorHAnsi" w:cstheme="majorHAnsi"/>
                <w:b w:val="0"/>
                <w:bCs w:val="0"/>
                <w:color w:val="00B050"/>
                <w:sz w:val="20"/>
                <w:szCs w:val="20"/>
                <w:shd w:val="clear" w:color="auto" w:fill="FFFFFF"/>
                <w:lang w:eastAsia="ru-RU"/>
              </w:rPr>
              <w:sym w:font="Wingdings" w:char="F0E9"/>
            </w:r>
          </w:p>
        </w:tc>
        <w:tc>
          <w:tcPr>
            <w:tcW w:w="873" w:type="dxa"/>
            <w:tcBorders>
              <w:bottom w:val="single" w:sz="4" w:space="0" w:color="auto"/>
            </w:tcBorders>
            <w:shd w:val="clear" w:color="auto" w:fill="FFFFFF" w:themeFill="background1"/>
          </w:tcPr>
          <w:p w:rsidR="00BE49FB" w:rsidRPr="008376FC" w:rsidRDefault="00BE49FB" w:rsidP="00214F0C">
            <w:pPr>
              <w:rPr>
                <w:rFonts w:asciiTheme="majorHAnsi" w:eastAsia="Times New Roman" w:hAnsiTheme="majorHAnsi" w:cstheme="majorHAnsi"/>
                <w:b w:val="0"/>
                <w:bCs w:val="0"/>
                <w:sz w:val="20"/>
                <w:szCs w:val="20"/>
                <w:shd w:val="clear" w:color="auto" w:fill="FFFFFF"/>
                <w:lang w:eastAsia="ru-RU"/>
              </w:rPr>
            </w:pPr>
            <w:r w:rsidRPr="008376FC">
              <w:rPr>
                <w:rFonts w:asciiTheme="majorHAnsi" w:eastAsia="Times New Roman" w:hAnsiTheme="majorHAnsi" w:cstheme="majorHAnsi"/>
                <w:b w:val="0"/>
                <w:bCs w:val="0"/>
                <w:sz w:val="20"/>
                <w:szCs w:val="20"/>
                <w:shd w:val="clear" w:color="auto" w:fill="FFFFFF"/>
                <w:lang w:eastAsia="ru-RU"/>
              </w:rPr>
              <w:t>105</w:t>
            </w:r>
            <w:r w:rsidRPr="008376FC">
              <w:rPr>
                <w:rFonts w:asciiTheme="majorHAnsi" w:eastAsia="Times New Roman" w:hAnsiTheme="majorHAnsi" w:cstheme="majorHAnsi"/>
                <w:b w:val="0"/>
                <w:bCs w:val="0"/>
                <w:color w:val="00B050"/>
                <w:sz w:val="20"/>
                <w:szCs w:val="20"/>
                <w:shd w:val="clear" w:color="auto" w:fill="FFFFFF"/>
                <w:lang w:eastAsia="ru-RU"/>
              </w:rPr>
              <w:sym w:font="Wingdings" w:char="F0E9"/>
            </w:r>
          </w:p>
        </w:tc>
      </w:tr>
      <w:tr w:rsidR="0087456A" w:rsidRPr="008376FC" w:rsidTr="005C7C93">
        <w:trPr>
          <w:trHeight w:val="55"/>
        </w:trPr>
        <w:tc>
          <w:tcPr>
            <w:tcW w:w="9891" w:type="dxa"/>
            <w:gridSpan w:val="7"/>
            <w:tcBorders>
              <w:top w:val="single" w:sz="4" w:space="0" w:color="auto"/>
              <w:left w:val="nil"/>
              <w:bottom w:val="nil"/>
              <w:right w:val="nil"/>
            </w:tcBorders>
            <w:shd w:val="clear" w:color="auto" w:fill="FFFFFF" w:themeFill="background1"/>
          </w:tcPr>
          <w:p w:rsidR="00CD7288" w:rsidRPr="00A675D5" w:rsidRDefault="00CD7288" w:rsidP="00214F0C">
            <w:pPr>
              <w:pStyle w:val="a3"/>
              <w:ind w:left="0"/>
              <w:rPr>
                <w:rFonts w:asciiTheme="majorHAnsi" w:hAnsiTheme="majorHAnsi" w:cstheme="majorHAnsi"/>
                <w:i/>
                <w:sz w:val="20"/>
                <w:szCs w:val="20"/>
                <w:lang w:val="en-US"/>
              </w:rPr>
            </w:pPr>
            <w:r w:rsidRPr="00A675D5">
              <w:rPr>
                <w:rFonts w:asciiTheme="majorHAnsi" w:hAnsiTheme="majorHAnsi" w:cstheme="majorHAnsi"/>
                <w:b/>
                <w:i/>
                <w:sz w:val="20"/>
                <w:szCs w:val="20"/>
                <w:lang w:val="en-US"/>
              </w:rPr>
              <w:t>Sursa:</w:t>
            </w:r>
            <w:r w:rsidRPr="00A675D5">
              <w:rPr>
                <w:rFonts w:asciiTheme="majorHAnsi" w:hAnsiTheme="majorHAnsi" w:cstheme="majorHAnsi"/>
                <w:i/>
                <w:sz w:val="20"/>
                <w:szCs w:val="20"/>
                <w:lang w:val="en-US"/>
              </w:rPr>
              <w:t xml:space="preserve"> Date oferite de BNS.</w:t>
            </w:r>
          </w:p>
          <w:p w:rsidR="0087456A" w:rsidRPr="008376FC" w:rsidRDefault="0087456A" w:rsidP="00214F0C">
            <w:pPr>
              <w:rPr>
                <w:rFonts w:asciiTheme="majorHAnsi" w:eastAsia="Times New Roman" w:hAnsiTheme="majorHAnsi" w:cstheme="majorHAnsi"/>
                <w:b w:val="0"/>
                <w:bCs w:val="0"/>
                <w:sz w:val="20"/>
                <w:szCs w:val="20"/>
                <w:shd w:val="clear" w:color="auto" w:fill="FFFFFF"/>
                <w:lang w:eastAsia="ru-RU"/>
              </w:rPr>
            </w:pPr>
          </w:p>
        </w:tc>
      </w:tr>
    </w:tbl>
    <w:p w:rsidR="00C455EB" w:rsidRDefault="00FE128C" w:rsidP="00214F0C">
      <w:pPr>
        <w:shd w:val="clear" w:color="auto" w:fill="FFFFFF"/>
        <w:spacing w:after="0" w:line="276" w:lineRule="auto"/>
        <w:jc w:val="both"/>
        <w:rPr>
          <w:rFonts w:asciiTheme="majorHAnsi" w:eastAsia="Times New Roman" w:hAnsiTheme="majorHAnsi" w:cstheme="majorHAnsi"/>
          <w:b w:val="0"/>
          <w:bCs w:val="0"/>
          <w:sz w:val="24"/>
          <w:szCs w:val="24"/>
          <w:shd w:val="clear" w:color="auto" w:fill="FFFFFF"/>
          <w:lang w:eastAsia="ru-RU"/>
        </w:rPr>
      </w:pPr>
      <w:r w:rsidRPr="008376FC">
        <w:rPr>
          <w:rFonts w:asciiTheme="majorHAnsi" w:eastAsia="Times New Roman" w:hAnsiTheme="majorHAnsi" w:cstheme="majorHAnsi"/>
          <w:b w:val="0"/>
          <w:bCs w:val="0"/>
          <w:sz w:val="24"/>
          <w:szCs w:val="24"/>
          <w:shd w:val="clear" w:color="auto" w:fill="FFFFFF"/>
          <w:lang w:eastAsia="ru-RU"/>
        </w:rPr>
        <w:t xml:space="preserve">De menționat că, urmare a reformelor APC, care au avut loc în anii 2014-2022, </w:t>
      </w:r>
      <w:r w:rsidR="0015102F" w:rsidRPr="008376FC">
        <w:rPr>
          <w:rFonts w:asciiTheme="majorHAnsi" w:eastAsia="Times New Roman" w:hAnsiTheme="majorHAnsi" w:cstheme="majorHAnsi"/>
          <w:b w:val="0"/>
          <w:bCs w:val="0"/>
          <w:sz w:val="24"/>
          <w:szCs w:val="24"/>
          <w:shd w:val="clear" w:color="auto" w:fill="FFFFFF"/>
          <w:lang w:eastAsia="ru-RU"/>
        </w:rPr>
        <w:t>atribuţiile</w:t>
      </w:r>
      <w:r w:rsidRPr="008376FC">
        <w:rPr>
          <w:rFonts w:asciiTheme="majorHAnsi" w:eastAsia="Times New Roman" w:hAnsiTheme="majorHAnsi" w:cstheme="majorHAnsi"/>
          <w:b w:val="0"/>
          <w:bCs w:val="0"/>
          <w:sz w:val="24"/>
          <w:szCs w:val="24"/>
          <w:shd w:val="clear" w:color="auto" w:fill="FFFFFF"/>
          <w:lang w:eastAsia="ru-RU"/>
        </w:rPr>
        <w:t xml:space="preserve"> aferente infrastructur</w:t>
      </w:r>
      <w:r w:rsidR="00074609" w:rsidRPr="008376FC">
        <w:rPr>
          <w:rFonts w:asciiTheme="majorHAnsi" w:eastAsia="Times New Roman" w:hAnsiTheme="majorHAnsi" w:cstheme="majorHAnsi"/>
          <w:b w:val="0"/>
          <w:bCs w:val="0"/>
          <w:sz w:val="24"/>
          <w:szCs w:val="24"/>
          <w:shd w:val="clear" w:color="auto" w:fill="FFFFFF"/>
          <w:lang w:eastAsia="ru-RU"/>
        </w:rPr>
        <w:t>ii</w:t>
      </w:r>
      <w:r w:rsidRPr="008376FC">
        <w:rPr>
          <w:rFonts w:asciiTheme="majorHAnsi" w:eastAsia="Times New Roman" w:hAnsiTheme="majorHAnsi" w:cstheme="majorHAnsi"/>
          <w:b w:val="0"/>
          <w:bCs w:val="0"/>
          <w:sz w:val="24"/>
          <w:szCs w:val="24"/>
          <w:shd w:val="clear" w:color="auto" w:fill="FFFFFF"/>
          <w:lang w:eastAsia="ru-RU"/>
        </w:rPr>
        <w:t xml:space="preserve"> în domeniul </w:t>
      </w:r>
      <w:r w:rsidR="00BE49FB" w:rsidRPr="008376FC">
        <w:rPr>
          <w:rFonts w:asciiTheme="majorHAnsi" w:eastAsia="Times New Roman" w:hAnsiTheme="majorHAnsi" w:cstheme="majorHAnsi"/>
          <w:b w:val="0"/>
          <w:bCs w:val="0"/>
          <w:sz w:val="24"/>
          <w:szCs w:val="24"/>
          <w:shd w:val="clear" w:color="auto" w:fill="FFFFFF"/>
          <w:lang w:eastAsia="ru-RU"/>
        </w:rPr>
        <w:t xml:space="preserve">alimentării cu apă şi </w:t>
      </w:r>
      <w:r w:rsidR="00C84322" w:rsidRPr="008376FC">
        <w:rPr>
          <w:rFonts w:asciiTheme="majorHAnsi" w:eastAsia="Times New Roman" w:hAnsiTheme="majorHAnsi" w:cstheme="majorHAnsi"/>
          <w:b w:val="0"/>
          <w:bCs w:val="0"/>
          <w:sz w:val="24"/>
          <w:szCs w:val="24"/>
          <w:shd w:val="clear" w:color="auto" w:fill="FFFFFF"/>
          <w:lang w:eastAsia="ru-RU"/>
        </w:rPr>
        <w:t>sanitație</w:t>
      </w:r>
      <w:r w:rsidR="00CD7288">
        <w:rPr>
          <w:rFonts w:asciiTheme="majorHAnsi" w:eastAsia="Times New Roman" w:hAnsiTheme="majorHAnsi" w:cstheme="majorHAnsi"/>
          <w:b w:val="0"/>
          <w:bCs w:val="0"/>
          <w:sz w:val="24"/>
          <w:szCs w:val="24"/>
          <w:shd w:val="clear" w:color="auto" w:fill="FFFFFF"/>
          <w:lang w:eastAsia="ru-RU"/>
        </w:rPr>
        <w:t>i</w:t>
      </w:r>
      <w:r w:rsidR="003B72E3" w:rsidRPr="008376FC">
        <w:rPr>
          <w:rFonts w:asciiTheme="majorHAnsi" w:eastAsia="Times New Roman" w:hAnsiTheme="majorHAnsi" w:cstheme="majorHAnsi"/>
          <w:b w:val="0"/>
          <w:bCs w:val="0"/>
          <w:sz w:val="24"/>
          <w:szCs w:val="24"/>
          <w:shd w:val="clear" w:color="auto" w:fill="FFFFFF"/>
          <w:lang w:eastAsia="ru-RU"/>
        </w:rPr>
        <w:t>,</w:t>
      </w:r>
      <w:r w:rsidRPr="008376FC">
        <w:rPr>
          <w:rFonts w:asciiTheme="majorHAnsi" w:eastAsia="Times New Roman" w:hAnsiTheme="majorHAnsi" w:cstheme="majorHAnsi"/>
          <w:b w:val="0"/>
          <w:bCs w:val="0"/>
          <w:sz w:val="24"/>
          <w:szCs w:val="24"/>
          <w:shd w:val="clear" w:color="auto" w:fill="FFFFFF"/>
          <w:lang w:eastAsia="ru-RU"/>
        </w:rPr>
        <w:t xml:space="preserve"> </w:t>
      </w:r>
      <w:r w:rsidR="003B72E3" w:rsidRPr="008376FC">
        <w:rPr>
          <w:rFonts w:asciiTheme="majorHAnsi" w:eastAsia="Times New Roman" w:hAnsiTheme="majorHAnsi" w:cstheme="majorHAnsi"/>
          <w:b w:val="0"/>
          <w:bCs w:val="0"/>
          <w:sz w:val="24"/>
          <w:szCs w:val="24"/>
          <w:shd w:val="clear" w:color="auto" w:fill="FFFFFF"/>
          <w:lang w:eastAsia="ru-RU"/>
        </w:rPr>
        <w:t xml:space="preserve">în contextul responsabilităților de planificare şi amenajare a teritoriului, </w:t>
      </w:r>
      <w:r w:rsidRPr="008376FC">
        <w:rPr>
          <w:rFonts w:asciiTheme="majorHAnsi" w:eastAsia="Times New Roman" w:hAnsiTheme="majorHAnsi" w:cstheme="majorHAnsi"/>
          <w:b w:val="0"/>
          <w:bCs w:val="0"/>
          <w:sz w:val="24"/>
          <w:szCs w:val="24"/>
          <w:shd w:val="clear" w:color="auto" w:fill="FFFFFF"/>
          <w:lang w:eastAsia="ru-RU"/>
        </w:rPr>
        <w:t>au fost exercitate până în anul 2017 de către MDRC</w:t>
      </w:r>
      <w:r w:rsidR="00C22D83" w:rsidRPr="008376FC">
        <w:rPr>
          <w:rStyle w:val="ab"/>
          <w:rFonts w:asciiTheme="majorHAnsi" w:eastAsia="Times New Roman" w:hAnsiTheme="majorHAnsi" w:cstheme="majorHAnsi"/>
          <w:b w:val="0"/>
          <w:bCs w:val="0"/>
          <w:sz w:val="24"/>
          <w:szCs w:val="24"/>
          <w:shd w:val="clear" w:color="auto" w:fill="FFFFFF"/>
          <w:lang w:eastAsia="ru-RU"/>
        </w:rPr>
        <w:footnoteReference w:id="98"/>
      </w:r>
      <w:r w:rsidR="00074609" w:rsidRPr="008376FC">
        <w:rPr>
          <w:rFonts w:asciiTheme="majorHAnsi" w:eastAsia="Times New Roman" w:hAnsiTheme="majorHAnsi" w:cstheme="majorHAnsi"/>
          <w:b w:val="0"/>
          <w:bCs w:val="0"/>
          <w:sz w:val="24"/>
          <w:szCs w:val="24"/>
          <w:shd w:val="clear" w:color="auto" w:fill="FFFFFF"/>
          <w:lang w:eastAsia="ru-RU"/>
        </w:rPr>
        <w:t xml:space="preserve">, iar în perioada 2017-2021 </w:t>
      </w:r>
      <w:r w:rsidR="00CD7288">
        <w:rPr>
          <w:rFonts w:asciiTheme="majorHAnsi" w:eastAsia="Times New Roman" w:hAnsiTheme="majorHAnsi" w:cstheme="majorHAnsi"/>
          <w:b w:val="0"/>
          <w:bCs w:val="0"/>
          <w:sz w:val="24"/>
          <w:szCs w:val="24"/>
          <w:shd w:val="clear" w:color="auto" w:fill="FFFFFF"/>
          <w:lang w:eastAsia="ru-RU"/>
        </w:rPr>
        <w:t xml:space="preserve">– </w:t>
      </w:r>
      <w:r w:rsidR="00074609" w:rsidRPr="008376FC">
        <w:rPr>
          <w:rFonts w:asciiTheme="majorHAnsi" w:eastAsia="Times New Roman" w:hAnsiTheme="majorHAnsi" w:cstheme="majorHAnsi"/>
          <w:b w:val="0"/>
          <w:bCs w:val="0"/>
          <w:sz w:val="24"/>
          <w:szCs w:val="24"/>
          <w:shd w:val="clear" w:color="auto" w:fill="FFFFFF"/>
          <w:lang w:eastAsia="ru-RU"/>
        </w:rPr>
        <w:t>de către MADRM</w:t>
      </w:r>
      <w:r w:rsidR="00EA402A" w:rsidRPr="008376FC">
        <w:rPr>
          <w:rStyle w:val="ab"/>
          <w:rFonts w:asciiTheme="majorHAnsi" w:eastAsia="Times New Roman" w:hAnsiTheme="majorHAnsi" w:cstheme="majorHAnsi"/>
          <w:b w:val="0"/>
          <w:bCs w:val="0"/>
          <w:sz w:val="24"/>
          <w:szCs w:val="24"/>
          <w:shd w:val="clear" w:color="auto" w:fill="FFFFFF"/>
          <w:lang w:eastAsia="ru-RU"/>
        </w:rPr>
        <w:footnoteReference w:id="99"/>
      </w:r>
      <w:r w:rsidR="00C22D83" w:rsidRPr="008376FC">
        <w:rPr>
          <w:rFonts w:asciiTheme="majorHAnsi" w:eastAsia="Times New Roman" w:hAnsiTheme="majorHAnsi" w:cstheme="majorHAnsi"/>
          <w:b w:val="0"/>
          <w:bCs w:val="0"/>
          <w:sz w:val="24"/>
          <w:szCs w:val="24"/>
          <w:shd w:val="clear" w:color="auto" w:fill="FFFFFF"/>
          <w:lang w:eastAsia="ru-RU"/>
        </w:rPr>
        <w:t>.</w:t>
      </w:r>
      <w:r w:rsidR="00E61B1A" w:rsidRPr="008376FC">
        <w:rPr>
          <w:rFonts w:asciiTheme="majorHAnsi" w:eastAsia="Times New Roman" w:hAnsiTheme="majorHAnsi" w:cstheme="majorHAnsi"/>
          <w:b w:val="0"/>
          <w:bCs w:val="0"/>
          <w:sz w:val="24"/>
          <w:szCs w:val="24"/>
          <w:shd w:val="clear" w:color="auto" w:fill="FFFFFF"/>
          <w:lang w:eastAsia="ru-RU"/>
        </w:rPr>
        <w:t xml:space="preserve"> Totuși, niciunul din aceste ministere nu a stabilit o listă </w:t>
      </w:r>
      <w:r w:rsidR="00BE49FB" w:rsidRPr="008376FC">
        <w:rPr>
          <w:rFonts w:asciiTheme="majorHAnsi" w:eastAsia="Times New Roman" w:hAnsiTheme="majorHAnsi" w:cstheme="majorHAnsi"/>
          <w:b w:val="0"/>
          <w:bCs w:val="0"/>
          <w:sz w:val="24"/>
          <w:szCs w:val="24"/>
          <w:shd w:val="clear" w:color="auto" w:fill="FFFFFF"/>
          <w:lang w:eastAsia="ru-RU"/>
        </w:rPr>
        <w:t xml:space="preserve">de indicatori care urmează a fi colectați și monitorizați la nivel de țară, </w:t>
      </w:r>
      <w:r w:rsidR="00E61B1A" w:rsidRPr="008376FC">
        <w:rPr>
          <w:rFonts w:asciiTheme="majorHAnsi" w:eastAsia="Times New Roman" w:hAnsiTheme="majorHAnsi" w:cstheme="majorHAnsi"/>
          <w:b w:val="0"/>
          <w:bCs w:val="0"/>
          <w:sz w:val="24"/>
          <w:szCs w:val="24"/>
          <w:shd w:val="clear" w:color="auto" w:fill="FFFFFF"/>
          <w:lang w:eastAsia="ru-RU"/>
        </w:rPr>
        <w:t xml:space="preserve">ceea ce </w:t>
      </w:r>
      <w:r w:rsidR="00CD7288">
        <w:rPr>
          <w:rFonts w:asciiTheme="majorHAnsi" w:eastAsia="Times New Roman" w:hAnsiTheme="majorHAnsi" w:cstheme="majorHAnsi"/>
          <w:b w:val="0"/>
          <w:bCs w:val="0"/>
          <w:sz w:val="24"/>
          <w:szCs w:val="24"/>
          <w:shd w:val="clear" w:color="auto" w:fill="FFFFFF"/>
          <w:lang w:eastAsia="ru-RU"/>
        </w:rPr>
        <w:t xml:space="preserve">a </w:t>
      </w:r>
      <w:r w:rsidR="00E61B1A" w:rsidRPr="008376FC">
        <w:rPr>
          <w:rFonts w:asciiTheme="majorHAnsi" w:eastAsia="Times New Roman" w:hAnsiTheme="majorHAnsi" w:cstheme="majorHAnsi"/>
          <w:b w:val="0"/>
          <w:bCs w:val="0"/>
          <w:sz w:val="24"/>
          <w:szCs w:val="24"/>
          <w:shd w:val="clear" w:color="auto" w:fill="FFFFFF"/>
          <w:lang w:eastAsia="ru-RU"/>
        </w:rPr>
        <w:t>condiționat ca</w:t>
      </w:r>
      <w:r w:rsidR="00BE49FB" w:rsidRPr="008376FC">
        <w:rPr>
          <w:rFonts w:asciiTheme="majorHAnsi" w:eastAsia="Times New Roman" w:hAnsiTheme="majorHAnsi" w:cstheme="majorHAnsi"/>
          <w:b w:val="0"/>
          <w:bCs w:val="0"/>
          <w:sz w:val="24"/>
          <w:szCs w:val="24"/>
          <w:shd w:val="clear" w:color="auto" w:fill="FFFFFF"/>
          <w:lang w:eastAsia="ru-RU"/>
        </w:rPr>
        <w:t xml:space="preserve"> BNS</w:t>
      </w:r>
      <w:r w:rsidR="00E61B1A" w:rsidRPr="008376FC">
        <w:rPr>
          <w:rFonts w:asciiTheme="majorHAnsi" w:eastAsia="Times New Roman" w:hAnsiTheme="majorHAnsi" w:cstheme="majorHAnsi"/>
          <w:b w:val="0"/>
          <w:bCs w:val="0"/>
          <w:sz w:val="24"/>
          <w:szCs w:val="24"/>
          <w:shd w:val="clear" w:color="auto" w:fill="FFFFFF"/>
          <w:lang w:eastAsia="ru-RU"/>
        </w:rPr>
        <w:t>,</w:t>
      </w:r>
      <w:r w:rsidR="00BE49FB" w:rsidRPr="008376FC">
        <w:rPr>
          <w:rFonts w:asciiTheme="majorHAnsi" w:eastAsia="Times New Roman" w:hAnsiTheme="majorHAnsi" w:cstheme="majorHAnsi"/>
          <w:b w:val="0"/>
          <w:bCs w:val="0"/>
          <w:sz w:val="24"/>
          <w:szCs w:val="24"/>
          <w:shd w:val="clear" w:color="auto" w:fill="FFFFFF"/>
          <w:lang w:eastAsia="ru-RU"/>
        </w:rPr>
        <w:t xml:space="preserve"> în comunicare cu operat</w:t>
      </w:r>
      <w:r w:rsidR="00C84322" w:rsidRPr="008376FC">
        <w:rPr>
          <w:rFonts w:asciiTheme="majorHAnsi" w:eastAsia="Times New Roman" w:hAnsiTheme="majorHAnsi" w:cstheme="majorHAnsi"/>
          <w:b w:val="0"/>
          <w:bCs w:val="0"/>
          <w:sz w:val="24"/>
          <w:szCs w:val="24"/>
          <w:shd w:val="clear" w:color="auto" w:fill="FFFFFF"/>
          <w:lang w:eastAsia="ru-RU"/>
        </w:rPr>
        <w:t xml:space="preserve">orii de servicii de alimentare </w:t>
      </w:r>
      <w:r w:rsidR="00BE49FB" w:rsidRPr="008376FC">
        <w:rPr>
          <w:rFonts w:asciiTheme="majorHAnsi" w:eastAsia="Times New Roman" w:hAnsiTheme="majorHAnsi" w:cstheme="majorHAnsi"/>
          <w:b w:val="0"/>
          <w:bCs w:val="0"/>
          <w:sz w:val="24"/>
          <w:szCs w:val="24"/>
          <w:shd w:val="clear" w:color="auto" w:fill="FFFFFF"/>
          <w:lang w:eastAsia="ru-RU"/>
        </w:rPr>
        <w:t>cu apă și sanitație</w:t>
      </w:r>
      <w:r w:rsidR="00E61B1A" w:rsidRPr="008376FC">
        <w:rPr>
          <w:rFonts w:asciiTheme="majorHAnsi" w:eastAsia="Times New Roman" w:hAnsiTheme="majorHAnsi" w:cstheme="majorHAnsi"/>
          <w:b w:val="0"/>
          <w:bCs w:val="0"/>
          <w:sz w:val="24"/>
          <w:szCs w:val="24"/>
          <w:shd w:val="clear" w:color="auto" w:fill="FFFFFF"/>
          <w:lang w:eastAsia="ru-RU"/>
        </w:rPr>
        <w:t>, să ia</w:t>
      </w:r>
      <w:r w:rsidR="00BE49FB" w:rsidRPr="008376FC">
        <w:rPr>
          <w:rFonts w:asciiTheme="majorHAnsi" w:eastAsia="Times New Roman" w:hAnsiTheme="majorHAnsi" w:cstheme="majorHAnsi"/>
          <w:b w:val="0"/>
          <w:bCs w:val="0"/>
          <w:sz w:val="24"/>
          <w:szCs w:val="24"/>
          <w:shd w:val="clear" w:color="auto" w:fill="FFFFFF"/>
          <w:lang w:eastAsia="ru-RU"/>
        </w:rPr>
        <w:t xml:space="preserve"> decizii care din indicatori</w:t>
      </w:r>
      <w:r w:rsidR="00CD7288">
        <w:rPr>
          <w:rFonts w:asciiTheme="majorHAnsi" w:eastAsia="Times New Roman" w:hAnsiTheme="majorHAnsi" w:cstheme="majorHAnsi"/>
          <w:b w:val="0"/>
          <w:bCs w:val="0"/>
          <w:sz w:val="24"/>
          <w:szCs w:val="24"/>
          <w:shd w:val="clear" w:color="auto" w:fill="FFFFFF"/>
          <w:lang w:eastAsia="ru-RU"/>
        </w:rPr>
        <w:t>i</w:t>
      </w:r>
      <w:r w:rsidR="00BE49FB" w:rsidRPr="008376FC">
        <w:rPr>
          <w:rFonts w:asciiTheme="majorHAnsi" w:eastAsia="Times New Roman" w:hAnsiTheme="majorHAnsi" w:cstheme="majorHAnsi"/>
          <w:b w:val="0"/>
          <w:bCs w:val="0"/>
          <w:sz w:val="24"/>
          <w:szCs w:val="24"/>
          <w:shd w:val="clear" w:color="auto" w:fill="FFFFFF"/>
          <w:lang w:eastAsia="ru-RU"/>
        </w:rPr>
        <w:t xml:space="preserve"> afe</w:t>
      </w:r>
      <w:r w:rsidR="00C84322" w:rsidRPr="008376FC">
        <w:rPr>
          <w:rFonts w:asciiTheme="majorHAnsi" w:eastAsia="Times New Roman" w:hAnsiTheme="majorHAnsi" w:cstheme="majorHAnsi"/>
          <w:b w:val="0"/>
          <w:bCs w:val="0"/>
          <w:sz w:val="24"/>
          <w:szCs w:val="24"/>
          <w:shd w:val="clear" w:color="auto" w:fill="FFFFFF"/>
          <w:lang w:eastAsia="ru-RU"/>
        </w:rPr>
        <w:t>renți domeniului s</w:t>
      </w:r>
      <w:r w:rsidR="00BE49FB" w:rsidRPr="008376FC">
        <w:rPr>
          <w:rFonts w:asciiTheme="majorHAnsi" w:eastAsia="Times New Roman" w:hAnsiTheme="majorHAnsi" w:cstheme="majorHAnsi"/>
          <w:b w:val="0"/>
          <w:bCs w:val="0"/>
          <w:sz w:val="24"/>
          <w:szCs w:val="24"/>
          <w:shd w:val="clear" w:color="auto" w:fill="FFFFFF"/>
          <w:lang w:eastAsia="ru-RU"/>
        </w:rPr>
        <w:t>unt relevanți pentru a fi colectați și monitorizați la nivel de țară. În consecință, nici în prezent datele generalizate de BNS nu relevă întregul spectru de date aferent</w:t>
      </w:r>
      <w:r w:rsidR="00CD7288">
        <w:rPr>
          <w:rFonts w:asciiTheme="majorHAnsi" w:eastAsia="Times New Roman" w:hAnsiTheme="majorHAnsi" w:cstheme="majorHAnsi"/>
          <w:b w:val="0"/>
          <w:bCs w:val="0"/>
          <w:sz w:val="24"/>
          <w:szCs w:val="24"/>
          <w:shd w:val="clear" w:color="auto" w:fill="FFFFFF"/>
          <w:lang w:eastAsia="ru-RU"/>
        </w:rPr>
        <w:t>e</w:t>
      </w:r>
      <w:r w:rsidR="00BE49FB" w:rsidRPr="008376FC">
        <w:rPr>
          <w:rFonts w:asciiTheme="majorHAnsi" w:eastAsia="Times New Roman" w:hAnsiTheme="majorHAnsi" w:cstheme="majorHAnsi"/>
          <w:b w:val="0"/>
          <w:bCs w:val="0"/>
          <w:sz w:val="24"/>
          <w:szCs w:val="24"/>
          <w:shd w:val="clear" w:color="auto" w:fill="FFFFFF"/>
          <w:lang w:eastAsia="ru-RU"/>
        </w:rPr>
        <w:t xml:space="preserve"> domeniului sistemelor publice de alimentare cu apă și sanitație, nici IPM nu dispune de acestea, și nici un alt organ de stat nu are date integrale aferente domeniului, ceea ce nu</w:t>
      </w:r>
      <w:r w:rsidR="00F5618E" w:rsidRPr="008376FC">
        <w:rPr>
          <w:rFonts w:asciiTheme="majorHAnsi" w:eastAsia="Times New Roman" w:hAnsiTheme="majorHAnsi" w:cstheme="majorHAnsi"/>
          <w:b w:val="0"/>
          <w:bCs w:val="0"/>
          <w:sz w:val="24"/>
          <w:szCs w:val="24"/>
          <w:shd w:val="clear" w:color="auto" w:fill="FFFFFF"/>
          <w:lang w:eastAsia="ru-RU"/>
        </w:rPr>
        <w:t xml:space="preserve"> permite înțelegerea întregului</w:t>
      </w:r>
      <w:r w:rsidR="00BE49FB" w:rsidRPr="008376FC">
        <w:rPr>
          <w:rFonts w:asciiTheme="majorHAnsi" w:eastAsia="Times New Roman" w:hAnsiTheme="majorHAnsi" w:cstheme="majorHAnsi"/>
          <w:b w:val="0"/>
          <w:bCs w:val="0"/>
          <w:sz w:val="24"/>
          <w:szCs w:val="24"/>
          <w:shd w:val="clear" w:color="auto" w:fill="FFFFFF"/>
          <w:lang w:eastAsia="ru-RU"/>
        </w:rPr>
        <w:t xml:space="preserve"> tablou al situației pe țară, precum și monitorizarea corespunzătoare și adecvată a implementării SAAS. </w:t>
      </w:r>
    </w:p>
    <w:p w:rsidR="00BE49FB" w:rsidRPr="008376FC" w:rsidRDefault="00BE49FB"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lang w:val="en-US" w:eastAsia="ru-RU"/>
        </w:rPr>
      </w:pPr>
      <w:r w:rsidRPr="008376FC">
        <w:rPr>
          <w:rFonts w:asciiTheme="majorHAnsi" w:eastAsia="Times New Roman" w:hAnsiTheme="majorHAnsi" w:cstheme="majorHAnsi"/>
          <w:b w:val="0"/>
          <w:bCs w:val="0"/>
          <w:sz w:val="24"/>
          <w:szCs w:val="24"/>
          <w:shd w:val="clear" w:color="auto" w:fill="FFFFFF"/>
          <w:lang w:eastAsia="ru-RU"/>
        </w:rPr>
        <w:t xml:space="preserve">De menționat că nici </w:t>
      </w:r>
      <w:r w:rsidRPr="008376FC">
        <w:rPr>
          <w:rFonts w:asciiTheme="majorHAnsi" w:eastAsia="Times New Roman" w:hAnsiTheme="majorHAnsi" w:cstheme="majorHAnsi"/>
          <w:b w:val="0"/>
          <w:sz w:val="24"/>
          <w:szCs w:val="24"/>
          <w:shd w:val="clear" w:color="auto" w:fill="FFFFFF"/>
          <w:lang w:eastAsia="ru-RU"/>
        </w:rPr>
        <w:t>art.</w:t>
      </w:r>
      <w:r w:rsidRPr="008376FC">
        <w:rPr>
          <w:rFonts w:asciiTheme="majorHAnsi" w:eastAsia="Times New Roman" w:hAnsiTheme="majorHAnsi" w:cstheme="majorHAnsi"/>
          <w:b w:val="0"/>
          <w:sz w:val="24"/>
          <w:szCs w:val="24"/>
          <w:lang w:val="en-US" w:eastAsia="ru-RU"/>
        </w:rPr>
        <w:t xml:space="preserve">9 din Legea </w:t>
      </w:r>
      <w:r w:rsidRPr="008376FC">
        <w:rPr>
          <w:rFonts w:asciiTheme="majorHAnsi" w:eastAsia="Times New Roman" w:hAnsiTheme="majorHAnsi" w:cstheme="majorHAnsi"/>
          <w:b w:val="0"/>
          <w:sz w:val="24"/>
          <w:szCs w:val="24"/>
          <w:shd w:val="clear" w:color="auto" w:fill="FFFFFF"/>
          <w:lang w:val="en-US" w:eastAsia="ru-RU"/>
        </w:rPr>
        <w:t>nr.303</w:t>
      </w:r>
      <w:r w:rsidRPr="008376FC">
        <w:rPr>
          <w:rFonts w:asciiTheme="majorHAnsi" w:eastAsia="Times New Roman" w:hAnsiTheme="majorHAnsi" w:cstheme="majorHAnsi"/>
          <w:b w:val="0"/>
          <w:sz w:val="24"/>
          <w:szCs w:val="24"/>
          <w:shd w:val="clear" w:color="auto" w:fill="FFFFFF"/>
          <w:lang w:eastAsia="ru-RU"/>
        </w:rPr>
        <w:t>/</w:t>
      </w:r>
      <w:r w:rsidRPr="008376FC">
        <w:rPr>
          <w:rFonts w:asciiTheme="majorHAnsi" w:eastAsia="Times New Roman" w:hAnsiTheme="majorHAnsi" w:cstheme="majorHAnsi"/>
          <w:b w:val="0"/>
          <w:sz w:val="24"/>
          <w:szCs w:val="24"/>
          <w:shd w:val="clear" w:color="auto" w:fill="FFFFFF"/>
          <w:lang w:val="en-US" w:eastAsia="ru-RU"/>
        </w:rPr>
        <w:t>2013</w:t>
      </w:r>
      <w:r w:rsidRPr="008376FC">
        <w:rPr>
          <w:rFonts w:asciiTheme="majorHAnsi" w:eastAsia="Times New Roman" w:hAnsiTheme="majorHAnsi" w:cstheme="majorHAnsi"/>
          <w:b w:val="0"/>
          <w:bCs w:val="0"/>
          <w:sz w:val="24"/>
          <w:szCs w:val="24"/>
          <w:shd w:val="clear" w:color="auto" w:fill="FFFFFF"/>
          <w:lang w:val="en-US" w:eastAsia="ru-RU"/>
        </w:rPr>
        <w:t xml:space="preserve"> privind serviciul public de alimentare cu apă şi de canalizare nu stipulează expres c</w:t>
      </w:r>
      <w:r w:rsidR="00F5618E" w:rsidRPr="008376FC">
        <w:rPr>
          <w:rFonts w:asciiTheme="majorHAnsi" w:eastAsia="Times New Roman" w:hAnsiTheme="majorHAnsi" w:cstheme="majorHAnsi"/>
          <w:b w:val="0"/>
          <w:bCs w:val="0"/>
          <w:sz w:val="24"/>
          <w:szCs w:val="24"/>
          <w:shd w:val="clear" w:color="auto" w:fill="FFFFFF"/>
          <w:lang w:val="en-US" w:eastAsia="ru-RU"/>
        </w:rPr>
        <w:t>a</w:t>
      </w:r>
      <w:r w:rsidRPr="008376FC">
        <w:rPr>
          <w:rFonts w:asciiTheme="majorHAnsi" w:eastAsia="Times New Roman" w:hAnsiTheme="majorHAnsi" w:cstheme="majorHAnsi"/>
          <w:b w:val="0"/>
          <w:bCs w:val="0"/>
          <w:sz w:val="24"/>
          <w:szCs w:val="24"/>
          <w:shd w:val="clear" w:color="auto" w:fill="FFFFFF"/>
          <w:lang w:val="en-US" w:eastAsia="ru-RU"/>
        </w:rPr>
        <w:t xml:space="preserve">re </w:t>
      </w:r>
      <w:r w:rsidR="00F5618E" w:rsidRPr="008376FC">
        <w:rPr>
          <w:rFonts w:asciiTheme="majorHAnsi" w:eastAsia="Times New Roman" w:hAnsiTheme="majorHAnsi" w:cstheme="majorHAnsi"/>
          <w:b w:val="0"/>
          <w:bCs w:val="0"/>
          <w:sz w:val="24"/>
          <w:szCs w:val="24"/>
          <w:shd w:val="clear" w:color="auto" w:fill="FFFFFF"/>
          <w:lang w:val="en-US" w:eastAsia="ru-RU"/>
        </w:rPr>
        <w:t xml:space="preserve">este </w:t>
      </w:r>
      <w:r w:rsidRPr="008376FC">
        <w:rPr>
          <w:rFonts w:asciiTheme="majorHAnsi" w:eastAsia="Times New Roman" w:hAnsiTheme="majorHAnsi" w:cstheme="majorHAnsi"/>
          <w:b w:val="0"/>
          <w:bCs w:val="0"/>
          <w:sz w:val="24"/>
          <w:szCs w:val="24"/>
          <w:shd w:val="clear" w:color="auto" w:fill="FFFFFF"/>
          <w:lang w:val="en-US" w:eastAsia="ru-RU"/>
        </w:rPr>
        <w:t>organ</w:t>
      </w:r>
      <w:r w:rsidR="00F5618E" w:rsidRPr="008376FC">
        <w:rPr>
          <w:rFonts w:asciiTheme="majorHAnsi" w:eastAsia="Times New Roman" w:hAnsiTheme="majorHAnsi" w:cstheme="majorHAnsi"/>
          <w:b w:val="0"/>
          <w:bCs w:val="0"/>
          <w:sz w:val="24"/>
          <w:szCs w:val="24"/>
          <w:shd w:val="clear" w:color="auto" w:fill="FFFFFF"/>
          <w:lang w:val="en-US" w:eastAsia="ru-RU"/>
        </w:rPr>
        <w:t>ul</w:t>
      </w:r>
      <w:r w:rsidRPr="008376FC">
        <w:rPr>
          <w:rFonts w:asciiTheme="majorHAnsi" w:eastAsia="Times New Roman" w:hAnsiTheme="majorHAnsi" w:cstheme="majorHAnsi"/>
          <w:b w:val="0"/>
          <w:bCs w:val="0"/>
          <w:sz w:val="24"/>
          <w:szCs w:val="24"/>
          <w:shd w:val="clear" w:color="auto" w:fill="FFFFFF"/>
          <w:lang w:val="en-US" w:eastAsia="ru-RU"/>
        </w:rPr>
        <w:t xml:space="preserve"> de stat responsabil de domeniul alimentă</w:t>
      </w:r>
      <w:r w:rsidR="00F5618E" w:rsidRPr="008376FC">
        <w:rPr>
          <w:rFonts w:asciiTheme="majorHAnsi" w:eastAsia="Times New Roman" w:hAnsiTheme="majorHAnsi" w:cstheme="majorHAnsi"/>
          <w:b w:val="0"/>
          <w:bCs w:val="0"/>
          <w:sz w:val="24"/>
          <w:szCs w:val="24"/>
          <w:shd w:val="clear" w:color="auto" w:fill="FFFFFF"/>
          <w:lang w:val="en-US" w:eastAsia="ru-RU"/>
        </w:rPr>
        <w:t>rii cu apă și canalizare, deși</w:t>
      </w:r>
      <w:r w:rsidR="00C455EB">
        <w:rPr>
          <w:rFonts w:asciiTheme="majorHAnsi" w:eastAsia="Times New Roman" w:hAnsiTheme="majorHAnsi" w:cstheme="majorHAnsi"/>
          <w:b w:val="0"/>
          <w:bCs w:val="0"/>
          <w:sz w:val="24"/>
          <w:szCs w:val="24"/>
          <w:shd w:val="clear" w:color="auto" w:fill="FFFFFF"/>
          <w:lang w:val="en-US" w:eastAsia="ru-RU"/>
        </w:rPr>
        <w:t xml:space="preserve"> acesta</w:t>
      </w:r>
      <w:r w:rsidRPr="008376FC">
        <w:rPr>
          <w:rFonts w:asciiTheme="majorHAnsi" w:eastAsia="Times New Roman" w:hAnsiTheme="majorHAnsi" w:cstheme="majorHAnsi"/>
          <w:sz w:val="24"/>
          <w:szCs w:val="24"/>
          <w:lang w:val="en-US" w:eastAsia="ru-RU"/>
        </w:rPr>
        <w:t xml:space="preserve"> </w:t>
      </w:r>
      <w:r w:rsidR="00F5618E" w:rsidRPr="008376FC">
        <w:rPr>
          <w:rFonts w:asciiTheme="majorHAnsi" w:eastAsia="Times New Roman" w:hAnsiTheme="majorHAnsi" w:cstheme="majorHAnsi"/>
          <w:b w:val="0"/>
          <w:sz w:val="24"/>
          <w:szCs w:val="24"/>
          <w:lang w:val="en-US" w:eastAsia="ru-RU"/>
        </w:rPr>
        <w:t xml:space="preserve">reglementează </w:t>
      </w:r>
      <w:r w:rsidRPr="008376FC">
        <w:rPr>
          <w:rFonts w:asciiTheme="majorHAnsi" w:eastAsia="Times New Roman" w:hAnsiTheme="majorHAnsi" w:cstheme="majorHAnsi"/>
          <w:b w:val="0"/>
          <w:sz w:val="24"/>
          <w:szCs w:val="24"/>
          <w:lang w:val="en-US" w:eastAsia="ru-RU"/>
        </w:rPr>
        <w:t>expres</w:t>
      </w:r>
      <w:r w:rsidRPr="008376FC">
        <w:rPr>
          <w:rFonts w:asciiTheme="majorHAnsi" w:eastAsia="Times New Roman" w:hAnsiTheme="majorHAnsi" w:cstheme="majorHAnsi"/>
          <w:b w:val="0"/>
          <w:bCs w:val="0"/>
          <w:sz w:val="24"/>
          <w:szCs w:val="24"/>
          <w:lang w:val="en-US" w:eastAsia="ru-RU"/>
        </w:rPr>
        <w:t xml:space="preserve"> organele de stat responsabile de </w:t>
      </w:r>
      <w:r w:rsidR="00F5618E" w:rsidRPr="008376FC">
        <w:rPr>
          <w:rFonts w:asciiTheme="majorHAnsi" w:eastAsia="Times New Roman" w:hAnsiTheme="majorHAnsi" w:cstheme="majorHAnsi"/>
          <w:b w:val="0"/>
          <w:bCs w:val="0"/>
          <w:sz w:val="24"/>
          <w:szCs w:val="24"/>
          <w:shd w:val="clear" w:color="auto" w:fill="FFFFFF"/>
          <w:lang w:val="en-US" w:eastAsia="ru-RU"/>
        </w:rPr>
        <w:t>supraveghere</w:t>
      </w:r>
      <w:r w:rsidR="00C455EB">
        <w:rPr>
          <w:rFonts w:asciiTheme="majorHAnsi" w:eastAsia="Times New Roman" w:hAnsiTheme="majorHAnsi" w:cstheme="majorHAnsi"/>
          <w:b w:val="0"/>
          <w:bCs w:val="0"/>
          <w:sz w:val="24"/>
          <w:szCs w:val="24"/>
          <w:shd w:val="clear" w:color="auto" w:fill="FFFFFF"/>
          <w:lang w:val="en-US" w:eastAsia="ru-RU"/>
        </w:rPr>
        <w:t>a</w:t>
      </w:r>
      <w:r w:rsidR="00F5618E" w:rsidRPr="008376FC">
        <w:rPr>
          <w:rFonts w:asciiTheme="majorHAnsi" w:eastAsia="Times New Roman" w:hAnsiTheme="majorHAnsi" w:cstheme="majorHAnsi"/>
          <w:b w:val="0"/>
          <w:bCs w:val="0"/>
          <w:sz w:val="24"/>
          <w:szCs w:val="24"/>
          <w:shd w:val="clear" w:color="auto" w:fill="FFFFFF"/>
          <w:lang w:val="en-US" w:eastAsia="ru-RU"/>
        </w:rPr>
        <w:t xml:space="preserve"> </w:t>
      </w:r>
      <w:r w:rsidRPr="008376FC">
        <w:rPr>
          <w:rFonts w:asciiTheme="majorHAnsi" w:eastAsia="Times New Roman" w:hAnsiTheme="majorHAnsi" w:cstheme="majorHAnsi"/>
          <w:b w:val="0"/>
          <w:bCs w:val="0"/>
          <w:sz w:val="24"/>
          <w:szCs w:val="24"/>
          <w:shd w:val="clear" w:color="auto" w:fill="FFFFFF"/>
          <w:lang w:val="en-US" w:eastAsia="ru-RU"/>
        </w:rPr>
        <w:t>şi control</w:t>
      </w:r>
      <w:r w:rsidR="00C455EB">
        <w:rPr>
          <w:rFonts w:asciiTheme="majorHAnsi" w:eastAsia="Times New Roman" w:hAnsiTheme="majorHAnsi" w:cstheme="majorHAnsi"/>
          <w:b w:val="0"/>
          <w:bCs w:val="0"/>
          <w:sz w:val="24"/>
          <w:szCs w:val="24"/>
          <w:shd w:val="clear" w:color="auto" w:fill="FFFFFF"/>
          <w:lang w:val="en-US" w:eastAsia="ru-RU"/>
        </w:rPr>
        <w:t>ul</w:t>
      </w:r>
      <w:r w:rsidRPr="008376FC">
        <w:rPr>
          <w:rFonts w:asciiTheme="majorHAnsi" w:eastAsia="Times New Roman" w:hAnsiTheme="majorHAnsi" w:cstheme="majorHAnsi"/>
          <w:b w:val="0"/>
          <w:bCs w:val="0"/>
          <w:sz w:val="24"/>
          <w:szCs w:val="24"/>
          <w:shd w:val="clear" w:color="auto" w:fill="FFFFFF"/>
          <w:lang w:val="en-US" w:eastAsia="ru-RU"/>
        </w:rPr>
        <w:t xml:space="preserve"> de stat al serviciului public de alimentare cu apă şi de canalizare</w:t>
      </w:r>
      <w:r w:rsidRPr="008376FC">
        <w:rPr>
          <w:rFonts w:asciiTheme="majorHAnsi" w:eastAsia="Times New Roman" w:hAnsiTheme="majorHAnsi" w:cstheme="majorHAnsi"/>
          <w:b w:val="0"/>
          <w:bCs w:val="0"/>
          <w:sz w:val="24"/>
          <w:szCs w:val="24"/>
          <w:shd w:val="clear" w:color="auto" w:fill="FFFFFF"/>
          <w:lang w:eastAsia="ru-RU"/>
        </w:rPr>
        <w:t xml:space="preserve">. </w:t>
      </w:r>
      <w:r w:rsidR="00F5618E" w:rsidRPr="008376FC">
        <w:rPr>
          <w:rFonts w:asciiTheme="majorHAnsi" w:eastAsia="Times New Roman" w:hAnsiTheme="majorHAnsi" w:cstheme="majorHAnsi"/>
          <w:b w:val="0"/>
          <w:bCs w:val="0"/>
          <w:sz w:val="24"/>
          <w:szCs w:val="24"/>
          <w:shd w:val="clear" w:color="auto" w:fill="FFFFFF"/>
          <w:lang w:eastAsia="ru-RU"/>
        </w:rPr>
        <w:t>Î</w:t>
      </w:r>
      <w:r w:rsidR="00F5618E" w:rsidRPr="008376FC">
        <w:rPr>
          <w:rFonts w:asciiTheme="majorHAnsi" w:eastAsia="Times New Roman" w:hAnsiTheme="majorHAnsi" w:cstheme="majorHAnsi"/>
          <w:b w:val="0"/>
          <w:bCs w:val="0"/>
          <w:sz w:val="24"/>
          <w:szCs w:val="24"/>
          <w:shd w:val="clear" w:color="auto" w:fill="FFFFFF"/>
          <w:lang w:val="en-US" w:eastAsia="ru-RU"/>
        </w:rPr>
        <w:t>n anul 2022</w:t>
      </w:r>
      <w:r w:rsidR="00C455EB">
        <w:rPr>
          <w:rFonts w:asciiTheme="majorHAnsi" w:eastAsia="Times New Roman" w:hAnsiTheme="majorHAnsi" w:cstheme="majorHAnsi"/>
          <w:b w:val="0"/>
          <w:bCs w:val="0"/>
          <w:sz w:val="24"/>
          <w:szCs w:val="24"/>
          <w:shd w:val="clear" w:color="auto" w:fill="FFFFFF"/>
          <w:lang w:val="en-US" w:eastAsia="ru-RU"/>
        </w:rPr>
        <w:t>,</w:t>
      </w:r>
      <w:r w:rsidRPr="008376FC">
        <w:rPr>
          <w:rFonts w:asciiTheme="majorHAnsi" w:eastAsia="Times New Roman" w:hAnsiTheme="majorHAnsi" w:cstheme="majorHAnsi"/>
          <w:b w:val="0"/>
          <w:bCs w:val="0"/>
          <w:sz w:val="24"/>
          <w:szCs w:val="24"/>
          <w:shd w:val="clear" w:color="auto" w:fill="FFFFFF"/>
          <w:lang w:val="en-US" w:eastAsia="ru-RU"/>
        </w:rPr>
        <w:t xml:space="preserve"> în HG </w:t>
      </w:r>
      <w:r w:rsidR="00C455EB">
        <w:rPr>
          <w:rFonts w:asciiTheme="majorHAnsi" w:eastAsia="Times New Roman" w:hAnsiTheme="majorHAnsi" w:cstheme="majorHAnsi"/>
          <w:b w:val="0"/>
          <w:bCs w:val="0"/>
          <w:sz w:val="24"/>
          <w:szCs w:val="24"/>
          <w:shd w:val="clear" w:color="auto" w:fill="FFFFFF"/>
          <w:lang w:val="en-US" w:eastAsia="ru-RU"/>
        </w:rPr>
        <w:t>nr.</w:t>
      </w:r>
      <w:r w:rsidRPr="008376FC">
        <w:rPr>
          <w:rFonts w:asciiTheme="majorHAnsi" w:eastAsia="Times New Roman" w:hAnsiTheme="majorHAnsi" w:cstheme="majorHAnsi"/>
          <w:b w:val="0"/>
          <w:bCs w:val="0"/>
          <w:sz w:val="24"/>
          <w:szCs w:val="24"/>
          <w:shd w:val="clear" w:color="auto" w:fill="FFFFFF"/>
          <w:lang w:val="en-US" w:eastAsia="ru-RU"/>
        </w:rPr>
        <w:t xml:space="preserve">690/2017 </w:t>
      </w:r>
      <w:r w:rsidR="00F5618E" w:rsidRPr="008376FC">
        <w:rPr>
          <w:rFonts w:asciiTheme="majorHAnsi" w:eastAsia="Times New Roman" w:hAnsiTheme="majorHAnsi" w:cstheme="majorHAnsi"/>
          <w:b w:val="0"/>
          <w:bCs w:val="0"/>
          <w:sz w:val="24"/>
          <w:szCs w:val="24"/>
          <w:shd w:val="clear" w:color="auto" w:fill="FFFFFF"/>
          <w:lang w:val="en-US" w:eastAsia="ru-RU"/>
        </w:rPr>
        <w:t>a fost</w:t>
      </w:r>
      <w:r w:rsidRPr="008376FC">
        <w:rPr>
          <w:rFonts w:asciiTheme="majorHAnsi" w:eastAsia="Times New Roman" w:hAnsiTheme="majorHAnsi" w:cstheme="majorHAnsi"/>
          <w:b w:val="0"/>
          <w:bCs w:val="0"/>
          <w:sz w:val="24"/>
          <w:szCs w:val="24"/>
          <w:shd w:val="clear" w:color="auto" w:fill="FFFFFF"/>
          <w:lang w:val="en-US" w:eastAsia="ru-RU"/>
        </w:rPr>
        <w:t xml:space="preserve"> prevăzut expres că unul din domenii</w:t>
      </w:r>
      <w:r w:rsidR="00C455EB">
        <w:rPr>
          <w:rFonts w:asciiTheme="majorHAnsi" w:eastAsia="Times New Roman" w:hAnsiTheme="majorHAnsi" w:cstheme="majorHAnsi"/>
          <w:b w:val="0"/>
          <w:bCs w:val="0"/>
          <w:sz w:val="24"/>
          <w:szCs w:val="24"/>
          <w:shd w:val="clear" w:color="auto" w:fill="FFFFFF"/>
          <w:lang w:val="en-US" w:eastAsia="ru-RU"/>
        </w:rPr>
        <w:t>le</w:t>
      </w:r>
      <w:r w:rsidRPr="008376FC">
        <w:rPr>
          <w:rFonts w:asciiTheme="majorHAnsi" w:eastAsia="Times New Roman" w:hAnsiTheme="majorHAnsi" w:cstheme="majorHAnsi"/>
          <w:b w:val="0"/>
          <w:bCs w:val="0"/>
          <w:sz w:val="24"/>
          <w:szCs w:val="24"/>
          <w:shd w:val="clear" w:color="auto" w:fill="FFFFFF"/>
          <w:lang w:val="en-US" w:eastAsia="ru-RU"/>
        </w:rPr>
        <w:t xml:space="preserve"> patronate de MIDR este infrastructura de apă și sanitație. Astfel, pentru a avea un tablou </w:t>
      </w:r>
      <w:r w:rsidR="00C455EB">
        <w:rPr>
          <w:rFonts w:asciiTheme="majorHAnsi" w:eastAsia="Times New Roman" w:hAnsiTheme="majorHAnsi" w:cstheme="majorHAnsi"/>
          <w:b w:val="0"/>
          <w:bCs w:val="0"/>
          <w:sz w:val="24"/>
          <w:szCs w:val="24"/>
          <w:shd w:val="clear" w:color="auto" w:fill="FFFFFF"/>
          <w:lang w:val="en-US" w:eastAsia="ru-RU"/>
        </w:rPr>
        <w:t>complet</w:t>
      </w:r>
      <w:r w:rsidR="00C455EB" w:rsidRPr="008376FC">
        <w:rPr>
          <w:rFonts w:asciiTheme="majorHAnsi" w:eastAsia="Times New Roman" w:hAnsiTheme="majorHAnsi" w:cstheme="majorHAnsi"/>
          <w:b w:val="0"/>
          <w:bCs w:val="0"/>
          <w:sz w:val="24"/>
          <w:szCs w:val="24"/>
          <w:shd w:val="clear" w:color="auto" w:fill="FFFFFF"/>
          <w:lang w:val="en-US" w:eastAsia="ru-RU"/>
        </w:rPr>
        <w:t xml:space="preserve"> </w:t>
      </w:r>
      <w:r w:rsidRPr="008376FC">
        <w:rPr>
          <w:rFonts w:asciiTheme="majorHAnsi" w:eastAsia="Times New Roman" w:hAnsiTheme="majorHAnsi" w:cstheme="majorHAnsi"/>
          <w:b w:val="0"/>
          <w:bCs w:val="0"/>
          <w:sz w:val="24"/>
          <w:szCs w:val="24"/>
          <w:shd w:val="clear" w:color="auto" w:fill="FFFFFF"/>
          <w:lang w:val="en-US" w:eastAsia="ru-RU"/>
        </w:rPr>
        <w:t>a</w:t>
      </w:r>
      <w:r w:rsidR="00C455EB">
        <w:rPr>
          <w:rFonts w:asciiTheme="majorHAnsi" w:eastAsia="Times New Roman" w:hAnsiTheme="majorHAnsi" w:cstheme="majorHAnsi"/>
          <w:b w:val="0"/>
          <w:bCs w:val="0"/>
          <w:sz w:val="24"/>
          <w:szCs w:val="24"/>
          <w:shd w:val="clear" w:color="auto" w:fill="FFFFFF"/>
          <w:lang w:val="en-US" w:eastAsia="ru-RU"/>
        </w:rPr>
        <w:t>l</w:t>
      </w:r>
      <w:r w:rsidRPr="008376FC">
        <w:rPr>
          <w:rFonts w:asciiTheme="majorHAnsi" w:eastAsia="Times New Roman" w:hAnsiTheme="majorHAnsi" w:cstheme="majorHAnsi"/>
          <w:b w:val="0"/>
          <w:bCs w:val="0"/>
          <w:sz w:val="24"/>
          <w:szCs w:val="24"/>
          <w:shd w:val="clear" w:color="auto" w:fill="FFFFFF"/>
          <w:lang w:val="en-US" w:eastAsia="ru-RU"/>
        </w:rPr>
        <w:t xml:space="preserve"> informațiilor aferente domeniului, este oportun ca MIDR</w:t>
      </w:r>
      <w:r w:rsidR="00C455EB">
        <w:rPr>
          <w:rFonts w:asciiTheme="majorHAnsi" w:eastAsia="Times New Roman" w:hAnsiTheme="majorHAnsi" w:cstheme="majorHAnsi"/>
          <w:b w:val="0"/>
          <w:bCs w:val="0"/>
          <w:sz w:val="24"/>
          <w:szCs w:val="24"/>
          <w:shd w:val="clear" w:color="auto" w:fill="FFFFFF"/>
          <w:lang w:val="en-US" w:eastAsia="ru-RU"/>
        </w:rPr>
        <w:t>,</w:t>
      </w:r>
      <w:r w:rsidRPr="008376FC">
        <w:rPr>
          <w:rFonts w:asciiTheme="majorHAnsi" w:eastAsia="Times New Roman" w:hAnsiTheme="majorHAnsi" w:cstheme="majorHAnsi"/>
          <w:b w:val="0"/>
          <w:bCs w:val="0"/>
          <w:sz w:val="24"/>
          <w:szCs w:val="24"/>
          <w:shd w:val="clear" w:color="auto" w:fill="FFFFFF"/>
          <w:lang w:val="en-US" w:eastAsia="ru-RU"/>
        </w:rPr>
        <w:t xml:space="preserve"> în calitate de elaborator a</w:t>
      </w:r>
      <w:r w:rsidR="00C455EB">
        <w:rPr>
          <w:rFonts w:asciiTheme="majorHAnsi" w:eastAsia="Times New Roman" w:hAnsiTheme="majorHAnsi" w:cstheme="majorHAnsi"/>
          <w:b w:val="0"/>
          <w:bCs w:val="0"/>
          <w:sz w:val="24"/>
          <w:szCs w:val="24"/>
          <w:shd w:val="clear" w:color="auto" w:fill="FFFFFF"/>
          <w:lang w:val="en-US" w:eastAsia="ru-RU"/>
        </w:rPr>
        <w:t>l</w:t>
      </w:r>
      <w:r w:rsidRPr="008376FC">
        <w:rPr>
          <w:rFonts w:asciiTheme="majorHAnsi" w:eastAsia="Times New Roman" w:hAnsiTheme="majorHAnsi" w:cstheme="majorHAnsi"/>
          <w:b w:val="0"/>
          <w:bCs w:val="0"/>
          <w:sz w:val="24"/>
          <w:szCs w:val="24"/>
          <w:shd w:val="clear" w:color="auto" w:fill="FFFFFF"/>
          <w:lang w:val="en-US" w:eastAsia="ru-RU"/>
        </w:rPr>
        <w:t xml:space="preserve"> politicilor sectoria</w:t>
      </w:r>
      <w:r w:rsidR="00C455EB">
        <w:rPr>
          <w:rFonts w:asciiTheme="majorHAnsi" w:eastAsia="Times New Roman" w:hAnsiTheme="majorHAnsi" w:cstheme="majorHAnsi"/>
          <w:b w:val="0"/>
          <w:bCs w:val="0"/>
          <w:sz w:val="24"/>
          <w:szCs w:val="24"/>
          <w:shd w:val="clear" w:color="auto" w:fill="FFFFFF"/>
          <w:lang w:val="en-US" w:eastAsia="ru-RU"/>
        </w:rPr>
        <w:t>l</w:t>
      </w:r>
      <w:r w:rsidRPr="008376FC">
        <w:rPr>
          <w:rFonts w:asciiTheme="majorHAnsi" w:eastAsia="Times New Roman" w:hAnsiTheme="majorHAnsi" w:cstheme="majorHAnsi"/>
          <w:b w:val="0"/>
          <w:bCs w:val="0"/>
          <w:sz w:val="24"/>
          <w:szCs w:val="24"/>
          <w:shd w:val="clear" w:color="auto" w:fill="FFFFFF"/>
          <w:lang w:val="en-US" w:eastAsia="ru-RU"/>
        </w:rPr>
        <w:t>e în domeniul alimentării cu apă și sanitație</w:t>
      </w:r>
      <w:r w:rsidR="00C455EB">
        <w:rPr>
          <w:rFonts w:asciiTheme="majorHAnsi" w:eastAsia="Times New Roman" w:hAnsiTheme="majorHAnsi" w:cstheme="majorHAnsi"/>
          <w:b w:val="0"/>
          <w:bCs w:val="0"/>
          <w:sz w:val="24"/>
          <w:szCs w:val="24"/>
          <w:shd w:val="clear" w:color="auto" w:fill="FFFFFF"/>
          <w:lang w:val="en-US" w:eastAsia="ru-RU"/>
        </w:rPr>
        <w:t>i</w:t>
      </w:r>
      <w:r w:rsidRPr="008376FC">
        <w:rPr>
          <w:rFonts w:asciiTheme="majorHAnsi" w:eastAsia="Times New Roman" w:hAnsiTheme="majorHAnsi" w:cstheme="majorHAnsi"/>
          <w:b w:val="0"/>
          <w:bCs w:val="0"/>
          <w:sz w:val="24"/>
          <w:szCs w:val="24"/>
          <w:shd w:val="clear" w:color="auto" w:fill="FFFFFF"/>
          <w:lang w:val="en-US" w:eastAsia="ru-RU"/>
        </w:rPr>
        <w:t>, în comun cu BNS</w:t>
      </w:r>
      <w:r w:rsidR="00C455EB">
        <w:rPr>
          <w:rFonts w:asciiTheme="majorHAnsi" w:eastAsia="Times New Roman" w:hAnsiTheme="majorHAnsi" w:cstheme="majorHAnsi"/>
          <w:b w:val="0"/>
          <w:bCs w:val="0"/>
          <w:sz w:val="24"/>
          <w:szCs w:val="24"/>
          <w:shd w:val="clear" w:color="auto" w:fill="FFFFFF"/>
          <w:lang w:val="en-US" w:eastAsia="ru-RU"/>
        </w:rPr>
        <w:t>,</w:t>
      </w:r>
      <w:r w:rsidRPr="008376FC">
        <w:rPr>
          <w:rFonts w:asciiTheme="majorHAnsi" w:eastAsia="Times New Roman" w:hAnsiTheme="majorHAnsi" w:cstheme="majorHAnsi"/>
          <w:b w:val="0"/>
          <w:bCs w:val="0"/>
          <w:sz w:val="24"/>
          <w:szCs w:val="24"/>
          <w:shd w:val="clear" w:color="auto" w:fill="FFFFFF"/>
          <w:lang w:val="en-US" w:eastAsia="ru-RU"/>
        </w:rPr>
        <w:t xml:space="preserve"> să stabilea</w:t>
      </w:r>
      <w:r w:rsidR="00C455EB">
        <w:rPr>
          <w:rFonts w:asciiTheme="majorHAnsi" w:eastAsia="Times New Roman" w:hAnsiTheme="majorHAnsi" w:cstheme="majorHAnsi"/>
          <w:b w:val="0"/>
          <w:bCs w:val="0"/>
          <w:sz w:val="24"/>
          <w:szCs w:val="24"/>
          <w:shd w:val="clear" w:color="auto" w:fill="FFFFFF"/>
          <w:lang w:val="en-US" w:eastAsia="ru-RU"/>
        </w:rPr>
        <w:t>sc</w:t>
      </w:r>
      <w:r w:rsidRPr="008376FC">
        <w:rPr>
          <w:rFonts w:asciiTheme="majorHAnsi" w:eastAsia="Times New Roman" w:hAnsiTheme="majorHAnsi" w:cstheme="majorHAnsi"/>
          <w:b w:val="0"/>
          <w:bCs w:val="0"/>
          <w:sz w:val="24"/>
          <w:szCs w:val="24"/>
          <w:shd w:val="clear" w:color="auto" w:fill="FFFFFF"/>
          <w:lang w:val="en-US" w:eastAsia="ru-RU"/>
        </w:rPr>
        <w:t>ă indicatori</w:t>
      </w:r>
      <w:r w:rsidR="00C455EB">
        <w:rPr>
          <w:rFonts w:asciiTheme="majorHAnsi" w:eastAsia="Times New Roman" w:hAnsiTheme="majorHAnsi" w:cstheme="majorHAnsi"/>
          <w:b w:val="0"/>
          <w:bCs w:val="0"/>
          <w:sz w:val="24"/>
          <w:szCs w:val="24"/>
          <w:shd w:val="clear" w:color="auto" w:fill="FFFFFF"/>
          <w:lang w:val="en-US" w:eastAsia="ru-RU"/>
        </w:rPr>
        <w:t>i</w:t>
      </w:r>
      <w:r w:rsidRPr="008376FC">
        <w:rPr>
          <w:rFonts w:asciiTheme="majorHAnsi" w:eastAsia="Times New Roman" w:hAnsiTheme="majorHAnsi" w:cstheme="majorHAnsi"/>
          <w:b w:val="0"/>
          <w:bCs w:val="0"/>
          <w:sz w:val="24"/>
          <w:szCs w:val="24"/>
          <w:shd w:val="clear" w:color="auto" w:fill="FFFFFF"/>
          <w:lang w:val="en-US" w:eastAsia="ru-RU"/>
        </w:rPr>
        <w:t xml:space="preserve"> relevanți domeniului ca</w:t>
      </w:r>
      <w:r w:rsidR="00F5618E" w:rsidRPr="008376FC">
        <w:rPr>
          <w:rFonts w:asciiTheme="majorHAnsi" w:eastAsia="Times New Roman" w:hAnsiTheme="majorHAnsi" w:cstheme="majorHAnsi"/>
          <w:b w:val="0"/>
          <w:bCs w:val="0"/>
          <w:sz w:val="24"/>
          <w:szCs w:val="24"/>
          <w:shd w:val="clear" w:color="auto" w:fill="FFFFFF"/>
          <w:lang w:val="en-US" w:eastAsia="ru-RU"/>
        </w:rPr>
        <w:t>re urmează a fi colecta</w:t>
      </w:r>
      <w:r w:rsidR="00C455EB">
        <w:rPr>
          <w:rFonts w:asciiTheme="majorHAnsi" w:eastAsia="Times New Roman" w:hAnsiTheme="majorHAnsi" w:cstheme="majorHAnsi"/>
          <w:b w:val="0"/>
          <w:bCs w:val="0"/>
          <w:sz w:val="24"/>
          <w:szCs w:val="24"/>
          <w:shd w:val="clear" w:color="auto" w:fill="FFFFFF"/>
          <w:lang w:val="en-US" w:eastAsia="ru-RU"/>
        </w:rPr>
        <w:t>ți</w:t>
      </w:r>
      <w:r w:rsidR="00F5618E" w:rsidRPr="008376FC">
        <w:rPr>
          <w:rFonts w:asciiTheme="majorHAnsi" w:eastAsia="Times New Roman" w:hAnsiTheme="majorHAnsi" w:cstheme="majorHAnsi"/>
          <w:b w:val="0"/>
          <w:bCs w:val="0"/>
          <w:sz w:val="24"/>
          <w:szCs w:val="24"/>
          <w:shd w:val="clear" w:color="auto" w:fill="FFFFFF"/>
          <w:lang w:val="en-US" w:eastAsia="ru-RU"/>
        </w:rPr>
        <w:t xml:space="preserve"> de la </w:t>
      </w:r>
      <w:r w:rsidRPr="008376FC">
        <w:rPr>
          <w:rFonts w:asciiTheme="majorHAnsi" w:eastAsia="Times New Roman" w:hAnsiTheme="majorHAnsi" w:cstheme="majorHAnsi"/>
          <w:b w:val="0"/>
          <w:bCs w:val="0"/>
          <w:sz w:val="24"/>
          <w:szCs w:val="24"/>
          <w:shd w:val="clear" w:color="auto" w:fill="FFFFFF"/>
          <w:lang w:val="en-US" w:eastAsia="ru-RU"/>
        </w:rPr>
        <w:t>p</w:t>
      </w:r>
      <w:r w:rsidR="00C455EB">
        <w:rPr>
          <w:rFonts w:asciiTheme="majorHAnsi" w:eastAsia="Times New Roman" w:hAnsiTheme="majorHAnsi" w:cstheme="majorHAnsi"/>
          <w:b w:val="0"/>
          <w:bCs w:val="0"/>
          <w:sz w:val="24"/>
          <w:szCs w:val="24"/>
          <w:shd w:val="clear" w:color="auto" w:fill="FFFFFF"/>
          <w:lang w:val="en-US" w:eastAsia="ru-RU"/>
        </w:rPr>
        <w:t>r</w:t>
      </w:r>
      <w:r w:rsidRPr="008376FC">
        <w:rPr>
          <w:rFonts w:asciiTheme="majorHAnsi" w:eastAsia="Times New Roman" w:hAnsiTheme="majorHAnsi" w:cstheme="majorHAnsi"/>
          <w:b w:val="0"/>
          <w:bCs w:val="0"/>
          <w:sz w:val="24"/>
          <w:szCs w:val="24"/>
          <w:shd w:val="clear" w:color="auto" w:fill="FFFFFF"/>
          <w:lang w:val="en-US" w:eastAsia="ru-RU"/>
        </w:rPr>
        <w:t>es</w:t>
      </w:r>
      <w:r w:rsidR="00C455EB">
        <w:rPr>
          <w:rFonts w:asciiTheme="majorHAnsi" w:eastAsia="Times New Roman" w:hAnsiTheme="majorHAnsi" w:cstheme="majorHAnsi"/>
          <w:b w:val="0"/>
          <w:bCs w:val="0"/>
          <w:sz w:val="24"/>
          <w:szCs w:val="24"/>
          <w:shd w:val="clear" w:color="auto" w:fill="FFFFFF"/>
          <w:lang w:val="en-US" w:eastAsia="ru-RU"/>
        </w:rPr>
        <w:t>ta</w:t>
      </w:r>
      <w:r w:rsidRPr="008376FC">
        <w:rPr>
          <w:rFonts w:asciiTheme="majorHAnsi" w:eastAsia="Times New Roman" w:hAnsiTheme="majorHAnsi" w:cstheme="majorHAnsi"/>
          <w:b w:val="0"/>
          <w:bCs w:val="0"/>
          <w:sz w:val="24"/>
          <w:szCs w:val="24"/>
          <w:shd w:val="clear" w:color="auto" w:fill="FFFFFF"/>
          <w:lang w:val="en-US" w:eastAsia="ru-RU"/>
        </w:rPr>
        <w:t>tori</w:t>
      </w:r>
      <w:r w:rsidR="00F5618E" w:rsidRPr="008376FC">
        <w:rPr>
          <w:rFonts w:asciiTheme="majorHAnsi" w:eastAsia="Times New Roman" w:hAnsiTheme="majorHAnsi" w:cstheme="majorHAnsi"/>
          <w:b w:val="0"/>
          <w:bCs w:val="0"/>
          <w:sz w:val="24"/>
          <w:szCs w:val="24"/>
          <w:shd w:val="clear" w:color="auto" w:fill="FFFFFF"/>
          <w:lang w:val="en-US" w:eastAsia="ru-RU"/>
        </w:rPr>
        <w:t>i</w:t>
      </w:r>
      <w:r w:rsidRPr="008376FC">
        <w:rPr>
          <w:rFonts w:asciiTheme="majorHAnsi" w:eastAsia="Times New Roman" w:hAnsiTheme="majorHAnsi" w:cstheme="majorHAnsi"/>
          <w:b w:val="0"/>
          <w:bCs w:val="0"/>
          <w:sz w:val="24"/>
          <w:szCs w:val="24"/>
          <w:shd w:val="clear" w:color="auto" w:fill="FFFFFF"/>
          <w:lang w:val="en-US" w:eastAsia="ru-RU"/>
        </w:rPr>
        <w:t xml:space="preserve"> serviciilor de alimentare cu apă și sanitație, pentru a fi inclu</w:t>
      </w:r>
      <w:r w:rsidR="00C455EB">
        <w:rPr>
          <w:rFonts w:asciiTheme="majorHAnsi" w:eastAsia="Times New Roman" w:hAnsiTheme="majorHAnsi" w:cstheme="majorHAnsi"/>
          <w:b w:val="0"/>
          <w:bCs w:val="0"/>
          <w:sz w:val="24"/>
          <w:szCs w:val="24"/>
          <w:shd w:val="clear" w:color="auto" w:fill="FFFFFF"/>
          <w:lang w:val="en-US" w:eastAsia="ru-RU"/>
        </w:rPr>
        <w:t>și</w:t>
      </w:r>
      <w:r w:rsidRPr="008376FC">
        <w:rPr>
          <w:rFonts w:asciiTheme="majorHAnsi" w:eastAsia="Times New Roman" w:hAnsiTheme="majorHAnsi" w:cstheme="majorHAnsi"/>
          <w:b w:val="0"/>
          <w:bCs w:val="0"/>
          <w:sz w:val="24"/>
          <w:szCs w:val="24"/>
          <w:shd w:val="clear" w:color="auto" w:fill="FFFFFF"/>
          <w:lang w:val="en-US" w:eastAsia="ru-RU"/>
        </w:rPr>
        <w:t xml:space="preserve"> în Formularul nr.1 </w:t>
      </w:r>
      <w:r w:rsidR="00C455EB">
        <w:rPr>
          <w:rFonts w:asciiTheme="majorHAnsi" w:eastAsia="Times New Roman" w:hAnsiTheme="majorHAnsi" w:cstheme="majorHAnsi"/>
          <w:b w:val="0"/>
          <w:bCs w:val="0"/>
          <w:sz w:val="24"/>
          <w:szCs w:val="24"/>
          <w:shd w:val="clear" w:color="auto" w:fill="FFFFFF"/>
          <w:lang w:val="en-US" w:eastAsia="ru-RU"/>
        </w:rPr>
        <w:t>A</w:t>
      </w:r>
      <w:r w:rsidRPr="008376FC">
        <w:rPr>
          <w:rFonts w:asciiTheme="majorHAnsi" w:eastAsia="Times New Roman" w:hAnsiTheme="majorHAnsi" w:cstheme="majorHAnsi"/>
          <w:b w:val="0"/>
          <w:bCs w:val="0"/>
          <w:sz w:val="24"/>
          <w:szCs w:val="24"/>
          <w:shd w:val="clear" w:color="auto" w:fill="FFFFFF"/>
          <w:lang w:val="en-US" w:eastAsia="ru-RU"/>
        </w:rPr>
        <w:t>pedicte – canalizare și utiliza</w:t>
      </w:r>
      <w:r w:rsidR="00C455EB">
        <w:rPr>
          <w:rFonts w:asciiTheme="majorHAnsi" w:eastAsia="Times New Roman" w:hAnsiTheme="majorHAnsi" w:cstheme="majorHAnsi"/>
          <w:b w:val="0"/>
          <w:bCs w:val="0"/>
          <w:sz w:val="24"/>
          <w:szCs w:val="24"/>
          <w:shd w:val="clear" w:color="auto" w:fill="FFFFFF"/>
          <w:lang w:val="en-US" w:eastAsia="ru-RU"/>
        </w:rPr>
        <w:t>ți</w:t>
      </w:r>
      <w:r w:rsidRPr="008376FC">
        <w:rPr>
          <w:rFonts w:asciiTheme="majorHAnsi" w:eastAsia="Times New Roman" w:hAnsiTheme="majorHAnsi" w:cstheme="majorHAnsi"/>
          <w:b w:val="0"/>
          <w:bCs w:val="0"/>
          <w:sz w:val="24"/>
          <w:szCs w:val="24"/>
          <w:shd w:val="clear" w:color="auto" w:fill="FFFFFF"/>
          <w:lang w:val="en-US" w:eastAsia="ru-RU"/>
        </w:rPr>
        <w:t xml:space="preserve"> la evaluarea si</w:t>
      </w:r>
      <w:r w:rsidR="00C455EB">
        <w:rPr>
          <w:rFonts w:asciiTheme="majorHAnsi" w:eastAsia="Times New Roman" w:hAnsiTheme="majorHAnsi" w:cstheme="majorHAnsi"/>
          <w:b w:val="0"/>
          <w:bCs w:val="0"/>
          <w:sz w:val="24"/>
          <w:szCs w:val="24"/>
          <w:shd w:val="clear" w:color="auto" w:fill="FFFFFF"/>
          <w:lang w:val="en-US" w:eastAsia="ru-RU"/>
        </w:rPr>
        <w:t>t</w:t>
      </w:r>
      <w:r w:rsidRPr="008376FC">
        <w:rPr>
          <w:rFonts w:asciiTheme="majorHAnsi" w:eastAsia="Times New Roman" w:hAnsiTheme="majorHAnsi" w:cstheme="majorHAnsi"/>
          <w:b w:val="0"/>
          <w:bCs w:val="0"/>
          <w:sz w:val="24"/>
          <w:szCs w:val="24"/>
          <w:shd w:val="clear" w:color="auto" w:fill="FFFFFF"/>
          <w:lang w:val="en-US" w:eastAsia="ru-RU"/>
        </w:rPr>
        <w:t xml:space="preserve">uațiilor în domeniu. </w:t>
      </w:r>
    </w:p>
    <w:p w:rsidR="00BE49FB" w:rsidRPr="008376FC" w:rsidRDefault="00BE49FB"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lang w:eastAsia="ru-RU"/>
        </w:rPr>
      </w:pPr>
      <w:r w:rsidRPr="008376FC">
        <w:rPr>
          <w:rFonts w:asciiTheme="majorHAnsi" w:eastAsia="Times New Roman" w:hAnsiTheme="majorHAnsi" w:cstheme="majorHAnsi"/>
          <w:b w:val="0"/>
          <w:bCs w:val="0"/>
          <w:sz w:val="24"/>
          <w:szCs w:val="24"/>
          <w:shd w:val="clear" w:color="auto" w:fill="FFFFFF"/>
          <w:lang w:eastAsia="ru-RU"/>
        </w:rPr>
        <w:t>Totodată, tergiversarea implementării SIA ROITE de asemenea nu contribuie la înțelegerea tabloului per ansamblu în domeniul OITE aferente aprovizionării cu apă și canaliz</w:t>
      </w:r>
      <w:r w:rsidR="003B31DC">
        <w:rPr>
          <w:rFonts w:asciiTheme="majorHAnsi" w:eastAsia="Times New Roman" w:hAnsiTheme="majorHAnsi" w:cstheme="majorHAnsi"/>
          <w:b w:val="0"/>
          <w:bCs w:val="0"/>
          <w:sz w:val="24"/>
          <w:szCs w:val="24"/>
          <w:shd w:val="clear" w:color="auto" w:fill="FFFFFF"/>
          <w:lang w:eastAsia="ru-RU"/>
        </w:rPr>
        <w:t>ării</w:t>
      </w:r>
      <w:r w:rsidRPr="008376FC">
        <w:rPr>
          <w:rFonts w:asciiTheme="majorHAnsi" w:eastAsia="Times New Roman" w:hAnsiTheme="majorHAnsi" w:cstheme="majorHAnsi"/>
          <w:b w:val="0"/>
          <w:bCs w:val="0"/>
          <w:sz w:val="24"/>
          <w:szCs w:val="24"/>
          <w:shd w:val="clear" w:color="auto" w:fill="FFFFFF"/>
          <w:lang w:eastAsia="ru-RU"/>
        </w:rPr>
        <w:t xml:space="preserve">. </w:t>
      </w:r>
    </w:p>
    <w:p w:rsidR="0088086E" w:rsidRDefault="00EC6F14" w:rsidP="00F61756">
      <w:pPr>
        <w:shd w:val="clear" w:color="auto" w:fill="FFFFFF" w:themeFill="background1"/>
        <w:spacing w:before="120" w:line="276" w:lineRule="auto"/>
        <w:jc w:val="both"/>
        <w:rPr>
          <w:rFonts w:asciiTheme="majorHAnsi" w:hAnsiTheme="majorHAnsi" w:cstheme="majorHAnsi"/>
          <w:b w:val="0"/>
          <w:color w:val="0070C0"/>
          <w:lang w:val="en-US"/>
        </w:rPr>
      </w:pPr>
      <w:r>
        <w:rPr>
          <w:rFonts w:asciiTheme="majorHAnsi" w:hAnsiTheme="majorHAnsi" w:cstheme="majorHAnsi"/>
          <w:color w:val="0070C0"/>
          <w:lang w:val="en-US"/>
        </w:rPr>
        <w:t xml:space="preserve">4.3.22. </w:t>
      </w:r>
      <w:r w:rsidR="00BC28D6" w:rsidRPr="00BC28D6">
        <w:rPr>
          <w:rFonts w:asciiTheme="majorHAnsi" w:hAnsiTheme="majorHAnsi" w:cstheme="majorHAnsi"/>
          <w:color w:val="0070C0"/>
          <w:lang w:val="en-US"/>
        </w:rPr>
        <w:t xml:space="preserve">Deși conceptul SIA ROITE a fost aprobat în anul 2014, SIA nu a fost creat până în prezent. </w:t>
      </w:r>
    </w:p>
    <w:p w:rsidR="00E76430" w:rsidRPr="008376FC" w:rsidRDefault="00E76430" w:rsidP="00F61756">
      <w:pPr>
        <w:shd w:val="clear" w:color="auto" w:fill="FFFFFF" w:themeFill="background1"/>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Infrastructura tehnico-edilitară joacă un rol strategic în dezvoltarea economiei, iar crearea unui registru ce va permite înregistrarea obiectelor de infrastructură tehnico-edilitară şi a drepturilor asupra acestora, va favoriza dezvoltarea economiei naţionale şi implementarea programelor de dezvoltare în domeniul respectiv. </w:t>
      </w:r>
    </w:p>
    <w:p w:rsidR="00E76430" w:rsidRPr="008376FC" w:rsidRDefault="00E76430" w:rsidP="00F61756">
      <w:pPr>
        <w:shd w:val="clear" w:color="auto" w:fill="FFFFFF" w:themeFill="background1"/>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În anul 2014 a fost sesizată situația necorespunzătoare în domeniul evidenţei obiectelor de infrastructură tehnico-edilitară, fiind caracterizată prin</w:t>
      </w:r>
      <w:r w:rsidRPr="008376FC">
        <w:rPr>
          <w:rStyle w:val="ab"/>
          <w:rFonts w:asciiTheme="majorHAnsi" w:hAnsiTheme="majorHAnsi" w:cstheme="majorHAnsi"/>
          <w:b w:val="0"/>
          <w:bCs w:val="0"/>
          <w:sz w:val="24"/>
          <w:szCs w:val="24"/>
          <w:shd w:val="clear" w:color="auto" w:fill="FFFFFF"/>
        </w:rPr>
        <w:footnoteReference w:id="100"/>
      </w:r>
      <w:r w:rsidRPr="008376FC">
        <w:rPr>
          <w:rFonts w:asciiTheme="majorHAnsi" w:hAnsiTheme="majorHAnsi" w:cstheme="majorHAnsi"/>
          <w:b w:val="0"/>
          <w:bCs w:val="0"/>
          <w:sz w:val="24"/>
          <w:szCs w:val="24"/>
          <w:shd w:val="clear" w:color="auto" w:fill="FFFFFF"/>
        </w:rPr>
        <w:t>: (i) inexistenţa cadrului normativ în domeniul înregistrării obiectelor de infrastructură tehnico-edilitară, (ii) lipsa sau insuficența de date în cadrul siste</w:t>
      </w:r>
      <w:r w:rsidR="00462A7A">
        <w:rPr>
          <w:rFonts w:asciiTheme="majorHAnsi" w:hAnsiTheme="majorHAnsi" w:cstheme="majorHAnsi"/>
          <w:b w:val="0"/>
          <w:bCs w:val="0"/>
          <w:sz w:val="24"/>
          <w:szCs w:val="24"/>
          <w:shd w:val="clear" w:color="auto" w:fill="FFFFFF"/>
        </w:rPr>
        <w:t>m</w:t>
      </w:r>
      <w:r w:rsidRPr="008376FC">
        <w:rPr>
          <w:rFonts w:asciiTheme="majorHAnsi" w:hAnsiTheme="majorHAnsi" w:cstheme="majorHAnsi"/>
          <w:b w:val="0"/>
          <w:bCs w:val="0"/>
          <w:sz w:val="24"/>
          <w:szCs w:val="24"/>
          <w:shd w:val="clear" w:color="auto" w:fill="FFFFFF"/>
        </w:rPr>
        <w:t>ului de evidență departamentală a OITE, (iii) lipsa unei coordonări între structurile deținătoare de date privind evidența OITE, incertitudinea sau lipsa dreptului de proprietate asupra OITE, ceea ce stopează într-o măsură oarecare atragerea investiţiilor,  (iv) lips</w:t>
      </w:r>
      <w:r w:rsidR="00462A7A">
        <w:rPr>
          <w:rFonts w:asciiTheme="majorHAnsi" w:hAnsiTheme="majorHAnsi" w:cstheme="majorHAnsi"/>
          <w:b w:val="0"/>
          <w:bCs w:val="0"/>
          <w:sz w:val="24"/>
          <w:szCs w:val="24"/>
          <w:shd w:val="clear" w:color="auto" w:fill="FFFFFF"/>
        </w:rPr>
        <w:t>a</w:t>
      </w:r>
      <w:r w:rsidR="00A30A37">
        <w:rPr>
          <w:rFonts w:asciiTheme="majorHAnsi" w:hAnsiTheme="majorHAnsi" w:cstheme="majorHAnsi"/>
          <w:b w:val="0"/>
          <w:bCs w:val="0"/>
          <w:sz w:val="24"/>
          <w:szCs w:val="24"/>
          <w:shd w:val="clear" w:color="auto" w:fill="FFFFFF"/>
        </w:rPr>
        <w:t xml:space="preserve"> unei </w:t>
      </w:r>
      <w:r w:rsidRPr="008376FC">
        <w:rPr>
          <w:rFonts w:asciiTheme="majorHAnsi" w:hAnsiTheme="majorHAnsi" w:cstheme="majorHAnsi"/>
          <w:b w:val="0"/>
          <w:bCs w:val="0"/>
          <w:sz w:val="24"/>
          <w:szCs w:val="24"/>
          <w:shd w:val="clear" w:color="auto" w:fill="FFFFFF"/>
        </w:rPr>
        <w:t xml:space="preserve"> baz</w:t>
      </w:r>
      <w:r w:rsidR="00A30A37">
        <w:rPr>
          <w:rFonts w:asciiTheme="majorHAnsi" w:hAnsiTheme="majorHAnsi" w:cstheme="majorHAnsi"/>
          <w:b w:val="0"/>
          <w:bCs w:val="0"/>
          <w:sz w:val="24"/>
          <w:szCs w:val="24"/>
          <w:shd w:val="clear" w:color="auto" w:fill="FFFFFF"/>
        </w:rPr>
        <w:t>e</w:t>
      </w:r>
      <w:r w:rsidRPr="008376FC">
        <w:rPr>
          <w:rFonts w:asciiTheme="majorHAnsi" w:hAnsiTheme="majorHAnsi" w:cstheme="majorHAnsi"/>
          <w:b w:val="0"/>
          <w:bCs w:val="0"/>
          <w:sz w:val="24"/>
          <w:szCs w:val="24"/>
          <w:shd w:val="clear" w:color="auto" w:fill="FFFFFF"/>
        </w:rPr>
        <w:t xml:space="preserve"> de date unic</w:t>
      </w:r>
      <w:r w:rsidR="00462A7A">
        <w:rPr>
          <w:rFonts w:asciiTheme="majorHAnsi" w:hAnsiTheme="majorHAnsi" w:cstheme="majorHAnsi"/>
          <w:b w:val="0"/>
          <w:bCs w:val="0"/>
          <w:sz w:val="24"/>
          <w:szCs w:val="24"/>
          <w:shd w:val="clear" w:color="auto" w:fill="FFFFFF"/>
        </w:rPr>
        <w:t>e</w:t>
      </w:r>
      <w:r w:rsidRPr="008376FC">
        <w:rPr>
          <w:rFonts w:asciiTheme="majorHAnsi" w:hAnsiTheme="majorHAnsi" w:cstheme="majorHAnsi"/>
          <w:b w:val="0"/>
          <w:bCs w:val="0"/>
          <w:sz w:val="24"/>
          <w:szCs w:val="24"/>
          <w:shd w:val="clear" w:color="auto" w:fill="FFFFFF"/>
        </w:rPr>
        <w:t xml:space="preserve"> de înregistrare şi evidenţă informaţională a OITE, din ce cauză nu se formează o imagine clară şi reală despre obiectele de infrastructură existente, mai ales despre cele subterane, despre proprietarii acestora, grevările ce sunt impuse asupra terenurilor incluse în zona de protecţie a obiectelor, (v) la privatizarea terenurilor nu s</w:t>
      </w:r>
      <w:r w:rsidR="00462A7A">
        <w:rPr>
          <w:rFonts w:asciiTheme="majorHAnsi" w:hAnsiTheme="majorHAnsi" w:cstheme="majorHAnsi"/>
          <w:b w:val="0"/>
          <w:bCs w:val="0"/>
          <w:sz w:val="24"/>
          <w:szCs w:val="24"/>
          <w:shd w:val="clear" w:color="auto" w:fill="FFFFFF"/>
        </w:rPr>
        <w:t>-a</w:t>
      </w:r>
      <w:r w:rsidRPr="008376FC">
        <w:rPr>
          <w:rFonts w:asciiTheme="majorHAnsi" w:hAnsiTheme="majorHAnsi" w:cstheme="majorHAnsi"/>
          <w:b w:val="0"/>
          <w:bCs w:val="0"/>
          <w:sz w:val="24"/>
          <w:szCs w:val="24"/>
          <w:shd w:val="clear" w:color="auto" w:fill="FFFFFF"/>
        </w:rPr>
        <w:t xml:space="preserve"> ţin</w:t>
      </w:r>
      <w:r w:rsidR="00462A7A">
        <w:rPr>
          <w:rFonts w:asciiTheme="majorHAnsi" w:hAnsiTheme="majorHAnsi" w:cstheme="majorHAnsi"/>
          <w:b w:val="0"/>
          <w:bCs w:val="0"/>
          <w:sz w:val="24"/>
          <w:szCs w:val="24"/>
          <w:shd w:val="clear" w:color="auto" w:fill="FFFFFF"/>
        </w:rPr>
        <w:t>ut</w:t>
      </w:r>
      <w:r w:rsidRPr="008376FC">
        <w:rPr>
          <w:rFonts w:asciiTheme="majorHAnsi" w:hAnsiTheme="majorHAnsi" w:cstheme="majorHAnsi"/>
          <w:b w:val="0"/>
          <w:bCs w:val="0"/>
          <w:sz w:val="24"/>
          <w:szCs w:val="24"/>
          <w:shd w:val="clear" w:color="auto" w:fill="FFFFFF"/>
        </w:rPr>
        <w:t xml:space="preserve"> cont de existenţa obiectelor de infrastructură tehnico-edilitară pe acestea, iar proprietarii terenurilor nu cunosc despre grevările impuse de legislație în zona de protecţie a acestor obiecte, din care cauză apar conflicte între proprietarii terenurilor şi proprietarii OITE.  </w:t>
      </w:r>
    </w:p>
    <w:p w:rsidR="00857A15" w:rsidRDefault="00E76430" w:rsidP="00F61756">
      <w:pPr>
        <w:shd w:val="clear" w:color="auto" w:fill="FFFFFF" w:themeFill="background1"/>
        <w:spacing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 xml:space="preserve">Lipsa unui sistem informaţional şi a schimbului de informaţii între agenţii economici care se ocupă cu activităţi de excavare şi operatorii de reţea, aduc daune infrastructurii subterane. Prejudiciul cauzat prin aceste </w:t>
      </w:r>
      <w:r w:rsidR="0052517A">
        <w:rPr>
          <w:rFonts w:asciiTheme="majorHAnsi" w:hAnsiTheme="majorHAnsi" w:cstheme="majorHAnsi"/>
          <w:b w:val="0"/>
          <w:bCs w:val="0"/>
          <w:sz w:val="24"/>
          <w:szCs w:val="24"/>
          <w:shd w:val="clear" w:color="auto" w:fill="FFFFFF"/>
        </w:rPr>
        <w:t>nereguli</w:t>
      </w:r>
      <w:r w:rsidR="00462A7A" w:rsidRPr="008376FC">
        <w:rPr>
          <w:rFonts w:asciiTheme="majorHAnsi" w:hAnsiTheme="majorHAnsi" w:cstheme="majorHAnsi"/>
          <w:b w:val="0"/>
          <w:bCs w:val="0"/>
          <w:sz w:val="24"/>
          <w:szCs w:val="24"/>
          <w:shd w:val="clear" w:color="auto" w:fill="FFFFFF"/>
        </w:rPr>
        <w:t xml:space="preserve"> </w:t>
      </w:r>
      <w:r w:rsidRPr="008376FC">
        <w:rPr>
          <w:rFonts w:asciiTheme="majorHAnsi" w:hAnsiTheme="majorHAnsi" w:cstheme="majorHAnsi"/>
          <w:b w:val="0"/>
          <w:bCs w:val="0"/>
          <w:sz w:val="24"/>
          <w:szCs w:val="24"/>
          <w:shd w:val="clear" w:color="auto" w:fill="FFFFFF"/>
        </w:rPr>
        <w:t>este estimat la milioane de lei anual.</w:t>
      </w:r>
    </w:p>
    <w:p w:rsidR="00E76430" w:rsidRPr="008376FC" w:rsidRDefault="00E76430" w:rsidP="00F61756">
      <w:pPr>
        <w:shd w:val="clear" w:color="auto" w:fill="FFFFFF" w:themeFill="background1"/>
        <w:spacing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br/>
        <w:t xml:space="preserve">Pentru ameliorarea situațiilor create, a fost luată decizia </w:t>
      </w:r>
      <w:r w:rsidR="0052517A">
        <w:rPr>
          <w:rFonts w:asciiTheme="majorHAnsi" w:hAnsiTheme="majorHAnsi" w:cstheme="majorHAnsi"/>
          <w:b w:val="0"/>
          <w:bCs w:val="0"/>
          <w:sz w:val="24"/>
          <w:szCs w:val="24"/>
          <w:shd w:val="clear" w:color="auto" w:fill="FFFFFF"/>
        </w:rPr>
        <w:t>de</w:t>
      </w:r>
      <w:r w:rsidRPr="008376FC">
        <w:rPr>
          <w:rFonts w:asciiTheme="majorHAnsi" w:hAnsiTheme="majorHAnsi" w:cstheme="majorHAnsi"/>
          <w:b w:val="0"/>
          <w:bCs w:val="0"/>
          <w:sz w:val="24"/>
          <w:szCs w:val="24"/>
          <w:shd w:val="clear" w:color="auto" w:fill="FFFFFF"/>
        </w:rPr>
        <w:t xml:space="preserve"> reglementare</w:t>
      </w:r>
      <w:r w:rsidR="0052517A">
        <w:rPr>
          <w:rFonts w:asciiTheme="majorHAnsi" w:hAnsiTheme="majorHAnsi" w:cstheme="majorHAnsi"/>
          <w:b w:val="0"/>
          <w:bCs w:val="0"/>
          <w:sz w:val="24"/>
          <w:szCs w:val="24"/>
          <w:shd w:val="clear" w:color="auto" w:fill="FFFFFF"/>
        </w:rPr>
        <w:t xml:space="preserve"> </w:t>
      </w:r>
      <w:r w:rsidRPr="008376FC">
        <w:rPr>
          <w:rFonts w:asciiTheme="majorHAnsi" w:hAnsiTheme="majorHAnsi" w:cstheme="majorHAnsi"/>
          <w:b w:val="0"/>
          <w:bCs w:val="0"/>
          <w:sz w:val="24"/>
          <w:szCs w:val="24"/>
          <w:shd w:val="clear" w:color="auto" w:fill="FFFFFF"/>
        </w:rPr>
        <w:t xml:space="preserve">a activităţii de înregistrare a OITE şi a drepturilor asupra acestora, </w:t>
      </w:r>
      <w:r w:rsidR="0052517A">
        <w:rPr>
          <w:rFonts w:asciiTheme="majorHAnsi" w:hAnsiTheme="majorHAnsi" w:cstheme="majorHAnsi"/>
          <w:b w:val="0"/>
          <w:bCs w:val="0"/>
          <w:sz w:val="24"/>
          <w:szCs w:val="24"/>
          <w:shd w:val="clear" w:color="auto" w:fill="FFFFFF"/>
        </w:rPr>
        <w:t xml:space="preserve">de </w:t>
      </w:r>
      <w:r w:rsidRPr="008376FC">
        <w:rPr>
          <w:rFonts w:asciiTheme="majorHAnsi" w:hAnsiTheme="majorHAnsi" w:cstheme="majorHAnsi"/>
          <w:b w:val="0"/>
          <w:bCs w:val="0"/>
          <w:sz w:val="24"/>
          <w:szCs w:val="24"/>
          <w:shd w:val="clear" w:color="auto" w:fill="FFFFFF"/>
        </w:rPr>
        <w:t>cre</w:t>
      </w:r>
      <w:r w:rsidR="0052517A">
        <w:rPr>
          <w:rFonts w:asciiTheme="majorHAnsi" w:hAnsiTheme="majorHAnsi" w:cstheme="majorHAnsi"/>
          <w:b w:val="0"/>
          <w:bCs w:val="0"/>
          <w:sz w:val="24"/>
          <w:szCs w:val="24"/>
          <w:shd w:val="clear" w:color="auto" w:fill="FFFFFF"/>
        </w:rPr>
        <w:t>are a</w:t>
      </w:r>
      <w:r w:rsidRPr="008376FC">
        <w:rPr>
          <w:rFonts w:asciiTheme="majorHAnsi" w:hAnsiTheme="majorHAnsi" w:cstheme="majorHAnsi"/>
          <w:b w:val="0"/>
          <w:bCs w:val="0"/>
          <w:sz w:val="24"/>
          <w:szCs w:val="24"/>
          <w:shd w:val="clear" w:color="auto" w:fill="FFFFFF"/>
        </w:rPr>
        <w:t xml:space="preserve"> unei baze de date complexe despre toate tipurile de OITE prin intermediul unui SIA ROITE. În acest sens a fost aprobată HG nr. 133/2014 cu privire la crearea SIA ROITE.  </w:t>
      </w:r>
    </w:p>
    <w:p w:rsidR="00E76430" w:rsidRPr="008376FC" w:rsidRDefault="00E76430" w:rsidP="00F61756">
      <w:pPr>
        <w:shd w:val="clear" w:color="auto" w:fill="FFFFFF" w:themeFill="background1"/>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Conform cadrului regulator, Registrul obiectivelor de infrastructură tehnico-edilitară se creează în scopul colectării, acumulării, prelucrării, sistematizării, păstrării, utilizării și furnizării de date cu privire la obiectivele de infrastructură tehnico-edilitară, drepturile asupra acestora, zonele de protecție ale acestora, precum și restricțiile aferente zonelor de protecție și reprezintă totalitatea informațiilor documentate privind OITE și drepturile asupra acestora, ținute într-un sistem informațional automatizat, organizat în conformitate cu cerințele stabilite de legislație.</w:t>
      </w:r>
    </w:p>
    <w:p w:rsidR="00E76430" w:rsidRPr="008376FC" w:rsidRDefault="00E76430" w:rsidP="00F61756">
      <w:pPr>
        <w:shd w:val="clear" w:color="auto" w:fill="FFFFFF" w:themeFill="background1"/>
        <w:spacing w:before="120" w:after="0" w:line="276" w:lineRule="auto"/>
        <w:jc w:val="both"/>
        <w:rPr>
          <w:rFonts w:asciiTheme="majorHAnsi" w:hAnsiTheme="majorHAnsi" w:cstheme="majorHAnsi"/>
          <w:b w:val="0"/>
          <w:bCs w:val="0"/>
          <w:sz w:val="24"/>
          <w:szCs w:val="24"/>
          <w:shd w:val="clear" w:color="auto" w:fill="FFFFFF"/>
        </w:rPr>
      </w:pPr>
      <w:r w:rsidRPr="008376FC">
        <w:rPr>
          <w:rStyle w:val="af9"/>
          <w:rFonts w:asciiTheme="majorHAnsi" w:hAnsiTheme="majorHAnsi" w:cstheme="majorHAnsi"/>
          <w:b w:val="0"/>
          <w:i w:val="0"/>
          <w:sz w:val="24"/>
          <w:szCs w:val="24"/>
          <w:shd w:val="clear" w:color="auto" w:fill="FFFFFF"/>
        </w:rPr>
        <w:t>În categoria de OITE</w:t>
      </w:r>
      <w:r w:rsidRPr="008376FC">
        <w:rPr>
          <w:rStyle w:val="af9"/>
          <w:rFonts w:asciiTheme="majorHAnsi" w:hAnsiTheme="majorHAnsi" w:cstheme="majorHAnsi"/>
          <w:sz w:val="24"/>
          <w:szCs w:val="24"/>
          <w:shd w:val="clear" w:color="auto" w:fill="FFFFFF"/>
        </w:rPr>
        <w:t xml:space="preserve"> </w:t>
      </w:r>
      <w:r w:rsidRPr="00A30A37">
        <w:rPr>
          <w:rStyle w:val="af9"/>
          <w:rFonts w:asciiTheme="majorHAnsi" w:hAnsiTheme="majorHAnsi" w:cstheme="majorHAnsi"/>
          <w:b w:val="0"/>
          <w:bCs w:val="0"/>
          <w:i w:val="0"/>
          <w:sz w:val="24"/>
          <w:szCs w:val="24"/>
          <w:shd w:val="clear" w:color="auto" w:fill="FFFFFF"/>
        </w:rPr>
        <w:t>se</w:t>
      </w:r>
      <w:r w:rsidRPr="008376FC">
        <w:rPr>
          <w:rFonts w:asciiTheme="majorHAnsi" w:hAnsiTheme="majorHAnsi" w:cstheme="majorHAnsi"/>
          <w:b w:val="0"/>
          <w:bCs w:val="0"/>
          <w:sz w:val="24"/>
          <w:szCs w:val="24"/>
          <w:shd w:val="clear" w:color="auto" w:fill="FFFFFF"/>
        </w:rPr>
        <w:t xml:space="preserve"> includ rețele</w:t>
      </w:r>
      <w:r w:rsidR="0052517A">
        <w:rPr>
          <w:rFonts w:asciiTheme="majorHAnsi" w:hAnsiTheme="majorHAnsi" w:cstheme="majorHAnsi"/>
          <w:b w:val="0"/>
          <w:bCs w:val="0"/>
          <w:sz w:val="24"/>
          <w:szCs w:val="24"/>
          <w:shd w:val="clear" w:color="auto" w:fill="FFFFFF"/>
        </w:rPr>
        <w:t>le</w:t>
      </w:r>
      <w:r w:rsidRPr="008376FC">
        <w:rPr>
          <w:rFonts w:asciiTheme="majorHAnsi" w:hAnsiTheme="majorHAnsi" w:cstheme="majorHAnsi"/>
          <w:b w:val="0"/>
          <w:bCs w:val="0"/>
          <w:sz w:val="24"/>
          <w:szCs w:val="24"/>
          <w:shd w:val="clear" w:color="auto" w:fill="FFFFFF"/>
        </w:rPr>
        <w:t xml:space="preserve"> subterane și supraterane de alimentare cu apă potabilă și tehnică, de canalizare, de termoficare, de alimentare cu energie electrică, de telefonie etc., precum și căile de circulație a mijloacelor de transport, construcțiile supraterane de pozare a instalațiilor electrice, stațiile de pompare și de punere sub presiune, alte construcții și instalații ce fac parte din dotarea edilitară de interes public sau comun. </w:t>
      </w:r>
    </w:p>
    <w:p w:rsidR="00E76430" w:rsidRPr="008376FC" w:rsidRDefault="00E76430" w:rsidP="00F61756">
      <w:pPr>
        <w:shd w:val="clear" w:color="auto" w:fill="FFFFFF" w:themeFill="background1"/>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Obiective</w:t>
      </w:r>
      <w:r w:rsidR="0052517A">
        <w:rPr>
          <w:rFonts w:asciiTheme="majorHAnsi" w:hAnsiTheme="majorHAnsi" w:cstheme="majorHAnsi"/>
          <w:b w:val="0"/>
          <w:bCs w:val="0"/>
          <w:sz w:val="24"/>
          <w:szCs w:val="24"/>
          <w:shd w:val="clear" w:color="auto" w:fill="FFFFFF"/>
        </w:rPr>
        <w:t>le</w:t>
      </w:r>
      <w:r w:rsidRPr="008376FC">
        <w:rPr>
          <w:rFonts w:asciiTheme="majorHAnsi" w:hAnsiTheme="majorHAnsi" w:cstheme="majorHAnsi"/>
          <w:b w:val="0"/>
          <w:bCs w:val="0"/>
          <w:sz w:val="24"/>
          <w:szCs w:val="24"/>
          <w:shd w:val="clear" w:color="auto" w:fill="FFFFFF"/>
        </w:rPr>
        <w:t xml:space="preserve"> de infrastructură tehnico-edilitară care se înregistrează în Registru s</w:t>
      </w:r>
      <w:r w:rsidR="0052517A">
        <w:rPr>
          <w:rFonts w:asciiTheme="majorHAnsi" w:hAnsiTheme="majorHAnsi" w:cstheme="majorHAnsi"/>
          <w:b w:val="0"/>
          <w:bCs w:val="0"/>
          <w:sz w:val="24"/>
          <w:szCs w:val="24"/>
          <w:shd w:val="clear" w:color="auto" w:fill="FFFFFF"/>
        </w:rPr>
        <w:t>u</w:t>
      </w:r>
      <w:r w:rsidRPr="008376FC">
        <w:rPr>
          <w:rFonts w:asciiTheme="majorHAnsi" w:hAnsiTheme="majorHAnsi" w:cstheme="majorHAnsi"/>
          <w:b w:val="0"/>
          <w:bCs w:val="0"/>
          <w:sz w:val="24"/>
          <w:szCs w:val="24"/>
          <w:shd w:val="clear" w:color="auto" w:fill="FFFFFF"/>
        </w:rPr>
        <w:t>nt: (i) obiectivele din infrastructura transportului (căile ferate, construcțiile, altele dec</w:t>
      </w:r>
      <w:r w:rsidR="0052517A">
        <w:rPr>
          <w:rFonts w:asciiTheme="majorHAnsi" w:hAnsiTheme="majorHAnsi" w:cstheme="majorHAnsi"/>
          <w:b w:val="0"/>
          <w:bCs w:val="0"/>
          <w:sz w:val="24"/>
          <w:szCs w:val="24"/>
          <w:shd w:val="clear" w:color="auto" w:fill="FFFFFF"/>
        </w:rPr>
        <w:t>â</w:t>
      </w:r>
      <w:r w:rsidRPr="008376FC">
        <w:rPr>
          <w:rFonts w:asciiTheme="majorHAnsi" w:hAnsiTheme="majorHAnsi" w:cstheme="majorHAnsi"/>
          <w:b w:val="0"/>
          <w:bCs w:val="0"/>
          <w:sz w:val="24"/>
          <w:szCs w:val="24"/>
          <w:shd w:val="clear" w:color="auto" w:fill="FFFFFF"/>
        </w:rPr>
        <w:t>t clădirile, instalațiile și echipamentele amplasate pe suprafața terestră (acvatică) a aerodromului (aeroportului), construcțiile, altele dec</w:t>
      </w:r>
      <w:r w:rsidR="0052517A">
        <w:rPr>
          <w:rFonts w:asciiTheme="majorHAnsi" w:hAnsiTheme="majorHAnsi" w:cstheme="majorHAnsi"/>
          <w:b w:val="0"/>
          <w:bCs w:val="0"/>
          <w:sz w:val="24"/>
          <w:szCs w:val="24"/>
          <w:shd w:val="clear" w:color="auto" w:fill="FFFFFF"/>
        </w:rPr>
        <w:t>â</w:t>
      </w:r>
      <w:r w:rsidRPr="008376FC">
        <w:rPr>
          <w:rFonts w:asciiTheme="majorHAnsi" w:hAnsiTheme="majorHAnsi" w:cstheme="majorHAnsi"/>
          <w:b w:val="0"/>
          <w:bCs w:val="0"/>
          <w:sz w:val="24"/>
          <w:szCs w:val="24"/>
          <w:shd w:val="clear" w:color="auto" w:fill="FFFFFF"/>
        </w:rPr>
        <w:t>t clădirile, instalațiile și echipamentele amplasate pe teritoriul și în acvatoriul portului maritim, (ii) obiectivele din infrastructura energetică (rețelele electrice, rețelele de gaze naturale, (iii) obiectivele din sistemele publice de gospodărie comunală (sistemele de aprovizionare cu apă potabilă, rețelele de canalizare, rețelele de energie termică, rețelele de iluminare, rețelele de semaforizare, rețelele transportului electric, sistemele de gestionare a deșeurilor, rețelele de comunicații electronice), (iv) obiectivele transportului prin conducte (conducta, alte construcții și instalați</w:t>
      </w:r>
      <w:r w:rsidR="0052517A">
        <w:rPr>
          <w:rFonts w:asciiTheme="majorHAnsi" w:hAnsiTheme="majorHAnsi" w:cstheme="majorHAnsi"/>
          <w:b w:val="0"/>
          <w:bCs w:val="0"/>
          <w:sz w:val="24"/>
          <w:szCs w:val="24"/>
          <w:shd w:val="clear" w:color="auto" w:fill="FFFFFF"/>
        </w:rPr>
        <w:t>i</w:t>
      </w:r>
      <w:r w:rsidRPr="008376FC">
        <w:rPr>
          <w:rFonts w:asciiTheme="majorHAnsi" w:hAnsiTheme="majorHAnsi" w:cstheme="majorHAnsi"/>
          <w:b w:val="0"/>
          <w:bCs w:val="0"/>
          <w:sz w:val="24"/>
          <w:szCs w:val="24"/>
          <w:shd w:val="clear" w:color="auto" w:fill="FFFFFF"/>
        </w:rPr>
        <w:t xml:space="preserve"> ce fac parte din obiectivele respective), obiectivele pentru păstrarea și comercializarea produselor petroliere, sistemele de irigare, sistemele de desecare.</w:t>
      </w:r>
    </w:p>
    <w:p w:rsidR="00E76430" w:rsidRPr="008376FC" w:rsidRDefault="00E76430" w:rsidP="00F61756">
      <w:pPr>
        <w:shd w:val="clear" w:color="auto" w:fill="FFFFFF" w:themeFill="background1"/>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Ținerea și mentenanța Registrului urmează să fie efectu</w:t>
      </w:r>
      <w:r w:rsidR="0052517A">
        <w:rPr>
          <w:rFonts w:asciiTheme="majorHAnsi" w:hAnsiTheme="majorHAnsi" w:cstheme="majorHAnsi"/>
          <w:b w:val="0"/>
          <w:bCs w:val="0"/>
          <w:sz w:val="24"/>
          <w:szCs w:val="24"/>
          <w:shd w:val="clear" w:color="auto" w:fill="FFFFFF"/>
        </w:rPr>
        <w:t>ate</w:t>
      </w:r>
      <w:r w:rsidRPr="008376FC">
        <w:rPr>
          <w:rFonts w:asciiTheme="majorHAnsi" w:hAnsiTheme="majorHAnsi" w:cstheme="majorHAnsi"/>
          <w:b w:val="0"/>
          <w:bCs w:val="0"/>
          <w:sz w:val="24"/>
          <w:szCs w:val="24"/>
          <w:shd w:val="clear" w:color="auto" w:fill="FFFFFF"/>
        </w:rPr>
        <w:t xml:space="preserve"> din mijloacele financiare provenite din prestarea serviciilor de înregistrare a obiectivelor de infrastructură tehnico-edilitară și a drepturilor asupra acestora</w:t>
      </w:r>
      <w:r w:rsidR="0052517A">
        <w:rPr>
          <w:rFonts w:asciiTheme="majorHAnsi" w:hAnsiTheme="majorHAnsi" w:cstheme="majorHAnsi"/>
          <w:b w:val="0"/>
          <w:bCs w:val="0"/>
          <w:sz w:val="24"/>
          <w:szCs w:val="24"/>
          <w:shd w:val="clear" w:color="auto" w:fill="FFFFFF"/>
        </w:rPr>
        <w:t>, precum</w:t>
      </w:r>
      <w:r w:rsidRPr="008376FC">
        <w:rPr>
          <w:rFonts w:asciiTheme="majorHAnsi" w:hAnsiTheme="majorHAnsi" w:cstheme="majorHAnsi"/>
          <w:b w:val="0"/>
          <w:bCs w:val="0"/>
          <w:sz w:val="24"/>
          <w:szCs w:val="24"/>
          <w:shd w:val="clear" w:color="auto" w:fill="FFFFFF"/>
        </w:rPr>
        <w:t xml:space="preserve"> și din furnizarea de date din baza de date a Registrului.</w:t>
      </w:r>
      <w:r w:rsidR="003008E1" w:rsidRPr="008376FC">
        <w:rPr>
          <w:rFonts w:asciiTheme="majorHAnsi" w:hAnsiTheme="majorHAnsi" w:cstheme="majorHAnsi"/>
          <w:b w:val="0"/>
          <w:bCs w:val="0"/>
          <w:sz w:val="24"/>
          <w:szCs w:val="24"/>
          <w:shd w:val="clear" w:color="auto" w:fill="FFFFFF"/>
        </w:rPr>
        <w:t xml:space="preserve"> </w:t>
      </w:r>
      <w:r w:rsidRPr="008376FC">
        <w:rPr>
          <w:rFonts w:asciiTheme="majorHAnsi" w:hAnsiTheme="majorHAnsi" w:cstheme="majorHAnsi"/>
          <w:b w:val="0"/>
          <w:bCs w:val="0"/>
          <w:sz w:val="24"/>
          <w:szCs w:val="24"/>
          <w:shd w:val="clear" w:color="auto" w:fill="FFFFFF"/>
        </w:rPr>
        <w:t>Tot în acest context, în anul 2017 a fost aprobată Legea nr. 150/2017 cu privire la Registrul obiectivelor de infrastructură tehnico-edilitară. De menționat că, conform art.4 alin</w:t>
      </w:r>
      <w:r w:rsidR="0052517A">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 (6) din Legea cadastrului bunurilor imobile</w:t>
      </w:r>
      <w:r w:rsidR="0052517A">
        <w:rPr>
          <w:rFonts w:asciiTheme="majorHAnsi" w:hAnsiTheme="majorHAnsi" w:cstheme="majorHAnsi"/>
          <w:b w:val="0"/>
          <w:bCs w:val="0"/>
          <w:sz w:val="24"/>
          <w:szCs w:val="24"/>
          <w:shd w:val="clear" w:color="auto" w:fill="FFFFFF"/>
        </w:rPr>
        <w:t xml:space="preserve"> </w:t>
      </w:r>
      <w:r w:rsidR="0052517A" w:rsidRPr="008376FC">
        <w:rPr>
          <w:rFonts w:asciiTheme="majorHAnsi" w:hAnsiTheme="majorHAnsi" w:cstheme="majorHAnsi"/>
          <w:b w:val="0"/>
          <w:bCs w:val="0"/>
          <w:sz w:val="24"/>
          <w:szCs w:val="24"/>
          <w:shd w:val="clear" w:color="auto" w:fill="FFFFFF"/>
        </w:rPr>
        <w:t>nr.1543/1998</w:t>
      </w:r>
      <w:r w:rsidRPr="008376FC">
        <w:rPr>
          <w:rFonts w:asciiTheme="majorHAnsi" w:hAnsiTheme="majorHAnsi" w:cstheme="majorHAnsi"/>
          <w:b w:val="0"/>
          <w:bCs w:val="0"/>
          <w:sz w:val="24"/>
          <w:szCs w:val="24"/>
          <w:shd w:val="clear" w:color="auto" w:fill="FFFFFF"/>
        </w:rPr>
        <w:t>, obiectele de infrastructură tehnico-edilitară nu sunt obiecte ale înregistrării în registrul bunurilor imobile.</w:t>
      </w:r>
    </w:p>
    <w:p w:rsidR="00E76430" w:rsidRPr="008376FC" w:rsidRDefault="00E76430" w:rsidP="00F61756">
      <w:pPr>
        <w:shd w:val="clear" w:color="auto" w:fill="FFFFFF" w:themeFill="background1"/>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Conform HG nr.133/2014</w:t>
      </w:r>
      <w:r w:rsidR="0052517A">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 pentru crearea SIA ROITE a fost necesară: </w:t>
      </w:r>
    </w:p>
    <w:p w:rsidR="00E76430" w:rsidRPr="008376FC" w:rsidRDefault="00E76430" w:rsidP="00F61756">
      <w:pPr>
        <w:shd w:val="clear" w:color="auto" w:fill="FFFFFF" w:themeFill="background1"/>
        <w:spacing w:after="0" w:line="276" w:lineRule="auto"/>
        <w:ind w:firstLine="709"/>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(i)  elaborarea concepțiilor cadastrelor de specialitate pentru determinarea particularităților de bază ale organizării evidenţei obiectelor de infrastructură tehnico-edilitară. De menționat că Lista instituţiilor responsabile de elaborarea concepţiilor sistemelor informatice de ramură este aprobată prin Hotăr</w:t>
      </w:r>
      <w:r w:rsidR="0052517A">
        <w:rPr>
          <w:rFonts w:asciiTheme="majorHAnsi" w:hAnsiTheme="majorHAnsi" w:cstheme="majorHAnsi"/>
          <w:b w:val="0"/>
          <w:bCs w:val="0"/>
          <w:sz w:val="24"/>
          <w:szCs w:val="24"/>
          <w:shd w:val="clear" w:color="auto" w:fill="FFFFFF"/>
        </w:rPr>
        <w:t>â</w:t>
      </w:r>
      <w:r w:rsidRPr="008376FC">
        <w:rPr>
          <w:rFonts w:asciiTheme="majorHAnsi" w:hAnsiTheme="majorHAnsi" w:cstheme="majorHAnsi"/>
          <w:b w:val="0"/>
          <w:bCs w:val="0"/>
          <w:sz w:val="24"/>
          <w:szCs w:val="24"/>
          <w:shd w:val="clear" w:color="auto" w:fill="FFFFFF"/>
        </w:rPr>
        <w:t xml:space="preserve">rea Guvernului nr.1298 din 28.10.2003 „Cu privire la crearea Sistemului Informaţional Geografic Naţional”. </w:t>
      </w:r>
    </w:p>
    <w:p w:rsidR="00E76430" w:rsidRPr="008376FC" w:rsidRDefault="00E76430" w:rsidP="00F61756">
      <w:pPr>
        <w:shd w:val="clear" w:color="auto" w:fill="FFFFFF" w:themeFill="background1"/>
        <w:tabs>
          <w:tab w:val="left" w:pos="142"/>
          <w:tab w:val="left" w:pos="284"/>
        </w:tabs>
        <w:spacing w:after="0" w:line="276" w:lineRule="auto"/>
        <w:ind w:firstLine="709"/>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(ii) revizuirea actelor normative existente (efectuarea modificărilor) şi elaborarea actelor normative noi (după caz) în domeniu, în scopul creării unei baze juridice pentru crearea şi implementarea sistemului;</w:t>
      </w:r>
    </w:p>
    <w:p w:rsidR="00E76430" w:rsidRPr="008376FC" w:rsidRDefault="00E76430" w:rsidP="00F61756">
      <w:pPr>
        <w:shd w:val="clear" w:color="auto" w:fill="FFFFFF" w:themeFill="background1"/>
        <w:tabs>
          <w:tab w:val="left" w:pos="142"/>
          <w:tab w:val="left" w:pos="284"/>
        </w:tabs>
        <w:spacing w:after="0" w:line="276" w:lineRule="auto"/>
        <w:ind w:firstLine="709"/>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 xml:space="preserve"> (iii)  întreprinderea măsurilor în vederea automatizării tuturor instituţiilor care gestionează reţelele de infrastructură tehnico-edilitară şi crearea cadastrelor de specialitate ale obiectelor de infrastructură tehnico-edilitară;</w:t>
      </w:r>
    </w:p>
    <w:p w:rsidR="00E76430" w:rsidRPr="008376FC" w:rsidRDefault="00E76430" w:rsidP="00F61756">
      <w:pPr>
        <w:shd w:val="clear" w:color="auto" w:fill="FFFFFF" w:themeFill="background1"/>
        <w:tabs>
          <w:tab w:val="left" w:pos="142"/>
          <w:tab w:val="left" w:pos="284"/>
          <w:tab w:val="left" w:pos="426"/>
        </w:tabs>
        <w:spacing w:after="0" w:line="276" w:lineRule="auto"/>
        <w:ind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shd w:val="clear" w:color="auto" w:fill="FFFFFF"/>
        </w:rPr>
        <w:t>(iv)  crearea complexului software şi hardware al SIA ROITE;</w:t>
      </w:r>
    </w:p>
    <w:p w:rsidR="00E76430" w:rsidRPr="008376FC" w:rsidRDefault="00E76430" w:rsidP="00F61756">
      <w:pPr>
        <w:shd w:val="clear" w:color="auto" w:fill="FFFFFF" w:themeFill="background1"/>
        <w:tabs>
          <w:tab w:val="left" w:pos="142"/>
          <w:tab w:val="left" w:pos="284"/>
          <w:tab w:val="left" w:pos="426"/>
        </w:tabs>
        <w:spacing w:after="0" w:line="276" w:lineRule="auto"/>
        <w:ind w:firstLine="709"/>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(v)   întocmirea documentelor şi înregistrarea obiectelor de infrastructură tehnico-edilitară în SIA ROITE.</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Astfel, în anii 2014-2017 activitățile ARFC au fost axate pe elaborarea cadrului regulator, fiind aprobate HG nr.133/2014 și Legea nr.150/2017. De menționat că, în anii 2014-2015</w:t>
      </w:r>
      <w:r w:rsidR="00BF40A3">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 Î.S. „Cadastru” în cadrul proiectului GIZ „Modernizarea serviciilor locale” a elaborat specificațiile tehnice pentru SIA ROITE. În 2015, în vederea executării prevederilor HG  nr.133/2014 și creării unui Registru operațional, a fost elaborată și aprobată Legea </w:t>
      </w:r>
      <w:r w:rsidR="00964A64">
        <w:rPr>
          <w:rFonts w:asciiTheme="majorHAnsi" w:hAnsiTheme="majorHAnsi" w:cstheme="majorHAnsi"/>
          <w:b w:val="0"/>
          <w:bCs w:val="0"/>
          <w:sz w:val="24"/>
          <w:szCs w:val="24"/>
          <w:shd w:val="clear" w:color="auto" w:fill="FFFFFF"/>
        </w:rPr>
        <w:t>nr.</w:t>
      </w:r>
      <w:r w:rsidRPr="008376FC">
        <w:rPr>
          <w:rFonts w:asciiTheme="majorHAnsi" w:hAnsiTheme="majorHAnsi" w:cstheme="majorHAnsi"/>
          <w:b w:val="0"/>
          <w:bCs w:val="0"/>
          <w:sz w:val="24"/>
          <w:szCs w:val="24"/>
          <w:shd w:val="clear" w:color="auto" w:fill="FFFFFF"/>
        </w:rPr>
        <w:t>154/2015</w:t>
      </w:r>
      <w:r w:rsidRPr="008376FC">
        <w:rPr>
          <w:rStyle w:val="ab"/>
          <w:rFonts w:asciiTheme="majorHAnsi" w:hAnsiTheme="majorHAnsi" w:cstheme="majorHAnsi"/>
          <w:b w:val="0"/>
          <w:bCs w:val="0"/>
          <w:sz w:val="24"/>
          <w:szCs w:val="24"/>
          <w:shd w:val="clear" w:color="auto" w:fill="FFFFFF"/>
        </w:rPr>
        <w:footnoteReference w:id="101"/>
      </w:r>
      <w:r w:rsidRPr="008376FC">
        <w:rPr>
          <w:rFonts w:asciiTheme="majorHAnsi" w:hAnsiTheme="majorHAnsi" w:cstheme="majorHAnsi"/>
          <w:b w:val="0"/>
          <w:bCs w:val="0"/>
          <w:sz w:val="24"/>
          <w:szCs w:val="24"/>
          <w:shd w:val="clear" w:color="auto" w:fill="FFFFFF"/>
        </w:rPr>
        <w:t xml:space="preserve">, prin care au fost operate modificări în mai multe legi </w:t>
      </w:r>
      <w:r w:rsidR="007646A3">
        <w:rPr>
          <w:rStyle w:val="ab"/>
          <w:rFonts w:asciiTheme="majorHAnsi" w:hAnsiTheme="majorHAnsi" w:cstheme="majorHAnsi"/>
          <w:b w:val="0"/>
          <w:bCs w:val="0"/>
          <w:sz w:val="24"/>
          <w:szCs w:val="24"/>
          <w:shd w:val="clear" w:color="auto" w:fill="FFFFFF"/>
        </w:rPr>
        <w:footnoteReference w:id="102"/>
      </w:r>
      <w:r w:rsidR="007646A3">
        <w:rPr>
          <w:rFonts w:asciiTheme="majorHAnsi" w:hAnsiTheme="majorHAnsi" w:cstheme="majorHAnsi"/>
          <w:b w:val="0"/>
          <w:bCs w:val="0"/>
          <w:sz w:val="24"/>
          <w:szCs w:val="24"/>
          <w:shd w:val="clear" w:color="auto" w:fill="FFFFFF"/>
        </w:rPr>
        <w:t xml:space="preserve"> </w:t>
      </w:r>
      <w:r w:rsidRPr="008376FC">
        <w:rPr>
          <w:rFonts w:asciiTheme="majorHAnsi" w:hAnsiTheme="majorHAnsi" w:cstheme="majorHAnsi"/>
          <w:b w:val="0"/>
          <w:bCs w:val="0"/>
          <w:sz w:val="24"/>
          <w:szCs w:val="24"/>
          <w:shd w:val="clear" w:color="auto" w:fill="FFFFFF"/>
        </w:rPr>
        <w:t xml:space="preserve"> sub aspectul înregistrării de stat în SIA ROITE a obiectelor de infrastructură tehnico-edilitară gestionate de toate sferele economiei.</w:t>
      </w:r>
    </w:p>
    <w:p w:rsidR="00E76430" w:rsidRPr="008376FC" w:rsidRDefault="00E76430" w:rsidP="00F61756">
      <w:pPr>
        <w:pStyle w:val="a3"/>
        <w:numPr>
          <w:ilvl w:val="0"/>
          <w:numId w:val="14"/>
        </w:numPr>
        <w:spacing w:before="120" w:line="276" w:lineRule="auto"/>
        <w:ind w:left="0" w:firstLine="709"/>
        <w:jc w:val="both"/>
        <w:rPr>
          <w:rFonts w:asciiTheme="majorHAnsi" w:hAnsiTheme="majorHAnsi" w:cstheme="majorHAnsi"/>
          <w:b/>
          <w:shd w:val="clear" w:color="auto" w:fill="FFFFFF"/>
          <w:lang w:val="en-US"/>
        </w:rPr>
      </w:pPr>
      <w:r w:rsidRPr="008376FC">
        <w:rPr>
          <w:rFonts w:asciiTheme="majorHAnsi" w:hAnsiTheme="majorHAnsi" w:cstheme="majorHAnsi"/>
          <w:b/>
          <w:shd w:val="clear" w:color="auto" w:fill="FFFFFF"/>
          <w:lang w:val="en-US"/>
        </w:rPr>
        <w:t>Stoparea activităților pentru crearea SIA ROITE ca urmare a lipsei finanțării</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Cheltuielile pentru elaborarea SIA ROITE urmau a fi suportate de la bugetul de stat şi prevăzute în devizul de cheltuieli al ARFC pentru anii 2017-2018</w:t>
      </w:r>
      <w:r w:rsidRPr="008376FC">
        <w:rPr>
          <w:rStyle w:val="ab"/>
          <w:rFonts w:asciiTheme="majorHAnsi" w:hAnsiTheme="majorHAnsi" w:cstheme="majorHAnsi"/>
          <w:b w:val="0"/>
          <w:bCs w:val="0"/>
          <w:sz w:val="24"/>
          <w:szCs w:val="24"/>
          <w:shd w:val="clear" w:color="auto" w:fill="FFFFFF"/>
        </w:rPr>
        <w:footnoteReference w:id="103"/>
      </w:r>
      <w:r w:rsidRPr="008376FC">
        <w:rPr>
          <w:rFonts w:asciiTheme="majorHAnsi" w:hAnsiTheme="majorHAnsi" w:cstheme="majorHAnsi"/>
          <w:b w:val="0"/>
          <w:bCs w:val="0"/>
          <w:sz w:val="24"/>
          <w:szCs w:val="24"/>
          <w:shd w:val="clear" w:color="auto" w:fill="FFFFFF"/>
        </w:rPr>
        <w:t xml:space="preserve">, însă </w:t>
      </w:r>
      <w:r w:rsidR="00964A64">
        <w:rPr>
          <w:rFonts w:asciiTheme="majorHAnsi" w:hAnsiTheme="majorHAnsi" w:cstheme="majorHAnsi"/>
          <w:b w:val="0"/>
          <w:bCs w:val="0"/>
          <w:sz w:val="24"/>
          <w:szCs w:val="24"/>
          <w:shd w:val="clear" w:color="auto" w:fill="FFFFFF"/>
        </w:rPr>
        <w:t>re</w:t>
      </w:r>
      <w:r w:rsidRPr="008376FC">
        <w:rPr>
          <w:rFonts w:asciiTheme="majorHAnsi" w:hAnsiTheme="majorHAnsi" w:cstheme="majorHAnsi"/>
          <w:b w:val="0"/>
          <w:bCs w:val="0"/>
          <w:sz w:val="24"/>
          <w:szCs w:val="24"/>
          <w:shd w:val="clear" w:color="auto" w:fill="FFFFFF"/>
        </w:rPr>
        <w:t xml:space="preserve">sursele de finanțare nu au fost alocate, iar activitățile de creare și implementare a SIA ROITE au fost stopate, până la inițierea Proiectului de înregistrare și evaluare funciară. </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 xml:space="preserve">Abia în anul 2019, </w:t>
      </w:r>
      <w:r w:rsidR="00964A64">
        <w:rPr>
          <w:rFonts w:asciiTheme="majorHAnsi" w:hAnsiTheme="majorHAnsi" w:cstheme="majorHAnsi"/>
          <w:b w:val="0"/>
          <w:bCs w:val="0"/>
          <w:sz w:val="24"/>
          <w:szCs w:val="24"/>
          <w:shd w:val="clear" w:color="auto" w:fill="FFFFFF"/>
        </w:rPr>
        <w:t>după</w:t>
      </w:r>
      <w:r w:rsidRPr="008376FC">
        <w:rPr>
          <w:rFonts w:asciiTheme="majorHAnsi" w:hAnsiTheme="majorHAnsi" w:cstheme="majorHAnsi"/>
          <w:b w:val="0"/>
          <w:bCs w:val="0"/>
          <w:sz w:val="24"/>
          <w:szCs w:val="24"/>
          <w:shd w:val="clear" w:color="auto" w:fill="FFFFFF"/>
        </w:rPr>
        <w:t xml:space="preserve"> încheier</w:t>
      </w:r>
      <w:r w:rsidR="00964A64">
        <w:rPr>
          <w:rFonts w:asciiTheme="majorHAnsi" w:hAnsiTheme="majorHAnsi" w:cstheme="majorHAnsi"/>
          <w:b w:val="0"/>
          <w:bCs w:val="0"/>
          <w:sz w:val="24"/>
          <w:szCs w:val="24"/>
          <w:shd w:val="clear" w:color="auto" w:fill="FFFFFF"/>
        </w:rPr>
        <w:t>ea</w:t>
      </w:r>
      <w:r w:rsidRPr="008376FC">
        <w:rPr>
          <w:rFonts w:asciiTheme="majorHAnsi" w:hAnsiTheme="majorHAnsi" w:cstheme="majorHAnsi"/>
          <w:b w:val="0"/>
          <w:bCs w:val="0"/>
          <w:sz w:val="24"/>
          <w:szCs w:val="24"/>
          <w:shd w:val="clear" w:color="auto" w:fill="FFFFFF"/>
        </w:rPr>
        <w:t xml:space="preserve"> Acordului de finanțare între Guvernul RM și Asociația Inte</w:t>
      </w:r>
      <w:r w:rsidR="00964A64">
        <w:rPr>
          <w:rFonts w:asciiTheme="majorHAnsi" w:hAnsiTheme="majorHAnsi" w:cstheme="majorHAnsi"/>
          <w:b w:val="0"/>
          <w:bCs w:val="0"/>
          <w:sz w:val="24"/>
          <w:szCs w:val="24"/>
          <w:shd w:val="clear" w:color="auto" w:fill="FFFFFF"/>
        </w:rPr>
        <w:t>r</w:t>
      </w:r>
      <w:r w:rsidRPr="008376FC">
        <w:rPr>
          <w:rFonts w:asciiTheme="majorHAnsi" w:hAnsiTheme="majorHAnsi" w:cstheme="majorHAnsi"/>
          <w:b w:val="0"/>
          <w:bCs w:val="0"/>
          <w:sz w:val="24"/>
          <w:szCs w:val="24"/>
          <w:shd w:val="clear" w:color="auto" w:fill="FFFFFF"/>
        </w:rPr>
        <w:t>națională pentru Dezvoltare, semnat la 17.09.2018 și ratificat prin Legea nr.240/2018</w:t>
      </w:r>
      <w:r w:rsidRPr="008376FC">
        <w:rPr>
          <w:rFonts w:asciiTheme="majorHAnsi" w:hAnsiTheme="majorHAnsi" w:cstheme="majorHAnsi"/>
          <w:b w:val="0"/>
          <w:bCs w:val="0"/>
          <w:sz w:val="24"/>
          <w:szCs w:val="24"/>
          <w:vertAlign w:val="superscript"/>
        </w:rPr>
        <w:footnoteReference w:id="104"/>
      </w:r>
      <w:r w:rsidRPr="008376FC">
        <w:rPr>
          <w:rFonts w:asciiTheme="majorHAnsi" w:hAnsiTheme="majorHAnsi" w:cstheme="majorHAnsi"/>
          <w:b w:val="0"/>
          <w:bCs w:val="0"/>
          <w:sz w:val="24"/>
          <w:szCs w:val="24"/>
          <w:shd w:val="clear" w:color="auto" w:fill="FFFFFF"/>
        </w:rPr>
        <w:t>, urm</w:t>
      </w:r>
      <w:r w:rsidR="00964A64">
        <w:rPr>
          <w:rFonts w:asciiTheme="majorHAnsi" w:hAnsiTheme="majorHAnsi" w:cstheme="majorHAnsi"/>
          <w:b w:val="0"/>
          <w:bCs w:val="0"/>
          <w:sz w:val="24"/>
          <w:szCs w:val="24"/>
          <w:shd w:val="clear" w:color="auto" w:fill="FFFFFF"/>
        </w:rPr>
        <w:t>a să</w:t>
      </w:r>
      <w:r w:rsidRPr="008376FC">
        <w:rPr>
          <w:rFonts w:asciiTheme="majorHAnsi" w:hAnsiTheme="majorHAnsi" w:cstheme="majorHAnsi"/>
          <w:b w:val="0"/>
          <w:bCs w:val="0"/>
          <w:sz w:val="24"/>
          <w:szCs w:val="24"/>
          <w:shd w:val="clear" w:color="auto" w:fill="FFFFFF"/>
        </w:rPr>
        <w:t xml:space="preserve"> fi</w:t>
      </w:r>
      <w:r w:rsidR="00964A64">
        <w:rPr>
          <w:rFonts w:asciiTheme="majorHAnsi" w:hAnsiTheme="majorHAnsi" w:cstheme="majorHAnsi"/>
          <w:b w:val="0"/>
          <w:bCs w:val="0"/>
          <w:sz w:val="24"/>
          <w:szCs w:val="24"/>
          <w:shd w:val="clear" w:color="auto" w:fill="FFFFFF"/>
        </w:rPr>
        <w:t>e</w:t>
      </w:r>
      <w:r w:rsidRPr="008376FC">
        <w:rPr>
          <w:rFonts w:asciiTheme="majorHAnsi" w:hAnsiTheme="majorHAnsi" w:cstheme="majorHAnsi"/>
          <w:b w:val="0"/>
          <w:bCs w:val="0"/>
          <w:sz w:val="24"/>
          <w:szCs w:val="24"/>
          <w:shd w:val="clear" w:color="auto" w:fill="FFFFFF"/>
        </w:rPr>
        <w:t xml:space="preserve"> alocat </w:t>
      </w:r>
      <w:r w:rsidR="00964A64">
        <w:rPr>
          <w:rFonts w:asciiTheme="majorHAnsi" w:hAnsiTheme="majorHAnsi" w:cstheme="majorHAnsi"/>
          <w:b w:val="0"/>
          <w:bCs w:val="0"/>
          <w:sz w:val="24"/>
          <w:szCs w:val="24"/>
          <w:shd w:val="clear" w:color="auto" w:fill="FFFFFF"/>
        </w:rPr>
        <w:t xml:space="preserve">un </w:t>
      </w:r>
      <w:r w:rsidRPr="008376FC">
        <w:rPr>
          <w:rFonts w:asciiTheme="majorHAnsi" w:hAnsiTheme="majorHAnsi" w:cstheme="majorHAnsi"/>
          <w:b w:val="0"/>
          <w:bCs w:val="0"/>
          <w:sz w:val="24"/>
          <w:szCs w:val="24"/>
          <w:shd w:val="clear" w:color="auto" w:fill="FFFFFF"/>
        </w:rPr>
        <w:t xml:space="preserve">credit în valoare totală de 30,1 mil. </w:t>
      </w:r>
      <w:r w:rsidR="00964A64">
        <w:rPr>
          <w:rFonts w:asciiTheme="majorHAnsi" w:hAnsiTheme="majorHAnsi" w:cstheme="majorHAnsi"/>
          <w:b w:val="0"/>
          <w:bCs w:val="0"/>
          <w:sz w:val="24"/>
          <w:szCs w:val="24"/>
          <w:shd w:val="clear" w:color="auto" w:fill="FFFFFF"/>
        </w:rPr>
        <w:t>euro</w:t>
      </w:r>
      <w:r w:rsidRPr="008376FC">
        <w:rPr>
          <w:rFonts w:asciiTheme="majorHAnsi" w:hAnsiTheme="majorHAnsi" w:cstheme="majorHAnsi"/>
          <w:b w:val="0"/>
          <w:bCs w:val="0"/>
          <w:sz w:val="24"/>
          <w:szCs w:val="24"/>
          <w:shd w:val="clear" w:color="auto" w:fill="FFFFFF"/>
        </w:rPr>
        <w:t xml:space="preserve"> pentru implementarea Proiectului de înregistrare şi evaluare funciară (PIEF), în cadrul căruia</w:t>
      </w:r>
      <w:r w:rsidR="00964A64">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 pentru implementarea SIA ROITE</w:t>
      </w:r>
      <w:r w:rsidR="00964A64">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 </w:t>
      </w:r>
      <w:r w:rsidR="00964A64">
        <w:rPr>
          <w:rFonts w:asciiTheme="majorHAnsi" w:hAnsiTheme="majorHAnsi" w:cstheme="majorHAnsi"/>
          <w:b w:val="0"/>
          <w:bCs w:val="0"/>
          <w:sz w:val="24"/>
          <w:szCs w:val="24"/>
          <w:shd w:val="clear" w:color="auto" w:fill="FFFFFF"/>
        </w:rPr>
        <w:t>era</w:t>
      </w:r>
      <w:r w:rsidRPr="008376FC">
        <w:rPr>
          <w:rFonts w:asciiTheme="majorHAnsi" w:hAnsiTheme="majorHAnsi" w:cstheme="majorHAnsi"/>
          <w:b w:val="0"/>
          <w:bCs w:val="0"/>
          <w:sz w:val="24"/>
          <w:szCs w:val="24"/>
          <w:shd w:val="clear" w:color="auto" w:fill="FFFFFF"/>
        </w:rPr>
        <w:t xml:space="preserve"> inclusă o componentă separată</w:t>
      </w:r>
      <w:r w:rsidRPr="008376FC">
        <w:rPr>
          <w:rStyle w:val="ab"/>
          <w:rFonts w:asciiTheme="majorHAnsi" w:hAnsiTheme="majorHAnsi" w:cstheme="majorHAnsi"/>
          <w:b w:val="0"/>
          <w:bCs w:val="0"/>
          <w:sz w:val="24"/>
          <w:szCs w:val="24"/>
          <w:shd w:val="clear" w:color="auto" w:fill="FFFFFF"/>
        </w:rPr>
        <w:footnoteReference w:id="105"/>
      </w:r>
      <w:r w:rsidRPr="008376FC">
        <w:rPr>
          <w:rFonts w:asciiTheme="majorHAnsi" w:hAnsiTheme="majorHAnsi" w:cstheme="majorHAnsi"/>
          <w:b w:val="0"/>
          <w:bCs w:val="0"/>
          <w:sz w:val="24"/>
          <w:szCs w:val="24"/>
          <w:shd w:val="clear" w:color="auto" w:fill="FFFFFF"/>
        </w:rPr>
        <w:t xml:space="preserve"> în valoare de 0,5 mil.</w:t>
      </w:r>
      <w:r w:rsidR="00964A64">
        <w:rPr>
          <w:rFonts w:asciiTheme="majorHAnsi" w:hAnsiTheme="majorHAnsi" w:cstheme="majorHAnsi"/>
          <w:b w:val="0"/>
          <w:bCs w:val="0"/>
          <w:sz w:val="24"/>
          <w:szCs w:val="24"/>
          <w:shd w:val="clear" w:color="auto" w:fill="FFFFFF"/>
        </w:rPr>
        <w:t>euro</w:t>
      </w:r>
      <w:r w:rsidRPr="008376FC">
        <w:rPr>
          <w:rFonts w:asciiTheme="majorHAnsi" w:hAnsiTheme="majorHAnsi" w:cstheme="majorHAnsi"/>
          <w:b w:val="0"/>
          <w:bCs w:val="0"/>
          <w:sz w:val="24"/>
          <w:szCs w:val="24"/>
          <w:shd w:val="clear" w:color="auto" w:fill="FFFFFF"/>
        </w:rPr>
        <w:t>.</w:t>
      </w:r>
    </w:p>
    <w:p w:rsidR="00E76430" w:rsidRPr="008376FC" w:rsidRDefault="00E76430" w:rsidP="00F61756">
      <w:pPr>
        <w:pStyle w:val="a3"/>
        <w:numPr>
          <w:ilvl w:val="0"/>
          <w:numId w:val="14"/>
        </w:numPr>
        <w:spacing w:before="120" w:line="276" w:lineRule="auto"/>
        <w:ind w:left="0" w:firstLine="709"/>
        <w:jc w:val="both"/>
        <w:rPr>
          <w:rFonts w:asciiTheme="majorHAnsi" w:hAnsiTheme="majorHAnsi" w:cstheme="majorHAnsi"/>
          <w:b/>
          <w:shd w:val="clear" w:color="auto" w:fill="FFFFFF"/>
        </w:rPr>
      </w:pPr>
      <w:r w:rsidRPr="008376FC">
        <w:rPr>
          <w:rFonts w:asciiTheme="majorHAnsi" w:hAnsiTheme="majorHAnsi" w:cstheme="majorHAnsi"/>
          <w:b/>
          <w:shd w:val="clear" w:color="auto" w:fill="FFFFFF"/>
        </w:rPr>
        <w:t>Informați</w:t>
      </w:r>
      <w:r w:rsidR="00964A64">
        <w:rPr>
          <w:rFonts w:asciiTheme="majorHAnsi" w:hAnsiTheme="majorHAnsi" w:cstheme="majorHAnsi"/>
          <w:b/>
          <w:shd w:val="clear" w:color="auto" w:fill="FFFFFF"/>
        </w:rPr>
        <w:t>i</w:t>
      </w:r>
      <w:r w:rsidRPr="008376FC">
        <w:rPr>
          <w:rFonts w:asciiTheme="majorHAnsi" w:hAnsiTheme="majorHAnsi" w:cstheme="majorHAnsi"/>
          <w:b/>
          <w:shd w:val="clear" w:color="auto" w:fill="FFFFFF"/>
        </w:rPr>
        <w:t xml:space="preserve"> general</w:t>
      </w:r>
      <w:r w:rsidR="00964A64">
        <w:rPr>
          <w:rFonts w:asciiTheme="majorHAnsi" w:hAnsiTheme="majorHAnsi" w:cstheme="majorHAnsi"/>
          <w:b/>
          <w:shd w:val="clear" w:color="auto" w:fill="FFFFFF"/>
        </w:rPr>
        <w:t>e</w:t>
      </w:r>
      <w:r w:rsidRPr="008376FC">
        <w:rPr>
          <w:rFonts w:asciiTheme="majorHAnsi" w:hAnsiTheme="majorHAnsi" w:cstheme="majorHAnsi"/>
          <w:b/>
          <w:shd w:val="clear" w:color="auto" w:fill="FFFFFF"/>
        </w:rPr>
        <w:t xml:space="preserve"> despre PIEF</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 xml:space="preserve">Scopul general al PIEF este asigurarea calităţii şi transparenţei administrării funciare în Republica Moldova, prin înregistrarea bunurilor imobile proprietate publică şi </w:t>
      </w:r>
      <w:r w:rsidR="00964A64">
        <w:rPr>
          <w:rFonts w:asciiTheme="majorHAnsi" w:hAnsiTheme="majorHAnsi" w:cstheme="majorHAnsi"/>
          <w:b w:val="0"/>
          <w:bCs w:val="0"/>
          <w:sz w:val="24"/>
          <w:szCs w:val="24"/>
          <w:shd w:val="clear" w:color="auto" w:fill="FFFFFF"/>
        </w:rPr>
        <w:t xml:space="preserve">a </w:t>
      </w:r>
      <w:r w:rsidRPr="008376FC">
        <w:rPr>
          <w:rFonts w:asciiTheme="majorHAnsi" w:hAnsiTheme="majorHAnsi" w:cstheme="majorHAnsi"/>
          <w:b w:val="0"/>
          <w:bCs w:val="0"/>
          <w:sz w:val="24"/>
          <w:szCs w:val="24"/>
          <w:shd w:val="clear" w:color="auto" w:fill="FFFFFF"/>
        </w:rPr>
        <w:t>celor proprietate privată, şi evaluarea proprietății imobiliare. Durata de implementare a PIEF este 2019 –</w:t>
      </w:r>
      <w:r w:rsidR="00964A64">
        <w:rPr>
          <w:rFonts w:asciiTheme="majorHAnsi" w:hAnsiTheme="majorHAnsi" w:cstheme="majorHAnsi"/>
          <w:b w:val="0"/>
          <w:bCs w:val="0"/>
          <w:sz w:val="24"/>
          <w:szCs w:val="24"/>
          <w:shd w:val="clear" w:color="auto" w:fill="FFFFFF"/>
        </w:rPr>
        <w:t xml:space="preserve"> </w:t>
      </w:r>
      <w:r w:rsidRPr="008376FC">
        <w:rPr>
          <w:rFonts w:asciiTheme="majorHAnsi" w:hAnsiTheme="majorHAnsi" w:cstheme="majorHAnsi"/>
          <w:b w:val="0"/>
          <w:bCs w:val="0"/>
          <w:sz w:val="24"/>
          <w:szCs w:val="24"/>
          <w:shd w:val="clear" w:color="auto" w:fill="FFFFFF"/>
        </w:rPr>
        <w:t xml:space="preserve">30.06.2024.  </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ASP, în calitate de agenție de implementare a Proiectului</w:t>
      </w:r>
      <w:r w:rsidR="00964A64">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 urma să asigure realizarea acestuia în parteneriat cu APL şi </w:t>
      </w:r>
      <w:r w:rsidR="00964A64">
        <w:rPr>
          <w:rFonts w:asciiTheme="majorHAnsi" w:hAnsiTheme="majorHAnsi" w:cstheme="majorHAnsi"/>
          <w:b w:val="0"/>
          <w:bCs w:val="0"/>
          <w:sz w:val="24"/>
          <w:szCs w:val="24"/>
          <w:shd w:val="clear" w:color="auto" w:fill="FFFFFF"/>
        </w:rPr>
        <w:t xml:space="preserve">cu </w:t>
      </w:r>
      <w:r w:rsidRPr="008376FC">
        <w:rPr>
          <w:rFonts w:asciiTheme="majorHAnsi" w:hAnsiTheme="majorHAnsi" w:cstheme="majorHAnsi"/>
          <w:b w:val="0"/>
          <w:bCs w:val="0"/>
          <w:sz w:val="24"/>
          <w:szCs w:val="24"/>
          <w:shd w:val="clear" w:color="auto" w:fill="FFFFFF"/>
        </w:rPr>
        <w:t>sprijinul APP (pe componenta Delimitarea şi înregistrarea bunurilor imobile proprietate publică) şi ARFC (pe componenta Evaluarea bunurilor imobile şi componenta Consolidarea Insfrastructurii Naţionale de Date Spaţiale).</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PIEF vine în susţinerea implementării Programului de stat de creare a cadastrului bunurilor imobile, lansat în 1998, având obiectivul de finalizare a cadastrului bunurilor imobile pe întreg teritoriul ţării</w:t>
      </w:r>
      <w:r w:rsidR="00964A64">
        <w:rPr>
          <w:rFonts w:asciiTheme="majorHAnsi" w:hAnsiTheme="majorHAnsi" w:cstheme="majorHAnsi"/>
          <w:b w:val="0"/>
          <w:bCs w:val="0"/>
          <w:sz w:val="24"/>
          <w:szCs w:val="24"/>
          <w:shd w:val="clear" w:color="auto" w:fill="FFFFFF"/>
        </w:rPr>
        <w:t xml:space="preserve"> și</w:t>
      </w:r>
      <w:r w:rsidRPr="008376FC">
        <w:rPr>
          <w:rFonts w:asciiTheme="majorHAnsi" w:hAnsiTheme="majorHAnsi" w:cstheme="majorHAnsi"/>
          <w:b w:val="0"/>
          <w:bCs w:val="0"/>
          <w:sz w:val="24"/>
          <w:szCs w:val="24"/>
          <w:shd w:val="clear" w:color="auto" w:fill="FFFFFF"/>
        </w:rPr>
        <w:t xml:space="preserve"> asigurând cartografierea a 100% din terenuri şi înregistrarea drepturilor de proprietate asupra lor.</w:t>
      </w:r>
    </w:p>
    <w:p w:rsidR="00E76430" w:rsidRPr="008376FC" w:rsidRDefault="00E76430" w:rsidP="00F61756">
      <w:pPr>
        <w:pStyle w:val="a3"/>
        <w:numPr>
          <w:ilvl w:val="0"/>
          <w:numId w:val="14"/>
        </w:numPr>
        <w:spacing w:before="120" w:line="276" w:lineRule="auto"/>
        <w:ind w:left="0" w:firstLine="709"/>
        <w:jc w:val="both"/>
        <w:rPr>
          <w:rFonts w:asciiTheme="majorHAnsi" w:hAnsiTheme="majorHAnsi" w:cstheme="majorHAnsi"/>
          <w:b/>
          <w:shd w:val="clear" w:color="auto" w:fill="FFFFFF"/>
        </w:rPr>
      </w:pPr>
      <w:r w:rsidRPr="008376FC">
        <w:rPr>
          <w:rFonts w:asciiTheme="majorHAnsi" w:hAnsiTheme="majorHAnsi" w:cstheme="majorHAnsi"/>
          <w:b/>
          <w:shd w:val="clear" w:color="auto" w:fill="FFFFFF"/>
        </w:rPr>
        <w:t>Informați</w:t>
      </w:r>
      <w:r w:rsidR="00964A64">
        <w:rPr>
          <w:rFonts w:asciiTheme="majorHAnsi" w:hAnsiTheme="majorHAnsi" w:cstheme="majorHAnsi"/>
          <w:b/>
          <w:shd w:val="clear" w:color="auto" w:fill="FFFFFF"/>
        </w:rPr>
        <w:t>i</w:t>
      </w:r>
      <w:r w:rsidRPr="008376FC">
        <w:rPr>
          <w:rFonts w:asciiTheme="majorHAnsi" w:hAnsiTheme="majorHAnsi" w:cstheme="majorHAnsi"/>
          <w:b/>
          <w:shd w:val="clear" w:color="auto" w:fill="FFFFFF"/>
        </w:rPr>
        <w:t xml:space="preserve"> despre ROITE</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Crearea SIA ROITE va permite: (i) asigurarea unei baze metodologice unice de înregistrare a obiectelor de infrastructură tehnico-edilitară şi a drepturilor asupra acestora, (ii) crearea unui sistem de ocrotire a titularilor de drepturi asupra obiectelor de infrastructură tehnico-edilitară, (iii) crearea cadastrelor de specialitate a obiectelor de infrastructură tehnico-edilitară conform standardelor unice, (iv) crearea unei baze de date unice (consolidate) privind obiectele de infrastructură tehnico-edilitară şi a drepturilor asupra acestora, (v) crearea unui sistem deschis de informare a pieţ</w:t>
      </w:r>
      <w:r w:rsidR="00BE7D1E">
        <w:rPr>
          <w:rFonts w:asciiTheme="majorHAnsi" w:hAnsiTheme="majorHAnsi" w:cstheme="majorHAnsi"/>
          <w:b w:val="0"/>
          <w:bCs w:val="0"/>
          <w:sz w:val="24"/>
          <w:szCs w:val="24"/>
          <w:shd w:val="clear" w:color="auto" w:fill="FFFFFF"/>
        </w:rPr>
        <w:t>e</w:t>
      </w:r>
      <w:r w:rsidRPr="008376FC">
        <w:rPr>
          <w:rFonts w:asciiTheme="majorHAnsi" w:hAnsiTheme="majorHAnsi" w:cstheme="majorHAnsi"/>
          <w:b w:val="0"/>
          <w:bCs w:val="0"/>
          <w:sz w:val="24"/>
          <w:szCs w:val="24"/>
          <w:shd w:val="clear" w:color="auto" w:fill="FFFFFF"/>
        </w:rPr>
        <w:t>i bunurilor imobile despre amplasarea obiectelor de infrastructură tehnico-edilitară şi interdicţiile impuse în folosinţa terenurilor incluse în zona de protecţie a obiectelor, (vi) organizarea unei baze de date pentru planificarea şi amenajarea teritoriului şi a unui fundament pentru buna gestionare a infrastructurii tehnico-edilitare.</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 xml:space="preserve">Reformele economice demarate în ţară au loc în contextul Planului de integrare a Republicii Moldova în Uniunea Europeană. Astfel, crearea unui sistem informaţional va oferi posibilitatea de integrare </w:t>
      </w:r>
      <w:r w:rsidR="00BE7D1E">
        <w:rPr>
          <w:rFonts w:asciiTheme="majorHAnsi" w:hAnsiTheme="majorHAnsi" w:cstheme="majorHAnsi"/>
          <w:b w:val="0"/>
          <w:bCs w:val="0"/>
          <w:sz w:val="24"/>
          <w:szCs w:val="24"/>
          <w:shd w:val="clear" w:color="auto" w:fill="FFFFFF"/>
        </w:rPr>
        <w:t>în</w:t>
      </w:r>
      <w:r w:rsidRPr="008376FC">
        <w:rPr>
          <w:rFonts w:asciiTheme="majorHAnsi" w:hAnsiTheme="majorHAnsi" w:cstheme="majorHAnsi"/>
          <w:b w:val="0"/>
          <w:bCs w:val="0"/>
          <w:sz w:val="24"/>
          <w:szCs w:val="24"/>
          <w:shd w:val="clear" w:color="auto" w:fill="FFFFFF"/>
        </w:rPr>
        <w:t xml:space="preserve"> spaţiul informaţional internaţional a datelor cu privire la potenţialul şi posibilităţile economiei republicii, asigurarea participării republicii, pe principii de egalitate, la proiectele comune de dezvoltare economică, crearea garanţiilor pentru investitori.</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ROITE va fi o componentă a Sistemului Informaţional Geografic Naţional și este sursa oficială de informații cu privire la instalațiile de infrastructură tehnico-edilitară, elementele structurale ale instalațiilor de infrastructură tehnico-edilitară, dreptul de proprietate și alte drepturi reale, zonele de protecție ale instalațiil</w:t>
      </w:r>
      <w:r w:rsidR="00BE7D1E">
        <w:rPr>
          <w:rFonts w:asciiTheme="majorHAnsi" w:hAnsiTheme="majorHAnsi" w:cstheme="majorHAnsi"/>
          <w:b w:val="0"/>
          <w:bCs w:val="0"/>
          <w:sz w:val="24"/>
          <w:szCs w:val="24"/>
          <w:shd w:val="clear" w:color="auto" w:fill="FFFFFF"/>
        </w:rPr>
        <w:t>or</w:t>
      </w:r>
      <w:r w:rsidRPr="008376FC">
        <w:rPr>
          <w:rFonts w:asciiTheme="majorHAnsi" w:hAnsiTheme="majorHAnsi" w:cstheme="majorHAnsi"/>
          <w:b w:val="0"/>
          <w:bCs w:val="0"/>
          <w:sz w:val="24"/>
          <w:szCs w:val="24"/>
          <w:shd w:val="clear" w:color="auto" w:fill="FFFFFF"/>
        </w:rPr>
        <w:t xml:space="preserve"> de infrastructură tehnico-edilitară, precum și restricțiile existente la utilizarea terenurilor incluse în zona de protecție. </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SIA ROITE urmărește să asigure crearea resurselor informaționale ale ROITE și să furnizeze informații cu privire la instalațiile de infrastructură tehnico-edilitară, dreptul de proprietate și alte drepturi reale cu privire la acestea. SIA ROITE este conceput pentru a permite identificarea instalațiilor și elementelor de infrastructură tehnico-edilitară ca obiecte fizice, care fac obiectul înregistrării pentru sistemele informaționale departamentale și interdepartamentale</w:t>
      </w:r>
      <w:r w:rsidR="00BE7D1E">
        <w:rPr>
          <w:rFonts w:asciiTheme="majorHAnsi" w:hAnsiTheme="majorHAnsi" w:cstheme="majorHAnsi"/>
          <w:b w:val="0"/>
          <w:bCs w:val="0"/>
          <w:sz w:val="24"/>
          <w:szCs w:val="24"/>
          <w:shd w:val="clear" w:color="auto" w:fill="FFFFFF"/>
        </w:rPr>
        <w:t>.</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Luând în considera</w:t>
      </w:r>
      <w:r w:rsidR="00BE7D1E">
        <w:rPr>
          <w:rFonts w:asciiTheme="majorHAnsi" w:hAnsiTheme="majorHAnsi" w:cstheme="majorHAnsi"/>
          <w:b w:val="0"/>
          <w:bCs w:val="0"/>
          <w:sz w:val="24"/>
          <w:szCs w:val="24"/>
          <w:shd w:val="clear" w:color="auto" w:fill="FFFFFF"/>
        </w:rPr>
        <w:t>r</w:t>
      </w:r>
      <w:r w:rsidRPr="008376FC">
        <w:rPr>
          <w:rFonts w:asciiTheme="majorHAnsi" w:hAnsiTheme="majorHAnsi" w:cstheme="majorHAnsi"/>
          <w:b w:val="0"/>
          <w:bCs w:val="0"/>
          <w:sz w:val="24"/>
          <w:szCs w:val="24"/>
          <w:shd w:val="clear" w:color="auto" w:fill="FFFFFF"/>
        </w:rPr>
        <w:t xml:space="preserve">e faptul că actualmente nicio instituţie nu dispune de o bancă de date care ar cuprinde evidenţa tuturor obiectelor infrastructurii tehnico-edilitare, crearea SIA ROITE este o necesitate urgentă. </w:t>
      </w:r>
    </w:p>
    <w:p w:rsidR="00E76430" w:rsidRPr="008376FC" w:rsidRDefault="00537046" w:rsidP="00F61756">
      <w:pPr>
        <w:pStyle w:val="a3"/>
        <w:numPr>
          <w:ilvl w:val="0"/>
          <w:numId w:val="15"/>
        </w:numPr>
        <w:spacing w:before="120" w:line="276" w:lineRule="auto"/>
        <w:ind w:left="0" w:firstLine="426"/>
        <w:jc w:val="both"/>
        <w:rPr>
          <w:rFonts w:asciiTheme="majorHAnsi" w:hAnsiTheme="majorHAnsi" w:cstheme="majorHAnsi"/>
          <w:shd w:val="clear" w:color="auto" w:fill="FFFFFF"/>
          <w:lang w:val="en-US"/>
        </w:rPr>
      </w:pPr>
      <w:r w:rsidRPr="008376FC">
        <w:rPr>
          <w:rFonts w:asciiTheme="majorHAnsi" w:hAnsiTheme="majorHAnsi" w:cstheme="majorHAnsi"/>
          <w:b/>
          <w:shd w:val="clear" w:color="auto" w:fill="FFFFFF"/>
          <w:lang w:val="en-US"/>
        </w:rPr>
        <w:t>Î</w:t>
      </w:r>
      <w:r w:rsidR="00364E0F" w:rsidRPr="008376FC">
        <w:rPr>
          <w:rFonts w:asciiTheme="majorHAnsi" w:hAnsiTheme="majorHAnsi" w:cstheme="majorHAnsi"/>
          <w:b/>
          <w:shd w:val="clear" w:color="auto" w:fill="FFFFFF"/>
          <w:lang w:val="en-US"/>
        </w:rPr>
        <w:t xml:space="preserve">n </w:t>
      </w:r>
      <w:r w:rsidR="00E76430" w:rsidRPr="008376FC">
        <w:rPr>
          <w:rFonts w:asciiTheme="majorHAnsi" w:hAnsiTheme="majorHAnsi" w:cstheme="majorHAnsi"/>
          <w:b/>
          <w:shd w:val="clear" w:color="auto" w:fill="FFFFFF"/>
          <w:lang w:val="en-US"/>
        </w:rPr>
        <w:t>anii 2019-2021 activitățile componentei 2.6 din cadrul PI</w:t>
      </w:r>
      <w:r w:rsidR="00A24886" w:rsidRPr="008376FC">
        <w:rPr>
          <w:rFonts w:asciiTheme="majorHAnsi" w:hAnsiTheme="majorHAnsi" w:cstheme="majorHAnsi"/>
          <w:b/>
          <w:shd w:val="clear" w:color="auto" w:fill="FFFFFF"/>
          <w:lang w:val="en-US"/>
        </w:rPr>
        <w:t>E</w:t>
      </w:r>
      <w:r w:rsidR="00E76430" w:rsidRPr="008376FC">
        <w:rPr>
          <w:rFonts w:asciiTheme="majorHAnsi" w:hAnsiTheme="majorHAnsi" w:cstheme="majorHAnsi"/>
          <w:b/>
          <w:shd w:val="clear" w:color="auto" w:fill="FFFFFF"/>
          <w:lang w:val="en-US"/>
        </w:rPr>
        <w:t>F au fost axate pe elaborarea actelor normative aferente implemen</w:t>
      </w:r>
      <w:r w:rsidR="00BE7D1E">
        <w:rPr>
          <w:rFonts w:asciiTheme="majorHAnsi" w:hAnsiTheme="majorHAnsi" w:cstheme="majorHAnsi"/>
          <w:b/>
          <w:shd w:val="clear" w:color="auto" w:fill="FFFFFF"/>
          <w:lang w:val="en-US"/>
        </w:rPr>
        <w:t>t</w:t>
      </w:r>
      <w:r w:rsidR="00E76430" w:rsidRPr="008376FC">
        <w:rPr>
          <w:rFonts w:asciiTheme="majorHAnsi" w:hAnsiTheme="majorHAnsi" w:cstheme="majorHAnsi"/>
          <w:b/>
          <w:shd w:val="clear" w:color="auto" w:fill="FFFFFF"/>
          <w:lang w:val="en-US"/>
        </w:rPr>
        <w:t>ării SIA ROITE</w:t>
      </w:r>
      <w:r w:rsidR="00BE7D1E">
        <w:rPr>
          <w:rFonts w:asciiTheme="majorHAnsi" w:hAnsiTheme="majorHAnsi" w:cstheme="majorHAnsi"/>
          <w:b/>
          <w:shd w:val="clear" w:color="auto" w:fill="FFFFFF"/>
          <w:lang w:val="en-US"/>
        </w:rPr>
        <w:t>.</w:t>
      </w:r>
      <w:r w:rsidR="00E76430" w:rsidRPr="008376FC">
        <w:rPr>
          <w:rFonts w:asciiTheme="majorHAnsi" w:hAnsiTheme="majorHAnsi" w:cstheme="majorHAnsi"/>
          <w:b/>
          <w:shd w:val="clear" w:color="auto" w:fill="FFFFFF"/>
          <w:lang w:val="en-US"/>
        </w:rPr>
        <w:t xml:space="preserve">  </w:t>
      </w:r>
    </w:p>
    <w:p w:rsidR="00E76430" w:rsidRPr="008376FC" w:rsidRDefault="00E76430" w:rsidP="00F61756">
      <w:pPr>
        <w:pStyle w:val="a3"/>
        <w:spacing w:before="120" w:line="276" w:lineRule="auto"/>
        <w:jc w:val="both"/>
        <w:rPr>
          <w:rFonts w:asciiTheme="majorHAnsi" w:hAnsiTheme="majorHAnsi" w:cstheme="majorHAnsi"/>
          <w:shd w:val="clear" w:color="auto" w:fill="FFFFFF"/>
          <w:lang w:val="en-US"/>
        </w:rPr>
      </w:pPr>
    </w:p>
    <w:p w:rsidR="00E76430" w:rsidRPr="008376FC" w:rsidRDefault="00BE7D1E" w:rsidP="00F61756">
      <w:pPr>
        <w:pStyle w:val="a3"/>
        <w:spacing w:line="276" w:lineRule="auto"/>
        <w:ind w:left="0"/>
        <w:jc w:val="both"/>
        <w:rPr>
          <w:rFonts w:asciiTheme="majorHAnsi" w:hAnsiTheme="majorHAnsi" w:cstheme="majorHAnsi"/>
          <w:shd w:val="clear" w:color="auto" w:fill="FFFFFF"/>
          <w:lang w:val="en-US"/>
        </w:rPr>
      </w:pPr>
      <w:r>
        <w:rPr>
          <w:rFonts w:asciiTheme="majorHAnsi" w:hAnsiTheme="majorHAnsi" w:cstheme="majorHAnsi"/>
          <w:shd w:val="clear" w:color="auto" w:fill="FFFFFF"/>
          <w:lang w:val="en-US"/>
        </w:rPr>
        <w:t>Ca u</w:t>
      </w:r>
      <w:r w:rsidR="00E76430" w:rsidRPr="008376FC">
        <w:rPr>
          <w:rFonts w:asciiTheme="majorHAnsi" w:hAnsiTheme="majorHAnsi" w:cstheme="majorHAnsi"/>
          <w:shd w:val="clear" w:color="auto" w:fill="FFFFFF"/>
          <w:lang w:val="en-US"/>
        </w:rPr>
        <w:t>rmare a obținerii, în anul 2022</w:t>
      </w:r>
      <w:r>
        <w:rPr>
          <w:rFonts w:asciiTheme="majorHAnsi" w:hAnsiTheme="majorHAnsi" w:cstheme="majorHAnsi"/>
          <w:shd w:val="clear" w:color="auto" w:fill="FFFFFF"/>
          <w:lang w:val="en-US"/>
        </w:rPr>
        <w:t>,</w:t>
      </w:r>
      <w:r w:rsidR="00E76430" w:rsidRPr="008376FC">
        <w:rPr>
          <w:rFonts w:asciiTheme="majorHAnsi" w:hAnsiTheme="majorHAnsi" w:cstheme="majorHAnsi"/>
          <w:shd w:val="clear" w:color="auto" w:fill="FFFFFF"/>
          <w:lang w:val="en-US"/>
        </w:rPr>
        <w:t xml:space="preserve"> de către ASP a finanțării pentru crearea ROITE, a fost creat un grup de lucru cu participarea reprezentanților mai multor autorități</w:t>
      </w:r>
      <w:r w:rsidR="00E76430" w:rsidRPr="008376FC">
        <w:rPr>
          <w:rFonts w:asciiTheme="majorHAnsi" w:hAnsiTheme="majorHAnsi" w:cstheme="majorHAnsi"/>
          <w:shd w:val="clear" w:color="auto" w:fill="FFFFFF"/>
          <w:vertAlign w:val="superscript"/>
        </w:rPr>
        <w:footnoteReference w:id="106"/>
      </w:r>
      <w:r w:rsidR="00E76430" w:rsidRPr="008376FC">
        <w:rPr>
          <w:rFonts w:asciiTheme="majorHAnsi" w:hAnsiTheme="majorHAnsi" w:cstheme="majorHAnsi"/>
          <w:shd w:val="clear" w:color="auto" w:fill="FFFFFF"/>
          <w:lang w:val="en-US"/>
        </w:rPr>
        <w:t>, fiind organizate mai multe ședințe, în cadrul căror</w:t>
      </w:r>
      <w:r>
        <w:rPr>
          <w:rFonts w:asciiTheme="majorHAnsi" w:hAnsiTheme="majorHAnsi" w:cstheme="majorHAnsi"/>
          <w:shd w:val="clear" w:color="auto" w:fill="FFFFFF"/>
          <w:lang w:val="en-US"/>
        </w:rPr>
        <w:t>a</w:t>
      </w:r>
      <w:r w:rsidR="00E76430" w:rsidRPr="008376FC">
        <w:rPr>
          <w:rFonts w:asciiTheme="majorHAnsi" w:hAnsiTheme="majorHAnsi" w:cstheme="majorHAnsi"/>
          <w:shd w:val="clear" w:color="auto" w:fill="FFFFFF"/>
          <w:lang w:val="en-US"/>
        </w:rPr>
        <w:t xml:space="preserve"> au fost examinate proiectele de acte normative, care urmează să fie promovate pentru implementarea SIA ROITE. A fost relansată conlucrarea cu Oficiul pentru regiunea Europa a Uniunii Internaționale a Telecomunicațiilor (UIT)</w:t>
      </w:r>
      <w:r w:rsidR="003913C3">
        <w:rPr>
          <w:rFonts w:asciiTheme="majorHAnsi" w:hAnsiTheme="majorHAnsi" w:cstheme="majorHAnsi"/>
          <w:shd w:val="clear" w:color="auto" w:fill="FFFFFF"/>
          <w:lang w:val="en-US"/>
        </w:rPr>
        <w:t>,</w:t>
      </w:r>
      <w:r w:rsidR="00E76430" w:rsidRPr="008376FC">
        <w:rPr>
          <w:rFonts w:asciiTheme="majorHAnsi" w:hAnsiTheme="majorHAnsi" w:cstheme="majorHAnsi"/>
          <w:shd w:val="clear" w:color="auto" w:fill="FFFFFF"/>
          <w:lang w:val="en-US"/>
        </w:rPr>
        <w:t xml:space="preserve"> pentru elaborarea specificațiilor tehnice </w:t>
      </w:r>
      <w:r w:rsidR="003913C3">
        <w:rPr>
          <w:rFonts w:asciiTheme="majorHAnsi" w:hAnsiTheme="majorHAnsi" w:cstheme="majorHAnsi"/>
          <w:shd w:val="clear" w:color="auto" w:fill="FFFFFF"/>
          <w:lang w:val="en-US"/>
        </w:rPr>
        <w:t>necesare</w:t>
      </w:r>
      <w:r w:rsidR="00E76430" w:rsidRPr="008376FC">
        <w:rPr>
          <w:rFonts w:asciiTheme="majorHAnsi" w:hAnsiTheme="majorHAnsi" w:cstheme="majorHAnsi"/>
          <w:shd w:val="clear" w:color="auto" w:fill="FFFFFF"/>
          <w:lang w:val="en-US"/>
        </w:rPr>
        <w:t xml:space="preserve"> cre</w:t>
      </w:r>
      <w:r w:rsidR="003913C3">
        <w:rPr>
          <w:rFonts w:asciiTheme="majorHAnsi" w:hAnsiTheme="majorHAnsi" w:cstheme="majorHAnsi"/>
          <w:shd w:val="clear" w:color="auto" w:fill="FFFFFF"/>
          <w:lang w:val="en-US"/>
        </w:rPr>
        <w:t>ării</w:t>
      </w:r>
      <w:r w:rsidR="00E76430" w:rsidRPr="008376FC">
        <w:rPr>
          <w:rFonts w:asciiTheme="majorHAnsi" w:hAnsiTheme="majorHAnsi" w:cstheme="majorHAnsi"/>
          <w:shd w:val="clear" w:color="auto" w:fill="FFFFFF"/>
          <w:lang w:val="en-US"/>
        </w:rPr>
        <w:t xml:space="preserve"> Sistemului Informațional care va realiza Punctul de Informare Unic (Single Information Point - SIP) și cartografierea accesului în bandă largă (broadband mapping), interoperabil cu ROITE, pe baza infrastructurii de Cloud a IP STISC (în vederea reducerii costurilor suplimentare inutile). </w:t>
      </w:r>
      <w:r w:rsidR="003913C3">
        <w:rPr>
          <w:rFonts w:asciiTheme="majorHAnsi" w:hAnsiTheme="majorHAnsi" w:cstheme="majorHAnsi"/>
          <w:shd w:val="clear" w:color="auto" w:fill="FFFFFF"/>
          <w:lang w:val="en-US"/>
        </w:rPr>
        <w:t>La fel, a</w:t>
      </w:r>
      <w:r w:rsidR="00E76430" w:rsidRPr="008376FC">
        <w:rPr>
          <w:rFonts w:asciiTheme="majorHAnsi" w:hAnsiTheme="majorHAnsi" w:cstheme="majorHAnsi"/>
          <w:shd w:val="clear" w:color="auto" w:fill="FFFFFF"/>
          <w:lang w:val="en-US"/>
        </w:rPr>
        <w:t xml:space="preserve">u fost operate modificări și ajustări în cadrul normativ (prin </w:t>
      </w:r>
      <w:r w:rsidR="003913C3">
        <w:rPr>
          <w:rFonts w:asciiTheme="majorHAnsi" w:hAnsiTheme="majorHAnsi" w:cstheme="majorHAnsi"/>
          <w:shd w:val="clear" w:color="auto" w:fill="FFFFFF"/>
          <w:lang w:val="en-US"/>
        </w:rPr>
        <w:t>L</w:t>
      </w:r>
      <w:r w:rsidR="00E76430" w:rsidRPr="008376FC">
        <w:rPr>
          <w:rFonts w:asciiTheme="majorHAnsi" w:hAnsiTheme="majorHAnsi" w:cstheme="majorHAnsi"/>
          <w:shd w:val="clear" w:color="auto" w:fill="FFFFFF"/>
          <w:lang w:val="en-US"/>
        </w:rPr>
        <w:t>egea nr. 290/2022 au fost modificate/ajustate Legile nr.28/2016</w:t>
      </w:r>
      <w:r w:rsidR="003913C3">
        <w:rPr>
          <w:rFonts w:asciiTheme="majorHAnsi" w:hAnsiTheme="majorHAnsi" w:cstheme="majorHAnsi"/>
          <w:shd w:val="clear" w:color="auto" w:fill="FFFFFF"/>
          <w:lang w:val="en-US"/>
        </w:rPr>
        <w:t xml:space="preserve"> și</w:t>
      </w:r>
      <w:r w:rsidR="00E76430" w:rsidRPr="008376FC">
        <w:rPr>
          <w:rFonts w:asciiTheme="majorHAnsi" w:hAnsiTheme="majorHAnsi" w:cstheme="majorHAnsi"/>
          <w:shd w:val="clear" w:color="auto" w:fill="FFFFFF"/>
          <w:lang w:val="en-US"/>
        </w:rPr>
        <w:t xml:space="preserve"> nr.163/2010).</w:t>
      </w:r>
    </w:p>
    <w:p w:rsidR="00364E0F" w:rsidRPr="008376FC" w:rsidRDefault="00364E0F" w:rsidP="00F61756">
      <w:pPr>
        <w:pStyle w:val="a3"/>
        <w:spacing w:line="276" w:lineRule="auto"/>
        <w:ind w:left="0"/>
        <w:jc w:val="both"/>
        <w:rPr>
          <w:rFonts w:asciiTheme="majorHAnsi" w:hAnsiTheme="majorHAnsi" w:cstheme="majorHAnsi"/>
          <w:shd w:val="clear" w:color="auto" w:fill="FFFFFF"/>
          <w:lang w:val="en-US"/>
        </w:rPr>
      </w:pPr>
    </w:p>
    <w:p w:rsidR="00E76430" w:rsidRPr="008376FC" w:rsidRDefault="00E76430" w:rsidP="00F61756">
      <w:pPr>
        <w:pStyle w:val="a3"/>
        <w:spacing w:line="276" w:lineRule="auto"/>
        <w:ind w:left="0"/>
        <w:jc w:val="both"/>
        <w:rPr>
          <w:rFonts w:asciiTheme="majorHAnsi" w:hAnsiTheme="majorHAnsi" w:cstheme="majorHAnsi"/>
          <w:shd w:val="clear" w:color="auto" w:fill="FFFFFF"/>
          <w:lang w:val="en-US"/>
        </w:rPr>
      </w:pPr>
      <w:r w:rsidRPr="008376FC">
        <w:rPr>
          <w:rFonts w:asciiTheme="majorHAnsi" w:hAnsiTheme="majorHAnsi" w:cstheme="majorHAnsi"/>
          <w:shd w:val="clear" w:color="auto" w:fill="FFFFFF"/>
          <w:lang w:val="en-US"/>
        </w:rPr>
        <w:t xml:space="preserve">La finele </w:t>
      </w:r>
      <w:r w:rsidR="00537046" w:rsidRPr="008376FC">
        <w:rPr>
          <w:rFonts w:asciiTheme="majorHAnsi" w:hAnsiTheme="majorHAnsi" w:cstheme="majorHAnsi"/>
          <w:shd w:val="clear" w:color="auto" w:fill="FFFFFF"/>
          <w:lang w:val="en-US"/>
        </w:rPr>
        <w:t xml:space="preserve">anului </w:t>
      </w:r>
      <w:r w:rsidRPr="008376FC">
        <w:rPr>
          <w:rFonts w:asciiTheme="majorHAnsi" w:hAnsiTheme="majorHAnsi" w:cstheme="majorHAnsi"/>
          <w:shd w:val="clear" w:color="auto" w:fill="FFFFFF"/>
          <w:lang w:val="en-US"/>
        </w:rPr>
        <w:t>2021</w:t>
      </w:r>
      <w:r w:rsidR="00537046" w:rsidRPr="008376FC">
        <w:rPr>
          <w:rFonts w:asciiTheme="majorHAnsi" w:hAnsiTheme="majorHAnsi" w:cstheme="majorHAnsi"/>
          <w:shd w:val="clear" w:color="auto" w:fill="FFFFFF"/>
          <w:lang w:val="en-US"/>
        </w:rPr>
        <w:t>,</w:t>
      </w:r>
      <w:r w:rsidRPr="008376FC">
        <w:rPr>
          <w:rFonts w:asciiTheme="majorHAnsi" w:hAnsiTheme="majorHAnsi" w:cstheme="majorHAnsi"/>
          <w:shd w:val="clear" w:color="auto" w:fill="FFFFFF"/>
          <w:lang w:val="en-US"/>
        </w:rPr>
        <w:t xml:space="preserve"> a fost contractat primul consultant individual international care, din motive de s</w:t>
      </w:r>
      <w:r w:rsidR="00F335B9">
        <w:rPr>
          <w:rFonts w:asciiTheme="majorHAnsi" w:hAnsiTheme="majorHAnsi" w:cstheme="majorHAnsi"/>
          <w:shd w:val="clear" w:color="auto" w:fill="FFFFFF"/>
          <w:lang w:val="en-US"/>
        </w:rPr>
        <w:t>ă</w:t>
      </w:r>
      <w:r w:rsidRPr="008376FC">
        <w:rPr>
          <w:rFonts w:asciiTheme="majorHAnsi" w:hAnsiTheme="majorHAnsi" w:cstheme="majorHAnsi"/>
          <w:shd w:val="clear" w:color="auto" w:fill="FFFFFF"/>
          <w:lang w:val="en-US"/>
        </w:rPr>
        <w:t>n</w:t>
      </w:r>
      <w:r w:rsidR="00F335B9">
        <w:rPr>
          <w:rFonts w:asciiTheme="majorHAnsi" w:hAnsiTheme="majorHAnsi" w:cstheme="majorHAnsi"/>
          <w:shd w:val="clear" w:color="auto" w:fill="FFFFFF"/>
          <w:lang w:val="en-US"/>
        </w:rPr>
        <w:t>ă</w:t>
      </w:r>
      <w:r w:rsidRPr="008376FC">
        <w:rPr>
          <w:rFonts w:asciiTheme="majorHAnsi" w:hAnsiTheme="majorHAnsi" w:cstheme="majorHAnsi"/>
          <w:shd w:val="clear" w:color="auto" w:fill="FFFFFF"/>
          <w:lang w:val="en-US"/>
        </w:rPr>
        <w:t xml:space="preserve">tate a abandonat sarcina </w:t>
      </w:r>
      <w:r w:rsidR="00F335B9">
        <w:rPr>
          <w:rFonts w:asciiTheme="majorHAnsi" w:hAnsiTheme="majorHAnsi" w:cstheme="majorHAnsi"/>
          <w:shd w:val="clear" w:color="auto" w:fill="FFFFFF"/>
          <w:lang w:val="en-US"/>
        </w:rPr>
        <w:t>î</w:t>
      </w:r>
      <w:r w:rsidRPr="008376FC">
        <w:rPr>
          <w:rFonts w:asciiTheme="majorHAnsi" w:hAnsiTheme="majorHAnsi" w:cstheme="majorHAnsi"/>
          <w:shd w:val="clear" w:color="auto" w:fill="FFFFFF"/>
          <w:lang w:val="en-US"/>
        </w:rPr>
        <w:t xml:space="preserve">n aprilie 2022. </w:t>
      </w:r>
      <w:r w:rsidR="00F335B9">
        <w:rPr>
          <w:rFonts w:asciiTheme="majorHAnsi" w:hAnsiTheme="majorHAnsi" w:cstheme="majorHAnsi"/>
          <w:shd w:val="clear" w:color="auto" w:fill="FFFFFF"/>
          <w:lang w:val="en-US"/>
        </w:rPr>
        <w:t>Î</w:t>
      </w:r>
      <w:r w:rsidRPr="008376FC">
        <w:rPr>
          <w:rFonts w:asciiTheme="majorHAnsi" w:hAnsiTheme="majorHAnsi" w:cstheme="majorHAnsi"/>
          <w:shd w:val="clear" w:color="auto" w:fill="FFFFFF"/>
          <w:lang w:val="en-US"/>
        </w:rPr>
        <w:t>n mai 2022 a fost ini</w:t>
      </w:r>
      <w:r w:rsidR="00F335B9">
        <w:rPr>
          <w:rFonts w:asciiTheme="majorHAnsi" w:hAnsiTheme="majorHAnsi" w:cstheme="majorHAnsi"/>
          <w:shd w:val="clear" w:color="auto" w:fill="FFFFFF"/>
          <w:lang w:val="en-US"/>
        </w:rPr>
        <w:t>ț</w:t>
      </w:r>
      <w:r w:rsidRPr="008376FC">
        <w:rPr>
          <w:rFonts w:asciiTheme="majorHAnsi" w:hAnsiTheme="majorHAnsi" w:cstheme="majorHAnsi"/>
          <w:shd w:val="clear" w:color="auto" w:fill="FFFFFF"/>
          <w:lang w:val="en-US"/>
        </w:rPr>
        <w:t>iat</w:t>
      </w:r>
      <w:r w:rsidR="00F335B9">
        <w:rPr>
          <w:rFonts w:asciiTheme="majorHAnsi" w:hAnsiTheme="majorHAnsi" w:cstheme="majorHAnsi"/>
          <w:shd w:val="clear" w:color="auto" w:fill="FFFFFF"/>
          <w:lang w:val="en-US"/>
        </w:rPr>
        <w:t>ă</w:t>
      </w:r>
      <w:r w:rsidRPr="008376FC">
        <w:rPr>
          <w:rFonts w:asciiTheme="majorHAnsi" w:hAnsiTheme="majorHAnsi" w:cstheme="majorHAnsi"/>
          <w:shd w:val="clear" w:color="auto" w:fill="FFFFFF"/>
          <w:lang w:val="en-US"/>
        </w:rPr>
        <w:t xml:space="preserve"> o procedur</w:t>
      </w:r>
      <w:r w:rsidR="00F335B9">
        <w:rPr>
          <w:rFonts w:asciiTheme="majorHAnsi" w:hAnsiTheme="majorHAnsi" w:cstheme="majorHAnsi"/>
          <w:shd w:val="clear" w:color="auto" w:fill="FFFFFF"/>
          <w:lang w:val="en-US"/>
        </w:rPr>
        <w:t>ă</w:t>
      </w:r>
      <w:r w:rsidRPr="008376FC">
        <w:rPr>
          <w:rFonts w:asciiTheme="majorHAnsi" w:hAnsiTheme="majorHAnsi" w:cstheme="majorHAnsi"/>
          <w:shd w:val="clear" w:color="auto" w:fill="FFFFFF"/>
          <w:lang w:val="en-US"/>
        </w:rPr>
        <w:t xml:space="preserve"> nou</w:t>
      </w:r>
      <w:r w:rsidR="00F335B9">
        <w:rPr>
          <w:rFonts w:asciiTheme="majorHAnsi" w:hAnsiTheme="majorHAnsi" w:cstheme="majorHAnsi"/>
          <w:shd w:val="clear" w:color="auto" w:fill="FFFFFF"/>
          <w:lang w:val="en-US"/>
        </w:rPr>
        <w:t>ă</w:t>
      </w:r>
      <w:r w:rsidRPr="008376FC">
        <w:rPr>
          <w:rFonts w:asciiTheme="majorHAnsi" w:hAnsiTheme="majorHAnsi" w:cstheme="majorHAnsi"/>
          <w:shd w:val="clear" w:color="auto" w:fill="FFFFFF"/>
          <w:lang w:val="en-US"/>
        </w:rPr>
        <w:t xml:space="preserve"> de selectare a consultantului </w:t>
      </w:r>
      <w:r w:rsidR="00F335B9">
        <w:rPr>
          <w:rFonts w:asciiTheme="majorHAnsi" w:hAnsiTheme="majorHAnsi" w:cstheme="majorHAnsi"/>
          <w:shd w:val="clear" w:color="auto" w:fill="FFFFFF"/>
          <w:lang w:val="en-US"/>
        </w:rPr>
        <w:t>ș</w:t>
      </w:r>
      <w:r w:rsidRPr="008376FC">
        <w:rPr>
          <w:rFonts w:asciiTheme="majorHAnsi" w:hAnsiTheme="majorHAnsi" w:cstheme="majorHAnsi"/>
          <w:shd w:val="clear" w:color="auto" w:fill="FFFFFF"/>
          <w:lang w:val="en-US"/>
        </w:rPr>
        <w:t xml:space="preserve">i </w:t>
      </w:r>
      <w:r w:rsidR="00F335B9">
        <w:rPr>
          <w:rFonts w:asciiTheme="majorHAnsi" w:hAnsiTheme="majorHAnsi" w:cstheme="majorHAnsi"/>
          <w:shd w:val="clear" w:color="auto" w:fill="FFFFFF"/>
          <w:lang w:val="en-US"/>
        </w:rPr>
        <w:t>î</w:t>
      </w:r>
      <w:r w:rsidRPr="008376FC">
        <w:rPr>
          <w:rFonts w:asciiTheme="majorHAnsi" w:hAnsiTheme="majorHAnsi" w:cstheme="majorHAnsi"/>
          <w:shd w:val="clear" w:color="auto" w:fill="FFFFFF"/>
          <w:lang w:val="en-US"/>
        </w:rPr>
        <w:t>n august 2022</w:t>
      </w:r>
      <w:r w:rsidRPr="008376FC">
        <w:rPr>
          <w:rStyle w:val="ab"/>
          <w:rFonts w:asciiTheme="majorHAnsi" w:hAnsiTheme="majorHAnsi" w:cstheme="majorHAnsi"/>
          <w:shd w:val="clear" w:color="auto" w:fill="FFFFFF"/>
        </w:rPr>
        <w:footnoteReference w:id="107"/>
      </w:r>
      <w:r w:rsidRPr="008376FC">
        <w:rPr>
          <w:rFonts w:asciiTheme="majorHAnsi" w:hAnsiTheme="majorHAnsi" w:cstheme="majorHAnsi"/>
          <w:shd w:val="clear" w:color="auto" w:fill="FFFFFF"/>
          <w:lang w:val="en-US"/>
        </w:rPr>
        <w:t xml:space="preserve"> a fost contractat al 2-lea consultant interna</w:t>
      </w:r>
      <w:r w:rsidR="00F335B9">
        <w:rPr>
          <w:rFonts w:asciiTheme="majorHAnsi" w:hAnsiTheme="majorHAnsi" w:cstheme="majorHAnsi"/>
          <w:shd w:val="clear" w:color="auto" w:fill="FFFFFF"/>
          <w:lang w:val="en-US"/>
        </w:rPr>
        <w:t>ț</w:t>
      </w:r>
      <w:r w:rsidRPr="008376FC">
        <w:rPr>
          <w:rFonts w:asciiTheme="majorHAnsi" w:hAnsiTheme="majorHAnsi" w:cstheme="majorHAnsi"/>
          <w:shd w:val="clear" w:color="auto" w:fill="FFFFFF"/>
          <w:lang w:val="en-US"/>
        </w:rPr>
        <w:t xml:space="preserve">ional care tot </w:t>
      </w:r>
      <w:r w:rsidR="00F335B9">
        <w:rPr>
          <w:rFonts w:asciiTheme="majorHAnsi" w:hAnsiTheme="majorHAnsi" w:cstheme="majorHAnsi"/>
          <w:shd w:val="clear" w:color="auto" w:fill="FFFFFF"/>
          <w:lang w:val="en-US"/>
        </w:rPr>
        <w:t>î</w:t>
      </w:r>
      <w:r w:rsidRPr="008376FC">
        <w:rPr>
          <w:rFonts w:asciiTheme="majorHAnsi" w:hAnsiTheme="majorHAnsi" w:cstheme="majorHAnsi"/>
          <w:shd w:val="clear" w:color="auto" w:fill="FFFFFF"/>
          <w:lang w:val="en-US"/>
        </w:rPr>
        <w:t>n august 2022 a desf</w:t>
      </w:r>
      <w:r w:rsidR="00F335B9">
        <w:rPr>
          <w:rFonts w:asciiTheme="majorHAnsi" w:hAnsiTheme="majorHAnsi" w:cstheme="majorHAnsi"/>
          <w:shd w:val="clear" w:color="auto" w:fill="FFFFFF"/>
          <w:lang w:val="en-US"/>
        </w:rPr>
        <w:t>ăș</w:t>
      </w:r>
      <w:r w:rsidRPr="008376FC">
        <w:rPr>
          <w:rFonts w:asciiTheme="majorHAnsi" w:hAnsiTheme="majorHAnsi" w:cstheme="majorHAnsi"/>
          <w:shd w:val="clear" w:color="auto" w:fill="FFFFFF"/>
          <w:lang w:val="en-US"/>
        </w:rPr>
        <w:t>urat prima sa misiune la Chi</w:t>
      </w:r>
      <w:r w:rsidR="00F335B9">
        <w:rPr>
          <w:rFonts w:asciiTheme="majorHAnsi" w:hAnsiTheme="majorHAnsi" w:cstheme="majorHAnsi"/>
          <w:shd w:val="clear" w:color="auto" w:fill="FFFFFF"/>
          <w:lang w:val="en-US"/>
        </w:rPr>
        <w:t>ș</w:t>
      </w:r>
      <w:r w:rsidRPr="008376FC">
        <w:rPr>
          <w:rFonts w:asciiTheme="majorHAnsi" w:hAnsiTheme="majorHAnsi" w:cstheme="majorHAnsi"/>
          <w:shd w:val="clear" w:color="auto" w:fill="FFFFFF"/>
          <w:lang w:val="en-US"/>
        </w:rPr>
        <w:t>in</w:t>
      </w:r>
      <w:r w:rsidR="00F335B9">
        <w:rPr>
          <w:rFonts w:asciiTheme="majorHAnsi" w:hAnsiTheme="majorHAnsi" w:cstheme="majorHAnsi"/>
          <w:shd w:val="clear" w:color="auto" w:fill="FFFFFF"/>
          <w:lang w:val="en-US"/>
        </w:rPr>
        <w:t>ă</w:t>
      </w:r>
      <w:r w:rsidRPr="008376FC">
        <w:rPr>
          <w:rFonts w:asciiTheme="majorHAnsi" w:hAnsiTheme="majorHAnsi" w:cstheme="majorHAnsi"/>
          <w:shd w:val="clear" w:color="auto" w:fill="FFFFFF"/>
          <w:lang w:val="en-US"/>
        </w:rPr>
        <w:t>u. În sarcina consultantului internațional au intrat elaborarea specificațiilor tehnice și altei documentații relevante pentru SIA ROITE, ce includ</w:t>
      </w:r>
      <w:r w:rsidR="00F335B9">
        <w:rPr>
          <w:rFonts w:asciiTheme="majorHAnsi" w:hAnsiTheme="majorHAnsi" w:cstheme="majorHAnsi"/>
          <w:shd w:val="clear" w:color="auto" w:fill="FFFFFF"/>
          <w:lang w:val="en-US"/>
        </w:rPr>
        <w:t>:</w:t>
      </w:r>
      <w:r w:rsidRPr="008376FC">
        <w:rPr>
          <w:rFonts w:asciiTheme="majorHAnsi" w:hAnsiTheme="majorHAnsi" w:cstheme="majorHAnsi"/>
          <w:shd w:val="clear" w:color="auto" w:fill="FFFFFF"/>
          <w:lang w:val="en-US"/>
        </w:rPr>
        <w:t xml:space="preserve"> (i) revizuirea Conceptului pentru SIA ROITE aprobat prin Hotărârea </w:t>
      </w:r>
      <w:r w:rsidR="00F335B9">
        <w:rPr>
          <w:rFonts w:asciiTheme="majorHAnsi" w:hAnsiTheme="majorHAnsi" w:cstheme="majorHAnsi"/>
          <w:shd w:val="clear" w:color="auto" w:fill="FFFFFF"/>
          <w:lang w:val="en-US"/>
        </w:rPr>
        <w:t xml:space="preserve">Guvernului </w:t>
      </w:r>
      <w:r w:rsidRPr="008376FC">
        <w:rPr>
          <w:rFonts w:asciiTheme="majorHAnsi" w:hAnsiTheme="majorHAnsi" w:cstheme="majorHAnsi"/>
          <w:shd w:val="clear" w:color="auto" w:fill="FFFFFF"/>
          <w:lang w:val="en-US"/>
        </w:rPr>
        <w:t xml:space="preserve">nr.133/2014, </w:t>
      </w:r>
      <w:r w:rsidR="00F335B9">
        <w:rPr>
          <w:rFonts w:asciiTheme="majorHAnsi" w:hAnsiTheme="majorHAnsi" w:cstheme="majorHAnsi"/>
          <w:shd w:val="clear" w:color="auto" w:fill="FFFFFF"/>
          <w:lang w:val="en-US"/>
        </w:rPr>
        <w:t xml:space="preserve">a </w:t>
      </w:r>
      <w:r w:rsidRPr="008376FC">
        <w:rPr>
          <w:rFonts w:asciiTheme="majorHAnsi" w:hAnsiTheme="majorHAnsi" w:cstheme="majorHAnsi"/>
          <w:shd w:val="clear" w:color="auto" w:fill="FFFFFF"/>
          <w:lang w:val="en-US"/>
        </w:rPr>
        <w:t xml:space="preserve">Specificațiilor </w:t>
      </w:r>
      <w:r w:rsidR="00F335B9">
        <w:rPr>
          <w:rFonts w:asciiTheme="majorHAnsi" w:hAnsiTheme="majorHAnsi" w:cstheme="majorHAnsi"/>
          <w:shd w:val="clear" w:color="auto" w:fill="FFFFFF"/>
          <w:lang w:val="en-US"/>
        </w:rPr>
        <w:t>t</w:t>
      </w:r>
      <w:r w:rsidRPr="008376FC">
        <w:rPr>
          <w:rFonts w:asciiTheme="majorHAnsi" w:hAnsiTheme="majorHAnsi" w:cstheme="majorHAnsi"/>
          <w:shd w:val="clear" w:color="auto" w:fill="FFFFFF"/>
          <w:lang w:val="en-US"/>
        </w:rPr>
        <w:t xml:space="preserve">ehnice pentru SIA ROITE pregătite de Proiectul GIZ </w:t>
      </w:r>
      <w:r w:rsidR="00F335B9">
        <w:rPr>
          <w:rFonts w:asciiTheme="majorHAnsi" w:hAnsiTheme="majorHAnsi" w:cstheme="majorHAnsi"/>
          <w:shd w:val="clear" w:color="auto" w:fill="FFFFFF"/>
          <w:lang w:val="en-US"/>
        </w:rPr>
        <w:t>„</w:t>
      </w:r>
      <w:r w:rsidRPr="008376FC">
        <w:rPr>
          <w:rFonts w:asciiTheme="majorHAnsi" w:hAnsiTheme="majorHAnsi" w:cstheme="majorHAnsi"/>
          <w:shd w:val="clear" w:color="auto" w:fill="FFFFFF"/>
          <w:lang w:val="en-US"/>
        </w:rPr>
        <w:t>Modernizarea Serviciilor Publice Locale”</w:t>
      </w:r>
      <w:r w:rsidR="00F335B9">
        <w:rPr>
          <w:rFonts w:asciiTheme="majorHAnsi" w:hAnsiTheme="majorHAnsi" w:cstheme="majorHAnsi"/>
          <w:shd w:val="clear" w:color="auto" w:fill="FFFFFF"/>
          <w:lang w:val="en-US"/>
        </w:rPr>
        <w:t>,</w:t>
      </w:r>
      <w:r w:rsidRPr="008376FC">
        <w:rPr>
          <w:rFonts w:asciiTheme="majorHAnsi" w:hAnsiTheme="majorHAnsi" w:cstheme="majorHAnsi"/>
          <w:shd w:val="clear" w:color="auto" w:fill="FFFFFF"/>
          <w:lang w:val="en-US"/>
        </w:rPr>
        <w:t xml:space="preserve"> (ii) prezentarea Specificații</w:t>
      </w:r>
      <w:r w:rsidR="00F335B9">
        <w:rPr>
          <w:rFonts w:asciiTheme="majorHAnsi" w:hAnsiTheme="majorHAnsi" w:cstheme="majorHAnsi"/>
          <w:shd w:val="clear" w:color="auto" w:fill="FFFFFF"/>
          <w:lang w:val="en-US"/>
        </w:rPr>
        <w:t>lor</w:t>
      </w:r>
      <w:r w:rsidRPr="008376FC">
        <w:rPr>
          <w:rFonts w:asciiTheme="majorHAnsi" w:hAnsiTheme="majorHAnsi" w:cstheme="majorHAnsi"/>
          <w:shd w:val="clear" w:color="auto" w:fill="FFFFFF"/>
          <w:lang w:val="en-US"/>
        </w:rPr>
        <w:t xml:space="preserve"> </w:t>
      </w:r>
      <w:r w:rsidR="00F335B9">
        <w:rPr>
          <w:rFonts w:asciiTheme="majorHAnsi" w:hAnsiTheme="majorHAnsi" w:cstheme="majorHAnsi"/>
          <w:shd w:val="clear" w:color="auto" w:fill="FFFFFF"/>
          <w:lang w:val="en-US"/>
        </w:rPr>
        <w:t>t</w:t>
      </w:r>
      <w:r w:rsidRPr="008376FC">
        <w:rPr>
          <w:rFonts w:asciiTheme="majorHAnsi" w:hAnsiTheme="majorHAnsi" w:cstheme="majorHAnsi"/>
          <w:shd w:val="clear" w:color="auto" w:fill="FFFFFF"/>
          <w:lang w:val="en-US"/>
        </w:rPr>
        <w:t>ehnice comprehensive, precum și a costurilor estimate pentru sistemul necesar</w:t>
      </w:r>
      <w:r w:rsidRPr="008376FC">
        <w:rPr>
          <w:rStyle w:val="ab"/>
          <w:rFonts w:asciiTheme="majorHAnsi" w:hAnsiTheme="majorHAnsi" w:cstheme="majorHAnsi"/>
          <w:shd w:val="clear" w:color="auto" w:fill="FFFFFF"/>
        </w:rPr>
        <w:footnoteReference w:id="108"/>
      </w:r>
      <w:r w:rsidRPr="008376FC">
        <w:rPr>
          <w:rFonts w:asciiTheme="majorHAnsi" w:hAnsiTheme="majorHAnsi" w:cstheme="majorHAnsi"/>
          <w:shd w:val="clear" w:color="auto" w:fill="FFFFFF"/>
          <w:lang w:val="en-US"/>
        </w:rPr>
        <w:t>, (iii) acordarea suportului tehnic echipei ASP în procesul de pregătire și de desfășurare a licitației, în timpul evaluării ofertelor pentru dezvoltarea SIA ROITE.</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 xml:space="preserve">La data de 14.11.2022, consultantul internațional a prezentat proiectul Specificațiilor </w:t>
      </w:r>
      <w:r w:rsidR="00F335B9">
        <w:rPr>
          <w:rFonts w:asciiTheme="majorHAnsi" w:hAnsiTheme="majorHAnsi" w:cstheme="majorHAnsi"/>
          <w:b w:val="0"/>
          <w:bCs w:val="0"/>
          <w:sz w:val="24"/>
          <w:szCs w:val="24"/>
          <w:shd w:val="clear" w:color="auto" w:fill="FFFFFF"/>
        </w:rPr>
        <w:t>T</w:t>
      </w:r>
      <w:r w:rsidRPr="008376FC">
        <w:rPr>
          <w:rFonts w:asciiTheme="majorHAnsi" w:hAnsiTheme="majorHAnsi" w:cstheme="majorHAnsi"/>
          <w:b w:val="0"/>
          <w:bCs w:val="0"/>
          <w:sz w:val="24"/>
          <w:szCs w:val="24"/>
          <w:shd w:val="clear" w:color="auto" w:fill="FFFFFF"/>
        </w:rPr>
        <w:t>ehnice aferente ROITE, care a fost transmis în format electronic B</w:t>
      </w:r>
      <w:r w:rsidR="00CF6998">
        <w:rPr>
          <w:rFonts w:asciiTheme="majorHAnsi" w:hAnsiTheme="majorHAnsi" w:cstheme="majorHAnsi"/>
          <w:b w:val="0"/>
          <w:bCs w:val="0"/>
          <w:sz w:val="24"/>
          <w:szCs w:val="24"/>
          <w:shd w:val="clear" w:color="auto" w:fill="FFFFFF"/>
        </w:rPr>
        <w:t xml:space="preserve">ăncii </w:t>
      </w:r>
      <w:r w:rsidRPr="008376FC">
        <w:rPr>
          <w:rFonts w:asciiTheme="majorHAnsi" w:hAnsiTheme="majorHAnsi" w:cstheme="majorHAnsi"/>
          <w:b w:val="0"/>
          <w:bCs w:val="0"/>
          <w:sz w:val="24"/>
          <w:szCs w:val="24"/>
          <w:shd w:val="clear" w:color="auto" w:fill="FFFFFF"/>
        </w:rPr>
        <w:t>M</w:t>
      </w:r>
      <w:r w:rsidR="00CF6998">
        <w:rPr>
          <w:rFonts w:asciiTheme="majorHAnsi" w:hAnsiTheme="majorHAnsi" w:cstheme="majorHAnsi"/>
          <w:b w:val="0"/>
          <w:bCs w:val="0"/>
          <w:sz w:val="24"/>
          <w:szCs w:val="24"/>
          <w:shd w:val="clear" w:color="auto" w:fill="FFFFFF"/>
        </w:rPr>
        <w:t>ondiale</w:t>
      </w:r>
      <w:r w:rsidRPr="008376FC">
        <w:rPr>
          <w:rFonts w:asciiTheme="majorHAnsi" w:hAnsiTheme="majorHAnsi" w:cstheme="majorHAnsi"/>
          <w:b w:val="0"/>
          <w:bCs w:val="0"/>
          <w:sz w:val="24"/>
          <w:szCs w:val="24"/>
          <w:shd w:val="clear" w:color="auto" w:fill="FFFFFF"/>
        </w:rPr>
        <w:t xml:space="preserve"> și AGE pentru avizare. La data de 21.02.2023, Specificațiile tehnice aferente SIA ROITE au fost acceptate/aprobate de BM și a fost inițiată procedura de selectare a dez</w:t>
      </w:r>
      <w:r w:rsidR="00F335B9">
        <w:rPr>
          <w:rFonts w:asciiTheme="majorHAnsi" w:hAnsiTheme="majorHAnsi" w:cstheme="majorHAnsi"/>
          <w:b w:val="0"/>
          <w:bCs w:val="0"/>
          <w:sz w:val="24"/>
          <w:szCs w:val="24"/>
          <w:shd w:val="clear" w:color="auto" w:fill="FFFFFF"/>
        </w:rPr>
        <w:t>v</w:t>
      </w:r>
      <w:r w:rsidRPr="008376FC">
        <w:rPr>
          <w:rFonts w:asciiTheme="majorHAnsi" w:hAnsiTheme="majorHAnsi" w:cstheme="majorHAnsi"/>
          <w:b w:val="0"/>
          <w:bCs w:val="0"/>
          <w:sz w:val="24"/>
          <w:szCs w:val="24"/>
          <w:shd w:val="clear" w:color="auto" w:fill="FFFFFF"/>
        </w:rPr>
        <w:t>ol</w:t>
      </w:r>
      <w:r w:rsidR="00F335B9">
        <w:rPr>
          <w:rFonts w:asciiTheme="majorHAnsi" w:hAnsiTheme="majorHAnsi" w:cstheme="majorHAnsi"/>
          <w:b w:val="0"/>
          <w:bCs w:val="0"/>
          <w:sz w:val="24"/>
          <w:szCs w:val="24"/>
          <w:shd w:val="clear" w:color="auto" w:fill="FFFFFF"/>
        </w:rPr>
        <w:t>t</w:t>
      </w:r>
      <w:r w:rsidRPr="008376FC">
        <w:rPr>
          <w:rFonts w:asciiTheme="majorHAnsi" w:hAnsiTheme="majorHAnsi" w:cstheme="majorHAnsi"/>
          <w:b w:val="0"/>
          <w:bCs w:val="0"/>
          <w:sz w:val="24"/>
          <w:szCs w:val="24"/>
          <w:shd w:val="clear" w:color="auto" w:fill="FFFFFF"/>
        </w:rPr>
        <w:t>atorului SIA RIOTE</w:t>
      </w:r>
      <w:r w:rsidRPr="008376FC">
        <w:rPr>
          <w:rStyle w:val="ab"/>
          <w:rFonts w:asciiTheme="majorHAnsi" w:hAnsiTheme="majorHAnsi" w:cstheme="majorHAnsi"/>
          <w:b w:val="0"/>
          <w:bCs w:val="0"/>
          <w:sz w:val="24"/>
          <w:szCs w:val="24"/>
          <w:shd w:val="clear" w:color="auto" w:fill="FFFFFF"/>
        </w:rPr>
        <w:footnoteReference w:id="109"/>
      </w:r>
      <w:r w:rsidRPr="008376FC">
        <w:rPr>
          <w:rFonts w:asciiTheme="majorHAnsi" w:hAnsiTheme="majorHAnsi" w:cstheme="majorHAnsi"/>
          <w:b w:val="0"/>
          <w:bCs w:val="0"/>
          <w:sz w:val="24"/>
          <w:szCs w:val="24"/>
          <w:shd w:val="clear" w:color="auto" w:fill="FFFFFF"/>
        </w:rPr>
        <w:t>, care urm</w:t>
      </w:r>
      <w:r w:rsidR="00F335B9">
        <w:rPr>
          <w:rFonts w:asciiTheme="majorHAnsi" w:hAnsiTheme="majorHAnsi" w:cstheme="majorHAnsi"/>
          <w:b w:val="0"/>
          <w:bCs w:val="0"/>
          <w:sz w:val="24"/>
          <w:szCs w:val="24"/>
          <w:shd w:val="clear" w:color="auto" w:fill="FFFFFF"/>
        </w:rPr>
        <w:t>a</w:t>
      </w:r>
      <w:r w:rsidRPr="008376FC">
        <w:rPr>
          <w:rFonts w:asciiTheme="majorHAnsi" w:hAnsiTheme="majorHAnsi" w:cstheme="majorHAnsi"/>
          <w:b w:val="0"/>
          <w:bCs w:val="0"/>
          <w:sz w:val="24"/>
          <w:szCs w:val="24"/>
          <w:shd w:val="clear" w:color="auto" w:fill="FFFFFF"/>
        </w:rPr>
        <w:t xml:space="preserve"> </w:t>
      </w:r>
      <w:r w:rsidR="00F335B9">
        <w:rPr>
          <w:rFonts w:asciiTheme="majorHAnsi" w:hAnsiTheme="majorHAnsi" w:cstheme="majorHAnsi"/>
          <w:b w:val="0"/>
          <w:bCs w:val="0"/>
          <w:sz w:val="24"/>
          <w:szCs w:val="24"/>
          <w:shd w:val="clear" w:color="auto" w:fill="FFFFFF"/>
        </w:rPr>
        <w:t>să fie</w:t>
      </w:r>
      <w:r w:rsidRPr="008376FC">
        <w:rPr>
          <w:rFonts w:asciiTheme="majorHAnsi" w:hAnsiTheme="majorHAnsi" w:cstheme="majorHAnsi"/>
          <w:b w:val="0"/>
          <w:bCs w:val="0"/>
          <w:sz w:val="24"/>
          <w:szCs w:val="24"/>
          <w:shd w:val="clear" w:color="auto" w:fill="FFFFFF"/>
        </w:rPr>
        <w:t xml:space="preserve"> finalizată către 14.04.2023, cu inițierea dezvoltării SIA ROITE și finaliz</w:t>
      </w:r>
      <w:r w:rsidR="00F335B9">
        <w:rPr>
          <w:rFonts w:asciiTheme="majorHAnsi" w:hAnsiTheme="majorHAnsi" w:cstheme="majorHAnsi"/>
          <w:b w:val="0"/>
          <w:bCs w:val="0"/>
          <w:sz w:val="24"/>
          <w:szCs w:val="24"/>
          <w:shd w:val="clear" w:color="auto" w:fill="FFFFFF"/>
        </w:rPr>
        <w:t>area</w:t>
      </w:r>
      <w:r w:rsidRPr="008376FC">
        <w:rPr>
          <w:rFonts w:asciiTheme="majorHAnsi" w:hAnsiTheme="majorHAnsi" w:cstheme="majorHAnsi"/>
          <w:b w:val="0"/>
          <w:bCs w:val="0"/>
          <w:sz w:val="24"/>
          <w:szCs w:val="24"/>
          <w:shd w:val="clear" w:color="auto" w:fill="FFFFFF"/>
        </w:rPr>
        <w:t xml:space="preserve"> acestui proces în termen de 12 luni de la semnarea contractului de achiziții. Pentru facilitarea procesului de selectare a dezvoltatorului TIC, în aprilie 2022 a fost contractat un consultant local specializat în achiziți</w:t>
      </w:r>
      <w:r w:rsidR="00F335B9">
        <w:rPr>
          <w:rFonts w:asciiTheme="majorHAnsi" w:hAnsiTheme="majorHAnsi" w:cstheme="majorHAnsi"/>
          <w:b w:val="0"/>
          <w:bCs w:val="0"/>
          <w:sz w:val="24"/>
          <w:szCs w:val="24"/>
          <w:shd w:val="clear" w:color="auto" w:fill="FFFFFF"/>
        </w:rPr>
        <w:t>a</w:t>
      </w:r>
      <w:r w:rsidRPr="008376FC">
        <w:rPr>
          <w:rFonts w:asciiTheme="majorHAnsi" w:hAnsiTheme="majorHAnsi" w:cstheme="majorHAnsi"/>
          <w:b w:val="0"/>
          <w:bCs w:val="0"/>
          <w:sz w:val="24"/>
          <w:szCs w:val="24"/>
          <w:shd w:val="clear" w:color="auto" w:fill="FFFFFF"/>
        </w:rPr>
        <w:t xml:space="preserve"> sisteme</w:t>
      </w:r>
      <w:r w:rsidR="00F335B9">
        <w:rPr>
          <w:rFonts w:asciiTheme="majorHAnsi" w:hAnsiTheme="majorHAnsi" w:cstheme="majorHAnsi"/>
          <w:b w:val="0"/>
          <w:bCs w:val="0"/>
          <w:sz w:val="24"/>
          <w:szCs w:val="24"/>
          <w:shd w:val="clear" w:color="auto" w:fill="FFFFFF"/>
        </w:rPr>
        <w:t>lor</w:t>
      </w:r>
      <w:r w:rsidRPr="008376FC">
        <w:rPr>
          <w:rFonts w:asciiTheme="majorHAnsi" w:hAnsiTheme="majorHAnsi" w:cstheme="majorHAnsi"/>
          <w:b w:val="0"/>
          <w:bCs w:val="0"/>
          <w:sz w:val="24"/>
          <w:szCs w:val="24"/>
          <w:shd w:val="clear" w:color="auto" w:fill="FFFFFF"/>
        </w:rPr>
        <w:t xml:space="preserve"> TIC potrivit regulilor BM</w:t>
      </w:r>
      <w:r w:rsidRPr="008376FC">
        <w:rPr>
          <w:rStyle w:val="ab"/>
          <w:rFonts w:asciiTheme="majorHAnsi" w:hAnsiTheme="majorHAnsi" w:cstheme="majorHAnsi"/>
          <w:b w:val="0"/>
          <w:bCs w:val="0"/>
          <w:sz w:val="24"/>
          <w:szCs w:val="24"/>
          <w:shd w:val="clear" w:color="auto" w:fill="FFFFFF"/>
        </w:rPr>
        <w:footnoteReference w:id="110"/>
      </w:r>
      <w:r w:rsidRPr="008376FC">
        <w:rPr>
          <w:rFonts w:asciiTheme="majorHAnsi" w:hAnsiTheme="majorHAnsi" w:cstheme="majorHAnsi"/>
          <w:b w:val="0"/>
          <w:bCs w:val="0"/>
          <w:sz w:val="24"/>
          <w:szCs w:val="24"/>
          <w:shd w:val="clear" w:color="auto" w:fill="FFFFFF"/>
        </w:rPr>
        <w:t>.</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În afară de ajustarea și actualizarea Specificațiilor tehnice, în anul 2022, conform Planului de acțiuni al PEIF pentru anii 2022-2024</w:t>
      </w:r>
      <w:r w:rsidR="00F335B9">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 au fost: (i) creat GL tematic cu participarea reprezentanților MIDR, MM, ARFC, ANRCETI, AAM și </w:t>
      </w:r>
      <w:r w:rsidR="00F335B9">
        <w:rPr>
          <w:rFonts w:asciiTheme="majorHAnsi" w:hAnsiTheme="majorHAnsi" w:cstheme="majorHAnsi"/>
          <w:b w:val="0"/>
          <w:bCs w:val="0"/>
          <w:sz w:val="24"/>
          <w:szCs w:val="24"/>
          <w:shd w:val="clear" w:color="auto" w:fill="FFFFFF"/>
        </w:rPr>
        <w:t xml:space="preserve">a </w:t>
      </w:r>
      <w:r w:rsidRPr="008376FC">
        <w:rPr>
          <w:rFonts w:asciiTheme="majorHAnsi" w:hAnsiTheme="majorHAnsi" w:cstheme="majorHAnsi"/>
          <w:b w:val="0"/>
          <w:bCs w:val="0"/>
          <w:sz w:val="24"/>
          <w:szCs w:val="24"/>
          <w:shd w:val="clear" w:color="auto" w:fill="FFFFFF"/>
        </w:rPr>
        <w:t>unor titulari de drepturi asupra obiectivelor de infrastructură tehnico- edilitară, (ii) elaborate modificări în mai multe acte normative (Legea nr. 150/2017, HG nr. 133/2014, Legile nr. 107/2016,  nr. 08/2016, nr.209/2016, nr.92/2014, nr.303/2013, nr.272/2011) (iii) elaborate proiectul HG cu privire la modificarea și completarea HG  nr. 63/201 și nr.80/2019, care au drept scop reglementarea procedurii de delimitare a OITE, proprietate publică prevăzută de Legea nr.29/2018.</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În perioada iunie-noiembrie 2022 a fost implementat proiectul</w:t>
      </w:r>
      <w:r w:rsidR="00F335B9">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pilot de testare a lucrărilor cadastrale la nivel de obiective de infrastructură, în comun cu GL tematic fiind: (i) determinat conținutul concret de date atributive necesare pentru descrierea ROITE și a elementelor structurale ale acestuia, elaborat clasificatorul obiectivelor de infrastructură tehnico-edilitară și a elementelor structural</w:t>
      </w:r>
      <w:r w:rsidR="001F0EC9">
        <w:rPr>
          <w:rFonts w:asciiTheme="majorHAnsi" w:hAnsiTheme="majorHAnsi" w:cstheme="majorHAnsi"/>
          <w:b w:val="0"/>
          <w:bCs w:val="0"/>
          <w:sz w:val="24"/>
          <w:szCs w:val="24"/>
          <w:shd w:val="clear" w:color="auto" w:fill="FFFFFF"/>
        </w:rPr>
        <w:t>e</w:t>
      </w:r>
      <w:r w:rsidRPr="008376FC">
        <w:rPr>
          <w:rFonts w:asciiTheme="majorHAnsi" w:hAnsiTheme="majorHAnsi" w:cstheme="majorHAnsi"/>
          <w:b w:val="0"/>
          <w:bCs w:val="0"/>
          <w:sz w:val="24"/>
          <w:szCs w:val="24"/>
          <w:shd w:val="clear" w:color="auto" w:fill="FFFFFF"/>
        </w:rPr>
        <w:t xml:space="preserve"> ale acestora, și proiectul HG cu privire la aprobarea Regulamentului privind conținutul și modul de întocmire a documentelor ce servesc drept temei pentru înregistrarea ROITE. Proiectul Regulamentului respectiv va fi prezentat spre promovare ARFC după consultarea cu compania</w:t>
      </w:r>
      <w:r w:rsidR="001F0EC9">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dezvoltator ce urmează a fi contractată în cadrul PIEF, (ii) testate procedura de întocmire a documentației cadastrale digitale și a documentelor ce servesc drept temei pentru înregistrarea obiectivelor în Registru, (iii) în temeiul art.8 din Legea </w:t>
      </w:r>
      <w:r w:rsidR="001F0EC9">
        <w:rPr>
          <w:rFonts w:asciiTheme="majorHAnsi" w:hAnsiTheme="majorHAnsi" w:cstheme="majorHAnsi"/>
          <w:b w:val="0"/>
          <w:bCs w:val="0"/>
          <w:sz w:val="24"/>
          <w:szCs w:val="24"/>
          <w:shd w:val="clear" w:color="auto" w:fill="FFFFFF"/>
        </w:rPr>
        <w:t>nr.</w:t>
      </w:r>
      <w:r w:rsidRPr="008376FC">
        <w:rPr>
          <w:rFonts w:asciiTheme="majorHAnsi" w:hAnsiTheme="majorHAnsi" w:cstheme="majorHAnsi"/>
          <w:b w:val="0"/>
          <w:bCs w:val="0"/>
          <w:sz w:val="24"/>
          <w:szCs w:val="24"/>
          <w:shd w:val="clear" w:color="auto" w:fill="FFFFFF"/>
        </w:rPr>
        <w:t>150/</w:t>
      </w:r>
      <w:r w:rsidR="00CF6998" w:rsidRPr="008376FC">
        <w:rPr>
          <w:rFonts w:asciiTheme="majorHAnsi" w:hAnsiTheme="majorHAnsi" w:cstheme="majorHAnsi"/>
          <w:b w:val="0"/>
          <w:bCs w:val="0"/>
          <w:sz w:val="24"/>
          <w:szCs w:val="24"/>
          <w:shd w:val="clear" w:color="auto" w:fill="FFFFFF"/>
        </w:rPr>
        <w:t>201</w:t>
      </w:r>
      <w:r w:rsidR="00CF6998">
        <w:rPr>
          <w:rFonts w:asciiTheme="majorHAnsi" w:hAnsiTheme="majorHAnsi" w:cstheme="majorHAnsi"/>
          <w:b w:val="0"/>
          <w:bCs w:val="0"/>
          <w:sz w:val="24"/>
          <w:szCs w:val="24"/>
          <w:shd w:val="clear" w:color="auto" w:fill="FFFFFF"/>
        </w:rPr>
        <w:t>7</w:t>
      </w:r>
      <w:r w:rsidR="001F0EC9">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 a fost elaborat proiectul HG cu privire la modul de ținere a ROITE, iar în temeiul art.21 alin.(3) lit. d) din Legea nr.150/2017</w:t>
      </w:r>
      <w:r w:rsidR="001F0EC9">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 a fost  elaborat Planul </w:t>
      </w:r>
      <w:r w:rsidR="001F0EC9">
        <w:rPr>
          <w:rFonts w:asciiTheme="majorHAnsi" w:hAnsiTheme="majorHAnsi" w:cstheme="majorHAnsi"/>
          <w:b w:val="0"/>
          <w:bCs w:val="0"/>
          <w:sz w:val="24"/>
          <w:szCs w:val="24"/>
          <w:shd w:val="clear" w:color="auto" w:fill="FFFFFF"/>
        </w:rPr>
        <w:t xml:space="preserve">de </w:t>
      </w:r>
      <w:r w:rsidRPr="008376FC">
        <w:rPr>
          <w:rFonts w:asciiTheme="majorHAnsi" w:hAnsiTheme="majorHAnsi" w:cstheme="majorHAnsi"/>
          <w:b w:val="0"/>
          <w:bCs w:val="0"/>
          <w:sz w:val="24"/>
          <w:szCs w:val="24"/>
          <w:shd w:val="clear" w:color="auto" w:fill="FFFFFF"/>
        </w:rPr>
        <w:t>înregistr</w:t>
      </w:r>
      <w:r w:rsidR="001F0EC9">
        <w:rPr>
          <w:rFonts w:asciiTheme="majorHAnsi" w:hAnsiTheme="majorHAnsi" w:cstheme="majorHAnsi"/>
          <w:b w:val="0"/>
          <w:bCs w:val="0"/>
          <w:sz w:val="24"/>
          <w:szCs w:val="24"/>
          <w:shd w:val="clear" w:color="auto" w:fill="FFFFFF"/>
        </w:rPr>
        <w:t>are a</w:t>
      </w:r>
      <w:r w:rsidRPr="008376FC">
        <w:rPr>
          <w:rFonts w:asciiTheme="majorHAnsi" w:hAnsiTheme="majorHAnsi" w:cstheme="majorHAnsi"/>
          <w:b w:val="0"/>
          <w:bCs w:val="0"/>
          <w:sz w:val="24"/>
          <w:szCs w:val="24"/>
          <w:shd w:val="clear" w:color="auto" w:fill="FFFFFF"/>
        </w:rPr>
        <w:t xml:space="preserve"> OITE.  </w:t>
      </w:r>
    </w:p>
    <w:p w:rsidR="00E76430" w:rsidRPr="008376FC" w:rsidRDefault="00E76430" w:rsidP="00F61756">
      <w:pPr>
        <w:pStyle w:val="a3"/>
        <w:numPr>
          <w:ilvl w:val="0"/>
          <w:numId w:val="14"/>
        </w:numPr>
        <w:spacing w:before="120" w:line="276" w:lineRule="auto"/>
        <w:ind w:left="0" w:firstLine="709"/>
        <w:jc w:val="both"/>
        <w:rPr>
          <w:rFonts w:asciiTheme="majorHAnsi" w:hAnsiTheme="majorHAnsi" w:cstheme="majorHAnsi"/>
          <w:b/>
          <w:shd w:val="clear" w:color="auto" w:fill="FFFFFF"/>
          <w:lang w:val="en-US"/>
        </w:rPr>
      </w:pPr>
      <w:r w:rsidRPr="008376FC">
        <w:rPr>
          <w:rFonts w:asciiTheme="majorHAnsi" w:hAnsiTheme="majorHAnsi" w:cstheme="majorHAnsi"/>
          <w:b/>
          <w:shd w:val="clear" w:color="auto" w:fill="FFFFFF"/>
          <w:lang w:val="en-US"/>
        </w:rPr>
        <w:t>Diminuarea valorii creditului şi debursările</w:t>
      </w:r>
      <w:r w:rsidR="00364E0F" w:rsidRPr="008376FC">
        <w:rPr>
          <w:rFonts w:asciiTheme="majorHAnsi" w:hAnsiTheme="majorHAnsi" w:cstheme="majorHAnsi"/>
          <w:b/>
          <w:shd w:val="clear" w:color="auto" w:fill="FFFFFF"/>
          <w:lang w:val="en-US"/>
        </w:rPr>
        <w:t xml:space="preserve"> efectuate</w:t>
      </w:r>
      <w:r w:rsidRPr="008376FC">
        <w:rPr>
          <w:rFonts w:asciiTheme="majorHAnsi" w:hAnsiTheme="majorHAnsi" w:cstheme="majorHAnsi"/>
          <w:b/>
          <w:shd w:val="clear" w:color="auto" w:fill="FFFFFF"/>
          <w:lang w:val="en-US"/>
        </w:rPr>
        <w:t xml:space="preserve"> în perioada 2019-2022</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De menționat că, urmare a restructurării Proiectului la mijloc de termen (mid term), aprobat la 04 mai 2022</w:t>
      </w:r>
      <w:r w:rsidRPr="008376FC">
        <w:rPr>
          <w:rStyle w:val="ab"/>
          <w:rFonts w:asciiTheme="majorHAnsi" w:hAnsiTheme="majorHAnsi" w:cstheme="majorHAnsi"/>
          <w:b w:val="0"/>
          <w:bCs w:val="0"/>
          <w:sz w:val="24"/>
          <w:szCs w:val="24"/>
          <w:shd w:val="clear" w:color="auto" w:fill="FFFFFF"/>
        </w:rPr>
        <w:footnoteReference w:id="111"/>
      </w:r>
      <w:r w:rsidRPr="008376FC">
        <w:rPr>
          <w:rFonts w:asciiTheme="majorHAnsi" w:hAnsiTheme="majorHAnsi" w:cstheme="majorHAnsi"/>
          <w:b w:val="0"/>
          <w:bCs w:val="0"/>
          <w:sz w:val="24"/>
          <w:szCs w:val="24"/>
          <w:shd w:val="clear" w:color="auto" w:fill="FFFFFF"/>
        </w:rPr>
        <w:t xml:space="preserve">, suma creditului aprobată iniţial (30,1 mil. </w:t>
      </w:r>
      <w:r w:rsidR="001F0EC9">
        <w:rPr>
          <w:rFonts w:asciiTheme="majorHAnsi" w:hAnsiTheme="majorHAnsi" w:cstheme="majorHAnsi"/>
          <w:b w:val="0"/>
          <w:bCs w:val="0"/>
          <w:sz w:val="24"/>
          <w:szCs w:val="24"/>
          <w:shd w:val="clear" w:color="auto" w:fill="FFFFFF"/>
        </w:rPr>
        <w:t>euro</w:t>
      </w:r>
      <w:r w:rsidRPr="008376FC">
        <w:rPr>
          <w:rFonts w:asciiTheme="majorHAnsi" w:hAnsiTheme="majorHAnsi" w:cstheme="majorHAnsi"/>
          <w:b w:val="0"/>
          <w:bCs w:val="0"/>
          <w:sz w:val="24"/>
          <w:szCs w:val="24"/>
          <w:shd w:val="clear" w:color="auto" w:fill="FFFFFF"/>
        </w:rPr>
        <w:t xml:space="preserve">) a fost redusă până la 23.650,9 mii </w:t>
      </w:r>
      <w:r w:rsidR="001F0EC9">
        <w:rPr>
          <w:rFonts w:asciiTheme="majorHAnsi" w:hAnsiTheme="majorHAnsi" w:cstheme="majorHAnsi"/>
          <w:b w:val="0"/>
          <w:bCs w:val="0"/>
          <w:sz w:val="24"/>
          <w:szCs w:val="24"/>
          <w:shd w:val="clear" w:color="auto" w:fill="FFFFFF"/>
        </w:rPr>
        <w:t>euro</w:t>
      </w:r>
      <w:r w:rsidRPr="008376FC">
        <w:rPr>
          <w:rFonts w:asciiTheme="majorHAnsi" w:hAnsiTheme="majorHAnsi" w:cstheme="majorHAnsi"/>
          <w:b w:val="0"/>
          <w:bCs w:val="0"/>
          <w:sz w:val="24"/>
          <w:szCs w:val="24"/>
          <w:shd w:val="clear" w:color="auto" w:fill="FFFFFF"/>
        </w:rPr>
        <w:t xml:space="preserve">, sau cu 6,45 mil. </w:t>
      </w:r>
      <w:r w:rsidR="001F0EC9">
        <w:rPr>
          <w:rFonts w:asciiTheme="majorHAnsi" w:hAnsiTheme="majorHAnsi" w:cstheme="majorHAnsi"/>
          <w:b w:val="0"/>
          <w:bCs w:val="0"/>
          <w:sz w:val="24"/>
          <w:szCs w:val="24"/>
          <w:shd w:val="clear" w:color="auto" w:fill="FFFFFF"/>
        </w:rPr>
        <w:t>euro</w:t>
      </w:r>
      <w:r w:rsidRPr="008376FC">
        <w:rPr>
          <w:rFonts w:asciiTheme="majorHAnsi" w:hAnsiTheme="majorHAnsi" w:cstheme="majorHAnsi"/>
          <w:b w:val="0"/>
          <w:bCs w:val="0"/>
          <w:sz w:val="24"/>
          <w:szCs w:val="24"/>
          <w:shd w:val="clear" w:color="auto" w:fill="FFFFFF"/>
        </w:rPr>
        <w:t xml:space="preserve"> (-20,7%), ceea ce dovedește lipsa sau insuficiența capacităților organelor </w:t>
      </w:r>
      <w:r w:rsidR="001F0EC9">
        <w:rPr>
          <w:rFonts w:asciiTheme="majorHAnsi" w:hAnsiTheme="majorHAnsi" w:cstheme="majorHAnsi"/>
          <w:b w:val="0"/>
          <w:bCs w:val="0"/>
          <w:sz w:val="24"/>
          <w:szCs w:val="24"/>
          <w:shd w:val="clear" w:color="auto" w:fill="FFFFFF"/>
        </w:rPr>
        <w:t xml:space="preserve">de </w:t>
      </w:r>
      <w:r w:rsidRPr="008376FC">
        <w:rPr>
          <w:rFonts w:asciiTheme="majorHAnsi" w:hAnsiTheme="majorHAnsi" w:cstheme="majorHAnsi"/>
          <w:b w:val="0"/>
          <w:bCs w:val="0"/>
          <w:sz w:val="24"/>
          <w:szCs w:val="24"/>
          <w:shd w:val="clear" w:color="auto" w:fill="FFFFFF"/>
        </w:rPr>
        <w:t>stat de a valorifica mijlo</w:t>
      </w:r>
      <w:r w:rsidR="001F0EC9">
        <w:rPr>
          <w:rFonts w:asciiTheme="majorHAnsi" w:hAnsiTheme="majorHAnsi" w:cstheme="majorHAnsi"/>
          <w:b w:val="0"/>
          <w:bCs w:val="0"/>
          <w:sz w:val="24"/>
          <w:szCs w:val="24"/>
          <w:shd w:val="clear" w:color="auto" w:fill="FFFFFF"/>
        </w:rPr>
        <w:t>a</w:t>
      </w:r>
      <w:r w:rsidRPr="008376FC">
        <w:rPr>
          <w:rFonts w:asciiTheme="majorHAnsi" w:hAnsiTheme="majorHAnsi" w:cstheme="majorHAnsi"/>
          <w:b w:val="0"/>
          <w:bCs w:val="0"/>
          <w:sz w:val="24"/>
          <w:szCs w:val="24"/>
          <w:shd w:val="clear" w:color="auto" w:fill="FFFFFF"/>
        </w:rPr>
        <w:t>cele creditului în termenele stabilite inițial.</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 xml:space="preserve">La situația din 31.12.2022, din creditul contractat au fost valorificate 3,55 mil. </w:t>
      </w:r>
      <w:r w:rsidR="00996FEC">
        <w:rPr>
          <w:rFonts w:asciiTheme="majorHAnsi" w:hAnsiTheme="majorHAnsi" w:cstheme="majorHAnsi"/>
          <w:b w:val="0"/>
          <w:bCs w:val="0"/>
          <w:sz w:val="24"/>
          <w:szCs w:val="24"/>
          <w:shd w:val="clear" w:color="auto" w:fill="FFFFFF"/>
        </w:rPr>
        <w:t>euro</w:t>
      </w:r>
      <w:r w:rsidRPr="008376FC">
        <w:rPr>
          <w:rFonts w:asciiTheme="majorHAnsi" w:hAnsiTheme="majorHAnsi" w:cstheme="majorHAnsi"/>
          <w:b w:val="0"/>
          <w:bCs w:val="0"/>
          <w:sz w:val="24"/>
          <w:szCs w:val="24"/>
          <w:shd w:val="clear" w:color="auto" w:fill="FFFFFF"/>
        </w:rPr>
        <w:t>, ce</w:t>
      </w:r>
      <w:r w:rsidR="00996FEC">
        <w:rPr>
          <w:rFonts w:asciiTheme="majorHAnsi" w:hAnsiTheme="majorHAnsi" w:cstheme="majorHAnsi"/>
          <w:b w:val="0"/>
          <w:bCs w:val="0"/>
          <w:sz w:val="24"/>
          <w:szCs w:val="24"/>
          <w:shd w:val="clear" w:color="auto" w:fill="FFFFFF"/>
        </w:rPr>
        <w:t>ea ce</w:t>
      </w:r>
      <w:r w:rsidRPr="008376FC">
        <w:rPr>
          <w:rFonts w:asciiTheme="majorHAnsi" w:hAnsiTheme="majorHAnsi" w:cstheme="majorHAnsi"/>
          <w:b w:val="0"/>
          <w:bCs w:val="0"/>
          <w:sz w:val="24"/>
          <w:szCs w:val="24"/>
          <w:shd w:val="clear" w:color="auto" w:fill="FFFFFF"/>
        </w:rPr>
        <w:t xml:space="preserve"> reprezintă 16,5% din valoarea creditului restructurată. Debursarea creditului pe ani se prezintă în figura de mai jos.</w:t>
      </w:r>
    </w:p>
    <w:p w:rsidR="00E76430" w:rsidRPr="008376FC" w:rsidRDefault="00ED2CE9" w:rsidP="00F61756">
      <w:pPr>
        <w:spacing w:after="0" w:line="276" w:lineRule="auto"/>
        <w:ind w:firstLine="709"/>
        <w:jc w:val="right"/>
        <w:rPr>
          <w:rFonts w:asciiTheme="majorHAnsi" w:hAnsiTheme="majorHAnsi" w:cstheme="majorHAnsi"/>
          <w:b w:val="0"/>
          <w:bCs w:val="0"/>
          <w:sz w:val="20"/>
          <w:szCs w:val="20"/>
          <w:shd w:val="clear" w:color="auto" w:fill="FFFFFF"/>
        </w:rPr>
      </w:pPr>
      <w:r w:rsidRPr="008376FC">
        <w:rPr>
          <w:rFonts w:asciiTheme="majorHAnsi" w:hAnsiTheme="majorHAnsi" w:cstheme="majorHAnsi"/>
          <w:sz w:val="20"/>
          <w:szCs w:val="20"/>
          <w:shd w:val="clear" w:color="auto" w:fill="FFFFFF"/>
        </w:rPr>
        <w:t>Figura nr.3</w:t>
      </w:r>
      <w:r w:rsidR="000A543D" w:rsidRPr="008376FC">
        <w:rPr>
          <w:rFonts w:asciiTheme="majorHAnsi" w:hAnsiTheme="majorHAnsi" w:cstheme="majorHAnsi"/>
          <w:sz w:val="20"/>
          <w:szCs w:val="20"/>
          <w:shd w:val="clear" w:color="auto" w:fill="FFFFFF"/>
        </w:rPr>
        <w:t>2</w:t>
      </w:r>
    </w:p>
    <w:p w:rsidR="00E76430" w:rsidRPr="00A30A37" w:rsidRDefault="00E76430" w:rsidP="00F61756">
      <w:pPr>
        <w:spacing w:after="0" w:line="276" w:lineRule="auto"/>
        <w:jc w:val="both"/>
        <w:rPr>
          <w:rFonts w:asciiTheme="majorHAnsi" w:hAnsiTheme="majorHAnsi" w:cstheme="majorHAnsi"/>
          <w:b w:val="0"/>
          <w:i/>
          <w:sz w:val="20"/>
          <w:szCs w:val="20"/>
          <w:shd w:val="clear" w:color="auto" w:fill="FFFFFF"/>
        </w:rPr>
      </w:pPr>
      <w:r w:rsidRPr="008376FC">
        <w:rPr>
          <w:rFonts w:asciiTheme="majorHAnsi" w:hAnsiTheme="majorHAnsi" w:cstheme="majorHAnsi"/>
          <w:noProof/>
          <w:sz w:val="24"/>
          <w:szCs w:val="24"/>
          <w:shd w:val="clear" w:color="auto" w:fill="FFFFFF"/>
          <w:lang w:val="ru-RU" w:eastAsia="ru-RU"/>
        </w:rPr>
        <w:drawing>
          <wp:inline distT="0" distB="0" distL="0" distR="0">
            <wp:extent cx="6200775" cy="1242647"/>
            <wp:effectExtent l="0" t="0" r="9525" b="152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r w:rsidRPr="008376FC">
        <w:rPr>
          <w:rFonts w:asciiTheme="majorHAnsi" w:hAnsiTheme="majorHAnsi" w:cstheme="majorHAnsi"/>
          <w:sz w:val="24"/>
          <w:szCs w:val="24"/>
          <w:shd w:val="clear" w:color="auto" w:fill="FFFFFF"/>
        </w:rPr>
        <w:t xml:space="preserve"> </w:t>
      </w:r>
      <w:r w:rsidRPr="00A30A37">
        <w:rPr>
          <w:rFonts w:asciiTheme="majorHAnsi" w:hAnsiTheme="majorHAnsi" w:cstheme="majorHAnsi"/>
          <w:i/>
          <w:sz w:val="20"/>
          <w:szCs w:val="20"/>
          <w:shd w:val="clear" w:color="auto" w:fill="FFFFFF"/>
        </w:rPr>
        <w:t xml:space="preserve">Sursa: </w:t>
      </w:r>
      <w:r w:rsidR="00364E0F" w:rsidRPr="00A30A37">
        <w:rPr>
          <w:rFonts w:asciiTheme="majorHAnsi" w:hAnsiTheme="majorHAnsi" w:cstheme="majorHAnsi"/>
          <w:b w:val="0"/>
          <w:i/>
          <w:sz w:val="20"/>
          <w:szCs w:val="20"/>
          <w:shd w:val="clear" w:color="auto" w:fill="FFFFFF"/>
        </w:rPr>
        <w:t>D</w:t>
      </w:r>
      <w:r w:rsidRPr="00A30A37">
        <w:rPr>
          <w:rFonts w:asciiTheme="majorHAnsi" w:hAnsiTheme="majorHAnsi" w:cstheme="majorHAnsi"/>
          <w:b w:val="0"/>
          <w:i/>
          <w:sz w:val="20"/>
          <w:szCs w:val="20"/>
          <w:shd w:val="clear" w:color="auto" w:fill="FFFFFF"/>
        </w:rPr>
        <w:t>ate</w:t>
      </w:r>
      <w:r w:rsidR="00996FEC">
        <w:rPr>
          <w:rFonts w:asciiTheme="majorHAnsi" w:hAnsiTheme="majorHAnsi" w:cstheme="majorHAnsi"/>
          <w:b w:val="0"/>
          <w:i/>
          <w:sz w:val="20"/>
          <w:szCs w:val="20"/>
          <w:shd w:val="clear" w:color="auto" w:fill="FFFFFF"/>
        </w:rPr>
        <w:t xml:space="preserve"> oferite de</w:t>
      </w:r>
      <w:r w:rsidRPr="00A30A37">
        <w:rPr>
          <w:rFonts w:asciiTheme="majorHAnsi" w:hAnsiTheme="majorHAnsi" w:cstheme="majorHAnsi"/>
          <w:b w:val="0"/>
          <w:i/>
          <w:sz w:val="20"/>
          <w:szCs w:val="20"/>
          <w:shd w:val="clear" w:color="auto" w:fill="FFFFFF"/>
        </w:rPr>
        <w:t xml:space="preserve"> Ministeruli Finanţelor.</w:t>
      </w:r>
    </w:p>
    <w:p w:rsidR="00364E0F" w:rsidRPr="008376FC" w:rsidRDefault="00364E0F" w:rsidP="00F61756">
      <w:pPr>
        <w:spacing w:after="0" w:line="276" w:lineRule="auto"/>
        <w:ind w:firstLine="709"/>
        <w:jc w:val="both"/>
        <w:rPr>
          <w:rFonts w:asciiTheme="majorHAnsi" w:hAnsiTheme="majorHAnsi" w:cstheme="majorHAnsi"/>
          <w:bCs w:val="0"/>
          <w:sz w:val="20"/>
          <w:szCs w:val="20"/>
          <w:shd w:val="clear" w:color="auto" w:fill="FFFFFF"/>
        </w:rPr>
      </w:pP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 xml:space="preserve">Totodată, conform Raportului de progres al PIEF pentru anul 2022, la finele anului 2022 suma nevalorificată a creditului a constituit 11,3 mil. </w:t>
      </w:r>
      <w:r w:rsidR="00996FEC">
        <w:rPr>
          <w:rFonts w:asciiTheme="majorHAnsi" w:hAnsiTheme="majorHAnsi" w:cstheme="majorHAnsi"/>
          <w:b w:val="0"/>
          <w:bCs w:val="0"/>
          <w:sz w:val="24"/>
          <w:szCs w:val="24"/>
          <w:shd w:val="clear" w:color="auto" w:fill="FFFFFF"/>
        </w:rPr>
        <w:t>euro</w:t>
      </w:r>
      <w:r w:rsidRPr="008376FC">
        <w:rPr>
          <w:rFonts w:asciiTheme="majorHAnsi" w:hAnsiTheme="majorHAnsi" w:cstheme="majorHAnsi"/>
          <w:b w:val="0"/>
          <w:bCs w:val="0"/>
          <w:sz w:val="24"/>
          <w:szCs w:val="24"/>
          <w:shd w:val="clear" w:color="auto" w:fill="FFFFFF"/>
        </w:rPr>
        <w:t xml:space="preserve">, iar a angajamentelor neexecutate – 8,8 mil. </w:t>
      </w:r>
      <w:r w:rsidR="00996FEC">
        <w:rPr>
          <w:rFonts w:asciiTheme="majorHAnsi" w:hAnsiTheme="majorHAnsi" w:cstheme="majorHAnsi"/>
          <w:b w:val="0"/>
          <w:bCs w:val="0"/>
          <w:sz w:val="24"/>
          <w:szCs w:val="24"/>
          <w:shd w:val="clear" w:color="auto" w:fill="FFFFFF"/>
        </w:rPr>
        <w:t>euro</w:t>
      </w:r>
      <w:r w:rsidRPr="008376FC">
        <w:rPr>
          <w:rFonts w:asciiTheme="majorHAnsi" w:hAnsiTheme="majorHAnsi" w:cstheme="majorHAnsi"/>
          <w:b w:val="0"/>
          <w:bCs w:val="0"/>
          <w:sz w:val="24"/>
          <w:szCs w:val="24"/>
          <w:shd w:val="clear" w:color="auto" w:fill="FFFFFF"/>
        </w:rPr>
        <w:t xml:space="preserve">. Valorificarea bugetului PIEF în dinamică se prezintă în figura </w:t>
      </w:r>
      <w:r w:rsidR="00A30A37">
        <w:rPr>
          <w:rFonts w:asciiTheme="majorHAnsi" w:hAnsiTheme="majorHAnsi" w:cstheme="majorHAnsi"/>
          <w:b w:val="0"/>
          <w:bCs w:val="0"/>
          <w:sz w:val="24"/>
          <w:szCs w:val="24"/>
          <w:shd w:val="clear" w:color="auto" w:fill="FFFFFF"/>
        </w:rPr>
        <w:t>de jos.</w:t>
      </w:r>
    </w:p>
    <w:p w:rsidR="00E76430" w:rsidRPr="008376FC" w:rsidRDefault="00ED2CE9" w:rsidP="00F61756">
      <w:pPr>
        <w:spacing w:after="0" w:line="276" w:lineRule="auto"/>
        <w:ind w:firstLine="709"/>
        <w:jc w:val="right"/>
        <w:rPr>
          <w:rFonts w:asciiTheme="majorHAnsi" w:hAnsiTheme="majorHAnsi" w:cstheme="majorHAnsi"/>
          <w:b w:val="0"/>
          <w:bCs w:val="0"/>
          <w:sz w:val="20"/>
          <w:szCs w:val="20"/>
          <w:shd w:val="clear" w:color="auto" w:fill="FFFFFF"/>
        </w:rPr>
      </w:pPr>
      <w:r w:rsidRPr="008376FC">
        <w:rPr>
          <w:rFonts w:asciiTheme="majorHAnsi" w:hAnsiTheme="majorHAnsi" w:cstheme="majorHAnsi"/>
          <w:sz w:val="20"/>
          <w:szCs w:val="20"/>
          <w:shd w:val="clear" w:color="auto" w:fill="FFFFFF"/>
        </w:rPr>
        <w:t>Figura nr.3</w:t>
      </w:r>
      <w:r w:rsidR="000A543D" w:rsidRPr="008376FC">
        <w:rPr>
          <w:rFonts w:asciiTheme="majorHAnsi" w:hAnsiTheme="majorHAnsi" w:cstheme="majorHAnsi"/>
          <w:sz w:val="20"/>
          <w:szCs w:val="20"/>
          <w:shd w:val="clear" w:color="auto" w:fill="FFFFFF"/>
        </w:rPr>
        <w:t>3</w:t>
      </w:r>
    </w:p>
    <w:p w:rsidR="00E76430" w:rsidRPr="008376FC" w:rsidRDefault="00E76430" w:rsidP="00F61756">
      <w:pPr>
        <w:spacing w:after="0" w:line="276" w:lineRule="auto"/>
        <w:jc w:val="both"/>
        <w:rPr>
          <w:rFonts w:asciiTheme="majorHAnsi" w:hAnsiTheme="majorHAnsi" w:cstheme="majorHAnsi"/>
          <w:bCs w:val="0"/>
          <w:sz w:val="24"/>
          <w:szCs w:val="24"/>
          <w:shd w:val="clear" w:color="auto" w:fill="FFFFFF"/>
        </w:rPr>
      </w:pPr>
    </w:p>
    <w:p w:rsidR="00E76430" w:rsidRPr="008376FC" w:rsidRDefault="00E76430" w:rsidP="00F61756">
      <w:pPr>
        <w:spacing w:after="0" w:line="276" w:lineRule="auto"/>
        <w:jc w:val="both"/>
        <w:rPr>
          <w:rFonts w:asciiTheme="majorHAnsi" w:hAnsiTheme="majorHAnsi" w:cstheme="majorHAnsi"/>
          <w:bCs w:val="0"/>
          <w:sz w:val="24"/>
          <w:szCs w:val="24"/>
          <w:shd w:val="clear" w:color="auto" w:fill="FFFFFF"/>
        </w:rPr>
      </w:pPr>
      <w:r w:rsidRPr="008376FC">
        <w:rPr>
          <w:rFonts w:asciiTheme="majorHAnsi" w:hAnsiTheme="majorHAnsi" w:cstheme="majorHAnsi"/>
          <w:bCs w:val="0"/>
          <w:noProof/>
          <w:sz w:val="24"/>
          <w:szCs w:val="24"/>
          <w:shd w:val="clear" w:color="auto" w:fill="FFFFFF"/>
          <w:lang w:val="ru-RU" w:eastAsia="ru-RU"/>
        </w:rPr>
        <w:drawing>
          <wp:inline distT="0" distB="0" distL="0" distR="0">
            <wp:extent cx="6200775" cy="1869831"/>
            <wp:effectExtent l="0" t="0" r="9525" b="165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76430" w:rsidRPr="002317B0" w:rsidRDefault="00E76430" w:rsidP="00F61756">
      <w:pPr>
        <w:spacing w:after="0" w:line="276" w:lineRule="auto"/>
        <w:ind w:firstLine="709"/>
        <w:jc w:val="both"/>
        <w:rPr>
          <w:rFonts w:asciiTheme="majorHAnsi" w:hAnsiTheme="majorHAnsi" w:cstheme="majorHAnsi"/>
          <w:b w:val="0"/>
          <w:i/>
          <w:sz w:val="20"/>
          <w:szCs w:val="20"/>
          <w:shd w:val="clear" w:color="auto" w:fill="FFFFFF"/>
        </w:rPr>
      </w:pPr>
      <w:r w:rsidRPr="002317B0">
        <w:rPr>
          <w:rFonts w:asciiTheme="majorHAnsi" w:hAnsiTheme="majorHAnsi" w:cstheme="majorHAnsi"/>
          <w:i/>
          <w:sz w:val="20"/>
          <w:szCs w:val="20"/>
          <w:shd w:val="clear" w:color="auto" w:fill="FFFFFF"/>
        </w:rPr>
        <w:t xml:space="preserve">Sursa: </w:t>
      </w:r>
      <w:r w:rsidRPr="002317B0">
        <w:rPr>
          <w:rFonts w:asciiTheme="majorHAnsi" w:hAnsiTheme="majorHAnsi" w:cstheme="majorHAnsi"/>
          <w:b w:val="0"/>
          <w:i/>
          <w:sz w:val="20"/>
          <w:szCs w:val="20"/>
          <w:shd w:val="clear" w:color="auto" w:fill="FFFFFF"/>
        </w:rPr>
        <w:t>Raportul de progres al PIEF pentru anul 2022.</w:t>
      </w:r>
    </w:p>
    <w:p w:rsidR="00E76430" w:rsidRPr="008376FC" w:rsidRDefault="00E76430" w:rsidP="00F61756">
      <w:pPr>
        <w:pStyle w:val="a3"/>
        <w:numPr>
          <w:ilvl w:val="0"/>
          <w:numId w:val="14"/>
        </w:numPr>
        <w:spacing w:before="120" w:line="276" w:lineRule="auto"/>
        <w:jc w:val="both"/>
        <w:rPr>
          <w:rFonts w:asciiTheme="majorHAnsi" w:hAnsiTheme="majorHAnsi" w:cstheme="majorHAnsi"/>
          <w:b/>
          <w:shd w:val="clear" w:color="auto" w:fill="FFFFFF"/>
          <w:lang w:val="en-US"/>
        </w:rPr>
      </w:pPr>
      <w:r w:rsidRPr="008376FC">
        <w:rPr>
          <w:rFonts w:asciiTheme="majorHAnsi" w:hAnsiTheme="majorHAnsi" w:cstheme="majorHAnsi"/>
          <w:b/>
          <w:shd w:val="clear" w:color="auto" w:fill="FFFFFF"/>
          <w:lang w:val="en-US"/>
        </w:rPr>
        <w:t>Delimitarea terenurilor aferente OITE este deficitară și nereglementată suficient</w:t>
      </w:r>
      <w:r w:rsidR="00996FEC">
        <w:rPr>
          <w:rFonts w:asciiTheme="majorHAnsi" w:hAnsiTheme="majorHAnsi" w:cstheme="majorHAnsi"/>
          <w:b/>
          <w:shd w:val="clear" w:color="auto" w:fill="FFFFFF"/>
          <w:lang w:val="en-US"/>
        </w:rPr>
        <w:t>.</w:t>
      </w:r>
    </w:p>
    <w:p w:rsidR="00E76430" w:rsidRPr="008376FC" w:rsidRDefault="00E76430" w:rsidP="00F61756">
      <w:pPr>
        <w:spacing w:before="120" w:line="276" w:lineRule="auto"/>
        <w:jc w:val="both"/>
        <w:rPr>
          <w:rFonts w:asciiTheme="majorHAnsi" w:hAnsiTheme="majorHAnsi" w:cstheme="majorHAnsi"/>
          <w:shd w:val="clear" w:color="auto" w:fill="FFFFFF"/>
          <w:lang w:val="en-US"/>
        </w:rPr>
      </w:pPr>
      <w:r w:rsidRPr="008376FC">
        <w:rPr>
          <w:rFonts w:asciiTheme="majorHAnsi" w:hAnsiTheme="majorHAnsi" w:cstheme="majorHAnsi"/>
          <w:shd w:val="clear" w:color="auto" w:fill="FFFFFF"/>
          <w:lang w:val="en-US"/>
        </w:rPr>
        <w:t>În contextul prevederilor Codului funciar</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 xml:space="preserve">Conform art. 2 din Codul funciar,  Fondul funciar include următoarele categorii de terenuri: (i) cu destinaţie agricolă, (ii) din intravilanul localităţilor, (iii) destinate industriei, transporturilor, telecomunicaţiilor şi cu alte destinaţii speciale, (iv) destinate ocrotirii naturii, ocrotirii sănătăţii, activităţii recreative, terenurile de valoare istorico-culturală, terenurile zonelor suburbane şi ale zonelor verzi, (v) ale fondului silvic, (vi)  ale fondului apelor, (vii) ale fondului de rezervă. </w:t>
      </w:r>
    </w:p>
    <w:p w:rsidR="00E76430" w:rsidRPr="008376FC" w:rsidRDefault="00E76430" w:rsidP="00F61756">
      <w:pPr>
        <w:pStyle w:val="a3"/>
        <w:spacing w:before="120" w:line="276" w:lineRule="auto"/>
        <w:ind w:left="0"/>
        <w:contextualSpacing w:val="0"/>
        <w:jc w:val="both"/>
        <w:rPr>
          <w:rFonts w:asciiTheme="majorHAnsi" w:hAnsiTheme="majorHAnsi" w:cstheme="majorHAnsi"/>
          <w:shd w:val="clear" w:color="auto" w:fill="FFFFFF"/>
          <w:lang w:val="en-US"/>
        </w:rPr>
      </w:pPr>
      <w:r w:rsidRPr="008376FC">
        <w:rPr>
          <w:rFonts w:asciiTheme="majorHAnsi" w:hAnsiTheme="majorHAnsi" w:cstheme="majorHAnsi"/>
          <w:shd w:val="clear" w:color="auto" w:fill="FFFFFF"/>
          <w:lang w:val="en-US"/>
        </w:rPr>
        <w:t xml:space="preserve">În anul 2021, </w:t>
      </w:r>
      <w:r w:rsidR="000573CB">
        <w:rPr>
          <w:rFonts w:asciiTheme="majorHAnsi" w:hAnsiTheme="majorHAnsi" w:cstheme="majorHAnsi"/>
          <w:shd w:val="clear" w:color="auto" w:fill="FFFFFF"/>
          <w:lang w:val="en-US"/>
        </w:rPr>
        <w:t>pe</w:t>
      </w:r>
      <w:r w:rsidRPr="008376FC">
        <w:rPr>
          <w:rFonts w:asciiTheme="majorHAnsi" w:hAnsiTheme="majorHAnsi" w:cstheme="majorHAnsi"/>
          <w:shd w:val="clear" w:color="auto" w:fill="FFFFFF"/>
          <w:lang w:val="en-US"/>
        </w:rPr>
        <w:t xml:space="preserve">ntru asigurarea aplicării uniforme a prevederilor legislației cadastrale şi corectitudinii întocmirii materialelor de delimitare a proprietății publice şi a documentației cadastrale (completării informației atributive a obiectului informațional cu date privind categoria de destinație şi folosință a terenurilor), ARFC a aprobat </w:t>
      </w:r>
      <w:r w:rsidR="000573CB">
        <w:rPr>
          <w:rFonts w:asciiTheme="majorHAnsi" w:hAnsiTheme="majorHAnsi" w:cstheme="majorHAnsi"/>
          <w:shd w:val="clear" w:color="auto" w:fill="FFFFFF"/>
          <w:lang w:val="en-US"/>
        </w:rPr>
        <w:t>O</w:t>
      </w:r>
      <w:r w:rsidRPr="008376FC">
        <w:rPr>
          <w:rFonts w:asciiTheme="majorHAnsi" w:hAnsiTheme="majorHAnsi" w:cstheme="majorHAnsi"/>
          <w:shd w:val="clear" w:color="auto" w:fill="FFFFFF"/>
          <w:lang w:val="en-US"/>
        </w:rPr>
        <w:t xml:space="preserve">rdinul </w:t>
      </w:r>
      <w:r w:rsidR="000573CB" w:rsidRPr="008376FC">
        <w:rPr>
          <w:rFonts w:asciiTheme="majorHAnsi" w:hAnsiTheme="majorHAnsi" w:cstheme="majorHAnsi"/>
          <w:shd w:val="clear" w:color="auto" w:fill="FFFFFF"/>
          <w:lang w:val="en-US"/>
        </w:rPr>
        <w:t>nr.17/2021</w:t>
      </w:r>
      <w:r w:rsidR="000573CB">
        <w:rPr>
          <w:rFonts w:asciiTheme="majorHAnsi" w:hAnsiTheme="majorHAnsi" w:cstheme="majorHAnsi"/>
          <w:shd w:val="clear" w:color="auto" w:fill="FFFFFF"/>
          <w:lang w:val="en-US"/>
        </w:rPr>
        <w:t xml:space="preserve"> „C</w:t>
      </w:r>
      <w:r w:rsidRPr="008376FC">
        <w:rPr>
          <w:rFonts w:asciiTheme="majorHAnsi" w:hAnsiTheme="majorHAnsi" w:cstheme="majorHAnsi"/>
          <w:shd w:val="clear" w:color="auto" w:fill="FFFFFF"/>
          <w:lang w:val="en-US"/>
        </w:rPr>
        <w:t>u privire la aprobarea clasificatorului terenurilor după categorii de destinație și folosință</w:t>
      </w:r>
      <w:r w:rsidR="000573CB">
        <w:rPr>
          <w:rFonts w:asciiTheme="majorHAnsi" w:hAnsiTheme="majorHAnsi" w:cstheme="majorHAnsi"/>
          <w:shd w:val="clear" w:color="auto" w:fill="FFFFFF"/>
          <w:lang w:val="en-US"/>
        </w:rPr>
        <w:t>”</w:t>
      </w:r>
      <w:r w:rsidRPr="008376FC">
        <w:rPr>
          <w:rFonts w:asciiTheme="majorHAnsi" w:hAnsiTheme="majorHAnsi" w:cstheme="majorHAnsi"/>
          <w:shd w:val="clear" w:color="auto" w:fill="FFFFFF"/>
          <w:lang w:val="en-US"/>
        </w:rPr>
        <w:t xml:space="preserve">. </w:t>
      </w:r>
    </w:p>
    <w:p w:rsidR="00E76430" w:rsidRPr="008376FC" w:rsidRDefault="00E76430" w:rsidP="00F61756">
      <w:pPr>
        <w:pStyle w:val="a3"/>
        <w:spacing w:before="120" w:line="276" w:lineRule="auto"/>
        <w:ind w:left="0"/>
        <w:contextualSpacing w:val="0"/>
        <w:jc w:val="both"/>
        <w:rPr>
          <w:rFonts w:asciiTheme="majorHAnsi" w:hAnsiTheme="majorHAnsi" w:cstheme="majorHAnsi"/>
          <w:shd w:val="clear" w:color="auto" w:fill="FFFFFF"/>
          <w:lang w:val="en-US"/>
        </w:rPr>
      </w:pPr>
      <w:r w:rsidRPr="008376FC">
        <w:rPr>
          <w:rFonts w:asciiTheme="majorHAnsi" w:hAnsiTheme="majorHAnsi" w:cstheme="majorHAnsi"/>
          <w:shd w:val="clear" w:color="auto" w:fill="FFFFFF"/>
          <w:lang w:val="en-US"/>
        </w:rPr>
        <w:t xml:space="preserve">Conform acestui Ordin, OITE se regăsesc în 2 categorii de destinație a terenurilor, </w:t>
      </w:r>
      <w:r w:rsidRPr="008376FC">
        <w:rPr>
          <w:rFonts w:asciiTheme="majorHAnsi" w:hAnsiTheme="majorHAnsi" w:cstheme="majorHAnsi"/>
          <w:i/>
          <w:iCs/>
          <w:shd w:val="clear" w:color="auto" w:fill="FFFFFF"/>
          <w:lang w:val="en-US"/>
        </w:rPr>
        <w:t>categoria 2 - Terenuri din intravilanul localităţilor</w:t>
      </w:r>
      <w:r w:rsidRPr="008376FC">
        <w:rPr>
          <w:rFonts w:asciiTheme="majorHAnsi" w:hAnsiTheme="majorHAnsi" w:cstheme="majorHAnsi"/>
          <w:shd w:val="clear" w:color="auto" w:fill="FFFFFF"/>
          <w:lang w:val="en-US"/>
        </w:rPr>
        <w:t xml:space="preserve">, și </w:t>
      </w:r>
      <w:r w:rsidRPr="008376FC">
        <w:rPr>
          <w:rFonts w:asciiTheme="majorHAnsi" w:hAnsiTheme="majorHAnsi" w:cstheme="majorHAnsi"/>
          <w:i/>
          <w:iCs/>
          <w:shd w:val="clear" w:color="auto" w:fill="FFFFFF"/>
          <w:lang w:val="en-US"/>
        </w:rPr>
        <w:t>categoria 3 - Terenuri destinate industriei, transporturilor telecomunicaţiilor şi cu alte destinaţii speciale</w:t>
      </w:r>
      <w:r w:rsidRPr="008376FC">
        <w:rPr>
          <w:rFonts w:asciiTheme="majorHAnsi" w:hAnsiTheme="majorHAnsi" w:cstheme="majorHAnsi"/>
          <w:shd w:val="clear" w:color="auto" w:fill="FFFFFF"/>
          <w:lang w:val="en-US"/>
        </w:rPr>
        <w:t xml:space="preserve">. Conform acestui clasificator, stațiile de alimentare cu apă potabilă şi industrială, canalizare şi epurare a apelor uzate menajere şi pluviale, stațiile de pompare a apelor, fântânile arteziene etc., fac parte din categoria 2 - Terenuri din intravilanul localităţilor, iar modul de folosință a terenurilor este – </w:t>
      </w:r>
      <w:r w:rsidRPr="008376FC">
        <w:rPr>
          <w:rFonts w:asciiTheme="majorHAnsi" w:hAnsiTheme="majorHAnsi" w:cstheme="majorHAnsi"/>
          <w:i/>
          <w:iCs/>
          <w:shd w:val="clear" w:color="auto" w:fill="FFFFFF"/>
          <w:lang w:val="en-US"/>
        </w:rPr>
        <w:t>teren aferent obiectivelor gospodăriei comunale</w:t>
      </w:r>
      <w:r w:rsidRPr="008376FC">
        <w:rPr>
          <w:rFonts w:asciiTheme="majorHAnsi" w:hAnsiTheme="majorHAnsi" w:cstheme="majorHAnsi"/>
          <w:shd w:val="clear" w:color="auto" w:fill="FFFFFF"/>
          <w:lang w:val="en-US"/>
        </w:rPr>
        <w:t xml:space="preserve"> (pct.2.2). Terenuril</w:t>
      </w:r>
      <w:r w:rsidR="009B27B6">
        <w:rPr>
          <w:rFonts w:asciiTheme="majorHAnsi" w:hAnsiTheme="majorHAnsi" w:cstheme="majorHAnsi"/>
          <w:shd w:val="clear" w:color="auto" w:fill="FFFFFF"/>
          <w:lang w:val="en-US"/>
        </w:rPr>
        <w:t>e</w:t>
      </w:r>
      <w:r w:rsidRPr="008376FC">
        <w:rPr>
          <w:rFonts w:asciiTheme="majorHAnsi" w:hAnsiTheme="majorHAnsi" w:cstheme="majorHAnsi"/>
          <w:shd w:val="clear" w:color="auto" w:fill="FFFFFF"/>
          <w:lang w:val="en-US"/>
        </w:rPr>
        <w:t xml:space="preserve"> destinate industriei, transporturilor</w:t>
      </w:r>
      <w:r w:rsidR="009B27B6">
        <w:rPr>
          <w:rFonts w:asciiTheme="majorHAnsi" w:hAnsiTheme="majorHAnsi" w:cstheme="majorHAnsi"/>
          <w:shd w:val="clear" w:color="auto" w:fill="FFFFFF"/>
          <w:lang w:val="en-US"/>
        </w:rPr>
        <w:t>,</w:t>
      </w:r>
      <w:r w:rsidRPr="008376FC">
        <w:rPr>
          <w:rFonts w:asciiTheme="majorHAnsi" w:hAnsiTheme="majorHAnsi" w:cstheme="majorHAnsi"/>
          <w:shd w:val="clear" w:color="auto" w:fill="FFFFFF"/>
          <w:lang w:val="en-US"/>
        </w:rPr>
        <w:t xml:space="preserve"> telecomunicaţiilor şi cu alte destinaţii speciale includ 11 tipuri de folosință a terenurilor: (i) aferent drumurilor publice din extravilan, (ii) aferent obiectivelor  transportului  feroviar, (iii) aferent obiectivelor transportului aerian, (iv) aferent obiectivelor transportului naval, (v) aferent obiectivelor transportului prin conducte, (vi) aferent obiectivelor reţelelor electrice, (vii) aferent obiectivelor comunicaţiilor electronice, (viii) aferent obiectivelor cu destinaţie special</w:t>
      </w:r>
      <w:r w:rsidRPr="008376FC">
        <w:rPr>
          <w:rFonts w:asciiTheme="majorHAnsi" w:hAnsiTheme="majorHAnsi" w:cstheme="majorHAnsi"/>
          <w:shd w:val="clear" w:color="auto" w:fill="FFFFFF"/>
          <w:lang w:val="ro-RO"/>
        </w:rPr>
        <w:t>ă</w:t>
      </w:r>
      <w:r w:rsidRPr="008376FC">
        <w:rPr>
          <w:rFonts w:asciiTheme="majorHAnsi" w:hAnsiTheme="majorHAnsi" w:cstheme="majorHAnsi"/>
          <w:shd w:val="clear" w:color="auto" w:fill="FFFFFF"/>
          <w:lang w:val="en-US"/>
        </w:rPr>
        <w:t xml:space="preserve">, (ix) pentru amplasarea şi exploatarea obiectivelor industriale, (x) pentru exploatări miniere, (xi) aferent obiectivelor de prestări servicii rutiere, inclusiv comunicații inginereşti. În </w:t>
      </w:r>
      <w:r w:rsidR="00424818" w:rsidRPr="008376FC">
        <w:rPr>
          <w:rFonts w:asciiTheme="majorHAnsi" w:hAnsiTheme="majorHAnsi" w:cstheme="majorHAnsi"/>
          <w:shd w:val="clear" w:color="auto" w:fill="FFFFFF"/>
          <w:lang w:val="en-US"/>
        </w:rPr>
        <w:t xml:space="preserve">Anexa nr. </w:t>
      </w:r>
      <w:r w:rsidR="00DF15BE" w:rsidRPr="008376FC">
        <w:rPr>
          <w:rFonts w:asciiTheme="majorHAnsi" w:hAnsiTheme="majorHAnsi" w:cstheme="majorHAnsi"/>
          <w:shd w:val="clear" w:color="auto" w:fill="FFFFFF"/>
          <w:lang w:val="en-US"/>
        </w:rPr>
        <w:t>10</w:t>
      </w:r>
      <w:r w:rsidR="00424818" w:rsidRPr="008376FC">
        <w:rPr>
          <w:rFonts w:asciiTheme="majorHAnsi" w:hAnsiTheme="majorHAnsi" w:cstheme="majorHAnsi"/>
          <w:shd w:val="clear" w:color="auto" w:fill="FFFFFF"/>
          <w:lang w:val="en-US"/>
        </w:rPr>
        <w:t xml:space="preserve"> l</w:t>
      </w:r>
      <w:r w:rsidR="00270D85" w:rsidRPr="008376FC">
        <w:rPr>
          <w:rFonts w:asciiTheme="majorHAnsi" w:hAnsiTheme="majorHAnsi" w:cstheme="majorHAnsi"/>
          <w:shd w:val="clear" w:color="auto" w:fill="FFFFFF"/>
          <w:lang w:val="en-US"/>
        </w:rPr>
        <w:t>a</w:t>
      </w:r>
      <w:r w:rsidR="00424818" w:rsidRPr="008376FC">
        <w:rPr>
          <w:rFonts w:asciiTheme="majorHAnsi" w:hAnsiTheme="majorHAnsi" w:cstheme="majorHAnsi"/>
          <w:shd w:val="clear" w:color="auto" w:fill="FFFFFF"/>
          <w:lang w:val="en-US"/>
        </w:rPr>
        <w:t xml:space="preserve"> prezentul Raport </w:t>
      </w:r>
      <w:r w:rsidRPr="008376FC">
        <w:rPr>
          <w:rFonts w:asciiTheme="majorHAnsi" w:hAnsiTheme="majorHAnsi" w:cstheme="majorHAnsi"/>
          <w:shd w:val="clear" w:color="auto" w:fill="FFFFFF"/>
          <w:lang w:val="en-US"/>
        </w:rPr>
        <w:t xml:space="preserve">se prezintă tipurile de </w:t>
      </w:r>
      <w:r w:rsidR="00424818" w:rsidRPr="008376FC">
        <w:rPr>
          <w:rFonts w:asciiTheme="majorHAnsi" w:hAnsiTheme="majorHAnsi" w:cstheme="majorHAnsi"/>
          <w:shd w:val="clear" w:color="auto" w:fill="FFFFFF"/>
          <w:lang w:val="en-US"/>
        </w:rPr>
        <w:t xml:space="preserve">OITE </w:t>
      </w:r>
      <w:r w:rsidRPr="008376FC">
        <w:rPr>
          <w:rFonts w:asciiTheme="majorHAnsi" w:hAnsiTheme="majorHAnsi" w:cstheme="majorHAnsi"/>
          <w:shd w:val="clear" w:color="auto" w:fill="FFFFFF"/>
          <w:lang w:val="en-US"/>
        </w:rPr>
        <w:t xml:space="preserve">aferente fiecărui tip de folosință. </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Conform Codului funciar, obiecte ale relațiilor funciare sunt sectoarele de teren, cotele de teren şi drepturile asupra lor. Sectoarele de teren se caracterizează prin suprafață, amplasament, hotare, au statut juridic şi alte caracteristici, specificate în documentația înregistrării de stat a dreptului asupra pământului. Sectoarele de teren şi obiectele aferente acestora (solul, bazinele de apă închise, pădurile, plantațiile multianuale, clădirile, construcțiile, edificiile etc.), strămutarea cărora este imposibilă fără a cauza pierderi directe destinației lor, constituie bunuri imobile.</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Sectoarele de teren pot fi divizibile şi indivizibile. Se consideră divizibile sectoarele de teren care pot fi împărţite în porţiuni fără a le schimba destinaţia, fără a încălca normele antiincendiare, sanitare, ecologice, agrotehnice şi urbanistice, fiecare porţiune form</w:t>
      </w:r>
      <w:r w:rsidR="00BD0F78">
        <w:rPr>
          <w:rFonts w:asciiTheme="majorHAnsi" w:hAnsiTheme="majorHAnsi" w:cstheme="majorHAnsi"/>
          <w:b w:val="0"/>
          <w:bCs w:val="0"/>
          <w:sz w:val="24"/>
          <w:szCs w:val="24"/>
          <w:shd w:val="clear" w:color="auto" w:fill="FFFFFF"/>
        </w:rPr>
        <w:t>â</w:t>
      </w:r>
      <w:r w:rsidRPr="008376FC">
        <w:rPr>
          <w:rFonts w:asciiTheme="majorHAnsi" w:hAnsiTheme="majorHAnsi" w:cstheme="majorHAnsi"/>
          <w:b w:val="0"/>
          <w:bCs w:val="0"/>
          <w:sz w:val="24"/>
          <w:szCs w:val="24"/>
          <w:shd w:val="clear" w:color="auto" w:fill="FFFFFF"/>
        </w:rPr>
        <w:t>nd după divizare un teren de sine stătător. În cazurile prevăzute de lege</w:t>
      </w:r>
      <w:r w:rsidR="00BD0F78">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 sectorul de teren poate fi considerat indivizibil. Cotele de teren ale sectorului de teren aflat în folosinţă comună de asemenea constituie obiecte ale relaţiilor funciare. Cotele de teren au expresie cantitativă şi descriere, cuprinzând indicaţii privind destinaţia şi categoria de folosință. Cotele de teren în natură nu se delimitează. </w:t>
      </w:r>
    </w:p>
    <w:p w:rsidR="00E76430" w:rsidRPr="008376FC" w:rsidRDefault="00E76430" w:rsidP="00F61756">
      <w:pPr>
        <w:pStyle w:val="a3"/>
        <w:numPr>
          <w:ilvl w:val="0"/>
          <w:numId w:val="14"/>
        </w:numPr>
        <w:spacing w:line="276" w:lineRule="auto"/>
        <w:jc w:val="both"/>
        <w:rPr>
          <w:rFonts w:asciiTheme="majorHAnsi" w:hAnsiTheme="majorHAnsi" w:cstheme="majorHAnsi"/>
          <w:b/>
          <w:shd w:val="clear" w:color="auto" w:fill="FFFFFF"/>
        </w:rPr>
      </w:pPr>
      <w:r w:rsidRPr="008376FC">
        <w:rPr>
          <w:rFonts w:asciiTheme="majorHAnsi" w:hAnsiTheme="majorHAnsi" w:cstheme="majorHAnsi"/>
          <w:b/>
          <w:shd w:val="clear" w:color="auto" w:fill="FFFFFF"/>
        </w:rPr>
        <w:t>În contextul creării ROITE</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În contextul prevederilor Codului funciar, delimitarea terenurilor aferente OITE este deficitară prin prisma faptului că rețelele care fac parte din OITE intersectează mai multe terenuri cu diferite tipuri de destinație și mod de folosință, iar delimitarea lor ar presupune divizarea loturilor de teren cu schimbarea ulterioară atât a destinației</w:t>
      </w:r>
      <w:r w:rsidR="00BD0F78">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 cât și a modului de folosință a acestuia, precum și în unele cazuri</w:t>
      </w:r>
      <w:r w:rsidR="00BD0F78">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 a domeniului din public în privat și invers, în </w:t>
      </w:r>
      <w:r w:rsidR="00BD0F78">
        <w:rPr>
          <w:rFonts w:asciiTheme="majorHAnsi" w:hAnsiTheme="majorHAnsi" w:cstheme="majorHAnsi"/>
          <w:b w:val="0"/>
          <w:bCs w:val="0"/>
          <w:sz w:val="24"/>
          <w:szCs w:val="24"/>
          <w:shd w:val="clear" w:color="auto" w:fill="FFFFFF"/>
        </w:rPr>
        <w:t>funcție</w:t>
      </w:r>
      <w:r w:rsidR="00BD0F78" w:rsidRPr="008376FC">
        <w:rPr>
          <w:rFonts w:asciiTheme="majorHAnsi" w:hAnsiTheme="majorHAnsi" w:cstheme="majorHAnsi"/>
          <w:b w:val="0"/>
          <w:bCs w:val="0"/>
          <w:sz w:val="24"/>
          <w:szCs w:val="24"/>
          <w:shd w:val="clear" w:color="auto" w:fill="FFFFFF"/>
        </w:rPr>
        <w:t xml:space="preserve"> </w:t>
      </w:r>
      <w:r w:rsidRPr="008376FC">
        <w:rPr>
          <w:rFonts w:asciiTheme="majorHAnsi" w:hAnsiTheme="majorHAnsi" w:cstheme="majorHAnsi"/>
          <w:b w:val="0"/>
          <w:bCs w:val="0"/>
          <w:sz w:val="24"/>
          <w:szCs w:val="24"/>
          <w:shd w:val="clear" w:color="auto" w:fill="FFFFFF"/>
        </w:rPr>
        <w:t>de gestionar</w:t>
      </w:r>
      <w:r w:rsidR="00BD0F78">
        <w:rPr>
          <w:rFonts w:asciiTheme="majorHAnsi" w:hAnsiTheme="majorHAnsi" w:cstheme="majorHAnsi"/>
          <w:b w:val="0"/>
          <w:bCs w:val="0"/>
          <w:sz w:val="24"/>
          <w:szCs w:val="24"/>
          <w:shd w:val="clear" w:color="auto" w:fill="FFFFFF"/>
        </w:rPr>
        <w:t>ul</w:t>
      </w:r>
      <w:r w:rsidRPr="008376FC">
        <w:rPr>
          <w:rFonts w:asciiTheme="majorHAnsi" w:hAnsiTheme="majorHAnsi" w:cstheme="majorHAnsi"/>
          <w:b w:val="0"/>
          <w:bCs w:val="0"/>
          <w:sz w:val="24"/>
          <w:szCs w:val="24"/>
          <w:shd w:val="clear" w:color="auto" w:fill="FFFFFF"/>
        </w:rPr>
        <w:t xml:space="preserve"> sau proprietar</w:t>
      </w:r>
      <w:r w:rsidR="00BD0F78">
        <w:rPr>
          <w:rFonts w:asciiTheme="majorHAnsi" w:hAnsiTheme="majorHAnsi" w:cstheme="majorHAnsi"/>
          <w:b w:val="0"/>
          <w:bCs w:val="0"/>
          <w:sz w:val="24"/>
          <w:szCs w:val="24"/>
          <w:shd w:val="clear" w:color="auto" w:fill="FFFFFF"/>
        </w:rPr>
        <w:t>ul</w:t>
      </w:r>
      <w:r w:rsidRPr="008376FC">
        <w:rPr>
          <w:rFonts w:asciiTheme="majorHAnsi" w:hAnsiTheme="majorHAnsi" w:cstheme="majorHAnsi"/>
          <w:b w:val="0"/>
          <w:bCs w:val="0"/>
          <w:sz w:val="24"/>
          <w:szCs w:val="24"/>
          <w:shd w:val="clear" w:color="auto" w:fill="FFFFFF"/>
        </w:rPr>
        <w:t xml:space="preserve"> OITE </w:t>
      </w:r>
      <w:r w:rsidR="00BD0F78">
        <w:rPr>
          <w:rFonts w:asciiTheme="majorHAnsi" w:hAnsiTheme="majorHAnsi" w:cstheme="majorHAnsi"/>
          <w:b w:val="0"/>
          <w:bCs w:val="0"/>
          <w:sz w:val="24"/>
          <w:szCs w:val="24"/>
          <w:shd w:val="clear" w:color="auto" w:fill="FFFFFF"/>
        </w:rPr>
        <w:t>ori</w:t>
      </w:r>
      <w:r w:rsidRPr="008376FC">
        <w:rPr>
          <w:rFonts w:asciiTheme="majorHAnsi" w:hAnsiTheme="majorHAnsi" w:cstheme="majorHAnsi"/>
          <w:b w:val="0"/>
          <w:bCs w:val="0"/>
          <w:sz w:val="24"/>
          <w:szCs w:val="24"/>
          <w:shd w:val="clear" w:color="auto" w:fill="FFFFFF"/>
        </w:rPr>
        <w:t xml:space="preserve"> a</w:t>
      </w:r>
      <w:r w:rsidR="00BD0F78">
        <w:rPr>
          <w:rFonts w:asciiTheme="majorHAnsi" w:hAnsiTheme="majorHAnsi" w:cstheme="majorHAnsi"/>
          <w:b w:val="0"/>
          <w:bCs w:val="0"/>
          <w:sz w:val="24"/>
          <w:szCs w:val="24"/>
          <w:shd w:val="clear" w:color="auto" w:fill="FFFFFF"/>
        </w:rPr>
        <w:t>l</w:t>
      </w:r>
      <w:r w:rsidRPr="008376FC">
        <w:rPr>
          <w:rFonts w:asciiTheme="majorHAnsi" w:hAnsiTheme="majorHAnsi" w:cstheme="majorHAnsi"/>
          <w:b w:val="0"/>
          <w:bCs w:val="0"/>
          <w:sz w:val="24"/>
          <w:szCs w:val="24"/>
          <w:shd w:val="clear" w:color="auto" w:fill="FFFFFF"/>
        </w:rPr>
        <w:t xml:space="preserve"> terenului. Această acțiune va duce atât la suportarea cheltuielilor suplimentare pentru delimitarea acestor terenuri, precum și la refuzuri ale proprietarilor terenurilor de a le delimita sau la litigii, în condițiile în care acest domeniu nu </w:t>
      </w:r>
      <w:r w:rsidR="00BD0F78">
        <w:rPr>
          <w:rFonts w:asciiTheme="majorHAnsi" w:hAnsiTheme="majorHAnsi" w:cstheme="majorHAnsi"/>
          <w:b w:val="0"/>
          <w:bCs w:val="0"/>
          <w:sz w:val="24"/>
          <w:szCs w:val="24"/>
          <w:shd w:val="clear" w:color="auto" w:fill="FFFFFF"/>
        </w:rPr>
        <w:t>este</w:t>
      </w:r>
      <w:r w:rsidRPr="008376FC">
        <w:rPr>
          <w:rFonts w:asciiTheme="majorHAnsi" w:hAnsiTheme="majorHAnsi" w:cstheme="majorHAnsi"/>
          <w:b w:val="0"/>
          <w:bCs w:val="0"/>
          <w:sz w:val="24"/>
          <w:szCs w:val="24"/>
          <w:shd w:val="clear" w:color="auto" w:fill="FFFFFF"/>
        </w:rPr>
        <w:t xml:space="preserve"> suficient și clar reglementat. </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 xml:space="preserve">De menționat că, pe data de 22.07.2022, a avut loc consultarea </w:t>
      </w:r>
      <w:r w:rsidR="00BD0F78">
        <w:rPr>
          <w:rFonts w:asciiTheme="majorHAnsi" w:hAnsiTheme="majorHAnsi" w:cstheme="majorHAnsi"/>
          <w:b w:val="0"/>
          <w:bCs w:val="0"/>
          <w:sz w:val="24"/>
          <w:szCs w:val="24"/>
          <w:shd w:val="clear" w:color="auto" w:fill="FFFFFF"/>
        </w:rPr>
        <w:t>p</w:t>
      </w:r>
      <w:r w:rsidRPr="008376FC">
        <w:rPr>
          <w:rFonts w:asciiTheme="majorHAnsi" w:hAnsiTheme="majorHAnsi" w:cstheme="majorHAnsi"/>
          <w:b w:val="0"/>
          <w:bCs w:val="0"/>
          <w:sz w:val="24"/>
          <w:szCs w:val="24"/>
          <w:shd w:val="clear" w:color="auto" w:fill="FFFFFF"/>
        </w:rPr>
        <w:t>roiectului HG pentru modificarea HG nr.133/2014 cu privire la crearea SIA ROITE, precum și prevederilor Legii nr. 150/2017 cu privire la ROITE. La acestă ședință au participat reprezentanții din mai multe structuri: ARFC, ME, MIDR, APP, ASP, S.A. „Ap</w:t>
      </w:r>
      <w:r w:rsidR="00BD0F78">
        <w:rPr>
          <w:rFonts w:asciiTheme="majorHAnsi" w:hAnsiTheme="majorHAnsi" w:cstheme="majorHAnsi"/>
          <w:b w:val="0"/>
          <w:bCs w:val="0"/>
          <w:sz w:val="24"/>
          <w:szCs w:val="24"/>
          <w:shd w:val="clear" w:color="auto" w:fill="FFFFFF"/>
        </w:rPr>
        <w:t>ă</w:t>
      </w:r>
      <w:r w:rsidRPr="008376FC">
        <w:rPr>
          <w:rFonts w:asciiTheme="majorHAnsi" w:hAnsiTheme="majorHAnsi" w:cstheme="majorHAnsi"/>
          <w:b w:val="0"/>
          <w:bCs w:val="0"/>
          <w:sz w:val="24"/>
          <w:szCs w:val="24"/>
          <w:shd w:val="clear" w:color="auto" w:fill="FFFFFF"/>
        </w:rPr>
        <w:t>-Canal Chișinău”, Î.S. „Moldelectrica”, S.A. „Termoelectrica”, Î.S. AST, S.A. „Moldova Gaz”, CALM, Î.M. „Orange Moldova” S.A, Î.M. „Moldcell” S.A. etc.</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 xml:space="preserve">S-a pus în discuție faptul că OITE, conform art.2 din Legea nr.150/2017, fac parte din categoria bunurilor imobile, iar conform art.413 din Codul </w:t>
      </w:r>
      <w:r w:rsidR="00BD0F78">
        <w:rPr>
          <w:rFonts w:asciiTheme="majorHAnsi" w:hAnsiTheme="majorHAnsi" w:cstheme="majorHAnsi"/>
          <w:b w:val="0"/>
          <w:bCs w:val="0"/>
          <w:sz w:val="24"/>
          <w:szCs w:val="24"/>
          <w:shd w:val="clear" w:color="auto" w:fill="FFFFFF"/>
        </w:rPr>
        <w:t>c</w:t>
      </w:r>
      <w:r w:rsidRPr="008376FC">
        <w:rPr>
          <w:rFonts w:asciiTheme="majorHAnsi" w:hAnsiTheme="majorHAnsi" w:cstheme="majorHAnsi"/>
          <w:b w:val="0"/>
          <w:bCs w:val="0"/>
          <w:sz w:val="24"/>
          <w:szCs w:val="24"/>
          <w:shd w:val="clear" w:color="auto" w:fill="FFFFFF"/>
        </w:rPr>
        <w:t xml:space="preserve">ivil, drepturile asupra bunurilor imobile sunt supuse publicității în cazurile prevăzute de lege. În acest sens, unii participanți la ședința respectivă </w:t>
      </w:r>
      <w:r w:rsidR="00BD0F78">
        <w:rPr>
          <w:rFonts w:asciiTheme="majorHAnsi" w:hAnsiTheme="majorHAnsi" w:cstheme="majorHAnsi"/>
          <w:b w:val="0"/>
          <w:bCs w:val="0"/>
          <w:sz w:val="24"/>
          <w:szCs w:val="24"/>
          <w:shd w:val="clear" w:color="auto" w:fill="FFFFFF"/>
        </w:rPr>
        <w:t>și-</w:t>
      </w:r>
      <w:r w:rsidRPr="008376FC">
        <w:rPr>
          <w:rFonts w:asciiTheme="majorHAnsi" w:hAnsiTheme="majorHAnsi" w:cstheme="majorHAnsi"/>
          <w:b w:val="0"/>
          <w:bCs w:val="0"/>
          <w:sz w:val="24"/>
          <w:szCs w:val="24"/>
          <w:shd w:val="clear" w:color="auto" w:fill="FFFFFF"/>
        </w:rPr>
        <w:t>au exprimat dezacordul în privința înregistrării în ROITE a drepturilor, considerând că existența dreptului nu trebuie să fie condiționată de ținerea Registrului, precum și că obligarea înregistrării drepturilor în ROITE va duce la suportarea cheltuielilor suplimentare și,</w:t>
      </w:r>
      <w:r w:rsidR="00BD0F78">
        <w:rPr>
          <w:rFonts w:asciiTheme="majorHAnsi" w:hAnsiTheme="majorHAnsi" w:cstheme="majorHAnsi"/>
          <w:b w:val="0"/>
          <w:bCs w:val="0"/>
          <w:sz w:val="24"/>
          <w:szCs w:val="24"/>
          <w:shd w:val="clear" w:color="auto" w:fill="FFFFFF"/>
        </w:rPr>
        <w:t xml:space="preserve"> drept</w:t>
      </w:r>
      <w:r w:rsidRPr="008376FC">
        <w:rPr>
          <w:rFonts w:asciiTheme="majorHAnsi" w:hAnsiTheme="majorHAnsi" w:cstheme="majorHAnsi"/>
          <w:b w:val="0"/>
          <w:bCs w:val="0"/>
          <w:sz w:val="24"/>
          <w:szCs w:val="24"/>
          <w:shd w:val="clear" w:color="auto" w:fill="FFFFFF"/>
        </w:rPr>
        <w:t xml:space="preserve"> consecință, majorarea tarifelor pentru serviciile prestate. Alții au menționat că Concepția promovată contravine cadrului normativ în domeniul datelor spațiale și dezvoltării INDS (Infrastructurii Naţionale de Date Spaţiale), în special prevederilor Legii cu privire la INDS și HG cu privire la entitățile responsabile de seturile de date spațiale, menționând ca conceptul dat contravine și angajamentelor internaționale, și va duce la dublarea datelor și informațiilor. S-a accentuat că prevederile HG nr.133/2014 și a</w:t>
      </w:r>
      <w:r w:rsidR="00BD0F78">
        <w:rPr>
          <w:rFonts w:asciiTheme="majorHAnsi" w:hAnsiTheme="majorHAnsi" w:cstheme="majorHAnsi"/>
          <w:b w:val="0"/>
          <w:bCs w:val="0"/>
          <w:sz w:val="24"/>
          <w:szCs w:val="24"/>
          <w:shd w:val="clear" w:color="auto" w:fill="FFFFFF"/>
        </w:rPr>
        <w:t>le</w:t>
      </w:r>
      <w:r w:rsidRPr="008376FC">
        <w:rPr>
          <w:rFonts w:asciiTheme="majorHAnsi" w:hAnsiTheme="majorHAnsi" w:cstheme="majorHAnsi"/>
          <w:b w:val="0"/>
          <w:bCs w:val="0"/>
          <w:sz w:val="24"/>
          <w:szCs w:val="24"/>
          <w:shd w:val="clear" w:color="auto" w:fill="FFFFFF"/>
        </w:rPr>
        <w:t xml:space="preserve"> Legii nr. 150/2017 trebuie să fie corelate/interoperabile cu prevederile Legii nr.254/2016 cu privire la infrastructura națională de date spațiale, precum și cu cele din Legea nr.305/2012 cu privire la reutilizarea informațiilor din sectorul public. </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Totodată, s-a accentuat utilitatea unui SIA, care ar conține informați</w:t>
      </w:r>
      <w:r w:rsidR="00BD0F78">
        <w:rPr>
          <w:rFonts w:asciiTheme="majorHAnsi" w:hAnsiTheme="majorHAnsi" w:cstheme="majorHAnsi"/>
          <w:b w:val="0"/>
          <w:bCs w:val="0"/>
          <w:sz w:val="24"/>
          <w:szCs w:val="24"/>
          <w:shd w:val="clear" w:color="auto" w:fill="FFFFFF"/>
        </w:rPr>
        <w:t>i</w:t>
      </w:r>
      <w:r w:rsidRPr="008376FC">
        <w:rPr>
          <w:rFonts w:asciiTheme="majorHAnsi" w:hAnsiTheme="majorHAnsi" w:cstheme="majorHAnsi"/>
          <w:b w:val="0"/>
          <w:bCs w:val="0"/>
          <w:sz w:val="24"/>
          <w:szCs w:val="24"/>
          <w:shd w:val="clear" w:color="auto" w:fill="FFFFFF"/>
        </w:rPr>
        <w:t xml:space="preserve"> cu privire la OITE prin preluarea, conform prevederilor legilor nr. 305/2012 și nr.254/2016</w:t>
      </w:r>
      <w:r w:rsidR="00BD0F78">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  a datelor geospațiale existente. Gestionarii OITE ar fi interesați să transmită date cât mai actuale pentru acest SIA, ca să fie sigure că infrastructura respectivă va fi protejată de deteriorare, deoarece APL, care eliberează acte permisive corespunzătoare pentru lucrările de construcții sau intenționează să o facă, vor cunoaște că în zona respectivă sunt rețele care urmează a fi protejate, vor dispune de date</w:t>
      </w:r>
      <w:r w:rsidR="00BD0F78">
        <w:rPr>
          <w:rFonts w:asciiTheme="majorHAnsi" w:hAnsiTheme="majorHAnsi" w:cstheme="majorHAnsi"/>
          <w:b w:val="0"/>
          <w:bCs w:val="0"/>
          <w:sz w:val="24"/>
          <w:szCs w:val="24"/>
          <w:shd w:val="clear" w:color="auto" w:fill="FFFFFF"/>
        </w:rPr>
        <w:t>le</w:t>
      </w:r>
      <w:r w:rsidRPr="008376FC">
        <w:rPr>
          <w:rFonts w:asciiTheme="majorHAnsi" w:hAnsiTheme="majorHAnsi" w:cstheme="majorHAnsi"/>
          <w:b w:val="0"/>
          <w:bCs w:val="0"/>
          <w:sz w:val="24"/>
          <w:szCs w:val="24"/>
          <w:shd w:val="clear" w:color="auto" w:fill="FFFFFF"/>
        </w:rPr>
        <w:t xml:space="preserve"> de contact a</w:t>
      </w:r>
      <w:r w:rsidR="00BD0F78">
        <w:rPr>
          <w:rFonts w:asciiTheme="majorHAnsi" w:hAnsiTheme="majorHAnsi" w:cstheme="majorHAnsi"/>
          <w:b w:val="0"/>
          <w:bCs w:val="0"/>
          <w:sz w:val="24"/>
          <w:szCs w:val="24"/>
          <w:shd w:val="clear" w:color="auto" w:fill="FFFFFF"/>
        </w:rPr>
        <w:t>le</w:t>
      </w:r>
      <w:r w:rsidRPr="008376FC">
        <w:rPr>
          <w:rFonts w:asciiTheme="majorHAnsi" w:hAnsiTheme="majorHAnsi" w:cstheme="majorHAnsi"/>
          <w:b w:val="0"/>
          <w:bCs w:val="0"/>
          <w:sz w:val="24"/>
          <w:szCs w:val="24"/>
          <w:shd w:val="clear" w:color="auto" w:fill="FFFFFF"/>
        </w:rPr>
        <w:t xml:space="preserve"> proprietarilor/gestionarilor cu care trebuie sa fie coordonate lucrările. De asemenea</w:t>
      </w:r>
      <w:r w:rsidR="00BD0F78">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 s-a menționat că înregistrarea obligatorie contra plată a  dreptului asupra OITE, în situația în care acest drept rezultă din documente, în baza cărora au fost construite și funcționează, ar genera costuri suplimentare, cu includerea acestora în tarif. </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Ca urmare a ședinței de lucru respective, s-a decis că ținerea evidenței OITE într-un Registru unic este necesară, dar, ca urmare a mai multor opinii cu privire la necesitatea înregistrării drepturilor de proprietate asupra rețelelor, s-a decis că membrii GL vor expedia în</w:t>
      </w:r>
      <w:r w:rsidR="008A303A">
        <w:rPr>
          <w:rFonts w:asciiTheme="majorHAnsi" w:hAnsiTheme="majorHAnsi" w:cstheme="majorHAnsi"/>
          <w:b w:val="0"/>
          <w:bCs w:val="0"/>
          <w:sz w:val="24"/>
          <w:szCs w:val="24"/>
          <w:shd w:val="clear" w:color="auto" w:fill="FFFFFF"/>
        </w:rPr>
        <w:t xml:space="preserve"> </w:t>
      </w:r>
      <w:r w:rsidRPr="008376FC">
        <w:rPr>
          <w:rFonts w:asciiTheme="majorHAnsi" w:hAnsiTheme="majorHAnsi" w:cstheme="majorHAnsi"/>
          <w:b w:val="0"/>
          <w:bCs w:val="0"/>
          <w:sz w:val="24"/>
          <w:szCs w:val="24"/>
          <w:shd w:val="clear" w:color="auto" w:fill="FFFFFF"/>
        </w:rPr>
        <w:t xml:space="preserve">scris către ARFC poziția instituțiilor reprezentate. </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Ca urmare, APP a propus revizuirea componenței OITE, prin excluderea din aceste</w:t>
      </w:r>
      <w:r w:rsidR="008A303A">
        <w:rPr>
          <w:rFonts w:asciiTheme="majorHAnsi" w:hAnsiTheme="majorHAnsi" w:cstheme="majorHAnsi"/>
          <w:b w:val="0"/>
          <w:bCs w:val="0"/>
          <w:sz w:val="24"/>
          <w:szCs w:val="24"/>
          <w:shd w:val="clear" w:color="auto" w:fill="FFFFFF"/>
        </w:rPr>
        <w:t>a</w:t>
      </w:r>
      <w:r w:rsidRPr="008376FC">
        <w:rPr>
          <w:rFonts w:asciiTheme="majorHAnsi" w:hAnsiTheme="majorHAnsi" w:cstheme="majorHAnsi"/>
          <w:b w:val="0"/>
          <w:bCs w:val="0"/>
          <w:sz w:val="24"/>
          <w:szCs w:val="24"/>
          <w:shd w:val="clear" w:color="auto" w:fill="FFFFFF"/>
        </w:rPr>
        <w:t xml:space="preserve"> a cuvintelor „bazin” și  „baraj”, reieșind din faptul că acestea</w:t>
      </w:r>
      <w:r w:rsidR="008A303A">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 conform art.19 alin.(2) din Legea apelor nr. 272/2011, fac parte din construcții hidrotehnice și urmează a fi înregistrate în SIA „Cadastrul de stat al apelor” deținut de AAM, în scopul neadmiterii dublării informațiilor. Totodată, APP a menționat că, conform art.460 din Codul </w:t>
      </w:r>
      <w:r w:rsidR="008A303A">
        <w:rPr>
          <w:rFonts w:asciiTheme="majorHAnsi" w:hAnsiTheme="majorHAnsi" w:cstheme="majorHAnsi"/>
          <w:b w:val="0"/>
          <w:bCs w:val="0"/>
          <w:sz w:val="24"/>
          <w:szCs w:val="24"/>
          <w:shd w:val="clear" w:color="auto" w:fill="FFFFFF"/>
        </w:rPr>
        <w:t>c</w:t>
      </w:r>
      <w:r w:rsidRPr="008376FC">
        <w:rPr>
          <w:rFonts w:asciiTheme="majorHAnsi" w:hAnsiTheme="majorHAnsi" w:cstheme="majorHAnsi"/>
          <w:b w:val="0"/>
          <w:bCs w:val="0"/>
          <w:sz w:val="24"/>
          <w:szCs w:val="24"/>
          <w:shd w:val="clear" w:color="auto" w:fill="FFFFFF"/>
        </w:rPr>
        <w:t>ivil, se prezumă că construcțiile hidrotehnice sunt părți componente ale bunului imobil atașate permanent la teren, iar conform art.446, acestea necesită a fi înregistrate în RBI.</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 xml:space="preserve">De asemenea, APP a reliefat necesitatea creării ROITE pentru evidența OITE, dar nu și a drepturilor asupra acestora, în contextul confirmării dreptului de proprietate în baza legislației </w:t>
      </w:r>
      <w:r w:rsidR="008A303A">
        <w:rPr>
          <w:rFonts w:asciiTheme="majorHAnsi" w:hAnsiTheme="majorHAnsi" w:cstheme="majorHAnsi"/>
          <w:b w:val="0"/>
          <w:bCs w:val="0"/>
          <w:sz w:val="24"/>
          <w:szCs w:val="24"/>
          <w:shd w:val="clear" w:color="auto" w:fill="FFFFFF"/>
        </w:rPr>
        <w:t>aferente</w:t>
      </w:r>
      <w:r w:rsidRPr="008376FC">
        <w:rPr>
          <w:rFonts w:asciiTheme="majorHAnsi" w:hAnsiTheme="majorHAnsi" w:cstheme="majorHAnsi"/>
          <w:b w:val="0"/>
          <w:bCs w:val="0"/>
          <w:sz w:val="24"/>
          <w:szCs w:val="24"/>
          <w:shd w:val="clear" w:color="auto" w:fill="FFFFFF"/>
        </w:rPr>
        <w:t xml:space="preserve"> domeniu</w:t>
      </w:r>
      <w:r w:rsidR="008A303A">
        <w:rPr>
          <w:rFonts w:asciiTheme="majorHAnsi" w:hAnsiTheme="majorHAnsi" w:cstheme="majorHAnsi"/>
          <w:b w:val="0"/>
          <w:bCs w:val="0"/>
          <w:sz w:val="24"/>
          <w:szCs w:val="24"/>
          <w:shd w:val="clear" w:color="auto" w:fill="FFFFFF"/>
        </w:rPr>
        <w:t>lui</w:t>
      </w:r>
      <w:r w:rsidRPr="008376FC">
        <w:rPr>
          <w:rFonts w:asciiTheme="majorHAnsi" w:hAnsiTheme="majorHAnsi" w:cstheme="majorHAnsi"/>
          <w:b w:val="0"/>
          <w:bCs w:val="0"/>
          <w:sz w:val="24"/>
          <w:szCs w:val="24"/>
          <w:shd w:val="clear" w:color="auto" w:fill="FFFFFF"/>
        </w:rPr>
        <w:t xml:space="preserve"> de autorizare a lucrărilor de construcție și de dare în exploatare.</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Totodată</w:t>
      </w:r>
      <w:r w:rsidR="008A303A">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 APP a propus substituirea sintagmei de „stație de pompare” cu „stație de pompare submersibilă”, pe motiv că stațiile de pompare se referă la edificii care reprezintă bunuri imobile ce urmează a fi înregistrate în RBI, iar stațiile de pompare submersibile sunt pompe amplasate pe platforme betonate și reprezintă teren amenajat</w:t>
      </w:r>
      <w:r w:rsidR="008A303A">
        <w:rPr>
          <w:rFonts w:asciiTheme="majorHAnsi" w:hAnsiTheme="majorHAnsi" w:cstheme="majorHAnsi"/>
          <w:b w:val="0"/>
          <w:bCs w:val="0"/>
          <w:sz w:val="24"/>
          <w:szCs w:val="24"/>
          <w:shd w:val="clear" w:color="auto" w:fill="FFFFFF"/>
        </w:rPr>
        <w:t xml:space="preserve"> fiind</w:t>
      </w:r>
      <w:r w:rsidRPr="008376FC">
        <w:rPr>
          <w:rFonts w:asciiTheme="majorHAnsi" w:hAnsiTheme="majorHAnsi" w:cstheme="majorHAnsi"/>
          <w:b w:val="0"/>
          <w:bCs w:val="0"/>
          <w:sz w:val="24"/>
          <w:szCs w:val="24"/>
          <w:shd w:val="clear" w:color="auto" w:fill="FFFFFF"/>
        </w:rPr>
        <w:t xml:space="preserve"> parte a infrastructurii de irigare.</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La rândul său, Î.S. „Moldelectrica” a solicitat coordonarea și aprobarea de către ANRE a prevederilor</w:t>
      </w:r>
      <w:r w:rsidR="008A303A">
        <w:rPr>
          <w:rFonts w:asciiTheme="majorHAnsi" w:hAnsiTheme="majorHAnsi" w:cstheme="majorHAnsi"/>
          <w:b w:val="0"/>
          <w:bCs w:val="0"/>
          <w:sz w:val="24"/>
          <w:szCs w:val="24"/>
          <w:shd w:val="clear" w:color="auto" w:fill="FFFFFF"/>
        </w:rPr>
        <w:t xml:space="preserve"> despre</w:t>
      </w:r>
      <w:r w:rsidRPr="008376FC">
        <w:rPr>
          <w:rFonts w:asciiTheme="majorHAnsi" w:hAnsiTheme="majorHAnsi" w:cstheme="majorHAnsi"/>
          <w:b w:val="0"/>
          <w:bCs w:val="0"/>
          <w:sz w:val="24"/>
          <w:szCs w:val="24"/>
          <w:shd w:val="clear" w:color="auto" w:fill="FFFFFF"/>
        </w:rPr>
        <w:t xml:space="preserve"> includerea cheltuielilor pentru includere și furnizare de date în ROITE la determinarea tarifului pentru serviciile prestate.</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Luând în considera</w:t>
      </w:r>
      <w:r w:rsidR="008A303A">
        <w:rPr>
          <w:rFonts w:asciiTheme="majorHAnsi" w:hAnsiTheme="majorHAnsi" w:cstheme="majorHAnsi"/>
          <w:b w:val="0"/>
          <w:bCs w:val="0"/>
          <w:sz w:val="24"/>
          <w:szCs w:val="24"/>
          <w:shd w:val="clear" w:color="auto" w:fill="FFFFFF"/>
        </w:rPr>
        <w:t>r</w:t>
      </w:r>
      <w:r w:rsidRPr="008376FC">
        <w:rPr>
          <w:rFonts w:asciiTheme="majorHAnsi" w:hAnsiTheme="majorHAnsi" w:cstheme="majorHAnsi"/>
          <w:b w:val="0"/>
          <w:bCs w:val="0"/>
          <w:sz w:val="24"/>
          <w:szCs w:val="24"/>
          <w:shd w:val="clear" w:color="auto" w:fill="FFFFFF"/>
        </w:rPr>
        <w:t>e faptul că au parvenit mai multe propuneri și recomandări din partea deținătorilor de OITE privind modificarea cadrului normativ în domeniu, ARFC a inițiat procedura de revizuire și actualizare a Concepției SIA ROITE</w:t>
      </w:r>
      <w:r w:rsidR="008A303A">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 aprobat</w:t>
      </w:r>
      <w:r w:rsidR="008A303A">
        <w:rPr>
          <w:rFonts w:asciiTheme="majorHAnsi" w:hAnsiTheme="majorHAnsi" w:cstheme="majorHAnsi"/>
          <w:b w:val="0"/>
          <w:bCs w:val="0"/>
          <w:sz w:val="24"/>
          <w:szCs w:val="24"/>
          <w:shd w:val="clear" w:color="auto" w:fill="FFFFFF"/>
        </w:rPr>
        <w:t>ă</w:t>
      </w:r>
      <w:r w:rsidRPr="008376FC">
        <w:rPr>
          <w:rFonts w:asciiTheme="majorHAnsi" w:hAnsiTheme="majorHAnsi" w:cstheme="majorHAnsi"/>
          <w:b w:val="0"/>
          <w:bCs w:val="0"/>
          <w:sz w:val="24"/>
          <w:szCs w:val="24"/>
          <w:shd w:val="clear" w:color="auto" w:fill="FFFFFF"/>
        </w:rPr>
        <w:t xml:space="preserve"> prin HG nr.133/2014 și Legea nr.150/2017.</w:t>
      </w:r>
    </w:p>
    <w:p w:rsidR="00E76430" w:rsidRPr="008376FC"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Totodată</w:t>
      </w:r>
      <w:r w:rsidR="008A303A">
        <w:rPr>
          <w:rFonts w:asciiTheme="majorHAnsi" w:hAnsiTheme="majorHAnsi" w:cstheme="majorHAnsi"/>
          <w:b w:val="0"/>
          <w:bCs w:val="0"/>
          <w:sz w:val="24"/>
          <w:szCs w:val="24"/>
          <w:shd w:val="clear" w:color="auto" w:fill="FFFFFF"/>
        </w:rPr>
        <w:t>,</w:t>
      </w:r>
      <w:r w:rsidRPr="008376FC">
        <w:rPr>
          <w:rFonts w:asciiTheme="majorHAnsi" w:hAnsiTheme="majorHAnsi" w:cstheme="majorHAnsi"/>
          <w:b w:val="0"/>
          <w:bCs w:val="0"/>
          <w:sz w:val="24"/>
          <w:szCs w:val="24"/>
          <w:shd w:val="clear" w:color="auto" w:fill="FFFFFF"/>
        </w:rPr>
        <w:t xml:space="preserve"> ARFC a comunicat că</w:t>
      </w:r>
      <w:r w:rsidRPr="008376FC">
        <w:rPr>
          <w:rStyle w:val="ab"/>
          <w:rFonts w:asciiTheme="majorHAnsi" w:hAnsiTheme="majorHAnsi" w:cstheme="majorHAnsi"/>
          <w:b w:val="0"/>
          <w:bCs w:val="0"/>
          <w:sz w:val="24"/>
          <w:szCs w:val="24"/>
          <w:shd w:val="clear" w:color="auto" w:fill="FFFFFF"/>
        </w:rPr>
        <w:footnoteReference w:id="112"/>
      </w:r>
      <w:r w:rsidRPr="008376FC">
        <w:rPr>
          <w:rFonts w:asciiTheme="majorHAnsi" w:hAnsiTheme="majorHAnsi" w:cstheme="majorHAnsi"/>
          <w:b w:val="0"/>
          <w:bCs w:val="0"/>
          <w:sz w:val="24"/>
          <w:szCs w:val="24"/>
          <w:shd w:val="clear" w:color="auto" w:fill="FFFFFF"/>
        </w:rPr>
        <w:t xml:space="preserve"> au fost organizate mai multe ședințe de lucru cu părțile interesate, reprezentanții APC și alte IP responsabile în vederea identificării soluțiilor cu privire la înregistrarea drepturilor patrimoniale asupra OITE.</w:t>
      </w:r>
    </w:p>
    <w:p w:rsidR="00E76430" w:rsidRDefault="00E76430" w:rsidP="00F61756">
      <w:pPr>
        <w:spacing w:before="120" w:after="0" w:line="276" w:lineRule="auto"/>
        <w:jc w:val="both"/>
        <w:rPr>
          <w:rFonts w:asciiTheme="majorHAnsi" w:hAnsiTheme="majorHAnsi" w:cstheme="majorHAnsi"/>
          <w:b w:val="0"/>
          <w:bCs w:val="0"/>
          <w:sz w:val="24"/>
          <w:szCs w:val="24"/>
          <w:shd w:val="clear" w:color="auto" w:fill="FFFFFF"/>
        </w:rPr>
      </w:pPr>
      <w:r w:rsidRPr="008376FC">
        <w:rPr>
          <w:rFonts w:asciiTheme="majorHAnsi" w:hAnsiTheme="majorHAnsi" w:cstheme="majorHAnsi"/>
          <w:b w:val="0"/>
          <w:bCs w:val="0"/>
          <w:sz w:val="24"/>
          <w:szCs w:val="24"/>
          <w:shd w:val="clear" w:color="auto" w:fill="FFFFFF"/>
        </w:rPr>
        <w:t>De asemenea, ARFC</w:t>
      </w:r>
      <w:r w:rsidRPr="008376FC">
        <w:rPr>
          <w:rStyle w:val="ab"/>
          <w:rFonts w:asciiTheme="majorHAnsi" w:hAnsiTheme="majorHAnsi" w:cstheme="majorHAnsi"/>
          <w:b w:val="0"/>
          <w:bCs w:val="0"/>
          <w:sz w:val="24"/>
          <w:szCs w:val="24"/>
          <w:shd w:val="clear" w:color="auto" w:fill="FFFFFF"/>
        </w:rPr>
        <w:footnoteReference w:id="113"/>
      </w:r>
      <w:r w:rsidRPr="008376FC">
        <w:rPr>
          <w:rFonts w:asciiTheme="majorHAnsi" w:hAnsiTheme="majorHAnsi" w:cstheme="majorHAnsi"/>
          <w:b w:val="0"/>
          <w:bCs w:val="0"/>
          <w:sz w:val="24"/>
          <w:szCs w:val="24"/>
          <w:shd w:val="clear" w:color="auto" w:fill="FFFFFF"/>
        </w:rPr>
        <w:t xml:space="preserve"> a comunicat că, urmare a consultărilor cu părțile interesate, furnizorii de date și reprezentanții autorităților responsabile,  ASP  a fost informată despre necesitatea ajustării proiectelor actelor normative propuse și aducerii lor în concordanță cu prevederile Legii cu privire la geodezie și geoinformatică, nr.778/2001, ale Legii cu privire la infrastructura națională de date spațiale nr.254/216 și </w:t>
      </w:r>
      <w:r w:rsidR="008A303A">
        <w:rPr>
          <w:rFonts w:asciiTheme="majorHAnsi" w:hAnsiTheme="majorHAnsi" w:cstheme="majorHAnsi"/>
          <w:b w:val="0"/>
          <w:bCs w:val="0"/>
          <w:sz w:val="24"/>
          <w:szCs w:val="24"/>
          <w:shd w:val="clear" w:color="auto" w:fill="FFFFFF"/>
        </w:rPr>
        <w:t xml:space="preserve">ale </w:t>
      </w:r>
      <w:r w:rsidRPr="008376FC">
        <w:rPr>
          <w:rFonts w:asciiTheme="majorHAnsi" w:hAnsiTheme="majorHAnsi" w:cstheme="majorHAnsi"/>
          <w:b w:val="0"/>
          <w:bCs w:val="0"/>
          <w:sz w:val="24"/>
          <w:szCs w:val="24"/>
          <w:shd w:val="clear" w:color="auto" w:fill="FFFFFF"/>
        </w:rPr>
        <w:t>alt</w:t>
      </w:r>
      <w:r w:rsidR="008A303A">
        <w:rPr>
          <w:rFonts w:asciiTheme="majorHAnsi" w:hAnsiTheme="majorHAnsi" w:cstheme="majorHAnsi"/>
          <w:b w:val="0"/>
          <w:bCs w:val="0"/>
          <w:sz w:val="24"/>
          <w:szCs w:val="24"/>
          <w:shd w:val="clear" w:color="auto" w:fill="FFFFFF"/>
        </w:rPr>
        <w:t>or</w:t>
      </w:r>
      <w:r w:rsidRPr="008376FC">
        <w:rPr>
          <w:rFonts w:asciiTheme="majorHAnsi" w:hAnsiTheme="majorHAnsi" w:cstheme="majorHAnsi"/>
          <w:b w:val="0"/>
          <w:bCs w:val="0"/>
          <w:sz w:val="24"/>
          <w:szCs w:val="24"/>
          <w:shd w:val="clear" w:color="auto" w:fill="FFFFFF"/>
        </w:rPr>
        <w:t xml:space="preserve"> acte normative care pun în aplicare aceste legi, precum și armonizării lor în corespundere cu Directiva UE INSPIRE. Modificarea și ajustarea acestor acte normative a fost inclusă în PAG 2023.</w:t>
      </w:r>
    </w:p>
    <w:p w:rsidR="005C4A1E" w:rsidRDefault="005C4A1E" w:rsidP="00F61756">
      <w:pPr>
        <w:widowControl w:val="0"/>
        <w:tabs>
          <w:tab w:val="left" w:pos="567"/>
          <w:tab w:val="left" w:pos="709"/>
          <w:tab w:val="left" w:pos="851"/>
        </w:tabs>
        <w:autoSpaceDE w:val="0"/>
        <w:autoSpaceDN w:val="0"/>
        <w:spacing w:after="0" w:line="276" w:lineRule="auto"/>
        <w:jc w:val="both"/>
        <w:rPr>
          <w:rFonts w:asciiTheme="majorHAnsi" w:eastAsia="Times New Roman" w:hAnsiTheme="majorHAnsi" w:cstheme="majorHAnsi"/>
          <w:b w:val="0"/>
          <w:bCs w:val="0"/>
          <w:sz w:val="24"/>
          <w:szCs w:val="24"/>
        </w:rPr>
      </w:pPr>
      <w:r w:rsidRPr="00156F68">
        <w:rPr>
          <w:rFonts w:asciiTheme="majorHAnsi" w:eastAsia="Times New Roman" w:hAnsiTheme="majorHAnsi" w:cstheme="majorHAnsi"/>
          <w:b w:val="0"/>
          <w:bCs w:val="0"/>
          <w:sz w:val="24"/>
          <w:szCs w:val="24"/>
        </w:rPr>
        <w:t>De menționat că, în condițiile necreării SIA ROITE, nu pot fi realizate și aplicate nici prevederile art. 22 din Legea nr.29/2018 cu privire la delimitarea proprietății publice, care prevede că procesul de delimitare a bunurilor imobile proprietate publică se finalizează odată cu înregistrarea dreptului de proprietate asupra acestora și a domeniului respectiv în registrul bunurilor imobile sau în registrul obiectivelor de infrastructură tehnico-edilitară, ceea ce, în unele cazuri</w:t>
      </w:r>
      <w:r w:rsidR="00066E41" w:rsidRPr="00156F68">
        <w:rPr>
          <w:rFonts w:asciiTheme="majorHAnsi" w:eastAsia="Times New Roman" w:hAnsiTheme="majorHAnsi" w:cstheme="majorHAnsi"/>
          <w:b w:val="0"/>
          <w:bCs w:val="0"/>
          <w:sz w:val="24"/>
          <w:szCs w:val="24"/>
        </w:rPr>
        <w:t>,</w:t>
      </w:r>
      <w:r w:rsidRPr="00156F68">
        <w:rPr>
          <w:rFonts w:asciiTheme="majorHAnsi" w:eastAsia="Times New Roman" w:hAnsiTheme="majorHAnsi" w:cstheme="majorHAnsi"/>
          <w:b w:val="0"/>
          <w:bCs w:val="0"/>
          <w:sz w:val="24"/>
          <w:szCs w:val="24"/>
        </w:rPr>
        <w:t xml:space="preserve"> este un impediment sau o deficiență pentru includere în contratele de gestiune delegată a listei bunurilor concesionate, a valorii acestora și, respectiv, a mărimii redevenței.</w:t>
      </w:r>
    </w:p>
    <w:p w:rsidR="0088086E" w:rsidRDefault="00ED20B8" w:rsidP="00F61756">
      <w:pPr>
        <w:pStyle w:val="1"/>
        <w:spacing w:line="276" w:lineRule="auto"/>
        <w:jc w:val="both"/>
        <w:rPr>
          <w:rFonts w:eastAsia="Calibri" w:cstheme="minorBidi"/>
          <w:color w:val="0070C0"/>
          <w:sz w:val="24"/>
          <w:szCs w:val="24"/>
          <w:lang w:val="en-US"/>
        </w:rPr>
      </w:pPr>
      <w:bookmarkStart w:id="36" w:name="_Toc132042787"/>
      <w:bookmarkStart w:id="37" w:name="_Toc132320210"/>
      <w:r>
        <w:rPr>
          <w:rFonts w:cstheme="majorHAnsi"/>
          <w:color w:val="0070C0"/>
          <w:sz w:val="24"/>
          <w:szCs w:val="24"/>
          <w:shd w:val="clear" w:color="auto" w:fill="FFFFFF"/>
        </w:rPr>
        <w:t xml:space="preserve">4.4. </w:t>
      </w:r>
      <w:r w:rsidR="00294D64" w:rsidRPr="008376FC">
        <w:rPr>
          <w:rFonts w:eastAsia="Calibri" w:cstheme="minorBidi"/>
          <w:color w:val="0070C0"/>
          <w:sz w:val="24"/>
          <w:szCs w:val="24"/>
          <w:lang w:val="en-US"/>
        </w:rPr>
        <w:t>C</w:t>
      </w:r>
      <w:r w:rsidR="00674A43" w:rsidRPr="008376FC">
        <w:rPr>
          <w:rFonts w:eastAsia="Calibri" w:cstheme="minorBidi"/>
          <w:color w:val="0070C0"/>
          <w:sz w:val="24"/>
          <w:szCs w:val="24"/>
          <w:lang w:val="en-US"/>
        </w:rPr>
        <w:t>alitatea apei potabile</w:t>
      </w:r>
      <w:r w:rsidR="00F64216">
        <w:rPr>
          <w:rFonts w:eastAsia="Calibri" w:cstheme="minorBidi"/>
          <w:color w:val="0070C0"/>
          <w:sz w:val="24"/>
          <w:szCs w:val="24"/>
          <w:lang w:val="en-US"/>
        </w:rPr>
        <w:t>,</w:t>
      </w:r>
      <w:r w:rsidR="00674A43" w:rsidRPr="008376FC">
        <w:rPr>
          <w:rFonts w:eastAsia="Calibri" w:cstheme="minorBidi"/>
          <w:color w:val="0070C0"/>
          <w:sz w:val="24"/>
          <w:szCs w:val="24"/>
          <w:lang w:val="en-US"/>
        </w:rPr>
        <w:t xml:space="preserve"> ca factor determinant al sănătății</w:t>
      </w:r>
      <w:r w:rsidR="00F64216">
        <w:rPr>
          <w:rFonts w:eastAsia="Calibri" w:cstheme="minorBidi"/>
          <w:color w:val="0070C0"/>
          <w:sz w:val="24"/>
          <w:szCs w:val="24"/>
          <w:lang w:val="en-US"/>
        </w:rPr>
        <w:t>,</w:t>
      </w:r>
      <w:r w:rsidR="00674A43" w:rsidRPr="008376FC">
        <w:rPr>
          <w:rFonts w:eastAsia="Calibri" w:cstheme="minorBidi"/>
          <w:color w:val="0070C0"/>
          <w:sz w:val="24"/>
          <w:szCs w:val="24"/>
          <w:lang w:val="en-US"/>
        </w:rPr>
        <w:t xml:space="preserve"> corespunde normativelor sanitare</w:t>
      </w:r>
      <w:r w:rsidR="00294D64" w:rsidRPr="008376FC">
        <w:rPr>
          <w:rFonts w:eastAsia="Calibri" w:cstheme="minorBidi"/>
          <w:color w:val="0070C0"/>
          <w:sz w:val="24"/>
          <w:szCs w:val="24"/>
          <w:lang w:val="en-US"/>
        </w:rPr>
        <w:t>?</w:t>
      </w:r>
      <w:bookmarkEnd w:id="36"/>
      <w:bookmarkEnd w:id="37"/>
      <w:r w:rsidR="00294D64" w:rsidRPr="008376FC">
        <w:rPr>
          <w:rFonts w:eastAsia="Calibri" w:cstheme="minorBidi"/>
          <w:color w:val="0070C0"/>
          <w:sz w:val="24"/>
          <w:szCs w:val="24"/>
          <w:lang w:val="en-US"/>
        </w:rPr>
        <w:t xml:space="preserve"> </w:t>
      </w:r>
    </w:p>
    <w:p w:rsidR="003F4E1F" w:rsidRPr="008376FC" w:rsidRDefault="003F4E1F" w:rsidP="00F61756">
      <w:pPr>
        <w:spacing w:line="276" w:lineRule="auto"/>
        <w:rPr>
          <w:lang w:val="en-US"/>
        </w:rPr>
      </w:pPr>
    </w:p>
    <w:tbl>
      <w:tblPr>
        <w:tblStyle w:val="af2"/>
        <w:tblW w:w="0" w:type="auto"/>
        <w:tblLook w:val="04A0" w:firstRow="1" w:lastRow="0" w:firstColumn="1" w:lastColumn="0" w:noHBand="0" w:noVBand="1"/>
      </w:tblPr>
      <w:tblGrid>
        <w:gridCol w:w="9678"/>
      </w:tblGrid>
      <w:tr w:rsidR="003F4E1F" w:rsidRPr="008376FC" w:rsidTr="003F4E1F">
        <w:tc>
          <w:tcPr>
            <w:tcW w:w="9905" w:type="dxa"/>
            <w:shd w:val="clear" w:color="auto" w:fill="DEEAF6" w:themeFill="accent1" w:themeFillTint="33"/>
          </w:tcPr>
          <w:p w:rsidR="00BE3B68" w:rsidRPr="008376FC" w:rsidRDefault="000056B2" w:rsidP="00F61756">
            <w:pPr>
              <w:spacing w:line="276" w:lineRule="auto"/>
              <w:jc w:val="both"/>
              <w:rPr>
                <w:rFonts w:asciiTheme="majorHAnsi" w:hAnsiTheme="majorHAnsi" w:cstheme="majorHAnsi"/>
                <w:b w:val="0"/>
                <w:bCs w:val="0"/>
                <w:i/>
                <w:iCs/>
                <w:sz w:val="24"/>
                <w:szCs w:val="24"/>
                <w:lang w:val="en-US"/>
              </w:rPr>
            </w:pPr>
            <w:r w:rsidRPr="008376FC">
              <w:rPr>
                <w:rFonts w:asciiTheme="majorHAnsi" w:hAnsiTheme="majorHAnsi" w:cstheme="majorHAnsi"/>
                <w:b w:val="0"/>
                <w:bCs w:val="0"/>
                <w:i/>
                <w:iCs/>
                <w:sz w:val="24"/>
                <w:szCs w:val="24"/>
                <w:lang w:val="en-US"/>
              </w:rPr>
              <w:t>În ceea ce priveşte calitatea apei distribuite prin sistemele centrale de alimentare cu apă şi canalizare, se atestă că un procent mic al populaţiei are acces la servicii îmbunătăţite de sanitaţie și la apă potabilă coresp</w:t>
            </w:r>
            <w:r w:rsidR="00CF3E57">
              <w:rPr>
                <w:rFonts w:asciiTheme="majorHAnsi" w:hAnsiTheme="majorHAnsi" w:cstheme="majorHAnsi"/>
                <w:b w:val="0"/>
                <w:bCs w:val="0"/>
                <w:i/>
                <w:iCs/>
                <w:sz w:val="24"/>
                <w:szCs w:val="24"/>
                <w:lang w:val="en-US"/>
              </w:rPr>
              <w:t>u</w:t>
            </w:r>
            <w:r w:rsidRPr="008376FC">
              <w:rPr>
                <w:rFonts w:asciiTheme="majorHAnsi" w:hAnsiTheme="majorHAnsi" w:cstheme="majorHAnsi"/>
                <w:b w:val="0"/>
                <w:bCs w:val="0"/>
                <w:i/>
                <w:iCs/>
                <w:sz w:val="24"/>
                <w:szCs w:val="24"/>
                <w:lang w:val="en-US"/>
              </w:rPr>
              <w:t>nzătoare paramet</w:t>
            </w:r>
            <w:r w:rsidR="00CF3E57">
              <w:rPr>
                <w:rFonts w:asciiTheme="majorHAnsi" w:hAnsiTheme="majorHAnsi" w:cstheme="majorHAnsi"/>
                <w:b w:val="0"/>
                <w:bCs w:val="0"/>
                <w:i/>
                <w:iCs/>
                <w:sz w:val="24"/>
                <w:szCs w:val="24"/>
                <w:lang w:val="en-US"/>
              </w:rPr>
              <w:t>r</w:t>
            </w:r>
            <w:r w:rsidRPr="008376FC">
              <w:rPr>
                <w:rFonts w:asciiTheme="majorHAnsi" w:hAnsiTheme="majorHAnsi" w:cstheme="majorHAnsi"/>
                <w:b w:val="0"/>
                <w:bCs w:val="0"/>
                <w:i/>
                <w:iCs/>
                <w:sz w:val="24"/>
                <w:szCs w:val="24"/>
                <w:lang w:val="en-US"/>
              </w:rPr>
              <w:t>ilor. Mare</w:t>
            </w:r>
            <w:r w:rsidR="00CF3E57">
              <w:rPr>
                <w:rFonts w:asciiTheme="majorHAnsi" w:hAnsiTheme="majorHAnsi" w:cstheme="majorHAnsi"/>
                <w:b w:val="0"/>
                <w:bCs w:val="0"/>
                <w:i/>
                <w:iCs/>
                <w:sz w:val="24"/>
                <w:szCs w:val="24"/>
                <w:lang w:val="en-US"/>
              </w:rPr>
              <w:t>a</w:t>
            </w:r>
            <w:r w:rsidRPr="008376FC">
              <w:rPr>
                <w:rFonts w:asciiTheme="majorHAnsi" w:hAnsiTheme="majorHAnsi" w:cstheme="majorHAnsi"/>
                <w:b w:val="0"/>
                <w:bCs w:val="0"/>
                <w:i/>
                <w:iCs/>
                <w:sz w:val="24"/>
                <w:szCs w:val="24"/>
                <w:lang w:val="en-US"/>
              </w:rPr>
              <w:t xml:space="preserve"> parte a volumelor de apă din sistemele de alimentate cu apă nu corespund cerin</w:t>
            </w:r>
            <w:r w:rsidR="00CF3E57">
              <w:rPr>
                <w:rFonts w:asciiTheme="majorHAnsi" w:hAnsiTheme="majorHAnsi" w:cstheme="majorHAnsi"/>
                <w:b w:val="0"/>
                <w:bCs w:val="0"/>
                <w:i/>
                <w:iCs/>
                <w:sz w:val="24"/>
                <w:szCs w:val="24"/>
                <w:lang w:val="en-US"/>
              </w:rPr>
              <w:t>ț</w:t>
            </w:r>
            <w:r w:rsidRPr="008376FC">
              <w:rPr>
                <w:rFonts w:asciiTheme="majorHAnsi" w:hAnsiTheme="majorHAnsi" w:cstheme="majorHAnsi"/>
                <w:b w:val="0"/>
                <w:bCs w:val="0"/>
                <w:i/>
                <w:iCs/>
                <w:sz w:val="24"/>
                <w:szCs w:val="24"/>
                <w:lang w:val="en-US"/>
              </w:rPr>
              <w:t>elor tehnice pentru apa potabilă, ceea ce</w:t>
            </w:r>
            <w:r w:rsidR="00CF3E57">
              <w:rPr>
                <w:rFonts w:asciiTheme="majorHAnsi" w:hAnsiTheme="majorHAnsi" w:cstheme="majorHAnsi"/>
                <w:b w:val="0"/>
                <w:bCs w:val="0"/>
                <w:i/>
                <w:iCs/>
                <w:sz w:val="24"/>
                <w:szCs w:val="24"/>
                <w:lang w:val="en-US"/>
              </w:rPr>
              <w:t>,</w:t>
            </w:r>
            <w:r w:rsidRPr="008376FC">
              <w:rPr>
                <w:rFonts w:asciiTheme="majorHAnsi" w:hAnsiTheme="majorHAnsi" w:cstheme="majorHAnsi"/>
                <w:b w:val="0"/>
                <w:bCs w:val="0"/>
                <w:i/>
                <w:iCs/>
                <w:sz w:val="24"/>
                <w:szCs w:val="24"/>
                <w:lang w:val="en-US"/>
              </w:rPr>
              <w:t xml:space="preserve"> în consecinţă, dăunează sănătăţii cetăţenilor. Ace</w:t>
            </w:r>
            <w:r w:rsidR="00CF3E57">
              <w:rPr>
                <w:rFonts w:asciiTheme="majorHAnsi" w:hAnsiTheme="majorHAnsi" w:cstheme="majorHAnsi"/>
                <w:b w:val="0"/>
                <w:bCs w:val="0"/>
                <w:i/>
                <w:iCs/>
                <w:sz w:val="24"/>
                <w:szCs w:val="24"/>
                <w:lang w:val="en-US"/>
              </w:rPr>
              <w:t>e</w:t>
            </w:r>
            <w:r w:rsidRPr="008376FC">
              <w:rPr>
                <w:rFonts w:asciiTheme="majorHAnsi" w:hAnsiTheme="majorHAnsi" w:cstheme="majorHAnsi"/>
                <w:b w:val="0"/>
                <w:bCs w:val="0"/>
                <w:i/>
                <w:iCs/>
                <w:sz w:val="24"/>
                <w:szCs w:val="24"/>
                <w:lang w:val="en-US"/>
              </w:rPr>
              <w:t>ași situație este şi cu sistemele de epurare a apelor uzate, doar stațiile nou construite corespund parametrilor tehnici.</w:t>
            </w:r>
          </w:p>
        </w:tc>
      </w:tr>
    </w:tbl>
    <w:p w:rsidR="00827362" w:rsidRDefault="00827362" w:rsidP="00F61756">
      <w:pPr>
        <w:spacing w:line="276" w:lineRule="auto"/>
        <w:jc w:val="both"/>
        <w:rPr>
          <w:rFonts w:asciiTheme="majorHAnsi" w:hAnsiTheme="majorHAnsi" w:cs="Times New Roman"/>
          <w:b w:val="0"/>
          <w:sz w:val="24"/>
          <w:szCs w:val="24"/>
        </w:rPr>
      </w:pPr>
    </w:p>
    <w:p w:rsidR="003F4E1F" w:rsidRPr="008376FC" w:rsidRDefault="003F4E1F" w:rsidP="00F61756">
      <w:pPr>
        <w:spacing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Calitatea apei potabile reprezintă un subiect de o importanță majoră</w:t>
      </w:r>
      <w:r w:rsidR="00CF3E57">
        <w:rPr>
          <w:rFonts w:asciiTheme="majorHAnsi" w:hAnsiTheme="majorHAnsi" w:cs="Times New Roman"/>
          <w:b w:val="0"/>
          <w:sz w:val="24"/>
          <w:szCs w:val="24"/>
        </w:rPr>
        <w:t>,</w:t>
      </w:r>
      <w:r w:rsidRPr="008376FC">
        <w:rPr>
          <w:rFonts w:asciiTheme="majorHAnsi" w:hAnsiTheme="majorHAnsi" w:cs="Times New Roman"/>
          <w:b w:val="0"/>
          <w:sz w:val="24"/>
          <w:szCs w:val="24"/>
        </w:rPr>
        <w:t xml:space="preserve"> având în vedere impactul direct asupra stării de sănătate a populației. Asigurarea populației cu apă potabilă de bună calitate este unul dintre factorii principali ai politicii sociale și securității naționale a țării. </w:t>
      </w:r>
    </w:p>
    <w:p w:rsidR="003F4E1F" w:rsidRPr="008376FC" w:rsidRDefault="003F4E1F" w:rsidP="00F61756">
      <w:pPr>
        <w:spacing w:line="276" w:lineRule="auto"/>
        <w:jc w:val="both"/>
        <w:rPr>
          <w:rFonts w:asciiTheme="majorHAnsi" w:hAnsiTheme="majorHAnsi"/>
          <w:b w:val="0"/>
          <w:sz w:val="24"/>
          <w:szCs w:val="24"/>
        </w:rPr>
      </w:pPr>
      <w:r w:rsidRPr="008376FC">
        <w:rPr>
          <w:rFonts w:asciiTheme="majorHAnsi" w:hAnsiTheme="majorHAnsi"/>
          <w:b w:val="0"/>
          <w:sz w:val="24"/>
          <w:szCs w:val="24"/>
        </w:rPr>
        <w:t xml:space="preserve">Asigurarea populației cu apă potabilă în cantitate și de calitate corespunzătoare, sigură, constituie una din sarcinile prioritare ale statului, </w:t>
      </w:r>
      <w:r w:rsidR="00CF3E57">
        <w:rPr>
          <w:rFonts w:asciiTheme="majorHAnsi" w:hAnsiTheme="majorHAnsi"/>
          <w:b w:val="0"/>
          <w:sz w:val="24"/>
          <w:szCs w:val="24"/>
        </w:rPr>
        <w:t>pe</w:t>
      </w:r>
      <w:r w:rsidRPr="008376FC">
        <w:rPr>
          <w:rFonts w:asciiTheme="majorHAnsi" w:hAnsiTheme="majorHAnsi"/>
          <w:b w:val="0"/>
          <w:sz w:val="24"/>
          <w:szCs w:val="24"/>
        </w:rPr>
        <w:t>ntru îmbunătățirea indicatorilor de sănătate și a bunăstării populației Republicii Moldova. Sursele principale de asigurare cu apă potabilă a populației din urbe sunt cele de suprafață (râurile Nistru și Prut) și cele de profunzime (sondele arteziene), iar a</w:t>
      </w:r>
      <w:r w:rsidR="00CF3E57">
        <w:rPr>
          <w:rFonts w:asciiTheme="majorHAnsi" w:hAnsiTheme="majorHAnsi"/>
          <w:b w:val="0"/>
          <w:sz w:val="24"/>
          <w:szCs w:val="24"/>
        </w:rPr>
        <w:t>le</w:t>
      </w:r>
      <w:r w:rsidRPr="008376FC">
        <w:rPr>
          <w:rFonts w:asciiTheme="majorHAnsi" w:hAnsiTheme="majorHAnsi"/>
          <w:b w:val="0"/>
          <w:sz w:val="24"/>
          <w:szCs w:val="24"/>
        </w:rPr>
        <w:t xml:space="preserve"> populației din mediul rural – fântânile de mină și sondele arteziene. </w:t>
      </w:r>
    </w:p>
    <w:p w:rsidR="003F4E1F" w:rsidRPr="008376FC" w:rsidRDefault="003F4E1F" w:rsidP="00F61756">
      <w:pPr>
        <w:spacing w:line="276" w:lineRule="auto"/>
        <w:jc w:val="both"/>
        <w:rPr>
          <w:rFonts w:asciiTheme="majorHAnsi" w:hAnsiTheme="majorHAnsi"/>
          <w:b w:val="0"/>
          <w:sz w:val="24"/>
          <w:szCs w:val="24"/>
        </w:rPr>
      </w:pPr>
      <w:r w:rsidRPr="008376FC">
        <w:rPr>
          <w:rFonts w:asciiTheme="majorHAnsi" w:hAnsiTheme="majorHAnsi"/>
          <w:b w:val="0"/>
          <w:sz w:val="24"/>
          <w:szCs w:val="24"/>
        </w:rPr>
        <w:t>Problema asigurării cu apă potabilă și îmbunătățirea condițiilor de sanitație în Republica Moldova constituie un subiect actual, ce necesită atenție și are un rol major în bunăstarea populației Republicii Moldova.</w:t>
      </w:r>
    </w:p>
    <w:p w:rsidR="003F4E1F" w:rsidRPr="008376FC" w:rsidRDefault="003F4E1F" w:rsidP="00F61756">
      <w:pPr>
        <w:spacing w:line="276" w:lineRule="auto"/>
        <w:jc w:val="both"/>
        <w:rPr>
          <w:rFonts w:asciiTheme="majorHAnsi" w:hAnsiTheme="majorHAnsi"/>
          <w:b w:val="0"/>
          <w:sz w:val="24"/>
          <w:szCs w:val="24"/>
        </w:rPr>
      </w:pPr>
      <w:r w:rsidRPr="008376FC">
        <w:rPr>
          <w:rFonts w:asciiTheme="majorHAnsi" w:hAnsiTheme="majorHAnsi"/>
          <w:b w:val="0"/>
          <w:sz w:val="24"/>
          <w:szCs w:val="24"/>
        </w:rPr>
        <w:t xml:space="preserve">Pe parcursul ultimelor două decenii, locuitorii republicii au resimțit efectele îmbunătățirii serviciilor de alimentare cu apă, dar, totodată, o înrăutățire a condițiilor de sanitație. Lipsa condițiilor de a colecta, trata și deversa apele uzate, în condiții de siguranță, are influență directă asupra stării de sănătate a populației. </w:t>
      </w:r>
    </w:p>
    <w:p w:rsidR="003F4E1F" w:rsidRPr="008376FC" w:rsidRDefault="003F4E1F" w:rsidP="00F61756">
      <w:pPr>
        <w:spacing w:line="276" w:lineRule="auto"/>
        <w:jc w:val="both"/>
        <w:rPr>
          <w:rFonts w:asciiTheme="majorHAnsi" w:hAnsiTheme="majorHAnsi"/>
          <w:b w:val="0"/>
          <w:sz w:val="24"/>
          <w:szCs w:val="24"/>
        </w:rPr>
      </w:pPr>
      <w:r w:rsidRPr="008376FC">
        <w:rPr>
          <w:rFonts w:asciiTheme="majorHAnsi" w:hAnsiTheme="majorHAnsi"/>
          <w:b w:val="0"/>
          <w:sz w:val="24"/>
          <w:szCs w:val="24"/>
        </w:rPr>
        <w:t xml:space="preserve">Condițiile de alimentare cu apă potabila și sanitație diferă în </w:t>
      </w:r>
      <w:r w:rsidR="00CF3E57">
        <w:rPr>
          <w:rFonts w:asciiTheme="majorHAnsi" w:hAnsiTheme="majorHAnsi"/>
          <w:b w:val="0"/>
          <w:sz w:val="24"/>
          <w:szCs w:val="24"/>
        </w:rPr>
        <w:t>funcție</w:t>
      </w:r>
      <w:r w:rsidR="00CF3E57" w:rsidRPr="008376FC">
        <w:rPr>
          <w:rFonts w:asciiTheme="majorHAnsi" w:hAnsiTheme="majorHAnsi"/>
          <w:b w:val="0"/>
          <w:sz w:val="24"/>
          <w:szCs w:val="24"/>
        </w:rPr>
        <w:t xml:space="preserve"> </w:t>
      </w:r>
      <w:r w:rsidRPr="008376FC">
        <w:rPr>
          <w:rFonts w:asciiTheme="majorHAnsi" w:hAnsiTheme="majorHAnsi"/>
          <w:b w:val="0"/>
          <w:sz w:val="24"/>
          <w:szCs w:val="24"/>
        </w:rPr>
        <w:t>de zona geografică. Cea mai favorizată regiune în acest sens este Centrul Moldovei, urmată de Sudul Moldovei și apoi Nordul țării.</w:t>
      </w:r>
    </w:p>
    <w:p w:rsidR="003F4E1F" w:rsidRPr="008376FC" w:rsidRDefault="003F4E1F" w:rsidP="00F61756">
      <w:pPr>
        <w:spacing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Principiile de calitate și de evaluare a calității apei potabile sunt reglementate atât în legi și hotârâri de Guvern</w:t>
      </w:r>
      <w:r w:rsidR="00CF3E57">
        <w:rPr>
          <w:rFonts w:asciiTheme="majorHAnsi" w:hAnsiTheme="majorHAnsi" w:cs="Times New Roman"/>
          <w:b w:val="0"/>
          <w:sz w:val="24"/>
          <w:szCs w:val="24"/>
        </w:rPr>
        <w:t>,</w:t>
      </w:r>
      <w:r w:rsidRPr="008376FC">
        <w:rPr>
          <w:rFonts w:asciiTheme="majorHAnsi" w:hAnsiTheme="majorHAnsi" w:cs="Times New Roman"/>
          <w:b w:val="0"/>
          <w:sz w:val="24"/>
          <w:szCs w:val="24"/>
        </w:rPr>
        <w:t xml:space="preserve"> cât și în acte normative departamentale, indicații </w:t>
      </w:r>
      <w:r w:rsidR="00ED20B8" w:rsidRPr="008376FC">
        <w:rPr>
          <w:rFonts w:asciiTheme="majorHAnsi" w:hAnsiTheme="majorHAnsi" w:cs="Times New Roman"/>
          <w:b w:val="0"/>
          <w:sz w:val="24"/>
          <w:szCs w:val="24"/>
        </w:rPr>
        <w:t>metod</w:t>
      </w:r>
      <w:r w:rsidR="00ED20B8">
        <w:rPr>
          <w:rFonts w:asciiTheme="majorHAnsi" w:hAnsiTheme="majorHAnsi" w:cs="Times New Roman"/>
          <w:b w:val="0"/>
          <w:sz w:val="24"/>
          <w:szCs w:val="24"/>
        </w:rPr>
        <w:t>ice</w:t>
      </w:r>
      <w:r w:rsidR="00ED20B8" w:rsidRPr="008376FC">
        <w:rPr>
          <w:rFonts w:asciiTheme="majorHAnsi" w:hAnsiTheme="majorHAnsi" w:cs="Times New Roman"/>
          <w:b w:val="0"/>
          <w:sz w:val="24"/>
          <w:szCs w:val="24"/>
        </w:rPr>
        <w:t xml:space="preserve"> </w:t>
      </w:r>
      <w:r w:rsidRPr="008376FC">
        <w:rPr>
          <w:rFonts w:asciiTheme="majorHAnsi" w:hAnsiTheme="majorHAnsi" w:cs="Times New Roman"/>
          <w:b w:val="0"/>
          <w:sz w:val="24"/>
          <w:szCs w:val="24"/>
        </w:rPr>
        <w:t xml:space="preserve">care descriu responsabilitățile tuturor celor implicați în procesul de asigurare a calității apei. </w:t>
      </w:r>
    </w:p>
    <w:p w:rsidR="003F4E1F" w:rsidRPr="008376FC" w:rsidRDefault="003F4E1F" w:rsidP="00F61756">
      <w:pPr>
        <w:spacing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 xml:space="preserve">De calitatea apei potabile sunt responsabili furnizorii de apă și autoritățile publice locale în jurisdicția cărora se află apeductele de alimentare cu apă. </w:t>
      </w:r>
    </w:p>
    <w:p w:rsidR="003F4E1F" w:rsidRPr="008376FC" w:rsidRDefault="003F4E1F" w:rsidP="00F61756">
      <w:pPr>
        <w:spacing w:line="276" w:lineRule="auto"/>
        <w:rPr>
          <w:rFonts w:asciiTheme="majorHAnsi" w:hAnsiTheme="majorHAnsi" w:cs="Times New Roman"/>
          <w:sz w:val="24"/>
          <w:szCs w:val="24"/>
        </w:rPr>
      </w:pPr>
      <w:r w:rsidRPr="008376FC">
        <w:rPr>
          <w:rFonts w:asciiTheme="majorHAnsi" w:hAnsiTheme="majorHAnsi" w:cs="Times New Roman"/>
          <w:color w:val="0070C0"/>
          <w:sz w:val="24"/>
          <w:szCs w:val="24"/>
        </w:rPr>
        <w:t>4.</w:t>
      </w:r>
      <w:r w:rsidR="0021285A" w:rsidRPr="008376FC">
        <w:rPr>
          <w:rFonts w:asciiTheme="majorHAnsi" w:hAnsiTheme="majorHAnsi" w:cs="Times New Roman"/>
          <w:color w:val="0070C0"/>
          <w:sz w:val="24"/>
          <w:szCs w:val="24"/>
        </w:rPr>
        <w:t>4</w:t>
      </w:r>
      <w:r w:rsidRPr="008376FC">
        <w:rPr>
          <w:rFonts w:asciiTheme="majorHAnsi" w:hAnsiTheme="majorHAnsi" w:cs="Times New Roman"/>
          <w:color w:val="0070C0"/>
          <w:sz w:val="24"/>
          <w:szCs w:val="24"/>
        </w:rPr>
        <w:t>.1 Cadrul normativ național privind asigurarea calității apei potabile este în elaborare</w:t>
      </w:r>
      <w:r w:rsidR="00CF3E57">
        <w:rPr>
          <w:rFonts w:asciiTheme="majorHAnsi" w:hAnsiTheme="majorHAnsi" w:cs="Times New Roman"/>
          <w:color w:val="0070C0"/>
          <w:sz w:val="24"/>
          <w:szCs w:val="24"/>
        </w:rPr>
        <w:t>.</w:t>
      </w:r>
      <w:r w:rsidR="000C39DB" w:rsidRPr="008376FC">
        <w:rPr>
          <w:rFonts w:asciiTheme="majorHAnsi" w:hAnsiTheme="majorHAnsi" w:cs="Times New Roman"/>
          <w:sz w:val="24"/>
          <w:szCs w:val="24"/>
        </w:rPr>
        <w:t xml:space="preserve"> </w:t>
      </w:r>
    </w:p>
    <w:p w:rsidR="00D62C5D" w:rsidRPr="00E24AD8" w:rsidRDefault="00D62C5D" w:rsidP="00F61756">
      <w:pPr>
        <w:spacing w:line="276" w:lineRule="auto"/>
        <w:jc w:val="both"/>
        <w:rPr>
          <w:rFonts w:asciiTheme="majorHAnsi" w:hAnsiTheme="majorHAnsi" w:cs="Times New Roman"/>
          <w:b w:val="0"/>
          <w:sz w:val="24"/>
          <w:szCs w:val="24"/>
        </w:rPr>
      </w:pPr>
      <w:r w:rsidRPr="00E24AD8">
        <w:rPr>
          <w:rFonts w:asciiTheme="majorHAnsi" w:hAnsiTheme="majorHAnsi" w:cs="Times New Roman"/>
          <w:b w:val="0"/>
          <w:sz w:val="24"/>
          <w:szCs w:val="24"/>
        </w:rPr>
        <w:t>În pofida faptului că domeniul calității apei este reglementat de un cadrul normativ complex, precum Legea nr. 272/2011 apelor</w:t>
      </w:r>
      <w:r w:rsidR="00E24AD8">
        <w:rPr>
          <w:rFonts w:asciiTheme="majorHAnsi" w:hAnsiTheme="majorHAnsi" w:cs="Times New Roman"/>
          <w:b w:val="0"/>
          <w:sz w:val="24"/>
          <w:szCs w:val="24"/>
        </w:rPr>
        <w:t>,</w:t>
      </w:r>
      <w:r w:rsidRPr="00E24AD8">
        <w:rPr>
          <w:rFonts w:asciiTheme="majorHAnsi" w:hAnsiTheme="majorHAnsi" w:cs="Times New Roman"/>
          <w:b w:val="0"/>
          <w:sz w:val="24"/>
          <w:szCs w:val="24"/>
        </w:rPr>
        <w:t>Legea 182/2019 privind calitatea apei potabile</w:t>
      </w:r>
      <w:r w:rsidR="00E24AD8">
        <w:rPr>
          <w:rFonts w:asciiTheme="majorHAnsi" w:hAnsiTheme="majorHAnsi" w:cs="Times New Roman"/>
          <w:b w:val="0"/>
          <w:sz w:val="24"/>
          <w:szCs w:val="24"/>
        </w:rPr>
        <w:t>,</w:t>
      </w:r>
      <w:r w:rsidR="00E24AD8" w:rsidRPr="00E24AD8">
        <w:rPr>
          <w:rFonts w:asciiTheme="majorHAnsi" w:hAnsiTheme="majorHAnsi" w:cs="Times New Roman"/>
          <w:b w:val="0"/>
          <w:sz w:val="24"/>
          <w:szCs w:val="24"/>
        </w:rPr>
        <w:t xml:space="preserve"> </w:t>
      </w:r>
      <w:r w:rsidRPr="00E24AD8">
        <w:rPr>
          <w:rFonts w:asciiTheme="majorHAnsi" w:hAnsiTheme="majorHAnsi" w:cs="Times New Roman"/>
          <w:b w:val="0"/>
          <w:sz w:val="24"/>
          <w:szCs w:val="24"/>
        </w:rPr>
        <w:t>Legea 1402/2002 privind serviciile publice de gospodărire comunală</w:t>
      </w:r>
      <w:r w:rsidR="00E24AD8">
        <w:rPr>
          <w:rFonts w:asciiTheme="majorHAnsi" w:hAnsiTheme="majorHAnsi" w:cs="Times New Roman"/>
          <w:b w:val="0"/>
          <w:sz w:val="24"/>
          <w:szCs w:val="24"/>
        </w:rPr>
        <w:t>,</w:t>
      </w:r>
      <w:r w:rsidR="00E24AD8" w:rsidRPr="00E24AD8">
        <w:rPr>
          <w:rFonts w:asciiTheme="majorHAnsi" w:hAnsiTheme="majorHAnsi" w:cs="Times New Roman"/>
          <w:b w:val="0"/>
          <w:sz w:val="24"/>
          <w:szCs w:val="24"/>
        </w:rPr>
        <w:t xml:space="preserve"> </w:t>
      </w:r>
      <w:r w:rsidRPr="00E24AD8">
        <w:rPr>
          <w:rFonts w:asciiTheme="majorHAnsi" w:hAnsiTheme="majorHAnsi" w:cs="Times New Roman"/>
          <w:b w:val="0"/>
          <w:sz w:val="24"/>
          <w:szCs w:val="24"/>
        </w:rPr>
        <w:t>Legea nr. 303/2013 privind serviciul public de alimentare cu apă și canalizare; HG nr. 934/2007 privind instituirea sistemului informațional automatizat „Registrul de stat al apelor minerale naturale, potabile și băuturilor alcoolice neîmbuteliate</w:t>
      </w:r>
      <w:r w:rsidR="00E24AD8" w:rsidRPr="00E24AD8">
        <w:rPr>
          <w:rFonts w:asciiTheme="majorHAnsi" w:hAnsiTheme="majorHAnsi" w:cs="Times New Roman"/>
          <w:b w:val="0"/>
          <w:sz w:val="24"/>
          <w:szCs w:val="24"/>
        </w:rPr>
        <w:t>”</w:t>
      </w:r>
      <w:r w:rsidR="00E24AD8">
        <w:rPr>
          <w:rFonts w:asciiTheme="majorHAnsi" w:hAnsiTheme="majorHAnsi" w:cs="Times New Roman"/>
          <w:b w:val="0"/>
          <w:sz w:val="24"/>
          <w:szCs w:val="24"/>
        </w:rPr>
        <w:t>,</w:t>
      </w:r>
      <w:r w:rsidR="00E24AD8" w:rsidRPr="00E24AD8">
        <w:rPr>
          <w:rFonts w:asciiTheme="majorHAnsi" w:hAnsiTheme="majorHAnsi" w:cs="Times New Roman"/>
          <w:b w:val="0"/>
          <w:sz w:val="24"/>
          <w:szCs w:val="24"/>
        </w:rPr>
        <w:t xml:space="preserve"> </w:t>
      </w:r>
      <w:r w:rsidRPr="00E24AD8">
        <w:rPr>
          <w:rFonts w:asciiTheme="majorHAnsi" w:hAnsiTheme="majorHAnsi" w:cs="Times New Roman"/>
          <w:b w:val="0"/>
          <w:sz w:val="24"/>
          <w:szCs w:val="24"/>
        </w:rPr>
        <w:t>HG nr. 950/2013 pentru aprobarea Regulamentului privind cerințele de colectare, epurare și deversare a apelor uzate în sistemul de canalizare și/sau în corpuri de apă pentru localitățile urbane și rurale</w:t>
      </w:r>
      <w:r w:rsidR="00E24AD8">
        <w:rPr>
          <w:rFonts w:asciiTheme="majorHAnsi" w:hAnsiTheme="majorHAnsi" w:cs="Times New Roman"/>
          <w:b w:val="0"/>
          <w:sz w:val="24"/>
          <w:szCs w:val="24"/>
        </w:rPr>
        <w:t>,</w:t>
      </w:r>
      <w:r w:rsidR="00E24AD8" w:rsidRPr="00E24AD8">
        <w:rPr>
          <w:rFonts w:asciiTheme="majorHAnsi" w:hAnsiTheme="majorHAnsi" w:cs="Times New Roman"/>
          <w:b w:val="0"/>
          <w:sz w:val="24"/>
          <w:szCs w:val="24"/>
        </w:rPr>
        <w:t xml:space="preserve"> </w:t>
      </w:r>
      <w:r w:rsidRPr="00E24AD8">
        <w:rPr>
          <w:rFonts w:asciiTheme="majorHAnsi" w:hAnsiTheme="majorHAnsi" w:cs="Times New Roman"/>
          <w:b w:val="0"/>
          <w:sz w:val="24"/>
          <w:szCs w:val="24"/>
        </w:rPr>
        <w:t>HG nr. 1466/2016  pentru aprobarea Regulamentului sanitar privind sistemele mici de alimentare cu apă potabilă și altele, armonizat la cadrul normativ european, totuși acesta în pofida revizuirilor efectuate, nu acoperă întru totul domeniul reglementat, fiind recunoscută necesitatea de actualizare și completare cu norme care se impun de scăderea calității apei din ultima perioadă.</w:t>
      </w:r>
    </w:p>
    <w:p w:rsidR="003F4E1F" w:rsidRPr="008376FC" w:rsidRDefault="003F4E1F" w:rsidP="00F61756">
      <w:pPr>
        <w:spacing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Totuși</w:t>
      </w:r>
      <w:r w:rsidR="00CF3E57">
        <w:rPr>
          <w:rFonts w:asciiTheme="majorHAnsi" w:hAnsiTheme="majorHAnsi" w:cs="Times New Roman"/>
          <w:b w:val="0"/>
          <w:sz w:val="24"/>
          <w:szCs w:val="24"/>
        </w:rPr>
        <w:t>,</w:t>
      </w:r>
      <w:r w:rsidRPr="008376FC">
        <w:rPr>
          <w:rFonts w:asciiTheme="majorHAnsi" w:hAnsiTheme="majorHAnsi" w:cs="Times New Roman"/>
          <w:b w:val="0"/>
          <w:sz w:val="24"/>
          <w:szCs w:val="24"/>
        </w:rPr>
        <w:t xml:space="preserve"> având în vedere situația precară a calității apei în Republica Moldova, determinată de diverși factori, atât antropici</w:t>
      </w:r>
      <w:r w:rsidR="00CF3E57">
        <w:rPr>
          <w:rFonts w:asciiTheme="majorHAnsi" w:hAnsiTheme="majorHAnsi" w:cs="Times New Roman"/>
          <w:b w:val="0"/>
          <w:sz w:val="24"/>
          <w:szCs w:val="24"/>
        </w:rPr>
        <w:t>,</w:t>
      </w:r>
      <w:r w:rsidRPr="008376FC">
        <w:rPr>
          <w:rFonts w:asciiTheme="majorHAnsi" w:hAnsiTheme="majorHAnsi" w:cs="Times New Roman"/>
          <w:b w:val="0"/>
          <w:sz w:val="24"/>
          <w:szCs w:val="24"/>
        </w:rPr>
        <w:t xml:space="preserve"> cât și naturali, a fost elaborat și aprobat Programul național privind implementarea Protocolului privind Apa și Sănătatea în Republica Moldova pentru anii 2016-2025, responsabili de implementarea căruia sunt Ministerul Sănătății și Ministerul Mediului. </w:t>
      </w:r>
      <w:r w:rsidR="00CF3E57">
        <w:rPr>
          <w:rFonts w:asciiTheme="majorHAnsi" w:hAnsiTheme="majorHAnsi" w:cs="Times New Roman"/>
          <w:b w:val="0"/>
          <w:sz w:val="24"/>
          <w:szCs w:val="24"/>
        </w:rPr>
        <w:t>Întrucât</w:t>
      </w:r>
      <w:r w:rsidRPr="008376FC">
        <w:rPr>
          <w:rFonts w:asciiTheme="majorHAnsi" w:hAnsiTheme="majorHAnsi" w:cs="Times New Roman"/>
          <w:b w:val="0"/>
          <w:sz w:val="24"/>
          <w:szCs w:val="24"/>
        </w:rPr>
        <w:t xml:space="preserve"> scopurile Protocolului sunt de a planifica măsurile în domeniile vizate şi de a asigura ambianţa bună între apă şi sănătate, prin stabilirea indicatorilor</w:t>
      </w:r>
      <w:r w:rsidR="00CF3E57">
        <w:rPr>
          <w:rFonts w:asciiTheme="majorHAnsi" w:hAnsiTheme="majorHAnsi" w:cs="Times New Roman"/>
          <w:b w:val="0"/>
          <w:sz w:val="24"/>
          <w:szCs w:val="24"/>
        </w:rPr>
        <w:t>-</w:t>
      </w:r>
      <w:r w:rsidRPr="008376FC">
        <w:rPr>
          <w:rFonts w:asciiTheme="majorHAnsi" w:hAnsiTheme="majorHAnsi" w:cs="Times New Roman"/>
          <w:b w:val="0"/>
          <w:sz w:val="24"/>
          <w:szCs w:val="24"/>
        </w:rPr>
        <w:t>ţintă, prin evaluarea termen</w:t>
      </w:r>
      <w:r w:rsidR="00CF3E57">
        <w:rPr>
          <w:rFonts w:asciiTheme="majorHAnsi" w:hAnsiTheme="majorHAnsi" w:cs="Times New Roman"/>
          <w:b w:val="0"/>
          <w:sz w:val="24"/>
          <w:szCs w:val="24"/>
        </w:rPr>
        <w:t>e</w:t>
      </w:r>
      <w:r w:rsidRPr="008376FC">
        <w:rPr>
          <w:rFonts w:asciiTheme="majorHAnsi" w:hAnsiTheme="majorHAnsi" w:cs="Times New Roman"/>
          <w:b w:val="0"/>
          <w:sz w:val="24"/>
          <w:szCs w:val="24"/>
        </w:rPr>
        <w:t>lor de realizare, stabilirea unui monitoring privind realizarea, rapoartele sistematice emise de autorități trebuie să prezinte rezultatele obţinute în domeniul asigurării managementului adecvat al apelor, asigurării cu apă potabilă calitativă şi canalizare a populaţiei RM. În acest context se subliniază că autoritățile responsabile se află în proces de implementare a acțiunilor în vederea atingerii indicatorilor-țintă pentru cele 20 de domenii până în anul 2025, reieşind din competenţele şi responsabilităţile prevăzute în legislaţia naţională</w:t>
      </w:r>
      <w:r w:rsidR="006A17FE">
        <w:rPr>
          <w:rFonts w:asciiTheme="majorHAnsi" w:hAnsiTheme="majorHAnsi" w:cs="Times New Roman"/>
          <w:b w:val="0"/>
          <w:sz w:val="24"/>
          <w:szCs w:val="24"/>
        </w:rPr>
        <w:t>,</w:t>
      </w:r>
      <w:r w:rsidRPr="008376FC">
        <w:rPr>
          <w:rFonts w:asciiTheme="majorHAnsi" w:hAnsiTheme="majorHAnsi" w:cs="Times New Roman"/>
          <w:b w:val="0"/>
          <w:sz w:val="24"/>
          <w:szCs w:val="24"/>
        </w:rPr>
        <w:t xml:space="preserve"> convenţiile şi acordurile internaţionale, ratificate de către Republica Moldova.</w:t>
      </w:r>
      <w:r w:rsidRPr="008376FC">
        <w:rPr>
          <w:rFonts w:asciiTheme="majorHAnsi" w:hAnsiTheme="majorHAnsi"/>
          <w:b w:val="0"/>
        </w:rPr>
        <w:t xml:space="preserve"> </w:t>
      </w:r>
    </w:p>
    <w:p w:rsidR="003F4E1F" w:rsidRPr="008376FC" w:rsidRDefault="003F4E1F" w:rsidP="00F61756">
      <w:pPr>
        <w:spacing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Totodată</w:t>
      </w:r>
      <w:r w:rsidR="006A17FE">
        <w:rPr>
          <w:rFonts w:asciiTheme="majorHAnsi" w:hAnsiTheme="majorHAnsi" w:cs="Times New Roman"/>
          <w:b w:val="0"/>
          <w:sz w:val="24"/>
          <w:szCs w:val="24"/>
        </w:rPr>
        <w:t>,</w:t>
      </w:r>
      <w:r w:rsidRPr="008376FC">
        <w:rPr>
          <w:rFonts w:asciiTheme="majorHAnsi" w:hAnsiTheme="majorHAnsi" w:cs="Times New Roman"/>
          <w:b w:val="0"/>
          <w:sz w:val="24"/>
          <w:szCs w:val="24"/>
        </w:rPr>
        <w:t xml:space="preserve"> se subliniază că autoritățile responsabile încă înregistrează întârzieri în elaborarea complexă a cadrului normativ național privind asigurarea calității apei potabile, fapt ce limitează capacitatea autorităților de a controla exhaustiv toate etapele de implementare a rețelei de aprovizionare cu apă</w:t>
      </w:r>
      <w:r w:rsidR="006A17FE">
        <w:rPr>
          <w:rFonts w:asciiTheme="majorHAnsi" w:hAnsiTheme="majorHAnsi" w:cs="Times New Roman"/>
          <w:b w:val="0"/>
          <w:sz w:val="24"/>
          <w:szCs w:val="24"/>
        </w:rPr>
        <w:t>,</w:t>
      </w:r>
      <w:r w:rsidRPr="008376FC">
        <w:rPr>
          <w:rFonts w:asciiTheme="majorHAnsi" w:hAnsiTheme="majorHAnsi" w:cs="Times New Roman"/>
          <w:b w:val="0"/>
          <w:sz w:val="24"/>
          <w:szCs w:val="24"/>
        </w:rPr>
        <w:t xml:space="preserve"> precum și de furnizare a unei ape potabile tuturor cetățenilor. Până la momentul actual autoritățile încă nu au aprobat Regulamentul sanitar privind supravegherea şi monitorizarea calităţii apei potabile, care are rolul de a determina indicatorii de monitorizare a calității apei destinate consumului uman. </w:t>
      </w:r>
      <w:r w:rsidR="006A17FE">
        <w:rPr>
          <w:rFonts w:asciiTheme="majorHAnsi" w:hAnsiTheme="majorHAnsi" w:cs="Times New Roman"/>
          <w:b w:val="0"/>
          <w:sz w:val="24"/>
          <w:szCs w:val="24"/>
        </w:rPr>
        <w:t>În prezent</w:t>
      </w:r>
      <w:r w:rsidRPr="008376FC">
        <w:rPr>
          <w:rFonts w:asciiTheme="majorHAnsi" w:hAnsiTheme="majorHAnsi" w:cs="Times New Roman"/>
          <w:b w:val="0"/>
          <w:sz w:val="24"/>
          <w:szCs w:val="24"/>
        </w:rPr>
        <w:t>, ANSP întâmpină dificultăți în asigurarea selectării  probelor în baza analizei riscurilor, reieșind din teritorii</w:t>
      </w:r>
      <w:r w:rsidR="006A17FE">
        <w:rPr>
          <w:rFonts w:asciiTheme="majorHAnsi" w:hAnsiTheme="majorHAnsi" w:cs="Times New Roman"/>
          <w:b w:val="0"/>
          <w:sz w:val="24"/>
          <w:szCs w:val="24"/>
        </w:rPr>
        <w:t>le</w:t>
      </w:r>
      <w:r w:rsidRPr="008376FC">
        <w:rPr>
          <w:rFonts w:asciiTheme="majorHAnsi" w:hAnsiTheme="majorHAnsi" w:cs="Times New Roman"/>
          <w:b w:val="0"/>
          <w:sz w:val="24"/>
          <w:szCs w:val="24"/>
        </w:rPr>
        <w:t xml:space="preserve"> concrete, precum și în alte aspecte care ar asigura analiza contaminării apelor freatice și de adâncime, monitorizarea calității obiectivelor de mediu sau îndeplinirea măsurilor de supraveghere a factorilor de risc. Or</w:t>
      </w:r>
      <w:r w:rsidR="00BF1940">
        <w:rPr>
          <w:rFonts w:asciiTheme="majorHAnsi" w:hAnsiTheme="majorHAnsi" w:cs="Times New Roman"/>
          <w:b w:val="0"/>
          <w:sz w:val="24"/>
          <w:szCs w:val="24"/>
        </w:rPr>
        <w:t>,</w:t>
      </w:r>
      <w:r w:rsidRPr="008376FC">
        <w:rPr>
          <w:rFonts w:asciiTheme="majorHAnsi" w:hAnsiTheme="majorHAnsi" w:cs="Times New Roman"/>
          <w:b w:val="0"/>
          <w:sz w:val="24"/>
          <w:szCs w:val="24"/>
        </w:rPr>
        <w:t xml:space="preserve"> actul normativ este unul necesar pentru completarea Legii nr.182/2019 privind calitatea apei potabile</w:t>
      </w:r>
      <w:r w:rsidR="00BF1940">
        <w:rPr>
          <w:rFonts w:asciiTheme="majorHAnsi" w:hAnsiTheme="majorHAnsi" w:cs="Times New Roman"/>
          <w:b w:val="0"/>
          <w:sz w:val="24"/>
          <w:szCs w:val="24"/>
        </w:rPr>
        <w:t>,</w:t>
      </w:r>
      <w:r w:rsidRPr="008376FC">
        <w:rPr>
          <w:rFonts w:asciiTheme="majorHAnsi" w:hAnsiTheme="majorHAnsi" w:cs="Times New Roman"/>
          <w:b w:val="0"/>
          <w:sz w:val="24"/>
          <w:szCs w:val="24"/>
        </w:rPr>
        <w:t xml:space="preserve"> fiind unul specific care reglementează acțiuni întreprinse în cadrul supravegherii și monitorizării apei potabile, act elaborat în baza art. 6 și art. 10 din Legea </w:t>
      </w:r>
      <w:r w:rsidR="00BF1940">
        <w:rPr>
          <w:rFonts w:asciiTheme="majorHAnsi" w:hAnsiTheme="majorHAnsi" w:cs="Times New Roman"/>
          <w:b w:val="0"/>
          <w:sz w:val="24"/>
          <w:szCs w:val="24"/>
        </w:rPr>
        <w:t>nr.</w:t>
      </w:r>
      <w:r w:rsidRPr="008376FC">
        <w:rPr>
          <w:rFonts w:asciiTheme="majorHAnsi" w:hAnsiTheme="majorHAnsi" w:cs="Times New Roman"/>
          <w:b w:val="0"/>
          <w:sz w:val="24"/>
          <w:szCs w:val="24"/>
        </w:rPr>
        <w:t>10/2009 privind supravegherea de stat a sănătății publice.</w:t>
      </w:r>
    </w:p>
    <w:p w:rsidR="003F4E1F" w:rsidRPr="008376FC" w:rsidRDefault="003F4E1F" w:rsidP="00F61756">
      <w:pPr>
        <w:spacing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MM, MIDR, MS, ASP,  producătorii de apă potabilă și operatorii sunt actorii responsabili de asigurarea calității apei potabile, fiecare din ace</w:t>
      </w:r>
      <w:r w:rsidR="00BF1940">
        <w:rPr>
          <w:rFonts w:asciiTheme="majorHAnsi" w:hAnsiTheme="majorHAnsi" w:cs="Times New Roman"/>
          <w:b w:val="0"/>
          <w:sz w:val="24"/>
          <w:szCs w:val="24"/>
        </w:rPr>
        <w:t>ș</w:t>
      </w:r>
      <w:r w:rsidRPr="008376FC">
        <w:rPr>
          <w:rFonts w:asciiTheme="majorHAnsi" w:hAnsiTheme="majorHAnsi" w:cs="Times New Roman"/>
          <w:b w:val="0"/>
          <w:sz w:val="24"/>
          <w:szCs w:val="24"/>
        </w:rPr>
        <w:t>t</w:t>
      </w:r>
      <w:r w:rsidR="00BF1940">
        <w:rPr>
          <w:rFonts w:asciiTheme="majorHAnsi" w:hAnsiTheme="majorHAnsi" w:cs="Times New Roman"/>
          <w:b w:val="0"/>
          <w:sz w:val="24"/>
          <w:szCs w:val="24"/>
        </w:rPr>
        <w:t>i</w:t>
      </w:r>
      <w:r w:rsidRPr="008376FC">
        <w:rPr>
          <w:rFonts w:asciiTheme="majorHAnsi" w:hAnsiTheme="majorHAnsi" w:cs="Times New Roman"/>
          <w:b w:val="0"/>
          <w:sz w:val="24"/>
          <w:szCs w:val="24"/>
        </w:rPr>
        <w:t xml:space="preserve">a având roluri determinate, care se prezină în Anexa nr. 14 la prezentul Raport de audit. </w:t>
      </w:r>
    </w:p>
    <w:p w:rsidR="003F4E1F" w:rsidRPr="008376FC" w:rsidRDefault="000056B2" w:rsidP="00F61756">
      <w:pPr>
        <w:spacing w:line="276" w:lineRule="auto"/>
        <w:jc w:val="both"/>
        <w:rPr>
          <w:rFonts w:asciiTheme="majorHAnsi" w:hAnsiTheme="majorHAnsi" w:cstheme="majorHAnsi"/>
          <w:color w:val="0070C0"/>
          <w:sz w:val="24"/>
          <w:szCs w:val="24"/>
        </w:rPr>
      </w:pPr>
      <w:r w:rsidRPr="008376FC">
        <w:rPr>
          <w:rFonts w:asciiTheme="majorHAnsi" w:hAnsiTheme="majorHAnsi" w:cstheme="majorHAnsi"/>
          <w:color w:val="0070C0"/>
          <w:sz w:val="24"/>
          <w:szCs w:val="24"/>
        </w:rPr>
        <w:t>4.4.2. Calitatea apei potabile depinde nu doar de echipamentele de captare, filtrare și trata</w:t>
      </w:r>
      <w:r w:rsidR="00D92A12" w:rsidRPr="008376FC">
        <w:rPr>
          <w:rFonts w:asciiTheme="majorHAnsi" w:hAnsiTheme="majorHAnsi" w:cstheme="majorHAnsi"/>
          <w:color w:val="0070C0"/>
          <w:sz w:val="24"/>
          <w:szCs w:val="24"/>
        </w:rPr>
        <w:t>r</w:t>
      </w:r>
      <w:r w:rsidRPr="008376FC">
        <w:rPr>
          <w:rFonts w:asciiTheme="majorHAnsi" w:hAnsiTheme="majorHAnsi" w:cstheme="majorHAnsi"/>
          <w:color w:val="0070C0"/>
          <w:sz w:val="24"/>
          <w:szCs w:val="24"/>
        </w:rPr>
        <w:t>e</w:t>
      </w:r>
      <w:r w:rsidR="00BF1940">
        <w:rPr>
          <w:rFonts w:asciiTheme="majorHAnsi" w:hAnsiTheme="majorHAnsi" w:cstheme="majorHAnsi"/>
          <w:color w:val="0070C0"/>
          <w:sz w:val="24"/>
          <w:szCs w:val="24"/>
        </w:rPr>
        <w:t>,</w:t>
      </w:r>
      <w:r w:rsidRPr="008376FC">
        <w:rPr>
          <w:rFonts w:asciiTheme="majorHAnsi" w:hAnsiTheme="majorHAnsi" w:cstheme="majorHAnsi"/>
          <w:color w:val="0070C0"/>
          <w:sz w:val="24"/>
          <w:szCs w:val="24"/>
        </w:rPr>
        <w:t xml:space="preserve"> dar și de originea acesteia</w:t>
      </w:r>
      <w:r w:rsidR="00BF1940">
        <w:rPr>
          <w:rFonts w:asciiTheme="majorHAnsi" w:hAnsiTheme="majorHAnsi" w:cstheme="majorHAnsi"/>
          <w:color w:val="0070C0"/>
          <w:sz w:val="24"/>
          <w:szCs w:val="24"/>
        </w:rPr>
        <w:t>.</w:t>
      </w:r>
    </w:p>
    <w:p w:rsidR="003F4E1F" w:rsidRPr="008376FC" w:rsidRDefault="003F4E1F" w:rsidP="00F61756">
      <w:pPr>
        <w:spacing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 xml:space="preserve">Potrivit cadrului normativ național, apa potabilă </w:t>
      </w:r>
      <w:r w:rsidRPr="008376FC">
        <w:rPr>
          <w:rFonts w:asciiTheme="majorHAnsi" w:hAnsiTheme="majorHAnsi" w:cs="Times New Roman"/>
          <w:b w:val="0"/>
          <w:iCs/>
          <w:sz w:val="24"/>
          <w:szCs w:val="24"/>
        </w:rPr>
        <w:t>trebuie să fie sanogenă și curată îndeplinind anumite condiții de calitate</w:t>
      </w:r>
      <w:r w:rsidRPr="008376FC">
        <w:rPr>
          <w:rFonts w:asciiTheme="majorHAnsi" w:hAnsiTheme="majorHAnsi" w:cs="Times New Roman"/>
          <w:b w:val="0"/>
          <w:iCs/>
          <w:sz w:val="24"/>
          <w:szCs w:val="24"/>
          <w:vertAlign w:val="superscript"/>
        </w:rPr>
        <w:footnoteReference w:id="114"/>
      </w:r>
      <w:r w:rsidRPr="008376FC">
        <w:rPr>
          <w:rFonts w:asciiTheme="majorHAnsi" w:hAnsiTheme="majorHAnsi" w:cs="Times New Roman"/>
          <w:b w:val="0"/>
          <w:iCs/>
          <w:sz w:val="24"/>
          <w:szCs w:val="24"/>
        </w:rPr>
        <w:t>.</w:t>
      </w:r>
      <w:r w:rsidRPr="008376FC">
        <w:rPr>
          <w:rFonts w:asciiTheme="majorHAnsi" w:hAnsiTheme="majorHAnsi" w:cs="Times New Roman"/>
          <w:b w:val="0"/>
          <w:sz w:val="24"/>
          <w:szCs w:val="24"/>
        </w:rPr>
        <w:t xml:space="preserve"> Acest fapt înseamnă că apa trebuie să fie lipsită de microorganisme, paraziți sau substanțe care, prin număr sau concentrație, constituie un pericol potențial pentru sănătatea umană</w:t>
      </w:r>
      <w:r w:rsidR="00BF1940">
        <w:rPr>
          <w:rFonts w:asciiTheme="majorHAnsi" w:hAnsiTheme="majorHAnsi" w:cs="Times New Roman"/>
          <w:b w:val="0"/>
          <w:sz w:val="24"/>
          <w:szCs w:val="24"/>
        </w:rPr>
        <w:t>,</w:t>
      </w:r>
      <w:r w:rsidRPr="008376FC">
        <w:rPr>
          <w:rFonts w:asciiTheme="majorHAnsi" w:hAnsiTheme="majorHAnsi" w:cs="Times New Roman"/>
          <w:b w:val="0"/>
          <w:sz w:val="24"/>
          <w:szCs w:val="24"/>
        </w:rPr>
        <w:t xml:space="preserve"> precum și să nu depășească anumiți parametri microbiologici și chimici stabiliți în Anexele la Legea </w:t>
      </w:r>
      <w:r w:rsidR="00BF1940">
        <w:rPr>
          <w:rFonts w:asciiTheme="majorHAnsi" w:hAnsiTheme="majorHAnsi" w:cs="Times New Roman"/>
          <w:b w:val="0"/>
          <w:sz w:val="24"/>
          <w:szCs w:val="24"/>
        </w:rPr>
        <w:t>nr.</w:t>
      </w:r>
      <w:r w:rsidRPr="008376FC">
        <w:rPr>
          <w:rFonts w:asciiTheme="majorHAnsi" w:hAnsiTheme="majorHAnsi" w:cs="Times New Roman"/>
          <w:b w:val="0"/>
          <w:sz w:val="24"/>
          <w:szCs w:val="24"/>
        </w:rPr>
        <w:t xml:space="preserve">182/2019 privind calitatea apei potabile. Se subliniază că aprobarea în 2019 a unei legi privind calitatea apei potabile oferă fundament pentru implementarea planurilor de siguranță a apei potabile. </w:t>
      </w:r>
    </w:p>
    <w:p w:rsidR="003F4E1F" w:rsidRPr="008376FC" w:rsidRDefault="003F4E1F" w:rsidP="00F61756">
      <w:pPr>
        <w:spacing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 xml:space="preserve">În conformitate cu rapoartele încercărilor de laborator efectuate de către laboratoarele CSP teritoriale ale Agenţiei Naţionale pentru Sănătate Publică </w:t>
      </w:r>
      <w:r w:rsidR="00774CF6">
        <w:rPr>
          <w:rFonts w:asciiTheme="majorHAnsi" w:hAnsiTheme="majorHAnsi" w:cs="Times New Roman"/>
          <w:b w:val="0"/>
          <w:sz w:val="24"/>
          <w:szCs w:val="24"/>
        </w:rPr>
        <w:t xml:space="preserve"> se </w:t>
      </w:r>
      <w:r w:rsidRPr="008376FC">
        <w:rPr>
          <w:rFonts w:asciiTheme="majorHAnsi" w:hAnsiTheme="majorHAnsi" w:cs="Times New Roman"/>
          <w:b w:val="0"/>
          <w:sz w:val="24"/>
          <w:szCs w:val="24"/>
        </w:rPr>
        <w:t>relevă că ponderea probelor neconforme normelor sanitare la parametrii chimici</w:t>
      </w:r>
      <w:r w:rsidR="00BF1940">
        <w:rPr>
          <w:rFonts w:asciiTheme="majorHAnsi" w:hAnsiTheme="majorHAnsi" w:cs="Times New Roman"/>
          <w:b w:val="0"/>
          <w:sz w:val="24"/>
          <w:szCs w:val="24"/>
        </w:rPr>
        <w:t>,</w:t>
      </w:r>
      <w:r w:rsidRPr="008376FC">
        <w:rPr>
          <w:rFonts w:asciiTheme="majorHAnsi" w:hAnsiTheme="majorHAnsi" w:cs="Times New Roman"/>
          <w:b w:val="0"/>
          <w:sz w:val="24"/>
          <w:szCs w:val="24"/>
        </w:rPr>
        <w:t xml:space="preserve"> prelevate și examinate din sondele arteziene în ultimii 5 ani</w:t>
      </w:r>
      <w:r w:rsidR="00BF1940">
        <w:rPr>
          <w:rFonts w:asciiTheme="majorHAnsi" w:hAnsiTheme="majorHAnsi" w:cs="Times New Roman"/>
          <w:b w:val="0"/>
          <w:sz w:val="24"/>
          <w:szCs w:val="24"/>
        </w:rPr>
        <w:t>,</w:t>
      </w:r>
      <w:r w:rsidRPr="008376FC">
        <w:rPr>
          <w:rFonts w:asciiTheme="majorHAnsi" w:hAnsiTheme="majorHAnsi" w:cs="Times New Roman"/>
          <w:b w:val="0"/>
          <w:sz w:val="24"/>
          <w:szCs w:val="24"/>
        </w:rPr>
        <w:t xml:space="preserve"> a constituit în medie 65%, inclusiv după conţinutul de nitraţi – 5 %, după conţinutul de fluor </w:t>
      </w:r>
      <w:r w:rsidR="00BF1940" w:rsidRPr="008376FC">
        <w:rPr>
          <w:rFonts w:asciiTheme="majorHAnsi" w:hAnsiTheme="majorHAnsi" w:cs="Times New Roman"/>
          <w:b w:val="0"/>
          <w:sz w:val="24"/>
          <w:szCs w:val="24"/>
        </w:rPr>
        <w:t xml:space="preserve">– </w:t>
      </w:r>
      <w:r w:rsidRPr="008376FC">
        <w:rPr>
          <w:rFonts w:asciiTheme="majorHAnsi" w:hAnsiTheme="majorHAnsi" w:cs="Times New Roman"/>
          <w:b w:val="0"/>
          <w:sz w:val="24"/>
          <w:szCs w:val="24"/>
        </w:rPr>
        <w:t>28%</w:t>
      </w:r>
      <w:r w:rsidR="00BF1940">
        <w:rPr>
          <w:rFonts w:asciiTheme="majorHAnsi" w:hAnsiTheme="majorHAnsi" w:cs="Times New Roman"/>
          <w:b w:val="0"/>
          <w:sz w:val="24"/>
          <w:szCs w:val="24"/>
        </w:rPr>
        <w:t>,</w:t>
      </w:r>
      <w:r w:rsidRPr="008376FC">
        <w:rPr>
          <w:rFonts w:asciiTheme="majorHAnsi" w:hAnsiTheme="majorHAnsi" w:cs="Times New Roman"/>
          <w:b w:val="0"/>
          <w:sz w:val="24"/>
          <w:szCs w:val="24"/>
        </w:rPr>
        <w:t xml:space="preserve"> şi conţinutul de fier – 7,2%. Cauzele care au determinat această situaţie </w:t>
      </w:r>
      <w:r w:rsidR="00BF1940">
        <w:rPr>
          <w:rFonts w:asciiTheme="majorHAnsi" w:hAnsiTheme="majorHAnsi" w:cs="Times New Roman"/>
          <w:b w:val="0"/>
          <w:sz w:val="24"/>
          <w:szCs w:val="24"/>
        </w:rPr>
        <w:t>sunt</w:t>
      </w:r>
      <w:r w:rsidRPr="008376FC">
        <w:rPr>
          <w:rFonts w:asciiTheme="majorHAnsi" w:hAnsiTheme="majorHAnsi" w:cs="Times New Roman"/>
          <w:b w:val="0"/>
          <w:sz w:val="24"/>
          <w:szCs w:val="24"/>
        </w:rPr>
        <w:t xml:space="preserve"> legat</w:t>
      </w:r>
      <w:r w:rsidR="00BF1940">
        <w:rPr>
          <w:rFonts w:asciiTheme="majorHAnsi" w:hAnsiTheme="majorHAnsi" w:cs="Times New Roman"/>
          <w:b w:val="0"/>
          <w:sz w:val="24"/>
          <w:szCs w:val="24"/>
        </w:rPr>
        <w:t>e</w:t>
      </w:r>
      <w:r w:rsidRPr="008376FC">
        <w:rPr>
          <w:rFonts w:asciiTheme="majorHAnsi" w:hAnsiTheme="majorHAnsi" w:cs="Times New Roman"/>
          <w:b w:val="0"/>
          <w:sz w:val="24"/>
          <w:szCs w:val="24"/>
        </w:rPr>
        <w:t xml:space="preserve"> în primul rând de prezenţa acestor elemente – fluorul, în compoziţia fizico-geologică a solului; conţinutul ridicat de nitraţi este condiţionat de insalubritatea localităţilor, nerespectarea de către populaţie a principiului curăţeniei şi aruncarea dejecţiilor animale; amplasarea latrinelor, closetelor în apropierea surselor de apă.</w:t>
      </w:r>
    </w:p>
    <w:p w:rsidR="003F4E1F" w:rsidRPr="008376FC" w:rsidRDefault="003F4E1F" w:rsidP="00F61756">
      <w:pPr>
        <w:pStyle w:val="Default"/>
        <w:spacing w:line="276" w:lineRule="auto"/>
        <w:jc w:val="both"/>
        <w:rPr>
          <w:rFonts w:asciiTheme="majorHAnsi" w:hAnsiTheme="majorHAnsi"/>
          <w:color w:val="auto"/>
          <w:lang w:val="ro-RO"/>
        </w:rPr>
      </w:pPr>
      <w:r w:rsidRPr="008376FC">
        <w:rPr>
          <w:rFonts w:asciiTheme="majorHAnsi" w:hAnsiTheme="majorHAnsi"/>
          <w:color w:val="auto"/>
          <w:lang w:val="ro-RO"/>
        </w:rPr>
        <w:t>Totodată</w:t>
      </w:r>
      <w:r w:rsidR="00BF1940">
        <w:rPr>
          <w:rFonts w:asciiTheme="majorHAnsi" w:hAnsiTheme="majorHAnsi"/>
          <w:color w:val="auto"/>
          <w:lang w:val="ro-RO"/>
        </w:rPr>
        <w:t>,</w:t>
      </w:r>
      <w:r w:rsidRPr="008376FC">
        <w:rPr>
          <w:rFonts w:asciiTheme="majorHAnsi" w:hAnsiTheme="majorHAnsi"/>
          <w:color w:val="auto"/>
          <w:lang w:val="ro-RO"/>
        </w:rPr>
        <w:t xml:space="preserve"> cota-parte a probelor ce nu corespund parametrilor microbiologici este de cca 20%, fiind în creștere, inclusiv fiind identificat conţinut </w:t>
      </w:r>
      <w:r w:rsidR="00BF1940">
        <w:rPr>
          <w:rFonts w:asciiTheme="majorHAnsi" w:hAnsiTheme="majorHAnsi"/>
          <w:color w:val="auto"/>
          <w:lang w:val="ro-RO"/>
        </w:rPr>
        <w:t xml:space="preserve">de </w:t>
      </w:r>
      <w:r w:rsidRPr="008376FC">
        <w:rPr>
          <w:rFonts w:asciiTheme="majorHAnsi" w:hAnsiTheme="majorHAnsi"/>
          <w:color w:val="auto"/>
          <w:lang w:val="ro-RO"/>
        </w:rPr>
        <w:t>E Coli. Cauzele contaminării surselor de apă sunt lipsa sistemelor de epurare a apelor uzate, lipsa sistemelor de canalizare în localităţi, precum şi insalubritatea localităţilor. Situaţia cea mai nefavorabilă se înregistrează în raioanele Anenii</w:t>
      </w:r>
      <w:r w:rsidR="00BF1940">
        <w:rPr>
          <w:rFonts w:asciiTheme="majorHAnsi" w:hAnsiTheme="majorHAnsi"/>
          <w:color w:val="auto"/>
          <w:lang w:val="ro-RO"/>
        </w:rPr>
        <w:t xml:space="preserve"> </w:t>
      </w:r>
      <w:r w:rsidRPr="008376FC">
        <w:rPr>
          <w:rFonts w:asciiTheme="majorHAnsi" w:hAnsiTheme="majorHAnsi"/>
          <w:color w:val="auto"/>
          <w:lang w:val="ro-RO"/>
        </w:rPr>
        <w:t>Noi, Căuşeni, Făleşti, R</w:t>
      </w:r>
      <w:r w:rsidR="00BF1940">
        <w:rPr>
          <w:rFonts w:asciiTheme="majorHAnsi" w:hAnsiTheme="majorHAnsi"/>
          <w:color w:val="auto"/>
          <w:lang w:val="ro-RO"/>
        </w:rPr>
        <w:t>â</w:t>
      </w:r>
      <w:r w:rsidRPr="008376FC">
        <w:rPr>
          <w:rFonts w:asciiTheme="majorHAnsi" w:hAnsiTheme="majorHAnsi"/>
          <w:color w:val="auto"/>
          <w:lang w:val="ro-RO"/>
        </w:rPr>
        <w:t>şcani, Ungheni, Ştefan</w:t>
      </w:r>
      <w:r w:rsidR="00BF1940">
        <w:rPr>
          <w:rFonts w:asciiTheme="majorHAnsi" w:hAnsiTheme="majorHAnsi"/>
          <w:color w:val="auto"/>
          <w:lang w:val="ro-RO"/>
        </w:rPr>
        <w:t xml:space="preserve"> </w:t>
      </w:r>
      <w:r w:rsidRPr="008376FC">
        <w:rPr>
          <w:rFonts w:asciiTheme="majorHAnsi" w:hAnsiTheme="majorHAnsi"/>
          <w:color w:val="auto"/>
          <w:lang w:val="ro-RO"/>
        </w:rPr>
        <w:t>Vodă, Taraclia, H</w:t>
      </w:r>
      <w:r w:rsidR="00BF1940">
        <w:rPr>
          <w:rFonts w:asciiTheme="majorHAnsi" w:hAnsiTheme="majorHAnsi"/>
          <w:color w:val="auto"/>
          <w:lang w:val="ro-RO"/>
        </w:rPr>
        <w:t>â</w:t>
      </w:r>
      <w:r w:rsidRPr="008376FC">
        <w:rPr>
          <w:rFonts w:asciiTheme="majorHAnsi" w:hAnsiTheme="majorHAnsi"/>
          <w:color w:val="auto"/>
          <w:lang w:val="ro-RO"/>
        </w:rPr>
        <w:t>nceşti şi Orhei.</w:t>
      </w:r>
    </w:p>
    <w:p w:rsidR="003F4E1F" w:rsidRPr="008376FC" w:rsidRDefault="003F4E1F" w:rsidP="00F61756">
      <w:pPr>
        <w:spacing w:line="276" w:lineRule="auto"/>
        <w:jc w:val="both"/>
        <w:rPr>
          <w:rFonts w:asciiTheme="majorHAnsi" w:hAnsiTheme="majorHAnsi" w:cs="Times New Roman"/>
          <w:b w:val="0"/>
          <w:color w:val="000000"/>
          <w:sz w:val="24"/>
          <w:szCs w:val="24"/>
        </w:rPr>
      </w:pPr>
      <w:r w:rsidRPr="008376FC">
        <w:rPr>
          <w:rFonts w:asciiTheme="majorHAnsi" w:hAnsiTheme="majorHAnsi" w:cs="Times New Roman"/>
          <w:b w:val="0"/>
          <w:color w:val="000000"/>
          <w:sz w:val="24"/>
          <w:szCs w:val="24"/>
        </w:rPr>
        <w:t>Calitatea slabă a surselor de apă, atât de suprafață, cât și subterane, compromite semnificativ furnizarea apei potabile sigure, afectând sănătatea umană și productivitatea economică. Situația este deosebit de nefavorabilă în zonele rurale, unde două din trei persoane se bazează pe apele subterane poluate de adâncime mică ca sursă principală de apă potabilă, iar accesul la sistemele de apă potabilă prin conducte cu tratament adecvat este redus.</w:t>
      </w:r>
    </w:p>
    <w:p w:rsidR="003F4E1F" w:rsidRPr="008376FC" w:rsidRDefault="003F4E1F" w:rsidP="00F61756">
      <w:pPr>
        <w:spacing w:line="276" w:lineRule="auto"/>
        <w:jc w:val="both"/>
        <w:rPr>
          <w:rFonts w:asciiTheme="majorHAnsi" w:hAnsiTheme="majorHAnsi" w:cs="Times New Roman"/>
          <w:b w:val="0"/>
          <w:color w:val="000000"/>
          <w:sz w:val="24"/>
          <w:szCs w:val="24"/>
        </w:rPr>
      </w:pPr>
      <w:r w:rsidRPr="008376FC">
        <w:rPr>
          <w:rFonts w:asciiTheme="majorHAnsi" w:hAnsiTheme="majorHAnsi" w:cs="Times New Roman"/>
          <w:b w:val="0"/>
          <w:color w:val="000000"/>
          <w:sz w:val="24"/>
          <w:szCs w:val="24"/>
        </w:rPr>
        <w:t>Poluarea înaltă provine din surse punctuale de ape uzate netratate, depozite de deșeuri insalubre, industrie, precum și din surse difuze, cum ar fi creșterea animalelor și sanitația deficitară în zone</w:t>
      </w:r>
      <w:r w:rsidR="00BF1940">
        <w:rPr>
          <w:rFonts w:asciiTheme="majorHAnsi" w:hAnsiTheme="majorHAnsi" w:cs="Times New Roman"/>
          <w:b w:val="0"/>
          <w:color w:val="000000"/>
          <w:sz w:val="24"/>
          <w:szCs w:val="24"/>
        </w:rPr>
        <w:t>le</w:t>
      </w:r>
      <w:r w:rsidRPr="008376FC">
        <w:rPr>
          <w:rFonts w:asciiTheme="majorHAnsi" w:hAnsiTheme="majorHAnsi" w:cs="Times New Roman"/>
          <w:b w:val="0"/>
          <w:color w:val="000000"/>
          <w:sz w:val="24"/>
          <w:szCs w:val="24"/>
        </w:rPr>
        <w:t xml:space="preserve"> rurale. În zonele urbane, ratele de colectare a apelor uzate sunt </w:t>
      </w:r>
      <w:r w:rsidR="00774CF6">
        <w:rPr>
          <w:rFonts w:asciiTheme="majorHAnsi" w:hAnsiTheme="majorHAnsi" w:cs="Times New Roman"/>
          <w:b w:val="0"/>
          <w:color w:val="000000"/>
          <w:sz w:val="24"/>
          <w:szCs w:val="24"/>
        </w:rPr>
        <w:t>foarte</w:t>
      </w:r>
      <w:r w:rsidR="00774CF6" w:rsidRPr="008376FC">
        <w:rPr>
          <w:rFonts w:asciiTheme="majorHAnsi" w:hAnsiTheme="majorHAnsi" w:cs="Times New Roman"/>
          <w:b w:val="0"/>
          <w:color w:val="000000"/>
          <w:sz w:val="24"/>
          <w:szCs w:val="24"/>
        </w:rPr>
        <w:t xml:space="preserve"> </w:t>
      </w:r>
      <w:r w:rsidRPr="008376FC">
        <w:rPr>
          <w:rFonts w:asciiTheme="majorHAnsi" w:hAnsiTheme="majorHAnsi" w:cs="Times New Roman"/>
          <w:b w:val="0"/>
          <w:color w:val="000000"/>
          <w:sz w:val="24"/>
          <w:szCs w:val="24"/>
        </w:rPr>
        <w:t xml:space="preserve">reduse, rata de </w:t>
      </w:r>
      <w:r w:rsidR="00D83104">
        <w:rPr>
          <w:rFonts w:asciiTheme="majorHAnsi" w:hAnsiTheme="majorHAnsi" w:cs="Times New Roman"/>
          <w:b w:val="0"/>
          <w:color w:val="000000"/>
          <w:sz w:val="24"/>
          <w:szCs w:val="24"/>
        </w:rPr>
        <w:t>epurare</w:t>
      </w:r>
      <w:r w:rsidRPr="008376FC">
        <w:rPr>
          <w:rFonts w:asciiTheme="majorHAnsi" w:hAnsiTheme="majorHAnsi" w:cs="Times New Roman"/>
          <w:b w:val="0"/>
          <w:color w:val="000000"/>
          <w:sz w:val="24"/>
          <w:szCs w:val="24"/>
        </w:rPr>
        <w:t xml:space="preserve"> </w:t>
      </w:r>
      <w:r w:rsidR="00774CF6">
        <w:rPr>
          <w:rFonts w:asciiTheme="majorHAnsi" w:hAnsiTheme="majorHAnsi" w:cs="Times New Roman"/>
          <w:b w:val="0"/>
          <w:color w:val="000000"/>
          <w:sz w:val="24"/>
          <w:szCs w:val="24"/>
        </w:rPr>
        <w:t xml:space="preserve">a acestora </w:t>
      </w:r>
      <w:r w:rsidR="00D83104">
        <w:rPr>
          <w:rFonts w:asciiTheme="majorHAnsi" w:hAnsiTheme="majorHAnsi" w:cs="Times New Roman"/>
          <w:b w:val="0"/>
          <w:color w:val="000000"/>
          <w:sz w:val="24"/>
          <w:szCs w:val="24"/>
        </w:rPr>
        <w:t>fiind</w:t>
      </w:r>
      <w:r w:rsidR="00774CF6">
        <w:rPr>
          <w:rFonts w:asciiTheme="majorHAnsi" w:hAnsiTheme="majorHAnsi" w:cs="Times New Roman"/>
          <w:b w:val="0"/>
          <w:color w:val="000000"/>
          <w:sz w:val="24"/>
          <w:szCs w:val="24"/>
        </w:rPr>
        <w:t xml:space="preserve"> </w:t>
      </w:r>
      <w:r w:rsidRPr="008376FC">
        <w:rPr>
          <w:rFonts w:asciiTheme="majorHAnsi" w:hAnsiTheme="majorHAnsi" w:cs="Times New Roman"/>
          <w:b w:val="0"/>
          <w:color w:val="000000"/>
          <w:sz w:val="24"/>
          <w:szCs w:val="24"/>
        </w:rPr>
        <w:t>și mai mic</w:t>
      </w:r>
      <w:r w:rsidR="00BF1940">
        <w:rPr>
          <w:rFonts w:asciiTheme="majorHAnsi" w:hAnsiTheme="majorHAnsi" w:cs="Times New Roman"/>
          <w:b w:val="0"/>
          <w:color w:val="000000"/>
          <w:sz w:val="24"/>
          <w:szCs w:val="24"/>
        </w:rPr>
        <w:t>ă</w:t>
      </w:r>
      <w:r w:rsidRPr="008376FC">
        <w:rPr>
          <w:rFonts w:asciiTheme="majorHAnsi" w:hAnsiTheme="majorHAnsi" w:cs="Times New Roman"/>
          <w:b w:val="0"/>
          <w:color w:val="000000"/>
          <w:sz w:val="24"/>
          <w:szCs w:val="24"/>
        </w:rPr>
        <w:t>.</w:t>
      </w:r>
    </w:p>
    <w:p w:rsidR="003F4E1F" w:rsidRPr="008376FC" w:rsidRDefault="003F4E1F" w:rsidP="00F61756">
      <w:pPr>
        <w:spacing w:line="276" w:lineRule="auto"/>
        <w:jc w:val="both"/>
        <w:rPr>
          <w:rFonts w:asciiTheme="majorHAnsi" w:hAnsiTheme="majorHAnsi" w:cs="Times New Roman"/>
          <w:b w:val="0"/>
          <w:color w:val="000000"/>
          <w:sz w:val="24"/>
          <w:szCs w:val="24"/>
        </w:rPr>
      </w:pPr>
      <w:r w:rsidRPr="008376FC">
        <w:rPr>
          <w:rFonts w:asciiTheme="majorHAnsi" w:hAnsiTheme="majorHAnsi" w:cs="Times New Roman"/>
          <w:b w:val="0"/>
          <w:color w:val="000000"/>
          <w:sz w:val="24"/>
          <w:szCs w:val="24"/>
        </w:rPr>
        <w:t xml:space="preserve">Majoritatea stațiilor de </w:t>
      </w:r>
      <w:r w:rsidR="00D83104">
        <w:rPr>
          <w:rFonts w:asciiTheme="majorHAnsi" w:hAnsiTheme="majorHAnsi" w:cs="Times New Roman"/>
          <w:b w:val="0"/>
          <w:color w:val="000000"/>
          <w:sz w:val="24"/>
          <w:szCs w:val="24"/>
        </w:rPr>
        <w:t>epurare</w:t>
      </w:r>
      <w:r w:rsidRPr="008376FC">
        <w:rPr>
          <w:rFonts w:asciiTheme="majorHAnsi" w:hAnsiTheme="majorHAnsi" w:cs="Times New Roman"/>
          <w:b w:val="0"/>
          <w:color w:val="000000"/>
          <w:sz w:val="24"/>
          <w:szCs w:val="24"/>
        </w:rPr>
        <w:t xml:space="preserve"> a apei s-au deteriorat și evacuează apele uzate </w:t>
      </w:r>
      <w:r w:rsidR="00D83104">
        <w:rPr>
          <w:rFonts w:asciiTheme="majorHAnsi" w:hAnsiTheme="majorHAnsi" w:cs="Times New Roman"/>
          <w:b w:val="0"/>
          <w:color w:val="000000"/>
          <w:sz w:val="24"/>
          <w:szCs w:val="24"/>
        </w:rPr>
        <w:t>neepurate</w:t>
      </w:r>
      <w:r w:rsidRPr="008376FC">
        <w:rPr>
          <w:rFonts w:asciiTheme="majorHAnsi" w:hAnsiTheme="majorHAnsi" w:cs="Times New Roman"/>
          <w:b w:val="0"/>
          <w:color w:val="000000"/>
          <w:sz w:val="24"/>
          <w:szCs w:val="24"/>
        </w:rPr>
        <w:t xml:space="preserve"> direct în râuri, ducând la deteriorarea parametrilor calității apei în bazine. Se estimează că aproximativ 65 milioane de metri cubi de apă uzată </w:t>
      </w:r>
      <w:r w:rsidR="00774CF6">
        <w:rPr>
          <w:rFonts w:asciiTheme="majorHAnsi" w:hAnsiTheme="majorHAnsi" w:cs="Times New Roman"/>
          <w:b w:val="0"/>
          <w:color w:val="000000"/>
          <w:sz w:val="24"/>
          <w:szCs w:val="24"/>
        </w:rPr>
        <w:t>ajung a</w:t>
      </w:r>
      <w:r w:rsidRPr="008376FC">
        <w:rPr>
          <w:rFonts w:asciiTheme="majorHAnsi" w:hAnsiTheme="majorHAnsi" w:cs="Times New Roman"/>
          <w:b w:val="0"/>
          <w:color w:val="000000"/>
          <w:sz w:val="24"/>
          <w:szCs w:val="24"/>
        </w:rPr>
        <w:t>nual în instalațiile de tratare, deservind aproximativ 1 milion de oameni.</w:t>
      </w:r>
    </w:p>
    <w:p w:rsidR="00BE3B68" w:rsidRPr="008376FC" w:rsidRDefault="003F4E1F" w:rsidP="00F61756">
      <w:pPr>
        <w:spacing w:line="276" w:lineRule="auto"/>
        <w:jc w:val="both"/>
        <w:rPr>
          <w:rFonts w:asciiTheme="majorHAnsi" w:hAnsiTheme="majorHAnsi" w:cs="Times New Roman"/>
          <w:color w:val="0070C0"/>
          <w:sz w:val="24"/>
          <w:szCs w:val="24"/>
        </w:rPr>
      </w:pPr>
      <w:r w:rsidRPr="008376FC">
        <w:rPr>
          <w:rFonts w:asciiTheme="majorHAnsi" w:hAnsiTheme="majorHAnsi" w:cs="Times New Roman"/>
          <w:color w:val="0070C0"/>
          <w:sz w:val="24"/>
          <w:szCs w:val="24"/>
        </w:rPr>
        <w:t>4.</w:t>
      </w:r>
      <w:r w:rsidR="0021285A" w:rsidRPr="008376FC">
        <w:rPr>
          <w:rFonts w:asciiTheme="majorHAnsi" w:hAnsiTheme="majorHAnsi" w:cs="Times New Roman"/>
          <w:color w:val="0070C0"/>
          <w:sz w:val="24"/>
          <w:szCs w:val="24"/>
        </w:rPr>
        <w:t>4.3.</w:t>
      </w:r>
      <w:r w:rsidRPr="008376FC">
        <w:rPr>
          <w:rFonts w:asciiTheme="majorHAnsi" w:hAnsiTheme="majorHAnsi" w:cs="Times New Roman"/>
          <w:color w:val="0070C0"/>
          <w:sz w:val="24"/>
          <w:szCs w:val="24"/>
        </w:rPr>
        <w:t xml:space="preserve"> Mecanismul de monitorizare </w:t>
      </w:r>
      <w:r w:rsidR="00D87A52" w:rsidRPr="008376FC">
        <w:rPr>
          <w:rFonts w:asciiTheme="majorHAnsi" w:hAnsiTheme="majorHAnsi" w:cs="Times New Roman"/>
          <w:color w:val="0070C0"/>
          <w:sz w:val="24"/>
          <w:szCs w:val="24"/>
        </w:rPr>
        <w:t xml:space="preserve">a </w:t>
      </w:r>
      <w:r w:rsidRPr="008376FC">
        <w:rPr>
          <w:rFonts w:asciiTheme="majorHAnsi" w:hAnsiTheme="majorHAnsi" w:cs="Times New Roman"/>
          <w:color w:val="0070C0"/>
          <w:sz w:val="24"/>
          <w:szCs w:val="24"/>
        </w:rPr>
        <w:t xml:space="preserve">calității apei potabile necesită consolidare, în special în privința garantării calității investigațiilor de laborator care certifică corespunderea cu </w:t>
      </w:r>
      <w:r w:rsidR="00360195" w:rsidRPr="008376FC">
        <w:rPr>
          <w:rFonts w:asciiTheme="majorHAnsi" w:hAnsiTheme="majorHAnsi" w:cs="Times New Roman"/>
          <w:color w:val="0070C0"/>
          <w:sz w:val="24"/>
          <w:szCs w:val="24"/>
        </w:rPr>
        <w:t xml:space="preserve">limitele maxime admisibile </w:t>
      </w:r>
      <w:r w:rsidRPr="008376FC">
        <w:rPr>
          <w:rFonts w:asciiTheme="majorHAnsi" w:hAnsiTheme="majorHAnsi" w:cs="Times New Roman"/>
          <w:color w:val="0070C0"/>
          <w:sz w:val="24"/>
          <w:szCs w:val="24"/>
        </w:rPr>
        <w:t>a</w:t>
      </w:r>
      <w:r w:rsidR="00BF1940">
        <w:rPr>
          <w:rFonts w:asciiTheme="majorHAnsi" w:hAnsiTheme="majorHAnsi" w:cs="Times New Roman"/>
          <w:color w:val="0070C0"/>
          <w:sz w:val="24"/>
          <w:szCs w:val="24"/>
        </w:rPr>
        <w:t>le</w:t>
      </w:r>
      <w:r w:rsidRPr="008376FC">
        <w:rPr>
          <w:rFonts w:asciiTheme="majorHAnsi" w:hAnsiTheme="majorHAnsi" w:cs="Times New Roman"/>
          <w:color w:val="0070C0"/>
          <w:sz w:val="24"/>
          <w:szCs w:val="24"/>
        </w:rPr>
        <w:t xml:space="preserve"> indicatorilor probelor investigate</w:t>
      </w:r>
      <w:r w:rsidR="00BF1940">
        <w:rPr>
          <w:rFonts w:asciiTheme="majorHAnsi" w:hAnsiTheme="majorHAnsi" w:cs="Times New Roman"/>
          <w:color w:val="0070C0"/>
          <w:sz w:val="24"/>
          <w:szCs w:val="24"/>
        </w:rPr>
        <w:t>.</w:t>
      </w:r>
    </w:p>
    <w:p w:rsidR="003F4E1F" w:rsidRPr="008376FC" w:rsidRDefault="003F4E1F" w:rsidP="00F61756">
      <w:pPr>
        <w:spacing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În scopul asigurării monitorizării calității apei, ANSP conlucrează cu autoritățile publice locale și cu furnizorii serviciilor de alimentare cu apă potabilă. Potrivit cadrului normativ în vigoare, supravegherea și monitorizarea calității apei potabile se efectuează la 31 de parametri chimici și 3 parametri biologici, prelevarea, conservarea, transportarea, păstrarea și identificarea probelor de apă fiind efectuată în conformitate cu prevederile SM SR ISO 5667-11.2007 – ghid general privind prelevarea apelor subterane.</w:t>
      </w:r>
    </w:p>
    <w:p w:rsidR="003F4E1F" w:rsidRPr="008376FC" w:rsidRDefault="003F4E1F" w:rsidP="00F61756">
      <w:pPr>
        <w:spacing w:line="276" w:lineRule="auto"/>
        <w:jc w:val="both"/>
        <w:rPr>
          <w:rFonts w:asciiTheme="majorHAnsi" w:hAnsiTheme="majorHAnsi" w:cs="Times New Roman"/>
          <w:b w:val="0"/>
          <w:sz w:val="24"/>
          <w:szCs w:val="24"/>
        </w:rPr>
      </w:pPr>
      <w:r w:rsidRPr="008376FC">
        <w:rPr>
          <w:rFonts w:asciiTheme="majorHAnsi" w:hAnsiTheme="majorHAnsi" w:cs="Times New Roman"/>
          <w:b w:val="0"/>
          <w:iCs/>
          <w:sz w:val="24"/>
          <w:szCs w:val="24"/>
        </w:rPr>
        <w:t>Controlul calității apei potabile este asigurat de către producător, operator și autorități publice în diferite etape și după metodologii consecvente</w:t>
      </w:r>
      <w:r w:rsidRPr="008376FC">
        <w:rPr>
          <w:rFonts w:asciiTheme="majorHAnsi" w:hAnsiTheme="majorHAnsi" w:cs="Times New Roman"/>
          <w:b w:val="0"/>
          <w:iCs/>
          <w:sz w:val="24"/>
          <w:szCs w:val="24"/>
          <w:vertAlign w:val="superscript"/>
        </w:rPr>
        <w:footnoteReference w:id="115"/>
      </w:r>
      <w:r w:rsidRPr="008376FC">
        <w:rPr>
          <w:rFonts w:asciiTheme="majorHAnsi" w:hAnsiTheme="majorHAnsi" w:cs="Times New Roman"/>
          <w:b w:val="0"/>
          <w:iCs/>
          <w:sz w:val="24"/>
          <w:szCs w:val="24"/>
        </w:rPr>
        <w:t xml:space="preserve">, prin încercările de calitate a apei potabile efectuate de </w:t>
      </w:r>
      <w:r w:rsidR="005F6A28">
        <w:rPr>
          <w:rFonts w:asciiTheme="majorHAnsi" w:hAnsiTheme="majorHAnsi" w:cs="Times New Roman"/>
          <w:b w:val="0"/>
          <w:iCs/>
          <w:sz w:val="24"/>
          <w:szCs w:val="24"/>
        </w:rPr>
        <w:t>l</w:t>
      </w:r>
      <w:r w:rsidRPr="008376FC">
        <w:rPr>
          <w:rFonts w:asciiTheme="majorHAnsi" w:hAnsiTheme="majorHAnsi" w:cs="Times New Roman"/>
          <w:b w:val="0"/>
          <w:iCs/>
          <w:sz w:val="24"/>
          <w:szCs w:val="24"/>
        </w:rPr>
        <w:t>aboratoare. Pentru a oferi încredere autorităților și consumatorilor în competența, imparțialitatea și integritatea organismelor de evaluare a conformității, laboratoarele trebuie să dețină certificat de acreditare, emis de către o autoritate publică recunoscută oficial, și înscris în registrul organismelor de evaluare a conformității de acreditare. Acreditarea laboratoarelor este efectuată de către Centrul Naţional de Acreditare, desemnat în calitate de organism naţional unic de acreditare, cu denumirea abreviată „MOLDAC”, care prin deciziile sale de acreditare certifică că organismul de evaluare a conformităţii îndeplineşte cerinţele stabilite prin standardele de referinţă şi, după caz, orice alte cerinţe suplimentare, inclusiv cele prevăzute în schemele de acreditare specifice relevante, pentru realizarea activităţilor specifice de evaluare a conformităţii. Certificatul de acreditare are o valabilitate de 4 ani. Totodată</w:t>
      </w:r>
      <w:r w:rsidR="00900806">
        <w:rPr>
          <w:rFonts w:asciiTheme="majorHAnsi" w:hAnsiTheme="majorHAnsi" w:cs="Times New Roman"/>
          <w:b w:val="0"/>
          <w:iCs/>
          <w:sz w:val="24"/>
          <w:szCs w:val="24"/>
        </w:rPr>
        <w:t>,</w:t>
      </w:r>
      <w:r w:rsidRPr="008376FC">
        <w:rPr>
          <w:rFonts w:asciiTheme="majorHAnsi" w:hAnsiTheme="majorHAnsi" w:cs="Times New Roman"/>
          <w:b w:val="0"/>
          <w:iCs/>
          <w:sz w:val="24"/>
          <w:szCs w:val="24"/>
        </w:rPr>
        <w:t xml:space="preserve"> se subliniază că</w:t>
      </w:r>
      <w:r w:rsidR="00900806">
        <w:rPr>
          <w:rFonts w:asciiTheme="majorHAnsi" w:hAnsiTheme="majorHAnsi" w:cs="Times New Roman"/>
          <w:b w:val="0"/>
          <w:iCs/>
          <w:sz w:val="24"/>
          <w:szCs w:val="24"/>
        </w:rPr>
        <w:t>,</w:t>
      </w:r>
      <w:r w:rsidRPr="008376FC">
        <w:rPr>
          <w:rFonts w:asciiTheme="majorHAnsi" w:hAnsiTheme="majorHAnsi" w:cs="Times New Roman"/>
          <w:b w:val="0"/>
          <w:iCs/>
          <w:sz w:val="24"/>
          <w:szCs w:val="24"/>
        </w:rPr>
        <w:t xml:space="preserve"> pentru acreditarea laboratoarelor de încercări, o etapă intermediară poate fi atestarea competenţei tehnice conform cerinţelor prescrise la nivel naţional. </w:t>
      </w:r>
    </w:p>
    <w:p w:rsidR="003F4E1F" w:rsidRPr="008376FC" w:rsidRDefault="003F4E1F" w:rsidP="00F61756">
      <w:pPr>
        <w:spacing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Până în anul 2016 efectuarea investigațiilor de laborator ale calității apei potabile era asigurată de către Laboratoarele Centrului Național de Sănătate Publică, Centrelor de Sănătate Publică municipale Chișinău și Bălți</w:t>
      </w:r>
      <w:r w:rsidR="00900806">
        <w:rPr>
          <w:rFonts w:asciiTheme="majorHAnsi" w:hAnsiTheme="majorHAnsi" w:cs="Times New Roman"/>
          <w:b w:val="0"/>
          <w:sz w:val="24"/>
          <w:szCs w:val="24"/>
        </w:rPr>
        <w:t>,</w:t>
      </w:r>
      <w:r w:rsidRPr="008376FC">
        <w:rPr>
          <w:rFonts w:asciiTheme="majorHAnsi" w:hAnsiTheme="majorHAnsi" w:cs="Times New Roman"/>
          <w:b w:val="0"/>
          <w:sz w:val="24"/>
          <w:szCs w:val="24"/>
        </w:rPr>
        <w:t xml:space="preserve"> și Centrele Naționale de Sănătate </w:t>
      </w:r>
      <w:r w:rsidR="00900806">
        <w:rPr>
          <w:rFonts w:asciiTheme="majorHAnsi" w:hAnsiTheme="majorHAnsi" w:cs="Times New Roman"/>
          <w:b w:val="0"/>
          <w:sz w:val="24"/>
          <w:szCs w:val="24"/>
        </w:rPr>
        <w:t xml:space="preserve">Publică </w:t>
      </w:r>
      <w:r w:rsidRPr="008376FC">
        <w:rPr>
          <w:rFonts w:asciiTheme="majorHAnsi" w:hAnsiTheme="majorHAnsi" w:cs="Times New Roman"/>
          <w:b w:val="0"/>
          <w:sz w:val="24"/>
          <w:szCs w:val="24"/>
        </w:rPr>
        <w:t xml:space="preserve">raionale.  </w:t>
      </w:r>
    </w:p>
    <w:p w:rsidR="003F4E1F" w:rsidRDefault="003F4E1F" w:rsidP="00F61756">
      <w:pPr>
        <w:spacing w:after="0"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Începând cu iulie 2016</w:t>
      </w:r>
      <w:r w:rsidRPr="008376FC">
        <w:rPr>
          <w:rStyle w:val="ab"/>
          <w:rFonts w:asciiTheme="majorHAnsi" w:hAnsiTheme="majorHAnsi" w:cs="Times New Roman"/>
          <w:b w:val="0"/>
          <w:sz w:val="24"/>
          <w:szCs w:val="24"/>
        </w:rPr>
        <w:footnoteReference w:id="116"/>
      </w:r>
      <w:r w:rsidRPr="008376FC">
        <w:rPr>
          <w:rFonts w:asciiTheme="majorHAnsi" w:hAnsiTheme="majorHAnsi" w:cs="Times New Roman"/>
          <w:b w:val="0"/>
          <w:sz w:val="24"/>
          <w:szCs w:val="24"/>
        </w:rPr>
        <w:t>, efectuarea investigațiilor de laborator ale calități</w:t>
      </w:r>
      <w:r w:rsidR="00900806">
        <w:rPr>
          <w:rFonts w:asciiTheme="majorHAnsi" w:hAnsiTheme="majorHAnsi" w:cs="Times New Roman"/>
          <w:b w:val="0"/>
          <w:sz w:val="24"/>
          <w:szCs w:val="24"/>
        </w:rPr>
        <w:t>i</w:t>
      </w:r>
      <w:r w:rsidRPr="008376FC">
        <w:rPr>
          <w:rFonts w:asciiTheme="majorHAnsi" w:hAnsiTheme="majorHAnsi" w:cs="Times New Roman"/>
          <w:b w:val="0"/>
          <w:sz w:val="24"/>
          <w:szCs w:val="24"/>
        </w:rPr>
        <w:t xml:space="preserve"> apei potabile este asigurată prin intermediul a 10 laboratoare regionale, care sunt amplasate în 10 Centre de </w:t>
      </w:r>
      <w:r w:rsidR="00900806">
        <w:rPr>
          <w:rFonts w:asciiTheme="majorHAnsi" w:hAnsiTheme="majorHAnsi" w:cs="Times New Roman"/>
          <w:b w:val="0"/>
          <w:sz w:val="24"/>
          <w:szCs w:val="24"/>
        </w:rPr>
        <w:t xml:space="preserve">Sănătate </w:t>
      </w:r>
      <w:r w:rsidRPr="008376FC">
        <w:rPr>
          <w:rFonts w:asciiTheme="majorHAnsi" w:hAnsiTheme="majorHAnsi" w:cs="Times New Roman"/>
          <w:b w:val="0"/>
          <w:sz w:val="24"/>
          <w:szCs w:val="24"/>
        </w:rPr>
        <w:t>Publică teritoriale existente</w:t>
      </w:r>
      <w:r w:rsidR="00900806">
        <w:rPr>
          <w:rFonts w:asciiTheme="majorHAnsi" w:hAnsiTheme="majorHAnsi" w:cs="Times New Roman"/>
          <w:b w:val="0"/>
          <w:sz w:val="24"/>
          <w:szCs w:val="24"/>
        </w:rPr>
        <w:t>,</w:t>
      </w:r>
      <w:r w:rsidRPr="008376FC">
        <w:rPr>
          <w:rFonts w:asciiTheme="majorHAnsi" w:hAnsiTheme="majorHAnsi" w:cs="Times New Roman"/>
          <w:b w:val="0"/>
          <w:sz w:val="24"/>
          <w:szCs w:val="24"/>
        </w:rPr>
        <w:t xml:space="preserve"> create în urma reformei instituționale din anul 2017</w:t>
      </w:r>
      <w:r w:rsidRPr="008376FC">
        <w:rPr>
          <w:rStyle w:val="ab"/>
          <w:rFonts w:asciiTheme="majorHAnsi" w:hAnsiTheme="majorHAnsi" w:cs="Times New Roman"/>
          <w:b w:val="0"/>
          <w:sz w:val="24"/>
          <w:szCs w:val="24"/>
        </w:rPr>
        <w:footnoteReference w:id="117"/>
      </w:r>
      <w:r w:rsidRPr="008376FC">
        <w:rPr>
          <w:rFonts w:asciiTheme="majorHAnsi" w:hAnsiTheme="majorHAnsi" w:cs="Times New Roman"/>
          <w:b w:val="0"/>
          <w:sz w:val="24"/>
          <w:szCs w:val="24"/>
        </w:rPr>
        <w:t>.</w:t>
      </w:r>
    </w:p>
    <w:p w:rsidR="00827362" w:rsidRDefault="00827362" w:rsidP="00F61756">
      <w:pPr>
        <w:spacing w:after="0" w:line="276" w:lineRule="auto"/>
        <w:jc w:val="right"/>
        <w:rPr>
          <w:rFonts w:asciiTheme="majorHAnsi" w:hAnsiTheme="majorHAnsi" w:cstheme="majorHAnsi"/>
          <w:sz w:val="20"/>
          <w:szCs w:val="20"/>
        </w:rPr>
      </w:pPr>
    </w:p>
    <w:p w:rsidR="00827362" w:rsidRDefault="00827362" w:rsidP="00F61756">
      <w:pPr>
        <w:spacing w:after="0" w:line="276" w:lineRule="auto"/>
        <w:jc w:val="right"/>
        <w:rPr>
          <w:rFonts w:asciiTheme="majorHAnsi" w:hAnsiTheme="majorHAnsi" w:cstheme="majorHAnsi"/>
          <w:sz w:val="20"/>
          <w:szCs w:val="20"/>
        </w:rPr>
      </w:pPr>
    </w:p>
    <w:p w:rsidR="00827362" w:rsidRDefault="00827362" w:rsidP="00F61756">
      <w:pPr>
        <w:spacing w:after="0" w:line="276" w:lineRule="auto"/>
        <w:jc w:val="right"/>
        <w:rPr>
          <w:rFonts w:asciiTheme="majorHAnsi" w:hAnsiTheme="majorHAnsi" w:cstheme="majorHAnsi"/>
          <w:sz w:val="20"/>
          <w:szCs w:val="20"/>
        </w:rPr>
      </w:pPr>
    </w:p>
    <w:p w:rsidR="00827362" w:rsidRDefault="00827362" w:rsidP="00F61756">
      <w:pPr>
        <w:spacing w:after="0" w:line="276" w:lineRule="auto"/>
        <w:jc w:val="right"/>
        <w:rPr>
          <w:rFonts w:asciiTheme="majorHAnsi" w:hAnsiTheme="majorHAnsi" w:cstheme="majorHAnsi"/>
          <w:sz w:val="20"/>
          <w:szCs w:val="20"/>
        </w:rPr>
      </w:pPr>
    </w:p>
    <w:p w:rsidR="00827362" w:rsidRDefault="00827362" w:rsidP="00F61756">
      <w:pPr>
        <w:spacing w:after="0" w:line="276" w:lineRule="auto"/>
        <w:jc w:val="right"/>
        <w:rPr>
          <w:rFonts w:asciiTheme="majorHAnsi" w:hAnsiTheme="majorHAnsi" w:cstheme="majorHAnsi"/>
          <w:sz w:val="20"/>
          <w:szCs w:val="20"/>
        </w:rPr>
      </w:pPr>
    </w:p>
    <w:p w:rsidR="00827362" w:rsidRDefault="00827362" w:rsidP="00F61756">
      <w:pPr>
        <w:spacing w:after="0" w:line="276" w:lineRule="auto"/>
        <w:jc w:val="right"/>
        <w:rPr>
          <w:rFonts w:asciiTheme="majorHAnsi" w:hAnsiTheme="majorHAnsi" w:cstheme="majorHAnsi"/>
          <w:sz w:val="20"/>
          <w:szCs w:val="20"/>
        </w:rPr>
      </w:pPr>
    </w:p>
    <w:p w:rsidR="00827362" w:rsidRDefault="00827362" w:rsidP="00F61756">
      <w:pPr>
        <w:spacing w:after="0" w:line="276" w:lineRule="auto"/>
        <w:jc w:val="right"/>
        <w:rPr>
          <w:rFonts w:asciiTheme="majorHAnsi" w:hAnsiTheme="majorHAnsi" w:cstheme="majorHAnsi"/>
          <w:sz w:val="20"/>
          <w:szCs w:val="20"/>
        </w:rPr>
      </w:pPr>
    </w:p>
    <w:p w:rsidR="003F4E1F" w:rsidRDefault="003F4E1F" w:rsidP="00F61756">
      <w:pPr>
        <w:spacing w:after="0" w:line="276" w:lineRule="auto"/>
        <w:jc w:val="right"/>
        <w:rPr>
          <w:rFonts w:asciiTheme="majorHAnsi" w:hAnsiTheme="majorHAnsi" w:cstheme="majorHAnsi"/>
          <w:sz w:val="20"/>
          <w:szCs w:val="20"/>
        </w:rPr>
      </w:pPr>
      <w:r w:rsidRPr="00214F0C">
        <w:rPr>
          <w:rFonts w:asciiTheme="majorHAnsi" w:hAnsiTheme="majorHAnsi" w:cstheme="majorHAnsi"/>
          <w:sz w:val="20"/>
          <w:szCs w:val="20"/>
        </w:rPr>
        <w:t xml:space="preserve">Figura nr. </w:t>
      </w:r>
      <w:r w:rsidR="00D878BA" w:rsidRPr="00214F0C">
        <w:rPr>
          <w:rFonts w:asciiTheme="majorHAnsi" w:hAnsiTheme="majorHAnsi" w:cstheme="majorHAnsi"/>
          <w:sz w:val="20"/>
          <w:szCs w:val="20"/>
        </w:rPr>
        <w:t>34</w:t>
      </w:r>
    </w:p>
    <w:p w:rsidR="00D457F1" w:rsidRDefault="00D457F1" w:rsidP="00F61756">
      <w:pPr>
        <w:spacing w:after="0" w:line="276" w:lineRule="auto"/>
        <w:jc w:val="right"/>
        <w:rPr>
          <w:rFonts w:asciiTheme="majorHAnsi" w:hAnsiTheme="majorHAnsi" w:cstheme="majorHAnsi"/>
          <w:sz w:val="20"/>
          <w:szCs w:val="20"/>
        </w:rPr>
      </w:pPr>
      <w:r>
        <w:rPr>
          <w:noProof/>
          <w:lang w:val="ru-RU" w:eastAsia="ru-RU"/>
        </w:rPr>
        <w:drawing>
          <wp:inline distT="0" distB="0" distL="0" distR="0" wp14:anchorId="2EA7348E" wp14:editId="5F97E4C1">
            <wp:extent cx="6151880" cy="2469515"/>
            <wp:effectExtent l="0" t="0" r="1270" b="6985"/>
            <wp:docPr id="71" name="Chart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F4E1F" w:rsidRPr="0038485C" w:rsidRDefault="003F4E1F" w:rsidP="00F61756">
      <w:pPr>
        <w:spacing w:after="0" w:line="276" w:lineRule="auto"/>
        <w:jc w:val="both"/>
        <w:rPr>
          <w:rFonts w:asciiTheme="majorHAnsi" w:hAnsiTheme="majorHAnsi" w:cs="Times New Roman"/>
          <w:i/>
          <w:sz w:val="20"/>
          <w:szCs w:val="20"/>
        </w:rPr>
      </w:pPr>
      <w:r w:rsidRPr="008376FC">
        <w:rPr>
          <w:rFonts w:asciiTheme="majorHAnsi" w:hAnsiTheme="majorHAnsi" w:cs="Times New Roman"/>
          <w:b w:val="0"/>
          <w:sz w:val="24"/>
          <w:szCs w:val="24"/>
        </w:rPr>
        <w:t xml:space="preserve"> </w:t>
      </w:r>
      <w:r w:rsidRPr="0038485C">
        <w:rPr>
          <w:rFonts w:asciiTheme="majorHAnsi" w:hAnsiTheme="majorHAnsi" w:cs="Times New Roman"/>
          <w:i/>
          <w:sz w:val="20"/>
          <w:szCs w:val="20"/>
        </w:rPr>
        <w:t xml:space="preserve">Sursa: </w:t>
      </w:r>
      <w:r w:rsidRPr="0038485C">
        <w:rPr>
          <w:rFonts w:asciiTheme="majorHAnsi" w:hAnsiTheme="majorHAnsi" w:cs="Times New Roman"/>
          <w:b w:val="0"/>
          <w:i/>
          <w:sz w:val="20"/>
          <w:szCs w:val="20"/>
        </w:rPr>
        <w:t>Date</w:t>
      </w:r>
      <w:r w:rsidR="00900806">
        <w:rPr>
          <w:rFonts w:asciiTheme="majorHAnsi" w:hAnsiTheme="majorHAnsi" w:cs="Times New Roman"/>
          <w:b w:val="0"/>
          <w:i/>
          <w:sz w:val="20"/>
          <w:szCs w:val="20"/>
        </w:rPr>
        <w:t xml:space="preserve"> oferite d</w:t>
      </w:r>
      <w:r w:rsidRPr="0038485C">
        <w:rPr>
          <w:rFonts w:asciiTheme="majorHAnsi" w:hAnsiTheme="majorHAnsi" w:cs="Times New Roman"/>
          <w:b w:val="0"/>
          <w:i/>
          <w:sz w:val="20"/>
          <w:szCs w:val="20"/>
        </w:rPr>
        <w:t>e CSP.</w:t>
      </w:r>
    </w:p>
    <w:p w:rsidR="003F4E1F" w:rsidRPr="008376FC" w:rsidRDefault="003F4E1F" w:rsidP="00F61756">
      <w:pPr>
        <w:spacing w:after="0" w:line="276" w:lineRule="auto"/>
        <w:jc w:val="both"/>
        <w:rPr>
          <w:rFonts w:ascii="Times New Roman" w:hAnsi="Times New Roman" w:cs="Times New Roman"/>
          <w:sz w:val="24"/>
          <w:szCs w:val="24"/>
        </w:rPr>
      </w:pPr>
    </w:p>
    <w:p w:rsidR="003F4E1F" w:rsidRPr="008376FC" w:rsidRDefault="003F4E1F" w:rsidP="00F61756">
      <w:pPr>
        <w:spacing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În anii 2017-2021 CSP au efectuat numeroase investigații ale calității apei, în total cele 10 CNSP realizând peste 480 mii de investigații, din care peste 46 mii au demonstrat parametri de neconformitate a calității apei potabile.</w:t>
      </w:r>
    </w:p>
    <w:p w:rsidR="003F4E1F" w:rsidRPr="008376FC" w:rsidRDefault="003F4E1F" w:rsidP="00F61756">
      <w:pPr>
        <w:spacing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Conform informațiilor din Diagram</w:t>
      </w:r>
      <w:r w:rsidR="00900806">
        <w:rPr>
          <w:rFonts w:asciiTheme="majorHAnsi" w:hAnsiTheme="majorHAnsi" w:cs="Times New Roman"/>
          <w:b w:val="0"/>
          <w:sz w:val="24"/>
          <w:szCs w:val="24"/>
        </w:rPr>
        <w:t>ă,</w:t>
      </w:r>
      <w:r w:rsidRPr="008376FC">
        <w:rPr>
          <w:rFonts w:asciiTheme="majorHAnsi" w:hAnsiTheme="majorHAnsi" w:cs="Times New Roman"/>
          <w:b w:val="0"/>
          <w:sz w:val="24"/>
          <w:szCs w:val="24"/>
        </w:rPr>
        <w:t xml:space="preserve"> se atestă că cele mai multe investigații au fost efectuate de CSP Chișinău, și anume 78</w:t>
      </w:r>
      <w:r w:rsidR="00900806">
        <w:rPr>
          <w:rFonts w:asciiTheme="majorHAnsi" w:hAnsiTheme="majorHAnsi" w:cs="Times New Roman"/>
          <w:b w:val="0"/>
          <w:sz w:val="24"/>
          <w:szCs w:val="24"/>
        </w:rPr>
        <w:t>.</w:t>
      </w:r>
      <w:r w:rsidRPr="008376FC">
        <w:rPr>
          <w:rFonts w:asciiTheme="majorHAnsi" w:hAnsiTheme="majorHAnsi" w:cs="Times New Roman"/>
          <w:b w:val="0"/>
          <w:sz w:val="24"/>
          <w:szCs w:val="24"/>
        </w:rPr>
        <w:t>208 investigații, cele mai puține fiind efectuate de CSP Cahul (11</w:t>
      </w:r>
      <w:r w:rsidR="00900806">
        <w:rPr>
          <w:rFonts w:asciiTheme="majorHAnsi" w:hAnsiTheme="majorHAnsi" w:cs="Times New Roman"/>
          <w:b w:val="0"/>
          <w:sz w:val="24"/>
          <w:szCs w:val="24"/>
        </w:rPr>
        <w:t>.</w:t>
      </w:r>
      <w:r w:rsidRPr="008376FC">
        <w:rPr>
          <w:rFonts w:asciiTheme="majorHAnsi" w:hAnsiTheme="majorHAnsi" w:cs="Times New Roman"/>
          <w:b w:val="0"/>
          <w:sz w:val="24"/>
          <w:szCs w:val="24"/>
        </w:rPr>
        <w:t>698</w:t>
      </w:r>
      <w:r w:rsidR="00900806">
        <w:rPr>
          <w:rFonts w:asciiTheme="majorHAnsi" w:hAnsiTheme="majorHAnsi" w:cs="Times New Roman"/>
          <w:b w:val="0"/>
          <w:sz w:val="24"/>
          <w:szCs w:val="24"/>
        </w:rPr>
        <w:t xml:space="preserve"> de investigații</w:t>
      </w:r>
      <w:r w:rsidRPr="008376FC">
        <w:rPr>
          <w:rFonts w:asciiTheme="majorHAnsi" w:hAnsiTheme="majorHAnsi" w:cs="Times New Roman"/>
          <w:b w:val="0"/>
          <w:sz w:val="24"/>
          <w:szCs w:val="24"/>
        </w:rPr>
        <w:t>).</w:t>
      </w:r>
    </w:p>
    <w:p w:rsidR="003F4E1F" w:rsidRPr="008376FC" w:rsidRDefault="003F4E1F" w:rsidP="00F61756">
      <w:pPr>
        <w:spacing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Totodată</w:t>
      </w:r>
      <w:r w:rsidR="00900806">
        <w:rPr>
          <w:rFonts w:asciiTheme="majorHAnsi" w:hAnsiTheme="majorHAnsi" w:cs="Times New Roman"/>
          <w:b w:val="0"/>
          <w:sz w:val="24"/>
          <w:szCs w:val="24"/>
        </w:rPr>
        <w:t>,</w:t>
      </w:r>
      <w:r w:rsidRPr="008376FC">
        <w:rPr>
          <w:rFonts w:asciiTheme="majorHAnsi" w:hAnsiTheme="majorHAnsi" w:cs="Times New Roman"/>
          <w:b w:val="0"/>
          <w:sz w:val="24"/>
          <w:szCs w:val="24"/>
        </w:rPr>
        <w:t xml:space="preserve"> numărul probelor neconforme din totalul investigațiilor efectuate se constată a fi obținute la Edineț, iar apa cu cei mai puțini parametri necalitativi, conform probelor investigate</w:t>
      </w:r>
      <w:r w:rsidR="00900806">
        <w:rPr>
          <w:rFonts w:asciiTheme="majorHAnsi" w:hAnsiTheme="majorHAnsi" w:cs="Times New Roman"/>
          <w:b w:val="0"/>
          <w:sz w:val="24"/>
          <w:szCs w:val="24"/>
        </w:rPr>
        <w:t>,</w:t>
      </w:r>
      <w:r w:rsidRPr="008376FC">
        <w:rPr>
          <w:rFonts w:asciiTheme="majorHAnsi" w:hAnsiTheme="majorHAnsi" w:cs="Times New Roman"/>
          <w:b w:val="0"/>
          <w:sz w:val="24"/>
          <w:szCs w:val="24"/>
        </w:rPr>
        <w:t xml:space="preserve"> este în Chișinău. </w:t>
      </w:r>
    </w:p>
    <w:p w:rsidR="00D457F1" w:rsidRDefault="003F4E1F" w:rsidP="00F61756">
      <w:pPr>
        <w:spacing w:line="276" w:lineRule="auto"/>
        <w:jc w:val="right"/>
        <w:rPr>
          <w:rFonts w:asciiTheme="majorHAnsi" w:hAnsiTheme="majorHAnsi" w:cstheme="majorHAnsi"/>
          <w:sz w:val="20"/>
          <w:szCs w:val="20"/>
        </w:rPr>
      </w:pPr>
      <w:r w:rsidRPr="00214F0C">
        <w:rPr>
          <w:rFonts w:asciiTheme="majorHAnsi" w:hAnsiTheme="majorHAnsi" w:cstheme="majorHAnsi"/>
          <w:sz w:val="20"/>
          <w:szCs w:val="20"/>
        </w:rPr>
        <w:t xml:space="preserve">Figura nr. </w:t>
      </w:r>
      <w:r w:rsidR="00D878BA" w:rsidRPr="00214F0C">
        <w:rPr>
          <w:rFonts w:asciiTheme="majorHAnsi" w:hAnsiTheme="majorHAnsi" w:cstheme="majorHAnsi"/>
          <w:sz w:val="20"/>
          <w:szCs w:val="20"/>
        </w:rPr>
        <w:t>35</w:t>
      </w:r>
      <w:r w:rsidR="00D457F1">
        <w:rPr>
          <w:noProof/>
          <w:lang w:val="ru-RU" w:eastAsia="ru-RU"/>
        </w:rPr>
        <w:drawing>
          <wp:inline distT="0" distB="0" distL="0" distR="0" wp14:anchorId="24A11E76" wp14:editId="541A52FB">
            <wp:extent cx="6151880" cy="2878015"/>
            <wp:effectExtent l="0" t="0" r="1270" b="17780"/>
            <wp:docPr id="70" name="Chart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F4E1F" w:rsidRPr="00620200" w:rsidRDefault="003F4E1F" w:rsidP="00F61756">
      <w:pPr>
        <w:spacing w:line="276" w:lineRule="auto"/>
        <w:jc w:val="both"/>
        <w:rPr>
          <w:rFonts w:asciiTheme="majorHAnsi" w:hAnsiTheme="majorHAnsi" w:cs="Times New Roman"/>
          <w:b w:val="0"/>
          <w:i/>
          <w:sz w:val="20"/>
          <w:szCs w:val="20"/>
        </w:rPr>
      </w:pPr>
      <w:r w:rsidRPr="00620200">
        <w:rPr>
          <w:rFonts w:asciiTheme="majorHAnsi" w:hAnsiTheme="majorHAnsi" w:cs="Times New Roman"/>
          <w:i/>
          <w:sz w:val="20"/>
          <w:szCs w:val="20"/>
        </w:rPr>
        <w:t xml:space="preserve">Sursa: </w:t>
      </w:r>
      <w:r w:rsidRPr="00620200">
        <w:rPr>
          <w:rFonts w:asciiTheme="majorHAnsi" w:hAnsiTheme="majorHAnsi" w:cs="Times New Roman"/>
          <w:b w:val="0"/>
          <w:i/>
          <w:sz w:val="20"/>
          <w:szCs w:val="20"/>
        </w:rPr>
        <w:t>Date</w:t>
      </w:r>
      <w:r w:rsidR="00DB538C">
        <w:rPr>
          <w:rFonts w:asciiTheme="majorHAnsi" w:hAnsiTheme="majorHAnsi" w:cs="Times New Roman"/>
          <w:b w:val="0"/>
          <w:i/>
          <w:sz w:val="20"/>
          <w:szCs w:val="20"/>
        </w:rPr>
        <w:t xml:space="preserve"> oferiote d</w:t>
      </w:r>
      <w:r w:rsidRPr="00620200">
        <w:rPr>
          <w:rFonts w:asciiTheme="majorHAnsi" w:hAnsiTheme="majorHAnsi" w:cs="Times New Roman"/>
          <w:b w:val="0"/>
          <w:i/>
          <w:sz w:val="20"/>
          <w:szCs w:val="20"/>
        </w:rPr>
        <w:t>e AN</w:t>
      </w:r>
      <w:r w:rsidR="003A1F33" w:rsidRPr="00620200">
        <w:rPr>
          <w:rFonts w:asciiTheme="majorHAnsi" w:hAnsiTheme="majorHAnsi" w:cs="Times New Roman"/>
          <w:b w:val="0"/>
          <w:i/>
          <w:sz w:val="20"/>
          <w:szCs w:val="20"/>
        </w:rPr>
        <w:t>S</w:t>
      </w:r>
      <w:r w:rsidRPr="00620200">
        <w:rPr>
          <w:rFonts w:asciiTheme="majorHAnsi" w:hAnsiTheme="majorHAnsi" w:cs="Times New Roman"/>
          <w:b w:val="0"/>
          <w:i/>
          <w:sz w:val="20"/>
          <w:szCs w:val="20"/>
        </w:rPr>
        <w:t>P.</w:t>
      </w:r>
    </w:p>
    <w:p w:rsidR="003F4E1F" w:rsidRPr="008376FC" w:rsidRDefault="00DB538C" w:rsidP="00F61756">
      <w:pPr>
        <w:spacing w:line="276" w:lineRule="auto"/>
        <w:jc w:val="both"/>
        <w:rPr>
          <w:rFonts w:asciiTheme="majorHAnsi" w:hAnsiTheme="majorHAnsi" w:cs="Times New Roman"/>
          <w:b w:val="0"/>
          <w:sz w:val="24"/>
          <w:szCs w:val="24"/>
        </w:rPr>
      </w:pPr>
      <w:r>
        <w:rPr>
          <w:rFonts w:asciiTheme="majorHAnsi" w:hAnsiTheme="majorHAnsi" w:cs="Times New Roman"/>
          <w:b w:val="0"/>
          <w:sz w:val="24"/>
          <w:szCs w:val="24"/>
        </w:rPr>
        <w:t>În aceeași ordine de idei,</w:t>
      </w:r>
      <w:r w:rsidR="003F4E1F" w:rsidRPr="008376FC">
        <w:rPr>
          <w:rFonts w:asciiTheme="majorHAnsi" w:hAnsiTheme="majorHAnsi" w:cs="Times New Roman"/>
          <w:b w:val="0"/>
          <w:sz w:val="24"/>
          <w:szCs w:val="24"/>
        </w:rPr>
        <w:t xml:space="preserve"> se atenționează că </w:t>
      </w:r>
      <w:r>
        <w:rPr>
          <w:rFonts w:asciiTheme="majorHAnsi" w:hAnsiTheme="majorHAnsi" w:cs="Times New Roman"/>
          <w:b w:val="0"/>
          <w:sz w:val="24"/>
          <w:szCs w:val="24"/>
        </w:rPr>
        <w:t>l</w:t>
      </w:r>
      <w:r w:rsidR="003F4E1F" w:rsidRPr="008376FC">
        <w:rPr>
          <w:rFonts w:asciiTheme="majorHAnsi" w:hAnsiTheme="majorHAnsi" w:cs="Times New Roman"/>
          <w:b w:val="0"/>
          <w:sz w:val="24"/>
          <w:szCs w:val="24"/>
        </w:rPr>
        <w:t xml:space="preserve">aboratoarele centrelor de </w:t>
      </w:r>
      <w:r>
        <w:rPr>
          <w:rFonts w:asciiTheme="majorHAnsi" w:hAnsiTheme="majorHAnsi" w:cs="Times New Roman"/>
          <w:b w:val="0"/>
          <w:sz w:val="24"/>
          <w:szCs w:val="24"/>
        </w:rPr>
        <w:t>s</w:t>
      </w:r>
      <w:r w:rsidR="003F4E1F" w:rsidRPr="008376FC">
        <w:rPr>
          <w:rFonts w:asciiTheme="majorHAnsi" w:hAnsiTheme="majorHAnsi" w:cs="Times New Roman"/>
          <w:b w:val="0"/>
          <w:sz w:val="24"/>
          <w:szCs w:val="24"/>
        </w:rPr>
        <w:t xml:space="preserve">ănătate </w:t>
      </w:r>
      <w:r>
        <w:rPr>
          <w:rFonts w:asciiTheme="majorHAnsi" w:hAnsiTheme="majorHAnsi" w:cs="Times New Roman"/>
          <w:b w:val="0"/>
          <w:sz w:val="24"/>
          <w:szCs w:val="24"/>
        </w:rPr>
        <w:t>p</w:t>
      </w:r>
      <w:r w:rsidR="003F4E1F" w:rsidRPr="008376FC">
        <w:rPr>
          <w:rFonts w:asciiTheme="majorHAnsi" w:hAnsiTheme="majorHAnsi" w:cs="Times New Roman"/>
          <w:b w:val="0"/>
          <w:sz w:val="24"/>
          <w:szCs w:val="24"/>
        </w:rPr>
        <w:t xml:space="preserve">ublică teritoriale, în care sunt efectuate încercările </w:t>
      </w:r>
      <w:r>
        <w:rPr>
          <w:rFonts w:asciiTheme="majorHAnsi" w:hAnsiTheme="majorHAnsi" w:cs="Times New Roman"/>
          <w:b w:val="0"/>
          <w:sz w:val="24"/>
          <w:szCs w:val="24"/>
        </w:rPr>
        <w:t>privind</w:t>
      </w:r>
      <w:r w:rsidR="003F4E1F" w:rsidRPr="008376FC">
        <w:rPr>
          <w:rFonts w:asciiTheme="majorHAnsi" w:hAnsiTheme="majorHAnsi" w:cs="Times New Roman"/>
          <w:b w:val="0"/>
          <w:sz w:val="24"/>
          <w:szCs w:val="24"/>
        </w:rPr>
        <w:t xml:space="preserve"> calitate</w:t>
      </w:r>
      <w:r>
        <w:rPr>
          <w:rFonts w:asciiTheme="majorHAnsi" w:hAnsiTheme="majorHAnsi" w:cs="Times New Roman"/>
          <w:b w:val="0"/>
          <w:sz w:val="24"/>
          <w:szCs w:val="24"/>
        </w:rPr>
        <w:t>a</w:t>
      </w:r>
      <w:r w:rsidR="003F4E1F" w:rsidRPr="008376FC">
        <w:rPr>
          <w:rFonts w:asciiTheme="majorHAnsi" w:hAnsiTheme="majorHAnsi" w:cs="Times New Roman"/>
          <w:b w:val="0"/>
          <w:sz w:val="24"/>
          <w:szCs w:val="24"/>
        </w:rPr>
        <w:t xml:space="preserve"> apei, nu sunt acreditate de  Centrul Național de Acreditare din Republica Moldova, or</w:t>
      </w:r>
      <w:r>
        <w:rPr>
          <w:rFonts w:asciiTheme="majorHAnsi" w:hAnsiTheme="majorHAnsi" w:cs="Times New Roman"/>
          <w:b w:val="0"/>
          <w:sz w:val="24"/>
          <w:szCs w:val="24"/>
        </w:rPr>
        <w:t>,</w:t>
      </w:r>
      <w:r w:rsidR="003F4E1F" w:rsidRPr="008376FC">
        <w:rPr>
          <w:rFonts w:asciiTheme="majorHAnsi" w:hAnsiTheme="majorHAnsi" w:cs="Times New Roman"/>
          <w:b w:val="0"/>
          <w:sz w:val="24"/>
          <w:szCs w:val="24"/>
        </w:rPr>
        <w:t xml:space="preserve"> lipsa certificatelor de acreditare sau cel puțin de atestare, nu oferă garanții de credibilitate a rezultatelor obținute.</w:t>
      </w:r>
    </w:p>
    <w:p w:rsidR="003F4E1F" w:rsidRPr="008376FC" w:rsidRDefault="003F4E1F" w:rsidP="00F61756">
      <w:pPr>
        <w:spacing w:line="276" w:lineRule="auto"/>
        <w:jc w:val="both"/>
        <w:rPr>
          <w:rFonts w:ascii="Times New Roman" w:hAnsi="Times New Roman" w:cs="Times New Roman"/>
          <w:b w:val="0"/>
          <w:bCs w:val="0"/>
          <w:sz w:val="24"/>
          <w:szCs w:val="24"/>
        </w:rPr>
      </w:pPr>
      <w:r w:rsidRPr="001452E0">
        <w:rPr>
          <w:rFonts w:asciiTheme="majorHAnsi" w:hAnsiTheme="majorHAnsi" w:cs="Times New Roman"/>
          <w:b w:val="0"/>
          <w:sz w:val="24"/>
          <w:szCs w:val="24"/>
        </w:rPr>
        <w:t>La momentul actual sunt acreditate 11 laboratoare care fa</w:t>
      </w:r>
      <w:r w:rsidR="00DB538C" w:rsidRPr="001452E0">
        <w:rPr>
          <w:rFonts w:asciiTheme="majorHAnsi" w:hAnsiTheme="majorHAnsi" w:cs="Times New Roman"/>
          <w:b w:val="0"/>
          <w:sz w:val="24"/>
          <w:szCs w:val="24"/>
        </w:rPr>
        <w:t>c</w:t>
      </w:r>
      <w:r w:rsidRPr="001452E0">
        <w:rPr>
          <w:rFonts w:asciiTheme="majorHAnsi" w:hAnsiTheme="majorHAnsi" w:cs="Times New Roman"/>
          <w:b w:val="0"/>
          <w:sz w:val="24"/>
          <w:szCs w:val="24"/>
        </w:rPr>
        <w:t xml:space="preserve"> analiza apelor și </w:t>
      </w:r>
      <w:r w:rsidR="00DB538C" w:rsidRPr="001452E0">
        <w:rPr>
          <w:rFonts w:asciiTheme="majorHAnsi" w:hAnsiTheme="majorHAnsi" w:cs="Times New Roman"/>
          <w:b w:val="0"/>
          <w:sz w:val="24"/>
          <w:szCs w:val="24"/>
        </w:rPr>
        <w:t xml:space="preserve">sunt </w:t>
      </w:r>
      <w:r w:rsidRPr="001452E0">
        <w:rPr>
          <w:rFonts w:asciiTheme="majorHAnsi" w:hAnsiTheme="majorHAnsi" w:cs="Times New Roman"/>
          <w:b w:val="0"/>
          <w:sz w:val="24"/>
          <w:szCs w:val="24"/>
        </w:rPr>
        <w:t xml:space="preserve">atestate 2 laboratoare. Lista </w:t>
      </w:r>
      <w:r w:rsidRPr="001452E0">
        <w:rPr>
          <w:rFonts w:asciiTheme="majorHAnsi" w:hAnsiTheme="majorHAnsi" w:cs="Times New Roman"/>
          <w:b w:val="0"/>
          <w:bCs w:val="0"/>
          <w:sz w:val="24"/>
          <w:szCs w:val="24"/>
        </w:rPr>
        <w:t>laboratoarelor acreditate de către MOLDAC care fac analiza apelor și Lista laboratoarelor atestate de către MOLDAC care fac analiza apelor se prezintă în Anexa nr.17</w:t>
      </w:r>
      <w:r w:rsidRPr="001452E0">
        <w:rPr>
          <w:rFonts w:ascii="Times New Roman" w:hAnsi="Times New Roman" w:cs="Times New Roman"/>
          <w:b w:val="0"/>
          <w:bCs w:val="0"/>
          <w:sz w:val="24"/>
          <w:szCs w:val="24"/>
        </w:rPr>
        <w:t>.</w:t>
      </w:r>
    </w:p>
    <w:p w:rsidR="003F4E1F" w:rsidRPr="008376FC" w:rsidRDefault="000056B2" w:rsidP="00F61756">
      <w:pPr>
        <w:spacing w:line="276" w:lineRule="auto"/>
        <w:rPr>
          <w:rFonts w:asciiTheme="majorHAnsi" w:hAnsiTheme="majorHAnsi" w:cstheme="majorHAnsi"/>
          <w:color w:val="0070C0"/>
          <w:sz w:val="24"/>
          <w:szCs w:val="24"/>
        </w:rPr>
      </w:pPr>
      <w:r w:rsidRPr="008376FC">
        <w:rPr>
          <w:rFonts w:asciiTheme="majorHAnsi" w:hAnsiTheme="majorHAnsi" w:cstheme="majorHAnsi"/>
          <w:color w:val="0070C0"/>
          <w:sz w:val="24"/>
          <w:szCs w:val="24"/>
        </w:rPr>
        <w:t>4.4.4. Calitatea apei nu corespunde normativelor sanitare pentru ap</w:t>
      </w:r>
      <w:r w:rsidR="00DB538C">
        <w:rPr>
          <w:rFonts w:asciiTheme="majorHAnsi" w:hAnsiTheme="majorHAnsi" w:cstheme="majorHAnsi"/>
          <w:color w:val="0070C0"/>
          <w:sz w:val="24"/>
          <w:szCs w:val="24"/>
        </w:rPr>
        <w:t>a</w:t>
      </w:r>
      <w:r w:rsidRPr="008376FC">
        <w:rPr>
          <w:rFonts w:asciiTheme="majorHAnsi" w:hAnsiTheme="majorHAnsi" w:cstheme="majorHAnsi"/>
          <w:color w:val="0070C0"/>
          <w:sz w:val="24"/>
          <w:szCs w:val="24"/>
        </w:rPr>
        <w:t xml:space="preserve"> potabilă</w:t>
      </w:r>
      <w:r w:rsidR="00DB538C">
        <w:rPr>
          <w:rFonts w:asciiTheme="majorHAnsi" w:hAnsiTheme="majorHAnsi" w:cstheme="majorHAnsi"/>
          <w:color w:val="0070C0"/>
          <w:sz w:val="24"/>
          <w:szCs w:val="24"/>
        </w:rPr>
        <w:t>.</w:t>
      </w:r>
      <w:r w:rsidRPr="008376FC">
        <w:rPr>
          <w:rFonts w:asciiTheme="majorHAnsi" w:hAnsiTheme="majorHAnsi" w:cstheme="majorHAnsi"/>
          <w:color w:val="0070C0"/>
          <w:sz w:val="24"/>
          <w:szCs w:val="24"/>
        </w:rPr>
        <w:t xml:space="preserve"> </w:t>
      </w:r>
    </w:p>
    <w:p w:rsidR="0074460F" w:rsidRPr="008376FC" w:rsidRDefault="003F4E1F" w:rsidP="00F61756">
      <w:pPr>
        <w:spacing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Potrivit cadrului normativ în vigoare</w:t>
      </w:r>
      <w:r w:rsidR="00FD430D">
        <w:rPr>
          <w:rFonts w:asciiTheme="majorHAnsi" w:hAnsiTheme="majorHAnsi" w:cs="Times New Roman"/>
          <w:b w:val="0"/>
          <w:sz w:val="24"/>
          <w:szCs w:val="24"/>
        </w:rPr>
        <w:t>,</w:t>
      </w:r>
      <w:r w:rsidRPr="008376FC">
        <w:rPr>
          <w:rFonts w:asciiTheme="majorHAnsi" w:hAnsiTheme="majorHAnsi" w:cs="Times New Roman"/>
          <w:b w:val="0"/>
          <w:sz w:val="24"/>
          <w:szCs w:val="24"/>
        </w:rPr>
        <w:t xml:space="preserve"> apa potabilă este conformă dacă valorile stabilite pentru parametrii de calitate corespund celor prevăzute </w:t>
      </w:r>
      <w:r w:rsidRPr="00535924">
        <w:rPr>
          <w:rFonts w:asciiTheme="majorHAnsi" w:hAnsiTheme="majorHAnsi" w:cs="Times New Roman"/>
          <w:b w:val="0"/>
          <w:sz w:val="24"/>
          <w:szCs w:val="24"/>
        </w:rPr>
        <w:t xml:space="preserve">în </w:t>
      </w:r>
      <w:r w:rsidR="00535924" w:rsidRPr="0074460F">
        <w:rPr>
          <w:rFonts w:asciiTheme="majorHAnsi" w:hAnsiTheme="majorHAnsi" w:cs="Times New Roman"/>
          <w:b w:val="0"/>
          <w:sz w:val="24"/>
          <w:szCs w:val="24"/>
        </w:rPr>
        <w:t>A</w:t>
      </w:r>
      <w:r w:rsidR="00535924" w:rsidRPr="00535924">
        <w:rPr>
          <w:rFonts w:asciiTheme="majorHAnsi" w:hAnsiTheme="majorHAnsi" w:cs="Times New Roman"/>
          <w:b w:val="0"/>
          <w:sz w:val="24"/>
          <w:szCs w:val="24"/>
        </w:rPr>
        <w:t>nex</w:t>
      </w:r>
      <w:r w:rsidR="0074460F">
        <w:rPr>
          <w:rFonts w:asciiTheme="majorHAnsi" w:hAnsiTheme="majorHAnsi" w:cs="Times New Roman"/>
          <w:b w:val="0"/>
          <w:sz w:val="24"/>
          <w:szCs w:val="24"/>
        </w:rPr>
        <w:t>a</w:t>
      </w:r>
      <w:r w:rsidR="0074460F" w:rsidRPr="0074460F">
        <w:rPr>
          <w:rFonts w:asciiTheme="majorHAnsi" w:hAnsiTheme="majorHAnsi" w:cs="Times New Roman"/>
          <w:b w:val="0"/>
          <w:sz w:val="24"/>
          <w:szCs w:val="24"/>
        </w:rPr>
        <w:t xml:space="preserve"> </w:t>
      </w:r>
      <w:r w:rsidR="0074460F">
        <w:rPr>
          <w:rFonts w:asciiTheme="majorHAnsi" w:hAnsiTheme="majorHAnsi" w:cs="Times New Roman"/>
          <w:b w:val="0"/>
          <w:sz w:val="24"/>
          <w:szCs w:val="24"/>
        </w:rPr>
        <w:t>„</w:t>
      </w:r>
      <w:r w:rsidR="0074460F" w:rsidRPr="009C5F82">
        <w:rPr>
          <w:rFonts w:asciiTheme="majorHAnsi" w:hAnsiTheme="majorHAnsi" w:cs="Times New Roman"/>
          <w:b w:val="0"/>
          <w:sz w:val="24"/>
          <w:szCs w:val="24"/>
        </w:rPr>
        <w:t>Parametrii</w:t>
      </w:r>
      <w:r w:rsidR="0074460F">
        <w:rPr>
          <w:rFonts w:asciiTheme="majorHAnsi" w:hAnsiTheme="majorHAnsi" w:cs="Times New Roman"/>
          <w:b w:val="0"/>
          <w:sz w:val="24"/>
          <w:szCs w:val="24"/>
        </w:rPr>
        <w:t xml:space="preserve"> </w:t>
      </w:r>
      <w:r w:rsidR="0074460F" w:rsidRPr="009C5F82">
        <w:rPr>
          <w:rFonts w:asciiTheme="majorHAnsi" w:hAnsiTheme="majorHAnsi" w:cs="Times New Roman"/>
          <w:b w:val="0"/>
          <w:sz w:val="24"/>
          <w:szCs w:val="24"/>
        </w:rPr>
        <w:t>de calitate ai apei potabile</w:t>
      </w:r>
      <w:r w:rsidR="0074460F">
        <w:rPr>
          <w:rFonts w:asciiTheme="majorHAnsi" w:hAnsiTheme="majorHAnsi" w:cs="Times New Roman"/>
          <w:b w:val="0"/>
          <w:sz w:val="24"/>
          <w:szCs w:val="24"/>
        </w:rPr>
        <w:t xml:space="preserve">” la </w:t>
      </w:r>
      <w:r w:rsidR="00535924" w:rsidRPr="0074460F">
        <w:rPr>
          <w:rFonts w:asciiTheme="majorHAnsi" w:hAnsiTheme="majorHAnsi" w:cs="Times New Roman"/>
          <w:b w:val="0"/>
          <w:sz w:val="24"/>
          <w:szCs w:val="24"/>
        </w:rPr>
        <w:t xml:space="preserve"> Legea nr. 182 din 19.12.2019</w:t>
      </w:r>
      <w:r w:rsidR="00535924">
        <w:rPr>
          <w:rStyle w:val="ab"/>
          <w:rFonts w:asciiTheme="majorHAnsi" w:hAnsiTheme="majorHAnsi" w:cs="Times New Roman"/>
          <w:b w:val="0"/>
          <w:sz w:val="24"/>
          <w:szCs w:val="24"/>
        </w:rPr>
        <w:footnoteReference w:id="118"/>
      </w:r>
      <w:r w:rsidR="0074460F">
        <w:rPr>
          <w:rFonts w:asciiTheme="majorHAnsi" w:hAnsiTheme="majorHAnsi" w:cs="Times New Roman"/>
          <w:b w:val="0"/>
          <w:sz w:val="24"/>
          <w:szCs w:val="24"/>
        </w:rPr>
        <w:t xml:space="preserve">, </w:t>
      </w:r>
      <w:r w:rsidR="0074460F" w:rsidRPr="008376FC">
        <w:rPr>
          <w:rFonts w:asciiTheme="majorHAnsi" w:hAnsiTheme="majorHAnsi" w:cs="Times New Roman"/>
          <w:b w:val="0"/>
          <w:sz w:val="24"/>
          <w:szCs w:val="24"/>
        </w:rPr>
        <w:t xml:space="preserve"> în următoarele puncte de prelevare a probelor:</w:t>
      </w:r>
    </w:p>
    <w:p w:rsidR="003F4E1F" w:rsidRPr="008376FC" w:rsidRDefault="003F4E1F" w:rsidP="00F61756">
      <w:pPr>
        <w:spacing w:after="0"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a) la robinetul consumatorului, în punctul de intrare în clădire și la cișmelele stradale, în cazul apei potabile furnizate prin rețeaua de distribuție;</w:t>
      </w:r>
    </w:p>
    <w:p w:rsidR="003F4E1F" w:rsidRPr="008376FC" w:rsidRDefault="003F4E1F" w:rsidP="00F61756">
      <w:pPr>
        <w:spacing w:after="0"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b) în punctul de curgere a apei din rezervor/cisternă, în cazul apei potabile furnizate în acest mod;</w:t>
      </w:r>
    </w:p>
    <w:p w:rsidR="003F4E1F" w:rsidRPr="008376FC" w:rsidRDefault="003F4E1F" w:rsidP="00F61756">
      <w:pPr>
        <w:spacing w:after="0"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c) în punctul în care apa se îmbuteliază în sticle sau alte recipiente destinate comercializării, în cazul apei potabile îmbuteliate;</w:t>
      </w:r>
    </w:p>
    <w:p w:rsidR="003F4E1F" w:rsidRPr="008376FC" w:rsidRDefault="003F4E1F" w:rsidP="00F61756">
      <w:pPr>
        <w:spacing w:after="120"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d) în punctul din care apa este preluată în procesul de producere la întreprinderile alimentare.</w:t>
      </w:r>
    </w:p>
    <w:p w:rsidR="003F4E1F" w:rsidRPr="008376FC" w:rsidRDefault="003F4E1F" w:rsidP="00F61756">
      <w:pPr>
        <w:spacing w:line="276" w:lineRule="auto"/>
        <w:jc w:val="both"/>
        <w:rPr>
          <w:rFonts w:asciiTheme="majorHAnsi" w:hAnsiTheme="majorHAnsi" w:cs="Times New Roman"/>
          <w:b w:val="0"/>
          <w:sz w:val="24"/>
          <w:szCs w:val="24"/>
        </w:rPr>
      </w:pPr>
      <w:r w:rsidRPr="008376FC">
        <w:rPr>
          <w:rFonts w:asciiTheme="majorHAnsi" w:hAnsiTheme="majorHAnsi" w:cs="Times New Roman"/>
          <w:b w:val="0"/>
          <w:color w:val="000000"/>
          <w:sz w:val="24"/>
          <w:szCs w:val="24"/>
        </w:rPr>
        <w:t xml:space="preserve">De calitatea apei potabile sunt responsabili furnizorii de apă și autoritățile publice locale în jurisdicția cărora se află apeductele (Legea nr. 303/2013 privind serviciile publice de alimentare cu apă și canalizare). </w:t>
      </w:r>
      <w:r w:rsidRPr="001452E0">
        <w:rPr>
          <w:rFonts w:asciiTheme="majorHAnsi" w:hAnsiTheme="majorHAnsi" w:cs="Times New Roman"/>
          <w:b w:val="0"/>
          <w:color w:val="000000"/>
          <w:sz w:val="24"/>
          <w:szCs w:val="24"/>
        </w:rPr>
        <w:t>În conformitate cu Hotăr</w:t>
      </w:r>
      <w:r w:rsidR="00FD430D" w:rsidRPr="001452E0">
        <w:rPr>
          <w:rFonts w:asciiTheme="majorHAnsi" w:hAnsiTheme="majorHAnsi" w:cs="Times New Roman"/>
          <w:b w:val="0"/>
          <w:color w:val="000000"/>
          <w:sz w:val="24"/>
          <w:szCs w:val="24"/>
        </w:rPr>
        <w:t>â</w:t>
      </w:r>
      <w:r w:rsidRPr="001452E0">
        <w:rPr>
          <w:rFonts w:asciiTheme="majorHAnsi" w:hAnsiTheme="majorHAnsi" w:cs="Times New Roman"/>
          <w:b w:val="0"/>
          <w:color w:val="000000"/>
          <w:sz w:val="24"/>
          <w:szCs w:val="24"/>
        </w:rPr>
        <w:t xml:space="preserve">rea Guvernului nr. 934 din 15.08.2007 </w:t>
      </w:r>
      <w:r w:rsidR="00FD430D" w:rsidRPr="001452E0">
        <w:rPr>
          <w:rFonts w:asciiTheme="majorHAnsi" w:hAnsiTheme="majorHAnsi" w:cs="Times New Roman"/>
          <w:b w:val="0"/>
          <w:color w:val="000000"/>
          <w:sz w:val="24"/>
          <w:szCs w:val="24"/>
        </w:rPr>
        <w:t>„C</w:t>
      </w:r>
      <w:r w:rsidRPr="001452E0">
        <w:rPr>
          <w:rFonts w:asciiTheme="majorHAnsi" w:hAnsiTheme="majorHAnsi" w:cs="Times New Roman"/>
          <w:b w:val="0"/>
          <w:color w:val="000000"/>
          <w:sz w:val="24"/>
          <w:szCs w:val="24"/>
        </w:rPr>
        <w:t>u privire la instituirea</w:t>
      </w:r>
      <w:r w:rsidR="00FD430D" w:rsidRPr="00FD430D">
        <w:rPr>
          <w:rFonts w:asciiTheme="majorHAnsi" w:hAnsiTheme="majorHAnsi" w:cs="Times New Roman"/>
          <w:b w:val="0"/>
          <w:color w:val="000000"/>
          <w:sz w:val="24"/>
          <w:szCs w:val="24"/>
        </w:rPr>
        <w:t xml:space="preserve"> </w:t>
      </w:r>
      <w:r w:rsidR="00FD430D" w:rsidRPr="001452E0">
        <w:rPr>
          <w:rFonts w:ascii="Calibri Light" w:hAnsi="Calibri Light" w:cs="Calibri Light"/>
          <w:b w:val="0"/>
          <w:sz w:val="24"/>
          <w:szCs w:val="24"/>
        </w:rPr>
        <w:t>sistemului informaţional automatizat «Registrul de stat al apelor minerale naturale, potabile şi băuturilor nealcoolice îmbuteliate”</w:t>
      </w:r>
      <w:r w:rsidR="00FD430D">
        <w:rPr>
          <w:rFonts w:ascii="Calibri Light" w:hAnsi="Calibri Light" w:cs="Calibri Light"/>
          <w:b w:val="0"/>
          <w:sz w:val="24"/>
          <w:szCs w:val="24"/>
        </w:rPr>
        <w:t xml:space="preserve">, </w:t>
      </w:r>
      <w:r w:rsidR="00FD430D">
        <w:rPr>
          <w:rFonts w:asciiTheme="majorHAnsi" w:hAnsiTheme="majorHAnsi" w:cs="Times New Roman"/>
          <w:b w:val="0"/>
          <w:sz w:val="24"/>
          <w:szCs w:val="24"/>
        </w:rPr>
        <w:t>a</w:t>
      </w:r>
      <w:r w:rsidRPr="008376FC">
        <w:rPr>
          <w:rFonts w:asciiTheme="majorHAnsi" w:hAnsiTheme="majorHAnsi" w:cs="Times New Roman"/>
          <w:b w:val="0"/>
          <w:sz w:val="24"/>
          <w:szCs w:val="24"/>
        </w:rPr>
        <w:t xml:space="preserve">limentarea cu apă este efectuată preponderent din captările de apă subterană. Verificarea stării obiectivelor de alimentare cu apă în ultimii ani s-a efectuat pentru parametrii chimici și pentru parametrii biologici, în conformitate cu cerințele stabilite în Legea </w:t>
      </w:r>
      <w:r w:rsidR="00FD430D">
        <w:rPr>
          <w:rFonts w:asciiTheme="majorHAnsi" w:hAnsiTheme="majorHAnsi" w:cs="Times New Roman"/>
          <w:b w:val="0"/>
          <w:sz w:val="24"/>
          <w:szCs w:val="24"/>
        </w:rPr>
        <w:t>nr.</w:t>
      </w:r>
      <w:r w:rsidRPr="008376FC">
        <w:rPr>
          <w:rFonts w:asciiTheme="majorHAnsi" w:hAnsiTheme="majorHAnsi" w:cs="Times New Roman"/>
          <w:b w:val="0"/>
          <w:sz w:val="24"/>
          <w:szCs w:val="24"/>
        </w:rPr>
        <w:t>182/2019</w:t>
      </w:r>
      <w:r w:rsidR="00FD430D">
        <w:rPr>
          <w:rFonts w:asciiTheme="majorHAnsi" w:hAnsiTheme="majorHAnsi" w:cs="Times New Roman"/>
          <w:b w:val="0"/>
          <w:sz w:val="24"/>
          <w:szCs w:val="24"/>
        </w:rPr>
        <w:t>, care</w:t>
      </w:r>
      <w:r w:rsidRPr="008376FC">
        <w:rPr>
          <w:rFonts w:asciiTheme="majorHAnsi" w:hAnsiTheme="majorHAnsi" w:cs="Times New Roman"/>
          <w:b w:val="0"/>
          <w:sz w:val="24"/>
          <w:szCs w:val="24"/>
        </w:rPr>
        <w:t xml:space="preserve"> determină că la parametrii chimici cele mai mari neconfomități s-au constatat în apele din apeductele rurale</w:t>
      </w:r>
      <w:r w:rsidR="00AD3E09">
        <w:rPr>
          <w:rFonts w:asciiTheme="majorHAnsi" w:hAnsiTheme="majorHAnsi" w:cs="Times New Roman"/>
          <w:b w:val="0"/>
          <w:sz w:val="24"/>
          <w:szCs w:val="24"/>
        </w:rPr>
        <w:t>,</w:t>
      </w:r>
      <w:r w:rsidRPr="008376FC">
        <w:rPr>
          <w:rFonts w:asciiTheme="majorHAnsi" w:hAnsiTheme="majorHAnsi" w:cs="Times New Roman"/>
          <w:b w:val="0"/>
          <w:sz w:val="24"/>
          <w:szCs w:val="24"/>
        </w:rPr>
        <w:t xml:space="preserve"> comparativ cu apeductele urbane, parametrii de calitate a apei poptabile </w:t>
      </w:r>
      <w:r w:rsidR="00AD3E09">
        <w:rPr>
          <w:rFonts w:asciiTheme="majorHAnsi" w:hAnsiTheme="majorHAnsi" w:cs="Times New Roman"/>
          <w:b w:val="0"/>
          <w:sz w:val="24"/>
          <w:szCs w:val="24"/>
        </w:rPr>
        <w:t>fiind</w:t>
      </w:r>
      <w:r w:rsidRPr="008376FC">
        <w:rPr>
          <w:rFonts w:asciiTheme="majorHAnsi" w:hAnsiTheme="majorHAnsi" w:cs="Times New Roman"/>
          <w:b w:val="0"/>
          <w:sz w:val="24"/>
          <w:szCs w:val="24"/>
        </w:rPr>
        <w:t xml:space="preserve"> în creștere. </w:t>
      </w:r>
    </w:p>
    <w:p w:rsidR="003F4E1F" w:rsidRPr="008376FC" w:rsidRDefault="003F4E1F" w:rsidP="00F61756">
      <w:pPr>
        <w:spacing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Totodată</w:t>
      </w:r>
      <w:r w:rsidR="00AD3E09">
        <w:rPr>
          <w:rFonts w:asciiTheme="majorHAnsi" w:hAnsiTheme="majorHAnsi" w:cs="Times New Roman"/>
          <w:b w:val="0"/>
          <w:sz w:val="24"/>
          <w:szCs w:val="24"/>
        </w:rPr>
        <w:t>,</w:t>
      </w:r>
      <w:r w:rsidRPr="008376FC">
        <w:rPr>
          <w:rFonts w:asciiTheme="majorHAnsi" w:hAnsiTheme="majorHAnsi" w:cs="Times New Roman"/>
          <w:b w:val="0"/>
          <w:sz w:val="24"/>
          <w:szCs w:val="24"/>
        </w:rPr>
        <w:t xml:space="preserve"> analiza parametrilor micro</w:t>
      </w:r>
      <w:r w:rsidR="00AD3E09">
        <w:rPr>
          <w:rFonts w:asciiTheme="majorHAnsi" w:hAnsiTheme="majorHAnsi" w:cs="Times New Roman"/>
          <w:b w:val="0"/>
          <w:sz w:val="24"/>
          <w:szCs w:val="24"/>
        </w:rPr>
        <w:t>b</w:t>
      </w:r>
      <w:r w:rsidRPr="008376FC">
        <w:rPr>
          <w:rFonts w:asciiTheme="majorHAnsi" w:hAnsiTheme="majorHAnsi" w:cs="Times New Roman"/>
          <w:b w:val="0"/>
          <w:sz w:val="24"/>
          <w:szCs w:val="24"/>
        </w:rPr>
        <w:t>iologici a evidențiat că, în perioada 2017-2021, cele mai multe investigații de acest gen au fost efectuate de către CSP Chișinău și CSP Soroca, care au avut o pondere de cca 17% și</w:t>
      </w:r>
      <w:r w:rsidR="00AD3E09">
        <w:rPr>
          <w:rFonts w:asciiTheme="majorHAnsi" w:hAnsiTheme="majorHAnsi" w:cs="Times New Roman"/>
          <w:b w:val="0"/>
          <w:sz w:val="24"/>
          <w:szCs w:val="24"/>
        </w:rPr>
        <w:t>,</w:t>
      </w:r>
      <w:r w:rsidRPr="008376FC">
        <w:rPr>
          <w:rFonts w:asciiTheme="majorHAnsi" w:hAnsiTheme="majorHAnsi" w:cs="Times New Roman"/>
          <w:b w:val="0"/>
          <w:sz w:val="24"/>
          <w:szCs w:val="24"/>
        </w:rPr>
        <w:t xml:space="preserve"> respectiv</w:t>
      </w:r>
      <w:r w:rsidR="00AD3E09">
        <w:rPr>
          <w:rFonts w:asciiTheme="majorHAnsi" w:hAnsiTheme="majorHAnsi" w:cs="Times New Roman"/>
          <w:b w:val="0"/>
          <w:sz w:val="24"/>
          <w:szCs w:val="24"/>
        </w:rPr>
        <w:t>,</w:t>
      </w:r>
      <w:r w:rsidRPr="008376FC">
        <w:rPr>
          <w:rFonts w:asciiTheme="majorHAnsi" w:hAnsiTheme="majorHAnsi" w:cs="Times New Roman"/>
          <w:b w:val="0"/>
          <w:sz w:val="24"/>
          <w:szCs w:val="24"/>
        </w:rPr>
        <w:t xml:space="preserve"> 15% din totalul investigațiilor efectuate de </w:t>
      </w:r>
      <w:r w:rsidR="00AD3E09">
        <w:rPr>
          <w:rFonts w:asciiTheme="majorHAnsi" w:hAnsiTheme="majorHAnsi" w:cs="Times New Roman"/>
          <w:b w:val="0"/>
          <w:sz w:val="24"/>
          <w:szCs w:val="24"/>
        </w:rPr>
        <w:t>toate</w:t>
      </w:r>
      <w:r w:rsidRPr="008376FC">
        <w:rPr>
          <w:rFonts w:asciiTheme="majorHAnsi" w:hAnsiTheme="majorHAnsi" w:cs="Times New Roman"/>
          <w:b w:val="0"/>
          <w:sz w:val="24"/>
          <w:szCs w:val="24"/>
        </w:rPr>
        <w:t xml:space="preserve"> Centre</w:t>
      </w:r>
      <w:r w:rsidR="00AD3E09">
        <w:rPr>
          <w:rFonts w:asciiTheme="majorHAnsi" w:hAnsiTheme="majorHAnsi" w:cs="Times New Roman"/>
          <w:b w:val="0"/>
          <w:sz w:val="24"/>
          <w:szCs w:val="24"/>
        </w:rPr>
        <w:t>le</w:t>
      </w:r>
      <w:r w:rsidRPr="008376FC">
        <w:rPr>
          <w:rFonts w:asciiTheme="majorHAnsi" w:hAnsiTheme="majorHAnsi" w:cs="Times New Roman"/>
          <w:b w:val="0"/>
          <w:sz w:val="24"/>
          <w:szCs w:val="24"/>
        </w:rPr>
        <w:t xml:space="preserve">. </w:t>
      </w:r>
    </w:p>
    <w:p w:rsidR="002A72CB" w:rsidRDefault="002A72CB" w:rsidP="00F61756">
      <w:pPr>
        <w:spacing w:line="276" w:lineRule="auto"/>
        <w:jc w:val="right"/>
        <w:rPr>
          <w:rFonts w:asciiTheme="majorHAnsi" w:hAnsiTheme="majorHAnsi" w:cs="Times New Roman"/>
          <w:sz w:val="20"/>
          <w:szCs w:val="20"/>
        </w:rPr>
      </w:pPr>
    </w:p>
    <w:p w:rsidR="00D457F1" w:rsidRPr="00214F0C" w:rsidRDefault="003F4E1F" w:rsidP="00F61756">
      <w:pPr>
        <w:spacing w:line="276" w:lineRule="auto"/>
        <w:jc w:val="right"/>
        <w:rPr>
          <w:rFonts w:asciiTheme="majorHAnsi" w:hAnsiTheme="majorHAnsi" w:cs="Times New Roman"/>
          <w:sz w:val="20"/>
          <w:szCs w:val="20"/>
        </w:rPr>
      </w:pPr>
      <w:r w:rsidRPr="00214F0C">
        <w:rPr>
          <w:rFonts w:asciiTheme="majorHAnsi" w:hAnsiTheme="majorHAnsi" w:cs="Times New Roman"/>
          <w:sz w:val="20"/>
          <w:szCs w:val="20"/>
        </w:rPr>
        <w:t xml:space="preserve">Figura nr. </w:t>
      </w:r>
      <w:r w:rsidR="00D878BA" w:rsidRPr="00214F0C">
        <w:rPr>
          <w:rFonts w:asciiTheme="majorHAnsi" w:hAnsiTheme="majorHAnsi" w:cs="Times New Roman"/>
          <w:sz w:val="20"/>
          <w:szCs w:val="20"/>
        </w:rPr>
        <w:t>36</w:t>
      </w:r>
      <w:r w:rsidR="00D457F1" w:rsidRPr="00A91E6D">
        <w:rPr>
          <w:noProof/>
          <w:shd w:val="clear" w:color="auto" w:fill="ED7D31" w:themeFill="accent2"/>
          <w:lang w:val="ru-RU" w:eastAsia="ru-RU"/>
        </w:rPr>
        <w:drawing>
          <wp:inline distT="0" distB="0" distL="0" distR="0" wp14:anchorId="675D4D0E" wp14:editId="016204E1">
            <wp:extent cx="6151880" cy="2561493"/>
            <wp:effectExtent l="0" t="0" r="1270" b="10795"/>
            <wp:docPr id="72" name="Chart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3F4E1F" w:rsidRPr="001452E0" w:rsidRDefault="003F4E1F" w:rsidP="00F61756">
      <w:pPr>
        <w:spacing w:line="276" w:lineRule="auto"/>
        <w:jc w:val="both"/>
        <w:rPr>
          <w:rFonts w:asciiTheme="majorHAnsi" w:hAnsiTheme="majorHAnsi" w:cstheme="majorHAnsi"/>
          <w:i/>
          <w:sz w:val="20"/>
          <w:szCs w:val="20"/>
        </w:rPr>
      </w:pPr>
      <w:r w:rsidRPr="001452E0">
        <w:rPr>
          <w:rFonts w:asciiTheme="majorHAnsi" w:hAnsiTheme="majorHAnsi" w:cstheme="majorHAnsi"/>
          <w:i/>
          <w:sz w:val="20"/>
          <w:szCs w:val="20"/>
        </w:rPr>
        <w:t xml:space="preserve">Sursa: </w:t>
      </w:r>
      <w:r w:rsidRPr="001452E0">
        <w:rPr>
          <w:rFonts w:asciiTheme="majorHAnsi" w:hAnsiTheme="majorHAnsi" w:cstheme="majorHAnsi"/>
          <w:b w:val="0"/>
          <w:i/>
          <w:sz w:val="20"/>
          <w:szCs w:val="20"/>
        </w:rPr>
        <w:t>Date</w:t>
      </w:r>
      <w:r w:rsidR="00AD3E09">
        <w:rPr>
          <w:rFonts w:asciiTheme="majorHAnsi" w:hAnsiTheme="majorHAnsi" w:cstheme="majorHAnsi"/>
          <w:b w:val="0"/>
          <w:i/>
          <w:sz w:val="20"/>
          <w:szCs w:val="20"/>
        </w:rPr>
        <w:t xml:space="preserve"> oferite de</w:t>
      </w:r>
      <w:r w:rsidRPr="001452E0">
        <w:rPr>
          <w:rFonts w:asciiTheme="majorHAnsi" w:hAnsiTheme="majorHAnsi" w:cstheme="majorHAnsi"/>
          <w:b w:val="0"/>
          <w:i/>
          <w:sz w:val="20"/>
          <w:szCs w:val="20"/>
        </w:rPr>
        <w:t xml:space="preserve"> CSP.</w:t>
      </w:r>
    </w:p>
    <w:p w:rsidR="002A72CB" w:rsidRDefault="003F4E1F" w:rsidP="002A72CB">
      <w:pPr>
        <w:tabs>
          <w:tab w:val="left" w:pos="7655"/>
        </w:tabs>
        <w:spacing w:after="0"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 xml:space="preserve">Rezultatele calitative ale investigațiilor </w:t>
      </w:r>
      <w:r w:rsidR="00AD3E09">
        <w:rPr>
          <w:rFonts w:asciiTheme="majorHAnsi" w:hAnsiTheme="majorHAnsi" w:cs="Times New Roman"/>
          <w:b w:val="0"/>
          <w:sz w:val="24"/>
          <w:szCs w:val="24"/>
        </w:rPr>
        <w:t xml:space="preserve">asupra </w:t>
      </w:r>
      <w:r w:rsidRPr="008376FC">
        <w:rPr>
          <w:rFonts w:asciiTheme="majorHAnsi" w:hAnsiTheme="majorHAnsi" w:cs="Times New Roman"/>
          <w:b w:val="0"/>
          <w:sz w:val="24"/>
          <w:szCs w:val="24"/>
        </w:rPr>
        <w:t>parametrilor microbiologici au relevat că</w:t>
      </w:r>
      <w:r w:rsidR="00AD3E09">
        <w:rPr>
          <w:rFonts w:asciiTheme="majorHAnsi" w:hAnsiTheme="majorHAnsi" w:cs="Times New Roman"/>
          <w:b w:val="0"/>
          <w:sz w:val="24"/>
          <w:szCs w:val="24"/>
        </w:rPr>
        <w:t>,</w:t>
      </w:r>
      <w:r w:rsidRPr="008376FC">
        <w:rPr>
          <w:rFonts w:asciiTheme="majorHAnsi" w:hAnsiTheme="majorHAnsi" w:cs="Times New Roman"/>
          <w:b w:val="0"/>
          <w:sz w:val="24"/>
          <w:szCs w:val="24"/>
        </w:rPr>
        <w:t xml:space="preserve"> probele investigate de către CSP Ungheni și Hâncești sunt cele mai necalitative, astfel calitatea apei nu corespunde normativelor sanitare pentru ap</w:t>
      </w:r>
      <w:r w:rsidR="00AD3E09">
        <w:rPr>
          <w:rFonts w:asciiTheme="majorHAnsi" w:hAnsiTheme="majorHAnsi" w:cs="Times New Roman"/>
          <w:b w:val="0"/>
          <w:sz w:val="24"/>
          <w:szCs w:val="24"/>
        </w:rPr>
        <w:t>a</w:t>
      </w:r>
      <w:r w:rsidRPr="008376FC">
        <w:rPr>
          <w:rFonts w:asciiTheme="majorHAnsi" w:hAnsiTheme="majorHAnsi" w:cs="Times New Roman"/>
          <w:b w:val="0"/>
          <w:sz w:val="24"/>
          <w:szCs w:val="24"/>
        </w:rPr>
        <w:t xml:space="preserve"> potabilă, de aceea din multe conducte apa poate fi folosită doar </w:t>
      </w:r>
      <w:r w:rsidR="00AD3E09">
        <w:rPr>
          <w:rFonts w:asciiTheme="majorHAnsi" w:hAnsiTheme="majorHAnsi" w:cs="Times New Roman"/>
          <w:b w:val="0"/>
          <w:sz w:val="24"/>
          <w:szCs w:val="24"/>
        </w:rPr>
        <w:t>în scopuri</w:t>
      </w:r>
      <w:r w:rsidRPr="008376FC">
        <w:rPr>
          <w:rFonts w:asciiTheme="majorHAnsi" w:hAnsiTheme="majorHAnsi" w:cs="Times New Roman"/>
          <w:b w:val="0"/>
          <w:sz w:val="24"/>
          <w:szCs w:val="24"/>
        </w:rPr>
        <w:t xml:space="preserve"> tehnic</w:t>
      </w:r>
      <w:r w:rsidR="00AD3E09">
        <w:rPr>
          <w:rFonts w:asciiTheme="majorHAnsi" w:hAnsiTheme="majorHAnsi" w:cs="Times New Roman"/>
          <w:b w:val="0"/>
          <w:sz w:val="24"/>
          <w:szCs w:val="24"/>
        </w:rPr>
        <w:t>e</w:t>
      </w:r>
      <w:r w:rsidRPr="008376FC">
        <w:rPr>
          <w:rFonts w:asciiTheme="majorHAnsi" w:hAnsiTheme="majorHAnsi" w:cs="Times New Roman"/>
          <w:b w:val="0"/>
          <w:sz w:val="24"/>
          <w:szCs w:val="24"/>
        </w:rPr>
        <w:t>.</w:t>
      </w:r>
    </w:p>
    <w:p w:rsidR="00DE14CD" w:rsidRDefault="003F4E1F" w:rsidP="002A72CB">
      <w:pPr>
        <w:tabs>
          <w:tab w:val="left" w:pos="7655"/>
        </w:tabs>
        <w:spacing w:after="0" w:line="276" w:lineRule="auto"/>
        <w:jc w:val="right"/>
        <w:rPr>
          <w:rFonts w:asciiTheme="majorHAnsi" w:hAnsiTheme="majorHAnsi" w:cs="Times New Roman"/>
          <w:sz w:val="20"/>
          <w:szCs w:val="20"/>
        </w:rPr>
      </w:pPr>
      <w:r w:rsidRPr="007D322F">
        <w:rPr>
          <w:rFonts w:asciiTheme="majorHAnsi" w:hAnsiTheme="majorHAnsi" w:cs="Times New Roman"/>
          <w:sz w:val="20"/>
          <w:szCs w:val="20"/>
        </w:rPr>
        <w:t xml:space="preserve">Figura nr. </w:t>
      </w:r>
      <w:r w:rsidR="00D878BA" w:rsidRPr="007D322F">
        <w:rPr>
          <w:rFonts w:asciiTheme="majorHAnsi" w:hAnsiTheme="majorHAnsi" w:cs="Times New Roman"/>
          <w:sz w:val="20"/>
          <w:szCs w:val="20"/>
        </w:rPr>
        <w:t>37</w:t>
      </w:r>
    </w:p>
    <w:p w:rsidR="003F4E1F" w:rsidRPr="008376FC" w:rsidRDefault="00DE14CD" w:rsidP="00F61756">
      <w:pPr>
        <w:spacing w:line="276" w:lineRule="auto"/>
        <w:jc w:val="right"/>
        <w:rPr>
          <w:rFonts w:ascii="Times New Roman" w:hAnsi="Times New Roman" w:cs="Times New Roman"/>
          <w:color w:val="000000"/>
          <w:sz w:val="24"/>
          <w:szCs w:val="24"/>
        </w:rPr>
      </w:pPr>
      <w:r>
        <w:rPr>
          <w:noProof/>
          <w:lang w:val="ru-RU" w:eastAsia="ru-RU"/>
        </w:rPr>
        <w:drawing>
          <wp:inline distT="0" distB="0" distL="0" distR="0" wp14:anchorId="2B4A09B6" wp14:editId="52635765">
            <wp:extent cx="6151880" cy="2686509"/>
            <wp:effectExtent l="0" t="0" r="1270" b="0"/>
            <wp:docPr id="73" name="Chart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3F4E1F" w:rsidRPr="001452E0" w:rsidRDefault="003F4E1F" w:rsidP="00F61756">
      <w:pPr>
        <w:spacing w:line="276" w:lineRule="auto"/>
        <w:jc w:val="both"/>
        <w:rPr>
          <w:rFonts w:asciiTheme="majorHAnsi" w:hAnsiTheme="majorHAnsi" w:cs="Times New Roman"/>
          <w:i/>
          <w:color w:val="000000"/>
          <w:sz w:val="20"/>
          <w:szCs w:val="20"/>
        </w:rPr>
      </w:pPr>
      <w:r w:rsidRPr="001452E0">
        <w:rPr>
          <w:rFonts w:asciiTheme="majorHAnsi" w:hAnsiTheme="majorHAnsi" w:cs="Times New Roman"/>
          <w:i/>
          <w:color w:val="000000"/>
          <w:sz w:val="20"/>
          <w:szCs w:val="20"/>
        </w:rPr>
        <w:t xml:space="preserve">Sursa: </w:t>
      </w:r>
      <w:r w:rsidRPr="001452E0">
        <w:rPr>
          <w:rFonts w:asciiTheme="majorHAnsi" w:hAnsiTheme="majorHAnsi" w:cs="Times New Roman"/>
          <w:b w:val="0"/>
          <w:bCs w:val="0"/>
          <w:i/>
          <w:color w:val="000000"/>
          <w:sz w:val="20"/>
          <w:szCs w:val="20"/>
        </w:rPr>
        <w:t>Date</w:t>
      </w:r>
      <w:r w:rsidR="00AD3E09">
        <w:rPr>
          <w:rFonts w:asciiTheme="majorHAnsi" w:hAnsiTheme="majorHAnsi" w:cs="Times New Roman"/>
          <w:b w:val="0"/>
          <w:bCs w:val="0"/>
          <w:i/>
          <w:color w:val="000000"/>
          <w:sz w:val="20"/>
          <w:szCs w:val="20"/>
        </w:rPr>
        <w:t xml:space="preserve"> oferite de</w:t>
      </w:r>
      <w:r w:rsidRPr="001452E0">
        <w:rPr>
          <w:rFonts w:asciiTheme="majorHAnsi" w:hAnsiTheme="majorHAnsi" w:cs="Times New Roman"/>
          <w:b w:val="0"/>
          <w:bCs w:val="0"/>
          <w:i/>
          <w:color w:val="000000"/>
          <w:sz w:val="20"/>
          <w:szCs w:val="20"/>
        </w:rPr>
        <w:t xml:space="preserve"> CSP.</w:t>
      </w:r>
    </w:p>
    <w:p w:rsidR="003F4E1F" w:rsidRPr="008376FC" w:rsidRDefault="003F4E1F" w:rsidP="00F61756">
      <w:pPr>
        <w:spacing w:line="276" w:lineRule="auto"/>
        <w:jc w:val="both"/>
        <w:rPr>
          <w:rFonts w:asciiTheme="majorHAnsi" w:hAnsiTheme="majorHAnsi" w:cs="Times New Roman"/>
          <w:b w:val="0"/>
          <w:color w:val="000000"/>
          <w:sz w:val="24"/>
          <w:szCs w:val="24"/>
        </w:rPr>
      </w:pPr>
      <w:r w:rsidRPr="008376FC">
        <w:rPr>
          <w:rFonts w:asciiTheme="majorHAnsi" w:hAnsiTheme="majorHAnsi" w:cs="Times New Roman"/>
          <w:b w:val="0"/>
          <w:color w:val="000000"/>
          <w:sz w:val="24"/>
          <w:szCs w:val="24"/>
        </w:rPr>
        <w:t xml:space="preserve">Potrivit probelor de apă cercetate la laboratoarele Centrelor de Sănătate Publică (CSP) teritoriale la 3 parametri microbiologici (B. Coliforme, E. Coli și Enterococi) și 21 </w:t>
      </w:r>
      <w:r w:rsidR="00AD3E09">
        <w:rPr>
          <w:rFonts w:asciiTheme="majorHAnsi" w:hAnsiTheme="majorHAnsi" w:cs="Times New Roman"/>
          <w:b w:val="0"/>
          <w:color w:val="000000"/>
          <w:sz w:val="24"/>
          <w:szCs w:val="24"/>
        </w:rPr>
        <w:t xml:space="preserve">de </w:t>
      </w:r>
      <w:r w:rsidRPr="008376FC">
        <w:rPr>
          <w:rFonts w:asciiTheme="majorHAnsi" w:hAnsiTheme="majorHAnsi" w:cs="Times New Roman"/>
          <w:b w:val="0"/>
          <w:color w:val="000000"/>
          <w:sz w:val="24"/>
          <w:szCs w:val="24"/>
        </w:rPr>
        <w:t>parametri sanitaro-chimici (de bază: Bor, Cupru, Fluor, Nitriți, Nitrați și Plumb; parametrii indicativi: Miros, Culoare, Turbiditate, pH, Duritatea totală, Reziduu sec, Mineralizarea totală, Amoniu, Calciu, Cloruri, Magneziu, Mangan, Suma Na+K, Hidrocarbonați și Sulfați) în republică, apa din apeductele urbane investigate nu corespunde normativelor naționale în vigoare în proporție de 55,2% (49,2% din probe</w:t>
      </w:r>
      <w:r w:rsidR="00AD3E09">
        <w:rPr>
          <w:rFonts w:asciiTheme="majorHAnsi" w:hAnsiTheme="majorHAnsi" w:cs="Times New Roman"/>
          <w:b w:val="0"/>
          <w:color w:val="000000"/>
          <w:sz w:val="24"/>
          <w:szCs w:val="24"/>
        </w:rPr>
        <w:t>le</w:t>
      </w:r>
      <w:r w:rsidRPr="008376FC">
        <w:rPr>
          <w:rFonts w:asciiTheme="majorHAnsi" w:hAnsiTheme="majorHAnsi" w:cs="Times New Roman"/>
          <w:b w:val="0"/>
          <w:color w:val="000000"/>
          <w:sz w:val="24"/>
          <w:szCs w:val="24"/>
        </w:rPr>
        <w:t xml:space="preserve"> pentru parametrii chimici și 13,4% </w:t>
      </w:r>
      <w:r w:rsidR="00AD3E09">
        <w:rPr>
          <w:rFonts w:asciiTheme="majorHAnsi" w:hAnsiTheme="majorHAnsi" w:cs="Times New Roman"/>
          <w:b w:val="0"/>
          <w:color w:val="000000"/>
          <w:sz w:val="24"/>
          <w:szCs w:val="24"/>
        </w:rPr>
        <w:t xml:space="preserve">din probele </w:t>
      </w:r>
      <w:r w:rsidRPr="008376FC">
        <w:rPr>
          <w:rFonts w:asciiTheme="majorHAnsi" w:hAnsiTheme="majorHAnsi" w:cs="Times New Roman"/>
          <w:b w:val="0"/>
          <w:color w:val="000000"/>
          <w:sz w:val="24"/>
          <w:szCs w:val="24"/>
        </w:rPr>
        <w:t>pentru parametrii microbiologici).</w:t>
      </w:r>
    </w:p>
    <w:p w:rsidR="003F4E1F" w:rsidRPr="008376FC" w:rsidRDefault="003F4E1F" w:rsidP="00F61756">
      <w:pPr>
        <w:autoSpaceDE w:val="0"/>
        <w:autoSpaceDN w:val="0"/>
        <w:adjustRightInd w:val="0"/>
        <w:spacing w:after="0" w:line="276" w:lineRule="auto"/>
        <w:jc w:val="both"/>
        <w:rPr>
          <w:rFonts w:asciiTheme="majorHAnsi" w:hAnsiTheme="majorHAnsi" w:cs="Times New Roman"/>
          <w:b w:val="0"/>
          <w:color w:val="000000"/>
          <w:sz w:val="24"/>
          <w:szCs w:val="24"/>
        </w:rPr>
      </w:pPr>
      <w:r w:rsidRPr="008376FC">
        <w:rPr>
          <w:rFonts w:asciiTheme="majorHAnsi" w:hAnsiTheme="majorHAnsi" w:cs="Times New Roman"/>
          <w:b w:val="0"/>
          <w:color w:val="000000"/>
          <w:sz w:val="24"/>
          <w:szCs w:val="24"/>
        </w:rPr>
        <w:t>Cea mai mare pondere a neconformităților privind calitatea apei din apeductele urbane se atestă în Regiunea de Nord a țării, unde 62,5% de probe nu corespund normativelor aprobate (58,3% – parametrii chimici</w:t>
      </w:r>
      <w:r w:rsidR="00AD3E09">
        <w:rPr>
          <w:rFonts w:asciiTheme="majorHAnsi" w:hAnsiTheme="majorHAnsi" w:cs="Times New Roman"/>
          <w:b w:val="0"/>
          <w:color w:val="000000"/>
          <w:sz w:val="24"/>
          <w:szCs w:val="24"/>
        </w:rPr>
        <w:t>,</w:t>
      </w:r>
      <w:r w:rsidRPr="008376FC">
        <w:rPr>
          <w:rFonts w:asciiTheme="majorHAnsi" w:hAnsiTheme="majorHAnsi" w:cs="Times New Roman"/>
          <w:b w:val="0"/>
          <w:color w:val="000000"/>
          <w:sz w:val="24"/>
          <w:szCs w:val="24"/>
        </w:rPr>
        <w:t xml:space="preserve"> și 12,5% – parametrii microbiologici), urmată de Regiunea de Sud</w:t>
      </w:r>
      <w:r w:rsidR="00AD3E09">
        <w:rPr>
          <w:rFonts w:asciiTheme="majorHAnsi" w:hAnsiTheme="majorHAnsi" w:cs="Times New Roman"/>
          <w:b w:val="0"/>
          <w:color w:val="000000"/>
          <w:sz w:val="24"/>
          <w:szCs w:val="24"/>
        </w:rPr>
        <w:t>,</w:t>
      </w:r>
      <w:r w:rsidRPr="008376FC">
        <w:rPr>
          <w:rFonts w:asciiTheme="majorHAnsi" w:hAnsiTheme="majorHAnsi" w:cs="Times New Roman"/>
          <w:b w:val="0"/>
          <w:color w:val="000000"/>
          <w:sz w:val="24"/>
          <w:szCs w:val="24"/>
        </w:rPr>
        <w:t xml:space="preserve"> unde probele analizate reprezintă 55,5% din neconformități, însă pentru această regiune ponderea neconformităților la parametrii microbiologici este cea mai mare – de 16,7%. Cele mai puține probe neconforme au fost identificate în apeductele urbane din Regiunea Centru a țării, în proporție de 48,0% (40,0% – parametrii chimici</w:t>
      </w:r>
      <w:r w:rsidR="00AD3E09">
        <w:rPr>
          <w:rFonts w:asciiTheme="majorHAnsi" w:hAnsiTheme="majorHAnsi" w:cs="Times New Roman"/>
          <w:b w:val="0"/>
          <w:color w:val="000000"/>
          <w:sz w:val="24"/>
          <w:szCs w:val="24"/>
        </w:rPr>
        <w:t>,</w:t>
      </w:r>
      <w:r w:rsidRPr="008376FC">
        <w:rPr>
          <w:rFonts w:asciiTheme="majorHAnsi" w:hAnsiTheme="majorHAnsi" w:cs="Times New Roman"/>
          <w:b w:val="0"/>
          <w:color w:val="000000"/>
          <w:sz w:val="24"/>
          <w:szCs w:val="24"/>
        </w:rPr>
        <w:t xml:space="preserve"> și 12,0% – parametrii microbiologici).</w:t>
      </w:r>
    </w:p>
    <w:p w:rsidR="003F4E1F" w:rsidRPr="008376FC" w:rsidRDefault="003F4E1F" w:rsidP="00F61756">
      <w:pPr>
        <w:autoSpaceDE w:val="0"/>
        <w:autoSpaceDN w:val="0"/>
        <w:adjustRightInd w:val="0"/>
        <w:spacing w:after="0" w:line="276" w:lineRule="auto"/>
        <w:jc w:val="both"/>
        <w:rPr>
          <w:rFonts w:asciiTheme="majorHAnsi" w:hAnsiTheme="majorHAnsi" w:cs="Times New Roman"/>
          <w:b w:val="0"/>
          <w:color w:val="000000"/>
          <w:sz w:val="24"/>
          <w:szCs w:val="24"/>
        </w:rPr>
      </w:pPr>
    </w:p>
    <w:p w:rsidR="003F4E1F" w:rsidRPr="008376FC" w:rsidRDefault="003F4E1F" w:rsidP="00F61756">
      <w:pPr>
        <w:autoSpaceDE w:val="0"/>
        <w:autoSpaceDN w:val="0"/>
        <w:adjustRightInd w:val="0"/>
        <w:spacing w:after="0" w:line="276" w:lineRule="auto"/>
        <w:jc w:val="both"/>
        <w:rPr>
          <w:rFonts w:asciiTheme="majorHAnsi" w:hAnsiTheme="majorHAnsi" w:cs="Times New Roman"/>
          <w:b w:val="0"/>
          <w:color w:val="000000"/>
          <w:sz w:val="24"/>
          <w:szCs w:val="24"/>
        </w:rPr>
      </w:pPr>
      <w:r w:rsidRPr="008376FC">
        <w:rPr>
          <w:rFonts w:asciiTheme="majorHAnsi" w:hAnsiTheme="majorHAnsi" w:cs="Times New Roman"/>
          <w:b w:val="0"/>
          <w:color w:val="000000"/>
          <w:sz w:val="24"/>
          <w:szCs w:val="24"/>
        </w:rPr>
        <w:t>Neconformitățile constatate la parametrii microbiologici sunt condiționate de prezența în ap</w:t>
      </w:r>
      <w:r w:rsidR="0046738C">
        <w:rPr>
          <w:rFonts w:asciiTheme="majorHAnsi" w:hAnsiTheme="majorHAnsi" w:cs="Times New Roman"/>
          <w:b w:val="0"/>
          <w:color w:val="000000"/>
          <w:sz w:val="24"/>
          <w:szCs w:val="24"/>
        </w:rPr>
        <w:t>ă</w:t>
      </w:r>
      <w:r w:rsidRPr="008376FC">
        <w:rPr>
          <w:rFonts w:asciiTheme="majorHAnsi" w:hAnsiTheme="majorHAnsi" w:cs="Times New Roman"/>
          <w:b w:val="0"/>
          <w:color w:val="000000"/>
          <w:sz w:val="24"/>
          <w:szCs w:val="24"/>
        </w:rPr>
        <w:t xml:space="preserve"> a B. coliforme și E. Coli</w:t>
      </w:r>
      <w:r w:rsidR="0046738C">
        <w:rPr>
          <w:rFonts w:asciiTheme="majorHAnsi" w:hAnsiTheme="majorHAnsi" w:cs="Times New Roman"/>
          <w:b w:val="0"/>
          <w:color w:val="000000"/>
          <w:sz w:val="24"/>
          <w:szCs w:val="24"/>
        </w:rPr>
        <w:t>,</w:t>
      </w:r>
      <w:r w:rsidRPr="008376FC">
        <w:rPr>
          <w:rFonts w:asciiTheme="majorHAnsi" w:hAnsiTheme="majorHAnsi" w:cs="Times New Roman"/>
          <w:b w:val="0"/>
          <w:color w:val="000000"/>
          <w:sz w:val="24"/>
          <w:szCs w:val="24"/>
        </w:rPr>
        <w:t xml:space="preserve"> care conform normelor în vigoare sunt inadmisibile. Neconformitatea microbiologică a apei cercetate în localitățile menționate este determinată</w:t>
      </w:r>
      <w:r w:rsidR="0046738C">
        <w:rPr>
          <w:rFonts w:asciiTheme="majorHAnsi" w:hAnsiTheme="majorHAnsi" w:cs="Times New Roman"/>
          <w:b w:val="0"/>
          <w:color w:val="000000"/>
          <w:sz w:val="24"/>
          <w:szCs w:val="24"/>
        </w:rPr>
        <w:t>,</w:t>
      </w:r>
      <w:r w:rsidRPr="008376FC">
        <w:rPr>
          <w:rFonts w:asciiTheme="majorHAnsi" w:hAnsiTheme="majorHAnsi" w:cs="Times New Roman"/>
          <w:b w:val="0"/>
          <w:color w:val="000000"/>
          <w:sz w:val="24"/>
          <w:szCs w:val="24"/>
        </w:rPr>
        <w:t xml:space="preserve"> în mare parte</w:t>
      </w:r>
      <w:r w:rsidR="0046738C">
        <w:rPr>
          <w:rFonts w:asciiTheme="majorHAnsi" w:hAnsiTheme="majorHAnsi" w:cs="Times New Roman"/>
          <w:b w:val="0"/>
          <w:color w:val="000000"/>
          <w:sz w:val="24"/>
          <w:szCs w:val="24"/>
        </w:rPr>
        <w:t>,</w:t>
      </w:r>
      <w:r w:rsidRPr="008376FC">
        <w:rPr>
          <w:rFonts w:asciiTheme="majorHAnsi" w:hAnsiTheme="majorHAnsi" w:cs="Times New Roman"/>
          <w:b w:val="0"/>
          <w:color w:val="000000"/>
          <w:sz w:val="24"/>
          <w:szCs w:val="24"/>
        </w:rPr>
        <w:t xml:space="preserve"> de calitatea proastă a rețelelor locale de apeduct din locațiile de unde au fost prelevate acestea. Pentru a evita riscul apariției și răspândirii bolilor diareice acute cauzate de poluarea microbiologică, Centrele de Sănătate Publică teritoriale urmează să emită în adresa Primăriilor, sub jurisdicția cărora se află apeductele problematice, prescripții sanitare ce prevăd măsuri de tratare urgentă a apei până la conformarea ei cu normele în vigoare.</w:t>
      </w:r>
    </w:p>
    <w:p w:rsidR="003F4E1F" w:rsidRPr="008376FC" w:rsidRDefault="003F4E1F" w:rsidP="00F61756">
      <w:pPr>
        <w:autoSpaceDE w:val="0"/>
        <w:autoSpaceDN w:val="0"/>
        <w:adjustRightInd w:val="0"/>
        <w:spacing w:after="0" w:line="276" w:lineRule="auto"/>
        <w:jc w:val="both"/>
        <w:rPr>
          <w:rFonts w:asciiTheme="majorHAnsi" w:hAnsiTheme="majorHAnsi" w:cs="Times New Roman"/>
          <w:b w:val="0"/>
          <w:color w:val="000000"/>
          <w:sz w:val="24"/>
          <w:szCs w:val="24"/>
        </w:rPr>
      </w:pPr>
      <w:r w:rsidRPr="008376FC">
        <w:rPr>
          <w:rFonts w:asciiTheme="majorHAnsi" w:hAnsiTheme="majorHAnsi" w:cs="Times New Roman"/>
          <w:b w:val="0"/>
          <w:color w:val="000000"/>
          <w:sz w:val="24"/>
          <w:szCs w:val="24"/>
        </w:rPr>
        <w:t xml:space="preserve">Poluarea chimică a apei potabile are mai multe cauze: </w:t>
      </w:r>
    </w:p>
    <w:p w:rsidR="003F4E1F" w:rsidRPr="008376FC" w:rsidRDefault="00C76592" w:rsidP="00F61756">
      <w:pPr>
        <w:pStyle w:val="a3"/>
        <w:numPr>
          <w:ilvl w:val="0"/>
          <w:numId w:val="43"/>
        </w:numPr>
        <w:autoSpaceDE w:val="0"/>
        <w:autoSpaceDN w:val="0"/>
        <w:adjustRightInd w:val="0"/>
        <w:spacing w:line="276" w:lineRule="auto"/>
        <w:jc w:val="both"/>
        <w:rPr>
          <w:rFonts w:asciiTheme="majorHAnsi" w:hAnsiTheme="majorHAnsi"/>
          <w:color w:val="000000"/>
          <w:lang w:val="ro-RO"/>
        </w:rPr>
      </w:pPr>
      <w:r>
        <w:rPr>
          <w:rFonts w:asciiTheme="majorHAnsi" w:hAnsiTheme="majorHAnsi"/>
          <w:color w:val="000000"/>
          <w:lang w:val="ro-RO"/>
        </w:rPr>
        <w:t>î</w:t>
      </w:r>
      <w:r w:rsidR="003F4E1F" w:rsidRPr="008376FC">
        <w:rPr>
          <w:rFonts w:asciiTheme="majorHAnsi" w:hAnsiTheme="majorHAnsi"/>
          <w:color w:val="000000"/>
          <w:lang w:val="ro-RO"/>
        </w:rPr>
        <w:t>n funcție de originea sursei de apă potabilă, aceasta poate conține diverse substanțe anorganice naturale, mai mult sau mai puțin dăunătoare sănătății. Apa poate conține particule sau substanțe organice naturale (rezultate ale descompunerii)</w:t>
      </w:r>
      <w:r>
        <w:rPr>
          <w:rFonts w:asciiTheme="majorHAnsi" w:hAnsiTheme="majorHAnsi"/>
          <w:color w:val="000000"/>
          <w:lang w:val="ro-RO"/>
        </w:rPr>
        <w:t>,</w:t>
      </w:r>
      <w:r w:rsidR="003F4E1F" w:rsidRPr="008376FC">
        <w:rPr>
          <w:rFonts w:asciiTheme="majorHAnsi" w:hAnsiTheme="majorHAnsi"/>
          <w:color w:val="000000"/>
          <w:lang w:val="ro-RO"/>
        </w:rPr>
        <w:t xml:space="preserve"> care provin din mediul silvic sau din zonele mlăștinoase; </w:t>
      </w:r>
    </w:p>
    <w:p w:rsidR="003F4E1F" w:rsidRPr="008376FC" w:rsidRDefault="00C76592" w:rsidP="00F61756">
      <w:pPr>
        <w:pStyle w:val="a3"/>
        <w:numPr>
          <w:ilvl w:val="0"/>
          <w:numId w:val="43"/>
        </w:numPr>
        <w:autoSpaceDE w:val="0"/>
        <w:autoSpaceDN w:val="0"/>
        <w:adjustRightInd w:val="0"/>
        <w:spacing w:line="276" w:lineRule="auto"/>
        <w:jc w:val="both"/>
        <w:rPr>
          <w:rFonts w:asciiTheme="majorHAnsi" w:hAnsiTheme="majorHAnsi"/>
          <w:color w:val="000000"/>
          <w:lang w:val="ro-RO"/>
        </w:rPr>
      </w:pPr>
      <w:r>
        <w:rPr>
          <w:rFonts w:asciiTheme="majorHAnsi" w:hAnsiTheme="majorHAnsi"/>
          <w:color w:val="000000"/>
          <w:lang w:val="ro-RO"/>
        </w:rPr>
        <w:t>a</w:t>
      </w:r>
      <w:r w:rsidR="003F4E1F" w:rsidRPr="008376FC">
        <w:rPr>
          <w:rFonts w:asciiTheme="majorHAnsi" w:hAnsiTheme="majorHAnsi"/>
          <w:color w:val="000000"/>
          <w:lang w:val="ro-RO"/>
        </w:rPr>
        <w:t xml:space="preserve">pa poate conține impurități ce provin din activități antropice, agricultură, industrie sau transporturi; </w:t>
      </w:r>
    </w:p>
    <w:p w:rsidR="003F4E1F" w:rsidRPr="008376FC" w:rsidRDefault="00C76592" w:rsidP="00F61756">
      <w:pPr>
        <w:pStyle w:val="a3"/>
        <w:numPr>
          <w:ilvl w:val="0"/>
          <w:numId w:val="43"/>
        </w:numPr>
        <w:autoSpaceDE w:val="0"/>
        <w:autoSpaceDN w:val="0"/>
        <w:adjustRightInd w:val="0"/>
        <w:spacing w:line="276" w:lineRule="auto"/>
        <w:jc w:val="both"/>
        <w:rPr>
          <w:rFonts w:asciiTheme="majorHAnsi" w:hAnsiTheme="majorHAnsi"/>
          <w:color w:val="000000"/>
          <w:lang w:val="ro-RO"/>
        </w:rPr>
      </w:pPr>
      <w:r>
        <w:rPr>
          <w:rFonts w:asciiTheme="majorHAnsi" w:hAnsiTheme="majorHAnsi"/>
          <w:color w:val="000000"/>
          <w:lang w:val="ro-RO"/>
        </w:rPr>
        <w:t>a</w:t>
      </w:r>
      <w:r w:rsidR="003F4E1F" w:rsidRPr="008376FC">
        <w:rPr>
          <w:rFonts w:asciiTheme="majorHAnsi" w:hAnsiTheme="majorHAnsi"/>
          <w:color w:val="000000"/>
          <w:lang w:val="ro-RO"/>
        </w:rPr>
        <w:t xml:space="preserve">pa potabilă poate fi contaminată și prin contactul cu materialul elementelor constructive ale rețelei de apeduct. </w:t>
      </w:r>
    </w:p>
    <w:p w:rsidR="003F4E1F" w:rsidRPr="008376FC" w:rsidRDefault="003F4E1F" w:rsidP="00F61756">
      <w:pPr>
        <w:autoSpaceDE w:val="0"/>
        <w:autoSpaceDN w:val="0"/>
        <w:adjustRightInd w:val="0"/>
        <w:spacing w:after="0" w:line="276" w:lineRule="auto"/>
        <w:jc w:val="both"/>
        <w:rPr>
          <w:rFonts w:asciiTheme="majorHAnsi" w:hAnsiTheme="majorHAnsi" w:cs="Times New Roman"/>
          <w:b w:val="0"/>
          <w:color w:val="000000"/>
          <w:sz w:val="24"/>
          <w:szCs w:val="24"/>
        </w:rPr>
      </w:pPr>
      <w:r w:rsidRPr="008376FC">
        <w:rPr>
          <w:rFonts w:asciiTheme="majorHAnsi" w:hAnsiTheme="majorHAnsi" w:cs="Times New Roman"/>
          <w:b w:val="0"/>
          <w:color w:val="000000"/>
          <w:sz w:val="24"/>
          <w:szCs w:val="24"/>
        </w:rPr>
        <w:t>Chiar dacă majoritatea parametrilor indicatori nu reprezintă o amenințare directă la adresa sănătății umane, aceștia ar putea avea un impact indirect asupra calității apei prin aspect, gust sau miros (și, prin urmare, ar putea influența gradul de acceptare de către consumator) sau ar putea interfera cu tratarea corespunzătoare, de exemplu</w:t>
      </w:r>
      <w:r w:rsidR="00C76592">
        <w:rPr>
          <w:rFonts w:asciiTheme="majorHAnsi" w:hAnsiTheme="majorHAnsi" w:cs="Times New Roman"/>
          <w:b w:val="0"/>
          <w:color w:val="000000"/>
          <w:sz w:val="24"/>
          <w:szCs w:val="24"/>
        </w:rPr>
        <w:t>,</w:t>
      </w:r>
      <w:r w:rsidRPr="008376FC">
        <w:rPr>
          <w:rFonts w:asciiTheme="majorHAnsi" w:hAnsiTheme="majorHAnsi" w:cs="Times New Roman"/>
          <w:b w:val="0"/>
          <w:color w:val="000000"/>
          <w:sz w:val="24"/>
          <w:szCs w:val="24"/>
        </w:rPr>
        <w:t xml:space="preserve"> dezinfecție inadecvată determin</w:t>
      </w:r>
      <w:r w:rsidR="00C76592">
        <w:rPr>
          <w:rFonts w:asciiTheme="majorHAnsi" w:hAnsiTheme="majorHAnsi" w:cs="Times New Roman"/>
          <w:b w:val="0"/>
          <w:color w:val="000000"/>
          <w:sz w:val="24"/>
          <w:szCs w:val="24"/>
        </w:rPr>
        <w:t>at</w:t>
      </w:r>
      <w:r w:rsidRPr="008376FC">
        <w:rPr>
          <w:rFonts w:asciiTheme="majorHAnsi" w:hAnsiTheme="majorHAnsi" w:cs="Times New Roman"/>
          <w:b w:val="0"/>
          <w:color w:val="000000"/>
          <w:sz w:val="24"/>
          <w:szCs w:val="24"/>
        </w:rPr>
        <w:t xml:space="preserve">ă </w:t>
      </w:r>
      <w:r w:rsidR="00C76592">
        <w:rPr>
          <w:rFonts w:asciiTheme="majorHAnsi" w:hAnsiTheme="majorHAnsi" w:cs="Times New Roman"/>
          <w:b w:val="0"/>
          <w:color w:val="000000"/>
          <w:sz w:val="24"/>
          <w:szCs w:val="24"/>
        </w:rPr>
        <w:t xml:space="preserve">de </w:t>
      </w:r>
      <w:r w:rsidRPr="008376FC">
        <w:rPr>
          <w:rFonts w:asciiTheme="majorHAnsi" w:hAnsiTheme="majorHAnsi" w:cs="Times New Roman"/>
          <w:b w:val="0"/>
          <w:color w:val="000000"/>
          <w:sz w:val="24"/>
          <w:szCs w:val="24"/>
        </w:rPr>
        <w:t>prezența unei materii organice.</w:t>
      </w:r>
    </w:p>
    <w:p w:rsidR="003F4E1F" w:rsidRPr="008376FC" w:rsidRDefault="003F4E1F" w:rsidP="00F61756">
      <w:pPr>
        <w:autoSpaceDE w:val="0"/>
        <w:autoSpaceDN w:val="0"/>
        <w:adjustRightInd w:val="0"/>
        <w:spacing w:after="0" w:line="276" w:lineRule="auto"/>
        <w:jc w:val="both"/>
        <w:rPr>
          <w:rFonts w:asciiTheme="majorHAnsi" w:hAnsiTheme="majorHAnsi" w:cs="Times New Roman"/>
          <w:b w:val="0"/>
          <w:color w:val="000000"/>
          <w:sz w:val="24"/>
          <w:szCs w:val="24"/>
        </w:rPr>
      </w:pPr>
      <w:r w:rsidRPr="008376FC">
        <w:rPr>
          <w:rFonts w:asciiTheme="majorHAnsi" w:hAnsiTheme="majorHAnsi" w:cs="Times New Roman"/>
          <w:b w:val="0"/>
          <w:color w:val="000000"/>
          <w:sz w:val="24"/>
          <w:szCs w:val="24"/>
        </w:rPr>
        <w:t>Principalii indicatori chimici de bază a</w:t>
      </w:r>
      <w:r w:rsidR="00C76592">
        <w:rPr>
          <w:rFonts w:asciiTheme="majorHAnsi" w:hAnsiTheme="majorHAnsi" w:cs="Times New Roman"/>
          <w:b w:val="0"/>
          <w:color w:val="000000"/>
          <w:sz w:val="24"/>
          <w:szCs w:val="24"/>
        </w:rPr>
        <w:t>i</w:t>
      </w:r>
      <w:r w:rsidRPr="008376FC">
        <w:rPr>
          <w:rFonts w:asciiTheme="majorHAnsi" w:hAnsiTheme="majorHAnsi" w:cs="Times New Roman"/>
          <w:b w:val="0"/>
          <w:color w:val="000000"/>
          <w:sz w:val="24"/>
          <w:szCs w:val="24"/>
        </w:rPr>
        <w:t xml:space="preserve"> apei investigate la care s-au constatat neconformități au fost:</w:t>
      </w:r>
    </w:p>
    <w:p w:rsidR="003F4E1F" w:rsidRPr="008376FC" w:rsidRDefault="003F4E1F" w:rsidP="00F61756">
      <w:pPr>
        <w:autoSpaceDE w:val="0"/>
        <w:autoSpaceDN w:val="0"/>
        <w:adjustRightInd w:val="0"/>
        <w:spacing w:after="0" w:line="276" w:lineRule="auto"/>
        <w:jc w:val="both"/>
        <w:rPr>
          <w:rFonts w:asciiTheme="majorHAnsi" w:hAnsiTheme="majorHAnsi" w:cs="Times New Roman"/>
          <w:b w:val="0"/>
          <w:color w:val="000000"/>
          <w:sz w:val="24"/>
          <w:szCs w:val="24"/>
        </w:rPr>
      </w:pPr>
      <w:r w:rsidRPr="008376FC">
        <w:rPr>
          <w:rFonts w:asciiTheme="majorHAnsi" w:hAnsiTheme="majorHAnsi" w:cs="Times New Roman"/>
          <w:b w:val="0"/>
          <w:color w:val="000000"/>
          <w:sz w:val="24"/>
          <w:szCs w:val="24"/>
        </w:rPr>
        <w:t>Fluorul (17,9%), Borul (8,9%), Nitriții (4,5%) și Nitrații (2,98%).</w:t>
      </w:r>
    </w:p>
    <w:p w:rsidR="003F4E1F" w:rsidRPr="008376FC" w:rsidRDefault="003F4E1F" w:rsidP="00F61756">
      <w:pPr>
        <w:autoSpaceDE w:val="0"/>
        <w:autoSpaceDN w:val="0"/>
        <w:adjustRightInd w:val="0"/>
        <w:spacing w:after="0" w:line="276" w:lineRule="auto"/>
        <w:jc w:val="both"/>
        <w:rPr>
          <w:rFonts w:asciiTheme="majorHAnsi" w:hAnsiTheme="majorHAnsi" w:cs="Times New Roman"/>
          <w:b w:val="0"/>
          <w:color w:val="000000"/>
          <w:sz w:val="24"/>
          <w:szCs w:val="24"/>
        </w:rPr>
      </w:pPr>
      <w:r w:rsidRPr="008376FC">
        <w:rPr>
          <w:rFonts w:asciiTheme="majorHAnsi" w:hAnsiTheme="majorHAnsi" w:cs="Times New Roman"/>
          <w:b w:val="0"/>
          <w:color w:val="000000"/>
          <w:sz w:val="24"/>
          <w:szCs w:val="24"/>
        </w:rPr>
        <w:t>Un parametru al calității apei cu impact direct asupra sănătății populație</w:t>
      </w:r>
      <w:r w:rsidR="00C76592">
        <w:rPr>
          <w:rFonts w:asciiTheme="majorHAnsi" w:hAnsiTheme="majorHAnsi" w:cs="Times New Roman"/>
          <w:b w:val="0"/>
          <w:color w:val="000000"/>
          <w:sz w:val="24"/>
          <w:szCs w:val="24"/>
        </w:rPr>
        <w:t>i</w:t>
      </w:r>
      <w:r w:rsidRPr="008376FC">
        <w:rPr>
          <w:rFonts w:asciiTheme="majorHAnsi" w:hAnsiTheme="majorHAnsi" w:cs="Times New Roman"/>
          <w:b w:val="0"/>
          <w:color w:val="000000"/>
          <w:sz w:val="24"/>
          <w:szCs w:val="24"/>
        </w:rPr>
        <w:t xml:space="preserve"> este nitritul</w:t>
      </w:r>
      <w:r w:rsidR="00C76592">
        <w:rPr>
          <w:rFonts w:asciiTheme="majorHAnsi" w:hAnsiTheme="majorHAnsi" w:cs="Times New Roman"/>
          <w:b w:val="0"/>
          <w:color w:val="000000"/>
          <w:sz w:val="24"/>
          <w:szCs w:val="24"/>
        </w:rPr>
        <w:t xml:space="preserve"> </w:t>
      </w:r>
      <w:r w:rsidRPr="008376FC">
        <w:rPr>
          <w:rFonts w:asciiTheme="majorHAnsi" w:hAnsiTheme="majorHAnsi" w:cs="Times New Roman"/>
          <w:b w:val="0"/>
          <w:color w:val="000000"/>
          <w:sz w:val="24"/>
          <w:szCs w:val="24"/>
        </w:rPr>
        <w:t>și nitratul. Concentrațiile înalte de nitrați provoacă dereglări acute ale sănătății</w:t>
      </w:r>
      <w:r w:rsidR="00C76592">
        <w:rPr>
          <w:rFonts w:asciiTheme="majorHAnsi" w:hAnsiTheme="majorHAnsi" w:cs="Times New Roman"/>
          <w:b w:val="0"/>
          <w:color w:val="000000"/>
          <w:sz w:val="24"/>
          <w:szCs w:val="24"/>
        </w:rPr>
        <w:t>,</w:t>
      </w:r>
      <w:r w:rsidRPr="008376FC">
        <w:rPr>
          <w:rFonts w:asciiTheme="majorHAnsi" w:hAnsiTheme="majorHAnsi" w:cs="Times New Roman"/>
          <w:b w:val="0"/>
          <w:color w:val="000000"/>
          <w:sz w:val="24"/>
          <w:szCs w:val="24"/>
        </w:rPr>
        <w:t xml:space="preserve"> determinate de afinitatea înaltă a acestor compuși chimici față de hemoglobina din sânge. Interacțiunea nitraților cu hemoglobina conduce la formarea methemoglobinei, proces specific, în special pentru copii, și astfel hemoglobina devine blocată și pierde capacitatea de a transporta oxigenul spre țesuturi. Hipoxia care rezultă se manifestă prin cianoză </w:t>
      </w:r>
      <w:r w:rsidR="00C76592">
        <w:rPr>
          <w:rFonts w:asciiTheme="majorHAnsi" w:hAnsiTheme="majorHAnsi" w:cs="Times New Roman"/>
          <w:b w:val="0"/>
          <w:color w:val="000000"/>
          <w:sz w:val="24"/>
          <w:szCs w:val="24"/>
        </w:rPr>
        <w:t>(</w:t>
      </w:r>
      <w:r w:rsidRPr="008376FC">
        <w:rPr>
          <w:rFonts w:asciiTheme="majorHAnsi" w:hAnsiTheme="majorHAnsi" w:cs="Times New Roman"/>
          <w:b w:val="0"/>
          <w:color w:val="000000"/>
          <w:sz w:val="24"/>
          <w:szCs w:val="24"/>
        </w:rPr>
        <w:t xml:space="preserve">„sindromul copilului albastru” </w:t>
      </w:r>
      <w:r w:rsidR="00C76592">
        <w:rPr>
          <w:rFonts w:asciiTheme="majorHAnsi" w:hAnsiTheme="majorHAnsi" w:cs="Times New Roman"/>
          <w:b w:val="0"/>
          <w:color w:val="000000"/>
          <w:sz w:val="24"/>
          <w:szCs w:val="24"/>
        </w:rPr>
        <w:t xml:space="preserve">– </w:t>
      </w:r>
      <w:r w:rsidRPr="008376FC">
        <w:rPr>
          <w:rFonts w:asciiTheme="majorHAnsi" w:hAnsiTheme="majorHAnsi" w:cs="Times New Roman"/>
          <w:b w:val="0"/>
          <w:color w:val="000000"/>
          <w:sz w:val="24"/>
          <w:szCs w:val="24"/>
        </w:rPr>
        <w:t>cianoză peribucală, a mâinilor și picioarelor), oboseală, amețeli, vomă și diaree. Conform pr</w:t>
      </w:r>
      <w:r w:rsidR="00C76592">
        <w:rPr>
          <w:rFonts w:asciiTheme="majorHAnsi" w:hAnsiTheme="majorHAnsi" w:cs="Times New Roman"/>
          <w:b w:val="0"/>
          <w:color w:val="000000"/>
          <w:sz w:val="24"/>
          <w:szCs w:val="24"/>
        </w:rPr>
        <w:t>o</w:t>
      </w:r>
      <w:r w:rsidRPr="008376FC">
        <w:rPr>
          <w:rFonts w:asciiTheme="majorHAnsi" w:hAnsiTheme="majorHAnsi" w:cs="Times New Roman"/>
          <w:b w:val="0"/>
          <w:color w:val="000000"/>
          <w:sz w:val="24"/>
          <w:szCs w:val="24"/>
        </w:rPr>
        <w:t>belor ANSP</w:t>
      </w:r>
      <w:r w:rsidR="00C76592">
        <w:rPr>
          <w:rFonts w:asciiTheme="majorHAnsi" w:hAnsiTheme="majorHAnsi" w:cs="Times New Roman"/>
          <w:b w:val="0"/>
          <w:color w:val="000000"/>
          <w:sz w:val="24"/>
          <w:szCs w:val="24"/>
        </w:rPr>
        <w:t>,</w:t>
      </w:r>
      <w:r w:rsidRPr="008376FC">
        <w:rPr>
          <w:rFonts w:asciiTheme="majorHAnsi" w:hAnsiTheme="majorHAnsi" w:cs="Times New Roman"/>
          <w:b w:val="0"/>
          <w:color w:val="000000"/>
          <w:sz w:val="24"/>
          <w:szCs w:val="24"/>
        </w:rPr>
        <w:t xml:space="preserve"> depășirea CMA la parametrii </w:t>
      </w:r>
      <w:r w:rsidR="00C76592">
        <w:rPr>
          <w:rFonts w:asciiTheme="majorHAnsi" w:hAnsiTheme="majorHAnsi" w:cs="Times New Roman"/>
          <w:b w:val="0"/>
          <w:color w:val="000000"/>
          <w:sz w:val="24"/>
          <w:szCs w:val="24"/>
        </w:rPr>
        <w:t>respectivi</w:t>
      </w:r>
      <w:r w:rsidRPr="008376FC">
        <w:rPr>
          <w:rFonts w:asciiTheme="majorHAnsi" w:hAnsiTheme="majorHAnsi" w:cs="Times New Roman"/>
          <w:b w:val="0"/>
          <w:color w:val="000000"/>
          <w:sz w:val="24"/>
          <w:szCs w:val="24"/>
        </w:rPr>
        <w:t xml:space="preserve"> este minoră și se încadrează în limita admisă a marjelor de eroare, astfel </w:t>
      </w:r>
      <w:r w:rsidR="00C76592">
        <w:rPr>
          <w:rFonts w:asciiTheme="majorHAnsi" w:hAnsiTheme="majorHAnsi" w:cs="Times New Roman"/>
          <w:b w:val="0"/>
          <w:color w:val="000000"/>
          <w:sz w:val="24"/>
          <w:szCs w:val="24"/>
        </w:rPr>
        <w:t xml:space="preserve">că </w:t>
      </w:r>
      <w:r w:rsidRPr="008376FC">
        <w:rPr>
          <w:rFonts w:asciiTheme="majorHAnsi" w:hAnsiTheme="majorHAnsi" w:cs="Times New Roman"/>
          <w:b w:val="0"/>
          <w:color w:val="000000"/>
          <w:sz w:val="24"/>
          <w:szCs w:val="24"/>
        </w:rPr>
        <w:t>nu pot afecta sănătatea. Totuși este necesară limitarea consumului acestei apă de către copii mici.</w:t>
      </w:r>
    </w:p>
    <w:p w:rsidR="003F4E1F" w:rsidRPr="008376FC" w:rsidRDefault="003F4E1F" w:rsidP="00F61756">
      <w:pPr>
        <w:autoSpaceDE w:val="0"/>
        <w:autoSpaceDN w:val="0"/>
        <w:adjustRightInd w:val="0"/>
        <w:spacing w:after="0" w:line="276" w:lineRule="auto"/>
        <w:jc w:val="both"/>
        <w:rPr>
          <w:rFonts w:asciiTheme="majorHAnsi" w:hAnsiTheme="majorHAnsi" w:cs="Times New Roman"/>
          <w:b w:val="0"/>
          <w:color w:val="000000"/>
          <w:sz w:val="24"/>
          <w:szCs w:val="24"/>
        </w:rPr>
      </w:pPr>
      <w:r w:rsidRPr="008376FC">
        <w:rPr>
          <w:rFonts w:asciiTheme="majorHAnsi" w:hAnsiTheme="majorHAnsi" w:cs="Times New Roman"/>
          <w:b w:val="0"/>
          <w:color w:val="000000"/>
          <w:sz w:val="24"/>
          <w:szCs w:val="24"/>
        </w:rPr>
        <w:t xml:space="preserve">Riscurile pentru sănătate condiționate de neconformitatea parametrilor chimici sunt puțin studiate și nu sunt argumentate prin cercetări fundamentale standardizate. Majoritatea savanților care au abordat problema în cauză menționează că impactul pentru sănătate, în cele mai frecvente cazuri indirect, </w:t>
      </w:r>
      <w:r w:rsidR="00F43E43">
        <w:rPr>
          <w:rFonts w:asciiTheme="majorHAnsi" w:hAnsiTheme="majorHAnsi" w:cs="Times New Roman"/>
          <w:b w:val="0"/>
          <w:color w:val="000000"/>
          <w:sz w:val="24"/>
          <w:szCs w:val="24"/>
        </w:rPr>
        <w:t xml:space="preserve">determinat de </w:t>
      </w:r>
      <w:r w:rsidRPr="008376FC">
        <w:rPr>
          <w:rFonts w:asciiTheme="majorHAnsi" w:hAnsiTheme="majorHAnsi" w:cs="Times New Roman"/>
          <w:b w:val="0"/>
          <w:color w:val="000000"/>
          <w:sz w:val="24"/>
          <w:szCs w:val="24"/>
        </w:rPr>
        <w:t>neconformitatea acestor indicatori</w:t>
      </w:r>
      <w:r w:rsidR="00F43E43">
        <w:rPr>
          <w:rFonts w:asciiTheme="majorHAnsi" w:hAnsiTheme="majorHAnsi" w:cs="Times New Roman"/>
          <w:b w:val="0"/>
          <w:color w:val="000000"/>
          <w:sz w:val="24"/>
          <w:szCs w:val="24"/>
        </w:rPr>
        <w:t>,</w:t>
      </w:r>
      <w:r w:rsidRPr="008376FC">
        <w:rPr>
          <w:rFonts w:asciiTheme="majorHAnsi" w:hAnsiTheme="majorHAnsi" w:cs="Times New Roman"/>
          <w:b w:val="0"/>
          <w:color w:val="000000"/>
          <w:sz w:val="24"/>
          <w:szCs w:val="24"/>
        </w:rPr>
        <w:t xml:space="preserve"> poate apărea la o expunere îndelungată la concentrații care depășesc cu mult limitele admisibile.</w:t>
      </w:r>
    </w:p>
    <w:p w:rsidR="003F4E1F" w:rsidRPr="008376FC" w:rsidRDefault="003F4E1F" w:rsidP="00F61756">
      <w:pPr>
        <w:autoSpaceDE w:val="0"/>
        <w:autoSpaceDN w:val="0"/>
        <w:adjustRightInd w:val="0"/>
        <w:spacing w:after="0" w:line="276" w:lineRule="auto"/>
        <w:jc w:val="both"/>
        <w:rPr>
          <w:rFonts w:asciiTheme="majorHAnsi" w:hAnsiTheme="majorHAnsi" w:cs="Times New Roman"/>
          <w:b w:val="0"/>
          <w:color w:val="000000"/>
          <w:sz w:val="24"/>
          <w:szCs w:val="24"/>
        </w:rPr>
      </w:pPr>
      <w:r w:rsidRPr="008376FC">
        <w:rPr>
          <w:rFonts w:asciiTheme="majorHAnsi" w:hAnsiTheme="majorHAnsi" w:cs="Times New Roman"/>
          <w:b w:val="0"/>
          <w:color w:val="000000"/>
          <w:sz w:val="24"/>
          <w:szCs w:val="24"/>
        </w:rPr>
        <w:t>Apa</w:t>
      </w:r>
      <w:r w:rsidR="00F43E43">
        <w:rPr>
          <w:rFonts w:asciiTheme="majorHAnsi" w:hAnsiTheme="majorHAnsi" w:cs="Times New Roman"/>
          <w:b w:val="0"/>
          <w:color w:val="000000"/>
          <w:sz w:val="24"/>
          <w:szCs w:val="24"/>
        </w:rPr>
        <w:t>,</w:t>
      </w:r>
      <w:r w:rsidRPr="008376FC">
        <w:rPr>
          <w:rFonts w:asciiTheme="majorHAnsi" w:hAnsiTheme="majorHAnsi" w:cs="Times New Roman"/>
          <w:b w:val="0"/>
          <w:color w:val="000000"/>
          <w:sz w:val="24"/>
          <w:szCs w:val="24"/>
        </w:rPr>
        <w:t xml:space="preserve"> în general, și apa potabilă</w:t>
      </w:r>
      <w:r w:rsidR="00F43E43">
        <w:rPr>
          <w:rFonts w:asciiTheme="majorHAnsi" w:hAnsiTheme="majorHAnsi" w:cs="Times New Roman"/>
          <w:b w:val="0"/>
          <w:color w:val="000000"/>
          <w:sz w:val="24"/>
          <w:szCs w:val="24"/>
        </w:rPr>
        <w:t>,</w:t>
      </w:r>
      <w:r w:rsidRPr="008376FC">
        <w:rPr>
          <w:rFonts w:asciiTheme="majorHAnsi" w:hAnsiTheme="majorHAnsi" w:cs="Times New Roman"/>
          <w:b w:val="0"/>
          <w:color w:val="000000"/>
          <w:sz w:val="24"/>
          <w:szCs w:val="24"/>
        </w:rPr>
        <w:t xml:space="preserve"> în special</w:t>
      </w:r>
      <w:r w:rsidR="00F43E43">
        <w:rPr>
          <w:rFonts w:asciiTheme="majorHAnsi" w:hAnsiTheme="majorHAnsi" w:cs="Times New Roman"/>
          <w:b w:val="0"/>
          <w:color w:val="000000"/>
          <w:sz w:val="24"/>
          <w:szCs w:val="24"/>
        </w:rPr>
        <w:t>,</w:t>
      </w:r>
      <w:r w:rsidRPr="008376FC">
        <w:rPr>
          <w:rFonts w:asciiTheme="majorHAnsi" w:hAnsiTheme="majorHAnsi" w:cs="Times New Roman"/>
          <w:b w:val="0"/>
          <w:color w:val="000000"/>
          <w:sz w:val="24"/>
          <w:szCs w:val="24"/>
        </w:rPr>
        <w:t xml:space="preserve"> este factorul </w:t>
      </w:r>
      <w:r w:rsidR="00F43E43">
        <w:rPr>
          <w:rFonts w:asciiTheme="majorHAnsi" w:hAnsiTheme="majorHAnsi" w:cs="Times New Roman"/>
          <w:b w:val="0"/>
          <w:color w:val="000000"/>
          <w:sz w:val="24"/>
          <w:szCs w:val="24"/>
        </w:rPr>
        <w:t xml:space="preserve">important al </w:t>
      </w:r>
      <w:r w:rsidRPr="008376FC">
        <w:rPr>
          <w:rFonts w:asciiTheme="majorHAnsi" w:hAnsiTheme="majorHAnsi" w:cs="Times New Roman"/>
          <w:b w:val="0"/>
          <w:color w:val="000000"/>
          <w:sz w:val="24"/>
          <w:szCs w:val="24"/>
        </w:rPr>
        <w:t xml:space="preserve">mediului de viață cu cel mai mare impact asupra sănătății omului. De asemenea, apa potabilă are o importanță deosebită în menținerea stării de sănătate a omului, dar și o semnificație igienică deoarece alimentarea cu apă a unei colectivități umane este un factor de menținere a unui nivel ridicat al stării de sănătate și </w:t>
      </w:r>
      <w:r w:rsidR="00F43E43">
        <w:rPr>
          <w:rFonts w:asciiTheme="majorHAnsi" w:hAnsiTheme="majorHAnsi" w:cs="Times New Roman"/>
          <w:b w:val="0"/>
          <w:color w:val="000000"/>
          <w:sz w:val="24"/>
          <w:szCs w:val="24"/>
        </w:rPr>
        <w:t xml:space="preserve">de </w:t>
      </w:r>
      <w:r w:rsidRPr="008376FC">
        <w:rPr>
          <w:rFonts w:asciiTheme="majorHAnsi" w:hAnsiTheme="majorHAnsi" w:cs="Times New Roman"/>
          <w:b w:val="0"/>
          <w:color w:val="000000"/>
          <w:sz w:val="24"/>
          <w:szCs w:val="24"/>
        </w:rPr>
        <w:t>creștere</w:t>
      </w:r>
      <w:r w:rsidR="00F43E43">
        <w:rPr>
          <w:rFonts w:asciiTheme="majorHAnsi" w:hAnsiTheme="majorHAnsi" w:cs="Times New Roman"/>
          <w:b w:val="0"/>
          <w:color w:val="000000"/>
          <w:sz w:val="24"/>
          <w:szCs w:val="24"/>
        </w:rPr>
        <w:t xml:space="preserve"> </w:t>
      </w:r>
      <w:r w:rsidRPr="008376FC">
        <w:rPr>
          <w:rFonts w:asciiTheme="majorHAnsi" w:hAnsiTheme="majorHAnsi" w:cs="Times New Roman"/>
          <w:b w:val="0"/>
          <w:color w:val="000000"/>
          <w:sz w:val="24"/>
          <w:szCs w:val="24"/>
        </w:rPr>
        <w:t>a gradului de educație igienică a populației, a nivelului de salubritate, de confort al locuințelor și de civilizație al populației</w:t>
      </w:r>
      <w:r w:rsidR="00F43E43">
        <w:rPr>
          <w:rFonts w:asciiTheme="majorHAnsi" w:hAnsiTheme="majorHAnsi" w:cs="Times New Roman"/>
          <w:b w:val="0"/>
          <w:color w:val="000000"/>
          <w:sz w:val="24"/>
          <w:szCs w:val="24"/>
        </w:rPr>
        <w:t>,</w:t>
      </w:r>
      <w:r w:rsidRPr="008376FC">
        <w:rPr>
          <w:rFonts w:asciiTheme="majorHAnsi" w:hAnsiTheme="majorHAnsi" w:cs="Times New Roman"/>
          <w:b w:val="0"/>
          <w:color w:val="000000"/>
          <w:sz w:val="24"/>
          <w:szCs w:val="24"/>
        </w:rPr>
        <w:t xml:space="preserve"> contribuind la progresul tehnico-social al colectivităților prin dezvoltarea infrastructurii.</w:t>
      </w:r>
    </w:p>
    <w:p w:rsidR="003F4E1F" w:rsidRPr="008376FC" w:rsidRDefault="003F4E1F" w:rsidP="00F61756">
      <w:pPr>
        <w:spacing w:line="276" w:lineRule="auto"/>
        <w:rPr>
          <w:rFonts w:asciiTheme="majorHAnsi" w:hAnsiTheme="majorHAnsi" w:cs="Times New Roman"/>
          <w:color w:val="0070C0"/>
          <w:sz w:val="24"/>
          <w:szCs w:val="24"/>
        </w:rPr>
      </w:pPr>
      <w:r w:rsidRPr="008376FC">
        <w:rPr>
          <w:rFonts w:asciiTheme="majorHAnsi" w:hAnsiTheme="majorHAnsi" w:cs="Times New Roman"/>
          <w:color w:val="0070C0"/>
          <w:sz w:val="24"/>
          <w:szCs w:val="24"/>
        </w:rPr>
        <w:t>4.</w:t>
      </w:r>
      <w:r w:rsidR="0021285A" w:rsidRPr="008376FC">
        <w:rPr>
          <w:rFonts w:asciiTheme="majorHAnsi" w:hAnsiTheme="majorHAnsi" w:cs="Times New Roman"/>
          <w:color w:val="0070C0"/>
          <w:sz w:val="24"/>
          <w:szCs w:val="24"/>
        </w:rPr>
        <w:t>4</w:t>
      </w:r>
      <w:r w:rsidRPr="008376FC">
        <w:rPr>
          <w:rFonts w:asciiTheme="majorHAnsi" w:hAnsiTheme="majorHAnsi" w:cs="Times New Roman"/>
          <w:color w:val="0070C0"/>
          <w:sz w:val="24"/>
          <w:szCs w:val="24"/>
        </w:rPr>
        <w:t>.</w:t>
      </w:r>
      <w:r w:rsidR="0021285A" w:rsidRPr="008376FC">
        <w:rPr>
          <w:rFonts w:asciiTheme="majorHAnsi" w:hAnsiTheme="majorHAnsi" w:cs="Times New Roman"/>
          <w:color w:val="0070C0"/>
          <w:sz w:val="24"/>
          <w:szCs w:val="24"/>
        </w:rPr>
        <w:t>5</w:t>
      </w:r>
      <w:r w:rsidRPr="008376FC">
        <w:rPr>
          <w:rFonts w:asciiTheme="majorHAnsi" w:hAnsiTheme="majorHAnsi" w:cs="Times New Roman"/>
          <w:color w:val="0070C0"/>
          <w:sz w:val="24"/>
          <w:szCs w:val="24"/>
        </w:rPr>
        <w:t xml:space="preserve">.  </w:t>
      </w:r>
      <w:r w:rsidR="003F6658" w:rsidRPr="008376FC">
        <w:rPr>
          <w:rFonts w:asciiTheme="majorHAnsi" w:hAnsiTheme="majorHAnsi" w:cs="Times New Roman"/>
          <w:color w:val="0070C0"/>
          <w:sz w:val="24"/>
          <w:szCs w:val="24"/>
        </w:rPr>
        <w:t>Rezultatele c</w:t>
      </w:r>
      <w:r w:rsidRPr="008376FC">
        <w:rPr>
          <w:rFonts w:asciiTheme="majorHAnsi" w:hAnsiTheme="majorHAnsi" w:cs="Times New Roman"/>
          <w:color w:val="0070C0"/>
          <w:sz w:val="24"/>
          <w:szCs w:val="24"/>
        </w:rPr>
        <w:t>ontroalel</w:t>
      </w:r>
      <w:r w:rsidR="003F6658" w:rsidRPr="008376FC">
        <w:rPr>
          <w:rFonts w:asciiTheme="majorHAnsi" w:hAnsiTheme="majorHAnsi" w:cs="Times New Roman"/>
          <w:color w:val="0070C0"/>
          <w:sz w:val="24"/>
          <w:szCs w:val="24"/>
        </w:rPr>
        <w:t>or efectuate de CSP sunt alarmante</w:t>
      </w:r>
      <w:r w:rsidR="00F43E43">
        <w:rPr>
          <w:rFonts w:asciiTheme="majorHAnsi" w:hAnsiTheme="majorHAnsi" w:cs="Times New Roman"/>
          <w:color w:val="0070C0"/>
          <w:sz w:val="24"/>
          <w:szCs w:val="24"/>
        </w:rPr>
        <w:t>.</w:t>
      </w:r>
    </w:p>
    <w:p w:rsidR="003F4E1F" w:rsidRPr="008376FC" w:rsidRDefault="003F4E1F" w:rsidP="00F61756">
      <w:pPr>
        <w:spacing w:line="276" w:lineRule="auto"/>
        <w:jc w:val="both"/>
        <w:rPr>
          <w:rFonts w:asciiTheme="majorHAnsi" w:hAnsiTheme="majorHAnsi" w:cs="Times New Roman"/>
          <w:b w:val="0"/>
          <w:color w:val="000000"/>
          <w:sz w:val="24"/>
          <w:szCs w:val="24"/>
        </w:rPr>
      </w:pPr>
      <w:r w:rsidRPr="008376FC">
        <w:rPr>
          <w:rFonts w:asciiTheme="majorHAnsi" w:hAnsiTheme="majorHAnsi" w:cs="Times New Roman"/>
          <w:b w:val="0"/>
          <w:color w:val="000000"/>
          <w:sz w:val="24"/>
          <w:szCs w:val="24"/>
        </w:rPr>
        <w:t>În conformitate cu prevederile Legii nr.182 din 19.12.2019 privind calitatea apei potabile, în cazul constatării neconformității calității apei la parametrii normativi stipulați în actele</w:t>
      </w:r>
      <w:r w:rsidR="009B6447" w:rsidRPr="008376FC">
        <w:rPr>
          <w:rFonts w:asciiTheme="majorHAnsi" w:hAnsiTheme="majorHAnsi" w:cs="Times New Roman"/>
          <w:b w:val="0"/>
          <w:color w:val="000000"/>
          <w:sz w:val="24"/>
          <w:szCs w:val="24"/>
        </w:rPr>
        <w:t xml:space="preserve"> </w:t>
      </w:r>
      <w:r w:rsidRPr="008376FC">
        <w:rPr>
          <w:rFonts w:asciiTheme="majorHAnsi" w:hAnsiTheme="majorHAnsi" w:cs="Times New Roman"/>
          <w:b w:val="0"/>
          <w:color w:val="000000"/>
          <w:sz w:val="24"/>
          <w:szCs w:val="24"/>
        </w:rPr>
        <w:t>legislative nominalizate</w:t>
      </w:r>
      <w:r w:rsidR="00F43E43">
        <w:rPr>
          <w:rFonts w:asciiTheme="majorHAnsi" w:hAnsiTheme="majorHAnsi" w:cs="Times New Roman"/>
          <w:b w:val="0"/>
          <w:color w:val="000000"/>
          <w:sz w:val="24"/>
          <w:szCs w:val="24"/>
        </w:rPr>
        <w:t xml:space="preserve"> supra</w:t>
      </w:r>
      <w:r w:rsidRPr="008376FC">
        <w:rPr>
          <w:rFonts w:asciiTheme="majorHAnsi" w:hAnsiTheme="majorHAnsi" w:cs="Times New Roman"/>
          <w:b w:val="0"/>
          <w:color w:val="000000"/>
          <w:sz w:val="24"/>
          <w:szCs w:val="24"/>
        </w:rPr>
        <w:t xml:space="preserve">, </w:t>
      </w:r>
      <w:r w:rsidR="009B6447" w:rsidRPr="008376FC">
        <w:rPr>
          <w:rFonts w:asciiTheme="majorHAnsi" w:hAnsiTheme="majorHAnsi" w:cs="Times New Roman"/>
          <w:b w:val="0"/>
          <w:color w:val="000000"/>
          <w:sz w:val="24"/>
          <w:szCs w:val="24"/>
        </w:rPr>
        <w:t>ANSP</w:t>
      </w:r>
      <w:r w:rsidRPr="008376FC">
        <w:rPr>
          <w:rFonts w:asciiTheme="majorHAnsi" w:hAnsiTheme="majorHAnsi" w:cs="Times New Roman"/>
          <w:b w:val="0"/>
          <w:color w:val="000000"/>
          <w:sz w:val="24"/>
          <w:szCs w:val="24"/>
        </w:rPr>
        <w:t xml:space="preserve"> estimează riscurile pentru sănătate de comun cu producătorii și operatorii, constată cauzele neconformității și ia măsuri de remediere.</w:t>
      </w:r>
    </w:p>
    <w:p w:rsidR="003F4E1F" w:rsidRPr="008376FC" w:rsidRDefault="003F4E1F" w:rsidP="00F61756">
      <w:pPr>
        <w:spacing w:line="276" w:lineRule="auto"/>
        <w:jc w:val="both"/>
        <w:rPr>
          <w:rFonts w:asciiTheme="majorHAnsi" w:hAnsiTheme="majorHAnsi" w:cs="Times New Roman"/>
          <w:b w:val="0"/>
          <w:color w:val="000000"/>
          <w:sz w:val="24"/>
          <w:szCs w:val="24"/>
        </w:rPr>
      </w:pPr>
      <w:r w:rsidRPr="008376FC">
        <w:rPr>
          <w:rFonts w:asciiTheme="majorHAnsi" w:hAnsiTheme="majorHAnsi" w:cs="Times New Roman"/>
          <w:b w:val="0"/>
          <w:color w:val="000000"/>
          <w:sz w:val="24"/>
          <w:szCs w:val="24"/>
        </w:rPr>
        <w:t>Ca urmare a efectuării colectărilor de laborator, CSP teritoriale informează operatorii/gestionarii sistemelor de apeduct despre calitatea apei livrate populației, iar în caz de stabilire a neconformităților</w:t>
      </w:r>
      <w:r w:rsidR="00F43E43">
        <w:rPr>
          <w:rFonts w:asciiTheme="majorHAnsi" w:hAnsiTheme="majorHAnsi" w:cs="Times New Roman"/>
          <w:b w:val="0"/>
          <w:color w:val="000000"/>
          <w:sz w:val="24"/>
          <w:szCs w:val="24"/>
        </w:rPr>
        <w:t>,</w:t>
      </w:r>
      <w:r w:rsidRPr="008376FC">
        <w:rPr>
          <w:rFonts w:asciiTheme="majorHAnsi" w:hAnsiTheme="majorHAnsi" w:cs="Times New Roman"/>
          <w:b w:val="0"/>
          <w:color w:val="000000"/>
          <w:sz w:val="24"/>
          <w:szCs w:val="24"/>
        </w:rPr>
        <w:t xml:space="preserve"> atât APL</w:t>
      </w:r>
      <w:r w:rsidR="00F43E43">
        <w:rPr>
          <w:rFonts w:asciiTheme="majorHAnsi" w:hAnsiTheme="majorHAnsi" w:cs="Times New Roman"/>
          <w:b w:val="0"/>
          <w:color w:val="000000"/>
          <w:sz w:val="24"/>
          <w:szCs w:val="24"/>
        </w:rPr>
        <w:t>,</w:t>
      </w:r>
      <w:r w:rsidRPr="008376FC">
        <w:rPr>
          <w:rFonts w:asciiTheme="majorHAnsi" w:hAnsiTheme="majorHAnsi" w:cs="Times New Roman"/>
          <w:b w:val="0"/>
          <w:color w:val="000000"/>
          <w:sz w:val="24"/>
          <w:szCs w:val="24"/>
        </w:rPr>
        <w:t xml:space="preserve"> cât și furnizorilor de servicii de aprovizionare cu apă și canalizare le sunt întocmite prescripții sanitare cu recomandări de remediere a situației.</w:t>
      </w:r>
    </w:p>
    <w:p w:rsidR="003F4E1F" w:rsidRPr="008376FC" w:rsidRDefault="003F4E1F" w:rsidP="00F61756">
      <w:pPr>
        <w:spacing w:line="276" w:lineRule="auto"/>
        <w:jc w:val="both"/>
        <w:rPr>
          <w:rFonts w:asciiTheme="majorHAnsi" w:hAnsiTheme="majorHAnsi" w:cs="Times New Roman"/>
          <w:b w:val="0"/>
          <w:color w:val="000000"/>
          <w:sz w:val="24"/>
          <w:szCs w:val="24"/>
        </w:rPr>
      </w:pPr>
      <w:r w:rsidRPr="008376FC">
        <w:rPr>
          <w:rFonts w:asciiTheme="majorHAnsi" w:hAnsiTheme="majorHAnsi" w:cs="Times New Roman"/>
          <w:b w:val="0"/>
          <w:color w:val="000000"/>
          <w:sz w:val="24"/>
          <w:szCs w:val="24"/>
        </w:rPr>
        <w:t xml:space="preserve">În cazul necorespunderii calității apei potabile </w:t>
      </w:r>
      <w:r w:rsidR="00F43E43">
        <w:rPr>
          <w:rFonts w:asciiTheme="majorHAnsi" w:hAnsiTheme="majorHAnsi" w:cs="Times New Roman"/>
          <w:b w:val="0"/>
          <w:color w:val="000000"/>
          <w:sz w:val="24"/>
          <w:szCs w:val="24"/>
        </w:rPr>
        <w:t>conform</w:t>
      </w:r>
      <w:r w:rsidR="00F43E43" w:rsidRPr="008376FC">
        <w:rPr>
          <w:rFonts w:asciiTheme="majorHAnsi" w:hAnsiTheme="majorHAnsi" w:cs="Times New Roman"/>
          <w:b w:val="0"/>
          <w:color w:val="000000"/>
          <w:sz w:val="24"/>
          <w:szCs w:val="24"/>
        </w:rPr>
        <w:t xml:space="preserve"> </w:t>
      </w:r>
      <w:r w:rsidRPr="008376FC">
        <w:rPr>
          <w:rFonts w:asciiTheme="majorHAnsi" w:hAnsiTheme="majorHAnsi" w:cs="Times New Roman"/>
          <w:b w:val="0"/>
          <w:color w:val="000000"/>
          <w:sz w:val="24"/>
          <w:szCs w:val="24"/>
        </w:rPr>
        <w:t>indicatori</w:t>
      </w:r>
      <w:r w:rsidR="00F43E43">
        <w:rPr>
          <w:rFonts w:asciiTheme="majorHAnsi" w:hAnsiTheme="majorHAnsi" w:cs="Times New Roman"/>
          <w:b w:val="0"/>
          <w:color w:val="000000"/>
          <w:sz w:val="24"/>
          <w:szCs w:val="24"/>
        </w:rPr>
        <w:t>lor</w:t>
      </w:r>
      <w:r w:rsidRPr="008376FC">
        <w:rPr>
          <w:rFonts w:asciiTheme="majorHAnsi" w:hAnsiTheme="majorHAnsi" w:cs="Times New Roman"/>
          <w:b w:val="0"/>
          <w:color w:val="000000"/>
          <w:sz w:val="24"/>
          <w:szCs w:val="24"/>
        </w:rPr>
        <w:t xml:space="preserve"> microbiologici și/sau exploat</w:t>
      </w:r>
      <w:r w:rsidR="00C20D28">
        <w:rPr>
          <w:rFonts w:asciiTheme="majorHAnsi" w:hAnsiTheme="majorHAnsi" w:cs="Times New Roman"/>
          <w:b w:val="0"/>
          <w:color w:val="000000"/>
          <w:sz w:val="24"/>
          <w:szCs w:val="24"/>
        </w:rPr>
        <w:t>ării</w:t>
      </w:r>
      <w:r w:rsidRPr="008376FC">
        <w:rPr>
          <w:rFonts w:asciiTheme="majorHAnsi" w:hAnsiTheme="majorHAnsi" w:cs="Times New Roman"/>
          <w:b w:val="0"/>
          <w:color w:val="000000"/>
          <w:sz w:val="24"/>
          <w:szCs w:val="24"/>
        </w:rPr>
        <w:t xml:space="preserve"> sistemelor de aprovizionare cu apă potabilă cu abateri de la normele sanitare în vigoare, factorii de decizie ai CSP teritoriale emit hotărâri de suspendare/interzicere a exploatării obiectivelor </w:t>
      </w:r>
      <w:r w:rsidR="00F43E43">
        <w:rPr>
          <w:rFonts w:asciiTheme="majorHAnsi" w:hAnsiTheme="majorHAnsi" w:cs="Times New Roman"/>
          <w:b w:val="0"/>
          <w:color w:val="000000"/>
          <w:sz w:val="24"/>
          <w:szCs w:val="24"/>
        </w:rPr>
        <w:t>respective</w:t>
      </w:r>
      <w:r w:rsidRPr="008376FC">
        <w:rPr>
          <w:rFonts w:asciiTheme="majorHAnsi" w:hAnsiTheme="majorHAnsi" w:cs="Times New Roman"/>
          <w:b w:val="0"/>
          <w:color w:val="000000"/>
          <w:sz w:val="24"/>
          <w:szCs w:val="24"/>
        </w:rPr>
        <w:t xml:space="preserve"> până la remedierea situației. Atunci când lipsesc alternative de alimentare cu apă potabilă a populației din zona respectivă, iar nivelul de risc pentru sănătatea consumatorilor este minim sau moderat, în prezența unui plan de siguranță a apei potabile, Ministerul Sănătății, după caz, la solicitarea Agenției Naționale pentru Sănătate Publică, poate permite pe un termen determinat (3 ani) derogări de la valorile parametrilor stabiliți în normativele naționale. Aceste derogări pot fi stabilite doar pentru parametrii chimici </w:t>
      </w:r>
      <w:r w:rsidR="00C20D28">
        <w:rPr>
          <w:rFonts w:asciiTheme="majorHAnsi" w:hAnsiTheme="majorHAnsi" w:cs="Times New Roman"/>
          <w:b w:val="0"/>
          <w:color w:val="000000"/>
          <w:sz w:val="24"/>
          <w:szCs w:val="24"/>
        </w:rPr>
        <w:t>B</w:t>
      </w:r>
      <w:r w:rsidRPr="008376FC">
        <w:rPr>
          <w:rFonts w:asciiTheme="majorHAnsi" w:hAnsiTheme="majorHAnsi" w:cs="Times New Roman"/>
          <w:b w:val="0"/>
          <w:color w:val="000000"/>
          <w:sz w:val="24"/>
          <w:szCs w:val="24"/>
        </w:rPr>
        <w:t xml:space="preserve">or, </w:t>
      </w:r>
      <w:r w:rsidR="00C20D28">
        <w:rPr>
          <w:rFonts w:asciiTheme="majorHAnsi" w:hAnsiTheme="majorHAnsi" w:cs="Times New Roman"/>
          <w:b w:val="0"/>
          <w:color w:val="000000"/>
          <w:sz w:val="24"/>
          <w:szCs w:val="24"/>
        </w:rPr>
        <w:t>F</w:t>
      </w:r>
      <w:r w:rsidRPr="008376FC">
        <w:rPr>
          <w:rFonts w:asciiTheme="majorHAnsi" w:hAnsiTheme="majorHAnsi" w:cs="Times New Roman"/>
          <w:b w:val="0"/>
          <w:color w:val="000000"/>
          <w:sz w:val="24"/>
          <w:szCs w:val="24"/>
        </w:rPr>
        <w:t xml:space="preserve">luor și </w:t>
      </w:r>
      <w:r w:rsidR="00C20D28">
        <w:rPr>
          <w:rFonts w:asciiTheme="majorHAnsi" w:hAnsiTheme="majorHAnsi" w:cs="Times New Roman"/>
          <w:b w:val="0"/>
          <w:color w:val="000000"/>
          <w:sz w:val="24"/>
          <w:szCs w:val="24"/>
        </w:rPr>
        <w:t>N</w:t>
      </w:r>
      <w:r w:rsidRPr="008376FC">
        <w:rPr>
          <w:rFonts w:asciiTheme="majorHAnsi" w:hAnsiTheme="majorHAnsi" w:cs="Times New Roman"/>
          <w:b w:val="0"/>
          <w:color w:val="000000"/>
          <w:sz w:val="24"/>
          <w:szCs w:val="24"/>
        </w:rPr>
        <w:t xml:space="preserve">itriți și parametrii indicatori, condiționați în mare parte de particularitățile geochimice. </w:t>
      </w:r>
    </w:p>
    <w:p w:rsidR="003F4E1F" w:rsidRPr="008376FC" w:rsidRDefault="003F4E1F" w:rsidP="00F61756">
      <w:pPr>
        <w:pStyle w:val="Default"/>
        <w:spacing w:before="120" w:line="276" w:lineRule="auto"/>
        <w:jc w:val="both"/>
        <w:rPr>
          <w:rFonts w:asciiTheme="majorHAnsi" w:hAnsiTheme="majorHAnsi"/>
          <w:lang w:val="ro-RO"/>
        </w:rPr>
      </w:pPr>
      <w:r w:rsidRPr="008376FC">
        <w:rPr>
          <w:rFonts w:asciiTheme="majorHAnsi" w:hAnsiTheme="majorHAnsi"/>
          <w:lang w:val="ro-RO"/>
        </w:rPr>
        <w:t xml:space="preserve">În cazul </w:t>
      </w:r>
      <w:r w:rsidR="00C20D28">
        <w:rPr>
          <w:rFonts w:asciiTheme="majorHAnsi" w:hAnsiTheme="majorHAnsi"/>
          <w:lang w:val="ro-RO"/>
        </w:rPr>
        <w:t>în care</w:t>
      </w:r>
      <w:r w:rsidRPr="008376FC">
        <w:rPr>
          <w:rFonts w:asciiTheme="majorHAnsi" w:hAnsiTheme="majorHAnsi"/>
          <w:lang w:val="ro-RO"/>
        </w:rPr>
        <w:t xml:space="preserve"> în cadrul efectuării controalelor de stat se constată încălcări ce cad sub incidența Codului contravențional, persoanel</w:t>
      </w:r>
      <w:r w:rsidR="00C20D28">
        <w:rPr>
          <w:rFonts w:asciiTheme="majorHAnsi" w:hAnsiTheme="majorHAnsi"/>
          <w:lang w:val="ro-RO"/>
        </w:rPr>
        <w:t>or</w:t>
      </w:r>
      <w:r w:rsidRPr="008376FC">
        <w:rPr>
          <w:rFonts w:asciiTheme="majorHAnsi" w:hAnsiTheme="majorHAnsi"/>
          <w:lang w:val="ro-RO"/>
        </w:rPr>
        <w:t xml:space="preserve"> responsabile </w:t>
      </w:r>
      <w:r w:rsidR="00C20D28">
        <w:rPr>
          <w:rFonts w:asciiTheme="majorHAnsi" w:hAnsiTheme="majorHAnsi"/>
          <w:lang w:val="ro-RO"/>
        </w:rPr>
        <w:t xml:space="preserve">li </w:t>
      </w:r>
      <w:r w:rsidRPr="008376FC">
        <w:rPr>
          <w:rFonts w:asciiTheme="majorHAnsi" w:hAnsiTheme="majorHAnsi"/>
          <w:lang w:val="ro-RO"/>
        </w:rPr>
        <w:t>se întocmește procesul</w:t>
      </w:r>
      <w:r w:rsidR="00C20D28">
        <w:rPr>
          <w:rFonts w:asciiTheme="majorHAnsi" w:hAnsiTheme="majorHAnsi"/>
          <w:lang w:val="ro-RO"/>
        </w:rPr>
        <w:t>-</w:t>
      </w:r>
      <w:r w:rsidRPr="008376FC">
        <w:rPr>
          <w:rFonts w:asciiTheme="majorHAnsi" w:hAnsiTheme="majorHAnsi"/>
          <w:lang w:val="ro-RO"/>
        </w:rPr>
        <w:t xml:space="preserve">verbal cu privire la contravenție conform Formularului statistic nr.319/e, aprobat prin Ordinul </w:t>
      </w:r>
      <w:r w:rsidR="00C20D28">
        <w:rPr>
          <w:rFonts w:asciiTheme="majorHAnsi" w:hAnsiTheme="majorHAnsi"/>
          <w:lang w:val="ro-RO"/>
        </w:rPr>
        <w:t>m</w:t>
      </w:r>
      <w:r w:rsidRPr="008376FC">
        <w:rPr>
          <w:rFonts w:asciiTheme="majorHAnsi" w:hAnsiTheme="majorHAnsi"/>
          <w:lang w:val="ro-RO"/>
        </w:rPr>
        <w:t>inistrului Sănătății nr. 811 din 11.11.2016, care se înregistrează în registru</w:t>
      </w:r>
      <w:r w:rsidR="00C20D28">
        <w:rPr>
          <w:rFonts w:asciiTheme="majorHAnsi" w:hAnsiTheme="majorHAnsi"/>
          <w:lang w:val="ro-RO"/>
        </w:rPr>
        <w:t>l</w:t>
      </w:r>
      <w:r w:rsidRPr="008376FC">
        <w:rPr>
          <w:rFonts w:asciiTheme="majorHAnsi" w:hAnsiTheme="majorHAnsi"/>
          <w:lang w:val="ro-RO"/>
        </w:rPr>
        <w:t xml:space="preserve"> de evidență a proceselor</w:t>
      </w:r>
      <w:r w:rsidR="00C20D28">
        <w:rPr>
          <w:rFonts w:asciiTheme="majorHAnsi" w:hAnsiTheme="majorHAnsi"/>
          <w:lang w:val="ro-RO"/>
        </w:rPr>
        <w:t>-</w:t>
      </w:r>
      <w:r w:rsidRPr="008376FC">
        <w:rPr>
          <w:rFonts w:asciiTheme="majorHAnsi" w:hAnsiTheme="majorHAnsi"/>
          <w:lang w:val="ro-RO"/>
        </w:rPr>
        <w:t xml:space="preserve">verbale. </w:t>
      </w:r>
    </w:p>
    <w:p w:rsidR="003F4E1F" w:rsidRPr="008376FC" w:rsidRDefault="003F4E1F" w:rsidP="00F61756">
      <w:pPr>
        <w:pStyle w:val="Default"/>
        <w:spacing w:before="120" w:line="276" w:lineRule="auto"/>
        <w:jc w:val="both"/>
        <w:rPr>
          <w:rFonts w:asciiTheme="majorHAnsi" w:hAnsiTheme="majorHAnsi"/>
          <w:lang w:val="ro-RO"/>
        </w:rPr>
      </w:pPr>
      <w:r w:rsidRPr="008376FC">
        <w:rPr>
          <w:rFonts w:asciiTheme="majorHAnsi" w:hAnsiTheme="majorHAnsi"/>
          <w:lang w:val="ro-RO"/>
        </w:rPr>
        <w:t>Ca rezultat al examinării cauzei contravenționale de către conducerea ANSP și subdiviziunil</w:t>
      </w:r>
      <w:r w:rsidR="00C20D28">
        <w:rPr>
          <w:rFonts w:asciiTheme="majorHAnsi" w:hAnsiTheme="majorHAnsi"/>
          <w:lang w:val="ro-RO"/>
        </w:rPr>
        <w:t>e</w:t>
      </w:r>
      <w:r w:rsidRPr="008376FC">
        <w:rPr>
          <w:rFonts w:asciiTheme="majorHAnsi" w:hAnsiTheme="majorHAnsi"/>
          <w:lang w:val="ro-RO"/>
        </w:rPr>
        <w:t xml:space="preserve"> teritoriale</w:t>
      </w:r>
      <w:r w:rsidR="00C20D28">
        <w:rPr>
          <w:rFonts w:asciiTheme="majorHAnsi" w:hAnsiTheme="majorHAnsi"/>
          <w:lang w:val="ro-RO"/>
        </w:rPr>
        <w:t>,</w:t>
      </w:r>
      <w:r w:rsidRPr="008376FC">
        <w:rPr>
          <w:rFonts w:asciiTheme="majorHAnsi" w:hAnsiTheme="majorHAnsi"/>
          <w:lang w:val="ro-RO"/>
        </w:rPr>
        <w:t xml:space="preserve"> se emite decizia cu privire la aplicarea amenzii, care se înregistrează în formularul de evidență statistică </w:t>
      </w:r>
      <w:r w:rsidR="00C20D28">
        <w:rPr>
          <w:rFonts w:asciiTheme="majorHAnsi" w:hAnsiTheme="majorHAnsi"/>
          <w:lang w:val="ro-RO"/>
        </w:rPr>
        <w:t>n</w:t>
      </w:r>
      <w:r w:rsidRPr="008376FC">
        <w:rPr>
          <w:rFonts w:asciiTheme="majorHAnsi" w:hAnsiTheme="majorHAnsi"/>
          <w:lang w:val="ro-RO"/>
        </w:rPr>
        <w:t>r. 321/e „Registru</w:t>
      </w:r>
      <w:r w:rsidR="00C20D28">
        <w:rPr>
          <w:rFonts w:asciiTheme="majorHAnsi" w:hAnsiTheme="majorHAnsi"/>
          <w:lang w:val="ro-RO"/>
        </w:rPr>
        <w:t>l</w:t>
      </w:r>
      <w:r w:rsidRPr="008376FC">
        <w:rPr>
          <w:rFonts w:asciiTheme="majorHAnsi" w:hAnsiTheme="majorHAnsi"/>
          <w:lang w:val="ro-RO"/>
        </w:rPr>
        <w:t xml:space="preserve"> de înregistrare a deciziilor de aplicare a amenzilor”</w:t>
      </w:r>
      <w:r w:rsidR="00C20D28">
        <w:rPr>
          <w:rFonts w:asciiTheme="majorHAnsi" w:hAnsiTheme="majorHAnsi"/>
          <w:lang w:val="ro-RO"/>
        </w:rPr>
        <w:t>,</w:t>
      </w:r>
      <w:r w:rsidRPr="008376FC">
        <w:rPr>
          <w:rFonts w:asciiTheme="majorHAnsi" w:hAnsiTheme="majorHAnsi"/>
          <w:lang w:val="ro-RO"/>
        </w:rPr>
        <w:t xml:space="preserve"> aprobat prin </w:t>
      </w:r>
      <w:r w:rsidR="00C20D28">
        <w:rPr>
          <w:rFonts w:asciiTheme="majorHAnsi" w:hAnsiTheme="majorHAnsi"/>
          <w:lang w:val="ro-RO"/>
        </w:rPr>
        <w:t>O</w:t>
      </w:r>
      <w:r w:rsidRPr="008376FC">
        <w:rPr>
          <w:rFonts w:asciiTheme="majorHAnsi" w:hAnsiTheme="majorHAnsi"/>
          <w:lang w:val="ro-RO"/>
        </w:rPr>
        <w:t xml:space="preserve">rdinul </w:t>
      </w:r>
      <w:r w:rsidR="00C20D28">
        <w:rPr>
          <w:rFonts w:asciiTheme="majorHAnsi" w:hAnsiTheme="majorHAnsi"/>
          <w:lang w:val="ro-RO"/>
        </w:rPr>
        <w:t>m</w:t>
      </w:r>
      <w:r w:rsidRPr="008376FC">
        <w:rPr>
          <w:rFonts w:asciiTheme="majorHAnsi" w:hAnsiTheme="majorHAnsi"/>
          <w:lang w:val="ro-RO"/>
        </w:rPr>
        <w:t xml:space="preserve">inistrului Sănătății </w:t>
      </w:r>
      <w:r w:rsidR="00C20D28">
        <w:rPr>
          <w:rFonts w:asciiTheme="majorHAnsi" w:hAnsiTheme="majorHAnsi"/>
          <w:lang w:val="ro-RO"/>
        </w:rPr>
        <w:t>n</w:t>
      </w:r>
      <w:r w:rsidRPr="008376FC">
        <w:rPr>
          <w:rFonts w:asciiTheme="majorHAnsi" w:hAnsiTheme="majorHAnsi"/>
          <w:lang w:val="ro-RO"/>
        </w:rPr>
        <w:t>r.828 din 31.10.</w:t>
      </w:r>
      <w:r w:rsidR="00C20D28">
        <w:rPr>
          <w:rFonts w:asciiTheme="majorHAnsi" w:hAnsiTheme="majorHAnsi"/>
          <w:lang w:val="ro-RO"/>
        </w:rPr>
        <w:t>20</w:t>
      </w:r>
      <w:r w:rsidRPr="008376FC">
        <w:rPr>
          <w:rFonts w:asciiTheme="majorHAnsi" w:hAnsiTheme="majorHAnsi"/>
          <w:lang w:val="ro-RO"/>
        </w:rPr>
        <w:t xml:space="preserve">11. Suma amenzilor aplicate se transferă de către contravenient în bugetul de stat. </w:t>
      </w:r>
    </w:p>
    <w:p w:rsidR="003F4E1F" w:rsidRPr="008376FC" w:rsidRDefault="003F4E1F" w:rsidP="00F61756">
      <w:pPr>
        <w:spacing w:before="120"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La aplicarea măsurilor contravenționale</w:t>
      </w:r>
      <w:r w:rsidR="00C20D28">
        <w:rPr>
          <w:rFonts w:asciiTheme="majorHAnsi" w:hAnsiTheme="majorHAnsi" w:cs="Times New Roman"/>
          <w:b w:val="0"/>
          <w:sz w:val="24"/>
          <w:szCs w:val="24"/>
        </w:rPr>
        <w:t>,</w:t>
      </w:r>
      <w:r w:rsidRPr="008376FC">
        <w:rPr>
          <w:rFonts w:asciiTheme="majorHAnsi" w:hAnsiTheme="majorHAnsi" w:cs="Times New Roman"/>
          <w:b w:val="0"/>
          <w:sz w:val="24"/>
          <w:szCs w:val="24"/>
        </w:rPr>
        <w:t xml:space="preserve"> personalul abilitat cu drept de control de stat în sănătate publică se ghidează de Instrucțiunea privind modul de atragere la răspundere contravențională pentru încălcările legislației sanitare, aprobată prin Ordinul ANSP nr.430 din 14.12.2018.</w:t>
      </w:r>
    </w:p>
    <w:p w:rsidR="003F4E1F" w:rsidRPr="008376FC" w:rsidRDefault="003F4E1F" w:rsidP="00F61756">
      <w:pPr>
        <w:spacing w:before="120"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 xml:space="preserve">În anii 2014-2022 au fost întocmite 102 </w:t>
      </w:r>
      <w:r w:rsidR="00427D39">
        <w:rPr>
          <w:rFonts w:asciiTheme="majorHAnsi" w:hAnsiTheme="majorHAnsi" w:cs="Times New Roman"/>
          <w:b w:val="0"/>
          <w:sz w:val="24"/>
          <w:szCs w:val="24"/>
        </w:rPr>
        <w:t>procese-verbale</w:t>
      </w:r>
      <w:r w:rsidRPr="008376FC">
        <w:rPr>
          <w:rFonts w:asciiTheme="majorHAnsi" w:hAnsiTheme="majorHAnsi" w:cs="Times New Roman"/>
          <w:b w:val="0"/>
          <w:sz w:val="24"/>
          <w:szCs w:val="24"/>
        </w:rPr>
        <w:t xml:space="preserve"> de contravenții, fiind aplicate amen</w:t>
      </w:r>
      <w:r w:rsidR="00427D39">
        <w:rPr>
          <w:rFonts w:asciiTheme="majorHAnsi" w:hAnsiTheme="majorHAnsi" w:cs="Times New Roman"/>
          <w:b w:val="0"/>
          <w:sz w:val="24"/>
          <w:szCs w:val="24"/>
        </w:rPr>
        <w:t>z</w:t>
      </w:r>
      <w:r w:rsidRPr="008376FC">
        <w:rPr>
          <w:rFonts w:asciiTheme="majorHAnsi" w:hAnsiTheme="majorHAnsi" w:cs="Times New Roman"/>
          <w:b w:val="0"/>
          <w:sz w:val="24"/>
          <w:szCs w:val="24"/>
        </w:rPr>
        <w:t xml:space="preserve">i în </w:t>
      </w:r>
      <w:r w:rsidR="00427D39">
        <w:rPr>
          <w:rFonts w:asciiTheme="majorHAnsi" w:hAnsiTheme="majorHAnsi" w:cs="Times New Roman"/>
          <w:b w:val="0"/>
          <w:sz w:val="24"/>
          <w:szCs w:val="24"/>
        </w:rPr>
        <w:t>cazul</w:t>
      </w:r>
      <w:r w:rsidRPr="008376FC">
        <w:rPr>
          <w:rFonts w:asciiTheme="majorHAnsi" w:hAnsiTheme="majorHAnsi" w:cs="Times New Roman"/>
          <w:b w:val="0"/>
          <w:sz w:val="24"/>
          <w:szCs w:val="24"/>
        </w:rPr>
        <w:t xml:space="preserve"> a 90 de </w:t>
      </w:r>
      <w:r w:rsidR="00427D39">
        <w:rPr>
          <w:rFonts w:asciiTheme="majorHAnsi" w:hAnsiTheme="majorHAnsi" w:cs="Times New Roman"/>
          <w:b w:val="0"/>
          <w:sz w:val="24"/>
          <w:szCs w:val="24"/>
        </w:rPr>
        <w:t>procese-verbale</w:t>
      </w:r>
      <w:r w:rsidRPr="008376FC">
        <w:rPr>
          <w:rFonts w:asciiTheme="majorHAnsi" w:hAnsiTheme="majorHAnsi" w:cs="Times New Roman"/>
          <w:b w:val="0"/>
          <w:sz w:val="24"/>
          <w:szCs w:val="24"/>
        </w:rPr>
        <w:t xml:space="preserve"> și </w:t>
      </w:r>
      <w:r w:rsidR="00427D39">
        <w:rPr>
          <w:rFonts w:asciiTheme="majorHAnsi" w:hAnsiTheme="majorHAnsi" w:cs="Times New Roman"/>
          <w:b w:val="0"/>
          <w:sz w:val="24"/>
          <w:szCs w:val="24"/>
        </w:rPr>
        <w:t xml:space="preserve">fiind </w:t>
      </w:r>
      <w:r w:rsidRPr="008376FC">
        <w:rPr>
          <w:rFonts w:asciiTheme="majorHAnsi" w:hAnsiTheme="majorHAnsi" w:cs="Times New Roman"/>
          <w:b w:val="0"/>
          <w:sz w:val="24"/>
          <w:szCs w:val="24"/>
        </w:rPr>
        <w:t>emise 2</w:t>
      </w:r>
      <w:r w:rsidR="00427D39">
        <w:rPr>
          <w:rFonts w:asciiTheme="majorHAnsi" w:hAnsiTheme="majorHAnsi" w:cs="Times New Roman"/>
          <w:b w:val="0"/>
          <w:sz w:val="24"/>
          <w:szCs w:val="24"/>
        </w:rPr>
        <w:t>.</w:t>
      </w:r>
      <w:r w:rsidRPr="008376FC">
        <w:rPr>
          <w:rFonts w:asciiTheme="majorHAnsi" w:hAnsiTheme="majorHAnsi" w:cs="Times New Roman"/>
          <w:b w:val="0"/>
          <w:sz w:val="24"/>
          <w:szCs w:val="24"/>
        </w:rPr>
        <w:t>688 de prescripții. Totodată</w:t>
      </w:r>
      <w:r w:rsidR="00427D39">
        <w:rPr>
          <w:rFonts w:asciiTheme="majorHAnsi" w:hAnsiTheme="majorHAnsi" w:cs="Times New Roman"/>
          <w:b w:val="0"/>
          <w:sz w:val="24"/>
          <w:szCs w:val="24"/>
        </w:rPr>
        <w:t>,</w:t>
      </w:r>
      <w:r w:rsidRPr="008376FC">
        <w:rPr>
          <w:rFonts w:asciiTheme="majorHAnsi" w:hAnsiTheme="majorHAnsi" w:cs="Times New Roman"/>
          <w:b w:val="0"/>
          <w:sz w:val="24"/>
          <w:szCs w:val="24"/>
        </w:rPr>
        <w:t xml:space="preserve"> au fost emise 374 de hotărâri de sistare a exploatației obiectivelor și sistată exploatația a 96 de obiective. </w:t>
      </w:r>
    </w:p>
    <w:p w:rsidR="002A72CB" w:rsidRDefault="003F4E1F" w:rsidP="002A72CB">
      <w:pPr>
        <w:spacing w:before="120" w:line="276" w:lineRule="auto"/>
        <w:jc w:val="both"/>
        <w:rPr>
          <w:rFonts w:asciiTheme="majorHAnsi" w:hAnsiTheme="majorHAnsi" w:cs="Times New Roman"/>
          <w:b w:val="0"/>
          <w:sz w:val="24"/>
          <w:szCs w:val="24"/>
        </w:rPr>
      </w:pPr>
      <w:r w:rsidRPr="008376FC">
        <w:rPr>
          <w:rFonts w:asciiTheme="majorHAnsi" w:hAnsiTheme="majorHAnsi" w:cs="Times New Roman"/>
          <w:b w:val="0"/>
          <w:sz w:val="24"/>
          <w:szCs w:val="24"/>
        </w:rPr>
        <w:t xml:space="preserve">Ca urmare a controalelor efectuate, au fost calculate amenzi în valoare de 123,8 mii lei, fiind încasate 53,4 mii lei. Admițând că 53,4 mii lei reprezintă valoarea contravențiilor achitate în primele 72 de ore (3 zile), restanța obligațiunilor față de buget se estimează la circa 20,9 mii lei. </w:t>
      </w:r>
    </w:p>
    <w:p w:rsidR="003F4E1F" w:rsidRPr="007D322F" w:rsidRDefault="003F4E1F" w:rsidP="002A72CB">
      <w:pPr>
        <w:spacing w:after="0" w:line="276" w:lineRule="auto"/>
        <w:jc w:val="right"/>
        <w:rPr>
          <w:rFonts w:asciiTheme="majorHAnsi" w:eastAsia="Times New Roman" w:hAnsiTheme="majorHAnsi" w:cs="Times New Roman"/>
          <w:color w:val="000000"/>
          <w:sz w:val="20"/>
          <w:szCs w:val="20"/>
          <w:lang w:eastAsia="ru-RU"/>
        </w:rPr>
      </w:pPr>
      <w:r w:rsidRPr="007D322F">
        <w:rPr>
          <w:rFonts w:asciiTheme="majorHAnsi" w:eastAsia="Times New Roman" w:hAnsiTheme="majorHAnsi" w:cs="Times New Roman"/>
          <w:color w:val="000000"/>
          <w:sz w:val="20"/>
          <w:szCs w:val="20"/>
          <w:lang w:eastAsia="ru-RU"/>
        </w:rPr>
        <w:t xml:space="preserve">Tabelul nr. </w:t>
      </w:r>
      <w:r w:rsidR="00D878BA" w:rsidRPr="007D322F">
        <w:rPr>
          <w:rFonts w:asciiTheme="majorHAnsi" w:eastAsia="Times New Roman" w:hAnsiTheme="majorHAnsi" w:cs="Times New Roman"/>
          <w:color w:val="000000"/>
          <w:sz w:val="20"/>
          <w:szCs w:val="20"/>
          <w:lang w:eastAsia="ru-RU"/>
        </w:rPr>
        <w:t>25</w:t>
      </w:r>
    </w:p>
    <w:tbl>
      <w:tblPr>
        <w:tblStyle w:val="af2"/>
        <w:tblW w:w="9670" w:type="dxa"/>
        <w:tblInd w:w="108" w:type="dxa"/>
        <w:tblLook w:val="04A0" w:firstRow="1" w:lastRow="0" w:firstColumn="1" w:lastColumn="0" w:noHBand="0" w:noVBand="1"/>
      </w:tblPr>
      <w:tblGrid>
        <w:gridCol w:w="899"/>
        <w:gridCol w:w="938"/>
        <w:gridCol w:w="908"/>
        <w:gridCol w:w="863"/>
        <w:gridCol w:w="951"/>
        <w:gridCol w:w="1145"/>
        <w:gridCol w:w="1029"/>
        <w:gridCol w:w="1025"/>
        <w:gridCol w:w="1042"/>
        <w:gridCol w:w="870"/>
      </w:tblGrid>
      <w:tr w:rsidR="003F4E1F" w:rsidRPr="007D322F" w:rsidTr="005C7C93">
        <w:trPr>
          <w:cantSplit/>
          <w:trHeight w:val="269"/>
        </w:trPr>
        <w:tc>
          <w:tcPr>
            <w:tcW w:w="9669" w:type="dxa"/>
            <w:gridSpan w:val="10"/>
            <w:tcBorders>
              <w:top w:val="nil"/>
              <w:left w:val="nil"/>
              <w:bottom w:val="nil"/>
              <w:right w:val="nil"/>
            </w:tcBorders>
            <w:vAlign w:val="center"/>
          </w:tcPr>
          <w:p w:rsidR="003F4E1F" w:rsidRPr="007D322F" w:rsidRDefault="003F4E1F" w:rsidP="002A72CB">
            <w:pPr>
              <w:spacing w:line="276" w:lineRule="auto"/>
              <w:jc w:val="center"/>
              <w:rPr>
                <w:rFonts w:asciiTheme="majorHAnsi" w:hAnsiTheme="majorHAnsi" w:cs="Times New Roman"/>
                <w:sz w:val="20"/>
                <w:szCs w:val="20"/>
              </w:rPr>
            </w:pPr>
            <w:r w:rsidRPr="007D322F">
              <w:rPr>
                <w:rFonts w:asciiTheme="majorHAnsi" w:eastAsia="Times New Roman" w:hAnsiTheme="majorHAnsi" w:cs="Times New Roman"/>
                <w:bCs w:val="0"/>
                <w:color w:val="000000"/>
                <w:sz w:val="20"/>
                <w:szCs w:val="20"/>
                <w:lang w:eastAsia="ru-RU"/>
              </w:rPr>
              <w:t>Măsuri de constr</w:t>
            </w:r>
            <w:r w:rsidR="00427D39" w:rsidRPr="007D322F">
              <w:rPr>
                <w:rFonts w:asciiTheme="majorHAnsi" w:eastAsia="Times New Roman" w:hAnsiTheme="majorHAnsi" w:cs="Times New Roman"/>
                <w:bCs w:val="0"/>
                <w:color w:val="000000"/>
                <w:sz w:val="20"/>
                <w:szCs w:val="20"/>
                <w:lang w:eastAsia="ru-RU"/>
              </w:rPr>
              <w:t>â</w:t>
            </w:r>
            <w:r w:rsidRPr="007D322F">
              <w:rPr>
                <w:rFonts w:asciiTheme="majorHAnsi" w:eastAsia="Times New Roman" w:hAnsiTheme="majorHAnsi" w:cs="Times New Roman"/>
                <w:bCs w:val="0"/>
                <w:color w:val="000000"/>
                <w:sz w:val="20"/>
                <w:szCs w:val="20"/>
                <w:lang w:eastAsia="ru-RU"/>
              </w:rPr>
              <w:t xml:space="preserve">ngere administrativă în activitatea CSP </w:t>
            </w:r>
            <w:r w:rsidR="00427D39" w:rsidRPr="007D322F">
              <w:rPr>
                <w:rFonts w:asciiTheme="majorHAnsi" w:eastAsia="Times New Roman" w:hAnsiTheme="majorHAnsi" w:cs="Times New Roman"/>
                <w:bCs w:val="0"/>
                <w:color w:val="000000"/>
                <w:sz w:val="20"/>
                <w:szCs w:val="20"/>
                <w:lang w:eastAsia="ru-RU"/>
              </w:rPr>
              <w:t xml:space="preserve">cu referire la </w:t>
            </w:r>
            <w:r w:rsidRPr="007D322F">
              <w:rPr>
                <w:rFonts w:asciiTheme="majorHAnsi" w:eastAsia="Times New Roman" w:hAnsiTheme="majorHAnsi" w:cs="Times New Roman"/>
                <w:bCs w:val="0"/>
                <w:color w:val="000000"/>
                <w:sz w:val="20"/>
                <w:szCs w:val="20"/>
                <w:lang w:eastAsia="ru-RU"/>
              </w:rPr>
              <w:t xml:space="preserve">supravegherea de stat a sănătății publice </w:t>
            </w:r>
            <w:r w:rsidRPr="007D322F">
              <w:rPr>
                <w:rFonts w:asciiTheme="majorHAnsi" w:eastAsia="Times New Roman" w:hAnsiTheme="majorHAnsi" w:cs="Times New Roman"/>
                <w:color w:val="000000"/>
                <w:sz w:val="20"/>
                <w:szCs w:val="20"/>
                <w:lang w:eastAsia="ru-RU"/>
              </w:rPr>
              <w:t>privind alimentarea cu apă și protecția rezervoarelor de apă</w:t>
            </w:r>
          </w:p>
        </w:tc>
      </w:tr>
      <w:tr w:rsidR="00102950" w:rsidRPr="00CA4F27" w:rsidTr="005C7C93">
        <w:trPr>
          <w:cantSplit/>
          <w:trHeight w:val="2611"/>
        </w:trPr>
        <w:tc>
          <w:tcPr>
            <w:tcW w:w="899" w:type="dxa"/>
            <w:shd w:val="clear" w:color="auto" w:fill="DEEAF6" w:themeFill="accent1" w:themeFillTint="33"/>
            <w:vAlign w:val="center"/>
          </w:tcPr>
          <w:p w:rsidR="003F4E1F" w:rsidRPr="00CA4F27" w:rsidRDefault="003F4E1F" w:rsidP="00F61756">
            <w:pPr>
              <w:spacing w:line="276" w:lineRule="auto"/>
              <w:jc w:val="center"/>
              <w:rPr>
                <w:rFonts w:asciiTheme="majorHAnsi" w:hAnsiTheme="majorHAnsi" w:cs="Times New Roman"/>
                <w:sz w:val="20"/>
                <w:szCs w:val="20"/>
              </w:rPr>
            </w:pPr>
            <w:r w:rsidRPr="00CA4F27">
              <w:rPr>
                <w:rFonts w:asciiTheme="majorHAnsi" w:hAnsiTheme="majorHAnsi" w:cs="Times New Roman"/>
                <w:sz w:val="20"/>
                <w:szCs w:val="20"/>
              </w:rPr>
              <w:t>Anii</w:t>
            </w:r>
          </w:p>
        </w:tc>
        <w:tc>
          <w:tcPr>
            <w:tcW w:w="938" w:type="dxa"/>
            <w:shd w:val="clear" w:color="auto" w:fill="DEEAF6" w:themeFill="accent1" w:themeFillTint="33"/>
            <w:textDirection w:val="btLr"/>
            <w:vAlign w:val="center"/>
          </w:tcPr>
          <w:p w:rsidR="0088086E" w:rsidRPr="00CA4F27" w:rsidRDefault="003F4E1F" w:rsidP="00F61756">
            <w:pPr>
              <w:spacing w:line="276" w:lineRule="auto"/>
              <w:jc w:val="both"/>
              <w:rPr>
                <w:rFonts w:asciiTheme="majorHAnsi" w:hAnsiTheme="majorHAnsi" w:cs="Times New Roman"/>
                <w:sz w:val="20"/>
                <w:szCs w:val="20"/>
              </w:rPr>
            </w:pPr>
            <w:r w:rsidRPr="00CA4F27">
              <w:rPr>
                <w:rFonts w:asciiTheme="majorHAnsi" w:hAnsiTheme="majorHAnsi" w:cs="Times New Roman"/>
                <w:sz w:val="20"/>
                <w:szCs w:val="20"/>
              </w:rPr>
              <w:t>Numărul  proceselor</w:t>
            </w:r>
            <w:r w:rsidR="00427D39" w:rsidRPr="00CA4F27">
              <w:rPr>
                <w:rFonts w:asciiTheme="majorHAnsi" w:hAnsiTheme="majorHAnsi" w:cs="Times New Roman"/>
                <w:sz w:val="20"/>
                <w:szCs w:val="20"/>
              </w:rPr>
              <w:t>-</w:t>
            </w:r>
            <w:r w:rsidRPr="00CA4F27">
              <w:rPr>
                <w:rFonts w:asciiTheme="majorHAnsi" w:hAnsiTheme="majorHAnsi" w:cs="Times New Roman"/>
                <w:sz w:val="20"/>
                <w:szCs w:val="20"/>
              </w:rPr>
              <w:t xml:space="preserve">  verbale</w:t>
            </w:r>
          </w:p>
        </w:tc>
        <w:tc>
          <w:tcPr>
            <w:tcW w:w="908" w:type="dxa"/>
            <w:shd w:val="clear" w:color="auto" w:fill="DEEAF6" w:themeFill="accent1" w:themeFillTint="33"/>
            <w:textDirection w:val="btLr"/>
            <w:vAlign w:val="center"/>
          </w:tcPr>
          <w:p w:rsidR="0088086E" w:rsidRPr="00CA4F27" w:rsidRDefault="003F4E1F" w:rsidP="00F61756">
            <w:pPr>
              <w:spacing w:line="276" w:lineRule="auto"/>
              <w:jc w:val="both"/>
              <w:rPr>
                <w:rFonts w:asciiTheme="majorHAnsi" w:hAnsiTheme="majorHAnsi" w:cs="Times New Roman"/>
                <w:sz w:val="20"/>
                <w:szCs w:val="20"/>
              </w:rPr>
            </w:pPr>
            <w:r w:rsidRPr="00CA4F27">
              <w:rPr>
                <w:rFonts w:asciiTheme="majorHAnsi" w:hAnsiTheme="majorHAnsi" w:cs="Times New Roman"/>
                <w:sz w:val="20"/>
                <w:szCs w:val="20"/>
              </w:rPr>
              <w:t>Numărul amenzilor aplicate</w:t>
            </w:r>
          </w:p>
        </w:tc>
        <w:tc>
          <w:tcPr>
            <w:tcW w:w="863" w:type="dxa"/>
            <w:shd w:val="clear" w:color="auto" w:fill="DEEAF6" w:themeFill="accent1" w:themeFillTint="33"/>
            <w:textDirection w:val="btLr"/>
            <w:vAlign w:val="center"/>
          </w:tcPr>
          <w:p w:rsidR="0088086E" w:rsidRPr="00CA4F27" w:rsidRDefault="003F4E1F" w:rsidP="00F61756">
            <w:pPr>
              <w:spacing w:line="276" w:lineRule="auto"/>
              <w:jc w:val="both"/>
              <w:rPr>
                <w:rFonts w:asciiTheme="majorHAnsi" w:hAnsiTheme="majorHAnsi" w:cs="Times New Roman"/>
                <w:sz w:val="20"/>
                <w:szCs w:val="20"/>
              </w:rPr>
            </w:pPr>
            <w:r w:rsidRPr="00CA4F27">
              <w:rPr>
                <w:rFonts w:asciiTheme="majorHAnsi" w:hAnsiTheme="majorHAnsi" w:cs="Times New Roman"/>
                <w:sz w:val="20"/>
                <w:szCs w:val="20"/>
              </w:rPr>
              <w:t>Suma</w:t>
            </w:r>
            <w:r w:rsidR="00427D39" w:rsidRPr="00CA4F27">
              <w:rPr>
                <w:rFonts w:asciiTheme="majorHAnsi" w:hAnsiTheme="majorHAnsi" w:cs="Times New Roman"/>
                <w:sz w:val="20"/>
                <w:szCs w:val="20"/>
              </w:rPr>
              <w:t>,</w:t>
            </w:r>
            <w:r w:rsidRPr="00CA4F27">
              <w:rPr>
                <w:rFonts w:asciiTheme="majorHAnsi" w:hAnsiTheme="majorHAnsi" w:cs="Times New Roman"/>
                <w:sz w:val="20"/>
                <w:szCs w:val="20"/>
              </w:rPr>
              <w:t xml:space="preserve"> lei</w:t>
            </w:r>
          </w:p>
        </w:tc>
        <w:tc>
          <w:tcPr>
            <w:tcW w:w="951" w:type="dxa"/>
            <w:shd w:val="clear" w:color="auto" w:fill="DEEAF6" w:themeFill="accent1" w:themeFillTint="33"/>
            <w:textDirection w:val="btLr"/>
            <w:vAlign w:val="center"/>
          </w:tcPr>
          <w:p w:rsidR="0088086E" w:rsidRPr="00CA4F27" w:rsidRDefault="003F4E1F" w:rsidP="00F61756">
            <w:pPr>
              <w:spacing w:line="276" w:lineRule="auto"/>
              <w:jc w:val="both"/>
              <w:rPr>
                <w:rFonts w:asciiTheme="majorHAnsi" w:hAnsiTheme="majorHAnsi" w:cs="Times New Roman"/>
                <w:sz w:val="20"/>
                <w:szCs w:val="20"/>
              </w:rPr>
            </w:pPr>
            <w:r w:rsidRPr="00CA4F27">
              <w:rPr>
                <w:rFonts w:asciiTheme="majorHAnsi" w:hAnsiTheme="majorHAnsi" w:cs="Times New Roman"/>
                <w:sz w:val="20"/>
                <w:szCs w:val="20"/>
              </w:rPr>
              <w:t>Suma (lei) încasată în perioada gestionară (</w:t>
            </w:r>
            <w:r w:rsidR="002C6FD9" w:rsidRPr="00CA4F27">
              <w:rPr>
                <w:rFonts w:asciiTheme="majorHAnsi" w:hAnsiTheme="majorHAnsi" w:cs="Times New Roman"/>
                <w:sz w:val="20"/>
                <w:szCs w:val="20"/>
              </w:rPr>
              <w:t>t</w:t>
            </w:r>
            <w:r w:rsidRPr="00CA4F27">
              <w:rPr>
                <w:rFonts w:asciiTheme="majorHAnsi" w:hAnsiTheme="majorHAnsi" w:cs="Times New Roman"/>
                <w:sz w:val="20"/>
                <w:szCs w:val="20"/>
              </w:rPr>
              <w:t>otal)</w:t>
            </w:r>
          </w:p>
        </w:tc>
        <w:tc>
          <w:tcPr>
            <w:tcW w:w="1145" w:type="dxa"/>
            <w:shd w:val="clear" w:color="auto" w:fill="DEEAF6" w:themeFill="accent1" w:themeFillTint="33"/>
            <w:textDirection w:val="btLr"/>
            <w:vAlign w:val="center"/>
          </w:tcPr>
          <w:p w:rsidR="0088086E" w:rsidRPr="00CA4F27" w:rsidRDefault="003F4E1F" w:rsidP="00F61756">
            <w:pPr>
              <w:spacing w:line="276" w:lineRule="auto"/>
              <w:jc w:val="both"/>
              <w:rPr>
                <w:rFonts w:asciiTheme="majorHAnsi" w:hAnsiTheme="majorHAnsi" w:cs="Times New Roman"/>
                <w:sz w:val="20"/>
                <w:szCs w:val="20"/>
              </w:rPr>
            </w:pPr>
            <w:r w:rsidRPr="00CA4F27">
              <w:rPr>
                <w:rFonts w:asciiTheme="majorHAnsi" w:hAnsiTheme="majorHAnsi" w:cs="Times New Roman"/>
                <w:sz w:val="20"/>
                <w:szCs w:val="20"/>
              </w:rPr>
              <w:t>Numărul prescripțiilor sanitare</w:t>
            </w:r>
          </w:p>
        </w:tc>
        <w:tc>
          <w:tcPr>
            <w:tcW w:w="1029" w:type="dxa"/>
            <w:shd w:val="clear" w:color="auto" w:fill="DEEAF6" w:themeFill="accent1" w:themeFillTint="33"/>
            <w:textDirection w:val="btLr"/>
            <w:vAlign w:val="center"/>
          </w:tcPr>
          <w:p w:rsidR="0088086E" w:rsidRPr="00CA4F27" w:rsidRDefault="003F4E1F" w:rsidP="00F61756">
            <w:pPr>
              <w:spacing w:line="276" w:lineRule="auto"/>
              <w:jc w:val="both"/>
              <w:rPr>
                <w:rFonts w:asciiTheme="majorHAnsi" w:hAnsiTheme="majorHAnsi" w:cs="Times New Roman"/>
                <w:sz w:val="20"/>
                <w:szCs w:val="20"/>
              </w:rPr>
            </w:pPr>
            <w:r w:rsidRPr="00CA4F27">
              <w:rPr>
                <w:rFonts w:asciiTheme="majorHAnsi" w:hAnsiTheme="majorHAnsi" w:cs="Times New Roman"/>
                <w:sz w:val="20"/>
                <w:szCs w:val="20"/>
              </w:rPr>
              <w:t>Numărul hotărârilor de sistare a  exploatației obiectivelor</w:t>
            </w:r>
          </w:p>
        </w:tc>
        <w:tc>
          <w:tcPr>
            <w:tcW w:w="1025" w:type="dxa"/>
            <w:shd w:val="clear" w:color="auto" w:fill="DEEAF6" w:themeFill="accent1" w:themeFillTint="33"/>
            <w:textDirection w:val="btLr"/>
            <w:vAlign w:val="center"/>
          </w:tcPr>
          <w:p w:rsidR="0088086E" w:rsidRPr="00CA4F27" w:rsidRDefault="003F4E1F" w:rsidP="00F61756">
            <w:pPr>
              <w:spacing w:line="276" w:lineRule="auto"/>
              <w:jc w:val="both"/>
              <w:rPr>
                <w:rFonts w:asciiTheme="majorHAnsi" w:hAnsiTheme="majorHAnsi" w:cs="Times New Roman"/>
                <w:sz w:val="20"/>
                <w:szCs w:val="20"/>
              </w:rPr>
            </w:pPr>
            <w:r w:rsidRPr="00CA4F27">
              <w:rPr>
                <w:rFonts w:asciiTheme="majorHAnsi" w:hAnsiTheme="majorHAnsi" w:cs="Times New Roman"/>
                <w:sz w:val="20"/>
                <w:szCs w:val="20"/>
              </w:rPr>
              <w:t xml:space="preserve">Numărul  obiectivelor  </w:t>
            </w:r>
            <w:r w:rsidR="002C6FD9" w:rsidRPr="00CA4F27">
              <w:rPr>
                <w:rFonts w:asciiTheme="majorHAnsi" w:hAnsiTheme="majorHAnsi" w:cs="Times New Roman"/>
                <w:sz w:val="20"/>
                <w:szCs w:val="20"/>
              </w:rPr>
              <w:t xml:space="preserve">a căror </w:t>
            </w:r>
            <w:r w:rsidRPr="00CA4F27">
              <w:rPr>
                <w:rFonts w:asciiTheme="majorHAnsi" w:hAnsiTheme="majorHAnsi" w:cs="Times New Roman"/>
                <w:sz w:val="20"/>
                <w:szCs w:val="20"/>
              </w:rPr>
              <w:t>exploata</w:t>
            </w:r>
            <w:r w:rsidR="002C6FD9" w:rsidRPr="00CA4F27">
              <w:rPr>
                <w:rFonts w:asciiTheme="majorHAnsi" w:hAnsiTheme="majorHAnsi" w:cs="Times New Roman"/>
                <w:sz w:val="20"/>
                <w:szCs w:val="20"/>
              </w:rPr>
              <w:t>re</w:t>
            </w:r>
            <w:r w:rsidRPr="00CA4F27">
              <w:rPr>
                <w:rFonts w:asciiTheme="majorHAnsi" w:hAnsiTheme="majorHAnsi" w:cs="Times New Roman"/>
                <w:sz w:val="20"/>
                <w:szCs w:val="20"/>
              </w:rPr>
              <w:t xml:space="preserve"> a fost sistata</w:t>
            </w:r>
          </w:p>
        </w:tc>
        <w:tc>
          <w:tcPr>
            <w:tcW w:w="1042" w:type="dxa"/>
            <w:shd w:val="clear" w:color="auto" w:fill="DEEAF6" w:themeFill="accent1" w:themeFillTint="33"/>
            <w:textDirection w:val="btLr"/>
            <w:vAlign w:val="center"/>
          </w:tcPr>
          <w:p w:rsidR="0088086E" w:rsidRPr="00CA4F27" w:rsidRDefault="003F4E1F" w:rsidP="00F61756">
            <w:pPr>
              <w:spacing w:line="276" w:lineRule="auto"/>
              <w:jc w:val="both"/>
              <w:rPr>
                <w:rFonts w:asciiTheme="majorHAnsi" w:hAnsiTheme="majorHAnsi" w:cs="Times New Roman"/>
                <w:sz w:val="20"/>
                <w:szCs w:val="20"/>
              </w:rPr>
            </w:pPr>
            <w:r w:rsidRPr="00CA4F27">
              <w:rPr>
                <w:rFonts w:asciiTheme="majorHAnsi" w:hAnsiTheme="majorHAnsi" w:cs="Times New Roman"/>
                <w:sz w:val="20"/>
                <w:szCs w:val="20"/>
              </w:rPr>
              <w:t xml:space="preserve">Număr </w:t>
            </w:r>
            <w:r w:rsidR="002C6FD9" w:rsidRPr="00CA4F27">
              <w:rPr>
                <w:rFonts w:asciiTheme="majorHAnsi" w:hAnsiTheme="majorHAnsi" w:cs="Times New Roman"/>
                <w:sz w:val="20"/>
                <w:szCs w:val="20"/>
              </w:rPr>
              <w:t>ul</w:t>
            </w:r>
            <w:r w:rsidRPr="00CA4F27">
              <w:rPr>
                <w:rFonts w:asciiTheme="majorHAnsi" w:hAnsiTheme="majorHAnsi" w:cs="Times New Roman"/>
                <w:sz w:val="20"/>
                <w:szCs w:val="20"/>
              </w:rPr>
              <w:t>de sesizări direcționate altor servicii și organe abilitate de a lua măsuri</w:t>
            </w:r>
          </w:p>
        </w:tc>
        <w:tc>
          <w:tcPr>
            <w:tcW w:w="870" w:type="dxa"/>
            <w:shd w:val="clear" w:color="auto" w:fill="DEEAF6" w:themeFill="accent1" w:themeFillTint="33"/>
            <w:textDirection w:val="btLr"/>
            <w:vAlign w:val="center"/>
          </w:tcPr>
          <w:p w:rsidR="0088086E" w:rsidRPr="00CA4F27" w:rsidRDefault="003F4E1F" w:rsidP="00F61756">
            <w:pPr>
              <w:spacing w:line="276" w:lineRule="auto"/>
              <w:jc w:val="both"/>
              <w:rPr>
                <w:rFonts w:asciiTheme="majorHAnsi" w:hAnsiTheme="majorHAnsi" w:cs="Times New Roman"/>
                <w:sz w:val="20"/>
                <w:szCs w:val="20"/>
              </w:rPr>
            </w:pPr>
            <w:r w:rsidRPr="00CA4F27">
              <w:rPr>
                <w:rFonts w:asciiTheme="majorHAnsi" w:hAnsiTheme="majorHAnsi" w:cs="Times New Roman"/>
                <w:sz w:val="20"/>
                <w:szCs w:val="20"/>
              </w:rPr>
              <w:t xml:space="preserve">Numărul persoanelor eliberate/inlăturate din serviciu la propunerea </w:t>
            </w:r>
            <w:r w:rsidR="00306C5C" w:rsidRPr="00CA4F27">
              <w:rPr>
                <w:rFonts w:asciiTheme="majorHAnsi" w:hAnsiTheme="majorHAnsi" w:cs="Times New Roman"/>
                <w:sz w:val="20"/>
                <w:szCs w:val="20"/>
              </w:rPr>
              <w:t>ANSP</w:t>
            </w:r>
          </w:p>
        </w:tc>
      </w:tr>
      <w:tr w:rsidR="00102950" w:rsidRPr="00CA4F27" w:rsidTr="005C7C93">
        <w:trPr>
          <w:trHeight w:val="18"/>
        </w:trPr>
        <w:tc>
          <w:tcPr>
            <w:tcW w:w="89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bCs w:val="0"/>
                <w:color w:val="000000"/>
                <w:sz w:val="20"/>
                <w:szCs w:val="20"/>
                <w:lang w:eastAsia="ru-RU"/>
              </w:rPr>
            </w:pPr>
            <w:r w:rsidRPr="00CA4F27">
              <w:rPr>
                <w:rFonts w:asciiTheme="majorHAnsi" w:eastAsia="Times New Roman" w:hAnsiTheme="majorHAnsi" w:cs="Times New Roman"/>
                <w:b w:val="0"/>
                <w:bCs w:val="0"/>
                <w:color w:val="000000"/>
                <w:sz w:val="20"/>
                <w:szCs w:val="20"/>
                <w:lang w:eastAsia="ru-RU"/>
              </w:rPr>
              <w:t>2014</w:t>
            </w:r>
          </w:p>
        </w:tc>
        <w:tc>
          <w:tcPr>
            <w:tcW w:w="93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11</w:t>
            </w:r>
          </w:p>
        </w:tc>
        <w:tc>
          <w:tcPr>
            <w:tcW w:w="90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11</w:t>
            </w:r>
          </w:p>
        </w:tc>
        <w:tc>
          <w:tcPr>
            <w:tcW w:w="863"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19400</w:t>
            </w:r>
          </w:p>
        </w:tc>
        <w:tc>
          <w:tcPr>
            <w:tcW w:w="951"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12900</w:t>
            </w:r>
          </w:p>
        </w:tc>
        <w:tc>
          <w:tcPr>
            <w:tcW w:w="114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530</w:t>
            </w:r>
          </w:p>
        </w:tc>
        <w:tc>
          <w:tcPr>
            <w:tcW w:w="102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99</w:t>
            </w:r>
          </w:p>
        </w:tc>
        <w:tc>
          <w:tcPr>
            <w:tcW w:w="102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80</w:t>
            </w:r>
          </w:p>
        </w:tc>
        <w:tc>
          <w:tcPr>
            <w:tcW w:w="1042"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 </w:t>
            </w:r>
          </w:p>
        </w:tc>
        <w:tc>
          <w:tcPr>
            <w:tcW w:w="870"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54</w:t>
            </w:r>
          </w:p>
        </w:tc>
      </w:tr>
      <w:tr w:rsidR="00102950" w:rsidRPr="00CA4F27" w:rsidTr="005C7C93">
        <w:trPr>
          <w:trHeight w:val="18"/>
        </w:trPr>
        <w:tc>
          <w:tcPr>
            <w:tcW w:w="89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bCs w:val="0"/>
                <w:color w:val="000000"/>
                <w:sz w:val="20"/>
                <w:szCs w:val="20"/>
                <w:lang w:eastAsia="ru-RU"/>
              </w:rPr>
            </w:pPr>
            <w:r w:rsidRPr="00CA4F27">
              <w:rPr>
                <w:rFonts w:asciiTheme="majorHAnsi" w:eastAsia="Times New Roman" w:hAnsiTheme="majorHAnsi" w:cs="Times New Roman"/>
                <w:b w:val="0"/>
                <w:bCs w:val="0"/>
                <w:color w:val="000000"/>
                <w:sz w:val="20"/>
                <w:szCs w:val="20"/>
                <w:lang w:eastAsia="ru-RU"/>
              </w:rPr>
              <w:t>2015</w:t>
            </w:r>
          </w:p>
        </w:tc>
        <w:tc>
          <w:tcPr>
            <w:tcW w:w="93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4</w:t>
            </w:r>
          </w:p>
        </w:tc>
        <w:tc>
          <w:tcPr>
            <w:tcW w:w="90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4</w:t>
            </w:r>
          </w:p>
        </w:tc>
        <w:tc>
          <w:tcPr>
            <w:tcW w:w="863"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9300</w:t>
            </w:r>
          </w:p>
        </w:tc>
        <w:tc>
          <w:tcPr>
            <w:tcW w:w="951"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161</w:t>
            </w:r>
          </w:p>
        </w:tc>
        <w:tc>
          <w:tcPr>
            <w:tcW w:w="114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364</w:t>
            </w:r>
          </w:p>
        </w:tc>
        <w:tc>
          <w:tcPr>
            <w:tcW w:w="102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124</w:t>
            </w:r>
          </w:p>
        </w:tc>
        <w:tc>
          <w:tcPr>
            <w:tcW w:w="102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w:t>
            </w:r>
          </w:p>
        </w:tc>
        <w:tc>
          <w:tcPr>
            <w:tcW w:w="1042"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 -</w:t>
            </w:r>
          </w:p>
        </w:tc>
        <w:tc>
          <w:tcPr>
            <w:tcW w:w="870"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2</w:t>
            </w:r>
          </w:p>
        </w:tc>
      </w:tr>
      <w:tr w:rsidR="00102950" w:rsidRPr="00CA4F27" w:rsidTr="005C7C93">
        <w:trPr>
          <w:trHeight w:val="18"/>
        </w:trPr>
        <w:tc>
          <w:tcPr>
            <w:tcW w:w="89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bCs w:val="0"/>
                <w:color w:val="000000"/>
                <w:sz w:val="20"/>
                <w:szCs w:val="20"/>
                <w:lang w:eastAsia="ru-RU"/>
              </w:rPr>
            </w:pPr>
            <w:r w:rsidRPr="00CA4F27">
              <w:rPr>
                <w:rFonts w:asciiTheme="majorHAnsi" w:eastAsia="Times New Roman" w:hAnsiTheme="majorHAnsi" w:cs="Times New Roman"/>
                <w:b w:val="0"/>
                <w:bCs w:val="0"/>
                <w:color w:val="000000"/>
                <w:sz w:val="20"/>
                <w:szCs w:val="20"/>
                <w:lang w:eastAsia="ru-RU"/>
              </w:rPr>
              <w:t>2016</w:t>
            </w:r>
          </w:p>
        </w:tc>
        <w:tc>
          <w:tcPr>
            <w:tcW w:w="93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8</w:t>
            </w:r>
          </w:p>
        </w:tc>
        <w:tc>
          <w:tcPr>
            <w:tcW w:w="90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8</w:t>
            </w:r>
          </w:p>
        </w:tc>
        <w:tc>
          <w:tcPr>
            <w:tcW w:w="863"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7200</w:t>
            </w:r>
          </w:p>
        </w:tc>
        <w:tc>
          <w:tcPr>
            <w:tcW w:w="951"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3600</w:t>
            </w:r>
          </w:p>
        </w:tc>
        <w:tc>
          <w:tcPr>
            <w:tcW w:w="114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338</w:t>
            </w:r>
          </w:p>
        </w:tc>
        <w:tc>
          <w:tcPr>
            <w:tcW w:w="102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21</w:t>
            </w:r>
          </w:p>
        </w:tc>
        <w:tc>
          <w:tcPr>
            <w:tcW w:w="102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 </w:t>
            </w:r>
          </w:p>
        </w:tc>
        <w:tc>
          <w:tcPr>
            <w:tcW w:w="1042"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w:t>
            </w:r>
          </w:p>
        </w:tc>
        <w:tc>
          <w:tcPr>
            <w:tcW w:w="870"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69</w:t>
            </w:r>
          </w:p>
        </w:tc>
      </w:tr>
      <w:tr w:rsidR="00102950" w:rsidRPr="00CA4F27" w:rsidTr="005C7C93">
        <w:trPr>
          <w:trHeight w:val="18"/>
        </w:trPr>
        <w:tc>
          <w:tcPr>
            <w:tcW w:w="89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bCs w:val="0"/>
                <w:color w:val="000000"/>
                <w:sz w:val="20"/>
                <w:szCs w:val="20"/>
                <w:lang w:eastAsia="ru-RU"/>
              </w:rPr>
            </w:pPr>
            <w:r w:rsidRPr="00CA4F27">
              <w:rPr>
                <w:rFonts w:asciiTheme="majorHAnsi" w:eastAsia="Times New Roman" w:hAnsiTheme="majorHAnsi" w:cs="Times New Roman"/>
                <w:b w:val="0"/>
                <w:bCs w:val="0"/>
                <w:color w:val="000000"/>
                <w:sz w:val="20"/>
                <w:szCs w:val="20"/>
                <w:lang w:eastAsia="ru-RU"/>
              </w:rPr>
              <w:t>2017</w:t>
            </w:r>
          </w:p>
        </w:tc>
        <w:tc>
          <w:tcPr>
            <w:tcW w:w="93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5</w:t>
            </w:r>
          </w:p>
        </w:tc>
        <w:tc>
          <w:tcPr>
            <w:tcW w:w="90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5</w:t>
            </w:r>
          </w:p>
        </w:tc>
        <w:tc>
          <w:tcPr>
            <w:tcW w:w="863"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4400</w:t>
            </w:r>
          </w:p>
        </w:tc>
        <w:tc>
          <w:tcPr>
            <w:tcW w:w="951"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2200</w:t>
            </w:r>
          </w:p>
        </w:tc>
        <w:tc>
          <w:tcPr>
            <w:tcW w:w="114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343</w:t>
            </w:r>
          </w:p>
        </w:tc>
        <w:tc>
          <w:tcPr>
            <w:tcW w:w="102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35</w:t>
            </w:r>
          </w:p>
        </w:tc>
        <w:tc>
          <w:tcPr>
            <w:tcW w:w="102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4</w:t>
            </w:r>
          </w:p>
        </w:tc>
        <w:tc>
          <w:tcPr>
            <w:tcW w:w="1042"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18</w:t>
            </w:r>
          </w:p>
        </w:tc>
        <w:tc>
          <w:tcPr>
            <w:tcW w:w="870"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22</w:t>
            </w:r>
          </w:p>
        </w:tc>
      </w:tr>
      <w:tr w:rsidR="00102950" w:rsidRPr="00CA4F27" w:rsidTr="005C7C93">
        <w:trPr>
          <w:trHeight w:val="18"/>
        </w:trPr>
        <w:tc>
          <w:tcPr>
            <w:tcW w:w="89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bCs w:val="0"/>
                <w:color w:val="000000"/>
                <w:sz w:val="20"/>
                <w:szCs w:val="20"/>
                <w:lang w:eastAsia="ru-RU"/>
              </w:rPr>
            </w:pPr>
            <w:r w:rsidRPr="00CA4F27">
              <w:rPr>
                <w:rFonts w:asciiTheme="majorHAnsi" w:eastAsia="Times New Roman" w:hAnsiTheme="majorHAnsi" w:cs="Times New Roman"/>
                <w:b w:val="0"/>
                <w:bCs w:val="0"/>
                <w:color w:val="000000"/>
                <w:sz w:val="20"/>
                <w:szCs w:val="20"/>
                <w:lang w:eastAsia="ru-RU"/>
              </w:rPr>
              <w:t>2018</w:t>
            </w:r>
          </w:p>
        </w:tc>
        <w:tc>
          <w:tcPr>
            <w:tcW w:w="93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w:t>
            </w:r>
          </w:p>
        </w:tc>
        <w:tc>
          <w:tcPr>
            <w:tcW w:w="90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w:t>
            </w:r>
          </w:p>
        </w:tc>
        <w:tc>
          <w:tcPr>
            <w:tcW w:w="863"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300</w:t>
            </w:r>
          </w:p>
        </w:tc>
        <w:tc>
          <w:tcPr>
            <w:tcW w:w="951"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150</w:t>
            </w:r>
          </w:p>
        </w:tc>
        <w:tc>
          <w:tcPr>
            <w:tcW w:w="114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161</w:t>
            </w:r>
          </w:p>
        </w:tc>
        <w:tc>
          <w:tcPr>
            <w:tcW w:w="102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8</w:t>
            </w:r>
          </w:p>
        </w:tc>
        <w:tc>
          <w:tcPr>
            <w:tcW w:w="102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w:t>
            </w:r>
          </w:p>
        </w:tc>
        <w:tc>
          <w:tcPr>
            <w:tcW w:w="1042"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w:t>
            </w:r>
          </w:p>
        </w:tc>
        <w:tc>
          <w:tcPr>
            <w:tcW w:w="870"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 -</w:t>
            </w:r>
          </w:p>
        </w:tc>
      </w:tr>
      <w:tr w:rsidR="00102950" w:rsidRPr="00CA4F27" w:rsidTr="005C7C93">
        <w:trPr>
          <w:trHeight w:val="18"/>
        </w:trPr>
        <w:tc>
          <w:tcPr>
            <w:tcW w:w="89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bCs w:val="0"/>
                <w:color w:val="000000"/>
                <w:sz w:val="20"/>
                <w:szCs w:val="20"/>
                <w:lang w:eastAsia="ru-RU"/>
              </w:rPr>
            </w:pPr>
            <w:r w:rsidRPr="00CA4F27">
              <w:rPr>
                <w:rFonts w:asciiTheme="majorHAnsi" w:eastAsia="Times New Roman" w:hAnsiTheme="majorHAnsi" w:cs="Times New Roman"/>
                <w:b w:val="0"/>
                <w:bCs w:val="0"/>
                <w:color w:val="000000"/>
                <w:sz w:val="20"/>
                <w:szCs w:val="20"/>
                <w:lang w:eastAsia="ru-RU"/>
              </w:rPr>
              <w:t>2019</w:t>
            </w:r>
          </w:p>
        </w:tc>
        <w:tc>
          <w:tcPr>
            <w:tcW w:w="93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10</w:t>
            </w:r>
          </w:p>
        </w:tc>
        <w:tc>
          <w:tcPr>
            <w:tcW w:w="90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10</w:t>
            </w:r>
          </w:p>
        </w:tc>
        <w:tc>
          <w:tcPr>
            <w:tcW w:w="863"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12100</w:t>
            </w:r>
          </w:p>
        </w:tc>
        <w:tc>
          <w:tcPr>
            <w:tcW w:w="951"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6050</w:t>
            </w:r>
          </w:p>
        </w:tc>
        <w:tc>
          <w:tcPr>
            <w:tcW w:w="114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152</w:t>
            </w:r>
          </w:p>
        </w:tc>
        <w:tc>
          <w:tcPr>
            <w:tcW w:w="102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46</w:t>
            </w:r>
          </w:p>
        </w:tc>
        <w:tc>
          <w:tcPr>
            <w:tcW w:w="102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9 </w:t>
            </w:r>
          </w:p>
        </w:tc>
        <w:tc>
          <w:tcPr>
            <w:tcW w:w="1042"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 -</w:t>
            </w:r>
          </w:p>
        </w:tc>
        <w:tc>
          <w:tcPr>
            <w:tcW w:w="870"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7</w:t>
            </w:r>
          </w:p>
        </w:tc>
      </w:tr>
      <w:tr w:rsidR="00102950" w:rsidRPr="00CA4F27" w:rsidTr="005C7C93">
        <w:trPr>
          <w:trHeight w:val="18"/>
        </w:trPr>
        <w:tc>
          <w:tcPr>
            <w:tcW w:w="89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bCs w:val="0"/>
                <w:color w:val="000000"/>
                <w:sz w:val="20"/>
                <w:szCs w:val="20"/>
                <w:lang w:eastAsia="ru-RU"/>
              </w:rPr>
            </w:pPr>
            <w:r w:rsidRPr="00CA4F27">
              <w:rPr>
                <w:rFonts w:asciiTheme="majorHAnsi" w:eastAsia="Times New Roman" w:hAnsiTheme="majorHAnsi" w:cs="Times New Roman"/>
                <w:b w:val="0"/>
                <w:bCs w:val="0"/>
                <w:color w:val="000000"/>
                <w:sz w:val="20"/>
                <w:szCs w:val="20"/>
                <w:lang w:eastAsia="ru-RU"/>
              </w:rPr>
              <w:t>2020</w:t>
            </w:r>
          </w:p>
        </w:tc>
        <w:tc>
          <w:tcPr>
            <w:tcW w:w="93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15</w:t>
            </w:r>
          </w:p>
        </w:tc>
        <w:tc>
          <w:tcPr>
            <w:tcW w:w="90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11</w:t>
            </w:r>
          </w:p>
        </w:tc>
        <w:tc>
          <w:tcPr>
            <w:tcW w:w="863"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15600</w:t>
            </w:r>
          </w:p>
        </w:tc>
        <w:tc>
          <w:tcPr>
            <w:tcW w:w="951"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4650</w:t>
            </w:r>
          </w:p>
        </w:tc>
        <w:tc>
          <w:tcPr>
            <w:tcW w:w="114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239</w:t>
            </w:r>
          </w:p>
        </w:tc>
        <w:tc>
          <w:tcPr>
            <w:tcW w:w="102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10</w:t>
            </w:r>
          </w:p>
        </w:tc>
        <w:tc>
          <w:tcPr>
            <w:tcW w:w="102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8 </w:t>
            </w:r>
          </w:p>
        </w:tc>
        <w:tc>
          <w:tcPr>
            <w:tcW w:w="1042"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 -</w:t>
            </w:r>
          </w:p>
        </w:tc>
        <w:tc>
          <w:tcPr>
            <w:tcW w:w="870"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24</w:t>
            </w:r>
          </w:p>
        </w:tc>
      </w:tr>
      <w:tr w:rsidR="00102950" w:rsidRPr="00CA4F27" w:rsidTr="005C7C93">
        <w:trPr>
          <w:trHeight w:val="18"/>
        </w:trPr>
        <w:tc>
          <w:tcPr>
            <w:tcW w:w="89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bCs w:val="0"/>
                <w:color w:val="000000"/>
                <w:sz w:val="20"/>
                <w:szCs w:val="20"/>
                <w:lang w:eastAsia="ru-RU"/>
              </w:rPr>
            </w:pPr>
            <w:r w:rsidRPr="00CA4F27">
              <w:rPr>
                <w:rFonts w:asciiTheme="majorHAnsi" w:eastAsia="Times New Roman" w:hAnsiTheme="majorHAnsi" w:cs="Times New Roman"/>
                <w:b w:val="0"/>
                <w:bCs w:val="0"/>
                <w:color w:val="000000"/>
                <w:sz w:val="20"/>
                <w:szCs w:val="20"/>
                <w:lang w:eastAsia="ru-RU"/>
              </w:rPr>
              <w:t>2021</w:t>
            </w:r>
          </w:p>
        </w:tc>
        <w:tc>
          <w:tcPr>
            <w:tcW w:w="93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25</w:t>
            </w:r>
          </w:p>
        </w:tc>
        <w:tc>
          <w:tcPr>
            <w:tcW w:w="90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25</w:t>
            </w:r>
          </w:p>
        </w:tc>
        <w:tc>
          <w:tcPr>
            <w:tcW w:w="863"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36700</w:t>
            </w:r>
          </w:p>
        </w:tc>
        <w:tc>
          <w:tcPr>
            <w:tcW w:w="951"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15800</w:t>
            </w:r>
          </w:p>
        </w:tc>
        <w:tc>
          <w:tcPr>
            <w:tcW w:w="114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260</w:t>
            </w:r>
          </w:p>
        </w:tc>
        <w:tc>
          <w:tcPr>
            <w:tcW w:w="102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7</w:t>
            </w:r>
          </w:p>
        </w:tc>
        <w:tc>
          <w:tcPr>
            <w:tcW w:w="102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7</w:t>
            </w:r>
          </w:p>
        </w:tc>
        <w:tc>
          <w:tcPr>
            <w:tcW w:w="1042"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3</w:t>
            </w:r>
          </w:p>
        </w:tc>
        <w:tc>
          <w:tcPr>
            <w:tcW w:w="870"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color w:val="000000"/>
                <w:sz w:val="20"/>
                <w:szCs w:val="20"/>
                <w:lang w:eastAsia="ru-RU"/>
              </w:rPr>
            </w:pPr>
            <w:r w:rsidRPr="00CA4F27">
              <w:rPr>
                <w:rFonts w:asciiTheme="majorHAnsi" w:eastAsia="Times New Roman" w:hAnsiTheme="majorHAnsi" w:cs="Times New Roman"/>
                <w:b w:val="0"/>
                <w:color w:val="000000"/>
                <w:sz w:val="20"/>
                <w:szCs w:val="20"/>
                <w:lang w:eastAsia="ru-RU"/>
              </w:rPr>
              <w:t>32</w:t>
            </w:r>
          </w:p>
        </w:tc>
      </w:tr>
      <w:tr w:rsidR="00102950" w:rsidRPr="00CA4F27" w:rsidTr="005C7C93">
        <w:trPr>
          <w:trHeight w:val="18"/>
        </w:trPr>
        <w:tc>
          <w:tcPr>
            <w:tcW w:w="89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bCs w:val="0"/>
                <w:color w:val="000000"/>
                <w:sz w:val="20"/>
                <w:szCs w:val="20"/>
                <w:lang w:eastAsia="ru-RU"/>
              </w:rPr>
            </w:pPr>
            <w:r w:rsidRPr="00CA4F27">
              <w:rPr>
                <w:rFonts w:asciiTheme="majorHAnsi" w:eastAsia="Times New Roman" w:hAnsiTheme="majorHAnsi" w:cs="Times New Roman"/>
                <w:b w:val="0"/>
                <w:bCs w:val="0"/>
                <w:color w:val="000000"/>
                <w:sz w:val="20"/>
                <w:szCs w:val="20"/>
                <w:lang w:eastAsia="ru-RU"/>
              </w:rPr>
              <w:t>2022</w:t>
            </w:r>
          </w:p>
        </w:tc>
        <w:tc>
          <w:tcPr>
            <w:tcW w:w="93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sz w:val="20"/>
                <w:szCs w:val="20"/>
                <w:lang w:eastAsia="ru-RU"/>
              </w:rPr>
            </w:pPr>
            <w:r w:rsidRPr="00CA4F27">
              <w:rPr>
                <w:rFonts w:asciiTheme="majorHAnsi" w:eastAsia="Times New Roman" w:hAnsiTheme="majorHAnsi" w:cs="Times New Roman"/>
                <w:b w:val="0"/>
                <w:sz w:val="20"/>
                <w:szCs w:val="20"/>
                <w:lang w:eastAsia="ru-RU"/>
              </w:rPr>
              <w:t>23</w:t>
            </w:r>
          </w:p>
        </w:tc>
        <w:tc>
          <w:tcPr>
            <w:tcW w:w="908"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sz w:val="20"/>
                <w:szCs w:val="20"/>
                <w:lang w:eastAsia="ru-RU"/>
              </w:rPr>
            </w:pPr>
            <w:r w:rsidRPr="00CA4F27">
              <w:rPr>
                <w:rFonts w:asciiTheme="majorHAnsi" w:eastAsia="Times New Roman" w:hAnsiTheme="majorHAnsi" w:cs="Times New Roman"/>
                <w:b w:val="0"/>
                <w:sz w:val="20"/>
                <w:szCs w:val="20"/>
                <w:lang w:eastAsia="ru-RU"/>
              </w:rPr>
              <w:t>15</w:t>
            </w:r>
          </w:p>
        </w:tc>
        <w:tc>
          <w:tcPr>
            <w:tcW w:w="863"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sz w:val="20"/>
                <w:szCs w:val="20"/>
                <w:lang w:eastAsia="ru-RU"/>
              </w:rPr>
            </w:pPr>
            <w:r w:rsidRPr="00CA4F27">
              <w:rPr>
                <w:rFonts w:asciiTheme="majorHAnsi" w:eastAsia="Times New Roman" w:hAnsiTheme="majorHAnsi" w:cs="Times New Roman"/>
                <w:b w:val="0"/>
                <w:sz w:val="20"/>
                <w:szCs w:val="20"/>
                <w:lang w:eastAsia="ru-RU"/>
              </w:rPr>
              <w:t>18750</w:t>
            </w:r>
          </w:p>
        </w:tc>
        <w:tc>
          <w:tcPr>
            <w:tcW w:w="951"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sz w:val="20"/>
                <w:szCs w:val="20"/>
                <w:lang w:eastAsia="ru-RU"/>
              </w:rPr>
            </w:pPr>
            <w:r w:rsidRPr="00CA4F27">
              <w:rPr>
                <w:rFonts w:asciiTheme="majorHAnsi" w:eastAsia="Times New Roman" w:hAnsiTheme="majorHAnsi" w:cs="Times New Roman"/>
                <w:b w:val="0"/>
                <w:sz w:val="20"/>
                <w:szCs w:val="20"/>
                <w:lang w:eastAsia="ru-RU"/>
              </w:rPr>
              <w:t>5875</w:t>
            </w:r>
          </w:p>
        </w:tc>
        <w:tc>
          <w:tcPr>
            <w:tcW w:w="114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sz w:val="20"/>
                <w:szCs w:val="20"/>
                <w:lang w:eastAsia="ru-RU"/>
              </w:rPr>
            </w:pPr>
            <w:r w:rsidRPr="00CA4F27">
              <w:rPr>
                <w:rFonts w:asciiTheme="majorHAnsi" w:eastAsia="Times New Roman" w:hAnsiTheme="majorHAnsi" w:cs="Times New Roman"/>
                <w:b w:val="0"/>
                <w:sz w:val="20"/>
                <w:szCs w:val="20"/>
                <w:lang w:eastAsia="ru-RU"/>
              </w:rPr>
              <w:t>301</w:t>
            </w:r>
          </w:p>
        </w:tc>
        <w:tc>
          <w:tcPr>
            <w:tcW w:w="1029"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sz w:val="20"/>
                <w:szCs w:val="20"/>
                <w:lang w:eastAsia="ru-RU"/>
              </w:rPr>
            </w:pPr>
            <w:r w:rsidRPr="00CA4F27">
              <w:rPr>
                <w:rFonts w:asciiTheme="majorHAnsi" w:eastAsia="Times New Roman" w:hAnsiTheme="majorHAnsi" w:cs="Times New Roman"/>
                <w:b w:val="0"/>
                <w:sz w:val="20"/>
                <w:szCs w:val="20"/>
                <w:lang w:eastAsia="ru-RU"/>
              </w:rPr>
              <w:t>24</w:t>
            </w:r>
          </w:p>
        </w:tc>
        <w:tc>
          <w:tcPr>
            <w:tcW w:w="1025"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sz w:val="20"/>
                <w:szCs w:val="20"/>
                <w:lang w:eastAsia="ru-RU"/>
              </w:rPr>
            </w:pPr>
            <w:r w:rsidRPr="00CA4F27">
              <w:rPr>
                <w:rFonts w:asciiTheme="majorHAnsi" w:eastAsia="Times New Roman" w:hAnsiTheme="majorHAnsi" w:cs="Times New Roman"/>
                <w:b w:val="0"/>
                <w:sz w:val="20"/>
                <w:szCs w:val="20"/>
                <w:lang w:eastAsia="ru-RU"/>
              </w:rPr>
              <w:t>3</w:t>
            </w:r>
          </w:p>
        </w:tc>
        <w:tc>
          <w:tcPr>
            <w:tcW w:w="1042"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sz w:val="20"/>
                <w:szCs w:val="20"/>
                <w:lang w:eastAsia="ru-RU"/>
              </w:rPr>
            </w:pPr>
            <w:r w:rsidRPr="00CA4F27">
              <w:rPr>
                <w:rFonts w:asciiTheme="majorHAnsi" w:eastAsia="Times New Roman" w:hAnsiTheme="majorHAnsi" w:cs="Times New Roman"/>
                <w:b w:val="0"/>
                <w:sz w:val="20"/>
                <w:szCs w:val="20"/>
                <w:lang w:eastAsia="ru-RU"/>
              </w:rPr>
              <w:t>17</w:t>
            </w:r>
          </w:p>
        </w:tc>
        <w:tc>
          <w:tcPr>
            <w:tcW w:w="870" w:type="dxa"/>
            <w:shd w:val="clear" w:color="000000" w:fill="FFFFFF"/>
            <w:vAlign w:val="center"/>
          </w:tcPr>
          <w:p w:rsidR="003F4E1F" w:rsidRPr="00CA4F27" w:rsidRDefault="003F4E1F" w:rsidP="00F61756">
            <w:pPr>
              <w:spacing w:line="276" w:lineRule="auto"/>
              <w:jc w:val="center"/>
              <w:rPr>
                <w:rFonts w:asciiTheme="majorHAnsi" w:eastAsia="Times New Roman" w:hAnsiTheme="majorHAnsi" w:cs="Times New Roman"/>
                <w:b w:val="0"/>
                <w:sz w:val="20"/>
                <w:szCs w:val="20"/>
                <w:lang w:eastAsia="ru-RU"/>
              </w:rPr>
            </w:pPr>
            <w:r w:rsidRPr="00CA4F27">
              <w:rPr>
                <w:rFonts w:asciiTheme="majorHAnsi" w:eastAsia="Times New Roman" w:hAnsiTheme="majorHAnsi" w:cs="Times New Roman"/>
                <w:b w:val="0"/>
                <w:sz w:val="20"/>
                <w:szCs w:val="20"/>
                <w:lang w:eastAsia="ru-RU"/>
              </w:rPr>
              <w:t>96</w:t>
            </w:r>
          </w:p>
        </w:tc>
      </w:tr>
      <w:tr w:rsidR="00102950" w:rsidRPr="00CA4F27" w:rsidTr="005C7C93">
        <w:trPr>
          <w:trHeight w:val="18"/>
        </w:trPr>
        <w:tc>
          <w:tcPr>
            <w:tcW w:w="899" w:type="dxa"/>
            <w:shd w:val="clear" w:color="auto" w:fill="DEEAF6" w:themeFill="accent1" w:themeFillTint="33"/>
            <w:vAlign w:val="center"/>
          </w:tcPr>
          <w:p w:rsidR="003F4E1F" w:rsidRPr="00CA4F27" w:rsidRDefault="003F4E1F" w:rsidP="00F61756">
            <w:pPr>
              <w:spacing w:line="276" w:lineRule="auto"/>
              <w:jc w:val="center"/>
              <w:rPr>
                <w:rFonts w:asciiTheme="majorHAnsi" w:eastAsia="Times New Roman" w:hAnsiTheme="majorHAnsi" w:cs="Times New Roman"/>
                <w:bCs w:val="0"/>
                <w:color w:val="000000"/>
                <w:sz w:val="20"/>
                <w:szCs w:val="20"/>
                <w:lang w:eastAsia="ru-RU"/>
              </w:rPr>
            </w:pPr>
            <w:r w:rsidRPr="00CA4F27">
              <w:rPr>
                <w:rFonts w:asciiTheme="majorHAnsi" w:eastAsia="Times New Roman" w:hAnsiTheme="majorHAnsi" w:cs="Times New Roman"/>
                <w:bCs w:val="0"/>
                <w:color w:val="000000"/>
                <w:sz w:val="20"/>
                <w:szCs w:val="20"/>
                <w:lang w:eastAsia="ru-RU"/>
              </w:rPr>
              <w:t>TOTAL</w:t>
            </w:r>
          </w:p>
        </w:tc>
        <w:tc>
          <w:tcPr>
            <w:tcW w:w="938" w:type="dxa"/>
            <w:shd w:val="clear" w:color="auto" w:fill="DEEAF6" w:themeFill="accent1" w:themeFillTint="33"/>
            <w:vAlign w:val="center"/>
          </w:tcPr>
          <w:p w:rsidR="003F4E1F" w:rsidRPr="00CA4F27" w:rsidRDefault="003F4E1F" w:rsidP="00F61756">
            <w:pPr>
              <w:spacing w:line="276" w:lineRule="auto"/>
              <w:jc w:val="center"/>
              <w:rPr>
                <w:rFonts w:asciiTheme="majorHAnsi" w:hAnsiTheme="majorHAnsi" w:cs="Times New Roman"/>
                <w:color w:val="000000"/>
                <w:sz w:val="20"/>
                <w:szCs w:val="20"/>
              </w:rPr>
            </w:pPr>
            <w:r w:rsidRPr="00CA4F27">
              <w:rPr>
                <w:rFonts w:asciiTheme="majorHAnsi" w:hAnsiTheme="majorHAnsi" w:cs="Times New Roman"/>
                <w:color w:val="000000"/>
                <w:sz w:val="20"/>
                <w:szCs w:val="20"/>
              </w:rPr>
              <w:t>102</w:t>
            </w:r>
          </w:p>
        </w:tc>
        <w:tc>
          <w:tcPr>
            <w:tcW w:w="908" w:type="dxa"/>
            <w:shd w:val="clear" w:color="auto" w:fill="DEEAF6" w:themeFill="accent1" w:themeFillTint="33"/>
            <w:vAlign w:val="center"/>
          </w:tcPr>
          <w:p w:rsidR="003F4E1F" w:rsidRPr="00CA4F27" w:rsidRDefault="003F4E1F" w:rsidP="00F61756">
            <w:pPr>
              <w:spacing w:line="276" w:lineRule="auto"/>
              <w:jc w:val="center"/>
              <w:rPr>
                <w:rFonts w:asciiTheme="majorHAnsi" w:hAnsiTheme="majorHAnsi" w:cs="Times New Roman"/>
                <w:color w:val="000000"/>
                <w:sz w:val="20"/>
                <w:szCs w:val="20"/>
              </w:rPr>
            </w:pPr>
            <w:r w:rsidRPr="00CA4F27">
              <w:rPr>
                <w:rFonts w:asciiTheme="majorHAnsi" w:hAnsiTheme="majorHAnsi" w:cs="Times New Roman"/>
                <w:color w:val="000000"/>
                <w:sz w:val="20"/>
                <w:szCs w:val="20"/>
              </w:rPr>
              <w:t>90</w:t>
            </w:r>
          </w:p>
        </w:tc>
        <w:tc>
          <w:tcPr>
            <w:tcW w:w="863" w:type="dxa"/>
            <w:shd w:val="clear" w:color="auto" w:fill="DEEAF6" w:themeFill="accent1" w:themeFillTint="33"/>
            <w:vAlign w:val="center"/>
          </w:tcPr>
          <w:p w:rsidR="003F4E1F" w:rsidRPr="00CA4F27" w:rsidRDefault="003F4E1F" w:rsidP="00F61756">
            <w:pPr>
              <w:spacing w:line="276" w:lineRule="auto"/>
              <w:jc w:val="center"/>
              <w:rPr>
                <w:rFonts w:asciiTheme="majorHAnsi" w:hAnsiTheme="majorHAnsi" w:cs="Times New Roman"/>
                <w:color w:val="000000"/>
                <w:sz w:val="20"/>
                <w:szCs w:val="20"/>
              </w:rPr>
            </w:pPr>
            <w:r w:rsidRPr="00CA4F27">
              <w:rPr>
                <w:rFonts w:asciiTheme="majorHAnsi" w:hAnsiTheme="majorHAnsi" w:cs="Times New Roman"/>
                <w:color w:val="000000"/>
                <w:sz w:val="20"/>
                <w:szCs w:val="20"/>
              </w:rPr>
              <w:t>123750</w:t>
            </w:r>
          </w:p>
        </w:tc>
        <w:tc>
          <w:tcPr>
            <w:tcW w:w="951" w:type="dxa"/>
            <w:shd w:val="clear" w:color="auto" w:fill="DEEAF6" w:themeFill="accent1" w:themeFillTint="33"/>
            <w:vAlign w:val="center"/>
          </w:tcPr>
          <w:p w:rsidR="003F4E1F" w:rsidRPr="00CA4F27" w:rsidRDefault="003F4E1F" w:rsidP="00F61756">
            <w:pPr>
              <w:spacing w:line="276" w:lineRule="auto"/>
              <w:jc w:val="center"/>
              <w:rPr>
                <w:rFonts w:asciiTheme="majorHAnsi" w:hAnsiTheme="majorHAnsi" w:cs="Times New Roman"/>
                <w:color w:val="000000"/>
                <w:sz w:val="20"/>
                <w:szCs w:val="20"/>
              </w:rPr>
            </w:pPr>
            <w:r w:rsidRPr="00CA4F27">
              <w:rPr>
                <w:rFonts w:asciiTheme="majorHAnsi" w:hAnsiTheme="majorHAnsi" w:cs="Times New Roman"/>
                <w:color w:val="000000"/>
                <w:sz w:val="20"/>
                <w:szCs w:val="20"/>
              </w:rPr>
              <w:t>51386</w:t>
            </w:r>
          </w:p>
        </w:tc>
        <w:tc>
          <w:tcPr>
            <w:tcW w:w="1145" w:type="dxa"/>
            <w:shd w:val="clear" w:color="auto" w:fill="DEEAF6" w:themeFill="accent1" w:themeFillTint="33"/>
            <w:vAlign w:val="center"/>
          </w:tcPr>
          <w:p w:rsidR="003F4E1F" w:rsidRPr="00CA4F27" w:rsidRDefault="003F4E1F" w:rsidP="00F61756">
            <w:pPr>
              <w:spacing w:line="276" w:lineRule="auto"/>
              <w:jc w:val="center"/>
              <w:rPr>
                <w:rFonts w:asciiTheme="majorHAnsi" w:hAnsiTheme="majorHAnsi" w:cs="Times New Roman"/>
                <w:color w:val="000000"/>
                <w:sz w:val="20"/>
                <w:szCs w:val="20"/>
              </w:rPr>
            </w:pPr>
            <w:r w:rsidRPr="00CA4F27">
              <w:rPr>
                <w:rFonts w:asciiTheme="majorHAnsi" w:hAnsiTheme="majorHAnsi" w:cs="Times New Roman"/>
                <w:color w:val="000000"/>
                <w:sz w:val="20"/>
                <w:szCs w:val="20"/>
              </w:rPr>
              <w:t>2688</w:t>
            </w:r>
          </w:p>
        </w:tc>
        <w:tc>
          <w:tcPr>
            <w:tcW w:w="1029" w:type="dxa"/>
            <w:shd w:val="clear" w:color="auto" w:fill="DEEAF6" w:themeFill="accent1" w:themeFillTint="33"/>
            <w:vAlign w:val="center"/>
          </w:tcPr>
          <w:p w:rsidR="003F4E1F" w:rsidRPr="00CA4F27" w:rsidRDefault="003F4E1F" w:rsidP="00F61756">
            <w:pPr>
              <w:spacing w:line="276" w:lineRule="auto"/>
              <w:jc w:val="center"/>
              <w:rPr>
                <w:rFonts w:asciiTheme="majorHAnsi" w:hAnsiTheme="majorHAnsi" w:cs="Times New Roman"/>
                <w:color w:val="000000"/>
                <w:sz w:val="20"/>
                <w:szCs w:val="20"/>
              </w:rPr>
            </w:pPr>
            <w:r w:rsidRPr="00CA4F27">
              <w:rPr>
                <w:rFonts w:asciiTheme="majorHAnsi" w:hAnsiTheme="majorHAnsi" w:cs="Times New Roman"/>
                <w:color w:val="000000"/>
                <w:sz w:val="20"/>
                <w:szCs w:val="20"/>
              </w:rPr>
              <w:t>374</w:t>
            </w:r>
          </w:p>
        </w:tc>
        <w:tc>
          <w:tcPr>
            <w:tcW w:w="1025" w:type="dxa"/>
            <w:shd w:val="clear" w:color="auto" w:fill="DEEAF6" w:themeFill="accent1" w:themeFillTint="33"/>
            <w:vAlign w:val="center"/>
          </w:tcPr>
          <w:p w:rsidR="003F4E1F" w:rsidRPr="00CA4F27" w:rsidRDefault="003F4E1F" w:rsidP="00F61756">
            <w:pPr>
              <w:spacing w:line="276" w:lineRule="auto"/>
              <w:jc w:val="center"/>
              <w:rPr>
                <w:rFonts w:asciiTheme="majorHAnsi" w:hAnsiTheme="majorHAnsi" w:cs="Times New Roman"/>
                <w:color w:val="000000"/>
                <w:sz w:val="20"/>
                <w:szCs w:val="20"/>
              </w:rPr>
            </w:pPr>
            <w:r w:rsidRPr="00CA4F27">
              <w:rPr>
                <w:rFonts w:asciiTheme="majorHAnsi" w:hAnsiTheme="majorHAnsi" w:cs="Times New Roman"/>
                <w:color w:val="000000"/>
                <w:sz w:val="20"/>
                <w:szCs w:val="20"/>
              </w:rPr>
              <w:t>96</w:t>
            </w:r>
          </w:p>
        </w:tc>
        <w:tc>
          <w:tcPr>
            <w:tcW w:w="1042" w:type="dxa"/>
            <w:shd w:val="clear" w:color="auto" w:fill="DEEAF6" w:themeFill="accent1" w:themeFillTint="33"/>
            <w:vAlign w:val="center"/>
          </w:tcPr>
          <w:p w:rsidR="003F4E1F" w:rsidRPr="00CA4F27" w:rsidRDefault="003F4E1F" w:rsidP="00F61756">
            <w:pPr>
              <w:spacing w:line="276" w:lineRule="auto"/>
              <w:jc w:val="center"/>
              <w:rPr>
                <w:rFonts w:asciiTheme="majorHAnsi" w:hAnsiTheme="majorHAnsi" w:cs="Times New Roman"/>
                <w:color w:val="000000"/>
                <w:sz w:val="20"/>
                <w:szCs w:val="20"/>
              </w:rPr>
            </w:pPr>
            <w:r w:rsidRPr="00CA4F27">
              <w:rPr>
                <w:rFonts w:asciiTheme="majorHAnsi" w:hAnsiTheme="majorHAnsi" w:cs="Times New Roman"/>
                <w:color w:val="000000"/>
                <w:sz w:val="20"/>
                <w:szCs w:val="20"/>
              </w:rPr>
              <w:t>40</w:t>
            </w:r>
          </w:p>
        </w:tc>
        <w:tc>
          <w:tcPr>
            <w:tcW w:w="870" w:type="dxa"/>
            <w:shd w:val="clear" w:color="auto" w:fill="DEEAF6" w:themeFill="accent1" w:themeFillTint="33"/>
            <w:vAlign w:val="center"/>
          </w:tcPr>
          <w:p w:rsidR="003F4E1F" w:rsidRPr="00CA4F27" w:rsidRDefault="003F4E1F" w:rsidP="00F61756">
            <w:pPr>
              <w:spacing w:line="276" w:lineRule="auto"/>
              <w:jc w:val="center"/>
              <w:rPr>
                <w:rFonts w:asciiTheme="majorHAnsi" w:hAnsiTheme="majorHAnsi" w:cs="Times New Roman"/>
                <w:color w:val="000000"/>
                <w:sz w:val="20"/>
                <w:szCs w:val="20"/>
              </w:rPr>
            </w:pPr>
            <w:r w:rsidRPr="00CA4F27">
              <w:rPr>
                <w:rFonts w:asciiTheme="majorHAnsi" w:hAnsiTheme="majorHAnsi" w:cs="Times New Roman"/>
                <w:color w:val="000000"/>
                <w:sz w:val="20"/>
                <w:szCs w:val="20"/>
              </w:rPr>
              <w:t>306</w:t>
            </w:r>
          </w:p>
        </w:tc>
      </w:tr>
    </w:tbl>
    <w:p w:rsidR="003F4E1F" w:rsidRPr="003D5A83" w:rsidRDefault="003F4E1F" w:rsidP="00F61756">
      <w:pPr>
        <w:spacing w:before="120" w:line="276" w:lineRule="auto"/>
        <w:jc w:val="both"/>
        <w:rPr>
          <w:rFonts w:asciiTheme="majorHAnsi" w:hAnsiTheme="majorHAnsi" w:cs="Times New Roman"/>
          <w:i/>
          <w:color w:val="000000"/>
          <w:sz w:val="20"/>
          <w:szCs w:val="20"/>
        </w:rPr>
      </w:pPr>
      <w:r w:rsidRPr="003D5A83">
        <w:rPr>
          <w:rFonts w:asciiTheme="majorHAnsi" w:hAnsiTheme="majorHAnsi" w:cs="Times New Roman"/>
          <w:i/>
          <w:color w:val="000000"/>
          <w:sz w:val="20"/>
          <w:szCs w:val="20"/>
        </w:rPr>
        <w:t xml:space="preserve">Sursa: </w:t>
      </w:r>
      <w:r w:rsidRPr="003D5A83">
        <w:rPr>
          <w:rFonts w:asciiTheme="majorHAnsi" w:hAnsiTheme="majorHAnsi" w:cs="Times New Roman"/>
          <w:b w:val="0"/>
          <w:bCs w:val="0"/>
          <w:i/>
          <w:color w:val="000000"/>
          <w:sz w:val="20"/>
          <w:szCs w:val="20"/>
        </w:rPr>
        <w:t>Da</w:t>
      </w:r>
      <w:r w:rsidRPr="003D5A83">
        <w:rPr>
          <w:rFonts w:asciiTheme="majorHAnsi" w:hAnsiTheme="majorHAnsi" w:cs="Times New Roman"/>
          <w:b w:val="0"/>
          <w:i/>
          <w:color w:val="000000"/>
          <w:sz w:val="20"/>
          <w:szCs w:val="20"/>
        </w:rPr>
        <w:t>te</w:t>
      </w:r>
      <w:r w:rsidR="002C6FD9">
        <w:rPr>
          <w:rFonts w:asciiTheme="majorHAnsi" w:hAnsiTheme="majorHAnsi" w:cs="Times New Roman"/>
          <w:b w:val="0"/>
          <w:i/>
          <w:color w:val="000000"/>
          <w:sz w:val="20"/>
          <w:szCs w:val="20"/>
        </w:rPr>
        <w:t xml:space="preserve"> oferite d</w:t>
      </w:r>
      <w:r w:rsidRPr="003D5A83">
        <w:rPr>
          <w:rFonts w:asciiTheme="majorHAnsi" w:hAnsiTheme="majorHAnsi" w:cs="Times New Roman"/>
          <w:b w:val="0"/>
          <w:i/>
          <w:color w:val="000000"/>
          <w:sz w:val="20"/>
          <w:szCs w:val="20"/>
        </w:rPr>
        <w:t>e CSP.</w:t>
      </w:r>
    </w:p>
    <w:p w:rsidR="0088086E" w:rsidRDefault="00FE4CF0" w:rsidP="00F61756">
      <w:pPr>
        <w:pStyle w:val="a3"/>
        <w:numPr>
          <w:ilvl w:val="1"/>
          <w:numId w:val="40"/>
        </w:numPr>
        <w:tabs>
          <w:tab w:val="left" w:pos="426"/>
          <w:tab w:val="left" w:pos="851"/>
        </w:tabs>
        <w:spacing w:line="276" w:lineRule="auto"/>
        <w:ind w:left="0" w:firstLine="0"/>
        <w:jc w:val="both"/>
        <w:outlineLvl w:val="0"/>
        <w:rPr>
          <w:rFonts w:asciiTheme="majorHAnsi" w:eastAsia="Calibri" w:hAnsiTheme="majorHAnsi"/>
          <w:b/>
          <w:lang w:val="en-US"/>
        </w:rPr>
      </w:pPr>
      <w:r w:rsidRPr="008376FC">
        <w:rPr>
          <w:rFonts w:asciiTheme="majorHAnsi" w:eastAsia="Calibri" w:hAnsiTheme="majorHAnsi"/>
          <w:b/>
          <w:color w:val="0070C0"/>
          <w:lang w:val="ro-RO"/>
        </w:rPr>
        <w:t xml:space="preserve"> </w:t>
      </w:r>
      <w:bookmarkStart w:id="38" w:name="_Toc132042788"/>
      <w:bookmarkStart w:id="39" w:name="_Toc132320211"/>
      <w:r w:rsidR="00294D64" w:rsidRPr="008376FC">
        <w:rPr>
          <w:rFonts w:asciiTheme="majorHAnsi" w:eastAsia="Calibri" w:hAnsiTheme="majorHAnsi"/>
          <w:b/>
          <w:color w:val="0070C0"/>
          <w:lang w:val="en-US"/>
        </w:rPr>
        <w:t>T</w:t>
      </w:r>
      <w:r w:rsidR="00D32D88" w:rsidRPr="008376FC">
        <w:rPr>
          <w:rFonts w:asciiTheme="majorHAnsi" w:eastAsia="Calibri" w:hAnsiTheme="majorHAnsi"/>
          <w:b/>
          <w:color w:val="0070C0"/>
          <w:lang w:val="en-US"/>
        </w:rPr>
        <w:t>arifele aprobate pentru serviciile prestate de alimentare cu apă și sanitație sunt adecvate pentru a acoperi costurile aferente prestării serviciului public respectiv</w:t>
      </w:r>
      <w:r w:rsidR="00294D64" w:rsidRPr="008376FC">
        <w:rPr>
          <w:rFonts w:asciiTheme="majorHAnsi" w:eastAsia="Calibri" w:hAnsiTheme="majorHAnsi"/>
          <w:b/>
          <w:color w:val="0070C0"/>
          <w:lang w:val="en-US"/>
        </w:rPr>
        <w:t>?</w:t>
      </w:r>
      <w:bookmarkEnd w:id="38"/>
      <w:bookmarkEnd w:id="39"/>
      <w:r w:rsidR="00294D64" w:rsidRPr="008376FC">
        <w:rPr>
          <w:rFonts w:asciiTheme="majorHAnsi" w:eastAsia="Calibri" w:hAnsiTheme="majorHAnsi"/>
          <w:b/>
          <w:lang w:val="en-US"/>
        </w:rPr>
        <w:t xml:space="preserve">  </w:t>
      </w:r>
    </w:p>
    <w:p w:rsidR="00B21CCB" w:rsidRPr="008376FC" w:rsidRDefault="00B21CCB" w:rsidP="00F61756">
      <w:pPr>
        <w:pStyle w:val="a3"/>
        <w:tabs>
          <w:tab w:val="left" w:pos="851"/>
        </w:tabs>
        <w:spacing w:line="276" w:lineRule="auto"/>
        <w:ind w:left="1080"/>
        <w:jc w:val="both"/>
        <w:rPr>
          <w:rFonts w:asciiTheme="majorHAnsi" w:eastAsia="Calibri" w:hAnsiTheme="majorHAnsi"/>
          <w:b/>
          <w:i/>
          <w:lang w:val="ro-RO"/>
        </w:rPr>
      </w:pPr>
    </w:p>
    <w:tbl>
      <w:tblPr>
        <w:tblStyle w:val="af2"/>
        <w:tblW w:w="0" w:type="auto"/>
        <w:shd w:val="clear" w:color="auto" w:fill="BDD6EE" w:themeFill="accent1" w:themeFillTint="66"/>
        <w:tblLook w:val="04A0" w:firstRow="1" w:lastRow="0" w:firstColumn="1" w:lastColumn="0" w:noHBand="0" w:noVBand="1"/>
      </w:tblPr>
      <w:tblGrid>
        <w:gridCol w:w="9678"/>
      </w:tblGrid>
      <w:tr w:rsidR="0041468D" w:rsidRPr="008376FC" w:rsidTr="00B21CCB">
        <w:tc>
          <w:tcPr>
            <w:tcW w:w="10103" w:type="dxa"/>
            <w:shd w:val="clear" w:color="auto" w:fill="BDD6EE" w:themeFill="accent1" w:themeFillTint="66"/>
          </w:tcPr>
          <w:p w:rsidR="00BE3B68" w:rsidRPr="008376FC" w:rsidRDefault="0044136A" w:rsidP="00F61756">
            <w:pPr>
              <w:tabs>
                <w:tab w:val="left" w:pos="851"/>
              </w:tabs>
              <w:spacing w:line="276" w:lineRule="auto"/>
              <w:jc w:val="both"/>
              <w:rPr>
                <w:rFonts w:asciiTheme="majorHAnsi" w:eastAsia="Calibri" w:hAnsiTheme="majorHAnsi"/>
                <w:b w:val="0"/>
                <w:i/>
              </w:rPr>
            </w:pPr>
            <w:r w:rsidRPr="008376FC">
              <w:rPr>
                <w:rFonts w:asciiTheme="majorHAnsi" w:eastAsia="Calibri" w:hAnsiTheme="majorHAnsi"/>
                <w:b w:val="0"/>
                <w:bCs w:val="0"/>
                <w:i/>
                <w:sz w:val="24"/>
                <w:szCs w:val="24"/>
              </w:rPr>
              <w:t>T</w:t>
            </w:r>
            <w:r w:rsidR="000056B2" w:rsidRPr="008376FC">
              <w:rPr>
                <w:rFonts w:asciiTheme="majorHAnsi" w:eastAsia="Calibri" w:hAnsiTheme="majorHAnsi"/>
                <w:b w:val="0"/>
                <w:bCs w:val="0"/>
                <w:i/>
                <w:sz w:val="24"/>
                <w:szCs w:val="24"/>
              </w:rPr>
              <w:t>arifele pentru prestarea serviciilor de aprovizionare cu apă și sanitație nu au fost modificate</w:t>
            </w:r>
            <w:r w:rsidR="008B0BC6" w:rsidRPr="008376FC">
              <w:rPr>
                <w:rFonts w:asciiTheme="majorHAnsi" w:eastAsia="Calibri" w:hAnsiTheme="majorHAnsi"/>
                <w:b w:val="0"/>
                <w:bCs w:val="0"/>
                <w:i/>
                <w:sz w:val="24"/>
                <w:szCs w:val="24"/>
              </w:rPr>
              <w:t xml:space="preserve"> </w:t>
            </w:r>
            <w:r w:rsidRPr="008376FC">
              <w:rPr>
                <w:rFonts w:asciiTheme="majorHAnsi" w:eastAsia="Calibri" w:hAnsiTheme="majorHAnsi"/>
                <w:b w:val="0"/>
                <w:bCs w:val="0"/>
                <w:i/>
                <w:sz w:val="24"/>
                <w:szCs w:val="24"/>
              </w:rPr>
              <w:t>la o mare parte d</w:t>
            </w:r>
            <w:r w:rsidR="002C6FD9">
              <w:rPr>
                <w:rFonts w:asciiTheme="majorHAnsi" w:eastAsia="Calibri" w:hAnsiTheme="majorHAnsi"/>
                <w:b w:val="0"/>
                <w:bCs w:val="0"/>
                <w:i/>
                <w:sz w:val="24"/>
                <w:szCs w:val="24"/>
              </w:rPr>
              <w:t>in</w:t>
            </w:r>
            <w:r w:rsidRPr="008376FC">
              <w:rPr>
                <w:rFonts w:asciiTheme="majorHAnsi" w:eastAsia="Calibri" w:hAnsiTheme="majorHAnsi"/>
                <w:b w:val="0"/>
                <w:bCs w:val="0"/>
                <w:i/>
                <w:sz w:val="24"/>
                <w:szCs w:val="24"/>
              </w:rPr>
              <w:t xml:space="preserve"> operatori</w:t>
            </w:r>
            <w:r w:rsidR="002C6FD9">
              <w:rPr>
                <w:rFonts w:asciiTheme="majorHAnsi" w:eastAsia="Calibri" w:hAnsiTheme="majorHAnsi"/>
                <w:b w:val="0"/>
                <w:bCs w:val="0"/>
                <w:i/>
                <w:sz w:val="24"/>
                <w:szCs w:val="24"/>
              </w:rPr>
              <w:t>i</w:t>
            </w:r>
            <w:r w:rsidRPr="008376FC">
              <w:rPr>
                <w:rFonts w:asciiTheme="majorHAnsi" w:eastAsia="Calibri" w:hAnsiTheme="majorHAnsi"/>
                <w:b w:val="0"/>
                <w:bCs w:val="0"/>
                <w:i/>
                <w:sz w:val="24"/>
                <w:szCs w:val="24"/>
              </w:rPr>
              <w:t xml:space="preserve"> apă-canal </w:t>
            </w:r>
            <w:r w:rsidR="008B0BC6" w:rsidRPr="008376FC">
              <w:rPr>
                <w:rFonts w:asciiTheme="majorHAnsi" w:eastAsia="Calibri" w:hAnsiTheme="majorHAnsi"/>
                <w:b w:val="0"/>
                <w:bCs w:val="0"/>
                <w:i/>
                <w:sz w:val="24"/>
                <w:szCs w:val="24"/>
              </w:rPr>
              <w:t>pe parcursul mai multor ani</w:t>
            </w:r>
            <w:r w:rsidR="000056B2" w:rsidRPr="008376FC">
              <w:rPr>
                <w:rFonts w:asciiTheme="majorHAnsi" w:eastAsia="Calibri" w:hAnsiTheme="majorHAnsi"/>
                <w:b w:val="0"/>
                <w:bCs w:val="0"/>
                <w:i/>
                <w:sz w:val="24"/>
                <w:szCs w:val="24"/>
              </w:rPr>
              <w:t>, operatori</w:t>
            </w:r>
            <w:r w:rsidR="002C6FD9">
              <w:rPr>
                <w:rFonts w:asciiTheme="majorHAnsi" w:eastAsia="Calibri" w:hAnsiTheme="majorHAnsi"/>
                <w:b w:val="0"/>
                <w:bCs w:val="0"/>
                <w:i/>
                <w:sz w:val="24"/>
                <w:szCs w:val="24"/>
              </w:rPr>
              <w:t>i</w:t>
            </w:r>
            <w:r w:rsidR="000056B2" w:rsidRPr="008376FC">
              <w:rPr>
                <w:rFonts w:asciiTheme="majorHAnsi" w:eastAsia="Calibri" w:hAnsiTheme="majorHAnsi"/>
                <w:b w:val="0"/>
                <w:bCs w:val="0"/>
                <w:i/>
                <w:sz w:val="24"/>
                <w:szCs w:val="24"/>
              </w:rPr>
              <w:t xml:space="preserve"> cumul</w:t>
            </w:r>
            <w:r w:rsidR="00A45909" w:rsidRPr="008376FC">
              <w:rPr>
                <w:rFonts w:asciiTheme="majorHAnsi" w:eastAsia="Calibri" w:hAnsiTheme="majorHAnsi"/>
                <w:b w:val="0"/>
                <w:bCs w:val="0"/>
                <w:i/>
                <w:sz w:val="24"/>
                <w:szCs w:val="24"/>
              </w:rPr>
              <w:t>â</w:t>
            </w:r>
            <w:r w:rsidR="008B0BC6" w:rsidRPr="008376FC">
              <w:rPr>
                <w:rFonts w:asciiTheme="majorHAnsi" w:eastAsia="Calibri" w:hAnsiTheme="majorHAnsi"/>
                <w:b w:val="0"/>
                <w:bCs w:val="0"/>
                <w:i/>
                <w:sz w:val="24"/>
                <w:szCs w:val="24"/>
              </w:rPr>
              <w:t>nd</w:t>
            </w:r>
            <w:r w:rsidR="000056B2" w:rsidRPr="008376FC">
              <w:rPr>
                <w:rFonts w:asciiTheme="majorHAnsi" w:eastAsia="Calibri" w:hAnsiTheme="majorHAnsi"/>
                <w:b w:val="0"/>
                <w:bCs w:val="0"/>
                <w:i/>
                <w:sz w:val="24"/>
                <w:szCs w:val="24"/>
              </w:rPr>
              <w:t xml:space="preserve"> pierderi</w:t>
            </w:r>
            <w:r w:rsidR="008B0BC6" w:rsidRPr="008376FC">
              <w:rPr>
                <w:rFonts w:asciiTheme="majorHAnsi" w:eastAsia="Calibri" w:hAnsiTheme="majorHAnsi"/>
                <w:b w:val="0"/>
                <w:bCs w:val="0"/>
                <w:i/>
                <w:sz w:val="24"/>
                <w:szCs w:val="24"/>
              </w:rPr>
              <w:t>, iar</w:t>
            </w:r>
            <w:r w:rsidR="000056B2" w:rsidRPr="008376FC">
              <w:rPr>
                <w:rFonts w:asciiTheme="majorHAnsi" w:eastAsia="Calibri" w:hAnsiTheme="majorHAnsi"/>
                <w:b w:val="0"/>
                <w:bCs w:val="0"/>
                <w:i/>
                <w:sz w:val="24"/>
                <w:szCs w:val="24"/>
              </w:rPr>
              <w:t xml:space="preserve"> gradul de îndatorare</w:t>
            </w:r>
            <w:r w:rsidR="008B0BC6" w:rsidRPr="008376FC">
              <w:rPr>
                <w:rFonts w:asciiTheme="majorHAnsi" w:eastAsia="Calibri" w:hAnsiTheme="majorHAnsi"/>
                <w:b w:val="0"/>
                <w:bCs w:val="0"/>
                <w:i/>
                <w:sz w:val="24"/>
                <w:szCs w:val="24"/>
              </w:rPr>
              <w:t xml:space="preserve"> fiind în creștere.</w:t>
            </w:r>
            <w:r w:rsidR="000056B2" w:rsidRPr="008376FC">
              <w:rPr>
                <w:rFonts w:asciiTheme="majorHAnsi" w:eastAsia="Calibri" w:hAnsiTheme="majorHAnsi"/>
                <w:b w:val="0"/>
                <w:bCs w:val="0"/>
                <w:i/>
                <w:sz w:val="24"/>
                <w:szCs w:val="24"/>
              </w:rPr>
              <w:t xml:space="preserve"> </w:t>
            </w:r>
            <w:r w:rsidR="008B0BC6" w:rsidRPr="008376FC">
              <w:rPr>
                <w:rFonts w:asciiTheme="majorHAnsi" w:eastAsia="Calibri" w:hAnsiTheme="majorHAnsi"/>
                <w:b w:val="0"/>
                <w:bCs w:val="0"/>
                <w:i/>
                <w:sz w:val="24"/>
                <w:szCs w:val="24"/>
              </w:rPr>
              <w:t>U</w:t>
            </w:r>
            <w:r w:rsidR="000056B2" w:rsidRPr="008376FC">
              <w:rPr>
                <w:rFonts w:asciiTheme="majorHAnsi" w:eastAsia="Calibri" w:hAnsiTheme="majorHAnsi"/>
                <w:b w:val="0"/>
                <w:bCs w:val="0"/>
                <w:i/>
                <w:sz w:val="24"/>
                <w:szCs w:val="24"/>
              </w:rPr>
              <w:t xml:space="preserve">nii operatori </w:t>
            </w:r>
            <w:r w:rsidR="008B0BC6" w:rsidRPr="008376FC">
              <w:rPr>
                <w:rFonts w:asciiTheme="majorHAnsi" w:eastAsia="Calibri" w:hAnsiTheme="majorHAnsi"/>
                <w:b w:val="0"/>
                <w:bCs w:val="0"/>
                <w:i/>
                <w:sz w:val="24"/>
                <w:szCs w:val="24"/>
              </w:rPr>
              <w:t>au</w:t>
            </w:r>
            <w:r w:rsidR="000056B2" w:rsidRPr="008376FC">
              <w:rPr>
                <w:rFonts w:asciiTheme="majorHAnsi" w:eastAsia="Calibri" w:hAnsiTheme="majorHAnsi"/>
                <w:b w:val="0"/>
                <w:bCs w:val="0"/>
                <w:i/>
                <w:sz w:val="24"/>
                <w:szCs w:val="24"/>
              </w:rPr>
              <w:t xml:space="preserve"> înregistrat valori negative a</w:t>
            </w:r>
            <w:r w:rsidR="002C6FD9">
              <w:rPr>
                <w:rFonts w:asciiTheme="majorHAnsi" w:eastAsia="Calibri" w:hAnsiTheme="majorHAnsi"/>
                <w:b w:val="0"/>
                <w:bCs w:val="0"/>
                <w:i/>
                <w:sz w:val="24"/>
                <w:szCs w:val="24"/>
              </w:rPr>
              <w:t>le</w:t>
            </w:r>
            <w:r w:rsidR="000056B2" w:rsidRPr="008376FC">
              <w:rPr>
                <w:rFonts w:asciiTheme="majorHAnsi" w:eastAsia="Calibri" w:hAnsiTheme="majorHAnsi"/>
                <w:b w:val="0"/>
                <w:bCs w:val="0"/>
                <w:i/>
                <w:sz w:val="24"/>
                <w:szCs w:val="24"/>
              </w:rPr>
              <w:t xml:space="preserve"> capitalului propriu, iar alţii</w:t>
            </w:r>
            <w:r w:rsidRPr="008376FC">
              <w:rPr>
                <w:rFonts w:asciiTheme="majorHAnsi" w:eastAsia="Calibri" w:hAnsiTheme="majorHAnsi"/>
                <w:b w:val="0"/>
                <w:bCs w:val="0"/>
                <w:i/>
                <w:sz w:val="24"/>
                <w:szCs w:val="24"/>
              </w:rPr>
              <w:t xml:space="preserve"> </w:t>
            </w:r>
            <w:r w:rsidR="008B0BC6" w:rsidRPr="008376FC">
              <w:rPr>
                <w:rFonts w:asciiTheme="majorHAnsi" w:eastAsia="Calibri" w:hAnsiTheme="majorHAnsi"/>
                <w:b w:val="0"/>
                <w:bCs w:val="0"/>
                <w:i/>
                <w:sz w:val="24"/>
                <w:szCs w:val="24"/>
              </w:rPr>
              <w:t>au i</w:t>
            </w:r>
            <w:r w:rsidR="000056B2" w:rsidRPr="008376FC">
              <w:rPr>
                <w:rFonts w:asciiTheme="majorHAnsi" w:eastAsia="Calibri" w:hAnsiTheme="majorHAnsi"/>
                <w:b w:val="0"/>
                <w:bCs w:val="0"/>
                <w:i/>
                <w:sz w:val="24"/>
                <w:szCs w:val="24"/>
              </w:rPr>
              <w:t>ntr</w:t>
            </w:r>
            <w:r w:rsidR="008B0BC6" w:rsidRPr="008376FC">
              <w:rPr>
                <w:rFonts w:asciiTheme="majorHAnsi" w:eastAsia="Calibri" w:hAnsiTheme="majorHAnsi"/>
                <w:b w:val="0"/>
                <w:bCs w:val="0"/>
                <w:i/>
                <w:sz w:val="24"/>
                <w:szCs w:val="24"/>
              </w:rPr>
              <w:t>at</w:t>
            </w:r>
            <w:r w:rsidR="000056B2" w:rsidRPr="008376FC">
              <w:rPr>
                <w:rFonts w:asciiTheme="majorHAnsi" w:eastAsia="Calibri" w:hAnsiTheme="majorHAnsi"/>
                <w:b w:val="0"/>
                <w:bCs w:val="0"/>
                <w:i/>
                <w:sz w:val="24"/>
                <w:szCs w:val="24"/>
              </w:rPr>
              <w:t xml:space="preserve"> în procedura de insolvabilitate. Totodată, nici procedura de gestiune delegată serviciului public de alimentare cu apă şi de canalizare nu a fost realizată cu respectarea prevederilor cadrului normativ, astfel la unii operatori</w:t>
            </w:r>
            <w:r w:rsidR="00A45909" w:rsidRPr="008376FC">
              <w:rPr>
                <w:rFonts w:asciiTheme="majorHAnsi" w:eastAsia="Calibri" w:hAnsiTheme="majorHAnsi"/>
                <w:b w:val="0"/>
                <w:bCs w:val="0"/>
                <w:i/>
                <w:sz w:val="24"/>
                <w:szCs w:val="24"/>
              </w:rPr>
              <w:t xml:space="preserve">, </w:t>
            </w:r>
            <w:r w:rsidR="000056B2" w:rsidRPr="008376FC">
              <w:rPr>
                <w:rFonts w:asciiTheme="majorHAnsi" w:eastAsia="Calibri" w:hAnsiTheme="majorHAnsi"/>
                <w:b w:val="0"/>
                <w:bCs w:val="0"/>
                <w:i/>
                <w:sz w:val="24"/>
                <w:szCs w:val="24"/>
              </w:rPr>
              <w:t>contractele de gestiune delega</w:t>
            </w:r>
            <w:r w:rsidRPr="008376FC">
              <w:rPr>
                <w:rFonts w:asciiTheme="majorHAnsi" w:eastAsia="Calibri" w:hAnsiTheme="majorHAnsi"/>
                <w:b w:val="0"/>
                <w:bCs w:val="0"/>
                <w:i/>
                <w:sz w:val="24"/>
                <w:szCs w:val="24"/>
              </w:rPr>
              <w:t>t</w:t>
            </w:r>
            <w:r w:rsidR="000056B2" w:rsidRPr="008376FC">
              <w:rPr>
                <w:rFonts w:asciiTheme="majorHAnsi" w:eastAsia="Calibri" w:hAnsiTheme="majorHAnsi"/>
                <w:b w:val="0"/>
                <w:bCs w:val="0"/>
                <w:i/>
                <w:sz w:val="24"/>
                <w:szCs w:val="24"/>
              </w:rPr>
              <w:t>ă nu includ mărimea redevenței sau altor plăți</w:t>
            </w:r>
            <w:r w:rsidR="008B0BC6" w:rsidRPr="008376FC">
              <w:rPr>
                <w:rFonts w:asciiTheme="majorHAnsi" w:eastAsia="Calibri" w:hAnsiTheme="majorHAnsi"/>
                <w:b w:val="0"/>
                <w:bCs w:val="0"/>
                <w:i/>
                <w:sz w:val="24"/>
                <w:szCs w:val="24"/>
              </w:rPr>
              <w:t xml:space="preserve">, </w:t>
            </w:r>
            <w:r w:rsidR="001E2887" w:rsidRPr="008376FC">
              <w:rPr>
                <w:rFonts w:asciiTheme="majorHAnsi" w:eastAsia="Calibri" w:hAnsiTheme="majorHAnsi"/>
                <w:b w:val="0"/>
                <w:bCs w:val="0"/>
                <w:i/>
                <w:sz w:val="24"/>
                <w:szCs w:val="24"/>
              </w:rPr>
              <w:t>iar operatorii la care redevența a fost inclusă în contrac</w:t>
            </w:r>
            <w:r w:rsidR="002C6FD9">
              <w:rPr>
                <w:rFonts w:asciiTheme="majorHAnsi" w:eastAsia="Calibri" w:hAnsiTheme="majorHAnsi"/>
                <w:b w:val="0"/>
                <w:bCs w:val="0"/>
                <w:i/>
                <w:sz w:val="24"/>
                <w:szCs w:val="24"/>
              </w:rPr>
              <w:t>t</w:t>
            </w:r>
            <w:r w:rsidR="001E2887" w:rsidRPr="008376FC">
              <w:rPr>
                <w:rFonts w:asciiTheme="majorHAnsi" w:eastAsia="Calibri" w:hAnsiTheme="majorHAnsi"/>
                <w:b w:val="0"/>
                <w:bCs w:val="0"/>
                <w:i/>
                <w:sz w:val="24"/>
                <w:szCs w:val="24"/>
              </w:rPr>
              <w:t>ele de gestiune delegată nu</w:t>
            </w:r>
            <w:r w:rsidRPr="008376FC">
              <w:rPr>
                <w:rFonts w:asciiTheme="majorHAnsi" w:eastAsia="Calibri" w:hAnsiTheme="majorHAnsi"/>
                <w:b w:val="0"/>
                <w:bCs w:val="0"/>
                <w:i/>
                <w:sz w:val="24"/>
                <w:szCs w:val="24"/>
              </w:rPr>
              <w:t xml:space="preserve"> </w:t>
            </w:r>
            <w:r w:rsidR="001E2887" w:rsidRPr="008376FC">
              <w:rPr>
                <w:rFonts w:asciiTheme="majorHAnsi" w:eastAsia="Calibri" w:hAnsiTheme="majorHAnsi"/>
                <w:b w:val="0"/>
                <w:bCs w:val="0"/>
                <w:i/>
                <w:sz w:val="24"/>
                <w:szCs w:val="24"/>
              </w:rPr>
              <w:t>au fost încasate la buget</w:t>
            </w:r>
            <w:r w:rsidR="000056B2" w:rsidRPr="008376FC">
              <w:rPr>
                <w:rFonts w:asciiTheme="majorHAnsi" w:eastAsia="Calibri" w:hAnsiTheme="majorHAnsi"/>
                <w:b w:val="0"/>
                <w:bCs w:val="0"/>
                <w:i/>
                <w:sz w:val="24"/>
                <w:szCs w:val="24"/>
              </w:rPr>
              <w:t>, răm</w:t>
            </w:r>
            <w:r w:rsidR="002C6FD9">
              <w:rPr>
                <w:rFonts w:asciiTheme="majorHAnsi" w:eastAsia="Calibri" w:hAnsiTheme="majorHAnsi"/>
                <w:b w:val="0"/>
                <w:bCs w:val="0"/>
                <w:i/>
                <w:sz w:val="24"/>
                <w:szCs w:val="24"/>
              </w:rPr>
              <w:t>â</w:t>
            </w:r>
            <w:r w:rsidR="000056B2" w:rsidRPr="008376FC">
              <w:rPr>
                <w:rFonts w:asciiTheme="majorHAnsi" w:eastAsia="Calibri" w:hAnsiTheme="majorHAnsi"/>
                <w:b w:val="0"/>
                <w:bCs w:val="0"/>
                <w:i/>
                <w:sz w:val="24"/>
                <w:szCs w:val="24"/>
              </w:rPr>
              <w:t>n</w:t>
            </w:r>
            <w:r w:rsidR="002C6FD9">
              <w:rPr>
                <w:rFonts w:asciiTheme="majorHAnsi" w:eastAsia="Calibri" w:hAnsiTheme="majorHAnsi"/>
                <w:b w:val="0"/>
                <w:bCs w:val="0"/>
                <w:i/>
                <w:sz w:val="24"/>
                <w:szCs w:val="24"/>
              </w:rPr>
              <w:t>â</w:t>
            </w:r>
            <w:r w:rsidR="000056B2" w:rsidRPr="008376FC">
              <w:rPr>
                <w:rFonts w:asciiTheme="majorHAnsi" w:eastAsia="Calibri" w:hAnsiTheme="majorHAnsi"/>
                <w:b w:val="0"/>
                <w:bCs w:val="0"/>
                <w:i/>
                <w:sz w:val="24"/>
                <w:szCs w:val="24"/>
              </w:rPr>
              <w:t>nd la dispoziția operatorilor.</w:t>
            </w:r>
          </w:p>
        </w:tc>
      </w:tr>
    </w:tbl>
    <w:p w:rsidR="0041468D" w:rsidRPr="008376FC" w:rsidRDefault="0041468D" w:rsidP="00F61756">
      <w:pPr>
        <w:pStyle w:val="a3"/>
        <w:tabs>
          <w:tab w:val="left" w:pos="851"/>
        </w:tabs>
        <w:spacing w:line="276" w:lineRule="auto"/>
        <w:ind w:left="0" w:firstLine="709"/>
        <w:jc w:val="both"/>
        <w:rPr>
          <w:rFonts w:asciiTheme="majorHAnsi" w:eastAsia="Calibri" w:hAnsiTheme="majorHAnsi"/>
          <w:b/>
          <w:i/>
          <w:lang w:val="ro-RO"/>
        </w:rPr>
      </w:pPr>
    </w:p>
    <w:p w:rsidR="004005AD" w:rsidRPr="008376FC" w:rsidRDefault="00294D64" w:rsidP="00F61756">
      <w:pPr>
        <w:spacing w:line="276" w:lineRule="auto"/>
        <w:jc w:val="both"/>
        <w:rPr>
          <w:rFonts w:asciiTheme="majorHAnsi" w:eastAsia="Times New Roman" w:hAnsiTheme="majorHAnsi" w:cstheme="majorHAnsi"/>
          <w:color w:val="0070C0"/>
          <w:sz w:val="24"/>
          <w:szCs w:val="24"/>
        </w:rPr>
      </w:pPr>
      <w:r w:rsidRPr="008376FC">
        <w:rPr>
          <w:rFonts w:asciiTheme="majorHAnsi" w:eastAsia="Times New Roman" w:hAnsiTheme="majorHAnsi" w:cstheme="majorHAnsi"/>
          <w:color w:val="0070C0"/>
          <w:sz w:val="24"/>
          <w:szCs w:val="24"/>
        </w:rPr>
        <w:t>4.</w:t>
      </w:r>
      <w:r w:rsidR="00FE4CF0" w:rsidRPr="008376FC">
        <w:rPr>
          <w:rFonts w:asciiTheme="majorHAnsi" w:eastAsia="Times New Roman" w:hAnsiTheme="majorHAnsi" w:cstheme="majorHAnsi"/>
          <w:color w:val="0070C0"/>
          <w:sz w:val="24"/>
          <w:szCs w:val="24"/>
        </w:rPr>
        <w:t>5</w:t>
      </w:r>
      <w:r w:rsidRPr="008376FC">
        <w:rPr>
          <w:rFonts w:asciiTheme="majorHAnsi" w:eastAsia="Times New Roman" w:hAnsiTheme="majorHAnsi" w:cstheme="majorHAnsi"/>
          <w:color w:val="0070C0"/>
          <w:sz w:val="24"/>
          <w:szCs w:val="24"/>
        </w:rPr>
        <w:t xml:space="preserve">.1. </w:t>
      </w:r>
      <w:r w:rsidR="004005AD" w:rsidRPr="008376FC">
        <w:rPr>
          <w:rFonts w:asciiTheme="majorHAnsi" w:eastAsia="Times New Roman" w:hAnsiTheme="majorHAnsi" w:cstheme="majorHAnsi"/>
          <w:color w:val="0070C0"/>
          <w:sz w:val="24"/>
          <w:szCs w:val="24"/>
        </w:rPr>
        <w:t>Tarifele</w:t>
      </w:r>
      <w:r w:rsidR="004005AD" w:rsidRPr="008376FC">
        <w:rPr>
          <w:rFonts w:asciiTheme="majorHAnsi" w:eastAsia="Times New Roman" w:hAnsiTheme="majorHAnsi" w:cstheme="majorHAnsi"/>
          <w:color w:val="0070C0"/>
          <w:spacing w:val="-3"/>
          <w:sz w:val="24"/>
          <w:szCs w:val="24"/>
        </w:rPr>
        <w:t xml:space="preserve"> </w:t>
      </w:r>
      <w:r w:rsidR="004005AD" w:rsidRPr="008376FC">
        <w:rPr>
          <w:rFonts w:asciiTheme="majorHAnsi" w:eastAsia="Times New Roman" w:hAnsiTheme="majorHAnsi" w:cstheme="majorHAnsi"/>
          <w:color w:val="0070C0"/>
          <w:sz w:val="24"/>
          <w:szCs w:val="24"/>
        </w:rPr>
        <w:t>pentru</w:t>
      </w:r>
      <w:r w:rsidR="004005AD" w:rsidRPr="008376FC">
        <w:rPr>
          <w:rFonts w:asciiTheme="majorHAnsi" w:eastAsia="Times New Roman" w:hAnsiTheme="majorHAnsi" w:cstheme="majorHAnsi"/>
          <w:color w:val="0070C0"/>
          <w:spacing w:val="-3"/>
          <w:sz w:val="24"/>
          <w:szCs w:val="24"/>
        </w:rPr>
        <w:t xml:space="preserve"> </w:t>
      </w:r>
      <w:r w:rsidR="004005AD" w:rsidRPr="008376FC">
        <w:rPr>
          <w:rFonts w:asciiTheme="majorHAnsi" w:eastAsia="Times New Roman" w:hAnsiTheme="majorHAnsi" w:cstheme="majorHAnsi"/>
          <w:color w:val="0070C0"/>
          <w:sz w:val="24"/>
          <w:szCs w:val="24"/>
        </w:rPr>
        <w:t>prestarea</w:t>
      </w:r>
      <w:r w:rsidR="004005AD" w:rsidRPr="008376FC">
        <w:rPr>
          <w:rFonts w:asciiTheme="majorHAnsi" w:eastAsia="Times New Roman" w:hAnsiTheme="majorHAnsi" w:cstheme="majorHAnsi"/>
          <w:color w:val="0070C0"/>
          <w:spacing w:val="-2"/>
          <w:sz w:val="24"/>
          <w:szCs w:val="24"/>
        </w:rPr>
        <w:t xml:space="preserve"> </w:t>
      </w:r>
      <w:r w:rsidR="004005AD" w:rsidRPr="008376FC">
        <w:rPr>
          <w:rFonts w:asciiTheme="majorHAnsi" w:eastAsia="Times New Roman" w:hAnsiTheme="majorHAnsi" w:cstheme="majorHAnsi"/>
          <w:color w:val="0070C0"/>
          <w:sz w:val="24"/>
          <w:szCs w:val="24"/>
        </w:rPr>
        <w:t>serviciilor</w:t>
      </w:r>
      <w:r w:rsidR="004005AD" w:rsidRPr="008376FC">
        <w:rPr>
          <w:rFonts w:asciiTheme="majorHAnsi" w:eastAsia="Times New Roman" w:hAnsiTheme="majorHAnsi" w:cstheme="majorHAnsi"/>
          <w:color w:val="0070C0"/>
          <w:spacing w:val="-3"/>
          <w:sz w:val="24"/>
          <w:szCs w:val="24"/>
        </w:rPr>
        <w:t xml:space="preserve"> </w:t>
      </w:r>
      <w:r w:rsidR="004005AD" w:rsidRPr="008376FC">
        <w:rPr>
          <w:rFonts w:asciiTheme="majorHAnsi" w:eastAsia="Times New Roman" w:hAnsiTheme="majorHAnsi" w:cstheme="majorHAnsi"/>
          <w:color w:val="0070C0"/>
          <w:sz w:val="24"/>
          <w:szCs w:val="24"/>
        </w:rPr>
        <w:t>de</w:t>
      </w:r>
      <w:r w:rsidR="004005AD" w:rsidRPr="008376FC">
        <w:rPr>
          <w:rFonts w:asciiTheme="majorHAnsi" w:eastAsia="Times New Roman" w:hAnsiTheme="majorHAnsi" w:cstheme="majorHAnsi"/>
          <w:color w:val="0070C0"/>
          <w:spacing w:val="-4"/>
          <w:sz w:val="24"/>
          <w:szCs w:val="24"/>
        </w:rPr>
        <w:t xml:space="preserve"> </w:t>
      </w:r>
      <w:r w:rsidR="004005AD" w:rsidRPr="008376FC">
        <w:rPr>
          <w:rFonts w:asciiTheme="majorHAnsi" w:eastAsia="Times New Roman" w:hAnsiTheme="majorHAnsi" w:cstheme="majorHAnsi"/>
          <w:color w:val="0070C0"/>
          <w:sz w:val="24"/>
          <w:szCs w:val="24"/>
        </w:rPr>
        <w:t>aprovizionare</w:t>
      </w:r>
      <w:r w:rsidR="004005AD" w:rsidRPr="008376FC">
        <w:rPr>
          <w:rFonts w:asciiTheme="majorHAnsi" w:eastAsia="Times New Roman" w:hAnsiTheme="majorHAnsi" w:cstheme="majorHAnsi"/>
          <w:color w:val="0070C0"/>
          <w:spacing w:val="-3"/>
          <w:sz w:val="24"/>
          <w:szCs w:val="24"/>
        </w:rPr>
        <w:t xml:space="preserve"> </w:t>
      </w:r>
      <w:r w:rsidR="004005AD" w:rsidRPr="008376FC">
        <w:rPr>
          <w:rFonts w:asciiTheme="majorHAnsi" w:eastAsia="Times New Roman" w:hAnsiTheme="majorHAnsi" w:cstheme="majorHAnsi"/>
          <w:color w:val="0070C0"/>
          <w:sz w:val="24"/>
          <w:szCs w:val="24"/>
        </w:rPr>
        <w:t>cu</w:t>
      </w:r>
      <w:r w:rsidR="004005AD" w:rsidRPr="008376FC">
        <w:rPr>
          <w:rFonts w:asciiTheme="majorHAnsi" w:eastAsia="Times New Roman" w:hAnsiTheme="majorHAnsi" w:cstheme="majorHAnsi"/>
          <w:color w:val="0070C0"/>
          <w:spacing w:val="-3"/>
          <w:sz w:val="24"/>
          <w:szCs w:val="24"/>
        </w:rPr>
        <w:t xml:space="preserve"> </w:t>
      </w:r>
      <w:r w:rsidR="004005AD" w:rsidRPr="008376FC">
        <w:rPr>
          <w:rFonts w:asciiTheme="majorHAnsi" w:eastAsia="Times New Roman" w:hAnsiTheme="majorHAnsi" w:cstheme="majorHAnsi"/>
          <w:color w:val="0070C0"/>
          <w:sz w:val="24"/>
          <w:szCs w:val="24"/>
        </w:rPr>
        <w:t>apă</w:t>
      </w:r>
      <w:r w:rsidR="004005AD" w:rsidRPr="008376FC">
        <w:rPr>
          <w:rFonts w:asciiTheme="majorHAnsi" w:eastAsia="Times New Roman" w:hAnsiTheme="majorHAnsi" w:cstheme="majorHAnsi"/>
          <w:color w:val="0070C0"/>
          <w:spacing w:val="-2"/>
          <w:sz w:val="24"/>
          <w:szCs w:val="24"/>
        </w:rPr>
        <w:t xml:space="preserve"> </w:t>
      </w:r>
      <w:r w:rsidR="004005AD" w:rsidRPr="008376FC">
        <w:rPr>
          <w:rFonts w:asciiTheme="majorHAnsi" w:eastAsia="Times New Roman" w:hAnsiTheme="majorHAnsi" w:cstheme="majorHAnsi"/>
          <w:color w:val="0070C0"/>
          <w:sz w:val="24"/>
          <w:szCs w:val="24"/>
        </w:rPr>
        <w:t>și</w:t>
      </w:r>
      <w:r w:rsidR="004005AD" w:rsidRPr="008376FC">
        <w:rPr>
          <w:rFonts w:asciiTheme="majorHAnsi" w:eastAsia="Times New Roman" w:hAnsiTheme="majorHAnsi" w:cstheme="majorHAnsi"/>
          <w:color w:val="0070C0"/>
          <w:spacing w:val="-3"/>
          <w:sz w:val="24"/>
          <w:szCs w:val="24"/>
        </w:rPr>
        <w:t xml:space="preserve"> </w:t>
      </w:r>
      <w:r w:rsidR="004005AD" w:rsidRPr="008376FC">
        <w:rPr>
          <w:rFonts w:asciiTheme="majorHAnsi" w:eastAsia="Times New Roman" w:hAnsiTheme="majorHAnsi" w:cstheme="majorHAnsi"/>
          <w:color w:val="0070C0"/>
          <w:sz w:val="24"/>
          <w:szCs w:val="24"/>
        </w:rPr>
        <w:t xml:space="preserve">sanitație la </w:t>
      </w:r>
      <w:r w:rsidR="00222A05">
        <w:rPr>
          <w:rFonts w:asciiTheme="majorHAnsi" w:eastAsia="Times New Roman" w:hAnsiTheme="majorHAnsi" w:cstheme="majorHAnsi"/>
          <w:color w:val="0070C0"/>
          <w:sz w:val="24"/>
          <w:szCs w:val="24"/>
        </w:rPr>
        <w:t>majoritatea</w:t>
      </w:r>
      <w:r w:rsidR="004005AD" w:rsidRPr="008376FC">
        <w:rPr>
          <w:rFonts w:asciiTheme="majorHAnsi" w:eastAsia="Times New Roman" w:hAnsiTheme="majorHAnsi" w:cstheme="majorHAnsi"/>
          <w:color w:val="0070C0"/>
          <w:sz w:val="24"/>
          <w:szCs w:val="24"/>
        </w:rPr>
        <w:t xml:space="preserve"> operatori</w:t>
      </w:r>
      <w:r w:rsidR="00222A05">
        <w:rPr>
          <w:rFonts w:asciiTheme="majorHAnsi" w:eastAsia="Times New Roman" w:hAnsiTheme="majorHAnsi" w:cstheme="majorHAnsi"/>
          <w:color w:val="0070C0"/>
          <w:sz w:val="24"/>
          <w:szCs w:val="24"/>
        </w:rPr>
        <w:t>lor</w:t>
      </w:r>
      <w:r w:rsidR="004005AD" w:rsidRPr="008376FC">
        <w:rPr>
          <w:rFonts w:asciiTheme="majorHAnsi" w:eastAsia="Times New Roman" w:hAnsiTheme="majorHAnsi" w:cstheme="majorHAnsi"/>
          <w:color w:val="0070C0"/>
          <w:sz w:val="24"/>
          <w:szCs w:val="24"/>
        </w:rPr>
        <w:t xml:space="preserve"> nu au fost modificate pe parcursul mai multor ani, ceea ce a dus la cumularea pierderilor de către întreprinderile gestionare a infrastructurii de apeduct și canalizare</w:t>
      </w:r>
      <w:r w:rsidR="00222A05">
        <w:rPr>
          <w:rFonts w:asciiTheme="majorHAnsi" w:eastAsia="Times New Roman" w:hAnsiTheme="majorHAnsi" w:cstheme="majorHAnsi"/>
          <w:color w:val="0070C0"/>
          <w:sz w:val="24"/>
          <w:szCs w:val="24"/>
        </w:rPr>
        <w:t>.</w:t>
      </w:r>
    </w:p>
    <w:p w:rsidR="004005AD" w:rsidRPr="008376FC" w:rsidRDefault="004005AD" w:rsidP="00F61756">
      <w:pPr>
        <w:widowControl w:val="0"/>
        <w:autoSpaceDE w:val="0"/>
        <w:autoSpaceDN w:val="0"/>
        <w:spacing w:after="0" w:line="276" w:lineRule="auto"/>
        <w:jc w:val="both"/>
        <w:rPr>
          <w:rFonts w:asciiTheme="majorHAnsi" w:eastAsia="Times New Roman" w:hAnsiTheme="majorHAnsi" w:cstheme="majorHAnsi"/>
          <w:b w:val="0"/>
          <w:bCs w:val="0"/>
          <w:spacing w:val="-2"/>
          <w:sz w:val="24"/>
          <w:szCs w:val="24"/>
        </w:rPr>
      </w:pPr>
      <w:r w:rsidRPr="008376FC">
        <w:rPr>
          <w:rFonts w:asciiTheme="majorHAnsi" w:eastAsia="Times New Roman" w:hAnsiTheme="majorHAnsi" w:cstheme="majorHAnsi"/>
          <w:b w:val="0"/>
          <w:bCs w:val="0"/>
          <w:sz w:val="24"/>
          <w:szCs w:val="24"/>
        </w:rPr>
        <w:t>Mărimea tarifelor pentru servicii</w:t>
      </w:r>
      <w:r w:rsidR="00222A05">
        <w:rPr>
          <w:rFonts w:asciiTheme="majorHAnsi" w:eastAsia="Times New Roman" w:hAnsiTheme="majorHAnsi" w:cstheme="majorHAnsi"/>
          <w:b w:val="0"/>
          <w:bCs w:val="0"/>
          <w:sz w:val="24"/>
          <w:szCs w:val="24"/>
        </w:rPr>
        <w:t>le</w:t>
      </w:r>
      <w:r w:rsidRPr="008376FC">
        <w:rPr>
          <w:rFonts w:asciiTheme="majorHAnsi" w:eastAsia="Times New Roman" w:hAnsiTheme="majorHAnsi" w:cstheme="majorHAnsi"/>
          <w:b w:val="0"/>
          <w:bCs w:val="0"/>
          <w:sz w:val="24"/>
          <w:szCs w:val="24"/>
        </w:rPr>
        <w:t xml:space="preserve"> de aprovizioare cu apă şi pentru servicii</w:t>
      </w:r>
      <w:r w:rsidR="00222A05">
        <w:rPr>
          <w:rFonts w:asciiTheme="majorHAnsi" w:eastAsia="Times New Roman" w:hAnsiTheme="majorHAnsi" w:cstheme="majorHAnsi"/>
          <w:b w:val="0"/>
          <w:bCs w:val="0"/>
          <w:sz w:val="24"/>
          <w:szCs w:val="24"/>
        </w:rPr>
        <w:t>le</w:t>
      </w:r>
      <w:r w:rsidRPr="008376FC">
        <w:rPr>
          <w:rFonts w:asciiTheme="majorHAnsi" w:eastAsia="Times New Roman" w:hAnsiTheme="majorHAnsi" w:cstheme="majorHAnsi"/>
          <w:b w:val="0"/>
          <w:bCs w:val="0"/>
          <w:sz w:val="24"/>
          <w:szCs w:val="24"/>
        </w:rPr>
        <w:t xml:space="preserve"> de canalizare şi</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epurare se calculează în conformitate cu Hotărârea Agenției Naționale pentru Reglementare în Energetică (ANRE)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nr.489</w:t>
      </w:r>
      <w:r w:rsidRPr="008376FC">
        <w:rPr>
          <w:rFonts w:asciiTheme="majorHAnsi" w:eastAsia="Times New Roman" w:hAnsiTheme="majorHAnsi" w:cstheme="majorHAnsi"/>
          <w:b w:val="0"/>
          <w:bCs w:val="0"/>
          <w:spacing w:val="49"/>
          <w:sz w:val="24"/>
          <w:szCs w:val="24"/>
        </w:rPr>
        <w:t xml:space="preserve"> </w:t>
      </w:r>
      <w:r w:rsidRPr="008376FC">
        <w:rPr>
          <w:rFonts w:asciiTheme="majorHAnsi" w:eastAsia="Times New Roman" w:hAnsiTheme="majorHAnsi" w:cstheme="majorHAnsi"/>
          <w:b w:val="0"/>
          <w:bCs w:val="0"/>
          <w:sz w:val="24"/>
          <w:szCs w:val="24"/>
        </w:rPr>
        <w:t>din</w:t>
      </w:r>
      <w:r w:rsidRPr="008376FC">
        <w:rPr>
          <w:rFonts w:asciiTheme="majorHAnsi" w:eastAsia="Times New Roman" w:hAnsiTheme="majorHAnsi" w:cstheme="majorHAnsi"/>
          <w:b w:val="0"/>
          <w:bCs w:val="0"/>
          <w:spacing w:val="49"/>
          <w:sz w:val="24"/>
          <w:szCs w:val="24"/>
        </w:rPr>
        <w:t xml:space="preserve"> </w:t>
      </w:r>
      <w:r w:rsidRPr="008376FC">
        <w:rPr>
          <w:rFonts w:asciiTheme="majorHAnsi" w:eastAsia="Times New Roman" w:hAnsiTheme="majorHAnsi" w:cstheme="majorHAnsi"/>
          <w:b w:val="0"/>
          <w:bCs w:val="0"/>
          <w:sz w:val="24"/>
          <w:szCs w:val="24"/>
        </w:rPr>
        <w:t>20.12.2019</w:t>
      </w:r>
      <w:r w:rsidRPr="008376FC">
        <w:rPr>
          <w:rFonts w:asciiTheme="majorHAnsi" w:eastAsia="Times New Roman" w:hAnsiTheme="majorHAnsi" w:cstheme="majorHAnsi"/>
          <w:b w:val="0"/>
          <w:bCs w:val="0"/>
          <w:spacing w:val="49"/>
          <w:sz w:val="24"/>
          <w:szCs w:val="24"/>
        </w:rPr>
        <w:t xml:space="preserve"> </w:t>
      </w:r>
      <w:r w:rsidRPr="008376FC">
        <w:rPr>
          <w:rFonts w:asciiTheme="majorHAnsi" w:eastAsia="Times New Roman" w:hAnsiTheme="majorHAnsi" w:cstheme="majorHAnsi"/>
          <w:b w:val="0"/>
          <w:bCs w:val="0"/>
          <w:sz w:val="24"/>
          <w:szCs w:val="24"/>
        </w:rPr>
        <w:t>privind</w:t>
      </w:r>
      <w:r w:rsidRPr="008376FC">
        <w:rPr>
          <w:rFonts w:asciiTheme="majorHAnsi" w:eastAsia="Times New Roman" w:hAnsiTheme="majorHAnsi" w:cstheme="majorHAnsi"/>
          <w:b w:val="0"/>
          <w:bCs w:val="0"/>
          <w:spacing w:val="49"/>
          <w:sz w:val="24"/>
          <w:szCs w:val="24"/>
        </w:rPr>
        <w:t xml:space="preserve"> </w:t>
      </w:r>
      <w:r w:rsidRPr="008376FC">
        <w:rPr>
          <w:rFonts w:asciiTheme="majorHAnsi" w:eastAsia="Times New Roman" w:hAnsiTheme="majorHAnsi" w:cstheme="majorHAnsi"/>
          <w:b w:val="0"/>
          <w:bCs w:val="0"/>
          <w:sz w:val="24"/>
          <w:szCs w:val="24"/>
        </w:rPr>
        <w:t>„Metodologia</w:t>
      </w:r>
      <w:r w:rsidRPr="008376FC">
        <w:rPr>
          <w:rFonts w:asciiTheme="majorHAnsi" w:eastAsia="Times New Roman" w:hAnsiTheme="majorHAnsi" w:cstheme="majorHAnsi"/>
          <w:b w:val="0"/>
          <w:bCs w:val="0"/>
          <w:spacing w:val="48"/>
          <w:sz w:val="24"/>
          <w:szCs w:val="24"/>
        </w:rPr>
        <w:t xml:space="preserve"> </w:t>
      </w:r>
      <w:r w:rsidRPr="008376FC">
        <w:rPr>
          <w:rFonts w:asciiTheme="majorHAnsi" w:eastAsia="Times New Roman" w:hAnsiTheme="majorHAnsi" w:cstheme="majorHAnsi"/>
          <w:b w:val="0"/>
          <w:bCs w:val="0"/>
          <w:sz w:val="24"/>
          <w:szCs w:val="24"/>
        </w:rPr>
        <w:t>de</w:t>
      </w:r>
      <w:r w:rsidRPr="008376FC">
        <w:rPr>
          <w:rFonts w:asciiTheme="majorHAnsi" w:eastAsia="Times New Roman" w:hAnsiTheme="majorHAnsi" w:cstheme="majorHAnsi"/>
          <w:b w:val="0"/>
          <w:bCs w:val="0"/>
          <w:spacing w:val="48"/>
          <w:sz w:val="24"/>
          <w:szCs w:val="24"/>
        </w:rPr>
        <w:t xml:space="preserve"> </w:t>
      </w:r>
      <w:r w:rsidRPr="008376FC">
        <w:rPr>
          <w:rFonts w:asciiTheme="majorHAnsi" w:eastAsia="Times New Roman" w:hAnsiTheme="majorHAnsi" w:cstheme="majorHAnsi"/>
          <w:b w:val="0"/>
          <w:bCs w:val="0"/>
          <w:sz w:val="24"/>
          <w:szCs w:val="24"/>
        </w:rPr>
        <w:t>determinare,</w:t>
      </w:r>
      <w:r w:rsidRPr="008376FC">
        <w:rPr>
          <w:rFonts w:asciiTheme="majorHAnsi" w:eastAsia="Times New Roman" w:hAnsiTheme="majorHAnsi" w:cstheme="majorHAnsi"/>
          <w:b w:val="0"/>
          <w:bCs w:val="0"/>
          <w:spacing w:val="51"/>
          <w:sz w:val="24"/>
          <w:szCs w:val="24"/>
        </w:rPr>
        <w:t xml:space="preserve"> </w:t>
      </w:r>
      <w:r w:rsidRPr="008376FC">
        <w:rPr>
          <w:rFonts w:asciiTheme="majorHAnsi" w:eastAsia="Times New Roman" w:hAnsiTheme="majorHAnsi" w:cstheme="majorHAnsi"/>
          <w:b w:val="0"/>
          <w:bCs w:val="0"/>
          <w:sz w:val="24"/>
          <w:szCs w:val="24"/>
        </w:rPr>
        <w:t>aprobare</w:t>
      </w:r>
      <w:r w:rsidRPr="008376FC">
        <w:rPr>
          <w:rFonts w:asciiTheme="majorHAnsi" w:eastAsia="Times New Roman" w:hAnsiTheme="majorHAnsi" w:cstheme="majorHAnsi"/>
          <w:b w:val="0"/>
          <w:bCs w:val="0"/>
          <w:spacing w:val="47"/>
          <w:sz w:val="24"/>
          <w:szCs w:val="24"/>
        </w:rPr>
        <w:t xml:space="preserve"> </w:t>
      </w:r>
      <w:r w:rsidRPr="008376FC">
        <w:rPr>
          <w:rFonts w:asciiTheme="majorHAnsi" w:eastAsia="Times New Roman" w:hAnsiTheme="majorHAnsi" w:cstheme="majorHAnsi"/>
          <w:b w:val="0"/>
          <w:bCs w:val="0"/>
          <w:sz w:val="24"/>
          <w:szCs w:val="24"/>
        </w:rPr>
        <w:t>şi</w:t>
      </w:r>
      <w:r w:rsidRPr="008376FC">
        <w:rPr>
          <w:rFonts w:asciiTheme="majorHAnsi" w:eastAsia="Times New Roman" w:hAnsiTheme="majorHAnsi" w:cstheme="majorHAnsi"/>
          <w:b w:val="0"/>
          <w:bCs w:val="0"/>
          <w:spacing w:val="50"/>
          <w:sz w:val="24"/>
          <w:szCs w:val="24"/>
        </w:rPr>
        <w:t xml:space="preserve"> </w:t>
      </w:r>
      <w:r w:rsidRPr="008376FC">
        <w:rPr>
          <w:rFonts w:asciiTheme="majorHAnsi" w:eastAsia="Times New Roman" w:hAnsiTheme="majorHAnsi" w:cstheme="majorHAnsi"/>
          <w:b w:val="0"/>
          <w:bCs w:val="0"/>
          <w:sz w:val="24"/>
          <w:szCs w:val="24"/>
        </w:rPr>
        <w:t>aplicare</w:t>
      </w:r>
      <w:r w:rsidRPr="008376FC">
        <w:rPr>
          <w:rFonts w:asciiTheme="majorHAnsi" w:eastAsia="Times New Roman" w:hAnsiTheme="majorHAnsi" w:cstheme="majorHAnsi"/>
          <w:b w:val="0"/>
          <w:bCs w:val="0"/>
          <w:spacing w:val="49"/>
          <w:sz w:val="24"/>
          <w:szCs w:val="24"/>
        </w:rPr>
        <w:t xml:space="preserve"> </w:t>
      </w:r>
      <w:r w:rsidRPr="008376FC">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pacing w:val="48"/>
          <w:sz w:val="24"/>
          <w:szCs w:val="24"/>
        </w:rPr>
        <w:t xml:space="preserve"> </w:t>
      </w:r>
      <w:r w:rsidRPr="003D5A83">
        <w:rPr>
          <w:rFonts w:asciiTheme="majorHAnsi" w:eastAsia="Times New Roman" w:hAnsiTheme="majorHAnsi" w:cstheme="majorHAnsi"/>
          <w:b w:val="0"/>
          <w:bCs w:val="0"/>
          <w:sz w:val="24"/>
          <w:szCs w:val="24"/>
        </w:rPr>
        <w:t>tarifelor</w:t>
      </w:r>
      <w:r w:rsidR="003D5A83" w:rsidRPr="003D5A83">
        <w:rPr>
          <w:rFonts w:asciiTheme="majorHAnsi" w:eastAsia="Times New Roman" w:hAnsiTheme="majorHAnsi" w:cstheme="majorHAnsi"/>
          <w:b w:val="0"/>
          <w:bCs w:val="0"/>
          <w:sz w:val="24"/>
          <w:szCs w:val="24"/>
        </w:rPr>
        <w:t xml:space="preserve"> </w:t>
      </w:r>
      <w:r w:rsidRPr="003D5A83">
        <w:rPr>
          <w:rFonts w:asciiTheme="majorHAnsi" w:eastAsia="Times New Roman" w:hAnsiTheme="majorHAnsi" w:cstheme="majorHAnsi"/>
          <w:b w:val="0"/>
          <w:bCs w:val="0"/>
          <w:spacing w:val="-58"/>
          <w:sz w:val="24"/>
          <w:szCs w:val="24"/>
        </w:rPr>
        <w:t xml:space="preserve"> </w:t>
      </w:r>
      <w:r w:rsidR="00222A05" w:rsidRPr="003D5A83">
        <w:rPr>
          <w:rFonts w:asciiTheme="majorHAnsi" w:eastAsia="Times New Roman" w:hAnsiTheme="majorHAnsi" w:cstheme="majorHAnsi"/>
          <w:b w:val="0"/>
          <w:bCs w:val="0"/>
          <w:spacing w:val="-58"/>
          <w:sz w:val="24"/>
          <w:szCs w:val="24"/>
        </w:rPr>
        <w:t xml:space="preserve">                                </w:t>
      </w:r>
      <w:r w:rsidRPr="003D5A83">
        <w:rPr>
          <w:rFonts w:asciiTheme="majorHAnsi" w:eastAsia="Times New Roman" w:hAnsiTheme="majorHAnsi" w:cstheme="majorHAnsi"/>
          <w:b w:val="0"/>
          <w:bCs w:val="0"/>
          <w:sz w:val="24"/>
          <w:szCs w:val="24"/>
        </w:rPr>
        <w:t>pentru</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serviciul public</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de alimentare</w:t>
      </w:r>
      <w:r w:rsidRPr="008376FC">
        <w:rPr>
          <w:rFonts w:asciiTheme="majorHAnsi" w:eastAsia="Times New Roman" w:hAnsiTheme="majorHAnsi" w:cstheme="majorHAnsi"/>
          <w:b w:val="0"/>
          <w:bCs w:val="0"/>
          <w:spacing w:val="-2"/>
          <w:sz w:val="24"/>
          <w:szCs w:val="24"/>
        </w:rPr>
        <w:t xml:space="preserve"> </w:t>
      </w:r>
      <w:r w:rsidRPr="008376FC">
        <w:rPr>
          <w:rFonts w:asciiTheme="majorHAnsi" w:eastAsia="Times New Roman" w:hAnsiTheme="majorHAnsi" w:cstheme="majorHAnsi"/>
          <w:b w:val="0"/>
          <w:bCs w:val="0"/>
          <w:sz w:val="24"/>
          <w:szCs w:val="24"/>
        </w:rPr>
        <w:t>cu</w:t>
      </w:r>
      <w:r w:rsidRPr="008376FC">
        <w:rPr>
          <w:rFonts w:asciiTheme="majorHAnsi" w:eastAsia="Times New Roman" w:hAnsiTheme="majorHAnsi" w:cstheme="majorHAnsi"/>
          <w:b w:val="0"/>
          <w:bCs w:val="0"/>
          <w:spacing w:val="2"/>
          <w:sz w:val="24"/>
          <w:szCs w:val="24"/>
        </w:rPr>
        <w:t xml:space="preserve"> </w:t>
      </w:r>
      <w:r w:rsidRPr="008376FC">
        <w:rPr>
          <w:rFonts w:asciiTheme="majorHAnsi" w:eastAsia="Times New Roman" w:hAnsiTheme="majorHAnsi" w:cstheme="majorHAnsi"/>
          <w:b w:val="0"/>
          <w:bCs w:val="0"/>
          <w:sz w:val="24"/>
          <w:szCs w:val="24"/>
        </w:rPr>
        <w:t>apă, de</w:t>
      </w:r>
      <w:r w:rsidRPr="008376FC">
        <w:rPr>
          <w:rFonts w:asciiTheme="majorHAnsi" w:eastAsia="Times New Roman" w:hAnsiTheme="majorHAnsi" w:cstheme="majorHAnsi"/>
          <w:b w:val="0"/>
          <w:bCs w:val="0"/>
          <w:spacing w:val="-2"/>
          <w:sz w:val="24"/>
          <w:szCs w:val="24"/>
        </w:rPr>
        <w:t xml:space="preserve"> </w:t>
      </w:r>
      <w:r w:rsidRPr="008376FC">
        <w:rPr>
          <w:rFonts w:asciiTheme="majorHAnsi" w:eastAsia="Times New Roman" w:hAnsiTheme="majorHAnsi" w:cstheme="majorHAnsi"/>
          <w:b w:val="0"/>
          <w:bCs w:val="0"/>
          <w:sz w:val="24"/>
          <w:szCs w:val="24"/>
        </w:rPr>
        <w:t>canalizare</w:t>
      </w:r>
      <w:r w:rsidRPr="008376FC">
        <w:rPr>
          <w:rFonts w:asciiTheme="majorHAnsi" w:eastAsia="Times New Roman" w:hAnsiTheme="majorHAnsi" w:cstheme="majorHAnsi"/>
          <w:b w:val="0"/>
          <w:bCs w:val="0"/>
          <w:spacing w:val="-2"/>
          <w:sz w:val="24"/>
          <w:szCs w:val="24"/>
        </w:rPr>
        <w:t xml:space="preserve"> </w:t>
      </w:r>
      <w:r w:rsidRPr="008376FC">
        <w:rPr>
          <w:rFonts w:asciiTheme="majorHAnsi" w:eastAsia="Times New Roman" w:hAnsiTheme="majorHAnsi" w:cstheme="majorHAnsi"/>
          <w:b w:val="0"/>
          <w:bCs w:val="0"/>
          <w:sz w:val="24"/>
          <w:szCs w:val="24"/>
        </w:rPr>
        <w:t>şi</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epurare</w:t>
      </w:r>
      <w:r w:rsidRPr="008376FC">
        <w:rPr>
          <w:rFonts w:asciiTheme="majorHAnsi" w:eastAsia="Times New Roman" w:hAnsiTheme="majorHAnsi" w:cstheme="majorHAnsi"/>
          <w:b w:val="0"/>
          <w:bCs w:val="0"/>
          <w:spacing w:val="-2"/>
          <w:sz w:val="24"/>
          <w:szCs w:val="24"/>
        </w:rPr>
        <w:t xml:space="preserve"> </w:t>
      </w:r>
      <w:r w:rsidRPr="008376FC">
        <w:rPr>
          <w:rFonts w:asciiTheme="majorHAnsi" w:eastAsia="Times New Roman" w:hAnsiTheme="majorHAnsi" w:cstheme="majorHAnsi"/>
          <w:b w:val="0"/>
          <w:bCs w:val="0"/>
          <w:sz w:val="24"/>
          <w:szCs w:val="24"/>
        </w:rPr>
        <w:t>a apelor uzate”</w:t>
      </w:r>
      <w:r w:rsidRPr="008376FC">
        <w:rPr>
          <w:rFonts w:asciiTheme="majorHAnsi" w:eastAsia="Times New Roman" w:hAnsiTheme="majorHAnsi" w:cstheme="majorHAnsi"/>
          <w:b w:val="0"/>
          <w:bCs w:val="0"/>
          <w:spacing w:val="-2"/>
          <w:sz w:val="24"/>
          <w:szCs w:val="24"/>
        </w:rPr>
        <w:t>.</w:t>
      </w:r>
    </w:p>
    <w:p w:rsidR="004005AD" w:rsidRPr="008376FC" w:rsidRDefault="004005AD" w:rsidP="00F61756">
      <w:pPr>
        <w:widowControl w:val="0"/>
        <w:autoSpaceDE w:val="0"/>
        <w:autoSpaceDN w:val="0"/>
        <w:spacing w:after="0" w:line="276" w:lineRule="auto"/>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pacing w:val="-2"/>
          <w:sz w:val="24"/>
          <w:szCs w:val="24"/>
        </w:rPr>
        <w:t>Analiza mărimii tarifelor în dinamică</w:t>
      </w:r>
      <w:r w:rsidRPr="008376FC">
        <w:rPr>
          <w:rFonts w:asciiTheme="majorHAnsi" w:eastAsia="Times New Roman" w:hAnsiTheme="majorHAnsi" w:cstheme="majorHAnsi"/>
          <w:b w:val="0"/>
          <w:bCs w:val="0"/>
          <w:sz w:val="24"/>
          <w:szCs w:val="24"/>
        </w:rPr>
        <w:t xml:space="preserve"> pentru perioada 2014-2022</w:t>
      </w:r>
      <w:r w:rsidRPr="008376FC">
        <w:rPr>
          <w:rFonts w:asciiTheme="majorHAnsi" w:eastAsia="Times New Roman" w:hAnsiTheme="majorHAnsi" w:cstheme="majorHAnsi"/>
          <w:b w:val="0"/>
          <w:bCs w:val="0"/>
          <w:spacing w:val="-2"/>
          <w:sz w:val="24"/>
          <w:szCs w:val="24"/>
        </w:rPr>
        <w:t xml:space="preserve">, a </w:t>
      </w:r>
      <w:r w:rsidR="00222A05">
        <w:rPr>
          <w:rFonts w:asciiTheme="majorHAnsi" w:eastAsia="Times New Roman" w:hAnsiTheme="majorHAnsi" w:cstheme="majorHAnsi"/>
          <w:b w:val="0"/>
          <w:bCs w:val="0"/>
          <w:spacing w:val="-2"/>
          <w:sz w:val="24"/>
          <w:szCs w:val="24"/>
        </w:rPr>
        <w:t>stabilit</w:t>
      </w:r>
      <w:r w:rsidR="00222A05" w:rsidRPr="008376FC">
        <w:rPr>
          <w:rFonts w:asciiTheme="majorHAnsi" w:eastAsia="Times New Roman" w:hAnsiTheme="majorHAnsi" w:cstheme="majorHAnsi"/>
          <w:b w:val="0"/>
          <w:bCs w:val="0"/>
          <w:spacing w:val="-2"/>
          <w:sz w:val="24"/>
          <w:szCs w:val="24"/>
        </w:rPr>
        <w:t xml:space="preserve"> </w:t>
      </w:r>
      <w:r w:rsidRPr="008376FC">
        <w:rPr>
          <w:rFonts w:asciiTheme="majorHAnsi" w:eastAsia="Times New Roman" w:hAnsiTheme="majorHAnsi" w:cstheme="majorHAnsi"/>
          <w:b w:val="0"/>
          <w:bCs w:val="0"/>
          <w:spacing w:val="-2"/>
          <w:sz w:val="24"/>
          <w:szCs w:val="24"/>
        </w:rPr>
        <w:t xml:space="preserve">că, la unele întreprinderi tarifele </w:t>
      </w:r>
      <w:r w:rsidRPr="008376FC">
        <w:rPr>
          <w:rFonts w:asciiTheme="majorHAnsi" w:eastAsia="Times New Roman" w:hAnsiTheme="majorHAnsi" w:cstheme="majorHAnsi"/>
          <w:b w:val="0"/>
          <w:bCs w:val="0"/>
          <w:sz w:val="24"/>
          <w:szCs w:val="24"/>
        </w:rPr>
        <w:t xml:space="preserve">sunt constante pe parcursul mai multor ani, </w:t>
      </w:r>
      <w:r w:rsidR="00222A05">
        <w:rPr>
          <w:rFonts w:asciiTheme="majorHAnsi" w:eastAsia="Times New Roman" w:hAnsiTheme="majorHAnsi" w:cstheme="majorHAnsi"/>
          <w:b w:val="0"/>
          <w:bCs w:val="0"/>
          <w:sz w:val="24"/>
          <w:szCs w:val="24"/>
        </w:rPr>
        <w:t xml:space="preserve">iar </w:t>
      </w:r>
      <w:r w:rsidRPr="008376FC">
        <w:rPr>
          <w:rFonts w:asciiTheme="majorHAnsi" w:eastAsia="Times New Roman" w:hAnsiTheme="majorHAnsi" w:cstheme="majorHAnsi"/>
          <w:b w:val="0"/>
          <w:bCs w:val="0"/>
          <w:sz w:val="24"/>
          <w:szCs w:val="24"/>
        </w:rPr>
        <w:t xml:space="preserve">altă parte de întreprinderi le-au ajustat periodic sau doar în anul 2022. </w:t>
      </w:r>
      <w:r w:rsidR="00B21CCB" w:rsidRPr="008376FC">
        <w:rPr>
          <w:rFonts w:asciiTheme="majorHAnsi" w:eastAsia="Times New Roman" w:hAnsiTheme="majorHAnsi" w:cstheme="majorHAnsi"/>
          <w:b w:val="0"/>
          <w:bCs w:val="0"/>
          <w:sz w:val="24"/>
          <w:szCs w:val="24"/>
        </w:rPr>
        <w:t>Sin</w:t>
      </w:r>
      <w:r w:rsidR="00222A05">
        <w:rPr>
          <w:rFonts w:asciiTheme="majorHAnsi" w:eastAsia="Times New Roman" w:hAnsiTheme="majorHAnsi" w:cstheme="majorHAnsi"/>
          <w:b w:val="0"/>
          <w:bCs w:val="0"/>
          <w:sz w:val="24"/>
          <w:szCs w:val="24"/>
        </w:rPr>
        <w:t>t</w:t>
      </w:r>
      <w:r w:rsidR="00B21CCB" w:rsidRPr="008376FC">
        <w:rPr>
          <w:rFonts w:asciiTheme="majorHAnsi" w:eastAsia="Times New Roman" w:hAnsiTheme="majorHAnsi" w:cstheme="majorHAnsi"/>
          <w:b w:val="0"/>
          <w:bCs w:val="0"/>
          <w:sz w:val="24"/>
          <w:szCs w:val="24"/>
        </w:rPr>
        <w:t xml:space="preserve">eza se prezintă în Anexa nr. 10 la prezentul Raport de audit. </w:t>
      </w:r>
    </w:p>
    <w:p w:rsidR="004005AD" w:rsidRPr="008376FC" w:rsidRDefault="004005AD"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Datele din </w:t>
      </w:r>
      <w:r w:rsidR="003D5A83" w:rsidRPr="003D5A83">
        <w:rPr>
          <w:rFonts w:asciiTheme="majorHAnsi" w:eastAsia="Times New Roman" w:hAnsiTheme="majorHAnsi" w:cstheme="majorHAnsi"/>
          <w:b w:val="0"/>
          <w:bCs w:val="0"/>
          <w:sz w:val="24"/>
          <w:szCs w:val="24"/>
        </w:rPr>
        <w:t xml:space="preserve">Anexa nr.11 </w:t>
      </w:r>
      <w:r w:rsidRPr="003D5A83">
        <w:rPr>
          <w:rFonts w:asciiTheme="majorHAnsi" w:eastAsia="Times New Roman" w:hAnsiTheme="majorHAnsi" w:cstheme="majorHAnsi"/>
          <w:b w:val="0"/>
          <w:bCs w:val="0"/>
          <w:sz w:val="24"/>
          <w:szCs w:val="24"/>
        </w:rPr>
        <w:t>atestă</w:t>
      </w:r>
      <w:r w:rsidR="00222A05">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sz w:val="24"/>
          <w:szCs w:val="24"/>
        </w:rPr>
        <w:t xml:space="preserve"> că</w:t>
      </w:r>
      <w:r w:rsidR="00222A05">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din 15 operatori</w:t>
      </w:r>
      <w:r w:rsidR="007F211B">
        <w:rPr>
          <w:rFonts w:asciiTheme="majorHAnsi" w:eastAsia="Times New Roman" w:hAnsiTheme="majorHAnsi" w:cstheme="majorHAnsi"/>
          <w:b w:val="0"/>
          <w:bCs w:val="0"/>
          <w:sz w:val="24"/>
          <w:szCs w:val="24"/>
        </w:rPr>
        <w:t xml:space="preserve"> analizați</w:t>
      </w:r>
      <w:r w:rsidRPr="008376FC">
        <w:rPr>
          <w:rFonts w:asciiTheme="majorHAnsi" w:eastAsia="Times New Roman" w:hAnsiTheme="majorHAnsi" w:cstheme="majorHAnsi"/>
          <w:b w:val="0"/>
          <w:bCs w:val="0"/>
          <w:sz w:val="24"/>
          <w:szCs w:val="24"/>
        </w:rPr>
        <w:t>, la 2 operatori (Telenești şi Dondușeni) tarifele rămân nemodificate pe parcursul a 9 ani</w:t>
      </w:r>
      <w:r w:rsidR="00222A05">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w:t>
      </w:r>
      <w:r w:rsidR="00222A05">
        <w:rPr>
          <w:rFonts w:asciiTheme="majorHAnsi" w:eastAsia="Times New Roman" w:hAnsiTheme="majorHAnsi" w:cstheme="majorHAnsi"/>
          <w:b w:val="0"/>
          <w:bCs w:val="0"/>
          <w:sz w:val="24"/>
          <w:szCs w:val="24"/>
        </w:rPr>
        <w:t>D</w:t>
      </w:r>
      <w:r w:rsidRPr="008376FC">
        <w:rPr>
          <w:rFonts w:asciiTheme="majorHAnsi" w:eastAsia="Times New Roman" w:hAnsiTheme="majorHAnsi" w:cstheme="majorHAnsi"/>
          <w:b w:val="0"/>
          <w:bCs w:val="0"/>
          <w:sz w:val="24"/>
          <w:szCs w:val="24"/>
        </w:rPr>
        <w:t>e menționat că operatorul din Dondușeni nici nu a depus la ANRE solicitări de revizuire a tarifului, iar operatorul din Teleneşti, deşi a depus asemenea solicitări şi au fost emise în anii 2017 şi 2019 Hotărârile ANRE</w:t>
      </w:r>
      <w:r w:rsidRPr="008376FC">
        <w:rPr>
          <w:rFonts w:asciiTheme="majorHAnsi" w:eastAsia="Times New Roman" w:hAnsiTheme="majorHAnsi" w:cstheme="majorHAnsi"/>
          <w:b w:val="0"/>
          <w:bCs w:val="0"/>
          <w:sz w:val="24"/>
          <w:szCs w:val="24"/>
          <w:vertAlign w:val="superscript"/>
        </w:rPr>
        <w:footnoteReference w:id="119"/>
      </w:r>
      <w:r w:rsidRPr="008376FC">
        <w:rPr>
          <w:rFonts w:asciiTheme="majorHAnsi" w:eastAsia="Times New Roman" w:hAnsiTheme="majorHAnsi" w:cstheme="majorHAnsi"/>
          <w:b w:val="0"/>
          <w:bCs w:val="0"/>
          <w:sz w:val="24"/>
          <w:szCs w:val="24"/>
        </w:rPr>
        <w:t xml:space="preserve"> privind avizarea tarifelor, acestea nu au fost aprobate de Consiliul local. La alți operatori, acestea periodic au fost modificate, la Șoldănești, și Soroca abia în 2022, iar în Chișinău </w:t>
      </w:r>
      <w:r w:rsidR="00222A05">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din anul 2016 </w:t>
      </w:r>
      <w:r w:rsidR="00222A05">
        <w:rPr>
          <w:rFonts w:asciiTheme="majorHAnsi" w:eastAsia="Times New Roman" w:hAnsiTheme="majorHAnsi" w:cstheme="majorHAnsi"/>
          <w:b w:val="0"/>
          <w:bCs w:val="0"/>
          <w:sz w:val="24"/>
          <w:szCs w:val="24"/>
        </w:rPr>
        <w:t xml:space="preserve">acestea </w:t>
      </w:r>
      <w:r w:rsidRPr="008376FC">
        <w:rPr>
          <w:rFonts w:asciiTheme="majorHAnsi" w:eastAsia="Times New Roman" w:hAnsiTheme="majorHAnsi" w:cstheme="majorHAnsi"/>
          <w:b w:val="0"/>
          <w:bCs w:val="0"/>
          <w:sz w:val="24"/>
          <w:szCs w:val="24"/>
        </w:rPr>
        <w:t>nu au fost modificate</w:t>
      </w:r>
      <w:r w:rsidRPr="008376FC">
        <w:rPr>
          <w:rFonts w:asciiTheme="majorHAnsi" w:eastAsia="Times New Roman" w:hAnsiTheme="majorHAnsi" w:cstheme="majorHAnsi"/>
          <w:b w:val="0"/>
          <w:bCs w:val="0"/>
          <w:sz w:val="24"/>
          <w:szCs w:val="24"/>
          <w:vertAlign w:val="superscript"/>
        </w:rPr>
        <w:footnoteReference w:id="120"/>
      </w:r>
      <w:r w:rsidRPr="008376FC">
        <w:rPr>
          <w:rFonts w:asciiTheme="majorHAnsi" w:eastAsia="Times New Roman" w:hAnsiTheme="majorHAnsi" w:cstheme="majorHAnsi"/>
          <w:b w:val="0"/>
          <w:bCs w:val="0"/>
          <w:sz w:val="24"/>
          <w:szCs w:val="24"/>
        </w:rPr>
        <w:t xml:space="preserve">. </w:t>
      </w:r>
    </w:p>
    <w:p w:rsidR="004005AD" w:rsidRPr="008376FC" w:rsidRDefault="004005AD"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Ca urmare a neajustării la timp a tarifelor pentru serviciile de alimentare </w:t>
      </w:r>
      <w:r w:rsidR="00222A05">
        <w:rPr>
          <w:rFonts w:asciiTheme="majorHAnsi" w:eastAsia="Times New Roman" w:hAnsiTheme="majorHAnsi" w:cstheme="majorHAnsi"/>
          <w:b w:val="0"/>
          <w:bCs w:val="0"/>
          <w:sz w:val="24"/>
          <w:szCs w:val="24"/>
        </w:rPr>
        <w:t>cu</w:t>
      </w:r>
      <w:r w:rsidRPr="008376FC">
        <w:rPr>
          <w:rFonts w:asciiTheme="majorHAnsi" w:eastAsia="Times New Roman" w:hAnsiTheme="majorHAnsi" w:cstheme="majorHAnsi"/>
          <w:b w:val="0"/>
          <w:bCs w:val="0"/>
          <w:sz w:val="24"/>
          <w:szCs w:val="24"/>
        </w:rPr>
        <w:t xml:space="preserve"> apă și </w:t>
      </w:r>
      <w:r w:rsidR="00222A05">
        <w:rPr>
          <w:rFonts w:asciiTheme="majorHAnsi" w:eastAsia="Times New Roman" w:hAnsiTheme="majorHAnsi" w:cstheme="majorHAnsi"/>
          <w:b w:val="0"/>
          <w:bCs w:val="0"/>
          <w:sz w:val="24"/>
          <w:szCs w:val="24"/>
        </w:rPr>
        <w:t>de</w:t>
      </w:r>
      <w:r w:rsidRPr="008376FC">
        <w:rPr>
          <w:rFonts w:asciiTheme="majorHAnsi" w:eastAsia="Times New Roman" w:hAnsiTheme="majorHAnsi" w:cstheme="majorHAnsi"/>
          <w:b w:val="0"/>
          <w:bCs w:val="0"/>
          <w:sz w:val="24"/>
          <w:szCs w:val="24"/>
        </w:rPr>
        <w:t xml:space="preserve"> canalizare, întreprinderile operatoare au acumulat pierderi semnificative, iar unele au intrat în insolvabilitate. </w:t>
      </w:r>
    </w:p>
    <w:p w:rsidR="004005AD" w:rsidRPr="008376FC" w:rsidRDefault="00222A05" w:rsidP="00F61756">
      <w:pPr>
        <w:pStyle w:val="a3"/>
        <w:widowControl w:val="0"/>
        <w:numPr>
          <w:ilvl w:val="2"/>
          <w:numId w:val="50"/>
        </w:numPr>
        <w:autoSpaceDE w:val="0"/>
        <w:autoSpaceDN w:val="0"/>
        <w:spacing w:before="120" w:line="276" w:lineRule="auto"/>
        <w:ind w:left="0" w:right="112" w:firstLine="0"/>
        <w:jc w:val="both"/>
        <w:rPr>
          <w:rFonts w:asciiTheme="majorHAnsi" w:hAnsiTheme="majorHAnsi" w:cstheme="majorHAnsi"/>
          <w:b/>
          <w:color w:val="0070C0"/>
          <w:lang w:val="en-US"/>
        </w:rPr>
      </w:pPr>
      <w:r>
        <w:rPr>
          <w:rFonts w:asciiTheme="majorHAnsi" w:hAnsiTheme="majorHAnsi" w:cstheme="majorHAnsi"/>
          <w:b/>
          <w:color w:val="0070C0"/>
          <w:lang w:val="en-US"/>
        </w:rPr>
        <w:t>O m</w:t>
      </w:r>
      <w:r w:rsidR="004005AD" w:rsidRPr="008376FC">
        <w:rPr>
          <w:rFonts w:asciiTheme="majorHAnsi" w:hAnsiTheme="majorHAnsi" w:cstheme="majorHAnsi"/>
          <w:b/>
          <w:color w:val="0070C0"/>
          <w:lang w:val="en-US"/>
        </w:rPr>
        <w:t xml:space="preserve">are parte din întreprinderile prestatoare de servicii de alimentare cu apă și </w:t>
      </w:r>
      <w:r>
        <w:rPr>
          <w:rFonts w:asciiTheme="majorHAnsi" w:hAnsiTheme="majorHAnsi" w:cstheme="majorHAnsi"/>
          <w:b/>
          <w:color w:val="0070C0"/>
          <w:lang w:val="en-US"/>
        </w:rPr>
        <w:t xml:space="preserve">de </w:t>
      </w:r>
      <w:r w:rsidR="004005AD" w:rsidRPr="008376FC">
        <w:rPr>
          <w:rFonts w:asciiTheme="majorHAnsi" w:hAnsiTheme="majorHAnsi" w:cstheme="majorHAnsi"/>
          <w:b/>
          <w:color w:val="0070C0"/>
          <w:lang w:val="en-US"/>
        </w:rPr>
        <w:t>canalizare înregistrează pierderi</w:t>
      </w:r>
      <w:r>
        <w:rPr>
          <w:rFonts w:asciiTheme="majorHAnsi" w:hAnsiTheme="majorHAnsi" w:cstheme="majorHAnsi"/>
          <w:b/>
          <w:color w:val="0070C0"/>
          <w:lang w:val="en-US"/>
        </w:rPr>
        <w:t xml:space="preserve"> </w:t>
      </w:r>
      <w:r w:rsidRPr="008376FC">
        <w:rPr>
          <w:rFonts w:asciiTheme="majorHAnsi" w:hAnsiTheme="majorHAnsi" w:cstheme="majorHAnsi"/>
          <w:b/>
          <w:color w:val="0070C0"/>
          <w:lang w:val="en-US"/>
        </w:rPr>
        <w:t>pe parcursul mai multor ani</w:t>
      </w:r>
      <w:r>
        <w:rPr>
          <w:rFonts w:asciiTheme="majorHAnsi" w:hAnsiTheme="majorHAnsi" w:cstheme="majorHAnsi"/>
          <w:b/>
          <w:color w:val="0070C0"/>
          <w:lang w:val="en-US"/>
        </w:rPr>
        <w:t>.</w:t>
      </w:r>
      <w:r w:rsidR="004005AD" w:rsidRPr="008376FC">
        <w:rPr>
          <w:rFonts w:asciiTheme="majorHAnsi" w:hAnsiTheme="majorHAnsi" w:cstheme="majorHAnsi"/>
          <w:b/>
          <w:color w:val="0070C0"/>
          <w:lang w:val="en-US"/>
        </w:rPr>
        <w:t xml:space="preserve"> </w:t>
      </w:r>
    </w:p>
    <w:p w:rsidR="004005AD" w:rsidRPr="008376FC" w:rsidRDefault="004005AD"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Analiza situațiilor financiare a 36 de operatori a atestat că, încă în anul 2014, 27 de întreprinderi au înregistrat pierderi de 225,7 mil.lei. În anul 2021, numărul întreprinderilor care înregistrează pierderi a crescut până la 32, valoarea pierderilor acumulate fiind în creștere cu peste 5 ori, la finele anului 2021 constituind 1</w:t>
      </w:r>
      <w:r w:rsidR="00C32B01">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330,2 mil.lei. Situația se prezintă în Tabelul de mai jos.</w:t>
      </w:r>
    </w:p>
    <w:p w:rsidR="008C7E14" w:rsidRPr="008376FC" w:rsidRDefault="008C7E14" w:rsidP="007D322F">
      <w:pPr>
        <w:widowControl w:val="0"/>
        <w:autoSpaceDE w:val="0"/>
        <w:autoSpaceDN w:val="0"/>
        <w:spacing w:after="0" w:line="276" w:lineRule="auto"/>
        <w:ind w:left="212" w:right="112" w:firstLine="708"/>
        <w:jc w:val="right"/>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Tabelul nr.2</w:t>
      </w:r>
      <w:r w:rsidR="00D878BA" w:rsidRPr="008376FC">
        <w:rPr>
          <w:rFonts w:asciiTheme="majorHAnsi" w:eastAsia="Times New Roman" w:hAnsiTheme="majorHAnsi" w:cstheme="majorHAnsi"/>
          <w:bCs w:val="0"/>
          <w:sz w:val="20"/>
          <w:szCs w:val="20"/>
        </w:rPr>
        <w:t>6</w:t>
      </w:r>
    </w:p>
    <w:tbl>
      <w:tblPr>
        <w:tblStyle w:val="TableGrid7"/>
        <w:tblW w:w="9695" w:type="dxa"/>
        <w:tblInd w:w="-5" w:type="dxa"/>
        <w:tblLook w:val="04A0" w:firstRow="1" w:lastRow="0" w:firstColumn="1" w:lastColumn="0" w:noHBand="0" w:noVBand="1"/>
      </w:tblPr>
      <w:tblGrid>
        <w:gridCol w:w="651"/>
        <w:gridCol w:w="1213"/>
        <w:gridCol w:w="1032"/>
        <w:gridCol w:w="797"/>
        <w:gridCol w:w="797"/>
        <w:gridCol w:w="798"/>
        <w:gridCol w:w="854"/>
        <w:gridCol w:w="1183"/>
        <w:gridCol w:w="1183"/>
        <w:gridCol w:w="1187"/>
      </w:tblGrid>
      <w:tr w:rsidR="00400351" w:rsidRPr="008376FC" w:rsidTr="005C7C93">
        <w:trPr>
          <w:trHeight w:val="247"/>
        </w:trPr>
        <w:tc>
          <w:tcPr>
            <w:tcW w:w="9695" w:type="dxa"/>
            <w:gridSpan w:val="10"/>
            <w:shd w:val="clear" w:color="auto" w:fill="BDD6EE" w:themeFill="accent1" w:themeFillTint="66"/>
          </w:tcPr>
          <w:p w:rsidR="00400351" w:rsidRPr="008376FC" w:rsidRDefault="00400351" w:rsidP="007D322F">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bCs w:val="0"/>
                <w:sz w:val="20"/>
                <w:szCs w:val="20"/>
              </w:rPr>
              <w:t xml:space="preserve">Sinteza profiturilor </w:t>
            </w:r>
            <w:r w:rsidR="00C32B01">
              <w:rPr>
                <w:rFonts w:asciiTheme="majorHAnsi" w:eastAsia="Times New Roman" w:hAnsiTheme="majorHAnsi" w:cstheme="majorHAnsi"/>
                <w:bCs w:val="0"/>
                <w:sz w:val="20"/>
                <w:szCs w:val="20"/>
              </w:rPr>
              <w:t xml:space="preserve">și pierderilor </w:t>
            </w:r>
            <w:r w:rsidRPr="008376FC">
              <w:rPr>
                <w:rFonts w:asciiTheme="majorHAnsi" w:eastAsia="Times New Roman" w:hAnsiTheme="majorHAnsi" w:cstheme="majorHAnsi"/>
                <w:bCs w:val="0"/>
                <w:sz w:val="20"/>
                <w:szCs w:val="20"/>
              </w:rPr>
              <w:t>acumulate în anii 2014-2021, mil.lei</w:t>
            </w:r>
          </w:p>
        </w:tc>
      </w:tr>
      <w:tr w:rsidR="004005AD" w:rsidRPr="008376FC" w:rsidTr="005C7C93">
        <w:trPr>
          <w:trHeight w:val="247"/>
        </w:trPr>
        <w:tc>
          <w:tcPr>
            <w:tcW w:w="651" w:type="dxa"/>
            <w:vMerge w:val="restart"/>
            <w:shd w:val="clear" w:color="auto" w:fill="BDD6EE" w:themeFill="accent1" w:themeFillTint="66"/>
          </w:tcPr>
          <w:p w:rsidR="004005AD" w:rsidRPr="008376FC" w:rsidRDefault="004005AD" w:rsidP="007D322F">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 xml:space="preserve">Nr. </w:t>
            </w:r>
            <w:r w:rsidR="00C32B01">
              <w:rPr>
                <w:rFonts w:asciiTheme="majorHAnsi" w:eastAsia="Times New Roman" w:hAnsiTheme="majorHAnsi" w:cstheme="majorHAnsi"/>
                <w:sz w:val="20"/>
                <w:szCs w:val="20"/>
              </w:rPr>
              <w:t>crt.</w:t>
            </w:r>
          </w:p>
        </w:tc>
        <w:tc>
          <w:tcPr>
            <w:tcW w:w="1213" w:type="dxa"/>
            <w:vMerge w:val="restart"/>
            <w:shd w:val="clear" w:color="auto" w:fill="BDD6EE" w:themeFill="accent1" w:themeFillTint="66"/>
          </w:tcPr>
          <w:p w:rsidR="004005AD" w:rsidRPr="008376FC" w:rsidRDefault="00C32B01" w:rsidP="00F61756">
            <w:pPr>
              <w:widowControl w:val="0"/>
              <w:autoSpaceDE w:val="0"/>
              <w:autoSpaceDN w:val="0"/>
              <w:spacing w:line="276" w:lineRule="auto"/>
              <w:ind w:right="112"/>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I</w:t>
            </w:r>
            <w:r w:rsidR="004005AD" w:rsidRPr="008376FC">
              <w:rPr>
                <w:rFonts w:asciiTheme="majorHAnsi" w:eastAsia="Times New Roman" w:hAnsiTheme="majorHAnsi" w:cstheme="majorHAnsi"/>
                <w:sz w:val="20"/>
                <w:szCs w:val="20"/>
              </w:rPr>
              <w:t>ndicatori</w:t>
            </w:r>
          </w:p>
        </w:tc>
        <w:tc>
          <w:tcPr>
            <w:tcW w:w="3423" w:type="dxa"/>
            <w:gridSpan w:val="4"/>
            <w:shd w:val="clear" w:color="auto" w:fill="BDD6EE" w:themeFill="accent1" w:themeFillTint="66"/>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Unități</w:t>
            </w:r>
          </w:p>
        </w:tc>
        <w:tc>
          <w:tcPr>
            <w:tcW w:w="4407" w:type="dxa"/>
            <w:gridSpan w:val="4"/>
            <w:shd w:val="clear" w:color="auto" w:fill="BDD6EE" w:themeFill="accent1" w:themeFillTint="66"/>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Suma</w:t>
            </w:r>
          </w:p>
        </w:tc>
      </w:tr>
      <w:tr w:rsidR="004005AD" w:rsidRPr="008376FC" w:rsidTr="005C7C93">
        <w:trPr>
          <w:cantSplit/>
          <w:trHeight w:val="206"/>
        </w:trPr>
        <w:tc>
          <w:tcPr>
            <w:tcW w:w="651" w:type="dxa"/>
            <w:vMerge/>
            <w:shd w:val="clear" w:color="auto" w:fill="BDD6EE" w:themeFill="accent1" w:themeFillTint="66"/>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p>
        </w:tc>
        <w:tc>
          <w:tcPr>
            <w:tcW w:w="1213" w:type="dxa"/>
            <w:vMerge/>
            <w:shd w:val="clear" w:color="auto" w:fill="BDD6EE" w:themeFill="accent1" w:themeFillTint="66"/>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p>
        </w:tc>
        <w:tc>
          <w:tcPr>
            <w:tcW w:w="1032" w:type="dxa"/>
            <w:shd w:val="clear" w:color="auto" w:fill="BDD6EE" w:themeFill="accent1" w:themeFillTint="66"/>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2014</w:t>
            </w:r>
            <w:r w:rsidRPr="008376FC">
              <w:rPr>
                <w:rFonts w:asciiTheme="majorHAnsi" w:eastAsia="Times New Roman" w:hAnsiTheme="majorHAnsi" w:cstheme="majorHAnsi"/>
                <w:sz w:val="20"/>
                <w:szCs w:val="20"/>
                <w:vertAlign w:val="superscript"/>
              </w:rPr>
              <w:footnoteReference w:id="121"/>
            </w:r>
          </w:p>
        </w:tc>
        <w:tc>
          <w:tcPr>
            <w:tcW w:w="797" w:type="dxa"/>
            <w:shd w:val="clear" w:color="auto" w:fill="BDD6EE" w:themeFill="accent1" w:themeFillTint="66"/>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2019</w:t>
            </w:r>
          </w:p>
        </w:tc>
        <w:tc>
          <w:tcPr>
            <w:tcW w:w="797" w:type="dxa"/>
            <w:shd w:val="clear" w:color="auto" w:fill="BDD6EE" w:themeFill="accent1" w:themeFillTint="66"/>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2020</w:t>
            </w:r>
          </w:p>
        </w:tc>
        <w:tc>
          <w:tcPr>
            <w:tcW w:w="798" w:type="dxa"/>
            <w:shd w:val="clear" w:color="auto" w:fill="BDD6EE" w:themeFill="accent1" w:themeFillTint="66"/>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2021</w:t>
            </w:r>
          </w:p>
        </w:tc>
        <w:tc>
          <w:tcPr>
            <w:tcW w:w="854" w:type="dxa"/>
            <w:shd w:val="clear" w:color="auto" w:fill="BDD6EE" w:themeFill="accent1" w:themeFillTint="66"/>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2014</w:t>
            </w:r>
          </w:p>
        </w:tc>
        <w:tc>
          <w:tcPr>
            <w:tcW w:w="1183" w:type="dxa"/>
            <w:shd w:val="clear" w:color="auto" w:fill="BDD6EE" w:themeFill="accent1" w:themeFillTint="66"/>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2019</w:t>
            </w:r>
          </w:p>
        </w:tc>
        <w:tc>
          <w:tcPr>
            <w:tcW w:w="1183" w:type="dxa"/>
            <w:shd w:val="clear" w:color="auto" w:fill="BDD6EE" w:themeFill="accent1" w:themeFillTint="66"/>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2020</w:t>
            </w:r>
          </w:p>
        </w:tc>
        <w:tc>
          <w:tcPr>
            <w:tcW w:w="1187" w:type="dxa"/>
            <w:shd w:val="clear" w:color="auto" w:fill="BDD6EE" w:themeFill="accent1" w:themeFillTint="66"/>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2021</w:t>
            </w:r>
          </w:p>
        </w:tc>
      </w:tr>
      <w:tr w:rsidR="004005AD" w:rsidRPr="008376FC" w:rsidTr="005C7C93">
        <w:trPr>
          <w:trHeight w:val="247"/>
        </w:trPr>
        <w:tc>
          <w:tcPr>
            <w:tcW w:w="651" w:type="dxa"/>
            <w:tcBorders>
              <w:bottom w:val="single" w:sz="4" w:space="0" w:color="auto"/>
            </w:tcBorders>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1</w:t>
            </w:r>
          </w:p>
        </w:tc>
        <w:tc>
          <w:tcPr>
            <w:tcW w:w="1213" w:type="dxa"/>
            <w:tcBorders>
              <w:bottom w:val="single" w:sz="4" w:space="0" w:color="auto"/>
            </w:tcBorders>
          </w:tcPr>
          <w:p w:rsidR="004005AD" w:rsidRPr="008376FC" w:rsidRDefault="00C32B01" w:rsidP="00F61756">
            <w:pPr>
              <w:widowControl w:val="0"/>
              <w:autoSpaceDE w:val="0"/>
              <w:autoSpaceDN w:val="0"/>
              <w:spacing w:line="276" w:lineRule="auto"/>
              <w:ind w:right="112"/>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P</w:t>
            </w:r>
            <w:r w:rsidR="004005AD" w:rsidRPr="008376FC">
              <w:rPr>
                <w:rFonts w:asciiTheme="majorHAnsi" w:eastAsia="Times New Roman" w:hAnsiTheme="majorHAnsi" w:cstheme="majorHAnsi"/>
                <w:sz w:val="20"/>
                <w:szCs w:val="20"/>
              </w:rPr>
              <w:t>rofit</w:t>
            </w:r>
            <w:r>
              <w:rPr>
                <w:rFonts w:asciiTheme="majorHAnsi" w:eastAsia="Times New Roman" w:hAnsiTheme="majorHAnsi" w:cstheme="majorHAnsi"/>
                <w:sz w:val="20"/>
                <w:szCs w:val="20"/>
              </w:rPr>
              <w:t>uri</w:t>
            </w:r>
          </w:p>
        </w:tc>
        <w:tc>
          <w:tcPr>
            <w:tcW w:w="1032"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8</w:t>
            </w:r>
          </w:p>
        </w:tc>
        <w:tc>
          <w:tcPr>
            <w:tcW w:w="797"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3</w:t>
            </w:r>
            <w:r w:rsidRPr="008376FC">
              <w:rPr>
                <w:rFonts w:asciiTheme="majorHAnsi" w:eastAsia="Times New Roman" w:hAnsiTheme="majorHAnsi" w:cstheme="majorHAnsi"/>
                <w:color w:val="00B050"/>
                <w:sz w:val="20"/>
                <w:szCs w:val="20"/>
              </w:rPr>
              <w:sym w:font="Wingdings" w:char="F0EA"/>
            </w:r>
          </w:p>
        </w:tc>
        <w:tc>
          <w:tcPr>
            <w:tcW w:w="797"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5</w:t>
            </w:r>
            <w:r w:rsidRPr="008376FC">
              <w:rPr>
                <w:rFonts w:asciiTheme="majorHAnsi" w:eastAsia="Times New Roman" w:hAnsiTheme="majorHAnsi" w:cstheme="majorHAnsi"/>
                <w:color w:val="FF0000"/>
                <w:sz w:val="20"/>
                <w:szCs w:val="20"/>
              </w:rPr>
              <w:sym w:font="Wingdings" w:char="F0E9"/>
            </w:r>
          </w:p>
        </w:tc>
        <w:tc>
          <w:tcPr>
            <w:tcW w:w="798"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4</w:t>
            </w:r>
            <w:r w:rsidRPr="008376FC">
              <w:rPr>
                <w:rFonts w:asciiTheme="majorHAnsi" w:eastAsia="Times New Roman" w:hAnsiTheme="majorHAnsi" w:cstheme="majorHAnsi"/>
                <w:color w:val="00B050"/>
                <w:sz w:val="20"/>
                <w:szCs w:val="20"/>
              </w:rPr>
              <w:sym w:font="Wingdings" w:char="F0EA"/>
            </w:r>
          </w:p>
        </w:tc>
        <w:tc>
          <w:tcPr>
            <w:tcW w:w="854"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45,9</w:t>
            </w:r>
          </w:p>
        </w:tc>
        <w:tc>
          <w:tcPr>
            <w:tcW w:w="1183"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54,0</w:t>
            </w:r>
            <w:r w:rsidRPr="008376FC">
              <w:rPr>
                <w:rFonts w:asciiTheme="majorHAnsi" w:eastAsia="Times New Roman" w:hAnsiTheme="majorHAnsi" w:cstheme="majorHAnsi"/>
                <w:color w:val="FF0000"/>
                <w:sz w:val="20"/>
                <w:szCs w:val="20"/>
              </w:rPr>
              <w:sym w:font="Wingdings" w:char="F0E9"/>
            </w:r>
          </w:p>
        </w:tc>
        <w:tc>
          <w:tcPr>
            <w:tcW w:w="1183"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67,2</w:t>
            </w:r>
            <w:r w:rsidRPr="008376FC">
              <w:rPr>
                <w:rFonts w:asciiTheme="majorHAnsi" w:eastAsia="Times New Roman" w:hAnsiTheme="majorHAnsi" w:cstheme="majorHAnsi"/>
                <w:color w:val="FF0000"/>
                <w:sz w:val="20"/>
                <w:szCs w:val="20"/>
              </w:rPr>
              <w:sym w:font="Wingdings" w:char="F0E9"/>
            </w:r>
          </w:p>
        </w:tc>
        <w:tc>
          <w:tcPr>
            <w:tcW w:w="1187"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79,9</w:t>
            </w:r>
            <w:r w:rsidRPr="008376FC">
              <w:rPr>
                <w:rFonts w:asciiTheme="majorHAnsi" w:eastAsia="Times New Roman" w:hAnsiTheme="majorHAnsi" w:cstheme="majorHAnsi"/>
                <w:color w:val="FF0000"/>
                <w:sz w:val="20"/>
                <w:szCs w:val="20"/>
              </w:rPr>
              <w:sym w:font="Wingdings" w:char="F0E9"/>
            </w:r>
          </w:p>
        </w:tc>
      </w:tr>
      <w:tr w:rsidR="004005AD" w:rsidRPr="008376FC" w:rsidTr="005C7C93">
        <w:trPr>
          <w:trHeight w:val="169"/>
        </w:trPr>
        <w:tc>
          <w:tcPr>
            <w:tcW w:w="651" w:type="dxa"/>
            <w:tcBorders>
              <w:bottom w:val="single" w:sz="4" w:space="0" w:color="auto"/>
            </w:tcBorders>
          </w:tcPr>
          <w:p w:rsidR="004005AD" w:rsidRPr="008376FC" w:rsidRDefault="004005AD" w:rsidP="00F61756">
            <w:pPr>
              <w:widowControl w:val="0"/>
              <w:autoSpaceDE w:val="0"/>
              <w:autoSpaceDN w:val="0"/>
              <w:spacing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w:t>
            </w:r>
          </w:p>
        </w:tc>
        <w:tc>
          <w:tcPr>
            <w:tcW w:w="1213" w:type="dxa"/>
            <w:tcBorders>
              <w:bottom w:val="single" w:sz="4" w:space="0" w:color="auto"/>
            </w:tcBorders>
          </w:tcPr>
          <w:p w:rsidR="004005AD" w:rsidRPr="008376FC" w:rsidRDefault="00C32B01" w:rsidP="00F61756">
            <w:pPr>
              <w:widowControl w:val="0"/>
              <w:autoSpaceDE w:val="0"/>
              <w:autoSpaceDN w:val="0"/>
              <w:spacing w:line="276" w:lineRule="auto"/>
              <w:ind w:right="112"/>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P</w:t>
            </w:r>
            <w:r w:rsidR="004005AD" w:rsidRPr="008376FC">
              <w:rPr>
                <w:rFonts w:asciiTheme="majorHAnsi" w:eastAsia="Times New Roman" w:hAnsiTheme="majorHAnsi" w:cstheme="majorHAnsi"/>
                <w:sz w:val="20"/>
                <w:szCs w:val="20"/>
              </w:rPr>
              <w:t>ierder</w:t>
            </w:r>
            <w:r>
              <w:rPr>
                <w:rFonts w:asciiTheme="majorHAnsi" w:eastAsia="Times New Roman" w:hAnsiTheme="majorHAnsi" w:cstheme="majorHAnsi"/>
                <w:sz w:val="20"/>
                <w:szCs w:val="20"/>
              </w:rPr>
              <w:t>i</w:t>
            </w:r>
          </w:p>
        </w:tc>
        <w:tc>
          <w:tcPr>
            <w:tcW w:w="1032"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27</w:t>
            </w:r>
          </w:p>
        </w:tc>
        <w:tc>
          <w:tcPr>
            <w:tcW w:w="797"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33</w:t>
            </w:r>
            <w:r w:rsidRPr="008376FC">
              <w:rPr>
                <w:rFonts w:asciiTheme="majorHAnsi" w:eastAsia="Times New Roman" w:hAnsiTheme="majorHAnsi" w:cstheme="majorHAnsi"/>
                <w:color w:val="FF0000"/>
                <w:sz w:val="20"/>
                <w:szCs w:val="20"/>
              </w:rPr>
              <w:sym w:font="Wingdings" w:char="F0E9"/>
            </w:r>
          </w:p>
        </w:tc>
        <w:tc>
          <w:tcPr>
            <w:tcW w:w="797"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31</w:t>
            </w:r>
            <w:r w:rsidRPr="008376FC">
              <w:rPr>
                <w:rFonts w:asciiTheme="majorHAnsi" w:eastAsia="Times New Roman" w:hAnsiTheme="majorHAnsi" w:cstheme="majorHAnsi"/>
                <w:color w:val="00B050"/>
                <w:sz w:val="20"/>
                <w:szCs w:val="20"/>
              </w:rPr>
              <w:sym w:font="Wingdings" w:char="F0EA"/>
            </w:r>
          </w:p>
        </w:tc>
        <w:tc>
          <w:tcPr>
            <w:tcW w:w="798"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32</w:t>
            </w:r>
            <w:r w:rsidRPr="008376FC">
              <w:rPr>
                <w:rFonts w:asciiTheme="majorHAnsi" w:eastAsia="Times New Roman" w:hAnsiTheme="majorHAnsi" w:cstheme="majorHAnsi"/>
                <w:color w:val="FF0000"/>
                <w:sz w:val="20"/>
                <w:szCs w:val="20"/>
              </w:rPr>
              <w:sym w:font="Wingdings" w:char="F0E9"/>
            </w:r>
          </w:p>
        </w:tc>
        <w:tc>
          <w:tcPr>
            <w:tcW w:w="854"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255,7</w:t>
            </w:r>
          </w:p>
        </w:tc>
        <w:tc>
          <w:tcPr>
            <w:tcW w:w="1183"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1140,2</w:t>
            </w:r>
            <w:r w:rsidRPr="008376FC">
              <w:rPr>
                <w:rFonts w:asciiTheme="majorHAnsi" w:eastAsia="Times New Roman" w:hAnsiTheme="majorHAnsi" w:cstheme="majorHAnsi"/>
                <w:color w:val="FF0000"/>
                <w:sz w:val="20"/>
                <w:szCs w:val="20"/>
              </w:rPr>
              <w:sym w:font="Wingdings" w:char="F0E9"/>
            </w:r>
          </w:p>
        </w:tc>
        <w:tc>
          <w:tcPr>
            <w:tcW w:w="1183"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1280,7</w:t>
            </w:r>
            <w:r w:rsidRPr="008376FC">
              <w:rPr>
                <w:rFonts w:asciiTheme="majorHAnsi" w:eastAsia="Times New Roman" w:hAnsiTheme="majorHAnsi" w:cstheme="majorHAnsi"/>
                <w:color w:val="FF0000"/>
                <w:sz w:val="20"/>
                <w:szCs w:val="20"/>
              </w:rPr>
              <w:sym w:font="Wingdings" w:char="F0E9"/>
            </w:r>
          </w:p>
        </w:tc>
        <w:tc>
          <w:tcPr>
            <w:tcW w:w="1187" w:type="dxa"/>
            <w:tcBorders>
              <w:bottom w:val="single" w:sz="4" w:space="0" w:color="auto"/>
            </w:tcBorders>
          </w:tcPr>
          <w:p w:rsidR="004005AD" w:rsidRPr="008376FC" w:rsidRDefault="004005AD" w:rsidP="00F61756">
            <w:pPr>
              <w:widowControl w:val="0"/>
              <w:autoSpaceDE w:val="0"/>
              <w:autoSpaceDN w:val="0"/>
              <w:spacing w:line="276" w:lineRule="auto"/>
              <w:ind w:right="112"/>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1330,2</w:t>
            </w:r>
            <w:r w:rsidRPr="008376FC">
              <w:rPr>
                <w:rFonts w:asciiTheme="majorHAnsi" w:eastAsia="Times New Roman" w:hAnsiTheme="majorHAnsi" w:cstheme="majorHAnsi"/>
                <w:color w:val="FF0000"/>
                <w:sz w:val="20"/>
                <w:szCs w:val="20"/>
              </w:rPr>
              <w:sym w:font="Wingdings" w:char="F0E9"/>
            </w:r>
          </w:p>
        </w:tc>
      </w:tr>
      <w:tr w:rsidR="00400351" w:rsidRPr="008376FC" w:rsidTr="005C7C93">
        <w:trPr>
          <w:trHeight w:val="169"/>
        </w:trPr>
        <w:tc>
          <w:tcPr>
            <w:tcW w:w="9695" w:type="dxa"/>
            <w:gridSpan w:val="10"/>
            <w:tcBorders>
              <w:top w:val="single" w:sz="4" w:space="0" w:color="auto"/>
              <w:left w:val="nil"/>
              <w:bottom w:val="nil"/>
              <w:right w:val="nil"/>
            </w:tcBorders>
          </w:tcPr>
          <w:p w:rsidR="00400351" w:rsidRPr="00D62C5D" w:rsidRDefault="00400351" w:rsidP="00F61756">
            <w:pPr>
              <w:widowControl w:val="0"/>
              <w:autoSpaceDE w:val="0"/>
              <w:autoSpaceDN w:val="0"/>
              <w:spacing w:line="276" w:lineRule="auto"/>
              <w:ind w:right="112"/>
              <w:jc w:val="both"/>
              <w:rPr>
                <w:rFonts w:asciiTheme="majorHAnsi" w:eastAsia="Times New Roman" w:hAnsiTheme="majorHAnsi" w:cstheme="majorHAnsi"/>
                <w:b w:val="0"/>
                <w:bCs w:val="0"/>
                <w:i/>
                <w:sz w:val="20"/>
                <w:szCs w:val="20"/>
              </w:rPr>
            </w:pPr>
            <w:r w:rsidRPr="00D62C5D">
              <w:rPr>
                <w:rFonts w:asciiTheme="majorHAnsi" w:eastAsia="Times New Roman" w:hAnsiTheme="majorHAnsi" w:cstheme="majorHAnsi"/>
                <w:bCs w:val="0"/>
                <w:i/>
                <w:sz w:val="20"/>
                <w:szCs w:val="20"/>
              </w:rPr>
              <w:t>Sursa:</w:t>
            </w:r>
            <w:r w:rsidRPr="00D62C5D">
              <w:rPr>
                <w:rFonts w:asciiTheme="majorHAnsi" w:eastAsia="Times New Roman" w:hAnsiTheme="majorHAnsi" w:cstheme="majorHAnsi"/>
                <w:b w:val="0"/>
                <w:bCs w:val="0"/>
                <w:i/>
                <w:sz w:val="20"/>
                <w:szCs w:val="20"/>
              </w:rPr>
              <w:t xml:space="preserve"> </w:t>
            </w:r>
            <w:r w:rsidR="00C32B01">
              <w:rPr>
                <w:rFonts w:asciiTheme="majorHAnsi" w:eastAsia="Times New Roman" w:hAnsiTheme="majorHAnsi" w:cstheme="majorHAnsi"/>
                <w:b w:val="0"/>
                <w:bCs w:val="0"/>
                <w:i/>
                <w:sz w:val="20"/>
                <w:szCs w:val="20"/>
              </w:rPr>
              <w:t>D</w:t>
            </w:r>
            <w:r w:rsidRPr="00D62C5D">
              <w:rPr>
                <w:rFonts w:asciiTheme="majorHAnsi" w:eastAsia="Times New Roman" w:hAnsiTheme="majorHAnsi" w:cstheme="majorHAnsi"/>
                <w:b w:val="0"/>
                <w:bCs w:val="0"/>
                <w:i/>
                <w:sz w:val="20"/>
                <w:szCs w:val="20"/>
              </w:rPr>
              <w:t>ate</w:t>
            </w:r>
            <w:r w:rsidR="00C32B01">
              <w:rPr>
                <w:rFonts w:asciiTheme="majorHAnsi" w:eastAsia="Times New Roman" w:hAnsiTheme="majorHAnsi" w:cstheme="majorHAnsi"/>
                <w:b w:val="0"/>
                <w:bCs w:val="0"/>
                <w:i/>
                <w:sz w:val="20"/>
                <w:szCs w:val="20"/>
              </w:rPr>
              <w:t xml:space="preserve"> oferite de</w:t>
            </w:r>
            <w:r w:rsidRPr="00D62C5D">
              <w:rPr>
                <w:rFonts w:asciiTheme="majorHAnsi" w:eastAsia="Times New Roman" w:hAnsiTheme="majorHAnsi" w:cstheme="majorHAnsi"/>
                <w:b w:val="0"/>
                <w:bCs w:val="0"/>
                <w:i/>
                <w:sz w:val="20"/>
                <w:szCs w:val="20"/>
              </w:rPr>
              <w:t xml:space="preserve"> BNS.</w:t>
            </w:r>
          </w:p>
          <w:p w:rsidR="008C7E14" w:rsidRPr="008376FC" w:rsidRDefault="008C7E14" w:rsidP="00F61756">
            <w:pPr>
              <w:widowControl w:val="0"/>
              <w:autoSpaceDE w:val="0"/>
              <w:autoSpaceDN w:val="0"/>
              <w:spacing w:line="276" w:lineRule="auto"/>
              <w:ind w:left="212" w:right="112" w:firstLine="708"/>
              <w:jc w:val="both"/>
              <w:rPr>
                <w:rFonts w:asciiTheme="majorHAnsi" w:eastAsia="Times New Roman" w:hAnsiTheme="majorHAnsi" w:cstheme="majorHAnsi"/>
                <w:b w:val="0"/>
                <w:bCs w:val="0"/>
                <w:sz w:val="20"/>
                <w:szCs w:val="20"/>
              </w:rPr>
            </w:pPr>
          </w:p>
        </w:tc>
      </w:tr>
    </w:tbl>
    <w:p w:rsidR="004005AD" w:rsidRPr="008376FC" w:rsidRDefault="004005AD" w:rsidP="00F61756">
      <w:pPr>
        <w:widowControl w:val="0"/>
        <w:autoSpaceDE w:val="0"/>
        <w:autoSpaceDN w:val="0"/>
        <w:spacing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Totodată, datele din </w:t>
      </w:r>
      <w:r w:rsidR="00C32B01">
        <w:rPr>
          <w:rFonts w:asciiTheme="majorHAnsi" w:eastAsia="Times New Roman" w:hAnsiTheme="majorHAnsi" w:cstheme="majorHAnsi"/>
          <w:b w:val="0"/>
          <w:bCs w:val="0"/>
          <w:sz w:val="24"/>
          <w:szCs w:val="24"/>
        </w:rPr>
        <w:t>t</w:t>
      </w:r>
      <w:r w:rsidRPr="008376FC">
        <w:rPr>
          <w:rFonts w:asciiTheme="majorHAnsi" w:eastAsia="Times New Roman" w:hAnsiTheme="majorHAnsi" w:cstheme="majorHAnsi"/>
          <w:b w:val="0"/>
          <w:bCs w:val="0"/>
          <w:sz w:val="24"/>
          <w:szCs w:val="24"/>
        </w:rPr>
        <w:t xml:space="preserve">abel relevă că numărul întreprinderilor care înregistrează profituri s-a diminuat de la 8 în anul 2014 la 4 în anul 2021, valoarea profiturilor la finele anului 2021 constituind 79,9 mil.lei, sau cu 34,0 mil.lei mai mult decât în anul 2014. </w:t>
      </w:r>
    </w:p>
    <w:p w:rsidR="004005AD" w:rsidRPr="008376FC" w:rsidRDefault="004005AD" w:rsidP="00F61756">
      <w:pPr>
        <w:widowControl w:val="0"/>
        <w:autoSpaceDE w:val="0"/>
        <w:autoSpaceDN w:val="0"/>
        <w:spacing w:before="11"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Creșterea atât a numărului de întreprinder</w:t>
      </w:r>
      <w:r w:rsidR="00C32B01">
        <w:rPr>
          <w:rFonts w:asciiTheme="majorHAnsi" w:eastAsia="Times New Roman" w:hAnsiTheme="majorHAnsi" w:cstheme="majorHAnsi"/>
          <w:b w:val="0"/>
          <w:bCs w:val="0"/>
          <w:sz w:val="24"/>
          <w:szCs w:val="24"/>
        </w:rPr>
        <w:t>i</w:t>
      </w:r>
      <w:r w:rsidRPr="008376FC">
        <w:rPr>
          <w:rFonts w:asciiTheme="majorHAnsi" w:eastAsia="Times New Roman" w:hAnsiTheme="majorHAnsi" w:cstheme="majorHAnsi"/>
          <w:b w:val="0"/>
          <w:bCs w:val="0"/>
          <w:sz w:val="24"/>
          <w:szCs w:val="24"/>
        </w:rPr>
        <w:t xml:space="preserve"> care înregistrează de la an la an pierderi, cât și a valorii acestora denotă o situație alarmantă în domeniu și un management neperformant și neeficient, care  nu contribuie la ameliorarea situațiilor financiare și patrimoniale, în creștere fiind și gradul de îndatorare a</w:t>
      </w:r>
      <w:r w:rsidR="00C32B01">
        <w:rPr>
          <w:rFonts w:asciiTheme="majorHAnsi" w:eastAsia="Times New Roman" w:hAnsiTheme="majorHAnsi" w:cstheme="majorHAnsi"/>
          <w:b w:val="0"/>
          <w:bCs w:val="0"/>
          <w:sz w:val="24"/>
          <w:szCs w:val="24"/>
        </w:rPr>
        <w:t>l</w:t>
      </w:r>
      <w:r w:rsidRPr="008376FC">
        <w:rPr>
          <w:rFonts w:asciiTheme="majorHAnsi" w:eastAsia="Times New Roman" w:hAnsiTheme="majorHAnsi" w:cstheme="majorHAnsi"/>
          <w:b w:val="0"/>
          <w:bCs w:val="0"/>
          <w:sz w:val="24"/>
          <w:szCs w:val="24"/>
        </w:rPr>
        <w:t xml:space="preserve"> operatorilor apă-canal. </w:t>
      </w:r>
    </w:p>
    <w:p w:rsidR="004005AD" w:rsidRPr="008376FC" w:rsidRDefault="004005AD" w:rsidP="00F61756">
      <w:pPr>
        <w:pStyle w:val="a3"/>
        <w:widowControl w:val="0"/>
        <w:numPr>
          <w:ilvl w:val="2"/>
          <w:numId w:val="50"/>
        </w:numPr>
        <w:autoSpaceDE w:val="0"/>
        <w:autoSpaceDN w:val="0"/>
        <w:spacing w:before="120" w:line="276" w:lineRule="auto"/>
        <w:ind w:left="0" w:right="112" w:firstLine="0"/>
        <w:jc w:val="both"/>
        <w:rPr>
          <w:rFonts w:asciiTheme="majorHAnsi" w:hAnsiTheme="majorHAnsi" w:cstheme="majorHAnsi"/>
          <w:b/>
          <w:color w:val="0070C0"/>
          <w:lang w:val="en-US"/>
        </w:rPr>
      </w:pPr>
      <w:r w:rsidRPr="008376FC">
        <w:rPr>
          <w:rFonts w:asciiTheme="majorHAnsi" w:hAnsiTheme="majorHAnsi" w:cstheme="majorHAnsi"/>
          <w:b/>
          <w:color w:val="0070C0"/>
          <w:lang w:val="en-US"/>
        </w:rPr>
        <w:t xml:space="preserve">8 din 36 de întreprinderi prestatoare de servicii de alimentare cu apă și </w:t>
      </w:r>
      <w:r w:rsidR="00C32B01">
        <w:rPr>
          <w:rFonts w:asciiTheme="majorHAnsi" w:hAnsiTheme="majorHAnsi" w:cstheme="majorHAnsi"/>
          <w:b/>
          <w:color w:val="0070C0"/>
          <w:lang w:val="en-US"/>
        </w:rPr>
        <w:t xml:space="preserve">de </w:t>
      </w:r>
      <w:r w:rsidRPr="008376FC">
        <w:rPr>
          <w:rFonts w:asciiTheme="majorHAnsi" w:hAnsiTheme="majorHAnsi" w:cstheme="majorHAnsi"/>
          <w:b/>
          <w:color w:val="0070C0"/>
          <w:lang w:val="en-US"/>
        </w:rPr>
        <w:t xml:space="preserve">canalizare înregistrează </w:t>
      </w:r>
      <w:r w:rsidR="00C32B01" w:rsidRPr="008376FC">
        <w:rPr>
          <w:rFonts w:asciiTheme="majorHAnsi" w:hAnsiTheme="majorHAnsi" w:cstheme="majorHAnsi"/>
          <w:b/>
          <w:color w:val="0070C0"/>
          <w:lang w:val="en-US"/>
        </w:rPr>
        <w:t xml:space="preserve">pe parcursul mai multor ani </w:t>
      </w:r>
      <w:r w:rsidRPr="008376FC">
        <w:rPr>
          <w:rFonts w:asciiTheme="majorHAnsi" w:hAnsiTheme="majorHAnsi" w:cstheme="majorHAnsi"/>
          <w:b/>
          <w:color w:val="0070C0"/>
          <w:lang w:val="en-US"/>
        </w:rPr>
        <w:t>valori negative la capitalul propriu</w:t>
      </w:r>
      <w:r w:rsidR="00C32B01">
        <w:rPr>
          <w:rFonts w:asciiTheme="majorHAnsi" w:hAnsiTheme="majorHAnsi" w:cstheme="majorHAnsi"/>
          <w:b/>
          <w:color w:val="0070C0"/>
          <w:lang w:val="en-US"/>
        </w:rPr>
        <w:t>.</w:t>
      </w:r>
    </w:p>
    <w:p w:rsidR="004005AD" w:rsidRPr="008376FC" w:rsidRDefault="004005AD"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O condiție indispensabilă pentru dezvoltarea economică a unei întreprinderi o reprezintă formarea unui capital propriu suficient pentru asigurarea activității economice durabile și obținerea încrederii investitorilor în perspectivele de dezvoltare strategică a întreprinderii. </w:t>
      </w:r>
    </w:p>
    <w:p w:rsidR="004005AD" w:rsidRPr="008376FC" w:rsidRDefault="004005AD"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Conform analizelor efectuate la 36 de întreprinderi, la finele anului 2021 capital propriu negativ e</w:t>
      </w:r>
      <w:r w:rsidR="00FE5DAE">
        <w:rPr>
          <w:rFonts w:asciiTheme="majorHAnsi" w:eastAsia="Times New Roman" w:hAnsiTheme="majorHAnsi" w:cstheme="majorHAnsi"/>
          <w:b w:val="0"/>
          <w:bCs w:val="0"/>
          <w:sz w:val="24"/>
          <w:szCs w:val="24"/>
        </w:rPr>
        <w:t>ra</w:t>
      </w:r>
      <w:r w:rsidRPr="008376FC">
        <w:rPr>
          <w:rFonts w:asciiTheme="majorHAnsi" w:eastAsia="Times New Roman" w:hAnsiTheme="majorHAnsi" w:cstheme="majorHAnsi"/>
          <w:b w:val="0"/>
          <w:bCs w:val="0"/>
          <w:sz w:val="24"/>
          <w:szCs w:val="24"/>
        </w:rPr>
        <w:t xml:space="preserve"> înregistrat la 8 întreprinderi, din care, pe parcursul ultimilor 3 ani – la 5 întreprinderi, pe parcursul ultimilor 2 ani </w:t>
      </w:r>
      <w:r w:rsidR="00FE5DAE">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la 2 întreprinderi, și la o întreprindere în anul 2021.  </w:t>
      </w:r>
    </w:p>
    <w:p w:rsidR="004005AD" w:rsidRPr="008376FC" w:rsidRDefault="004005AD"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Situația este una îngrijorătoare, ținând cont și de faptul că fondatorii și factorii de decizie din cadrul întreprinderilor operatoare care au înregistrat capital propriu negativ nu au întreprins măsuri de rigoare pentru reevaluarea activelor gestionate sau revizuirea valorii capitalului social pentru remedierea pozițiilor financiare și patrimoniale înregistrate de întreprinderile respective. Vezi Tabelul de mai jos. </w:t>
      </w:r>
    </w:p>
    <w:p w:rsidR="00C84C15" w:rsidRPr="008376FC" w:rsidRDefault="00C84C15" w:rsidP="00DC5C28">
      <w:pPr>
        <w:widowControl w:val="0"/>
        <w:autoSpaceDE w:val="0"/>
        <w:autoSpaceDN w:val="0"/>
        <w:spacing w:after="0" w:line="240" w:lineRule="auto"/>
        <w:jc w:val="right"/>
        <w:rPr>
          <w:rFonts w:asciiTheme="majorHAnsi" w:eastAsia="Times New Roman" w:hAnsiTheme="majorHAnsi" w:cstheme="majorHAnsi"/>
          <w:b w:val="0"/>
          <w:bCs w:val="0"/>
          <w:sz w:val="20"/>
          <w:szCs w:val="20"/>
        </w:rPr>
      </w:pPr>
      <w:r w:rsidRPr="008376FC">
        <w:rPr>
          <w:rFonts w:asciiTheme="majorHAnsi" w:eastAsia="Times New Roman" w:hAnsiTheme="majorHAnsi" w:cstheme="majorHAnsi"/>
          <w:bCs w:val="0"/>
          <w:sz w:val="20"/>
          <w:szCs w:val="20"/>
        </w:rPr>
        <w:t xml:space="preserve">Tabelul nr. </w:t>
      </w:r>
      <w:r w:rsidR="00287638" w:rsidRPr="008376FC">
        <w:rPr>
          <w:rFonts w:asciiTheme="majorHAnsi" w:eastAsia="Times New Roman" w:hAnsiTheme="majorHAnsi" w:cstheme="majorHAnsi"/>
          <w:bCs w:val="0"/>
          <w:sz w:val="20"/>
          <w:szCs w:val="20"/>
        </w:rPr>
        <w:t>2</w:t>
      </w:r>
      <w:r w:rsidR="00D878BA" w:rsidRPr="008376FC">
        <w:rPr>
          <w:rFonts w:asciiTheme="majorHAnsi" w:eastAsia="Times New Roman" w:hAnsiTheme="majorHAnsi" w:cstheme="majorHAnsi"/>
          <w:bCs w:val="0"/>
          <w:sz w:val="20"/>
          <w:szCs w:val="20"/>
        </w:rPr>
        <w:t>7</w:t>
      </w:r>
    </w:p>
    <w:tbl>
      <w:tblPr>
        <w:tblStyle w:val="TableGrid7"/>
        <w:tblW w:w="9480" w:type="dxa"/>
        <w:tblInd w:w="212" w:type="dxa"/>
        <w:tblLayout w:type="fixed"/>
        <w:tblLook w:val="04A0" w:firstRow="1" w:lastRow="0" w:firstColumn="1" w:lastColumn="0" w:noHBand="0" w:noVBand="1"/>
      </w:tblPr>
      <w:tblGrid>
        <w:gridCol w:w="630"/>
        <w:gridCol w:w="5469"/>
        <w:gridCol w:w="808"/>
        <w:gridCol w:w="809"/>
        <w:gridCol w:w="808"/>
        <w:gridCol w:w="956"/>
      </w:tblGrid>
      <w:tr w:rsidR="00400351" w:rsidRPr="008376FC" w:rsidTr="005C7C93">
        <w:trPr>
          <w:trHeight w:val="441"/>
        </w:trPr>
        <w:tc>
          <w:tcPr>
            <w:tcW w:w="9480" w:type="dxa"/>
            <w:gridSpan w:val="6"/>
            <w:tcBorders>
              <w:top w:val="nil"/>
              <w:left w:val="nil"/>
              <w:bottom w:val="single" w:sz="4" w:space="0" w:color="auto"/>
              <w:right w:val="nil"/>
            </w:tcBorders>
            <w:shd w:val="clear" w:color="auto" w:fill="FFFFFF" w:themeFill="background1"/>
            <w:vAlign w:val="center"/>
          </w:tcPr>
          <w:p w:rsidR="00400351" w:rsidRPr="008376FC" w:rsidRDefault="00400351" w:rsidP="00DC5C28">
            <w:pPr>
              <w:widowControl w:val="0"/>
              <w:autoSpaceDE w:val="0"/>
              <w:autoSpaceDN w:val="0"/>
              <w:jc w:val="both"/>
              <w:rPr>
                <w:rFonts w:asciiTheme="majorHAnsi" w:eastAsia="Times New Roman" w:hAnsiTheme="majorHAnsi" w:cstheme="majorHAnsi"/>
                <w:sz w:val="20"/>
                <w:szCs w:val="20"/>
              </w:rPr>
            </w:pPr>
            <w:r w:rsidRPr="008376FC">
              <w:rPr>
                <w:rFonts w:asciiTheme="majorHAnsi" w:eastAsia="Times New Roman" w:hAnsiTheme="majorHAnsi" w:cstheme="majorHAnsi"/>
                <w:bCs w:val="0"/>
                <w:sz w:val="20"/>
                <w:szCs w:val="20"/>
              </w:rPr>
              <w:t>Sinteza pe întreprinderi a valorii capitalul</w:t>
            </w:r>
            <w:r w:rsidR="00FE5DAE">
              <w:rPr>
                <w:rFonts w:asciiTheme="majorHAnsi" w:eastAsia="Times New Roman" w:hAnsiTheme="majorHAnsi" w:cstheme="majorHAnsi"/>
                <w:bCs w:val="0"/>
                <w:sz w:val="20"/>
                <w:szCs w:val="20"/>
              </w:rPr>
              <w:t>ui</w:t>
            </w:r>
            <w:r w:rsidRPr="008376FC">
              <w:rPr>
                <w:rFonts w:asciiTheme="majorHAnsi" w:eastAsia="Times New Roman" w:hAnsiTheme="majorHAnsi" w:cstheme="majorHAnsi"/>
                <w:bCs w:val="0"/>
                <w:sz w:val="20"/>
                <w:szCs w:val="20"/>
              </w:rPr>
              <w:t xml:space="preserve"> propriu negativ, 2014-2021, mil.lei</w:t>
            </w:r>
          </w:p>
        </w:tc>
      </w:tr>
      <w:tr w:rsidR="004005AD" w:rsidRPr="008376FC" w:rsidTr="005C7C93">
        <w:trPr>
          <w:trHeight w:val="441"/>
        </w:trPr>
        <w:tc>
          <w:tcPr>
            <w:tcW w:w="630" w:type="dxa"/>
            <w:tcBorders>
              <w:top w:val="single" w:sz="4" w:space="0" w:color="auto"/>
            </w:tcBorders>
            <w:shd w:val="clear" w:color="auto" w:fill="BDD6EE" w:themeFill="accent1" w:themeFillTint="66"/>
            <w:vAlign w:val="center"/>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 xml:space="preserve">Nr. </w:t>
            </w:r>
            <w:r w:rsidR="00FE5DAE">
              <w:rPr>
                <w:rFonts w:asciiTheme="majorHAnsi" w:eastAsia="Times New Roman" w:hAnsiTheme="majorHAnsi" w:cstheme="majorHAnsi"/>
                <w:sz w:val="20"/>
                <w:szCs w:val="20"/>
              </w:rPr>
              <w:t>crt.</w:t>
            </w:r>
          </w:p>
        </w:tc>
        <w:tc>
          <w:tcPr>
            <w:tcW w:w="5469" w:type="dxa"/>
            <w:tcBorders>
              <w:top w:val="single" w:sz="4" w:space="0" w:color="auto"/>
            </w:tcBorders>
            <w:shd w:val="clear" w:color="auto" w:fill="BDD6EE" w:themeFill="accent1" w:themeFillTint="66"/>
            <w:vAlign w:val="center"/>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Întreprinderi</w:t>
            </w:r>
          </w:p>
        </w:tc>
        <w:tc>
          <w:tcPr>
            <w:tcW w:w="808" w:type="dxa"/>
            <w:tcBorders>
              <w:top w:val="single" w:sz="4" w:space="0" w:color="auto"/>
            </w:tcBorders>
            <w:shd w:val="clear" w:color="auto" w:fill="BDD6EE" w:themeFill="accent1" w:themeFillTint="66"/>
            <w:vAlign w:val="center"/>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2014</w:t>
            </w:r>
          </w:p>
        </w:tc>
        <w:tc>
          <w:tcPr>
            <w:tcW w:w="809" w:type="dxa"/>
            <w:tcBorders>
              <w:top w:val="single" w:sz="4" w:space="0" w:color="auto"/>
            </w:tcBorders>
            <w:shd w:val="clear" w:color="auto" w:fill="BDD6EE" w:themeFill="accent1" w:themeFillTint="66"/>
            <w:vAlign w:val="center"/>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2019</w:t>
            </w:r>
          </w:p>
        </w:tc>
        <w:tc>
          <w:tcPr>
            <w:tcW w:w="808" w:type="dxa"/>
            <w:tcBorders>
              <w:top w:val="single" w:sz="4" w:space="0" w:color="auto"/>
            </w:tcBorders>
            <w:shd w:val="clear" w:color="auto" w:fill="BDD6EE" w:themeFill="accent1" w:themeFillTint="66"/>
            <w:vAlign w:val="center"/>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2020</w:t>
            </w:r>
          </w:p>
        </w:tc>
        <w:tc>
          <w:tcPr>
            <w:tcW w:w="956" w:type="dxa"/>
            <w:tcBorders>
              <w:top w:val="single" w:sz="4" w:space="0" w:color="auto"/>
            </w:tcBorders>
            <w:shd w:val="clear" w:color="auto" w:fill="BDD6EE" w:themeFill="accent1" w:themeFillTint="66"/>
            <w:vAlign w:val="center"/>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2021</w:t>
            </w:r>
          </w:p>
        </w:tc>
      </w:tr>
      <w:tr w:rsidR="004005AD" w:rsidRPr="008376FC" w:rsidTr="005C7C93">
        <w:trPr>
          <w:trHeight w:val="145"/>
        </w:trPr>
        <w:tc>
          <w:tcPr>
            <w:tcW w:w="630"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w:t>
            </w:r>
          </w:p>
        </w:tc>
        <w:tc>
          <w:tcPr>
            <w:tcW w:w="546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Regia "Apă-Canal-Bălți"</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p>
        </w:tc>
        <w:tc>
          <w:tcPr>
            <w:tcW w:w="80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-304,2</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-319,2</w:t>
            </w:r>
          </w:p>
        </w:tc>
        <w:tc>
          <w:tcPr>
            <w:tcW w:w="956"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-397,8</w:t>
            </w:r>
          </w:p>
        </w:tc>
      </w:tr>
      <w:tr w:rsidR="004005AD" w:rsidRPr="008376FC" w:rsidTr="005C7C93">
        <w:trPr>
          <w:trHeight w:val="53"/>
        </w:trPr>
        <w:tc>
          <w:tcPr>
            <w:tcW w:w="630"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w:t>
            </w:r>
          </w:p>
        </w:tc>
        <w:tc>
          <w:tcPr>
            <w:tcW w:w="546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S.A. "Apă-Canal Cahul"</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p>
        </w:tc>
        <w:tc>
          <w:tcPr>
            <w:tcW w:w="80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-7,3</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-16,6</w:t>
            </w:r>
          </w:p>
        </w:tc>
        <w:tc>
          <w:tcPr>
            <w:tcW w:w="956"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-20,3</w:t>
            </w:r>
          </w:p>
        </w:tc>
      </w:tr>
      <w:tr w:rsidR="004005AD" w:rsidRPr="008376FC" w:rsidTr="005C7C93">
        <w:trPr>
          <w:trHeight w:val="133"/>
        </w:trPr>
        <w:tc>
          <w:tcPr>
            <w:tcW w:w="630"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p>
        </w:tc>
        <w:tc>
          <w:tcPr>
            <w:tcW w:w="546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Î.M."Direcția de producție Apă-Canal" or. Ştefan Vodă</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p>
        </w:tc>
        <w:tc>
          <w:tcPr>
            <w:tcW w:w="80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-3,9</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-4,3</w:t>
            </w:r>
          </w:p>
        </w:tc>
        <w:tc>
          <w:tcPr>
            <w:tcW w:w="956"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-4,8</w:t>
            </w:r>
          </w:p>
        </w:tc>
      </w:tr>
      <w:tr w:rsidR="004005AD" w:rsidRPr="008376FC" w:rsidTr="005C7C93">
        <w:trPr>
          <w:trHeight w:val="53"/>
        </w:trPr>
        <w:tc>
          <w:tcPr>
            <w:tcW w:w="630"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w:t>
            </w:r>
          </w:p>
        </w:tc>
        <w:tc>
          <w:tcPr>
            <w:tcW w:w="546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 xml:space="preserve">Î.M. "AQUA Basarabeasca" </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p>
        </w:tc>
        <w:tc>
          <w:tcPr>
            <w:tcW w:w="80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-1,5</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-1,6</w:t>
            </w:r>
          </w:p>
        </w:tc>
        <w:tc>
          <w:tcPr>
            <w:tcW w:w="956"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-1,7</w:t>
            </w:r>
          </w:p>
        </w:tc>
      </w:tr>
      <w:tr w:rsidR="004005AD" w:rsidRPr="008376FC" w:rsidTr="005C7C93">
        <w:trPr>
          <w:trHeight w:val="69"/>
        </w:trPr>
        <w:tc>
          <w:tcPr>
            <w:tcW w:w="630"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5</w:t>
            </w:r>
          </w:p>
        </w:tc>
        <w:tc>
          <w:tcPr>
            <w:tcW w:w="546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"Apă-Canal Donduseni"</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p>
        </w:tc>
        <w:tc>
          <w:tcPr>
            <w:tcW w:w="80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-4,2</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-4,4</w:t>
            </w:r>
          </w:p>
        </w:tc>
        <w:tc>
          <w:tcPr>
            <w:tcW w:w="956"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-4,5</w:t>
            </w:r>
          </w:p>
        </w:tc>
      </w:tr>
      <w:tr w:rsidR="004005AD" w:rsidRPr="008376FC" w:rsidTr="005C7C93">
        <w:trPr>
          <w:trHeight w:val="53"/>
        </w:trPr>
        <w:tc>
          <w:tcPr>
            <w:tcW w:w="630"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6</w:t>
            </w:r>
          </w:p>
        </w:tc>
        <w:tc>
          <w:tcPr>
            <w:tcW w:w="546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"Apă-Canal Ocnita"</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-0,004</w:t>
            </w:r>
          </w:p>
        </w:tc>
        <w:tc>
          <w:tcPr>
            <w:tcW w:w="80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-0,9</w:t>
            </w:r>
          </w:p>
        </w:tc>
        <w:tc>
          <w:tcPr>
            <w:tcW w:w="956"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-1,9</w:t>
            </w:r>
          </w:p>
        </w:tc>
      </w:tr>
      <w:tr w:rsidR="004005AD" w:rsidRPr="008376FC" w:rsidTr="005C7C93">
        <w:trPr>
          <w:trHeight w:val="175"/>
        </w:trPr>
        <w:tc>
          <w:tcPr>
            <w:tcW w:w="630"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7</w:t>
            </w:r>
          </w:p>
        </w:tc>
        <w:tc>
          <w:tcPr>
            <w:tcW w:w="546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"Regia Apă Șoldănești"</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p>
        </w:tc>
        <w:tc>
          <w:tcPr>
            <w:tcW w:w="80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-1,1</w:t>
            </w:r>
          </w:p>
        </w:tc>
        <w:tc>
          <w:tcPr>
            <w:tcW w:w="956"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-2,5</w:t>
            </w:r>
          </w:p>
        </w:tc>
      </w:tr>
      <w:tr w:rsidR="004005AD" w:rsidRPr="008376FC" w:rsidTr="005C7C93">
        <w:trPr>
          <w:trHeight w:val="65"/>
        </w:trPr>
        <w:tc>
          <w:tcPr>
            <w:tcW w:w="630"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8</w:t>
            </w:r>
          </w:p>
        </w:tc>
        <w:tc>
          <w:tcPr>
            <w:tcW w:w="546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 xml:space="preserve">S.A. "Regia Apă-Canal Soroca" </w:t>
            </w: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p>
        </w:tc>
        <w:tc>
          <w:tcPr>
            <w:tcW w:w="809"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p>
        </w:tc>
        <w:tc>
          <w:tcPr>
            <w:tcW w:w="808"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p>
        </w:tc>
        <w:tc>
          <w:tcPr>
            <w:tcW w:w="956"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-26,9</w:t>
            </w:r>
          </w:p>
        </w:tc>
      </w:tr>
      <w:tr w:rsidR="004005AD" w:rsidRPr="008376FC" w:rsidTr="005C7C93">
        <w:trPr>
          <w:trHeight w:val="254"/>
        </w:trPr>
        <w:tc>
          <w:tcPr>
            <w:tcW w:w="630"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9</w:t>
            </w:r>
          </w:p>
        </w:tc>
        <w:tc>
          <w:tcPr>
            <w:tcW w:w="5469"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Total, suma</w:t>
            </w:r>
          </w:p>
        </w:tc>
        <w:tc>
          <w:tcPr>
            <w:tcW w:w="808"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-0,004</w:t>
            </w:r>
          </w:p>
        </w:tc>
        <w:tc>
          <w:tcPr>
            <w:tcW w:w="809"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-321,1</w:t>
            </w:r>
          </w:p>
        </w:tc>
        <w:tc>
          <w:tcPr>
            <w:tcW w:w="808"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-348,1</w:t>
            </w:r>
          </w:p>
        </w:tc>
        <w:tc>
          <w:tcPr>
            <w:tcW w:w="956"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-400,4</w:t>
            </w:r>
          </w:p>
        </w:tc>
      </w:tr>
      <w:tr w:rsidR="004005AD" w:rsidRPr="008376FC" w:rsidTr="005C7C93">
        <w:trPr>
          <w:trHeight w:val="53"/>
        </w:trPr>
        <w:tc>
          <w:tcPr>
            <w:tcW w:w="630"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10</w:t>
            </w:r>
          </w:p>
        </w:tc>
        <w:tc>
          <w:tcPr>
            <w:tcW w:w="5469"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Total, numărul de întreprinderi</w:t>
            </w:r>
          </w:p>
        </w:tc>
        <w:tc>
          <w:tcPr>
            <w:tcW w:w="808"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1</w:t>
            </w:r>
          </w:p>
        </w:tc>
        <w:tc>
          <w:tcPr>
            <w:tcW w:w="809"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5</w:t>
            </w:r>
          </w:p>
        </w:tc>
        <w:tc>
          <w:tcPr>
            <w:tcW w:w="808"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7</w:t>
            </w:r>
          </w:p>
        </w:tc>
        <w:tc>
          <w:tcPr>
            <w:tcW w:w="956" w:type="dxa"/>
            <w:tcBorders>
              <w:bottom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8</w:t>
            </w:r>
          </w:p>
        </w:tc>
      </w:tr>
      <w:tr w:rsidR="00400351" w:rsidRPr="008376FC" w:rsidTr="005C7C93">
        <w:trPr>
          <w:trHeight w:val="53"/>
        </w:trPr>
        <w:tc>
          <w:tcPr>
            <w:tcW w:w="9480" w:type="dxa"/>
            <w:gridSpan w:val="6"/>
            <w:tcBorders>
              <w:top w:val="single" w:sz="4" w:space="0" w:color="auto"/>
              <w:left w:val="nil"/>
              <w:bottom w:val="nil"/>
              <w:right w:val="nil"/>
            </w:tcBorders>
            <w:shd w:val="clear" w:color="auto" w:fill="FFFFFF" w:themeFill="background1"/>
          </w:tcPr>
          <w:p w:rsidR="00400351" w:rsidRPr="00E24AD8" w:rsidRDefault="00400351" w:rsidP="00F61756">
            <w:pPr>
              <w:widowControl w:val="0"/>
              <w:autoSpaceDE w:val="0"/>
              <w:autoSpaceDN w:val="0"/>
              <w:spacing w:line="276" w:lineRule="auto"/>
              <w:ind w:left="212" w:right="112"/>
              <w:jc w:val="both"/>
              <w:rPr>
                <w:rFonts w:asciiTheme="majorHAnsi" w:eastAsia="Times New Roman" w:hAnsiTheme="majorHAnsi" w:cstheme="majorHAnsi"/>
                <w:b w:val="0"/>
                <w:bCs w:val="0"/>
                <w:i/>
                <w:sz w:val="20"/>
                <w:szCs w:val="20"/>
              </w:rPr>
            </w:pPr>
            <w:r w:rsidRPr="00E24AD8">
              <w:rPr>
                <w:rFonts w:asciiTheme="majorHAnsi" w:eastAsia="Times New Roman" w:hAnsiTheme="majorHAnsi" w:cstheme="majorHAnsi"/>
                <w:i/>
                <w:sz w:val="20"/>
                <w:szCs w:val="20"/>
              </w:rPr>
              <w:t>Sursa:</w:t>
            </w:r>
            <w:r w:rsidRPr="00E24AD8">
              <w:rPr>
                <w:rFonts w:asciiTheme="majorHAnsi" w:eastAsia="Times New Roman" w:hAnsiTheme="majorHAnsi" w:cstheme="majorHAnsi"/>
                <w:b w:val="0"/>
                <w:bCs w:val="0"/>
                <w:i/>
                <w:sz w:val="20"/>
                <w:szCs w:val="20"/>
              </w:rPr>
              <w:t xml:space="preserve"> Date</w:t>
            </w:r>
            <w:r w:rsidR="00FE5DAE">
              <w:rPr>
                <w:rFonts w:asciiTheme="majorHAnsi" w:eastAsia="Times New Roman" w:hAnsiTheme="majorHAnsi" w:cstheme="majorHAnsi"/>
                <w:b w:val="0"/>
                <w:bCs w:val="0"/>
                <w:i/>
                <w:sz w:val="20"/>
                <w:szCs w:val="20"/>
              </w:rPr>
              <w:t xml:space="preserve"> oferite d</w:t>
            </w:r>
            <w:r w:rsidRPr="00E24AD8">
              <w:rPr>
                <w:rFonts w:asciiTheme="majorHAnsi" w:eastAsia="Times New Roman" w:hAnsiTheme="majorHAnsi" w:cstheme="majorHAnsi"/>
                <w:b w:val="0"/>
                <w:bCs w:val="0"/>
                <w:i/>
                <w:sz w:val="20"/>
                <w:szCs w:val="20"/>
              </w:rPr>
              <w:t>e BNS.</w:t>
            </w:r>
          </w:p>
        </w:tc>
      </w:tr>
    </w:tbl>
    <w:p w:rsidR="00287638" w:rsidRPr="008376FC" w:rsidRDefault="00287638" w:rsidP="00F61756">
      <w:pPr>
        <w:widowControl w:val="0"/>
        <w:autoSpaceDE w:val="0"/>
        <w:autoSpaceDN w:val="0"/>
        <w:spacing w:after="0" w:line="276" w:lineRule="auto"/>
        <w:ind w:right="112"/>
        <w:jc w:val="both"/>
        <w:rPr>
          <w:rFonts w:asciiTheme="majorHAnsi" w:eastAsia="Times New Roman" w:hAnsiTheme="majorHAnsi" w:cstheme="majorHAnsi"/>
          <w:b w:val="0"/>
          <w:bCs w:val="0"/>
          <w:sz w:val="24"/>
          <w:szCs w:val="24"/>
        </w:rPr>
      </w:pPr>
    </w:p>
    <w:p w:rsidR="004005AD" w:rsidRPr="008376FC" w:rsidRDefault="004005AD" w:rsidP="00F61756">
      <w:pPr>
        <w:widowControl w:val="0"/>
        <w:autoSpaceDE w:val="0"/>
        <w:autoSpaceDN w:val="0"/>
        <w:spacing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În comparație cu anul 2014, în anul 2021 numărul întreprinderilor care au înregistrat capital propriu negativ a crescut de la o întreprindere la 8 întreprinderi, iar valoarea capitalului propriu negativ</w:t>
      </w:r>
      <w:r w:rsidR="00FE5DAE">
        <w:rPr>
          <w:rFonts w:asciiTheme="majorHAnsi" w:eastAsia="Times New Roman" w:hAnsiTheme="majorHAnsi" w:cstheme="majorHAnsi"/>
          <w:b w:val="0"/>
          <w:bCs w:val="0"/>
          <w:sz w:val="24"/>
          <w:szCs w:val="24"/>
        </w:rPr>
        <w:t xml:space="preserve"> a crescut</w:t>
      </w:r>
      <w:r w:rsidRPr="008376FC">
        <w:rPr>
          <w:rFonts w:asciiTheme="majorHAnsi" w:eastAsia="Times New Roman" w:hAnsiTheme="majorHAnsi" w:cstheme="majorHAnsi"/>
          <w:b w:val="0"/>
          <w:bCs w:val="0"/>
          <w:sz w:val="24"/>
          <w:szCs w:val="24"/>
        </w:rPr>
        <w:t xml:space="preserve"> de la 3,8 mii lei la 400,4 mil.lei. </w:t>
      </w:r>
    </w:p>
    <w:p w:rsidR="004005AD" w:rsidRPr="008376FC" w:rsidRDefault="004005AD"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Capitalul propriu negativ denotă un grad de îndatorare semnificativ al întreprinderilor vizate, precum și imposibilitatea sau dificultăți în achitarea datoriilor din fonduri proprii. Folosind doar capitalul propri</w:t>
      </w:r>
      <w:r w:rsidR="00FE5DAE">
        <w:rPr>
          <w:rFonts w:asciiTheme="majorHAnsi" w:eastAsia="Times New Roman" w:hAnsiTheme="majorHAnsi" w:cstheme="majorHAnsi"/>
          <w:b w:val="0"/>
          <w:bCs w:val="0"/>
          <w:sz w:val="24"/>
          <w:szCs w:val="24"/>
        </w:rPr>
        <w:t>u</w:t>
      </w:r>
      <w:r w:rsidRPr="008376FC">
        <w:rPr>
          <w:rFonts w:asciiTheme="majorHAnsi" w:eastAsia="Times New Roman" w:hAnsiTheme="majorHAnsi" w:cstheme="majorHAnsi"/>
          <w:b w:val="0"/>
          <w:bCs w:val="0"/>
          <w:sz w:val="24"/>
          <w:szCs w:val="24"/>
        </w:rPr>
        <w:t xml:space="preserve">, entitatea are cea mai mare stabilitate financiară, dar este limitată în ritmul dezvoltării sale. La rândul său, capitalul împrumutat se caracterizează prin posibilități destul de largi de atragere a surselor de finanțare, în special în cazul </w:t>
      </w:r>
      <w:r w:rsidR="00FE5DAE">
        <w:rPr>
          <w:rFonts w:asciiTheme="majorHAnsi" w:eastAsia="Times New Roman" w:hAnsiTheme="majorHAnsi" w:cstheme="majorHAnsi"/>
          <w:b w:val="0"/>
          <w:bCs w:val="0"/>
          <w:sz w:val="24"/>
          <w:szCs w:val="24"/>
        </w:rPr>
        <w:t>în care</w:t>
      </w:r>
      <w:r w:rsidRPr="008376FC">
        <w:rPr>
          <w:rFonts w:asciiTheme="majorHAnsi" w:eastAsia="Times New Roman" w:hAnsiTheme="majorHAnsi" w:cstheme="majorHAnsi"/>
          <w:b w:val="0"/>
          <w:bCs w:val="0"/>
          <w:sz w:val="24"/>
          <w:szCs w:val="24"/>
        </w:rPr>
        <w:t xml:space="preserve"> întreprinderea are o istorie de creditare bună sau are garanții. </w:t>
      </w:r>
    </w:p>
    <w:p w:rsidR="00287638" w:rsidRPr="008376FC" w:rsidRDefault="004005AD"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Reevaluarea la timp a valorii OITE la care gradul de uzură atins constituie 100%</w:t>
      </w:r>
      <w:r w:rsidR="00FE5DAE">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dar care continu</w:t>
      </w:r>
      <w:r w:rsidR="00FE5DAE">
        <w:rPr>
          <w:rFonts w:asciiTheme="majorHAnsi" w:eastAsia="Times New Roman" w:hAnsiTheme="majorHAnsi" w:cstheme="majorHAnsi"/>
          <w:b w:val="0"/>
          <w:bCs w:val="0"/>
          <w:sz w:val="24"/>
          <w:szCs w:val="24"/>
        </w:rPr>
        <w:t>ă</w:t>
      </w:r>
      <w:r w:rsidRPr="008376FC">
        <w:rPr>
          <w:rFonts w:asciiTheme="majorHAnsi" w:eastAsia="Times New Roman" w:hAnsiTheme="majorHAnsi" w:cstheme="majorHAnsi"/>
          <w:b w:val="0"/>
          <w:bCs w:val="0"/>
          <w:sz w:val="24"/>
          <w:szCs w:val="24"/>
        </w:rPr>
        <w:t xml:space="preserve"> să fie utilizare în procesul de prestare a serviciilor de alimentare cu apă și sanitație, ar permite APL să revizuiască cuantumul redevenței pentru bunurile transmise în gestiune delegată operatorilor de servicii și </w:t>
      </w:r>
      <w:r w:rsidRPr="00156F68">
        <w:rPr>
          <w:rFonts w:asciiTheme="majorHAnsi" w:eastAsia="Times New Roman" w:hAnsiTheme="majorHAnsi" w:cstheme="majorHAnsi"/>
          <w:b w:val="0"/>
          <w:bCs w:val="0"/>
          <w:sz w:val="24"/>
          <w:szCs w:val="24"/>
        </w:rPr>
        <w:t xml:space="preserve">să le </w:t>
      </w:r>
      <w:r w:rsidR="00534D52" w:rsidRPr="00156F68">
        <w:rPr>
          <w:rFonts w:asciiTheme="majorHAnsi" w:eastAsia="Times New Roman" w:hAnsiTheme="majorHAnsi" w:cstheme="majorHAnsi"/>
          <w:b w:val="0"/>
          <w:bCs w:val="0"/>
          <w:sz w:val="24"/>
          <w:szCs w:val="24"/>
        </w:rPr>
        <w:t xml:space="preserve">transfere </w:t>
      </w:r>
      <w:r w:rsidRPr="00156F68">
        <w:rPr>
          <w:rFonts w:asciiTheme="majorHAnsi" w:eastAsia="Times New Roman" w:hAnsiTheme="majorHAnsi" w:cstheme="majorHAnsi"/>
          <w:b w:val="0"/>
          <w:bCs w:val="0"/>
          <w:sz w:val="24"/>
          <w:szCs w:val="24"/>
        </w:rPr>
        <w:t xml:space="preserve"> ultimilor sub formă de subvenții/subsidii </w:t>
      </w:r>
      <w:r w:rsidR="00D6264C" w:rsidRPr="00156F68">
        <w:rPr>
          <w:rFonts w:asciiTheme="majorHAnsi" w:eastAsia="Times New Roman" w:hAnsiTheme="majorHAnsi" w:cstheme="majorHAnsi"/>
          <w:b w:val="0"/>
          <w:bCs w:val="0"/>
          <w:sz w:val="24"/>
          <w:szCs w:val="24"/>
        </w:rPr>
        <w:t xml:space="preserve"> </w:t>
      </w:r>
      <w:r w:rsidRPr="00156F68">
        <w:rPr>
          <w:rFonts w:asciiTheme="majorHAnsi" w:eastAsia="Times New Roman" w:hAnsiTheme="majorHAnsi" w:cstheme="majorHAnsi"/>
          <w:b w:val="0"/>
          <w:bCs w:val="0"/>
          <w:sz w:val="24"/>
          <w:szCs w:val="24"/>
        </w:rPr>
        <w:t>pentru utilizarea lor în scopurile aferente reabilitării, renovării și extinderii rețelelor existente</w:t>
      </w:r>
      <w:r w:rsidR="00D6264C" w:rsidRPr="00156F68">
        <w:rPr>
          <w:rFonts w:asciiTheme="majorHAnsi" w:eastAsia="Times New Roman" w:hAnsiTheme="majorHAnsi" w:cstheme="majorHAnsi"/>
          <w:b w:val="0"/>
          <w:bCs w:val="0"/>
          <w:sz w:val="24"/>
          <w:szCs w:val="24"/>
        </w:rPr>
        <w:t>.  Sau mijloacele provenite din redevență să fie acumulate la APL un cont separat, cu utilizarea în scopurule prevăzute în Legea nr.303/2013.</w:t>
      </w:r>
      <w:r w:rsidR="00D6264C">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sz w:val="24"/>
          <w:szCs w:val="24"/>
        </w:rPr>
        <w:t xml:space="preserve"> </w:t>
      </w:r>
    </w:p>
    <w:p w:rsidR="004005AD" w:rsidRPr="008376FC" w:rsidRDefault="004005AD" w:rsidP="00F61756">
      <w:pPr>
        <w:pStyle w:val="a3"/>
        <w:widowControl w:val="0"/>
        <w:numPr>
          <w:ilvl w:val="2"/>
          <w:numId w:val="50"/>
        </w:numPr>
        <w:autoSpaceDE w:val="0"/>
        <w:autoSpaceDN w:val="0"/>
        <w:spacing w:before="120" w:line="276" w:lineRule="auto"/>
        <w:ind w:right="112"/>
        <w:jc w:val="both"/>
        <w:rPr>
          <w:rFonts w:asciiTheme="majorHAnsi" w:hAnsiTheme="majorHAnsi" w:cstheme="majorHAnsi"/>
          <w:b/>
          <w:color w:val="0070C0"/>
          <w:lang w:val="en-US"/>
        </w:rPr>
      </w:pPr>
      <w:r w:rsidRPr="008376FC">
        <w:rPr>
          <w:rFonts w:asciiTheme="majorHAnsi" w:hAnsiTheme="majorHAnsi" w:cstheme="majorHAnsi"/>
          <w:b/>
          <w:color w:val="0070C0"/>
          <w:lang w:val="en-US"/>
        </w:rPr>
        <w:t>Pe parcursul anilor, unele întreprinderi au contractat împrumuturi</w:t>
      </w:r>
      <w:r w:rsidR="00FE5DAE">
        <w:rPr>
          <w:rFonts w:asciiTheme="majorHAnsi" w:hAnsiTheme="majorHAnsi" w:cstheme="majorHAnsi"/>
          <w:b/>
          <w:color w:val="0070C0"/>
          <w:lang w:val="en-US"/>
        </w:rPr>
        <w:t>.</w:t>
      </w:r>
    </w:p>
    <w:p w:rsidR="004005AD" w:rsidRPr="008376FC" w:rsidRDefault="004005AD"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Se atestă că, pe parcursul anilor, unele întreprinderi au contractat împrumuturi și credite bancare pe termen lung. Astfel, la finele anului 2021, valoarea împrumuturilor și creditelor bancare contractate pe termen lung a constituit 757,2 mil.lei, inclusiv credite bancare pe termen lung </w:t>
      </w:r>
      <w:r w:rsidR="00FE5DAE">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514,5 mil.lei</w:t>
      </w:r>
      <w:r w:rsidR="00FE5DAE">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și împrumuturi – 242,7 mil.lei. Ponderea creditelor și împrumuturilor în totalul datoriilor constituie 33,5%, acestea fiind contractate de 17 întreprinderi, cele mai mari sume de credite și împrumuturi fiind contractate de către SA „Apă-Canal Chișinău” </w:t>
      </w:r>
      <w:r w:rsidR="00FE5DAE">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467,9 mil.lei, Î.M. Regia „Apă-Canal-Bălţi” – 69,6 mil.lei, S.A. „Apa-Canal Cahul” – 53,3 mil.lei, Î.M. „Apă-Canal Ungheni” – 23,2 mil.lei, SA „Regia Apă</w:t>
      </w:r>
      <w:r w:rsidR="00FE5DAE">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Canal</w:t>
      </w:r>
      <w:r w:rsidR="00FE5DAE">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sz w:val="24"/>
          <w:szCs w:val="24"/>
        </w:rPr>
        <w:t>Orhei” – 46,9 mil.lei, S.A. „Operator Regional Apă-Canal H</w:t>
      </w:r>
      <w:r w:rsidR="00FE5DAE">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 xml:space="preserve">ncești” – 10,9 mil.lei, S.A. „Servicii comunale Florești” – 34,8 lei, Î.M. „Direcția de producție Apă-Canal Ștefan Vodă” – 12,8 mil.lei, S.A. „Regia Apă-Canal Soroca” – 21,5 mil.lei, Î.M. </w:t>
      </w:r>
      <w:r w:rsidR="00FE5DAE">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Apă - Canal Căușeni" – 13,2 mil.lei. Mare</w:t>
      </w:r>
      <w:r w:rsidR="00FE5DAE">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z w:val="24"/>
          <w:szCs w:val="24"/>
        </w:rPr>
        <w:t xml:space="preserve"> parte a acestora reprezintă creditele contractate </w:t>
      </w:r>
      <w:r w:rsidR="007F211B">
        <w:rPr>
          <w:rFonts w:asciiTheme="majorHAnsi" w:eastAsia="Times New Roman" w:hAnsiTheme="majorHAnsi" w:cstheme="majorHAnsi"/>
          <w:b w:val="0"/>
          <w:bCs w:val="0"/>
          <w:sz w:val="24"/>
          <w:szCs w:val="24"/>
        </w:rPr>
        <w:t xml:space="preserve"> direct </w:t>
      </w:r>
      <w:r w:rsidRPr="008376FC">
        <w:rPr>
          <w:rFonts w:asciiTheme="majorHAnsi" w:eastAsia="Times New Roman" w:hAnsiTheme="majorHAnsi" w:cstheme="majorHAnsi"/>
          <w:b w:val="0"/>
          <w:bCs w:val="0"/>
          <w:sz w:val="24"/>
          <w:szCs w:val="24"/>
        </w:rPr>
        <w:t>de la donatorii externi</w:t>
      </w:r>
      <w:r w:rsidR="007F211B">
        <w:rPr>
          <w:rFonts w:asciiTheme="majorHAnsi" w:eastAsia="Times New Roman" w:hAnsiTheme="majorHAnsi" w:cstheme="majorHAnsi"/>
          <w:b w:val="0"/>
          <w:bCs w:val="0"/>
          <w:sz w:val="24"/>
          <w:szCs w:val="24"/>
        </w:rPr>
        <w:t xml:space="preserve"> sau recreditate de MF</w:t>
      </w:r>
      <w:r w:rsidR="00F20C74">
        <w:rPr>
          <w:rFonts w:asciiTheme="majorHAnsi" w:eastAsia="Times New Roman" w:hAnsiTheme="majorHAnsi" w:cstheme="majorHAnsi"/>
          <w:b w:val="0"/>
          <w:bCs w:val="0"/>
          <w:sz w:val="24"/>
          <w:szCs w:val="24"/>
        </w:rPr>
        <w:t xml:space="preserve"> din surse externe</w:t>
      </w:r>
      <w:r w:rsidRPr="008376FC">
        <w:rPr>
          <w:rFonts w:asciiTheme="majorHAnsi" w:eastAsia="Times New Roman" w:hAnsiTheme="majorHAnsi" w:cstheme="majorHAnsi"/>
          <w:b w:val="0"/>
          <w:bCs w:val="0"/>
          <w:sz w:val="24"/>
          <w:szCs w:val="24"/>
        </w:rPr>
        <w:t>, desti</w:t>
      </w:r>
      <w:r w:rsidR="00FE5DAE">
        <w:rPr>
          <w:rFonts w:asciiTheme="majorHAnsi" w:eastAsia="Times New Roman" w:hAnsiTheme="majorHAnsi" w:cstheme="majorHAnsi"/>
          <w:b w:val="0"/>
          <w:bCs w:val="0"/>
          <w:sz w:val="24"/>
          <w:szCs w:val="24"/>
        </w:rPr>
        <w:t>n</w:t>
      </w:r>
      <w:r w:rsidRPr="008376FC">
        <w:rPr>
          <w:rFonts w:asciiTheme="majorHAnsi" w:eastAsia="Times New Roman" w:hAnsiTheme="majorHAnsi" w:cstheme="majorHAnsi"/>
          <w:b w:val="0"/>
          <w:bCs w:val="0"/>
          <w:sz w:val="24"/>
          <w:szCs w:val="24"/>
        </w:rPr>
        <w:t>a</w:t>
      </w:r>
      <w:r w:rsidR="00FE5DAE">
        <w:rPr>
          <w:rFonts w:asciiTheme="majorHAnsi" w:eastAsia="Times New Roman" w:hAnsiTheme="majorHAnsi" w:cstheme="majorHAnsi"/>
          <w:b w:val="0"/>
          <w:bCs w:val="0"/>
          <w:sz w:val="24"/>
          <w:szCs w:val="24"/>
        </w:rPr>
        <w:t>t</w:t>
      </w:r>
      <w:r w:rsidRPr="008376FC">
        <w:rPr>
          <w:rFonts w:asciiTheme="majorHAnsi" w:eastAsia="Times New Roman" w:hAnsiTheme="majorHAnsi" w:cstheme="majorHAnsi"/>
          <w:b w:val="0"/>
          <w:bCs w:val="0"/>
          <w:sz w:val="24"/>
          <w:szCs w:val="24"/>
        </w:rPr>
        <w:t>e pentru îmbunătățirea structurii tehnico-edilitate gestionate. Totodată, în anul 2021 au fost achitate dobânzi în sumă totală de 8,9 mil.lei.</w:t>
      </w:r>
      <w:r w:rsidR="00287638" w:rsidRPr="008376FC">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iCs/>
          <w:sz w:val="24"/>
          <w:szCs w:val="24"/>
        </w:rPr>
        <w:t>Informaţi</w:t>
      </w:r>
      <w:r w:rsidR="00FE5DAE">
        <w:rPr>
          <w:rFonts w:asciiTheme="majorHAnsi" w:eastAsia="Times New Roman" w:hAnsiTheme="majorHAnsi" w:cstheme="majorHAnsi"/>
          <w:b w:val="0"/>
          <w:bCs w:val="0"/>
          <w:iCs/>
          <w:sz w:val="24"/>
          <w:szCs w:val="24"/>
        </w:rPr>
        <w:t>i</w:t>
      </w:r>
      <w:r w:rsidRPr="008376FC">
        <w:rPr>
          <w:rFonts w:asciiTheme="majorHAnsi" w:eastAsia="Times New Roman" w:hAnsiTheme="majorHAnsi" w:cstheme="majorHAnsi"/>
          <w:b w:val="0"/>
          <w:bCs w:val="0"/>
          <w:iCs/>
          <w:sz w:val="24"/>
          <w:szCs w:val="24"/>
        </w:rPr>
        <w:t xml:space="preserve"> detaliat</w:t>
      </w:r>
      <w:r w:rsidR="00FE5DAE">
        <w:rPr>
          <w:rFonts w:asciiTheme="majorHAnsi" w:eastAsia="Times New Roman" w:hAnsiTheme="majorHAnsi" w:cstheme="majorHAnsi"/>
          <w:b w:val="0"/>
          <w:bCs w:val="0"/>
          <w:iCs/>
          <w:sz w:val="24"/>
          <w:szCs w:val="24"/>
        </w:rPr>
        <w:t>e</w:t>
      </w:r>
      <w:r w:rsidRPr="008376FC">
        <w:rPr>
          <w:rFonts w:asciiTheme="majorHAnsi" w:eastAsia="Times New Roman" w:hAnsiTheme="majorHAnsi" w:cstheme="majorHAnsi"/>
          <w:b w:val="0"/>
          <w:bCs w:val="0"/>
          <w:iCs/>
          <w:sz w:val="24"/>
          <w:szCs w:val="24"/>
        </w:rPr>
        <w:t xml:space="preserve"> se prezintă în Anexa nr.1</w:t>
      </w:r>
      <w:r w:rsidR="00CB50EF" w:rsidRPr="008376FC">
        <w:rPr>
          <w:rFonts w:asciiTheme="majorHAnsi" w:eastAsia="Times New Roman" w:hAnsiTheme="majorHAnsi" w:cstheme="majorHAnsi"/>
          <w:b w:val="0"/>
          <w:bCs w:val="0"/>
          <w:iCs/>
          <w:sz w:val="24"/>
          <w:szCs w:val="24"/>
        </w:rPr>
        <w:t>3</w:t>
      </w:r>
      <w:r w:rsidR="00287638" w:rsidRPr="008376FC">
        <w:rPr>
          <w:rFonts w:asciiTheme="majorHAnsi" w:eastAsia="Times New Roman" w:hAnsiTheme="majorHAnsi" w:cstheme="majorHAnsi"/>
          <w:b w:val="0"/>
          <w:bCs w:val="0"/>
          <w:iCs/>
          <w:sz w:val="24"/>
          <w:szCs w:val="24"/>
        </w:rPr>
        <w:t xml:space="preserve"> la prezentul Raport de audit</w:t>
      </w:r>
      <w:r w:rsidRPr="008376FC">
        <w:rPr>
          <w:rFonts w:asciiTheme="majorHAnsi" w:eastAsia="Times New Roman" w:hAnsiTheme="majorHAnsi" w:cstheme="majorHAnsi"/>
          <w:b w:val="0"/>
          <w:bCs w:val="0"/>
          <w:iCs/>
          <w:sz w:val="24"/>
          <w:szCs w:val="24"/>
        </w:rPr>
        <w:t>.</w:t>
      </w:r>
    </w:p>
    <w:p w:rsidR="004005AD" w:rsidRPr="008376FC" w:rsidRDefault="004005AD"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Cu referire la S.A. „Apa-Canal Chișinău”, se atestă că</w:t>
      </w:r>
      <w:r w:rsidR="00FE5DAE">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în suma totală de 467,9 mil.lei aferentă creditelor bancare pe termen lung</w:t>
      </w:r>
      <w:r w:rsidRPr="008376FC">
        <w:rPr>
          <w:rFonts w:asciiTheme="majorHAnsi" w:eastAsia="Times New Roman" w:hAnsiTheme="majorHAnsi" w:cstheme="majorHAnsi"/>
          <w:b w:val="0"/>
          <w:bCs w:val="0"/>
          <w:sz w:val="24"/>
          <w:szCs w:val="24"/>
          <w:vertAlign w:val="superscript"/>
        </w:rPr>
        <w:footnoteReference w:id="122"/>
      </w:r>
      <w:r w:rsidRPr="008376FC">
        <w:rPr>
          <w:rFonts w:asciiTheme="majorHAnsi" w:eastAsia="Times New Roman" w:hAnsiTheme="majorHAnsi" w:cstheme="majorHAnsi"/>
          <w:b w:val="0"/>
          <w:bCs w:val="0"/>
          <w:sz w:val="24"/>
          <w:szCs w:val="24"/>
        </w:rPr>
        <w:t>, 268,2 mil.lei reprezintă împrumutul acordat de BEI (Acord de împrumut nr. FI N 814336 Separis N20110235 din 19.12.2013), 174,9 mil.lei reprezintă împrumutul acordat de BERD (</w:t>
      </w:r>
      <w:r w:rsidR="00FE5DAE">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z w:val="24"/>
          <w:szCs w:val="24"/>
        </w:rPr>
        <w:t>cord</w:t>
      </w:r>
      <w:r w:rsidR="00FE5DAE">
        <w:rPr>
          <w:rFonts w:asciiTheme="majorHAnsi" w:eastAsia="Times New Roman" w:hAnsiTheme="majorHAnsi" w:cstheme="majorHAnsi"/>
          <w:b w:val="0"/>
          <w:bCs w:val="0"/>
          <w:sz w:val="24"/>
          <w:szCs w:val="24"/>
        </w:rPr>
        <w:t>ul</w:t>
      </w:r>
      <w:r w:rsidRPr="008376FC">
        <w:rPr>
          <w:rFonts w:asciiTheme="majorHAnsi" w:eastAsia="Times New Roman" w:hAnsiTheme="majorHAnsi" w:cstheme="majorHAnsi"/>
          <w:b w:val="0"/>
          <w:bCs w:val="0"/>
          <w:sz w:val="24"/>
          <w:szCs w:val="24"/>
        </w:rPr>
        <w:t xml:space="preserve"> de împrumut nr.44027 din 19.12.2013) și împrumuturi interne – 24,8 mil.lei. Pe lângă împrumuturi, S.A. „Apă-Canal Chișinău” are 105,2 mil.lei grant de la BERD și BEI pentru facilitarea investițiilor pentru vecinătate a UE (FIV al UE)</w:t>
      </w:r>
      <w:r w:rsidR="00FE5DAE">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contractor PASSAVANT ENERGY &amp;ENVIRONMENT GmbH &amp;LUDWIG PREIFFER- Reabilitarea Stației de epurare a apelor uzate și linia Nouă de tratare a nămolului, contract nr.8282-IFT – 44022/272 din 27.07.2017. Din creditul de 48,0 mil</w:t>
      </w:r>
      <w:r w:rsidR="00A873CA">
        <w:rPr>
          <w:rFonts w:asciiTheme="majorHAnsi" w:eastAsia="Times New Roman" w:hAnsiTheme="majorHAnsi" w:cstheme="majorHAnsi"/>
          <w:b w:val="0"/>
          <w:bCs w:val="0"/>
          <w:sz w:val="24"/>
          <w:szCs w:val="24"/>
        </w:rPr>
        <w:t>.euro</w:t>
      </w:r>
      <w:r w:rsidRPr="008376FC">
        <w:rPr>
          <w:rFonts w:asciiTheme="majorHAnsi" w:eastAsia="Times New Roman" w:hAnsiTheme="majorHAnsi" w:cstheme="majorHAnsi"/>
          <w:b w:val="0"/>
          <w:bCs w:val="0"/>
          <w:sz w:val="24"/>
          <w:szCs w:val="24"/>
        </w:rPr>
        <w:t xml:space="preserve"> urmau a fi efectuate lucrări de reabilitare a rețelelor de alimentare </w:t>
      </w:r>
      <w:r w:rsidR="00A873CA">
        <w:rPr>
          <w:rFonts w:asciiTheme="majorHAnsi" w:eastAsia="Times New Roman" w:hAnsiTheme="majorHAnsi" w:cstheme="majorHAnsi"/>
          <w:b w:val="0"/>
          <w:bCs w:val="0"/>
          <w:sz w:val="24"/>
          <w:szCs w:val="24"/>
        </w:rPr>
        <w:t>cu</w:t>
      </w:r>
      <w:r w:rsidRPr="008376FC">
        <w:rPr>
          <w:rFonts w:asciiTheme="majorHAnsi" w:eastAsia="Times New Roman" w:hAnsiTheme="majorHAnsi" w:cstheme="majorHAnsi"/>
          <w:b w:val="0"/>
          <w:bCs w:val="0"/>
          <w:sz w:val="24"/>
          <w:szCs w:val="24"/>
        </w:rPr>
        <w:t xml:space="preserve"> apă şi</w:t>
      </w:r>
      <w:r w:rsidR="00A873CA">
        <w:rPr>
          <w:rFonts w:asciiTheme="majorHAnsi" w:eastAsia="Times New Roman" w:hAnsiTheme="majorHAnsi" w:cstheme="majorHAnsi"/>
          <w:b w:val="0"/>
          <w:bCs w:val="0"/>
          <w:sz w:val="24"/>
          <w:szCs w:val="24"/>
        </w:rPr>
        <w:t xml:space="preserve"> de</w:t>
      </w:r>
      <w:r w:rsidRPr="008376FC">
        <w:rPr>
          <w:rFonts w:asciiTheme="majorHAnsi" w:eastAsia="Times New Roman" w:hAnsiTheme="majorHAnsi" w:cstheme="majorHAnsi"/>
          <w:b w:val="0"/>
          <w:bCs w:val="0"/>
          <w:sz w:val="24"/>
          <w:szCs w:val="24"/>
        </w:rPr>
        <w:t xml:space="preserve"> canalizare, modernizare</w:t>
      </w:r>
      <w:r w:rsidR="00A873CA">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sz w:val="24"/>
          <w:szCs w:val="24"/>
        </w:rPr>
        <w:t>a stațiilor de pompare, instalare</w:t>
      </w:r>
      <w:r w:rsidR="00A873CA">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sz w:val="24"/>
          <w:szCs w:val="24"/>
        </w:rPr>
        <w:t xml:space="preserve">a sistemului SCADA şi MIS şi </w:t>
      </w:r>
      <w:r w:rsidR="00A873CA">
        <w:rPr>
          <w:rFonts w:asciiTheme="majorHAnsi" w:eastAsia="Times New Roman" w:hAnsiTheme="majorHAnsi" w:cstheme="majorHAnsi"/>
          <w:b w:val="0"/>
          <w:bCs w:val="0"/>
          <w:sz w:val="24"/>
          <w:szCs w:val="24"/>
        </w:rPr>
        <w:t xml:space="preserve">de </w:t>
      </w:r>
      <w:r w:rsidRPr="008376FC">
        <w:rPr>
          <w:rFonts w:asciiTheme="majorHAnsi" w:eastAsia="Times New Roman" w:hAnsiTheme="majorHAnsi" w:cstheme="majorHAnsi"/>
          <w:b w:val="0"/>
          <w:bCs w:val="0"/>
          <w:sz w:val="24"/>
          <w:szCs w:val="24"/>
        </w:rPr>
        <w:t>reabilitare</w:t>
      </w:r>
      <w:r w:rsidR="00A873CA">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sz w:val="24"/>
          <w:szCs w:val="24"/>
        </w:rPr>
        <w:t>a Stației de epurare. Pentru reabilitarea Stației de epurare, suplimentar la mijloacele de împrumut au fost alocate 11,0 mil.</w:t>
      </w:r>
      <w:r w:rsidR="00A873CA">
        <w:rPr>
          <w:rFonts w:asciiTheme="majorHAnsi" w:eastAsia="Times New Roman" w:hAnsiTheme="majorHAnsi" w:cstheme="majorHAnsi"/>
          <w:b w:val="0"/>
          <w:bCs w:val="0"/>
          <w:sz w:val="24"/>
          <w:szCs w:val="24"/>
        </w:rPr>
        <w:t>euro</w:t>
      </w:r>
      <w:r w:rsidRPr="008376FC">
        <w:rPr>
          <w:rFonts w:asciiTheme="majorHAnsi" w:eastAsia="Times New Roman" w:hAnsiTheme="majorHAnsi" w:cstheme="majorHAnsi"/>
          <w:b w:val="0"/>
          <w:bCs w:val="0"/>
          <w:sz w:val="24"/>
          <w:szCs w:val="24"/>
        </w:rPr>
        <w:t xml:space="preserve"> sub formă de grant, iar 2,8 mil.</w:t>
      </w:r>
      <w:r w:rsidR="00A873CA">
        <w:rPr>
          <w:rFonts w:asciiTheme="majorHAnsi" w:eastAsia="Times New Roman" w:hAnsiTheme="majorHAnsi" w:cstheme="majorHAnsi"/>
          <w:b w:val="0"/>
          <w:bCs w:val="0"/>
          <w:sz w:val="24"/>
          <w:szCs w:val="24"/>
        </w:rPr>
        <w:t>euro</w:t>
      </w:r>
      <w:r w:rsidRPr="008376FC">
        <w:rPr>
          <w:rFonts w:asciiTheme="majorHAnsi" w:eastAsia="Times New Roman" w:hAnsiTheme="majorHAnsi" w:cstheme="majorHAnsi"/>
          <w:b w:val="0"/>
          <w:bCs w:val="0"/>
          <w:sz w:val="24"/>
          <w:szCs w:val="24"/>
        </w:rPr>
        <w:t xml:space="preserve"> din grant urmau a fi utilizate pentru serviciile de asistenţă tehnică.</w:t>
      </w:r>
    </w:p>
    <w:p w:rsidR="004005AD" w:rsidRPr="008376FC" w:rsidRDefault="004005AD"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Împrumutul BERD, aprobat în valoare de 24,0 mil.</w:t>
      </w:r>
      <w:r w:rsidR="00A873CA">
        <w:rPr>
          <w:rFonts w:asciiTheme="majorHAnsi" w:eastAsia="Times New Roman" w:hAnsiTheme="majorHAnsi" w:cstheme="majorHAnsi"/>
          <w:b w:val="0"/>
          <w:bCs w:val="0"/>
          <w:sz w:val="24"/>
          <w:szCs w:val="24"/>
        </w:rPr>
        <w:t>euro,</w:t>
      </w:r>
      <w:r w:rsidRPr="008376FC">
        <w:rPr>
          <w:rFonts w:asciiTheme="majorHAnsi" w:eastAsia="Times New Roman" w:hAnsiTheme="majorHAnsi" w:cstheme="majorHAnsi"/>
          <w:b w:val="0"/>
          <w:bCs w:val="0"/>
          <w:sz w:val="24"/>
          <w:szCs w:val="24"/>
        </w:rPr>
        <w:t xml:space="preserve"> în anul 2022 a fost micșorat până la 21,0 mil. </w:t>
      </w:r>
      <w:r w:rsidR="00A873CA">
        <w:rPr>
          <w:rFonts w:asciiTheme="majorHAnsi" w:eastAsia="Times New Roman" w:hAnsiTheme="majorHAnsi" w:cstheme="majorHAnsi"/>
          <w:b w:val="0"/>
          <w:bCs w:val="0"/>
          <w:sz w:val="24"/>
          <w:szCs w:val="24"/>
        </w:rPr>
        <w:t>euro</w:t>
      </w:r>
      <w:r w:rsidRPr="008376FC">
        <w:rPr>
          <w:rFonts w:asciiTheme="majorHAnsi" w:eastAsia="Times New Roman" w:hAnsiTheme="majorHAnsi" w:cstheme="majorHAnsi"/>
          <w:b w:val="0"/>
          <w:bCs w:val="0"/>
          <w:sz w:val="24"/>
          <w:szCs w:val="24"/>
        </w:rPr>
        <w:t>, iar ca urmare a condiționării din partea BEI, la 03.11.2022</w:t>
      </w:r>
      <w:r w:rsidRPr="008376FC">
        <w:rPr>
          <w:rFonts w:asciiTheme="majorHAnsi" w:eastAsia="Times New Roman" w:hAnsiTheme="majorHAnsi" w:cstheme="majorHAnsi"/>
          <w:b w:val="0"/>
          <w:bCs w:val="0"/>
          <w:sz w:val="24"/>
          <w:szCs w:val="24"/>
          <w:vertAlign w:val="superscript"/>
        </w:rPr>
        <w:footnoteReference w:id="123"/>
      </w:r>
      <w:r w:rsidRPr="008376FC">
        <w:rPr>
          <w:rFonts w:asciiTheme="majorHAnsi" w:eastAsia="Times New Roman" w:hAnsiTheme="majorHAnsi" w:cstheme="majorHAnsi"/>
          <w:b w:val="0"/>
          <w:bCs w:val="0"/>
          <w:sz w:val="24"/>
          <w:szCs w:val="24"/>
        </w:rPr>
        <w:t xml:space="preserve"> ambele Acorduri de împrumut au fost cesionate de către S.A. „Ap</w:t>
      </w:r>
      <w:r w:rsidR="00A873CA">
        <w:rPr>
          <w:rFonts w:asciiTheme="majorHAnsi" w:eastAsia="Times New Roman" w:hAnsiTheme="majorHAnsi" w:cstheme="majorHAnsi"/>
          <w:b w:val="0"/>
          <w:bCs w:val="0"/>
          <w:sz w:val="24"/>
          <w:szCs w:val="24"/>
        </w:rPr>
        <w:t>ă</w:t>
      </w:r>
      <w:r w:rsidRPr="008376FC">
        <w:rPr>
          <w:rFonts w:asciiTheme="majorHAnsi" w:eastAsia="Times New Roman" w:hAnsiTheme="majorHAnsi" w:cstheme="majorHAnsi"/>
          <w:b w:val="0"/>
          <w:bCs w:val="0"/>
          <w:sz w:val="24"/>
          <w:szCs w:val="24"/>
        </w:rPr>
        <w:t>-Canal Chișinău” Consiliului Municipal Chişinău. La situația din 17.02.2023, din 21,0 mil.</w:t>
      </w:r>
      <w:r w:rsidR="00A873CA">
        <w:rPr>
          <w:rFonts w:asciiTheme="majorHAnsi" w:eastAsia="Times New Roman" w:hAnsiTheme="majorHAnsi" w:cstheme="majorHAnsi"/>
          <w:b w:val="0"/>
          <w:bCs w:val="0"/>
          <w:sz w:val="24"/>
          <w:szCs w:val="24"/>
        </w:rPr>
        <w:t>euro</w:t>
      </w:r>
      <w:r w:rsidRPr="008376FC">
        <w:rPr>
          <w:rFonts w:asciiTheme="majorHAnsi" w:eastAsia="Times New Roman" w:hAnsiTheme="majorHAnsi" w:cstheme="majorHAnsi"/>
          <w:b w:val="0"/>
          <w:bCs w:val="0"/>
          <w:sz w:val="24"/>
          <w:szCs w:val="24"/>
        </w:rPr>
        <w:t xml:space="preserve"> a</w:t>
      </w:r>
      <w:r w:rsidR="00A873CA">
        <w:rPr>
          <w:rFonts w:asciiTheme="majorHAnsi" w:eastAsia="Times New Roman" w:hAnsiTheme="majorHAnsi" w:cstheme="majorHAnsi"/>
          <w:b w:val="0"/>
          <w:bCs w:val="0"/>
          <w:sz w:val="24"/>
          <w:szCs w:val="24"/>
        </w:rPr>
        <w:t>le</w:t>
      </w:r>
      <w:r w:rsidRPr="008376FC">
        <w:rPr>
          <w:rFonts w:asciiTheme="majorHAnsi" w:eastAsia="Times New Roman" w:hAnsiTheme="majorHAnsi" w:cstheme="majorHAnsi"/>
          <w:b w:val="0"/>
          <w:bCs w:val="0"/>
          <w:sz w:val="24"/>
          <w:szCs w:val="24"/>
        </w:rPr>
        <w:t xml:space="preserve"> împrumutului BERD, au fost debursate 17,4 mil. </w:t>
      </w:r>
      <w:r w:rsidR="00A873CA">
        <w:rPr>
          <w:rFonts w:asciiTheme="majorHAnsi" w:eastAsia="Times New Roman" w:hAnsiTheme="majorHAnsi" w:cstheme="majorHAnsi"/>
          <w:b w:val="0"/>
          <w:bCs w:val="0"/>
          <w:sz w:val="24"/>
          <w:szCs w:val="24"/>
        </w:rPr>
        <w:t>euro</w:t>
      </w:r>
      <w:r w:rsidRPr="008376FC">
        <w:rPr>
          <w:rFonts w:asciiTheme="majorHAnsi" w:eastAsia="Times New Roman" w:hAnsiTheme="majorHAnsi" w:cstheme="majorHAnsi"/>
          <w:b w:val="0"/>
          <w:bCs w:val="0"/>
          <w:sz w:val="24"/>
          <w:szCs w:val="24"/>
        </w:rPr>
        <w:t xml:space="preserve"> (82,9%), </w:t>
      </w:r>
      <w:r w:rsidRPr="00302686">
        <w:rPr>
          <w:rFonts w:asciiTheme="majorHAnsi" w:eastAsia="Times New Roman" w:hAnsiTheme="majorHAnsi" w:cstheme="majorHAnsi"/>
          <w:b w:val="0"/>
          <w:bCs w:val="0"/>
          <w:sz w:val="24"/>
          <w:szCs w:val="24"/>
        </w:rPr>
        <w:t xml:space="preserve">iar din </w:t>
      </w:r>
      <w:r w:rsidR="00A873CA" w:rsidRPr="00302686">
        <w:rPr>
          <w:rFonts w:asciiTheme="majorHAnsi" w:eastAsia="Times New Roman" w:hAnsiTheme="majorHAnsi" w:cstheme="majorHAnsi"/>
          <w:b w:val="0"/>
          <w:bCs w:val="0"/>
          <w:sz w:val="24"/>
          <w:szCs w:val="24"/>
        </w:rPr>
        <w:t xml:space="preserve">suma de </w:t>
      </w:r>
      <w:r w:rsidRPr="00302686">
        <w:rPr>
          <w:rFonts w:asciiTheme="majorHAnsi" w:eastAsia="Times New Roman" w:hAnsiTheme="majorHAnsi" w:cstheme="majorHAnsi"/>
          <w:b w:val="0"/>
          <w:bCs w:val="0"/>
          <w:sz w:val="24"/>
          <w:szCs w:val="24"/>
        </w:rPr>
        <w:t xml:space="preserve">24,0 mil. </w:t>
      </w:r>
      <w:r w:rsidR="00A873CA" w:rsidRPr="00302686">
        <w:rPr>
          <w:rFonts w:asciiTheme="majorHAnsi" w:eastAsia="Times New Roman" w:hAnsiTheme="majorHAnsi" w:cstheme="majorHAnsi"/>
          <w:b w:val="0"/>
          <w:bCs w:val="0"/>
          <w:sz w:val="24"/>
          <w:szCs w:val="24"/>
        </w:rPr>
        <w:t>euro</w:t>
      </w:r>
      <w:r w:rsidRPr="00302686">
        <w:rPr>
          <w:rFonts w:asciiTheme="majorHAnsi" w:eastAsia="Times New Roman" w:hAnsiTheme="majorHAnsi" w:cstheme="majorHAnsi"/>
          <w:b w:val="0"/>
          <w:bCs w:val="0"/>
          <w:sz w:val="24"/>
          <w:szCs w:val="24"/>
        </w:rPr>
        <w:t xml:space="preserve"> aprobat</w:t>
      </w:r>
      <w:r w:rsidR="00A873CA" w:rsidRPr="00302686">
        <w:rPr>
          <w:rFonts w:asciiTheme="majorHAnsi" w:eastAsia="Times New Roman" w:hAnsiTheme="majorHAnsi" w:cstheme="majorHAnsi"/>
          <w:b w:val="0"/>
          <w:bCs w:val="0"/>
          <w:sz w:val="24"/>
          <w:szCs w:val="24"/>
        </w:rPr>
        <w:t>ă</w:t>
      </w:r>
      <w:r w:rsidRPr="00302686">
        <w:rPr>
          <w:rFonts w:asciiTheme="majorHAnsi" w:eastAsia="Times New Roman" w:hAnsiTheme="majorHAnsi" w:cstheme="majorHAnsi"/>
          <w:b w:val="0"/>
          <w:bCs w:val="0"/>
          <w:sz w:val="24"/>
          <w:szCs w:val="24"/>
        </w:rPr>
        <w:t xml:space="preserve"> a împrumutului BEI, au fost debursate 14,4 mil.</w:t>
      </w:r>
      <w:r w:rsidR="00A873CA">
        <w:rPr>
          <w:rFonts w:asciiTheme="majorHAnsi" w:eastAsia="Times New Roman" w:hAnsiTheme="majorHAnsi" w:cstheme="majorHAnsi"/>
          <w:b w:val="0"/>
          <w:bCs w:val="0"/>
          <w:sz w:val="24"/>
          <w:szCs w:val="24"/>
        </w:rPr>
        <w:t>euro</w:t>
      </w:r>
      <w:r w:rsidRPr="008376FC">
        <w:rPr>
          <w:rFonts w:asciiTheme="majorHAnsi" w:eastAsia="Times New Roman" w:hAnsiTheme="majorHAnsi" w:cstheme="majorHAnsi"/>
          <w:b w:val="0"/>
          <w:bCs w:val="0"/>
          <w:sz w:val="24"/>
          <w:szCs w:val="24"/>
        </w:rPr>
        <w:t xml:space="preserve"> (60,0%).</w:t>
      </w:r>
    </w:p>
    <w:p w:rsidR="004005AD" w:rsidRPr="008376FC" w:rsidRDefault="004005AD"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Totodată, din cauza nedebursării integrale a sumelor contractate, dar şi a modificărilor operate la condiţiile </w:t>
      </w:r>
      <w:r w:rsidR="00A873CA" w:rsidRPr="008376FC">
        <w:rPr>
          <w:rFonts w:asciiTheme="majorHAnsi" w:eastAsia="Times New Roman" w:hAnsiTheme="majorHAnsi" w:cstheme="majorHAnsi"/>
          <w:b w:val="0"/>
          <w:bCs w:val="0"/>
          <w:sz w:val="24"/>
          <w:szCs w:val="24"/>
        </w:rPr>
        <w:t>iniţia</w:t>
      </w:r>
      <w:r w:rsidR="00A873CA">
        <w:rPr>
          <w:rFonts w:asciiTheme="majorHAnsi" w:eastAsia="Times New Roman" w:hAnsiTheme="majorHAnsi" w:cstheme="majorHAnsi"/>
          <w:b w:val="0"/>
          <w:bCs w:val="0"/>
          <w:sz w:val="24"/>
          <w:szCs w:val="24"/>
        </w:rPr>
        <w:t>l</w:t>
      </w:r>
      <w:r w:rsidR="00A873CA" w:rsidRPr="008376FC">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sz w:val="24"/>
          <w:szCs w:val="24"/>
        </w:rPr>
        <w:t>negociate, S.A. „Ap</w:t>
      </w:r>
      <w:r w:rsidR="00A873CA">
        <w:rPr>
          <w:rFonts w:asciiTheme="majorHAnsi" w:eastAsia="Times New Roman" w:hAnsiTheme="majorHAnsi" w:cstheme="majorHAnsi"/>
          <w:b w:val="0"/>
          <w:bCs w:val="0"/>
          <w:sz w:val="24"/>
          <w:szCs w:val="24"/>
        </w:rPr>
        <w:t>ă</w:t>
      </w:r>
      <w:r w:rsidRPr="008376FC">
        <w:rPr>
          <w:rFonts w:asciiTheme="majorHAnsi" w:eastAsia="Times New Roman" w:hAnsiTheme="majorHAnsi" w:cstheme="majorHAnsi"/>
          <w:b w:val="0"/>
          <w:bCs w:val="0"/>
          <w:sz w:val="24"/>
          <w:szCs w:val="24"/>
        </w:rPr>
        <w:t xml:space="preserve">-Canal Chișinău” a fost nevoită să achite comisioane </w:t>
      </w:r>
      <w:r w:rsidR="00216129">
        <w:rPr>
          <w:rFonts w:asciiTheme="majorHAnsi" w:eastAsia="Times New Roman" w:hAnsiTheme="majorHAnsi" w:cstheme="majorHAnsi"/>
          <w:b w:val="0"/>
          <w:bCs w:val="0"/>
          <w:sz w:val="24"/>
          <w:szCs w:val="24"/>
        </w:rPr>
        <w:t xml:space="preserve">suplimentare </w:t>
      </w:r>
      <w:r w:rsidRPr="008376FC">
        <w:rPr>
          <w:rFonts w:asciiTheme="majorHAnsi" w:eastAsia="Times New Roman" w:hAnsiTheme="majorHAnsi" w:cstheme="majorHAnsi"/>
          <w:b w:val="0"/>
          <w:bCs w:val="0"/>
          <w:sz w:val="24"/>
          <w:szCs w:val="24"/>
        </w:rPr>
        <w:t>de angajament</w:t>
      </w:r>
      <w:r w:rsidR="00216129">
        <w:rPr>
          <w:rFonts w:asciiTheme="majorHAnsi" w:eastAsia="Times New Roman" w:hAnsiTheme="majorHAnsi" w:cstheme="majorHAnsi"/>
          <w:b w:val="0"/>
          <w:bCs w:val="0"/>
          <w:sz w:val="24"/>
          <w:szCs w:val="24"/>
        </w:rPr>
        <w:t xml:space="preserve"> pentru nedebursarea în timp rezonabil a împrumutului și </w:t>
      </w:r>
      <w:r w:rsidRPr="008376FC">
        <w:rPr>
          <w:rFonts w:asciiTheme="majorHAnsi" w:eastAsia="Times New Roman" w:hAnsiTheme="majorHAnsi" w:cstheme="majorHAnsi"/>
          <w:b w:val="0"/>
          <w:bCs w:val="0"/>
          <w:sz w:val="24"/>
          <w:szCs w:val="24"/>
        </w:rPr>
        <w:t xml:space="preserve"> şi penalităţi în valoare</w:t>
      </w:r>
      <w:r w:rsidR="00216129">
        <w:rPr>
          <w:rFonts w:asciiTheme="majorHAnsi" w:eastAsia="Times New Roman" w:hAnsiTheme="majorHAnsi" w:cstheme="majorHAnsi"/>
          <w:b w:val="0"/>
          <w:bCs w:val="0"/>
          <w:sz w:val="24"/>
          <w:szCs w:val="24"/>
        </w:rPr>
        <w:t xml:space="preserve"> totală de</w:t>
      </w:r>
      <w:r w:rsidRPr="008376FC">
        <w:rPr>
          <w:rFonts w:asciiTheme="majorHAnsi" w:eastAsia="Times New Roman" w:hAnsiTheme="majorHAnsi" w:cstheme="majorHAnsi"/>
          <w:b w:val="0"/>
          <w:bCs w:val="0"/>
          <w:sz w:val="24"/>
          <w:szCs w:val="24"/>
        </w:rPr>
        <w:t xml:space="preserve"> 1,17 mil. </w:t>
      </w:r>
      <w:r w:rsidR="00A873CA">
        <w:rPr>
          <w:rFonts w:asciiTheme="majorHAnsi" w:eastAsia="Times New Roman" w:hAnsiTheme="majorHAnsi" w:cstheme="majorHAnsi"/>
          <w:b w:val="0"/>
          <w:bCs w:val="0"/>
          <w:sz w:val="24"/>
          <w:szCs w:val="24"/>
        </w:rPr>
        <w:t>euro</w:t>
      </w:r>
      <w:r w:rsidRPr="008376FC">
        <w:rPr>
          <w:rFonts w:asciiTheme="majorHAnsi" w:eastAsia="Times New Roman" w:hAnsiTheme="majorHAnsi" w:cstheme="majorHAnsi"/>
          <w:b w:val="0"/>
          <w:bCs w:val="0"/>
          <w:sz w:val="24"/>
          <w:szCs w:val="24"/>
          <w:vertAlign w:val="superscript"/>
        </w:rPr>
        <w:footnoteReference w:id="124"/>
      </w:r>
      <w:r w:rsidRPr="008376FC">
        <w:rPr>
          <w:rFonts w:asciiTheme="majorHAnsi" w:eastAsia="Times New Roman" w:hAnsiTheme="majorHAnsi" w:cstheme="majorHAnsi"/>
          <w:b w:val="0"/>
          <w:bCs w:val="0"/>
          <w:sz w:val="24"/>
          <w:szCs w:val="24"/>
        </w:rPr>
        <w:t xml:space="preserve">, ceea ce reprezintă 3,5% din valoarea împrumutului debursat. De menționat că toate comisioanele şi penalităţile achitate în vederea debursării împrumuturilor în valoare de 1,58 mil. </w:t>
      </w:r>
      <w:r w:rsidR="00A873CA">
        <w:rPr>
          <w:rFonts w:asciiTheme="majorHAnsi" w:eastAsia="Times New Roman" w:hAnsiTheme="majorHAnsi" w:cstheme="majorHAnsi"/>
          <w:b w:val="0"/>
          <w:bCs w:val="0"/>
          <w:sz w:val="24"/>
          <w:szCs w:val="24"/>
        </w:rPr>
        <w:t>euro</w:t>
      </w:r>
      <w:r w:rsidRPr="008376FC">
        <w:rPr>
          <w:rFonts w:asciiTheme="majorHAnsi" w:eastAsia="Times New Roman" w:hAnsiTheme="majorHAnsi" w:cstheme="majorHAnsi"/>
          <w:b w:val="0"/>
          <w:bCs w:val="0"/>
          <w:sz w:val="24"/>
          <w:szCs w:val="24"/>
          <w:vertAlign w:val="superscript"/>
        </w:rPr>
        <w:footnoteReference w:id="125"/>
      </w:r>
      <w:r w:rsidRPr="008376FC">
        <w:rPr>
          <w:rFonts w:asciiTheme="majorHAnsi" w:eastAsia="Times New Roman" w:hAnsiTheme="majorHAnsi" w:cstheme="majorHAnsi"/>
          <w:b w:val="0"/>
          <w:bCs w:val="0"/>
          <w:sz w:val="24"/>
          <w:szCs w:val="24"/>
        </w:rPr>
        <w:t>, conform prevederilor SNC „Costurile îndatorării”</w:t>
      </w:r>
      <w:r w:rsidRPr="008376FC">
        <w:rPr>
          <w:rFonts w:asciiTheme="majorHAnsi" w:eastAsia="Times New Roman" w:hAnsiTheme="majorHAnsi" w:cstheme="majorHAnsi"/>
          <w:b w:val="0"/>
          <w:bCs w:val="0"/>
          <w:sz w:val="24"/>
          <w:szCs w:val="24"/>
          <w:vertAlign w:val="superscript"/>
        </w:rPr>
        <w:footnoteReference w:id="126"/>
      </w:r>
      <w:r w:rsidRPr="008376FC">
        <w:rPr>
          <w:rFonts w:asciiTheme="majorHAnsi" w:eastAsia="Times New Roman" w:hAnsiTheme="majorHAnsi" w:cstheme="majorHAnsi"/>
          <w:b w:val="0"/>
          <w:bCs w:val="0"/>
          <w:sz w:val="24"/>
          <w:szCs w:val="24"/>
        </w:rPr>
        <w:t xml:space="preserve"> nu se supun capitalizării</w:t>
      </w:r>
      <w:r w:rsidR="00A873CA">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fiind trecute la cheltuieli curente.</w:t>
      </w:r>
    </w:p>
    <w:p w:rsidR="004005AD" w:rsidRPr="008376FC" w:rsidRDefault="004005AD" w:rsidP="00F61756">
      <w:pPr>
        <w:pStyle w:val="a3"/>
        <w:widowControl w:val="0"/>
        <w:numPr>
          <w:ilvl w:val="2"/>
          <w:numId w:val="50"/>
        </w:numPr>
        <w:autoSpaceDE w:val="0"/>
        <w:autoSpaceDN w:val="0"/>
        <w:spacing w:before="120" w:line="276" w:lineRule="auto"/>
        <w:ind w:left="0" w:right="112" w:firstLine="0"/>
        <w:jc w:val="both"/>
        <w:rPr>
          <w:rFonts w:asciiTheme="majorHAnsi" w:hAnsiTheme="majorHAnsi" w:cstheme="majorHAnsi"/>
          <w:b/>
          <w:color w:val="0070C0"/>
          <w:lang w:val="en-US"/>
        </w:rPr>
      </w:pPr>
      <w:r w:rsidRPr="008376FC">
        <w:rPr>
          <w:rFonts w:asciiTheme="majorHAnsi" w:hAnsiTheme="majorHAnsi" w:cstheme="majorHAnsi"/>
          <w:b/>
          <w:color w:val="0070C0"/>
          <w:lang w:val="en-US"/>
        </w:rPr>
        <w:t xml:space="preserve">Datoriile întreprinderilor prestatoare de servicii de alimentare cu apă și </w:t>
      </w:r>
      <w:r w:rsidR="004342B9">
        <w:rPr>
          <w:rFonts w:asciiTheme="majorHAnsi" w:hAnsiTheme="majorHAnsi" w:cstheme="majorHAnsi"/>
          <w:b/>
          <w:color w:val="0070C0"/>
          <w:lang w:val="en-US"/>
        </w:rPr>
        <w:t xml:space="preserve">de </w:t>
      </w:r>
      <w:r w:rsidRPr="008376FC">
        <w:rPr>
          <w:rFonts w:asciiTheme="majorHAnsi" w:hAnsiTheme="majorHAnsi" w:cstheme="majorHAnsi"/>
          <w:b/>
          <w:color w:val="0070C0"/>
          <w:lang w:val="en-US"/>
        </w:rPr>
        <w:t>canaliza</w:t>
      </w:r>
      <w:r w:rsidR="004342B9">
        <w:rPr>
          <w:rFonts w:asciiTheme="majorHAnsi" w:hAnsiTheme="majorHAnsi" w:cstheme="majorHAnsi"/>
          <w:b/>
          <w:color w:val="0070C0"/>
          <w:lang w:val="en-US"/>
        </w:rPr>
        <w:t>r</w:t>
      </w:r>
      <w:r w:rsidRPr="008376FC">
        <w:rPr>
          <w:rFonts w:asciiTheme="majorHAnsi" w:hAnsiTheme="majorHAnsi" w:cstheme="majorHAnsi"/>
          <w:b/>
          <w:color w:val="0070C0"/>
          <w:lang w:val="en-US"/>
        </w:rPr>
        <w:t>e sunt în creștere</w:t>
      </w:r>
      <w:r w:rsidR="004342B9">
        <w:rPr>
          <w:rFonts w:asciiTheme="majorHAnsi" w:hAnsiTheme="majorHAnsi" w:cstheme="majorHAnsi"/>
          <w:b/>
          <w:color w:val="0070C0"/>
          <w:lang w:val="en-US"/>
        </w:rPr>
        <w:t>.</w:t>
      </w:r>
      <w:r w:rsidRPr="008376FC">
        <w:rPr>
          <w:rFonts w:asciiTheme="majorHAnsi" w:hAnsiTheme="majorHAnsi" w:cstheme="majorHAnsi"/>
          <w:b/>
          <w:color w:val="0070C0"/>
          <w:lang w:val="en-US"/>
        </w:rPr>
        <w:t xml:space="preserve"> </w:t>
      </w:r>
    </w:p>
    <w:p w:rsidR="004005AD" w:rsidRPr="008376FC" w:rsidRDefault="004005AD"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Analiza datoriilor înregistrate de către 36 de întreprinderi prestatoare de servicii de alimentare cu apă și </w:t>
      </w:r>
      <w:r w:rsidR="004342B9">
        <w:rPr>
          <w:rFonts w:asciiTheme="majorHAnsi" w:eastAsia="Times New Roman" w:hAnsiTheme="majorHAnsi" w:cstheme="majorHAnsi"/>
          <w:b w:val="0"/>
          <w:bCs w:val="0"/>
          <w:sz w:val="24"/>
          <w:szCs w:val="24"/>
        </w:rPr>
        <w:t xml:space="preserve">de </w:t>
      </w:r>
      <w:r w:rsidRPr="008376FC">
        <w:rPr>
          <w:rFonts w:asciiTheme="majorHAnsi" w:eastAsia="Times New Roman" w:hAnsiTheme="majorHAnsi" w:cstheme="majorHAnsi"/>
          <w:b w:val="0"/>
          <w:bCs w:val="0"/>
          <w:sz w:val="24"/>
          <w:szCs w:val="24"/>
        </w:rPr>
        <w:t>canalizate denotă că acestea sunt în creștere continuă, la finele anului 2021 constituind 2</w:t>
      </w:r>
      <w:r w:rsidR="004342B9">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262,2 mil.lei, inclusiv datoriile pe termen lung – 1</w:t>
      </w:r>
      <w:r w:rsidR="004342B9">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499,5 mil.lei</w:t>
      </w:r>
      <w:r w:rsidR="004342B9">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și datorii</w:t>
      </w:r>
      <w:r w:rsidR="004342B9">
        <w:rPr>
          <w:rFonts w:asciiTheme="majorHAnsi" w:eastAsia="Times New Roman" w:hAnsiTheme="majorHAnsi" w:cstheme="majorHAnsi"/>
          <w:b w:val="0"/>
          <w:bCs w:val="0"/>
          <w:sz w:val="24"/>
          <w:szCs w:val="24"/>
        </w:rPr>
        <w:t>le</w:t>
      </w:r>
      <w:r w:rsidRPr="008376FC">
        <w:rPr>
          <w:rFonts w:asciiTheme="majorHAnsi" w:eastAsia="Times New Roman" w:hAnsiTheme="majorHAnsi" w:cstheme="majorHAnsi"/>
          <w:b w:val="0"/>
          <w:bCs w:val="0"/>
          <w:sz w:val="24"/>
          <w:szCs w:val="24"/>
        </w:rPr>
        <w:t xml:space="preserve"> curente – 762,7 mil.lei</w:t>
      </w:r>
      <w:r w:rsidR="004342B9">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sau 66,3% și</w:t>
      </w:r>
      <w:r w:rsidR="004342B9">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respectiv</w:t>
      </w:r>
      <w:r w:rsidR="004342B9">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33,7% din totalul acestora. Valoarea datoriilor comerciale curente a constituit  240,7 mil.lei</w:t>
      </w:r>
      <w:r w:rsidR="004342B9">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sau 10,6% din totalul datoriilor. Cele mai semnificative datorii au fost înregistrate la S.A. „Apă-Canal Chișinău” – 840,4 mil.lei, Î.M. Regia „Apă-Canal</w:t>
      </w:r>
      <w:r w:rsidR="007F369A">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Bălți” – 479,3 mil.lei, urmate de S.A. „Regia Apă-Canal Orhei” – 50,6 mil.lei, Î.S. „Acva-Nord” – 128,5 mil.lei, S.A. </w:t>
      </w:r>
      <w:r w:rsidR="004342B9">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Apă-Canal Leova" – 91,4 mil.lei, S.A. „Regia Ap</w:t>
      </w:r>
      <w:r w:rsidR="004342B9">
        <w:rPr>
          <w:rFonts w:asciiTheme="majorHAnsi" w:eastAsia="Times New Roman" w:hAnsiTheme="majorHAnsi" w:cstheme="majorHAnsi"/>
          <w:b w:val="0"/>
          <w:bCs w:val="0"/>
          <w:sz w:val="24"/>
          <w:szCs w:val="24"/>
        </w:rPr>
        <w:t>ă</w:t>
      </w:r>
      <w:r w:rsidRPr="008376FC">
        <w:rPr>
          <w:rFonts w:asciiTheme="majorHAnsi" w:eastAsia="Times New Roman" w:hAnsiTheme="majorHAnsi" w:cstheme="majorHAnsi"/>
          <w:b w:val="0"/>
          <w:bCs w:val="0"/>
          <w:sz w:val="24"/>
          <w:szCs w:val="24"/>
        </w:rPr>
        <w:t>-Canal Soroca” – 54,4 mil.lei, S.A. „Apă-Canal Cahul” – 57,2 mil.lei etc.</w:t>
      </w:r>
    </w:p>
    <w:p w:rsidR="004005AD" w:rsidRPr="008376FC" w:rsidRDefault="004005AD" w:rsidP="00F61756">
      <w:pPr>
        <w:widowControl w:val="0"/>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Cu dificultăți mari de onorare a plăților se confruntă ma</w:t>
      </w:r>
      <w:r w:rsidR="001D5A98">
        <w:rPr>
          <w:rFonts w:asciiTheme="majorHAnsi" w:eastAsia="Times New Roman" w:hAnsiTheme="majorHAnsi" w:cstheme="majorHAnsi"/>
          <w:b w:val="0"/>
          <w:bCs w:val="0"/>
          <w:sz w:val="24"/>
          <w:szCs w:val="24"/>
        </w:rPr>
        <w:t>joritatea</w:t>
      </w:r>
      <w:r w:rsidRPr="008376FC">
        <w:rPr>
          <w:rFonts w:asciiTheme="majorHAnsi" w:eastAsia="Times New Roman" w:hAnsiTheme="majorHAnsi" w:cstheme="majorHAnsi"/>
          <w:b w:val="0"/>
          <w:bCs w:val="0"/>
          <w:sz w:val="24"/>
          <w:szCs w:val="24"/>
        </w:rPr>
        <w:t xml:space="preserve">  întreprinderilor, la unele din ele ponderea datoriilor pe termen lung pentru credite bancare și împrumuturi contractate depășind 50% din totalul datoriilor. Astfel, la finele anului 2021 la S.A. „Apă-Canal Cahul” ponderea  creditelor în totalul datoriilor a constituit 93,3%, la Î.M. „Apă-Canal Ungheni” </w:t>
      </w:r>
      <w:r w:rsidR="001D5A98">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sz w:val="24"/>
          <w:szCs w:val="24"/>
        </w:rPr>
        <w:t xml:space="preserve">84,9%, la S.A. „Servicii comunale Florești” – 85,4%, S.A. „Apă-Canal Chișinău” – 55,7%, Î.M. </w:t>
      </w:r>
      <w:r w:rsidR="001D5A98">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Direcția de producție Apă-Canal Ștefan Vodă” – 53,5%.</w:t>
      </w:r>
    </w:p>
    <w:p w:rsidR="00CA4F27" w:rsidRDefault="004005AD" w:rsidP="00DC5C28">
      <w:pPr>
        <w:widowControl w:val="0"/>
        <w:autoSpaceDE w:val="0"/>
        <w:autoSpaceDN w:val="0"/>
        <w:spacing w:before="120" w:after="0" w:line="276" w:lineRule="auto"/>
        <w:ind w:right="112"/>
        <w:jc w:val="both"/>
        <w:rPr>
          <w:rFonts w:asciiTheme="majorHAnsi" w:eastAsia="Times New Roman" w:hAnsiTheme="majorHAnsi" w:cstheme="majorHAnsi"/>
          <w:sz w:val="20"/>
          <w:szCs w:val="20"/>
        </w:rPr>
      </w:pPr>
      <w:r w:rsidRPr="008376FC">
        <w:rPr>
          <w:rFonts w:asciiTheme="majorHAnsi" w:eastAsia="Times New Roman" w:hAnsiTheme="majorHAnsi" w:cstheme="majorHAnsi"/>
          <w:b w:val="0"/>
          <w:bCs w:val="0"/>
          <w:sz w:val="24"/>
          <w:szCs w:val="24"/>
        </w:rPr>
        <w:t>În comparație cu anul 2014 (1</w:t>
      </w:r>
      <w:r w:rsidR="001D5A98">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119,8 mil.lei), datoriile au înregistrat o creștere de 1</w:t>
      </w:r>
      <w:r w:rsidR="001D5A98">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142,4 mil.lei</w:t>
      </w:r>
      <w:r w:rsidR="001D5A98">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sau cu 102%. Cea mai mare creștere a datoriilor </w:t>
      </w:r>
      <w:r w:rsidR="001D5A98">
        <w:rPr>
          <w:rFonts w:asciiTheme="majorHAnsi" w:eastAsia="Times New Roman" w:hAnsiTheme="majorHAnsi" w:cstheme="majorHAnsi"/>
          <w:b w:val="0"/>
          <w:bCs w:val="0"/>
          <w:sz w:val="24"/>
          <w:szCs w:val="24"/>
        </w:rPr>
        <w:t>este</w:t>
      </w:r>
      <w:r w:rsidRPr="008376FC">
        <w:rPr>
          <w:rFonts w:asciiTheme="majorHAnsi" w:eastAsia="Times New Roman" w:hAnsiTheme="majorHAnsi" w:cstheme="majorHAnsi"/>
          <w:b w:val="0"/>
          <w:bCs w:val="0"/>
          <w:sz w:val="24"/>
          <w:szCs w:val="24"/>
        </w:rPr>
        <w:t xml:space="preserve"> atestat</w:t>
      </w:r>
      <w:r w:rsidR="001D5A98">
        <w:rPr>
          <w:rFonts w:asciiTheme="majorHAnsi" w:eastAsia="Times New Roman" w:hAnsiTheme="majorHAnsi" w:cstheme="majorHAnsi"/>
          <w:b w:val="0"/>
          <w:bCs w:val="0"/>
          <w:sz w:val="24"/>
          <w:szCs w:val="24"/>
        </w:rPr>
        <w:t>ă</w:t>
      </w:r>
      <w:r w:rsidRPr="008376FC">
        <w:rPr>
          <w:rFonts w:asciiTheme="majorHAnsi" w:eastAsia="Times New Roman" w:hAnsiTheme="majorHAnsi" w:cstheme="majorHAnsi"/>
          <w:b w:val="0"/>
          <w:bCs w:val="0"/>
          <w:sz w:val="24"/>
          <w:szCs w:val="24"/>
        </w:rPr>
        <w:t xml:space="preserve"> la Î.M. </w:t>
      </w:r>
      <w:r w:rsidR="001D5A98">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Apă-Canal Cantemir" –</w:t>
      </w:r>
      <w:r w:rsidR="001D5A98">
        <w:rPr>
          <w:rFonts w:asciiTheme="majorHAnsi" w:eastAsia="Times New Roman" w:hAnsiTheme="majorHAnsi" w:cstheme="majorHAnsi"/>
          <w:b w:val="0"/>
          <w:bCs w:val="0"/>
          <w:sz w:val="24"/>
          <w:szCs w:val="24"/>
        </w:rPr>
        <w:t xml:space="preserve"> de</w:t>
      </w:r>
      <w:r w:rsidRPr="008376FC">
        <w:rPr>
          <w:rFonts w:asciiTheme="majorHAnsi" w:eastAsia="Times New Roman" w:hAnsiTheme="majorHAnsi" w:cstheme="majorHAnsi"/>
          <w:b w:val="0"/>
          <w:bCs w:val="0"/>
          <w:sz w:val="24"/>
          <w:szCs w:val="24"/>
        </w:rPr>
        <w:t xml:space="preserve"> peste 12 ori, Î.M. Direcția de producție „Apă-Canal Telenești” – de 8 ori, Î.M. „Gospodăria Comunală R</w:t>
      </w:r>
      <w:r w:rsidR="001D5A98">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 xml:space="preserve">şcani" – peste 26 de ori, Î.M. </w:t>
      </w:r>
      <w:r w:rsidR="001D5A98">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Gospodăria comunal-locativă Briceni" – </w:t>
      </w:r>
      <w:r w:rsidR="001D5A98">
        <w:rPr>
          <w:rFonts w:asciiTheme="majorHAnsi" w:eastAsia="Times New Roman" w:hAnsiTheme="majorHAnsi" w:cstheme="majorHAnsi"/>
          <w:b w:val="0"/>
          <w:bCs w:val="0"/>
          <w:sz w:val="24"/>
          <w:szCs w:val="24"/>
        </w:rPr>
        <w:t xml:space="preserve">de </w:t>
      </w:r>
      <w:r w:rsidRPr="008376FC">
        <w:rPr>
          <w:rFonts w:asciiTheme="majorHAnsi" w:eastAsia="Times New Roman" w:hAnsiTheme="majorHAnsi" w:cstheme="majorHAnsi"/>
          <w:b w:val="0"/>
          <w:bCs w:val="0"/>
          <w:sz w:val="24"/>
          <w:szCs w:val="24"/>
        </w:rPr>
        <w:t xml:space="preserve">peste 7 ori, Î.M. „AQUA Basarabeasca” – </w:t>
      </w:r>
      <w:r w:rsidR="001D5A98">
        <w:rPr>
          <w:rFonts w:asciiTheme="majorHAnsi" w:eastAsia="Times New Roman" w:hAnsiTheme="majorHAnsi" w:cstheme="majorHAnsi"/>
          <w:b w:val="0"/>
          <w:bCs w:val="0"/>
          <w:sz w:val="24"/>
          <w:szCs w:val="24"/>
        </w:rPr>
        <w:t xml:space="preserve">de </w:t>
      </w:r>
      <w:r w:rsidRPr="008376FC">
        <w:rPr>
          <w:rFonts w:asciiTheme="majorHAnsi" w:eastAsia="Times New Roman" w:hAnsiTheme="majorHAnsi" w:cstheme="majorHAnsi"/>
          <w:b w:val="0"/>
          <w:bCs w:val="0"/>
          <w:sz w:val="24"/>
          <w:szCs w:val="24"/>
        </w:rPr>
        <w:t xml:space="preserve">peste 19 ori, Î.M. „Comunservice Criuleni” – </w:t>
      </w:r>
      <w:r w:rsidR="001D5A98">
        <w:rPr>
          <w:rFonts w:asciiTheme="majorHAnsi" w:eastAsia="Times New Roman" w:hAnsiTheme="majorHAnsi" w:cstheme="majorHAnsi"/>
          <w:b w:val="0"/>
          <w:bCs w:val="0"/>
          <w:sz w:val="24"/>
          <w:szCs w:val="24"/>
        </w:rPr>
        <w:t xml:space="preserve">de </w:t>
      </w:r>
      <w:r w:rsidRPr="008376FC">
        <w:rPr>
          <w:rFonts w:asciiTheme="majorHAnsi" w:eastAsia="Times New Roman" w:hAnsiTheme="majorHAnsi" w:cstheme="majorHAnsi"/>
          <w:b w:val="0"/>
          <w:bCs w:val="0"/>
          <w:sz w:val="24"/>
          <w:szCs w:val="24"/>
        </w:rPr>
        <w:t xml:space="preserve">peste 10 ori. La unele întreprinderi datoriile totale înregistrate la finele anului 2021 s-au diminuat față de valoarea lor înregistrată în anul 2014: Î.M. „Apă-Canal Vulcănești” </w:t>
      </w:r>
      <w:r w:rsidR="001D5A98">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sz w:val="24"/>
          <w:szCs w:val="24"/>
        </w:rPr>
        <w:t>cu 44%</w:t>
      </w:r>
      <w:r w:rsidRPr="008376FC">
        <w:rPr>
          <w:rFonts w:asciiTheme="majorHAnsi" w:eastAsia="Times New Roman" w:hAnsiTheme="majorHAnsi" w:cstheme="majorHAnsi"/>
          <w:b w:val="0"/>
          <w:bCs w:val="0"/>
          <w:sz w:val="24"/>
          <w:szCs w:val="24"/>
          <w:vertAlign w:val="superscript"/>
        </w:rPr>
        <w:footnoteReference w:id="127"/>
      </w:r>
      <w:r w:rsidRPr="008376FC">
        <w:rPr>
          <w:rFonts w:asciiTheme="majorHAnsi" w:eastAsia="Times New Roman" w:hAnsiTheme="majorHAnsi" w:cstheme="majorHAnsi"/>
          <w:b w:val="0"/>
          <w:bCs w:val="0"/>
          <w:sz w:val="24"/>
          <w:szCs w:val="24"/>
        </w:rPr>
        <w:t>, S.A. „Servicii comunale Florești” – cu 8,4%</w:t>
      </w:r>
      <w:r w:rsidRPr="008376FC">
        <w:rPr>
          <w:rFonts w:asciiTheme="majorHAnsi" w:eastAsia="Times New Roman" w:hAnsiTheme="majorHAnsi" w:cstheme="majorHAnsi"/>
          <w:b w:val="0"/>
          <w:bCs w:val="0"/>
          <w:sz w:val="24"/>
          <w:szCs w:val="24"/>
          <w:vertAlign w:val="superscript"/>
        </w:rPr>
        <w:footnoteReference w:id="128"/>
      </w:r>
      <w:r w:rsidRPr="008376FC">
        <w:rPr>
          <w:rFonts w:asciiTheme="majorHAnsi" w:eastAsia="Times New Roman" w:hAnsiTheme="majorHAnsi" w:cstheme="majorHAnsi"/>
          <w:b w:val="0"/>
          <w:bCs w:val="0"/>
          <w:sz w:val="24"/>
          <w:szCs w:val="24"/>
        </w:rPr>
        <w:t>, Î.M. „Direcția de producție a gospodăriei comunale şi de locuințe Fălești” – cu 87%</w:t>
      </w:r>
      <w:r w:rsidRPr="008376FC">
        <w:rPr>
          <w:rFonts w:asciiTheme="majorHAnsi" w:eastAsia="Times New Roman" w:hAnsiTheme="majorHAnsi" w:cstheme="majorHAnsi"/>
          <w:b w:val="0"/>
          <w:bCs w:val="0"/>
          <w:sz w:val="24"/>
          <w:szCs w:val="24"/>
          <w:vertAlign w:val="superscript"/>
        </w:rPr>
        <w:footnoteReference w:id="129"/>
      </w:r>
      <w:r w:rsidRPr="008376FC">
        <w:rPr>
          <w:rFonts w:asciiTheme="majorHAnsi" w:eastAsia="Times New Roman" w:hAnsiTheme="majorHAnsi" w:cstheme="majorHAnsi"/>
          <w:b w:val="0"/>
          <w:bCs w:val="0"/>
          <w:sz w:val="24"/>
          <w:szCs w:val="24"/>
        </w:rPr>
        <w:t>, Î.M. „Gospodăria comunal-locativă Călărași” – cu 45%</w:t>
      </w:r>
      <w:r w:rsidRPr="008376FC">
        <w:rPr>
          <w:rFonts w:asciiTheme="majorHAnsi" w:eastAsia="Times New Roman" w:hAnsiTheme="majorHAnsi" w:cstheme="majorHAnsi"/>
          <w:b w:val="0"/>
          <w:bCs w:val="0"/>
          <w:sz w:val="24"/>
          <w:szCs w:val="24"/>
          <w:vertAlign w:val="superscript"/>
        </w:rPr>
        <w:footnoteReference w:id="130"/>
      </w:r>
      <w:r w:rsidRPr="008376FC">
        <w:rPr>
          <w:rFonts w:asciiTheme="majorHAnsi" w:eastAsia="Times New Roman" w:hAnsiTheme="majorHAnsi" w:cstheme="majorHAnsi"/>
          <w:b w:val="0"/>
          <w:bCs w:val="0"/>
          <w:sz w:val="24"/>
          <w:szCs w:val="24"/>
        </w:rPr>
        <w:t>, Î.M. „Servicii comunale Glodeni” – cu 50%</w:t>
      </w:r>
      <w:r w:rsidRPr="008376FC">
        <w:rPr>
          <w:rFonts w:asciiTheme="majorHAnsi" w:eastAsia="Times New Roman" w:hAnsiTheme="majorHAnsi" w:cstheme="majorHAnsi"/>
          <w:b w:val="0"/>
          <w:bCs w:val="0"/>
          <w:sz w:val="24"/>
          <w:szCs w:val="24"/>
          <w:vertAlign w:val="superscript"/>
        </w:rPr>
        <w:footnoteReference w:id="131"/>
      </w:r>
      <w:r w:rsidRPr="008376FC">
        <w:rPr>
          <w:rFonts w:asciiTheme="majorHAnsi" w:eastAsia="Times New Roman" w:hAnsiTheme="majorHAnsi" w:cstheme="majorHAnsi"/>
          <w:b w:val="0"/>
          <w:bCs w:val="0"/>
          <w:sz w:val="24"/>
          <w:szCs w:val="24"/>
        </w:rPr>
        <w:t>, Î.M. „Apă-Canal Edineţ” – cu 48%</w:t>
      </w:r>
      <w:r w:rsidRPr="008376FC">
        <w:rPr>
          <w:rFonts w:asciiTheme="majorHAnsi" w:eastAsia="Times New Roman" w:hAnsiTheme="majorHAnsi" w:cstheme="majorHAnsi"/>
          <w:b w:val="0"/>
          <w:bCs w:val="0"/>
          <w:sz w:val="24"/>
          <w:szCs w:val="24"/>
          <w:vertAlign w:val="superscript"/>
        </w:rPr>
        <w:footnoteReference w:id="132"/>
      </w:r>
      <w:r w:rsidRPr="008376FC">
        <w:rPr>
          <w:rFonts w:asciiTheme="majorHAnsi" w:eastAsia="Times New Roman" w:hAnsiTheme="majorHAnsi" w:cstheme="majorHAnsi"/>
          <w:b w:val="0"/>
          <w:bCs w:val="0"/>
          <w:sz w:val="24"/>
          <w:szCs w:val="24"/>
        </w:rPr>
        <w:t>, Î.M. „Regia Apă Șoldănești” – cu 14%</w:t>
      </w:r>
      <w:r w:rsidRPr="008376FC">
        <w:rPr>
          <w:rFonts w:asciiTheme="majorHAnsi" w:eastAsia="Times New Roman" w:hAnsiTheme="majorHAnsi" w:cstheme="majorHAnsi"/>
          <w:b w:val="0"/>
          <w:bCs w:val="0"/>
          <w:sz w:val="24"/>
          <w:szCs w:val="24"/>
          <w:vertAlign w:val="superscript"/>
        </w:rPr>
        <w:footnoteReference w:id="133"/>
      </w:r>
      <w:r w:rsidRPr="008376FC">
        <w:rPr>
          <w:rFonts w:asciiTheme="majorHAnsi" w:eastAsia="Times New Roman" w:hAnsiTheme="majorHAnsi" w:cstheme="majorHAnsi"/>
          <w:b w:val="0"/>
          <w:bCs w:val="0"/>
          <w:sz w:val="24"/>
          <w:szCs w:val="24"/>
        </w:rPr>
        <w:t xml:space="preserve">.  La celelalte întreprinderi, creșterea datoriilor variază de la 100% până la 480%, sau </w:t>
      </w:r>
      <w:r w:rsidR="001D5A98">
        <w:rPr>
          <w:rFonts w:asciiTheme="majorHAnsi" w:eastAsia="Times New Roman" w:hAnsiTheme="majorHAnsi" w:cstheme="majorHAnsi"/>
          <w:b w:val="0"/>
          <w:bCs w:val="0"/>
          <w:sz w:val="24"/>
          <w:szCs w:val="24"/>
        </w:rPr>
        <w:t xml:space="preserve">de </w:t>
      </w:r>
      <w:r w:rsidRPr="008376FC">
        <w:rPr>
          <w:rFonts w:asciiTheme="majorHAnsi" w:eastAsia="Times New Roman" w:hAnsiTheme="majorHAnsi" w:cstheme="majorHAnsi"/>
          <w:b w:val="0"/>
          <w:bCs w:val="0"/>
          <w:sz w:val="24"/>
          <w:szCs w:val="24"/>
        </w:rPr>
        <w:t xml:space="preserve">peste 4 ori. </w:t>
      </w:r>
    </w:p>
    <w:p w:rsidR="004005AD" w:rsidRPr="008376FC" w:rsidRDefault="00ED2CE9" w:rsidP="00F61756">
      <w:pPr>
        <w:widowControl w:val="0"/>
        <w:autoSpaceDE w:val="0"/>
        <w:autoSpaceDN w:val="0"/>
        <w:spacing w:before="120" w:after="0" w:line="276" w:lineRule="auto"/>
        <w:ind w:left="212" w:right="112"/>
        <w:jc w:val="right"/>
        <w:rPr>
          <w:rFonts w:asciiTheme="majorHAnsi" w:eastAsia="Times New Roman" w:hAnsiTheme="majorHAnsi" w:cstheme="majorHAnsi"/>
          <w:b w:val="0"/>
          <w:bCs w:val="0"/>
          <w:sz w:val="24"/>
          <w:szCs w:val="24"/>
        </w:rPr>
      </w:pPr>
      <w:r w:rsidRPr="008376FC">
        <w:rPr>
          <w:rFonts w:asciiTheme="majorHAnsi" w:eastAsia="Times New Roman" w:hAnsiTheme="majorHAnsi" w:cstheme="majorHAnsi"/>
          <w:sz w:val="20"/>
          <w:szCs w:val="20"/>
        </w:rPr>
        <w:t>Figura nr.3</w:t>
      </w:r>
      <w:r w:rsidR="00D878BA" w:rsidRPr="008376FC">
        <w:rPr>
          <w:rFonts w:asciiTheme="majorHAnsi" w:eastAsia="Times New Roman" w:hAnsiTheme="majorHAnsi" w:cstheme="majorHAnsi"/>
          <w:sz w:val="20"/>
          <w:szCs w:val="20"/>
        </w:rPr>
        <w:t>8</w:t>
      </w:r>
    </w:p>
    <w:p w:rsidR="004005AD" w:rsidRPr="008376FC" w:rsidRDefault="004005AD" w:rsidP="00F61756">
      <w:pPr>
        <w:widowControl w:val="0"/>
        <w:autoSpaceDE w:val="0"/>
        <w:autoSpaceDN w:val="0"/>
        <w:spacing w:before="11" w:after="0" w:line="276" w:lineRule="auto"/>
        <w:ind w:right="112"/>
        <w:jc w:val="both"/>
        <w:rPr>
          <w:rFonts w:asciiTheme="majorHAnsi" w:eastAsia="Times New Roman" w:hAnsiTheme="majorHAnsi" w:cstheme="majorHAnsi"/>
          <w:b w:val="0"/>
          <w:bCs w:val="0"/>
          <w:sz w:val="24"/>
          <w:szCs w:val="24"/>
        </w:rPr>
      </w:pPr>
      <w:r w:rsidRPr="006F540C">
        <w:rPr>
          <w:rFonts w:asciiTheme="majorHAnsi" w:eastAsia="Times New Roman" w:hAnsiTheme="majorHAnsi" w:cstheme="majorHAnsi"/>
          <w:b w:val="0"/>
          <w:bCs w:val="0"/>
          <w:noProof/>
          <w:sz w:val="24"/>
          <w:szCs w:val="24"/>
          <w:lang w:val="ru-RU" w:eastAsia="ru-RU"/>
        </w:rPr>
        <w:drawing>
          <wp:inline distT="0" distB="0" distL="0" distR="0">
            <wp:extent cx="6086475" cy="2026285"/>
            <wp:effectExtent l="1905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DD65E6" w:rsidRPr="008056D3" w:rsidRDefault="00DD65E6" w:rsidP="00F61756">
      <w:pPr>
        <w:widowControl w:val="0"/>
        <w:autoSpaceDE w:val="0"/>
        <w:autoSpaceDN w:val="0"/>
        <w:spacing w:before="11" w:after="0" w:line="276" w:lineRule="auto"/>
        <w:ind w:right="112"/>
        <w:jc w:val="both"/>
        <w:rPr>
          <w:rFonts w:asciiTheme="majorHAnsi" w:eastAsia="Times New Roman" w:hAnsiTheme="majorHAnsi" w:cstheme="majorHAnsi"/>
          <w:b w:val="0"/>
          <w:bCs w:val="0"/>
          <w:i/>
          <w:sz w:val="20"/>
          <w:szCs w:val="20"/>
        </w:rPr>
      </w:pPr>
      <w:r w:rsidRPr="008056D3">
        <w:rPr>
          <w:rFonts w:asciiTheme="majorHAnsi" w:eastAsia="Times New Roman" w:hAnsiTheme="majorHAnsi" w:cstheme="majorHAnsi"/>
          <w:bCs w:val="0"/>
          <w:i/>
          <w:sz w:val="20"/>
          <w:szCs w:val="20"/>
        </w:rPr>
        <w:t>Sursa:</w:t>
      </w:r>
      <w:r w:rsidRPr="008056D3">
        <w:rPr>
          <w:rFonts w:asciiTheme="majorHAnsi" w:eastAsia="Times New Roman" w:hAnsiTheme="majorHAnsi" w:cstheme="majorHAnsi"/>
          <w:b w:val="0"/>
          <w:bCs w:val="0"/>
          <w:i/>
          <w:sz w:val="20"/>
          <w:szCs w:val="20"/>
        </w:rPr>
        <w:t xml:space="preserve"> Date</w:t>
      </w:r>
      <w:r w:rsidR="006F540C">
        <w:rPr>
          <w:rFonts w:asciiTheme="majorHAnsi" w:eastAsia="Times New Roman" w:hAnsiTheme="majorHAnsi" w:cstheme="majorHAnsi"/>
          <w:b w:val="0"/>
          <w:bCs w:val="0"/>
          <w:i/>
          <w:sz w:val="20"/>
          <w:szCs w:val="20"/>
        </w:rPr>
        <w:t xml:space="preserve"> oferite d</w:t>
      </w:r>
      <w:r w:rsidRPr="008056D3">
        <w:rPr>
          <w:rFonts w:asciiTheme="majorHAnsi" w:eastAsia="Times New Roman" w:hAnsiTheme="majorHAnsi" w:cstheme="majorHAnsi"/>
          <w:b w:val="0"/>
          <w:bCs w:val="0"/>
          <w:i/>
          <w:sz w:val="20"/>
          <w:szCs w:val="20"/>
        </w:rPr>
        <w:t>e BNS.</w:t>
      </w:r>
    </w:p>
    <w:p w:rsidR="00DD65E6" w:rsidRPr="008376FC" w:rsidRDefault="00DD65E6" w:rsidP="00F61756">
      <w:pPr>
        <w:widowControl w:val="0"/>
        <w:autoSpaceDE w:val="0"/>
        <w:autoSpaceDN w:val="0"/>
        <w:spacing w:before="11" w:after="0" w:line="276" w:lineRule="auto"/>
        <w:ind w:right="112"/>
        <w:jc w:val="both"/>
        <w:rPr>
          <w:rFonts w:asciiTheme="majorHAnsi" w:eastAsia="Times New Roman" w:hAnsiTheme="majorHAnsi" w:cstheme="majorHAnsi"/>
          <w:b w:val="0"/>
          <w:bCs w:val="0"/>
          <w:sz w:val="24"/>
          <w:szCs w:val="24"/>
        </w:rPr>
      </w:pPr>
    </w:p>
    <w:p w:rsidR="004005AD" w:rsidRDefault="004005AD" w:rsidP="00F61756">
      <w:pPr>
        <w:widowControl w:val="0"/>
        <w:autoSpaceDE w:val="0"/>
        <w:autoSpaceDN w:val="0"/>
        <w:spacing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Analizând </w:t>
      </w:r>
      <w:r w:rsidRPr="008376FC">
        <w:rPr>
          <w:rFonts w:asciiTheme="majorHAnsi" w:eastAsia="Times New Roman" w:hAnsiTheme="majorHAnsi" w:cstheme="majorHAnsi"/>
          <w:bCs w:val="0"/>
          <w:sz w:val="24"/>
          <w:szCs w:val="24"/>
        </w:rPr>
        <w:t>„Rata de îndatorare”</w:t>
      </w:r>
      <w:r w:rsidRPr="008376FC">
        <w:rPr>
          <w:rFonts w:asciiTheme="majorHAnsi" w:eastAsia="Times New Roman" w:hAnsiTheme="majorHAnsi" w:cstheme="majorHAnsi"/>
          <w:b w:val="0"/>
          <w:bCs w:val="0"/>
          <w:sz w:val="24"/>
          <w:szCs w:val="24"/>
          <w:vertAlign w:val="superscript"/>
        </w:rPr>
        <w:footnoteReference w:id="134"/>
      </w:r>
      <w:r w:rsidRPr="008376FC">
        <w:rPr>
          <w:rFonts w:asciiTheme="majorHAnsi" w:eastAsia="Times New Roman" w:hAnsiTheme="majorHAnsi" w:cstheme="majorHAnsi"/>
          <w:b w:val="0"/>
          <w:bCs w:val="0"/>
          <w:sz w:val="24"/>
          <w:szCs w:val="24"/>
        </w:rPr>
        <w:t xml:space="preserve"> pentru anul 2021, se denotă că, doar la 2 întreprinderi (Glodeni și Nisporeni) gradul de îndatorare este sub 2% (1,6% și 0,4%</w:t>
      </w:r>
      <w:r w:rsidR="006F540C">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respectiv). La doar 4 întreprinderi gradul de îndatorare este sub 10% (Vulcănești – 5,2%, Cimișlia – 2,2%, Criuleni – 4,5%, Edineţ </w:t>
      </w:r>
      <w:r w:rsidR="006F540C">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sz w:val="24"/>
          <w:szCs w:val="24"/>
        </w:rPr>
        <w:t>7,8%). La celelalte 30 de întreprinderi</w:t>
      </w:r>
      <w:r w:rsidR="006F540C">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gradul de îndatorare variază între 15,6% și 19</w:t>
      </w:r>
      <w:r w:rsidR="006F540C">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622,1%</w:t>
      </w:r>
      <w:r w:rsidRPr="008376FC">
        <w:rPr>
          <w:rFonts w:asciiTheme="majorHAnsi" w:eastAsia="Times New Roman" w:hAnsiTheme="majorHAnsi" w:cstheme="majorHAnsi"/>
          <w:b w:val="0"/>
          <w:bCs w:val="0"/>
          <w:sz w:val="24"/>
          <w:szCs w:val="24"/>
          <w:vertAlign w:val="superscript"/>
        </w:rPr>
        <w:footnoteReference w:id="135"/>
      </w:r>
      <w:r w:rsidR="006F540C">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sau </w:t>
      </w:r>
      <w:r w:rsidR="006F540C">
        <w:rPr>
          <w:rFonts w:asciiTheme="majorHAnsi" w:eastAsia="Times New Roman" w:hAnsiTheme="majorHAnsi" w:cstheme="majorHAnsi"/>
          <w:b w:val="0"/>
          <w:bCs w:val="0"/>
          <w:sz w:val="24"/>
          <w:szCs w:val="24"/>
        </w:rPr>
        <w:t xml:space="preserve">de </w:t>
      </w:r>
      <w:r w:rsidRPr="008376FC">
        <w:rPr>
          <w:rFonts w:asciiTheme="majorHAnsi" w:eastAsia="Times New Roman" w:hAnsiTheme="majorHAnsi" w:cstheme="majorHAnsi"/>
          <w:b w:val="0"/>
          <w:bCs w:val="0"/>
          <w:sz w:val="24"/>
          <w:szCs w:val="24"/>
        </w:rPr>
        <w:t>peste 19</w:t>
      </w:r>
      <w:r w:rsidR="00F20C74">
        <w:rPr>
          <w:rFonts w:asciiTheme="majorHAnsi" w:eastAsia="Times New Roman" w:hAnsiTheme="majorHAnsi" w:cstheme="majorHAnsi"/>
          <w:b w:val="0"/>
          <w:bCs w:val="0"/>
          <w:sz w:val="24"/>
          <w:szCs w:val="24"/>
        </w:rPr>
        <w:t>6 de</w:t>
      </w:r>
      <w:r w:rsidRPr="008376FC">
        <w:rPr>
          <w:rFonts w:asciiTheme="majorHAnsi" w:eastAsia="Times New Roman" w:hAnsiTheme="majorHAnsi" w:cstheme="majorHAnsi"/>
          <w:b w:val="0"/>
          <w:bCs w:val="0"/>
          <w:sz w:val="24"/>
          <w:szCs w:val="24"/>
        </w:rPr>
        <w:t xml:space="preserve"> ori. La 3 întreprinderi, gradul de îndatorare este</w:t>
      </w:r>
      <w:r w:rsidR="006F540C">
        <w:rPr>
          <w:rFonts w:asciiTheme="majorHAnsi" w:eastAsia="Times New Roman" w:hAnsiTheme="majorHAnsi" w:cstheme="majorHAnsi"/>
          <w:b w:val="0"/>
          <w:bCs w:val="0"/>
          <w:sz w:val="24"/>
          <w:szCs w:val="24"/>
        </w:rPr>
        <w:t xml:space="preserve"> de</w:t>
      </w:r>
      <w:r w:rsidRPr="008376FC">
        <w:rPr>
          <w:rFonts w:asciiTheme="majorHAnsi" w:eastAsia="Times New Roman" w:hAnsiTheme="majorHAnsi" w:cstheme="majorHAnsi"/>
          <w:b w:val="0"/>
          <w:bCs w:val="0"/>
          <w:sz w:val="24"/>
          <w:szCs w:val="24"/>
        </w:rPr>
        <w:t xml:space="preserve"> peste 1</w:t>
      </w:r>
      <w:r w:rsidR="006F540C">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000%: Î.M. „Apă-Canal Ungheni” – 1</w:t>
      </w:r>
      <w:r w:rsidR="006F540C">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082,5%, Î.M. Direcția de producție „Apă-Canal Telenești” – 11</w:t>
      </w:r>
      <w:r w:rsidR="006F540C">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966,8%, Î.M. </w:t>
      </w:r>
      <w:r w:rsidR="006F540C">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Gospodăria comunală R</w:t>
      </w:r>
      <w:r w:rsidR="006F540C">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şcani" – 19</w:t>
      </w:r>
      <w:r w:rsidR="006F540C">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622,1%, Î.M. </w:t>
      </w:r>
      <w:r w:rsidR="006F540C">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Apă-Canal Ocnița" – 1</w:t>
      </w:r>
      <w:r w:rsidR="006F540C">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597,7%, Î.M. Direcția de Producție „Apă-Canal S</w:t>
      </w:r>
      <w:r w:rsidR="006F540C">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 xml:space="preserve">ngerei” </w:t>
      </w:r>
      <w:r w:rsidR="006F540C">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1</w:t>
      </w:r>
      <w:r w:rsidR="006F540C">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155,8%, Î.M. „Apă-Canal Strășeni” – 2</w:t>
      </w:r>
      <w:r w:rsidR="006F540C">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503,6%. Gradul de îndatorare înalt a dus la intrarea unor întreprinderi în insolvabilitate. </w:t>
      </w:r>
    </w:p>
    <w:p w:rsidR="004005AD" w:rsidRPr="008376FC" w:rsidRDefault="001F205A" w:rsidP="00F61756">
      <w:pPr>
        <w:spacing w:line="276" w:lineRule="auto"/>
        <w:rPr>
          <w:rFonts w:asciiTheme="majorHAnsi" w:hAnsiTheme="majorHAnsi" w:cstheme="majorHAnsi"/>
          <w:color w:val="0070C0"/>
          <w:sz w:val="24"/>
          <w:szCs w:val="24"/>
          <w:lang w:val="en-US"/>
        </w:rPr>
      </w:pPr>
      <w:r w:rsidRPr="008376FC">
        <w:rPr>
          <w:rFonts w:asciiTheme="majorHAnsi" w:hAnsiTheme="majorHAnsi" w:cstheme="majorHAnsi"/>
          <w:color w:val="0070C0"/>
          <w:sz w:val="24"/>
          <w:szCs w:val="24"/>
          <w:lang w:val="en-US"/>
        </w:rPr>
        <w:t>4.5.6.</w:t>
      </w:r>
      <w:r w:rsidR="008056D3">
        <w:rPr>
          <w:rFonts w:asciiTheme="majorHAnsi" w:hAnsiTheme="majorHAnsi" w:cstheme="majorHAnsi"/>
          <w:color w:val="0070C0"/>
          <w:sz w:val="24"/>
          <w:szCs w:val="24"/>
          <w:lang w:val="en-US"/>
        </w:rPr>
        <w:t xml:space="preserve"> </w:t>
      </w:r>
      <w:r w:rsidR="004005AD" w:rsidRPr="008376FC">
        <w:rPr>
          <w:rFonts w:asciiTheme="majorHAnsi" w:hAnsiTheme="majorHAnsi" w:cstheme="majorHAnsi"/>
          <w:color w:val="0070C0"/>
          <w:sz w:val="24"/>
          <w:szCs w:val="24"/>
          <w:lang w:val="en-US"/>
        </w:rPr>
        <w:t xml:space="preserve"> </w:t>
      </w:r>
      <w:r w:rsidR="003E7CEA">
        <w:rPr>
          <w:rFonts w:asciiTheme="majorHAnsi" w:hAnsiTheme="majorHAnsi" w:cstheme="majorHAnsi"/>
          <w:color w:val="0070C0"/>
          <w:sz w:val="24"/>
          <w:szCs w:val="24"/>
          <w:lang w:val="en-US"/>
        </w:rPr>
        <w:t>11 î</w:t>
      </w:r>
      <w:r w:rsidR="004005AD" w:rsidRPr="008376FC">
        <w:rPr>
          <w:rFonts w:asciiTheme="majorHAnsi" w:hAnsiTheme="majorHAnsi" w:cstheme="majorHAnsi"/>
          <w:color w:val="0070C0"/>
          <w:sz w:val="24"/>
          <w:szCs w:val="24"/>
          <w:lang w:val="en-US"/>
        </w:rPr>
        <w:t xml:space="preserve">ntreprinderi prestatoare de servicii de alimentare cu apă și </w:t>
      </w:r>
      <w:r w:rsidR="006F540C">
        <w:rPr>
          <w:rFonts w:asciiTheme="majorHAnsi" w:hAnsiTheme="majorHAnsi" w:cstheme="majorHAnsi"/>
          <w:color w:val="0070C0"/>
          <w:sz w:val="24"/>
          <w:szCs w:val="24"/>
          <w:lang w:val="en-US"/>
        </w:rPr>
        <w:t xml:space="preserve">de </w:t>
      </w:r>
      <w:r w:rsidR="004005AD" w:rsidRPr="008376FC">
        <w:rPr>
          <w:rFonts w:asciiTheme="majorHAnsi" w:hAnsiTheme="majorHAnsi" w:cstheme="majorHAnsi"/>
          <w:color w:val="0070C0"/>
          <w:sz w:val="24"/>
          <w:szCs w:val="24"/>
          <w:lang w:val="en-US"/>
        </w:rPr>
        <w:t>canalizate sunt în procedura de insolvabilitate</w:t>
      </w:r>
      <w:r w:rsidR="006F540C">
        <w:rPr>
          <w:rFonts w:asciiTheme="majorHAnsi" w:hAnsiTheme="majorHAnsi" w:cstheme="majorHAnsi"/>
          <w:color w:val="0070C0"/>
          <w:sz w:val="24"/>
          <w:szCs w:val="24"/>
          <w:lang w:val="en-US"/>
        </w:rPr>
        <w:t>.</w:t>
      </w:r>
      <w:r w:rsidR="004005AD" w:rsidRPr="008376FC">
        <w:rPr>
          <w:rFonts w:asciiTheme="majorHAnsi" w:hAnsiTheme="majorHAnsi" w:cstheme="majorHAnsi"/>
          <w:color w:val="0070C0"/>
          <w:sz w:val="24"/>
          <w:szCs w:val="24"/>
          <w:lang w:val="en-US"/>
        </w:rPr>
        <w:t xml:space="preserve"> </w:t>
      </w:r>
    </w:p>
    <w:p w:rsidR="00A25981" w:rsidRDefault="004005AD" w:rsidP="00F61756">
      <w:pPr>
        <w:widowControl w:val="0"/>
        <w:autoSpaceDE w:val="0"/>
        <w:autoSpaceDN w:val="0"/>
        <w:spacing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Conform informațiilor de la SFS, în perioada 2016-</w:t>
      </w:r>
      <w:r w:rsidR="00AC6E70" w:rsidRPr="008376FC">
        <w:rPr>
          <w:rFonts w:asciiTheme="majorHAnsi" w:eastAsia="Times New Roman" w:hAnsiTheme="majorHAnsi" w:cstheme="majorHAnsi"/>
          <w:b w:val="0"/>
          <w:bCs w:val="0"/>
          <w:sz w:val="24"/>
          <w:szCs w:val="24"/>
        </w:rPr>
        <w:t>202</w:t>
      </w:r>
      <w:r w:rsidR="00AC6E70">
        <w:rPr>
          <w:rFonts w:asciiTheme="majorHAnsi" w:eastAsia="Times New Roman" w:hAnsiTheme="majorHAnsi" w:cstheme="majorHAnsi"/>
          <w:b w:val="0"/>
          <w:bCs w:val="0"/>
          <w:sz w:val="24"/>
          <w:szCs w:val="24"/>
        </w:rPr>
        <w:t>2</w:t>
      </w:r>
      <w:r w:rsidR="00AC6E70" w:rsidRPr="008376FC">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sz w:val="24"/>
          <w:szCs w:val="24"/>
        </w:rPr>
        <w:t xml:space="preserve">prin procedura se insolvabilitate au trecut 11 întreprinderi, din care 8 sunt până în prezent în insolvabilitate. </w:t>
      </w:r>
    </w:p>
    <w:p w:rsidR="00DC5C28" w:rsidRDefault="00DC5C28" w:rsidP="00F61756">
      <w:pPr>
        <w:widowControl w:val="0"/>
        <w:autoSpaceDE w:val="0"/>
        <w:autoSpaceDN w:val="0"/>
        <w:spacing w:after="0" w:line="276" w:lineRule="auto"/>
        <w:ind w:right="112"/>
        <w:jc w:val="both"/>
        <w:rPr>
          <w:rFonts w:asciiTheme="majorHAnsi" w:eastAsia="Times New Roman" w:hAnsiTheme="majorHAnsi" w:cstheme="majorHAnsi"/>
          <w:b w:val="0"/>
          <w:bCs w:val="0"/>
          <w:sz w:val="24"/>
          <w:szCs w:val="24"/>
        </w:rPr>
      </w:pPr>
    </w:p>
    <w:p w:rsidR="00DC5C28" w:rsidRDefault="00DC5C28" w:rsidP="00F61756">
      <w:pPr>
        <w:widowControl w:val="0"/>
        <w:autoSpaceDE w:val="0"/>
        <w:autoSpaceDN w:val="0"/>
        <w:spacing w:after="0" w:line="276" w:lineRule="auto"/>
        <w:ind w:right="112"/>
        <w:jc w:val="both"/>
        <w:rPr>
          <w:rFonts w:asciiTheme="majorHAnsi" w:eastAsia="Times New Roman" w:hAnsiTheme="majorHAnsi" w:cstheme="majorHAnsi"/>
          <w:b w:val="0"/>
          <w:bCs w:val="0"/>
          <w:sz w:val="24"/>
          <w:szCs w:val="24"/>
        </w:rPr>
      </w:pPr>
    </w:p>
    <w:p w:rsidR="00DC5C28" w:rsidRPr="008376FC" w:rsidRDefault="00DC5C28" w:rsidP="00F61756">
      <w:pPr>
        <w:widowControl w:val="0"/>
        <w:autoSpaceDE w:val="0"/>
        <w:autoSpaceDN w:val="0"/>
        <w:spacing w:after="0" w:line="276" w:lineRule="auto"/>
        <w:ind w:right="112"/>
        <w:jc w:val="both"/>
        <w:rPr>
          <w:rFonts w:asciiTheme="majorHAnsi" w:eastAsia="Times New Roman" w:hAnsiTheme="majorHAnsi" w:cstheme="majorHAnsi"/>
          <w:b w:val="0"/>
          <w:bCs w:val="0"/>
          <w:sz w:val="24"/>
          <w:szCs w:val="24"/>
        </w:rPr>
      </w:pPr>
    </w:p>
    <w:p w:rsidR="009C4205" w:rsidRPr="008376FC" w:rsidRDefault="009C4205" w:rsidP="00F61756">
      <w:pPr>
        <w:widowControl w:val="0"/>
        <w:autoSpaceDE w:val="0"/>
        <w:autoSpaceDN w:val="0"/>
        <w:spacing w:after="0" w:line="276" w:lineRule="auto"/>
        <w:ind w:left="212" w:right="112" w:firstLine="708"/>
        <w:jc w:val="right"/>
        <w:rPr>
          <w:rFonts w:asciiTheme="majorHAnsi" w:eastAsia="Times New Roman" w:hAnsiTheme="majorHAnsi" w:cstheme="majorHAnsi"/>
          <w:b w:val="0"/>
          <w:bCs w:val="0"/>
          <w:sz w:val="20"/>
          <w:szCs w:val="20"/>
        </w:rPr>
      </w:pPr>
      <w:r w:rsidRPr="008376FC">
        <w:rPr>
          <w:rFonts w:asciiTheme="majorHAnsi" w:eastAsia="Times New Roman" w:hAnsiTheme="majorHAnsi" w:cstheme="majorHAnsi"/>
          <w:bCs w:val="0"/>
          <w:sz w:val="20"/>
          <w:szCs w:val="20"/>
        </w:rPr>
        <w:t xml:space="preserve">Tabelul nr. </w:t>
      </w:r>
      <w:r w:rsidR="00F75306" w:rsidRPr="008376FC">
        <w:rPr>
          <w:rFonts w:asciiTheme="majorHAnsi" w:eastAsia="Times New Roman" w:hAnsiTheme="majorHAnsi" w:cstheme="majorHAnsi"/>
          <w:bCs w:val="0"/>
          <w:sz w:val="20"/>
          <w:szCs w:val="20"/>
        </w:rPr>
        <w:t>2</w:t>
      </w:r>
      <w:r w:rsidR="00D878BA" w:rsidRPr="008376FC">
        <w:rPr>
          <w:rFonts w:asciiTheme="majorHAnsi" w:eastAsia="Times New Roman" w:hAnsiTheme="majorHAnsi" w:cstheme="majorHAnsi"/>
          <w:bCs w:val="0"/>
          <w:sz w:val="20"/>
          <w:szCs w:val="20"/>
        </w:rPr>
        <w:t>8</w:t>
      </w:r>
    </w:p>
    <w:tbl>
      <w:tblPr>
        <w:tblStyle w:val="TableGrid7"/>
        <w:tblW w:w="9632" w:type="dxa"/>
        <w:tblInd w:w="212" w:type="dxa"/>
        <w:tblLayout w:type="fixed"/>
        <w:tblLook w:val="04A0" w:firstRow="1" w:lastRow="0" w:firstColumn="1" w:lastColumn="0" w:noHBand="0" w:noVBand="1"/>
      </w:tblPr>
      <w:tblGrid>
        <w:gridCol w:w="5992"/>
        <w:gridCol w:w="425"/>
        <w:gridCol w:w="425"/>
        <w:gridCol w:w="425"/>
        <w:gridCol w:w="426"/>
        <w:gridCol w:w="425"/>
        <w:gridCol w:w="425"/>
        <w:gridCol w:w="425"/>
        <w:gridCol w:w="664"/>
      </w:tblGrid>
      <w:tr w:rsidR="00400351" w:rsidRPr="008376FC" w:rsidTr="005C7C93">
        <w:trPr>
          <w:trHeight w:val="325"/>
        </w:trPr>
        <w:tc>
          <w:tcPr>
            <w:tcW w:w="9632" w:type="dxa"/>
            <w:gridSpan w:val="9"/>
            <w:tcBorders>
              <w:top w:val="nil"/>
              <w:left w:val="nil"/>
              <w:bottom w:val="single" w:sz="4" w:space="0" w:color="auto"/>
              <w:right w:val="nil"/>
            </w:tcBorders>
            <w:shd w:val="clear" w:color="auto" w:fill="FFFFFF" w:themeFill="background1"/>
            <w:vAlign w:val="center"/>
          </w:tcPr>
          <w:p w:rsidR="00400351" w:rsidRPr="008376FC" w:rsidRDefault="00400351"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bCs w:val="0"/>
                <w:sz w:val="20"/>
                <w:szCs w:val="20"/>
              </w:rPr>
              <w:t>Informați</w:t>
            </w:r>
            <w:r w:rsidR="006F540C">
              <w:rPr>
                <w:rFonts w:asciiTheme="majorHAnsi" w:eastAsia="Times New Roman" w:hAnsiTheme="majorHAnsi" w:cstheme="majorHAnsi"/>
                <w:bCs w:val="0"/>
                <w:sz w:val="20"/>
                <w:szCs w:val="20"/>
              </w:rPr>
              <w:t>i</w:t>
            </w:r>
            <w:r w:rsidRPr="008376FC">
              <w:rPr>
                <w:rFonts w:asciiTheme="majorHAnsi" w:eastAsia="Times New Roman" w:hAnsiTheme="majorHAnsi" w:cstheme="majorHAnsi"/>
                <w:bCs w:val="0"/>
                <w:sz w:val="20"/>
                <w:szCs w:val="20"/>
              </w:rPr>
              <w:t xml:space="preserve"> privind întreprinderil</w:t>
            </w:r>
            <w:r w:rsidR="006F540C">
              <w:rPr>
                <w:rFonts w:asciiTheme="majorHAnsi" w:eastAsia="Times New Roman" w:hAnsiTheme="majorHAnsi" w:cstheme="majorHAnsi"/>
                <w:bCs w:val="0"/>
                <w:sz w:val="20"/>
                <w:szCs w:val="20"/>
              </w:rPr>
              <w:t>e</w:t>
            </w:r>
            <w:r w:rsidRPr="008376FC">
              <w:rPr>
                <w:rFonts w:asciiTheme="majorHAnsi" w:eastAsia="Times New Roman" w:hAnsiTheme="majorHAnsi" w:cstheme="majorHAnsi"/>
                <w:bCs w:val="0"/>
                <w:sz w:val="20"/>
                <w:szCs w:val="20"/>
              </w:rPr>
              <w:t xml:space="preserve"> aflate în procedura de insolvabilitate în anii 2016-2022</w:t>
            </w:r>
          </w:p>
        </w:tc>
      </w:tr>
      <w:tr w:rsidR="004005AD" w:rsidRPr="008376FC" w:rsidTr="00CA4F27">
        <w:trPr>
          <w:trHeight w:val="337"/>
        </w:trPr>
        <w:tc>
          <w:tcPr>
            <w:tcW w:w="5992" w:type="dxa"/>
            <w:vMerge w:val="restart"/>
            <w:tcBorders>
              <w:top w:val="single" w:sz="4" w:space="0" w:color="auto"/>
            </w:tcBorders>
            <w:shd w:val="clear" w:color="auto" w:fill="BDD6EE" w:themeFill="accent1" w:themeFillTint="66"/>
            <w:vAlign w:val="center"/>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Indicatori</w:t>
            </w:r>
          </w:p>
        </w:tc>
        <w:tc>
          <w:tcPr>
            <w:tcW w:w="2976" w:type="dxa"/>
            <w:gridSpan w:val="7"/>
            <w:tcBorders>
              <w:top w:val="single" w:sz="4" w:space="0" w:color="auto"/>
            </w:tcBorders>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Inițierea procedurii de insolvabilitate</w:t>
            </w:r>
          </w:p>
        </w:tc>
        <w:tc>
          <w:tcPr>
            <w:tcW w:w="664" w:type="dxa"/>
            <w:vMerge w:val="restart"/>
            <w:tcBorders>
              <w:top w:val="single" w:sz="4" w:space="0" w:color="auto"/>
            </w:tcBorders>
            <w:shd w:val="clear" w:color="auto" w:fill="BDD6EE" w:themeFill="accent1" w:themeFillTint="66"/>
            <w:vAlign w:val="center"/>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Total</w:t>
            </w:r>
          </w:p>
        </w:tc>
      </w:tr>
      <w:tr w:rsidR="004005AD" w:rsidRPr="008376FC" w:rsidTr="00CA4F27">
        <w:trPr>
          <w:cantSplit/>
          <w:trHeight w:val="768"/>
        </w:trPr>
        <w:tc>
          <w:tcPr>
            <w:tcW w:w="5992" w:type="dxa"/>
            <w:vMerge/>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p>
        </w:tc>
        <w:tc>
          <w:tcPr>
            <w:tcW w:w="425" w:type="dxa"/>
            <w:shd w:val="clear" w:color="auto" w:fill="BDD6EE" w:themeFill="accent1" w:themeFillTint="66"/>
            <w:textDirection w:val="btLr"/>
          </w:tcPr>
          <w:p w:rsidR="004005AD" w:rsidRPr="008376FC" w:rsidRDefault="004005AD" w:rsidP="00F61756">
            <w:pPr>
              <w:widowControl w:val="0"/>
              <w:autoSpaceDE w:val="0"/>
              <w:autoSpaceDN w:val="0"/>
              <w:spacing w:line="276" w:lineRule="auto"/>
              <w:jc w:val="center"/>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2016</w:t>
            </w:r>
          </w:p>
        </w:tc>
        <w:tc>
          <w:tcPr>
            <w:tcW w:w="425" w:type="dxa"/>
            <w:shd w:val="clear" w:color="auto" w:fill="BDD6EE" w:themeFill="accent1" w:themeFillTint="66"/>
            <w:textDirection w:val="btLr"/>
          </w:tcPr>
          <w:p w:rsidR="004005AD" w:rsidRPr="008376FC" w:rsidRDefault="004005AD" w:rsidP="00F61756">
            <w:pPr>
              <w:widowControl w:val="0"/>
              <w:autoSpaceDE w:val="0"/>
              <w:autoSpaceDN w:val="0"/>
              <w:spacing w:line="276" w:lineRule="auto"/>
              <w:jc w:val="center"/>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2017</w:t>
            </w:r>
          </w:p>
        </w:tc>
        <w:tc>
          <w:tcPr>
            <w:tcW w:w="425" w:type="dxa"/>
            <w:shd w:val="clear" w:color="auto" w:fill="BDD6EE" w:themeFill="accent1" w:themeFillTint="66"/>
            <w:textDirection w:val="btLr"/>
          </w:tcPr>
          <w:p w:rsidR="004005AD" w:rsidRPr="008376FC" w:rsidRDefault="004005AD" w:rsidP="00F61756">
            <w:pPr>
              <w:widowControl w:val="0"/>
              <w:autoSpaceDE w:val="0"/>
              <w:autoSpaceDN w:val="0"/>
              <w:spacing w:line="276" w:lineRule="auto"/>
              <w:jc w:val="center"/>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2018</w:t>
            </w:r>
          </w:p>
        </w:tc>
        <w:tc>
          <w:tcPr>
            <w:tcW w:w="426" w:type="dxa"/>
            <w:shd w:val="clear" w:color="auto" w:fill="BDD6EE" w:themeFill="accent1" w:themeFillTint="66"/>
            <w:textDirection w:val="btLr"/>
          </w:tcPr>
          <w:p w:rsidR="004005AD" w:rsidRPr="008376FC" w:rsidRDefault="004005AD" w:rsidP="00F61756">
            <w:pPr>
              <w:widowControl w:val="0"/>
              <w:autoSpaceDE w:val="0"/>
              <w:autoSpaceDN w:val="0"/>
              <w:spacing w:line="276" w:lineRule="auto"/>
              <w:jc w:val="center"/>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2019</w:t>
            </w:r>
          </w:p>
        </w:tc>
        <w:tc>
          <w:tcPr>
            <w:tcW w:w="425" w:type="dxa"/>
            <w:shd w:val="clear" w:color="auto" w:fill="BDD6EE" w:themeFill="accent1" w:themeFillTint="66"/>
            <w:textDirection w:val="btLr"/>
          </w:tcPr>
          <w:p w:rsidR="004005AD" w:rsidRPr="008376FC" w:rsidRDefault="004005AD" w:rsidP="00F61756">
            <w:pPr>
              <w:widowControl w:val="0"/>
              <w:autoSpaceDE w:val="0"/>
              <w:autoSpaceDN w:val="0"/>
              <w:spacing w:line="276" w:lineRule="auto"/>
              <w:jc w:val="center"/>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2020</w:t>
            </w:r>
          </w:p>
        </w:tc>
        <w:tc>
          <w:tcPr>
            <w:tcW w:w="425" w:type="dxa"/>
            <w:shd w:val="clear" w:color="auto" w:fill="BDD6EE" w:themeFill="accent1" w:themeFillTint="66"/>
            <w:textDirection w:val="btLr"/>
          </w:tcPr>
          <w:p w:rsidR="004005AD" w:rsidRPr="008376FC" w:rsidRDefault="004005AD" w:rsidP="00F61756">
            <w:pPr>
              <w:widowControl w:val="0"/>
              <w:autoSpaceDE w:val="0"/>
              <w:autoSpaceDN w:val="0"/>
              <w:spacing w:line="276" w:lineRule="auto"/>
              <w:jc w:val="center"/>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2021</w:t>
            </w:r>
          </w:p>
        </w:tc>
        <w:tc>
          <w:tcPr>
            <w:tcW w:w="425" w:type="dxa"/>
            <w:shd w:val="clear" w:color="auto" w:fill="BDD6EE" w:themeFill="accent1" w:themeFillTint="66"/>
            <w:textDirection w:val="btLr"/>
          </w:tcPr>
          <w:p w:rsidR="004005AD" w:rsidRPr="008376FC" w:rsidRDefault="004005AD" w:rsidP="00F61756">
            <w:pPr>
              <w:widowControl w:val="0"/>
              <w:autoSpaceDE w:val="0"/>
              <w:autoSpaceDN w:val="0"/>
              <w:spacing w:line="276" w:lineRule="auto"/>
              <w:jc w:val="center"/>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2022</w:t>
            </w:r>
          </w:p>
        </w:tc>
        <w:tc>
          <w:tcPr>
            <w:tcW w:w="664" w:type="dxa"/>
            <w:vMerge/>
            <w:shd w:val="clear" w:color="auto" w:fill="BDD6EE" w:themeFill="accent1" w:themeFillTint="66"/>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sz w:val="20"/>
                <w:szCs w:val="20"/>
              </w:rPr>
            </w:pPr>
          </w:p>
        </w:tc>
      </w:tr>
      <w:tr w:rsidR="004005AD" w:rsidRPr="008376FC" w:rsidTr="00CA4F27">
        <w:trPr>
          <w:trHeight w:val="191"/>
        </w:trPr>
        <w:tc>
          <w:tcPr>
            <w:tcW w:w="5992" w:type="dxa"/>
          </w:tcPr>
          <w:p w:rsidR="004005AD" w:rsidRPr="008376FC" w:rsidRDefault="004005AD" w:rsidP="00F61756">
            <w:pPr>
              <w:widowControl w:val="0"/>
              <w:autoSpaceDE w:val="0"/>
              <w:autoSpaceDN w:val="0"/>
              <w:spacing w:line="276"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Numărul întreprinderilor la care a fost inițiat procesul de insolvabilitate</w:t>
            </w:r>
          </w:p>
        </w:tc>
        <w:tc>
          <w:tcPr>
            <w:tcW w:w="425" w:type="dxa"/>
          </w:tcPr>
          <w:p w:rsidR="004005AD" w:rsidRPr="008376FC" w:rsidRDefault="004005AD" w:rsidP="00F61756">
            <w:pPr>
              <w:widowControl w:val="0"/>
              <w:autoSpaceDE w:val="0"/>
              <w:autoSpaceDN w:val="0"/>
              <w:spacing w:line="276" w:lineRule="auto"/>
              <w:jc w:val="right"/>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w:t>
            </w:r>
          </w:p>
        </w:tc>
        <w:tc>
          <w:tcPr>
            <w:tcW w:w="425" w:type="dxa"/>
          </w:tcPr>
          <w:p w:rsidR="004005AD" w:rsidRPr="008376FC" w:rsidRDefault="004005AD" w:rsidP="00F61756">
            <w:pPr>
              <w:widowControl w:val="0"/>
              <w:autoSpaceDE w:val="0"/>
              <w:autoSpaceDN w:val="0"/>
              <w:spacing w:line="276" w:lineRule="auto"/>
              <w:jc w:val="right"/>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p>
        </w:tc>
        <w:tc>
          <w:tcPr>
            <w:tcW w:w="425" w:type="dxa"/>
          </w:tcPr>
          <w:p w:rsidR="004005AD" w:rsidRPr="008376FC" w:rsidRDefault="004005AD" w:rsidP="00F61756">
            <w:pPr>
              <w:widowControl w:val="0"/>
              <w:autoSpaceDE w:val="0"/>
              <w:autoSpaceDN w:val="0"/>
              <w:spacing w:line="276" w:lineRule="auto"/>
              <w:jc w:val="right"/>
              <w:rPr>
                <w:rFonts w:asciiTheme="majorHAnsi" w:eastAsia="Times New Roman" w:hAnsiTheme="majorHAnsi" w:cstheme="majorHAnsi"/>
                <w:b w:val="0"/>
                <w:bCs w:val="0"/>
                <w:sz w:val="20"/>
                <w:szCs w:val="20"/>
              </w:rPr>
            </w:pPr>
          </w:p>
        </w:tc>
        <w:tc>
          <w:tcPr>
            <w:tcW w:w="426" w:type="dxa"/>
          </w:tcPr>
          <w:p w:rsidR="004005AD" w:rsidRPr="008376FC" w:rsidRDefault="004005AD" w:rsidP="00F61756">
            <w:pPr>
              <w:widowControl w:val="0"/>
              <w:autoSpaceDE w:val="0"/>
              <w:autoSpaceDN w:val="0"/>
              <w:spacing w:line="276" w:lineRule="auto"/>
              <w:jc w:val="right"/>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w:t>
            </w:r>
          </w:p>
        </w:tc>
        <w:tc>
          <w:tcPr>
            <w:tcW w:w="425" w:type="dxa"/>
          </w:tcPr>
          <w:p w:rsidR="004005AD" w:rsidRPr="008376FC" w:rsidRDefault="004005AD" w:rsidP="00F61756">
            <w:pPr>
              <w:widowControl w:val="0"/>
              <w:autoSpaceDE w:val="0"/>
              <w:autoSpaceDN w:val="0"/>
              <w:spacing w:line="276" w:lineRule="auto"/>
              <w:jc w:val="right"/>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w:t>
            </w:r>
          </w:p>
        </w:tc>
        <w:tc>
          <w:tcPr>
            <w:tcW w:w="425" w:type="dxa"/>
          </w:tcPr>
          <w:p w:rsidR="004005AD" w:rsidRPr="008376FC" w:rsidRDefault="004005AD" w:rsidP="00F61756">
            <w:pPr>
              <w:widowControl w:val="0"/>
              <w:autoSpaceDE w:val="0"/>
              <w:autoSpaceDN w:val="0"/>
              <w:spacing w:line="276" w:lineRule="auto"/>
              <w:jc w:val="right"/>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w:t>
            </w:r>
          </w:p>
        </w:tc>
        <w:tc>
          <w:tcPr>
            <w:tcW w:w="425" w:type="dxa"/>
          </w:tcPr>
          <w:p w:rsidR="004005AD" w:rsidRPr="008376FC" w:rsidRDefault="004005AD" w:rsidP="00F61756">
            <w:pPr>
              <w:widowControl w:val="0"/>
              <w:autoSpaceDE w:val="0"/>
              <w:autoSpaceDN w:val="0"/>
              <w:spacing w:line="276" w:lineRule="auto"/>
              <w:jc w:val="right"/>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w:t>
            </w:r>
          </w:p>
        </w:tc>
        <w:tc>
          <w:tcPr>
            <w:tcW w:w="664" w:type="dxa"/>
          </w:tcPr>
          <w:p w:rsidR="004005AD" w:rsidRPr="008376FC" w:rsidRDefault="004005AD" w:rsidP="00F61756">
            <w:pPr>
              <w:widowControl w:val="0"/>
              <w:autoSpaceDE w:val="0"/>
              <w:autoSpaceDN w:val="0"/>
              <w:spacing w:line="276" w:lineRule="auto"/>
              <w:jc w:val="right"/>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11</w:t>
            </w:r>
          </w:p>
        </w:tc>
      </w:tr>
      <w:tr w:rsidR="00400351" w:rsidRPr="008376FC" w:rsidTr="005C7C93">
        <w:trPr>
          <w:trHeight w:val="337"/>
        </w:trPr>
        <w:tc>
          <w:tcPr>
            <w:tcW w:w="9632" w:type="dxa"/>
            <w:gridSpan w:val="9"/>
            <w:tcBorders>
              <w:top w:val="single" w:sz="4" w:space="0" w:color="auto"/>
              <w:left w:val="nil"/>
              <w:bottom w:val="nil"/>
              <w:right w:val="nil"/>
            </w:tcBorders>
            <w:shd w:val="clear" w:color="auto" w:fill="FFFFFF" w:themeFill="background1"/>
          </w:tcPr>
          <w:p w:rsidR="00400351" w:rsidRPr="00A663EC" w:rsidRDefault="00400351" w:rsidP="00F61756">
            <w:pPr>
              <w:widowControl w:val="0"/>
              <w:autoSpaceDE w:val="0"/>
              <w:autoSpaceDN w:val="0"/>
              <w:spacing w:line="276" w:lineRule="auto"/>
              <w:rPr>
                <w:rFonts w:asciiTheme="majorHAnsi" w:eastAsia="Times New Roman" w:hAnsiTheme="majorHAnsi" w:cstheme="majorHAnsi"/>
                <w:b w:val="0"/>
                <w:bCs w:val="0"/>
                <w:i/>
                <w:sz w:val="20"/>
                <w:szCs w:val="20"/>
              </w:rPr>
            </w:pPr>
            <w:r w:rsidRPr="00A663EC">
              <w:rPr>
                <w:rFonts w:asciiTheme="majorHAnsi" w:eastAsia="Times New Roman" w:hAnsiTheme="majorHAnsi" w:cstheme="majorHAnsi"/>
                <w:i/>
                <w:sz w:val="20"/>
                <w:szCs w:val="20"/>
              </w:rPr>
              <w:t>Sursa:</w:t>
            </w:r>
            <w:r w:rsidRPr="00A663EC">
              <w:rPr>
                <w:rFonts w:asciiTheme="majorHAnsi" w:eastAsia="Times New Roman" w:hAnsiTheme="majorHAnsi" w:cstheme="majorHAnsi"/>
                <w:b w:val="0"/>
                <w:bCs w:val="0"/>
                <w:i/>
                <w:sz w:val="20"/>
                <w:szCs w:val="20"/>
              </w:rPr>
              <w:t xml:space="preserve"> Date</w:t>
            </w:r>
            <w:r w:rsidR="009172FD">
              <w:rPr>
                <w:rFonts w:asciiTheme="majorHAnsi" w:eastAsia="Times New Roman" w:hAnsiTheme="majorHAnsi" w:cstheme="majorHAnsi"/>
                <w:b w:val="0"/>
                <w:bCs w:val="0"/>
                <w:i/>
                <w:sz w:val="20"/>
                <w:szCs w:val="20"/>
              </w:rPr>
              <w:t xml:space="preserve"> oferite d</w:t>
            </w:r>
            <w:r w:rsidRPr="00A663EC">
              <w:rPr>
                <w:rFonts w:asciiTheme="majorHAnsi" w:eastAsia="Times New Roman" w:hAnsiTheme="majorHAnsi" w:cstheme="majorHAnsi"/>
                <w:b w:val="0"/>
                <w:bCs w:val="0"/>
                <w:i/>
                <w:sz w:val="20"/>
                <w:szCs w:val="20"/>
              </w:rPr>
              <w:t xml:space="preserve">e SFS. </w:t>
            </w:r>
          </w:p>
        </w:tc>
      </w:tr>
    </w:tbl>
    <w:p w:rsidR="008056D3" w:rsidRDefault="008056D3" w:rsidP="00F61756">
      <w:pPr>
        <w:widowControl w:val="0"/>
        <w:autoSpaceDE w:val="0"/>
        <w:autoSpaceDN w:val="0"/>
        <w:spacing w:before="11" w:after="0" w:line="276" w:lineRule="auto"/>
        <w:ind w:right="112" w:firstLine="708"/>
        <w:jc w:val="both"/>
        <w:rPr>
          <w:rFonts w:asciiTheme="majorHAnsi" w:eastAsia="Times New Roman" w:hAnsiTheme="majorHAnsi" w:cstheme="majorHAnsi"/>
          <w:b w:val="0"/>
          <w:bCs w:val="0"/>
          <w:sz w:val="24"/>
          <w:szCs w:val="24"/>
        </w:rPr>
      </w:pPr>
    </w:p>
    <w:p w:rsidR="004005AD" w:rsidRPr="008376FC" w:rsidRDefault="004005AD" w:rsidP="00F61756">
      <w:pPr>
        <w:widowControl w:val="0"/>
        <w:autoSpaceDE w:val="0"/>
        <w:autoSpaceDN w:val="0"/>
        <w:spacing w:before="11" w:after="0" w:line="276" w:lineRule="auto"/>
        <w:ind w:right="112" w:firstLine="708"/>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Lista întreprinderilor aflate în proces de insolvabilitate se prezintă în </w:t>
      </w:r>
      <w:r w:rsidR="009172FD">
        <w:rPr>
          <w:rFonts w:asciiTheme="majorHAnsi" w:eastAsia="Times New Roman" w:hAnsiTheme="majorHAnsi" w:cstheme="majorHAnsi"/>
          <w:b w:val="0"/>
          <w:bCs w:val="0"/>
          <w:sz w:val="24"/>
          <w:szCs w:val="24"/>
        </w:rPr>
        <w:t>t</w:t>
      </w:r>
      <w:r w:rsidRPr="008376FC">
        <w:rPr>
          <w:rFonts w:asciiTheme="majorHAnsi" w:eastAsia="Times New Roman" w:hAnsiTheme="majorHAnsi" w:cstheme="majorHAnsi"/>
          <w:b w:val="0"/>
          <w:bCs w:val="0"/>
          <w:sz w:val="24"/>
          <w:szCs w:val="24"/>
        </w:rPr>
        <w:t xml:space="preserve">abelul </w:t>
      </w:r>
      <w:r w:rsidR="009172FD">
        <w:rPr>
          <w:rFonts w:asciiTheme="majorHAnsi" w:eastAsia="Times New Roman" w:hAnsiTheme="majorHAnsi" w:cstheme="majorHAnsi"/>
          <w:b w:val="0"/>
          <w:bCs w:val="0"/>
          <w:sz w:val="24"/>
          <w:szCs w:val="24"/>
        </w:rPr>
        <w:t>următor</w:t>
      </w:r>
      <w:r w:rsidRPr="008376FC">
        <w:rPr>
          <w:rFonts w:asciiTheme="majorHAnsi" w:eastAsia="Times New Roman" w:hAnsiTheme="majorHAnsi" w:cstheme="majorHAnsi"/>
          <w:b w:val="0"/>
          <w:bCs w:val="0"/>
          <w:sz w:val="24"/>
          <w:szCs w:val="24"/>
        </w:rPr>
        <w:t xml:space="preserve">. </w:t>
      </w:r>
    </w:p>
    <w:p w:rsidR="003E7CEA" w:rsidRDefault="00D878BA" w:rsidP="00DC5C28">
      <w:pPr>
        <w:widowControl w:val="0"/>
        <w:autoSpaceDE w:val="0"/>
        <w:autoSpaceDN w:val="0"/>
        <w:spacing w:after="0" w:line="276" w:lineRule="auto"/>
        <w:ind w:right="112" w:firstLine="920"/>
        <w:jc w:val="right"/>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Tabelul nr.29</w:t>
      </w:r>
    </w:p>
    <w:tbl>
      <w:tblPr>
        <w:tblW w:w="9218"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714"/>
        <w:gridCol w:w="3118"/>
        <w:gridCol w:w="1984"/>
        <w:gridCol w:w="3402"/>
      </w:tblGrid>
      <w:tr w:rsidR="003E7CEA" w:rsidRPr="008376FC" w:rsidTr="00DC5C28">
        <w:trPr>
          <w:trHeight w:val="296"/>
        </w:trPr>
        <w:tc>
          <w:tcPr>
            <w:tcW w:w="9218" w:type="dxa"/>
            <w:gridSpan w:val="4"/>
            <w:tcBorders>
              <w:top w:val="nil"/>
              <w:left w:val="nil"/>
              <w:bottom w:val="single" w:sz="4" w:space="0" w:color="auto"/>
              <w:right w:val="nil"/>
            </w:tcBorders>
            <w:shd w:val="clear" w:color="auto" w:fill="FFFFFF" w:themeFill="background1"/>
            <w:noWrap/>
          </w:tcPr>
          <w:p w:rsidR="003E7CEA" w:rsidRPr="008376FC" w:rsidRDefault="003E7CEA" w:rsidP="002473C0">
            <w:pPr>
              <w:spacing w:after="0" w:line="240"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bCs w:val="0"/>
                <w:sz w:val="20"/>
                <w:szCs w:val="20"/>
              </w:rPr>
              <w:t>Lista întreprinderilor aflate în proces de insolvabilitate în perioada 2016-2022</w:t>
            </w:r>
          </w:p>
        </w:tc>
      </w:tr>
      <w:tr w:rsidR="003E7CEA" w:rsidRPr="008376FC" w:rsidTr="00DC5C28">
        <w:trPr>
          <w:trHeight w:val="411"/>
        </w:trPr>
        <w:tc>
          <w:tcPr>
            <w:tcW w:w="714" w:type="dxa"/>
            <w:tcBorders>
              <w:top w:val="single" w:sz="4" w:space="0" w:color="auto"/>
            </w:tcBorders>
            <w:shd w:val="clear" w:color="auto" w:fill="9CC2E5" w:themeFill="accent1" w:themeFillTint="99"/>
            <w:noWrap/>
            <w:hideMark/>
          </w:tcPr>
          <w:p w:rsidR="003E7CEA" w:rsidRPr="008376FC" w:rsidRDefault="003E7CEA" w:rsidP="002473C0">
            <w:pPr>
              <w:spacing w:after="0" w:line="240"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Nr.</w:t>
            </w:r>
            <w:r>
              <w:rPr>
                <w:rFonts w:asciiTheme="majorHAnsi" w:eastAsia="Times New Roman" w:hAnsiTheme="majorHAnsi" w:cstheme="majorHAnsi"/>
                <w:sz w:val="20"/>
                <w:szCs w:val="20"/>
              </w:rPr>
              <w:t xml:space="preserve"> crt.</w:t>
            </w:r>
          </w:p>
        </w:tc>
        <w:tc>
          <w:tcPr>
            <w:tcW w:w="3118" w:type="dxa"/>
            <w:tcBorders>
              <w:top w:val="single" w:sz="4" w:space="0" w:color="auto"/>
            </w:tcBorders>
            <w:shd w:val="clear" w:color="auto" w:fill="9CC2E5" w:themeFill="accent1" w:themeFillTint="99"/>
            <w:hideMark/>
          </w:tcPr>
          <w:p w:rsidR="003E7CEA" w:rsidRPr="008376FC" w:rsidRDefault="003E7CEA" w:rsidP="002473C0">
            <w:pPr>
              <w:spacing w:after="0" w:line="240"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Denumirea operatorului apă</w:t>
            </w:r>
            <w:r>
              <w:rPr>
                <w:rFonts w:asciiTheme="majorHAnsi" w:eastAsia="Times New Roman" w:hAnsiTheme="majorHAnsi" w:cstheme="majorHAnsi"/>
                <w:sz w:val="20"/>
                <w:szCs w:val="20"/>
              </w:rPr>
              <w:t>-</w:t>
            </w:r>
            <w:r w:rsidRPr="008376FC">
              <w:rPr>
                <w:rFonts w:asciiTheme="majorHAnsi" w:eastAsia="Times New Roman" w:hAnsiTheme="majorHAnsi" w:cstheme="majorHAnsi"/>
                <w:sz w:val="20"/>
                <w:szCs w:val="20"/>
              </w:rPr>
              <w:t>canal</w:t>
            </w:r>
          </w:p>
        </w:tc>
        <w:tc>
          <w:tcPr>
            <w:tcW w:w="1984" w:type="dxa"/>
            <w:tcBorders>
              <w:top w:val="single" w:sz="4" w:space="0" w:color="auto"/>
            </w:tcBorders>
            <w:shd w:val="clear" w:color="auto" w:fill="9CC2E5" w:themeFill="accent1" w:themeFillTint="99"/>
            <w:hideMark/>
          </w:tcPr>
          <w:p w:rsidR="003E7CEA" w:rsidRPr="008376FC" w:rsidRDefault="003E7CEA" w:rsidP="002473C0">
            <w:pPr>
              <w:spacing w:after="0" w:line="240"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Iniţierea procesului de insolvabilitate</w:t>
            </w:r>
          </w:p>
        </w:tc>
        <w:tc>
          <w:tcPr>
            <w:tcW w:w="3402" w:type="dxa"/>
            <w:tcBorders>
              <w:top w:val="single" w:sz="4" w:space="0" w:color="auto"/>
            </w:tcBorders>
            <w:shd w:val="clear" w:color="auto" w:fill="9CC2E5" w:themeFill="accent1" w:themeFillTint="99"/>
            <w:hideMark/>
          </w:tcPr>
          <w:p w:rsidR="003E7CEA" w:rsidRPr="008376FC" w:rsidRDefault="003E7CEA" w:rsidP="002473C0">
            <w:pPr>
              <w:spacing w:after="0" w:line="240" w:lineRule="auto"/>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Procedura aplicată faţă de debitor</w:t>
            </w:r>
          </w:p>
        </w:tc>
      </w:tr>
      <w:tr w:rsidR="003E7CEA" w:rsidRPr="008376FC" w:rsidTr="00DC5C28">
        <w:trPr>
          <w:trHeight w:val="187"/>
        </w:trPr>
        <w:tc>
          <w:tcPr>
            <w:tcW w:w="714" w:type="dxa"/>
            <w:shd w:val="clear" w:color="auto" w:fill="FFFFFF" w:themeFill="background1"/>
            <w:noWrap/>
          </w:tcPr>
          <w:p w:rsidR="003E7CEA" w:rsidRPr="008376FC" w:rsidRDefault="003E7CEA" w:rsidP="002473C0">
            <w:pPr>
              <w:widowControl w:val="0"/>
              <w:numPr>
                <w:ilvl w:val="0"/>
                <w:numId w:val="19"/>
              </w:numPr>
              <w:autoSpaceDE w:val="0"/>
              <w:autoSpaceDN w:val="0"/>
              <w:spacing w:before="16" w:after="0" w:line="240" w:lineRule="auto"/>
              <w:jc w:val="both"/>
              <w:rPr>
                <w:rFonts w:asciiTheme="majorHAnsi" w:eastAsia="Times New Roman" w:hAnsiTheme="majorHAnsi" w:cstheme="majorHAnsi"/>
                <w:b w:val="0"/>
                <w:bCs w:val="0"/>
                <w:sz w:val="20"/>
                <w:szCs w:val="20"/>
              </w:rPr>
            </w:pPr>
          </w:p>
        </w:tc>
        <w:tc>
          <w:tcPr>
            <w:tcW w:w="3118" w:type="dxa"/>
            <w:shd w:val="clear" w:color="auto" w:fill="FFFFFF" w:themeFill="background1"/>
            <w:hideMark/>
          </w:tcPr>
          <w:p w:rsidR="003E7CEA" w:rsidRPr="008376FC" w:rsidRDefault="003E7CEA" w:rsidP="002473C0">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Regia „Apă-Canal</w:t>
            </w:r>
            <w:r>
              <w:rPr>
                <w:rFonts w:asciiTheme="majorHAnsi" w:eastAsia="Times New Roman" w:hAnsiTheme="majorHAnsi" w:cstheme="majorHAnsi"/>
                <w:b w:val="0"/>
                <w:bCs w:val="0"/>
                <w:sz w:val="20"/>
                <w:szCs w:val="20"/>
              </w:rPr>
              <w:t>-</w:t>
            </w:r>
            <w:r w:rsidRPr="008376FC">
              <w:rPr>
                <w:rFonts w:asciiTheme="majorHAnsi" w:eastAsia="Times New Roman" w:hAnsiTheme="majorHAnsi" w:cstheme="majorHAnsi"/>
                <w:b w:val="0"/>
                <w:bCs w:val="0"/>
                <w:sz w:val="20"/>
                <w:szCs w:val="20"/>
              </w:rPr>
              <w:t>Bălți”</w:t>
            </w:r>
          </w:p>
        </w:tc>
        <w:tc>
          <w:tcPr>
            <w:tcW w:w="1984" w:type="dxa"/>
            <w:shd w:val="clear" w:color="auto" w:fill="FFFFFF" w:themeFill="background1"/>
            <w:noWrap/>
            <w:hideMark/>
          </w:tcPr>
          <w:p w:rsidR="003E7CEA" w:rsidRPr="008376FC" w:rsidRDefault="003E7CEA" w:rsidP="002473C0">
            <w:pPr>
              <w:spacing w:after="0" w:line="240" w:lineRule="auto"/>
              <w:jc w:val="center"/>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09</w:t>
            </w:r>
            <w:r w:rsidRPr="008376FC">
              <w:rPr>
                <w:rFonts w:asciiTheme="majorHAnsi" w:eastAsia="Times New Roman" w:hAnsiTheme="majorHAnsi" w:cstheme="majorHAnsi"/>
                <w:b w:val="0"/>
                <w:bCs w:val="0"/>
                <w:sz w:val="20"/>
                <w:szCs w:val="20"/>
              </w:rPr>
              <w:t>.12.2020</w:t>
            </w:r>
          </w:p>
        </w:tc>
        <w:tc>
          <w:tcPr>
            <w:tcW w:w="3402" w:type="dxa"/>
            <w:shd w:val="clear" w:color="auto" w:fill="FFFFFF" w:themeFill="background1"/>
            <w:noWrap/>
            <w:hideMark/>
          </w:tcPr>
          <w:p w:rsidR="003E7CEA" w:rsidRPr="008376FC" w:rsidRDefault="003E7CEA" w:rsidP="00DC5C28">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Procedura de restructurare</w:t>
            </w:r>
          </w:p>
        </w:tc>
      </w:tr>
      <w:tr w:rsidR="003E7CEA" w:rsidRPr="008376FC" w:rsidTr="00DC5C28">
        <w:trPr>
          <w:trHeight w:val="225"/>
        </w:trPr>
        <w:tc>
          <w:tcPr>
            <w:tcW w:w="714" w:type="dxa"/>
            <w:shd w:val="clear" w:color="auto" w:fill="FFFFFF" w:themeFill="background1"/>
            <w:noWrap/>
          </w:tcPr>
          <w:p w:rsidR="003E7CEA" w:rsidRPr="008376FC" w:rsidRDefault="003E7CEA" w:rsidP="002473C0">
            <w:pPr>
              <w:widowControl w:val="0"/>
              <w:numPr>
                <w:ilvl w:val="0"/>
                <w:numId w:val="19"/>
              </w:numPr>
              <w:autoSpaceDE w:val="0"/>
              <w:autoSpaceDN w:val="0"/>
              <w:spacing w:before="16" w:after="0" w:line="240" w:lineRule="auto"/>
              <w:jc w:val="both"/>
              <w:rPr>
                <w:rFonts w:asciiTheme="majorHAnsi" w:eastAsia="Times New Roman" w:hAnsiTheme="majorHAnsi" w:cstheme="majorHAnsi"/>
                <w:b w:val="0"/>
                <w:bCs w:val="0"/>
                <w:sz w:val="20"/>
                <w:szCs w:val="20"/>
              </w:rPr>
            </w:pPr>
          </w:p>
        </w:tc>
        <w:tc>
          <w:tcPr>
            <w:tcW w:w="3118" w:type="dxa"/>
            <w:shd w:val="clear" w:color="auto" w:fill="FFFFFF" w:themeFill="background1"/>
            <w:hideMark/>
          </w:tcPr>
          <w:p w:rsidR="003E7CEA" w:rsidRPr="008376FC" w:rsidRDefault="003E7CEA" w:rsidP="002473C0">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S.A. Regia „Apă-Canal Soroca”</w:t>
            </w:r>
          </w:p>
        </w:tc>
        <w:tc>
          <w:tcPr>
            <w:tcW w:w="1984" w:type="dxa"/>
            <w:shd w:val="clear" w:color="auto" w:fill="FFFFFF" w:themeFill="background1"/>
            <w:noWrap/>
            <w:hideMark/>
          </w:tcPr>
          <w:p w:rsidR="003E7CEA" w:rsidRPr="008376FC" w:rsidRDefault="003E7CEA" w:rsidP="002473C0">
            <w:pPr>
              <w:spacing w:after="0" w:line="240" w:lineRule="auto"/>
              <w:jc w:val="center"/>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2</w:t>
            </w:r>
            <w:r w:rsidRPr="008376FC">
              <w:rPr>
                <w:rFonts w:asciiTheme="majorHAnsi" w:eastAsia="Times New Roman" w:hAnsiTheme="majorHAnsi" w:cstheme="majorHAnsi"/>
                <w:b w:val="0"/>
                <w:bCs w:val="0"/>
                <w:sz w:val="20"/>
                <w:szCs w:val="20"/>
              </w:rPr>
              <w:t>4.0</w:t>
            </w:r>
            <w:r>
              <w:rPr>
                <w:rFonts w:asciiTheme="majorHAnsi" w:eastAsia="Times New Roman" w:hAnsiTheme="majorHAnsi" w:cstheme="majorHAnsi"/>
                <w:b w:val="0"/>
                <w:bCs w:val="0"/>
                <w:sz w:val="20"/>
                <w:szCs w:val="20"/>
              </w:rPr>
              <w:t>1</w:t>
            </w:r>
            <w:r w:rsidRPr="008376FC">
              <w:rPr>
                <w:rFonts w:asciiTheme="majorHAnsi" w:eastAsia="Times New Roman" w:hAnsiTheme="majorHAnsi" w:cstheme="majorHAnsi"/>
                <w:b w:val="0"/>
                <w:bCs w:val="0"/>
                <w:sz w:val="20"/>
                <w:szCs w:val="20"/>
              </w:rPr>
              <w:t>.2022</w:t>
            </w:r>
          </w:p>
        </w:tc>
        <w:tc>
          <w:tcPr>
            <w:tcW w:w="3402" w:type="dxa"/>
            <w:shd w:val="clear" w:color="auto" w:fill="FFFFFF" w:themeFill="background1"/>
            <w:noWrap/>
            <w:hideMark/>
          </w:tcPr>
          <w:p w:rsidR="003E7CEA" w:rsidRPr="008376FC" w:rsidRDefault="003E7CEA" w:rsidP="00DC5C28">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Procedura de restructurare</w:t>
            </w:r>
          </w:p>
        </w:tc>
      </w:tr>
      <w:tr w:rsidR="003E7CEA" w:rsidRPr="008376FC" w:rsidTr="00DC5C28">
        <w:trPr>
          <w:trHeight w:val="266"/>
        </w:trPr>
        <w:tc>
          <w:tcPr>
            <w:tcW w:w="714" w:type="dxa"/>
            <w:shd w:val="clear" w:color="auto" w:fill="FFFFFF" w:themeFill="background1"/>
            <w:noWrap/>
          </w:tcPr>
          <w:p w:rsidR="003E7CEA" w:rsidRPr="008376FC" w:rsidRDefault="003E7CEA" w:rsidP="002473C0">
            <w:pPr>
              <w:widowControl w:val="0"/>
              <w:numPr>
                <w:ilvl w:val="0"/>
                <w:numId w:val="19"/>
              </w:numPr>
              <w:autoSpaceDE w:val="0"/>
              <w:autoSpaceDN w:val="0"/>
              <w:spacing w:before="16" w:after="0" w:line="240" w:lineRule="auto"/>
              <w:jc w:val="both"/>
              <w:rPr>
                <w:rFonts w:asciiTheme="majorHAnsi" w:eastAsia="Times New Roman" w:hAnsiTheme="majorHAnsi" w:cstheme="majorHAnsi"/>
                <w:b w:val="0"/>
                <w:bCs w:val="0"/>
                <w:sz w:val="20"/>
                <w:szCs w:val="20"/>
              </w:rPr>
            </w:pPr>
          </w:p>
        </w:tc>
        <w:tc>
          <w:tcPr>
            <w:tcW w:w="3118" w:type="dxa"/>
            <w:shd w:val="clear" w:color="auto" w:fill="FFFFFF" w:themeFill="background1"/>
            <w:hideMark/>
          </w:tcPr>
          <w:p w:rsidR="003E7CEA" w:rsidRPr="008376FC" w:rsidRDefault="003E7CEA" w:rsidP="002473C0">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 xml:space="preserve">Î.Î.S. „ACVA-NORD" </w:t>
            </w:r>
          </w:p>
        </w:tc>
        <w:tc>
          <w:tcPr>
            <w:tcW w:w="1984" w:type="dxa"/>
            <w:shd w:val="clear" w:color="auto" w:fill="FFFFFF" w:themeFill="background1"/>
            <w:noWrap/>
            <w:hideMark/>
          </w:tcPr>
          <w:p w:rsidR="003E7CEA" w:rsidRPr="008376FC" w:rsidRDefault="003E7CEA" w:rsidP="002473C0">
            <w:pPr>
              <w:spacing w:after="0" w:line="240" w:lineRule="auto"/>
              <w:jc w:val="center"/>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0</w:t>
            </w:r>
            <w:r w:rsidRPr="008376FC">
              <w:rPr>
                <w:rFonts w:asciiTheme="majorHAnsi" w:eastAsia="Times New Roman" w:hAnsiTheme="majorHAnsi" w:cstheme="majorHAnsi"/>
                <w:b w:val="0"/>
                <w:bCs w:val="0"/>
                <w:sz w:val="20"/>
                <w:szCs w:val="20"/>
              </w:rPr>
              <w:t>5.02.2016</w:t>
            </w:r>
          </w:p>
        </w:tc>
        <w:tc>
          <w:tcPr>
            <w:tcW w:w="3402" w:type="dxa"/>
            <w:shd w:val="clear" w:color="auto" w:fill="FFFFFF" w:themeFill="background1"/>
            <w:noWrap/>
            <w:hideMark/>
          </w:tcPr>
          <w:p w:rsidR="003E7CEA" w:rsidRPr="008376FC" w:rsidRDefault="003E7CEA" w:rsidP="00DC5C28">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Procedura planului</w:t>
            </w:r>
          </w:p>
        </w:tc>
      </w:tr>
      <w:tr w:rsidR="003E7CEA" w:rsidRPr="008376FC" w:rsidTr="00DC5C28">
        <w:trPr>
          <w:trHeight w:val="135"/>
        </w:trPr>
        <w:tc>
          <w:tcPr>
            <w:tcW w:w="714" w:type="dxa"/>
            <w:shd w:val="clear" w:color="auto" w:fill="FFFFFF" w:themeFill="background1"/>
            <w:noWrap/>
          </w:tcPr>
          <w:p w:rsidR="003E7CEA" w:rsidRPr="008376FC" w:rsidRDefault="003E7CEA" w:rsidP="002473C0">
            <w:pPr>
              <w:widowControl w:val="0"/>
              <w:numPr>
                <w:ilvl w:val="0"/>
                <w:numId w:val="19"/>
              </w:numPr>
              <w:autoSpaceDE w:val="0"/>
              <w:autoSpaceDN w:val="0"/>
              <w:spacing w:before="16" w:after="0" w:line="240" w:lineRule="auto"/>
              <w:jc w:val="both"/>
              <w:rPr>
                <w:rFonts w:asciiTheme="majorHAnsi" w:eastAsia="Times New Roman" w:hAnsiTheme="majorHAnsi" w:cstheme="majorHAnsi"/>
                <w:b w:val="0"/>
                <w:bCs w:val="0"/>
                <w:sz w:val="20"/>
                <w:szCs w:val="20"/>
              </w:rPr>
            </w:pPr>
          </w:p>
        </w:tc>
        <w:tc>
          <w:tcPr>
            <w:tcW w:w="3118" w:type="dxa"/>
            <w:shd w:val="clear" w:color="auto" w:fill="FFFFFF" w:themeFill="background1"/>
            <w:hideMark/>
          </w:tcPr>
          <w:p w:rsidR="003E7CEA" w:rsidRPr="008376FC" w:rsidRDefault="003E7CEA" w:rsidP="002473C0">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„Buţeni-Salubritate”</w:t>
            </w:r>
          </w:p>
        </w:tc>
        <w:tc>
          <w:tcPr>
            <w:tcW w:w="1984" w:type="dxa"/>
            <w:shd w:val="clear" w:color="auto" w:fill="FFFFFF" w:themeFill="background1"/>
            <w:noWrap/>
            <w:hideMark/>
          </w:tcPr>
          <w:p w:rsidR="003E7CEA" w:rsidRPr="008376FC" w:rsidRDefault="003E7CEA" w:rsidP="002473C0">
            <w:pPr>
              <w:spacing w:after="0" w:line="240" w:lineRule="auto"/>
              <w:jc w:val="center"/>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11</w:t>
            </w:r>
            <w:r w:rsidRPr="008376FC">
              <w:rPr>
                <w:rFonts w:asciiTheme="majorHAnsi" w:eastAsia="Times New Roman" w:hAnsiTheme="majorHAnsi" w:cstheme="majorHAnsi"/>
                <w:b w:val="0"/>
                <w:bCs w:val="0"/>
                <w:sz w:val="20"/>
                <w:szCs w:val="20"/>
              </w:rPr>
              <w:t>.05.2021</w:t>
            </w:r>
          </w:p>
        </w:tc>
        <w:tc>
          <w:tcPr>
            <w:tcW w:w="3402" w:type="dxa"/>
            <w:shd w:val="clear" w:color="auto" w:fill="FFFFFF" w:themeFill="background1"/>
            <w:noWrap/>
            <w:hideMark/>
          </w:tcPr>
          <w:p w:rsidR="003E7CEA" w:rsidRPr="008376FC" w:rsidRDefault="003E7CEA" w:rsidP="00DC5C28">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Procedura simplificată a falimentului</w:t>
            </w:r>
          </w:p>
        </w:tc>
      </w:tr>
      <w:tr w:rsidR="003E7CEA" w:rsidRPr="008376FC" w:rsidTr="00DC5C28">
        <w:trPr>
          <w:trHeight w:val="134"/>
        </w:trPr>
        <w:tc>
          <w:tcPr>
            <w:tcW w:w="714" w:type="dxa"/>
            <w:shd w:val="clear" w:color="auto" w:fill="FFFFFF" w:themeFill="background1"/>
            <w:noWrap/>
          </w:tcPr>
          <w:p w:rsidR="003E7CEA" w:rsidRPr="008376FC" w:rsidRDefault="003E7CEA" w:rsidP="002473C0">
            <w:pPr>
              <w:widowControl w:val="0"/>
              <w:numPr>
                <w:ilvl w:val="0"/>
                <w:numId w:val="19"/>
              </w:numPr>
              <w:autoSpaceDE w:val="0"/>
              <w:autoSpaceDN w:val="0"/>
              <w:spacing w:before="16" w:after="0" w:line="240" w:lineRule="auto"/>
              <w:jc w:val="both"/>
              <w:rPr>
                <w:rFonts w:asciiTheme="majorHAnsi" w:eastAsia="Times New Roman" w:hAnsiTheme="majorHAnsi" w:cstheme="majorHAnsi"/>
                <w:b w:val="0"/>
                <w:bCs w:val="0"/>
                <w:sz w:val="20"/>
                <w:szCs w:val="20"/>
              </w:rPr>
            </w:pPr>
          </w:p>
        </w:tc>
        <w:tc>
          <w:tcPr>
            <w:tcW w:w="3118" w:type="dxa"/>
            <w:shd w:val="clear" w:color="auto" w:fill="FFFFFF" w:themeFill="background1"/>
            <w:hideMark/>
          </w:tcPr>
          <w:p w:rsidR="003E7CEA" w:rsidRPr="008376FC" w:rsidRDefault="003E7CEA" w:rsidP="002473C0">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„Servicii comunale Ivancea”</w:t>
            </w:r>
          </w:p>
        </w:tc>
        <w:tc>
          <w:tcPr>
            <w:tcW w:w="1984" w:type="dxa"/>
            <w:shd w:val="clear" w:color="auto" w:fill="FFFFFF" w:themeFill="background1"/>
            <w:noWrap/>
            <w:hideMark/>
          </w:tcPr>
          <w:p w:rsidR="003E7CEA" w:rsidRPr="008376FC" w:rsidRDefault="003E7CEA" w:rsidP="002473C0">
            <w:pPr>
              <w:spacing w:after="0" w:line="240" w:lineRule="auto"/>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w:t>
            </w:r>
            <w:r>
              <w:rPr>
                <w:rFonts w:asciiTheme="majorHAnsi" w:eastAsia="Times New Roman" w:hAnsiTheme="majorHAnsi" w:cstheme="majorHAnsi"/>
                <w:b w:val="0"/>
                <w:bCs w:val="0"/>
                <w:sz w:val="20"/>
                <w:szCs w:val="20"/>
              </w:rPr>
              <w:t>0</w:t>
            </w:r>
            <w:r w:rsidRPr="008376FC">
              <w:rPr>
                <w:rFonts w:asciiTheme="majorHAnsi" w:eastAsia="Times New Roman" w:hAnsiTheme="majorHAnsi" w:cstheme="majorHAnsi"/>
                <w:b w:val="0"/>
                <w:bCs w:val="0"/>
                <w:sz w:val="20"/>
                <w:szCs w:val="20"/>
              </w:rPr>
              <w:t>.0</w:t>
            </w:r>
            <w:r>
              <w:rPr>
                <w:rFonts w:asciiTheme="majorHAnsi" w:eastAsia="Times New Roman" w:hAnsiTheme="majorHAnsi" w:cstheme="majorHAnsi"/>
                <w:b w:val="0"/>
                <w:bCs w:val="0"/>
                <w:sz w:val="20"/>
                <w:szCs w:val="20"/>
              </w:rPr>
              <w:t>8</w:t>
            </w:r>
            <w:r w:rsidRPr="008376FC">
              <w:rPr>
                <w:rFonts w:asciiTheme="majorHAnsi" w:eastAsia="Times New Roman" w:hAnsiTheme="majorHAnsi" w:cstheme="majorHAnsi"/>
                <w:b w:val="0"/>
                <w:bCs w:val="0"/>
                <w:sz w:val="20"/>
                <w:szCs w:val="20"/>
              </w:rPr>
              <w:t>.2019</w:t>
            </w:r>
          </w:p>
        </w:tc>
        <w:tc>
          <w:tcPr>
            <w:tcW w:w="3402" w:type="dxa"/>
            <w:shd w:val="clear" w:color="auto" w:fill="FFFFFF" w:themeFill="background1"/>
            <w:noWrap/>
          </w:tcPr>
          <w:p w:rsidR="003E7CEA" w:rsidRPr="008376FC" w:rsidRDefault="003E7CEA" w:rsidP="00DC5C28">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Procedura simplificată a falimentului</w:t>
            </w:r>
          </w:p>
        </w:tc>
      </w:tr>
      <w:tr w:rsidR="003E7CEA" w:rsidRPr="008376FC" w:rsidTr="00DC5C28">
        <w:trPr>
          <w:trHeight w:val="135"/>
        </w:trPr>
        <w:tc>
          <w:tcPr>
            <w:tcW w:w="714" w:type="dxa"/>
            <w:shd w:val="clear" w:color="auto" w:fill="FFFFFF" w:themeFill="background1"/>
            <w:noWrap/>
          </w:tcPr>
          <w:p w:rsidR="003E7CEA" w:rsidRPr="008376FC" w:rsidRDefault="003E7CEA" w:rsidP="002473C0">
            <w:pPr>
              <w:widowControl w:val="0"/>
              <w:numPr>
                <w:ilvl w:val="0"/>
                <w:numId w:val="19"/>
              </w:numPr>
              <w:autoSpaceDE w:val="0"/>
              <w:autoSpaceDN w:val="0"/>
              <w:spacing w:before="16" w:after="0" w:line="240" w:lineRule="auto"/>
              <w:jc w:val="both"/>
              <w:rPr>
                <w:rFonts w:asciiTheme="majorHAnsi" w:eastAsia="Times New Roman" w:hAnsiTheme="majorHAnsi" w:cstheme="majorHAnsi"/>
                <w:b w:val="0"/>
                <w:bCs w:val="0"/>
                <w:sz w:val="20"/>
                <w:szCs w:val="20"/>
              </w:rPr>
            </w:pPr>
          </w:p>
        </w:tc>
        <w:tc>
          <w:tcPr>
            <w:tcW w:w="3118" w:type="dxa"/>
            <w:shd w:val="clear" w:color="auto" w:fill="FFFFFF" w:themeFill="background1"/>
            <w:hideMark/>
          </w:tcPr>
          <w:p w:rsidR="003E7CEA" w:rsidRPr="008376FC" w:rsidRDefault="003E7CEA" w:rsidP="002473C0">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„Servicom-Mateuţi”</w:t>
            </w:r>
          </w:p>
        </w:tc>
        <w:tc>
          <w:tcPr>
            <w:tcW w:w="1984" w:type="dxa"/>
            <w:shd w:val="clear" w:color="auto" w:fill="FFFFFF" w:themeFill="background1"/>
            <w:noWrap/>
            <w:hideMark/>
          </w:tcPr>
          <w:p w:rsidR="003E7CEA" w:rsidRPr="008376FC" w:rsidRDefault="003E7CEA" w:rsidP="002473C0">
            <w:pPr>
              <w:spacing w:after="0" w:line="240" w:lineRule="auto"/>
              <w:jc w:val="center"/>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3</w:t>
            </w:r>
            <w:r w:rsidRPr="008376FC">
              <w:rPr>
                <w:rFonts w:asciiTheme="majorHAnsi" w:eastAsia="Times New Roman" w:hAnsiTheme="majorHAnsi" w:cstheme="majorHAnsi"/>
                <w:b w:val="0"/>
                <w:bCs w:val="0"/>
                <w:sz w:val="20"/>
                <w:szCs w:val="20"/>
              </w:rPr>
              <w:t>0.0</w:t>
            </w:r>
            <w:r>
              <w:rPr>
                <w:rFonts w:asciiTheme="majorHAnsi" w:eastAsia="Times New Roman" w:hAnsiTheme="majorHAnsi" w:cstheme="majorHAnsi"/>
                <w:b w:val="0"/>
                <w:bCs w:val="0"/>
                <w:sz w:val="20"/>
                <w:szCs w:val="20"/>
              </w:rPr>
              <w:t>3</w:t>
            </w:r>
            <w:r w:rsidRPr="008376FC">
              <w:rPr>
                <w:rFonts w:asciiTheme="majorHAnsi" w:eastAsia="Times New Roman" w:hAnsiTheme="majorHAnsi" w:cstheme="majorHAnsi"/>
                <w:b w:val="0"/>
                <w:bCs w:val="0"/>
                <w:sz w:val="20"/>
                <w:szCs w:val="20"/>
              </w:rPr>
              <w:t>.2017</w:t>
            </w:r>
          </w:p>
        </w:tc>
        <w:tc>
          <w:tcPr>
            <w:tcW w:w="3402" w:type="dxa"/>
            <w:shd w:val="clear" w:color="auto" w:fill="FFFFFF" w:themeFill="background1"/>
            <w:noWrap/>
          </w:tcPr>
          <w:p w:rsidR="003E7CEA" w:rsidRPr="008376FC" w:rsidRDefault="003E7CEA" w:rsidP="00DC5C28">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Procedura simplificată a falimentului</w:t>
            </w:r>
          </w:p>
        </w:tc>
      </w:tr>
      <w:tr w:rsidR="003E7CEA" w:rsidRPr="008376FC" w:rsidTr="00DC5C28">
        <w:trPr>
          <w:trHeight w:val="141"/>
        </w:trPr>
        <w:tc>
          <w:tcPr>
            <w:tcW w:w="714" w:type="dxa"/>
            <w:shd w:val="clear" w:color="auto" w:fill="FFFFFF" w:themeFill="background1"/>
            <w:noWrap/>
          </w:tcPr>
          <w:p w:rsidR="003E7CEA" w:rsidRPr="008376FC" w:rsidRDefault="003E7CEA" w:rsidP="002473C0">
            <w:pPr>
              <w:widowControl w:val="0"/>
              <w:numPr>
                <w:ilvl w:val="0"/>
                <w:numId w:val="19"/>
              </w:numPr>
              <w:autoSpaceDE w:val="0"/>
              <w:autoSpaceDN w:val="0"/>
              <w:spacing w:before="16" w:after="0" w:line="240" w:lineRule="auto"/>
              <w:jc w:val="both"/>
              <w:rPr>
                <w:rFonts w:asciiTheme="majorHAnsi" w:eastAsia="Times New Roman" w:hAnsiTheme="majorHAnsi" w:cstheme="majorHAnsi"/>
                <w:b w:val="0"/>
                <w:bCs w:val="0"/>
                <w:sz w:val="20"/>
                <w:szCs w:val="20"/>
              </w:rPr>
            </w:pPr>
          </w:p>
        </w:tc>
        <w:tc>
          <w:tcPr>
            <w:tcW w:w="3118" w:type="dxa"/>
            <w:shd w:val="clear" w:color="auto" w:fill="FFFFFF" w:themeFill="background1"/>
            <w:hideMark/>
          </w:tcPr>
          <w:p w:rsidR="003E7CEA" w:rsidRPr="008376FC" w:rsidRDefault="003E7CEA" w:rsidP="002473C0">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„Apă Șoldănești""</w:t>
            </w:r>
          </w:p>
        </w:tc>
        <w:tc>
          <w:tcPr>
            <w:tcW w:w="1984" w:type="dxa"/>
            <w:shd w:val="clear" w:color="auto" w:fill="FFFFFF" w:themeFill="background1"/>
            <w:noWrap/>
            <w:hideMark/>
          </w:tcPr>
          <w:p w:rsidR="003E7CEA" w:rsidRPr="008376FC" w:rsidRDefault="003E7CEA" w:rsidP="002473C0">
            <w:pPr>
              <w:spacing w:after="0" w:line="240" w:lineRule="auto"/>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25.0</w:t>
            </w:r>
            <w:r>
              <w:rPr>
                <w:rFonts w:asciiTheme="majorHAnsi" w:eastAsia="Times New Roman" w:hAnsiTheme="majorHAnsi" w:cstheme="majorHAnsi"/>
                <w:b w:val="0"/>
                <w:bCs w:val="0"/>
                <w:sz w:val="20"/>
                <w:szCs w:val="20"/>
              </w:rPr>
              <w:t>9</w:t>
            </w:r>
            <w:r w:rsidRPr="008376FC">
              <w:rPr>
                <w:rFonts w:asciiTheme="majorHAnsi" w:eastAsia="Times New Roman" w:hAnsiTheme="majorHAnsi" w:cstheme="majorHAnsi"/>
                <w:b w:val="0"/>
                <w:bCs w:val="0"/>
                <w:sz w:val="20"/>
                <w:szCs w:val="20"/>
              </w:rPr>
              <w:t>.2017</w:t>
            </w:r>
          </w:p>
        </w:tc>
        <w:tc>
          <w:tcPr>
            <w:tcW w:w="3402" w:type="dxa"/>
            <w:shd w:val="clear" w:color="auto" w:fill="FFFFFF" w:themeFill="background1"/>
            <w:noWrap/>
            <w:hideMark/>
          </w:tcPr>
          <w:p w:rsidR="003E7CEA" w:rsidRPr="008376FC" w:rsidRDefault="003E7CEA" w:rsidP="00DC5C28">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Procedura planului</w:t>
            </w:r>
          </w:p>
        </w:tc>
      </w:tr>
      <w:tr w:rsidR="003E7CEA" w:rsidRPr="008376FC" w:rsidTr="00DC5C28">
        <w:trPr>
          <w:trHeight w:val="263"/>
        </w:trPr>
        <w:tc>
          <w:tcPr>
            <w:tcW w:w="714" w:type="dxa"/>
            <w:shd w:val="clear" w:color="auto" w:fill="FFFFFF" w:themeFill="background1"/>
            <w:noWrap/>
          </w:tcPr>
          <w:p w:rsidR="003E7CEA" w:rsidRPr="008376FC" w:rsidRDefault="003E7CEA" w:rsidP="002473C0">
            <w:pPr>
              <w:widowControl w:val="0"/>
              <w:numPr>
                <w:ilvl w:val="0"/>
                <w:numId w:val="19"/>
              </w:numPr>
              <w:autoSpaceDE w:val="0"/>
              <w:autoSpaceDN w:val="0"/>
              <w:spacing w:before="16" w:after="0" w:line="240" w:lineRule="auto"/>
              <w:jc w:val="both"/>
              <w:rPr>
                <w:rFonts w:asciiTheme="majorHAnsi" w:eastAsia="Times New Roman" w:hAnsiTheme="majorHAnsi" w:cstheme="majorHAnsi"/>
                <w:b w:val="0"/>
                <w:bCs w:val="0"/>
                <w:sz w:val="20"/>
                <w:szCs w:val="20"/>
              </w:rPr>
            </w:pPr>
          </w:p>
        </w:tc>
        <w:tc>
          <w:tcPr>
            <w:tcW w:w="3118" w:type="dxa"/>
            <w:shd w:val="clear" w:color="auto" w:fill="FFFFFF" w:themeFill="background1"/>
            <w:hideMark/>
          </w:tcPr>
          <w:p w:rsidR="003E7CEA" w:rsidRPr="008376FC" w:rsidRDefault="003E7CEA" w:rsidP="002473C0">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 xml:space="preserve">Î.M. „Apă-Canal din Basarabeasca" </w:t>
            </w:r>
          </w:p>
        </w:tc>
        <w:tc>
          <w:tcPr>
            <w:tcW w:w="1984" w:type="dxa"/>
            <w:shd w:val="clear" w:color="auto" w:fill="FFFFFF" w:themeFill="background1"/>
            <w:noWrap/>
            <w:hideMark/>
          </w:tcPr>
          <w:p w:rsidR="003E7CEA" w:rsidRPr="008376FC" w:rsidRDefault="003E7CEA" w:rsidP="002473C0">
            <w:pPr>
              <w:spacing w:after="0" w:line="240" w:lineRule="auto"/>
              <w:jc w:val="center"/>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26</w:t>
            </w:r>
            <w:r w:rsidRPr="008376FC">
              <w:rPr>
                <w:rFonts w:asciiTheme="majorHAnsi" w:eastAsia="Times New Roman" w:hAnsiTheme="majorHAnsi" w:cstheme="majorHAnsi"/>
                <w:b w:val="0"/>
                <w:bCs w:val="0"/>
                <w:sz w:val="20"/>
                <w:szCs w:val="20"/>
              </w:rPr>
              <w:t>.0</w:t>
            </w:r>
            <w:r>
              <w:rPr>
                <w:rFonts w:asciiTheme="majorHAnsi" w:eastAsia="Times New Roman" w:hAnsiTheme="majorHAnsi" w:cstheme="majorHAnsi"/>
                <w:b w:val="0"/>
                <w:bCs w:val="0"/>
                <w:sz w:val="20"/>
                <w:szCs w:val="20"/>
              </w:rPr>
              <w:t>1</w:t>
            </w:r>
            <w:r w:rsidRPr="008376FC">
              <w:rPr>
                <w:rFonts w:asciiTheme="majorHAnsi" w:eastAsia="Times New Roman" w:hAnsiTheme="majorHAnsi" w:cstheme="majorHAnsi"/>
                <w:b w:val="0"/>
                <w:bCs w:val="0"/>
                <w:sz w:val="20"/>
                <w:szCs w:val="20"/>
              </w:rPr>
              <w:t>.2017</w:t>
            </w:r>
          </w:p>
        </w:tc>
        <w:tc>
          <w:tcPr>
            <w:tcW w:w="3402" w:type="dxa"/>
            <w:shd w:val="clear" w:color="auto" w:fill="FFFFFF" w:themeFill="background1"/>
            <w:noWrap/>
            <w:hideMark/>
          </w:tcPr>
          <w:p w:rsidR="003E7CEA" w:rsidRPr="008376FC" w:rsidRDefault="003E7CEA" w:rsidP="00DC5C28">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Procedura planului</w:t>
            </w:r>
          </w:p>
        </w:tc>
      </w:tr>
      <w:tr w:rsidR="003E7CEA" w:rsidRPr="008376FC" w:rsidTr="00DC5C28">
        <w:trPr>
          <w:trHeight w:val="148"/>
        </w:trPr>
        <w:tc>
          <w:tcPr>
            <w:tcW w:w="714" w:type="dxa"/>
            <w:shd w:val="clear" w:color="auto" w:fill="FFFFFF" w:themeFill="background1"/>
            <w:noWrap/>
          </w:tcPr>
          <w:p w:rsidR="003E7CEA" w:rsidRPr="008376FC" w:rsidRDefault="003E7CEA" w:rsidP="002473C0">
            <w:pPr>
              <w:widowControl w:val="0"/>
              <w:numPr>
                <w:ilvl w:val="0"/>
                <w:numId w:val="19"/>
              </w:numPr>
              <w:autoSpaceDE w:val="0"/>
              <w:autoSpaceDN w:val="0"/>
              <w:spacing w:before="16" w:after="0" w:line="240" w:lineRule="auto"/>
              <w:jc w:val="both"/>
              <w:rPr>
                <w:rFonts w:asciiTheme="majorHAnsi" w:eastAsia="Times New Roman" w:hAnsiTheme="majorHAnsi" w:cstheme="majorHAnsi"/>
                <w:b w:val="0"/>
                <w:bCs w:val="0"/>
                <w:sz w:val="20"/>
                <w:szCs w:val="20"/>
              </w:rPr>
            </w:pPr>
          </w:p>
        </w:tc>
        <w:tc>
          <w:tcPr>
            <w:tcW w:w="3118" w:type="dxa"/>
            <w:shd w:val="clear" w:color="auto" w:fill="FFFFFF" w:themeFill="background1"/>
            <w:hideMark/>
          </w:tcPr>
          <w:p w:rsidR="003E7CEA" w:rsidRPr="008376FC" w:rsidRDefault="003E7CEA" w:rsidP="002473C0">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„AQUA Basarabeasca”</w:t>
            </w:r>
          </w:p>
        </w:tc>
        <w:tc>
          <w:tcPr>
            <w:tcW w:w="1984" w:type="dxa"/>
            <w:shd w:val="clear" w:color="auto" w:fill="FFFFFF" w:themeFill="background1"/>
            <w:noWrap/>
            <w:hideMark/>
          </w:tcPr>
          <w:p w:rsidR="003E7CEA" w:rsidRPr="008376FC" w:rsidRDefault="003E7CEA" w:rsidP="002473C0">
            <w:pPr>
              <w:spacing w:after="0" w:line="240" w:lineRule="auto"/>
              <w:jc w:val="center"/>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20</w:t>
            </w:r>
            <w:r w:rsidRPr="008376FC">
              <w:rPr>
                <w:rFonts w:asciiTheme="majorHAnsi" w:eastAsia="Times New Roman" w:hAnsiTheme="majorHAnsi" w:cstheme="majorHAnsi"/>
                <w:b w:val="0"/>
                <w:bCs w:val="0"/>
                <w:sz w:val="20"/>
                <w:szCs w:val="20"/>
              </w:rPr>
              <w:t>.1</w:t>
            </w:r>
            <w:r>
              <w:rPr>
                <w:rFonts w:asciiTheme="majorHAnsi" w:eastAsia="Times New Roman" w:hAnsiTheme="majorHAnsi" w:cstheme="majorHAnsi"/>
                <w:b w:val="0"/>
                <w:bCs w:val="0"/>
                <w:sz w:val="20"/>
                <w:szCs w:val="20"/>
              </w:rPr>
              <w:t>0</w:t>
            </w:r>
            <w:r w:rsidRPr="008376FC">
              <w:rPr>
                <w:rFonts w:asciiTheme="majorHAnsi" w:eastAsia="Times New Roman" w:hAnsiTheme="majorHAnsi" w:cstheme="majorHAnsi"/>
                <w:b w:val="0"/>
                <w:bCs w:val="0"/>
                <w:sz w:val="20"/>
                <w:szCs w:val="20"/>
              </w:rPr>
              <w:t>.2020</w:t>
            </w:r>
          </w:p>
        </w:tc>
        <w:tc>
          <w:tcPr>
            <w:tcW w:w="3402" w:type="dxa"/>
            <w:shd w:val="clear" w:color="auto" w:fill="FFFFFF" w:themeFill="background1"/>
            <w:noWrap/>
            <w:hideMark/>
          </w:tcPr>
          <w:p w:rsidR="003E7CEA" w:rsidRPr="008376FC" w:rsidRDefault="003E7CEA" w:rsidP="00DC5C28">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Procedura de restructurare</w:t>
            </w:r>
          </w:p>
        </w:tc>
      </w:tr>
      <w:tr w:rsidR="003E7CEA" w:rsidRPr="008376FC" w:rsidTr="00DC5C28">
        <w:trPr>
          <w:trHeight w:val="152"/>
        </w:trPr>
        <w:tc>
          <w:tcPr>
            <w:tcW w:w="714" w:type="dxa"/>
            <w:tcBorders>
              <w:bottom w:val="single" w:sz="4" w:space="0" w:color="auto"/>
            </w:tcBorders>
            <w:shd w:val="clear" w:color="auto" w:fill="FFFFFF" w:themeFill="background1"/>
            <w:noWrap/>
          </w:tcPr>
          <w:p w:rsidR="003E7CEA" w:rsidRPr="008376FC" w:rsidRDefault="003E7CEA" w:rsidP="002473C0">
            <w:pPr>
              <w:widowControl w:val="0"/>
              <w:numPr>
                <w:ilvl w:val="0"/>
                <w:numId w:val="19"/>
              </w:numPr>
              <w:autoSpaceDE w:val="0"/>
              <w:autoSpaceDN w:val="0"/>
              <w:spacing w:before="16" w:after="0" w:line="240" w:lineRule="auto"/>
              <w:jc w:val="both"/>
              <w:rPr>
                <w:rFonts w:asciiTheme="majorHAnsi" w:eastAsia="Times New Roman" w:hAnsiTheme="majorHAnsi" w:cstheme="majorHAnsi"/>
                <w:b w:val="0"/>
                <w:bCs w:val="0"/>
                <w:sz w:val="20"/>
                <w:szCs w:val="20"/>
              </w:rPr>
            </w:pPr>
          </w:p>
        </w:tc>
        <w:tc>
          <w:tcPr>
            <w:tcW w:w="3118" w:type="dxa"/>
            <w:tcBorders>
              <w:bottom w:val="single" w:sz="4" w:space="0" w:color="auto"/>
            </w:tcBorders>
            <w:shd w:val="clear" w:color="auto" w:fill="FFFFFF" w:themeFill="background1"/>
            <w:hideMark/>
          </w:tcPr>
          <w:p w:rsidR="003E7CEA" w:rsidRPr="008376FC" w:rsidRDefault="003E7CEA" w:rsidP="002473C0">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„Bulboaca-Prim”</w:t>
            </w:r>
          </w:p>
        </w:tc>
        <w:tc>
          <w:tcPr>
            <w:tcW w:w="1984" w:type="dxa"/>
            <w:tcBorders>
              <w:bottom w:val="single" w:sz="4" w:space="0" w:color="auto"/>
            </w:tcBorders>
            <w:shd w:val="clear" w:color="auto" w:fill="FFFFFF" w:themeFill="background1"/>
            <w:noWrap/>
            <w:hideMark/>
          </w:tcPr>
          <w:p w:rsidR="003E7CEA" w:rsidRPr="008376FC" w:rsidRDefault="003E7CEA" w:rsidP="002473C0">
            <w:pPr>
              <w:spacing w:after="0" w:line="240" w:lineRule="auto"/>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r>
              <w:rPr>
                <w:rFonts w:asciiTheme="majorHAnsi" w:eastAsia="Times New Roman" w:hAnsiTheme="majorHAnsi" w:cstheme="majorHAnsi"/>
                <w:b w:val="0"/>
                <w:bCs w:val="0"/>
                <w:sz w:val="20"/>
                <w:szCs w:val="20"/>
              </w:rPr>
              <w:t>0</w:t>
            </w:r>
            <w:r w:rsidRPr="008376FC">
              <w:rPr>
                <w:rFonts w:asciiTheme="majorHAnsi" w:eastAsia="Times New Roman" w:hAnsiTheme="majorHAnsi" w:cstheme="majorHAnsi"/>
                <w:b w:val="0"/>
                <w:bCs w:val="0"/>
                <w:sz w:val="20"/>
                <w:szCs w:val="20"/>
              </w:rPr>
              <w:t>.0</w:t>
            </w:r>
            <w:r>
              <w:rPr>
                <w:rFonts w:asciiTheme="majorHAnsi" w:eastAsia="Times New Roman" w:hAnsiTheme="majorHAnsi" w:cstheme="majorHAnsi"/>
                <w:b w:val="0"/>
                <w:bCs w:val="0"/>
                <w:sz w:val="20"/>
                <w:szCs w:val="20"/>
              </w:rPr>
              <w:t>5</w:t>
            </w:r>
            <w:r w:rsidRPr="008376FC">
              <w:rPr>
                <w:rFonts w:asciiTheme="majorHAnsi" w:eastAsia="Times New Roman" w:hAnsiTheme="majorHAnsi" w:cstheme="majorHAnsi"/>
                <w:b w:val="0"/>
                <w:bCs w:val="0"/>
                <w:sz w:val="20"/>
                <w:szCs w:val="20"/>
              </w:rPr>
              <w:t>.2022</w:t>
            </w:r>
          </w:p>
        </w:tc>
        <w:tc>
          <w:tcPr>
            <w:tcW w:w="3402" w:type="dxa"/>
            <w:tcBorders>
              <w:bottom w:val="single" w:sz="4" w:space="0" w:color="auto"/>
            </w:tcBorders>
            <w:shd w:val="clear" w:color="auto" w:fill="FFFFFF" w:themeFill="background1"/>
            <w:noWrap/>
            <w:hideMark/>
          </w:tcPr>
          <w:p w:rsidR="003E7CEA" w:rsidRPr="008376FC" w:rsidRDefault="003E7CEA" w:rsidP="00DC5C28">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Procedura simplificată a falimentului</w:t>
            </w:r>
          </w:p>
        </w:tc>
      </w:tr>
      <w:tr w:rsidR="003E7CEA" w:rsidRPr="008376FC" w:rsidTr="00DC5C28">
        <w:trPr>
          <w:trHeight w:val="156"/>
        </w:trPr>
        <w:tc>
          <w:tcPr>
            <w:tcW w:w="714" w:type="dxa"/>
            <w:tcBorders>
              <w:bottom w:val="single" w:sz="4" w:space="0" w:color="auto"/>
            </w:tcBorders>
            <w:shd w:val="clear" w:color="auto" w:fill="FFFFFF" w:themeFill="background1"/>
            <w:noWrap/>
          </w:tcPr>
          <w:p w:rsidR="003E7CEA" w:rsidRPr="008376FC" w:rsidRDefault="003E7CEA" w:rsidP="002473C0">
            <w:pPr>
              <w:widowControl w:val="0"/>
              <w:numPr>
                <w:ilvl w:val="0"/>
                <w:numId w:val="19"/>
              </w:numPr>
              <w:autoSpaceDE w:val="0"/>
              <w:autoSpaceDN w:val="0"/>
              <w:spacing w:before="16" w:after="0" w:line="240" w:lineRule="auto"/>
              <w:jc w:val="both"/>
              <w:rPr>
                <w:rFonts w:asciiTheme="majorHAnsi" w:eastAsia="Times New Roman" w:hAnsiTheme="majorHAnsi" w:cstheme="majorHAnsi"/>
                <w:b w:val="0"/>
                <w:bCs w:val="0"/>
                <w:sz w:val="20"/>
                <w:szCs w:val="20"/>
              </w:rPr>
            </w:pPr>
          </w:p>
        </w:tc>
        <w:tc>
          <w:tcPr>
            <w:tcW w:w="3118" w:type="dxa"/>
            <w:tcBorders>
              <w:bottom w:val="single" w:sz="4" w:space="0" w:color="auto"/>
            </w:tcBorders>
            <w:shd w:val="clear" w:color="auto" w:fill="FFFFFF" w:themeFill="background1"/>
            <w:hideMark/>
          </w:tcPr>
          <w:p w:rsidR="003E7CEA" w:rsidRPr="008376FC" w:rsidRDefault="003E7CEA" w:rsidP="002473C0">
            <w:pPr>
              <w:spacing w:after="0" w:line="240" w:lineRule="auto"/>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  „Adar-Suyu”</w:t>
            </w:r>
          </w:p>
        </w:tc>
        <w:tc>
          <w:tcPr>
            <w:tcW w:w="1984" w:type="dxa"/>
            <w:tcBorders>
              <w:bottom w:val="single" w:sz="4" w:space="0" w:color="auto"/>
            </w:tcBorders>
            <w:shd w:val="clear" w:color="auto" w:fill="FFFFFF" w:themeFill="background1"/>
            <w:noWrap/>
            <w:hideMark/>
          </w:tcPr>
          <w:p w:rsidR="003E7CEA" w:rsidRPr="008376FC" w:rsidRDefault="003E7CEA" w:rsidP="002473C0">
            <w:pPr>
              <w:spacing w:after="0" w:line="240" w:lineRule="auto"/>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w:t>
            </w:r>
            <w:r>
              <w:rPr>
                <w:rFonts w:asciiTheme="majorHAnsi" w:eastAsia="Times New Roman" w:hAnsiTheme="majorHAnsi" w:cstheme="majorHAnsi"/>
                <w:b w:val="0"/>
                <w:bCs w:val="0"/>
                <w:sz w:val="20"/>
                <w:szCs w:val="20"/>
              </w:rPr>
              <w:t>0</w:t>
            </w:r>
            <w:r w:rsidRPr="008376FC">
              <w:rPr>
                <w:rFonts w:asciiTheme="majorHAnsi" w:eastAsia="Times New Roman" w:hAnsiTheme="majorHAnsi" w:cstheme="majorHAnsi"/>
                <w:b w:val="0"/>
                <w:bCs w:val="0"/>
                <w:sz w:val="20"/>
                <w:szCs w:val="20"/>
              </w:rPr>
              <w:t>.1</w:t>
            </w:r>
            <w:r>
              <w:rPr>
                <w:rFonts w:asciiTheme="majorHAnsi" w:eastAsia="Times New Roman" w:hAnsiTheme="majorHAnsi" w:cstheme="majorHAnsi"/>
                <w:b w:val="0"/>
                <w:bCs w:val="0"/>
                <w:sz w:val="20"/>
                <w:szCs w:val="20"/>
              </w:rPr>
              <w:t>2</w:t>
            </w:r>
            <w:r w:rsidRPr="008376FC">
              <w:rPr>
                <w:rFonts w:asciiTheme="majorHAnsi" w:eastAsia="Times New Roman" w:hAnsiTheme="majorHAnsi" w:cstheme="majorHAnsi"/>
                <w:b w:val="0"/>
                <w:bCs w:val="0"/>
                <w:sz w:val="20"/>
                <w:szCs w:val="20"/>
              </w:rPr>
              <w:t>.202</w:t>
            </w:r>
            <w:r>
              <w:rPr>
                <w:rFonts w:asciiTheme="majorHAnsi" w:eastAsia="Times New Roman" w:hAnsiTheme="majorHAnsi" w:cstheme="majorHAnsi"/>
                <w:b w:val="0"/>
                <w:bCs w:val="0"/>
                <w:sz w:val="20"/>
                <w:szCs w:val="20"/>
              </w:rPr>
              <w:t>0</w:t>
            </w:r>
          </w:p>
        </w:tc>
        <w:tc>
          <w:tcPr>
            <w:tcW w:w="3402" w:type="dxa"/>
            <w:tcBorders>
              <w:bottom w:val="single" w:sz="4" w:space="0" w:color="auto"/>
            </w:tcBorders>
            <w:shd w:val="clear" w:color="auto" w:fill="FFFFFF" w:themeFill="background1"/>
            <w:noWrap/>
            <w:hideMark/>
          </w:tcPr>
          <w:p w:rsidR="003E7CEA" w:rsidRPr="008376FC" w:rsidRDefault="003E7CEA" w:rsidP="00DC5C28">
            <w:pPr>
              <w:spacing w:after="0" w:line="240" w:lineRule="auto"/>
              <w:jc w:val="both"/>
              <w:rPr>
                <w:rFonts w:asciiTheme="majorHAnsi" w:eastAsia="Times New Roman" w:hAnsiTheme="majorHAnsi" w:cstheme="majorHAnsi"/>
                <w:b w:val="0"/>
                <w:bCs w:val="0"/>
                <w:sz w:val="20"/>
                <w:szCs w:val="20"/>
              </w:rPr>
            </w:pPr>
            <w:r>
              <w:rPr>
                <w:rFonts w:asciiTheme="majorHAnsi" w:eastAsia="Times New Roman" w:hAnsiTheme="majorHAnsi" w:cstheme="majorHAnsi"/>
                <w:b w:val="0"/>
                <w:bCs w:val="0"/>
                <w:sz w:val="20"/>
                <w:szCs w:val="20"/>
              </w:rPr>
              <w:t>Procedura simplificată a falimentului</w:t>
            </w:r>
          </w:p>
        </w:tc>
      </w:tr>
      <w:tr w:rsidR="003E7CEA" w:rsidRPr="008376FC" w:rsidTr="00DC5C28">
        <w:trPr>
          <w:trHeight w:val="156"/>
        </w:trPr>
        <w:tc>
          <w:tcPr>
            <w:tcW w:w="9218" w:type="dxa"/>
            <w:gridSpan w:val="4"/>
            <w:tcBorders>
              <w:top w:val="single" w:sz="4" w:space="0" w:color="auto"/>
              <w:left w:val="nil"/>
              <w:bottom w:val="nil"/>
              <w:right w:val="nil"/>
            </w:tcBorders>
            <w:shd w:val="clear" w:color="auto" w:fill="FFFFFF" w:themeFill="background1"/>
            <w:noWrap/>
          </w:tcPr>
          <w:p w:rsidR="003E7CEA" w:rsidRPr="008056D3" w:rsidRDefault="003E7CEA" w:rsidP="002473C0">
            <w:pPr>
              <w:widowControl w:val="0"/>
              <w:autoSpaceDE w:val="0"/>
              <w:autoSpaceDN w:val="0"/>
              <w:spacing w:before="11" w:after="0" w:line="240" w:lineRule="auto"/>
              <w:ind w:left="212" w:right="112" w:firstLine="708"/>
              <w:jc w:val="both"/>
              <w:rPr>
                <w:rFonts w:asciiTheme="majorHAnsi" w:eastAsia="Times New Roman" w:hAnsiTheme="majorHAnsi" w:cstheme="majorHAnsi"/>
                <w:b w:val="0"/>
                <w:bCs w:val="0"/>
                <w:i/>
                <w:sz w:val="20"/>
                <w:szCs w:val="20"/>
              </w:rPr>
            </w:pPr>
            <w:r w:rsidRPr="008056D3">
              <w:rPr>
                <w:rFonts w:asciiTheme="majorHAnsi" w:eastAsia="Times New Roman" w:hAnsiTheme="majorHAnsi" w:cstheme="majorHAnsi"/>
                <w:bCs w:val="0"/>
                <w:i/>
                <w:sz w:val="20"/>
                <w:szCs w:val="20"/>
              </w:rPr>
              <w:t>Sursa:</w:t>
            </w:r>
            <w:r w:rsidRPr="008056D3">
              <w:rPr>
                <w:rFonts w:asciiTheme="majorHAnsi" w:eastAsia="Times New Roman" w:hAnsiTheme="majorHAnsi" w:cstheme="majorHAnsi"/>
                <w:b w:val="0"/>
                <w:bCs w:val="0"/>
                <w:i/>
                <w:sz w:val="20"/>
                <w:szCs w:val="20"/>
              </w:rPr>
              <w:t xml:space="preserve"> Date</w:t>
            </w:r>
            <w:r>
              <w:rPr>
                <w:rFonts w:asciiTheme="majorHAnsi" w:eastAsia="Times New Roman" w:hAnsiTheme="majorHAnsi" w:cstheme="majorHAnsi"/>
                <w:b w:val="0"/>
                <w:bCs w:val="0"/>
                <w:i/>
                <w:sz w:val="20"/>
                <w:szCs w:val="20"/>
              </w:rPr>
              <w:t xml:space="preserve"> oferite de</w:t>
            </w:r>
            <w:r w:rsidRPr="008056D3">
              <w:rPr>
                <w:rFonts w:asciiTheme="majorHAnsi" w:eastAsia="Times New Roman" w:hAnsiTheme="majorHAnsi" w:cstheme="majorHAnsi"/>
                <w:b w:val="0"/>
                <w:bCs w:val="0"/>
                <w:i/>
                <w:sz w:val="20"/>
                <w:szCs w:val="20"/>
              </w:rPr>
              <w:t xml:space="preserve"> SFS.</w:t>
            </w:r>
          </w:p>
        </w:tc>
      </w:tr>
    </w:tbl>
    <w:p w:rsidR="003E7CEA" w:rsidRDefault="003E7CEA" w:rsidP="00F61756">
      <w:pPr>
        <w:widowControl w:val="0"/>
        <w:autoSpaceDE w:val="0"/>
        <w:autoSpaceDN w:val="0"/>
        <w:spacing w:after="0" w:line="276" w:lineRule="auto"/>
        <w:ind w:left="212" w:right="112" w:firstLine="708"/>
        <w:jc w:val="right"/>
        <w:rPr>
          <w:rFonts w:asciiTheme="majorHAnsi" w:eastAsia="Times New Roman" w:hAnsiTheme="majorHAnsi" w:cstheme="majorHAnsi"/>
          <w:bCs w:val="0"/>
          <w:sz w:val="20"/>
          <w:szCs w:val="20"/>
        </w:rPr>
      </w:pPr>
    </w:p>
    <w:p w:rsidR="004005AD" w:rsidRPr="008376FC" w:rsidRDefault="00F75306" w:rsidP="00F61756">
      <w:pPr>
        <w:pStyle w:val="a3"/>
        <w:widowControl w:val="0"/>
        <w:numPr>
          <w:ilvl w:val="2"/>
          <w:numId w:val="73"/>
        </w:numPr>
        <w:tabs>
          <w:tab w:val="left" w:pos="142"/>
          <w:tab w:val="left" w:pos="567"/>
          <w:tab w:val="left" w:pos="851"/>
          <w:tab w:val="left" w:pos="1134"/>
        </w:tabs>
        <w:autoSpaceDE w:val="0"/>
        <w:autoSpaceDN w:val="0"/>
        <w:adjustRightInd w:val="0"/>
        <w:spacing w:before="120" w:line="276" w:lineRule="auto"/>
        <w:ind w:left="0" w:firstLine="426"/>
        <w:jc w:val="both"/>
        <w:rPr>
          <w:rFonts w:asciiTheme="majorHAnsi" w:hAnsiTheme="majorHAnsi" w:cstheme="majorHAnsi"/>
          <w:b/>
          <w:color w:val="0070C0"/>
          <w:lang w:val="en-US"/>
        </w:rPr>
      </w:pPr>
      <w:r w:rsidRPr="008376FC">
        <w:rPr>
          <w:rFonts w:asciiTheme="majorHAnsi" w:hAnsiTheme="majorHAnsi" w:cstheme="majorHAnsi"/>
          <w:lang w:val="ro-RO"/>
        </w:rPr>
        <w:t xml:space="preserve"> </w:t>
      </w:r>
      <w:r w:rsidR="004005AD" w:rsidRPr="008376FC">
        <w:rPr>
          <w:rFonts w:asciiTheme="majorHAnsi" w:hAnsiTheme="majorHAnsi" w:cstheme="majorHAnsi"/>
          <w:b/>
          <w:color w:val="0070C0"/>
          <w:lang w:val="en-US"/>
        </w:rPr>
        <w:t xml:space="preserve">Operatorii serviciilor de alimentare </w:t>
      </w:r>
      <w:r w:rsidR="002420DB" w:rsidRPr="008376FC">
        <w:rPr>
          <w:rFonts w:asciiTheme="majorHAnsi" w:hAnsiTheme="majorHAnsi" w:cstheme="majorHAnsi"/>
          <w:b/>
          <w:color w:val="0070C0"/>
          <w:lang w:val="en-US"/>
        </w:rPr>
        <w:t xml:space="preserve">cu apă și sanitație înaintează </w:t>
      </w:r>
      <w:r w:rsidR="004005AD" w:rsidRPr="008376FC">
        <w:rPr>
          <w:rFonts w:asciiTheme="majorHAnsi" w:hAnsiTheme="majorHAnsi" w:cstheme="majorHAnsi"/>
          <w:b/>
          <w:color w:val="0070C0"/>
          <w:lang w:val="en-US"/>
        </w:rPr>
        <w:t>ANRE spre aprobare Planurile anuale de investiții neacoperite de resurse financiare reale</w:t>
      </w:r>
      <w:r w:rsidR="009172FD">
        <w:rPr>
          <w:rFonts w:asciiTheme="majorHAnsi" w:hAnsiTheme="majorHAnsi" w:cstheme="majorHAnsi"/>
          <w:b/>
          <w:color w:val="0070C0"/>
          <w:lang w:val="en-US"/>
        </w:rPr>
        <w:t>.</w:t>
      </w:r>
    </w:p>
    <w:p w:rsidR="004005AD" w:rsidRPr="008376FC" w:rsidRDefault="009172FD" w:rsidP="00F61756">
      <w:pPr>
        <w:spacing w:before="120" w:line="276" w:lineRule="auto"/>
        <w:jc w:val="both"/>
        <w:rPr>
          <w:rFonts w:asciiTheme="majorHAnsi" w:eastAsia="Times New Roman" w:hAnsiTheme="majorHAnsi" w:cstheme="majorHAnsi"/>
          <w:b w:val="0"/>
          <w:sz w:val="24"/>
          <w:szCs w:val="24"/>
        </w:rPr>
      </w:pPr>
      <w:r>
        <w:rPr>
          <w:rFonts w:asciiTheme="majorHAnsi" w:eastAsia="Times New Roman" w:hAnsiTheme="majorHAnsi" w:cstheme="majorHAnsi"/>
          <w:b w:val="0"/>
          <w:sz w:val="24"/>
          <w:szCs w:val="24"/>
          <w:lang w:val="en-US"/>
        </w:rPr>
        <w:t xml:space="preserve">În </w:t>
      </w:r>
      <w:r>
        <w:rPr>
          <w:rFonts w:asciiTheme="majorHAnsi" w:eastAsia="Times New Roman" w:hAnsiTheme="majorHAnsi" w:cstheme="majorHAnsi"/>
          <w:b w:val="0"/>
          <w:sz w:val="24"/>
          <w:szCs w:val="24"/>
        </w:rPr>
        <w:t>c</w:t>
      </w:r>
      <w:r w:rsidR="004005AD" w:rsidRPr="008376FC">
        <w:rPr>
          <w:rFonts w:asciiTheme="majorHAnsi" w:eastAsia="Times New Roman" w:hAnsiTheme="majorHAnsi" w:cstheme="majorHAnsi"/>
          <w:b w:val="0"/>
          <w:sz w:val="24"/>
          <w:szCs w:val="24"/>
        </w:rPr>
        <w:t>a</w:t>
      </w:r>
      <w:r>
        <w:rPr>
          <w:rFonts w:asciiTheme="majorHAnsi" w:eastAsia="Times New Roman" w:hAnsiTheme="majorHAnsi" w:cstheme="majorHAnsi"/>
          <w:b w:val="0"/>
          <w:sz w:val="24"/>
          <w:szCs w:val="24"/>
        </w:rPr>
        <w:t>litate de</w:t>
      </w:r>
      <w:r w:rsidR="004005AD" w:rsidRPr="008376FC">
        <w:rPr>
          <w:rFonts w:asciiTheme="majorHAnsi" w:eastAsia="Times New Roman" w:hAnsiTheme="majorHAnsi" w:cstheme="majorHAnsi"/>
          <w:b w:val="0"/>
          <w:sz w:val="24"/>
          <w:szCs w:val="24"/>
        </w:rPr>
        <w:t xml:space="preserve"> criterii de acceptare </w:t>
      </w:r>
      <w:r w:rsidRPr="008376FC">
        <w:rPr>
          <w:rFonts w:asciiTheme="majorHAnsi" w:eastAsia="Times New Roman" w:hAnsiTheme="majorHAnsi" w:cstheme="majorHAnsi"/>
          <w:b w:val="0"/>
          <w:sz w:val="24"/>
          <w:szCs w:val="24"/>
        </w:rPr>
        <w:t xml:space="preserve">în tarif </w:t>
      </w:r>
      <w:r w:rsidR="004005AD" w:rsidRPr="008376FC">
        <w:rPr>
          <w:rFonts w:asciiTheme="majorHAnsi" w:eastAsia="Times New Roman" w:hAnsiTheme="majorHAnsi" w:cstheme="majorHAnsi"/>
          <w:b w:val="0"/>
          <w:sz w:val="24"/>
          <w:szCs w:val="24"/>
        </w:rPr>
        <w:t xml:space="preserve">a investițiilor efectuate în infrastructura de alimentare cu apă și </w:t>
      </w:r>
      <w:r>
        <w:rPr>
          <w:rFonts w:asciiTheme="majorHAnsi" w:eastAsia="Times New Roman" w:hAnsiTheme="majorHAnsi" w:cstheme="majorHAnsi"/>
          <w:b w:val="0"/>
          <w:sz w:val="24"/>
          <w:szCs w:val="24"/>
        </w:rPr>
        <w:t xml:space="preserve">de </w:t>
      </w:r>
      <w:r w:rsidR="004005AD" w:rsidRPr="008376FC">
        <w:rPr>
          <w:rFonts w:asciiTheme="majorHAnsi" w:eastAsia="Times New Roman" w:hAnsiTheme="majorHAnsi" w:cstheme="majorHAnsi"/>
          <w:b w:val="0"/>
          <w:sz w:val="24"/>
          <w:szCs w:val="24"/>
        </w:rPr>
        <w:t>canalizare servește Regulamentul privind principiile de efectuare a investițiilor în sectorul de alimentare cu apă și de canalizare, aprobat prin Hotărârea Consiliului de Administrație al ANRE nr. 357/2019 din 27.09.2019.</w:t>
      </w:r>
    </w:p>
    <w:p w:rsidR="004005AD" w:rsidRPr="008376FC" w:rsidRDefault="004005AD" w:rsidP="00F61756">
      <w:pPr>
        <w:spacing w:before="120"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b w:val="0"/>
          <w:sz w:val="24"/>
          <w:szCs w:val="24"/>
        </w:rPr>
        <w:t>Planul anual de investiții se elaborează de către operator, ținând cont de informați</w:t>
      </w:r>
      <w:r w:rsidR="009172FD">
        <w:rPr>
          <w:rFonts w:asciiTheme="majorHAnsi" w:eastAsia="Times New Roman" w:hAnsiTheme="majorHAnsi" w:cstheme="majorHAnsi"/>
          <w:b w:val="0"/>
          <w:sz w:val="24"/>
          <w:szCs w:val="24"/>
        </w:rPr>
        <w:t>ile</w:t>
      </w:r>
      <w:r w:rsidRPr="008376FC">
        <w:rPr>
          <w:rFonts w:asciiTheme="majorHAnsi" w:eastAsia="Times New Roman" w:hAnsiTheme="majorHAnsi" w:cstheme="majorHAnsi"/>
          <w:b w:val="0"/>
          <w:sz w:val="24"/>
          <w:szCs w:val="24"/>
        </w:rPr>
        <w:t xml:space="preserve"> actualizat</w:t>
      </w:r>
      <w:r w:rsidR="009172FD">
        <w:rPr>
          <w:rFonts w:asciiTheme="majorHAnsi" w:eastAsia="Times New Roman" w:hAnsiTheme="majorHAnsi" w:cstheme="majorHAnsi"/>
          <w:b w:val="0"/>
          <w:sz w:val="24"/>
          <w:szCs w:val="24"/>
        </w:rPr>
        <w:t>e</w:t>
      </w:r>
      <w:r w:rsidRPr="008376FC">
        <w:rPr>
          <w:rFonts w:asciiTheme="majorHAnsi" w:eastAsia="Times New Roman" w:hAnsiTheme="majorHAnsi" w:cstheme="majorHAnsi"/>
          <w:b w:val="0"/>
          <w:sz w:val="24"/>
          <w:szCs w:val="24"/>
        </w:rPr>
        <w:t xml:space="preserve"> privind starea, gradul de uzură a imobilizărilor existente, cât şi de obligațiile operatorului de a desfășura activitatea reglementată la costuri minime şi eficiență maximă și se aprobă de autoritatea abilitată să aprobe tarifele. Investițiile care pot fi incluse în Planul anual de investiții și recuperate prin tarif sunt divizate în 8 categorii: Categoria A: Investiţii în construcţia de noi reţele şi noi instalații, Categoria B: Investiţii în reţele şi capacităţi de producere existente (reconstrucţie, modernizare şi retehnologizare, efectuarea reparaţiilor capitale a</w:t>
      </w:r>
      <w:r w:rsidR="009172FD">
        <w:rPr>
          <w:rFonts w:asciiTheme="majorHAnsi" w:eastAsia="Times New Roman" w:hAnsiTheme="majorHAnsi" w:cstheme="majorHAnsi"/>
          <w:b w:val="0"/>
          <w:sz w:val="24"/>
          <w:szCs w:val="24"/>
        </w:rPr>
        <w:t>le</w:t>
      </w:r>
      <w:r w:rsidRPr="008376FC">
        <w:rPr>
          <w:rFonts w:asciiTheme="majorHAnsi" w:eastAsia="Times New Roman" w:hAnsiTheme="majorHAnsi" w:cstheme="majorHAnsi"/>
          <w:b w:val="0"/>
          <w:sz w:val="24"/>
          <w:szCs w:val="24"/>
        </w:rPr>
        <w:t xml:space="preserve"> reţelelor și a</w:t>
      </w:r>
      <w:r w:rsidR="009172FD">
        <w:rPr>
          <w:rFonts w:asciiTheme="majorHAnsi" w:eastAsia="Times New Roman" w:hAnsiTheme="majorHAnsi" w:cstheme="majorHAnsi"/>
          <w:b w:val="0"/>
          <w:sz w:val="24"/>
          <w:szCs w:val="24"/>
        </w:rPr>
        <w:t>le</w:t>
      </w:r>
      <w:r w:rsidRPr="008376FC">
        <w:rPr>
          <w:rFonts w:asciiTheme="majorHAnsi" w:eastAsia="Times New Roman" w:hAnsiTheme="majorHAnsi" w:cstheme="majorHAnsi"/>
          <w:b w:val="0"/>
          <w:sz w:val="24"/>
          <w:szCs w:val="24"/>
        </w:rPr>
        <w:t xml:space="preserve"> instalaţiilor capitalizate), Categoria C: Investiţii în mijloace de transport, maşini, mecanisme, utilaje mecanice, Categoria D: Investiţii în echipamente de măsurare, aparate de control şi diagnostic, inclusiv aferente reţelelor, Categoria E: Investiţii în clădiri şi construcţii, inclusiv aferente reţelelor, Categoria F: Investiţii în tehnică de calcul, telecomunicaţii, Categoria G: Investiţii în imobilizări necorporale (programe, licenţe etc.), Categoria H: Alte investiţii legate de activitatea licenţiată.</w:t>
      </w:r>
    </w:p>
    <w:p w:rsidR="004005AD" w:rsidRPr="008376FC" w:rsidRDefault="004005AD" w:rsidP="00F61756">
      <w:pPr>
        <w:spacing w:before="120"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b w:val="0"/>
          <w:sz w:val="24"/>
          <w:szCs w:val="24"/>
        </w:rPr>
        <w:t>Operatorul, anual, până la 1 noiembrie, elaborează şi prezintă autorităţii competente spre aprobare Planul de investiţii pentru anul calendaristic următor și, după caz, ANRE spre avizare.</w:t>
      </w:r>
    </w:p>
    <w:p w:rsidR="004005AD" w:rsidRPr="008376FC" w:rsidRDefault="004005AD" w:rsidP="00F61756">
      <w:pPr>
        <w:spacing w:before="120"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b w:val="0"/>
          <w:sz w:val="24"/>
          <w:szCs w:val="24"/>
        </w:rPr>
        <w:t xml:space="preserve">În cazul în care se planifică realizarea lucrărilor la un proiect de investiții, pe parcursul a 2 sau </w:t>
      </w:r>
      <w:r w:rsidR="009172FD">
        <w:rPr>
          <w:rFonts w:asciiTheme="majorHAnsi" w:eastAsia="Times New Roman" w:hAnsiTheme="majorHAnsi" w:cstheme="majorHAnsi"/>
          <w:b w:val="0"/>
          <w:sz w:val="24"/>
          <w:szCs w:val="24"/>
        </w:rPr>
        <w:t xml:space="preserve">a </w:t>
      </w:r>
      <w:r w:rsidRPr="008376FC">
        <w:rPr>
          <w:rFonts w:asciiTheme="majorHAnsi" w:eastAsia="Times New Roman" w:hAnsiTheme="majorHAnsi" w:cstheme="majorHAnsi"/>
          <w:b w:val="0"/>
          <w:sz w:val="24"/>
          <w:szCs w:val="24"/>
        </w:rPr>
        <w:t>mai mul</w:t>
      </w:r>
      <w:r w:rsidR="009172FD">
        <w:rPr>
          <w:rFonts w:asciiTheme="majorHAnsi" w:eastAsia="Times New Roman" w:hAnsiTheme="majorHAnsi" w:cstheme="majorHAnsi"/>
          <w:b w:val="0"/>
          <w:sz w:val="24"/>
          <w:szCs w:val="24"/>
        </w:rPr>
        <w:t>tor</w:t>
      </w:r>
      <w:r w:rsidRPr="008376FC">
        <w:rPr>
          <w:rFonts w:asciiTheme="majorHAnsi" w:eastAsia="Times New Roman" w:hAnsiTheme="majorHAnsi" w:cstheme="majorHAnsi"/>
          <w:b w:val="0"/>
          <w:sz w:val="24"/>
          <w:szCs w:val="24"/>
        </w:rPr>
        <w:t xml:space="preserve"> ani, operatorul menționează acest fapt în Planul anual de investiții, indicând perioada de realizare şi costul acestuia, inclusiv partea investițiilor care revine pentru anul calendaristic următor.</w:t>
      </w:r>
    </w:p>
    <w:p w:rsidR="004005AD" w:rsidRPr="008376FC" w:rsidRDefault="004005AD" w:rsidP="00F61756">
      <w:pPr>
        <w:spacing w:before="120"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b w:val="0"/>
          <w:sz w:val="24"/>
          <w:szCs w:val="24"/>
        </w:rPr>
        <w:t>Proiectele de investiții incluse de operator în Planul anual de investiții sunt evaluate în baza criteriilor de: eficiență, obligativitate și necesitate.</w:t>
      </w:r>
    </w:p>
    <w:p w:rsidR="004005AD" w:rsidRPr="008376FC" w:rsidRDefault="004005AD" w:rsidP="00F61756">
      <w:pPr>
        <w:spacing w:before="120"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b w:val="0"/>
          <w:sz w:val="24"/>
          <w:szCs w:val="24"/>
        </w:rPr>
        <w:t>Planurile de investiții pentru anul calendaristic următor se examinează şi se aprobă de autoritatea competentă sau de către Agenție nu mai târziu de 31 decembrie.</w:t>
      </w:r>
    </w:p>
    <w:p w:rsidR="004005AD" w:rsidRPr="008376FC" w:rsidRDefault="004005AD" w:rsidP="00F61756">
      <w:pPr>
        <w:spacing w:before="120"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b w:val="0"/>
          <w:sz w:val="24"/>
          <w:szCs w:val="24"/>
        </w:rPr>
        <w:t>Planul anual de investiții nu se aprobă în cazul în care: (i) planul anual de investiții sau unele proiecte de investiții nu corespund cerințelor Regulamentului menţionat mai sus, (ii) proiectele de investiții nu țin de activitatea reglementată, (iii) investițiile planificate ţin de procurări sau lucrări care trebuie să fie atribuite la cheltuieli, (iv) investițiile trebuie să fie recuperate de operator prin intermediul companiilor de asigurare (asigurări incluse în tarif), deciziilor instanțelor de judecată etc, (v) investițiile nu sunt necesare, sunt neargumentate, nu dau avantaj economic cuantificat şi duc doar la majorarea tarifelor.</w:t>
      </w:r>
    </w:p>
    <w:p w:rsidR="004005AD" w:rsidRPr="008376FC" w:rsidRDefault="004005AD" w:rsidP="00F61756">
      <w:pPr>
        <w:spacing w:before="120"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b w:val="0"/>
          <w:sz w:val="24"/>
          <w:szCs w:val="24"/>
        </w:rPr>
        <w:t>Planul anual de investiții, transmis ANRE spre examinare, se aprobă/avizează, pe categoriile de investiții, prin Hotărârea Consiliului de Administrație al ANRE, care se publică pe pagina web oficială a Agenției.</w:t>
      </w:r>
    </w:p>
    <w:p w:rsidR="004005AD" w:rsidRPr="008376FC" w:rsidRDefault="004005AD" w:rsidP="00F61756">
      <w:pPr>
        <w:spacing w:before="120"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b w:val="0"/>
          <w:sz w:val="24"/>
          <w:szCs w:val="24"/>
        </w:rPr>
        <w:t>ANRE aprobă/avizează planurile de investiții în condițiile art. 35 din Legea privind serviciul public de alimentare cu apă și de canalizare nr. 303/2013. Pentru fiecare proiect de investiții, neacceptat în Planul anual de investiții, ANRE prezintă operatorului, prin scrisoare de însoțire, motivul neacceptării.  În decursul anului</w:t>
      </w:r>
      <w:r w:rsidR="00AA7291">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modificările în Planul anual de investiții aprobat/avizat se solicită de către operator în scris </w:t>
      </w:r>
      <w:r w:rsidR="00AA7291">
        <w:rPr>
          <w:rFonts w:asciiTheme="majorHAnsi" w:eastAsia="Times New Roman" w:hAnsiTheme="majorHAnsi" w:cstheme="majorHAnsi"/>
          <w:b w:val="0"/>
          <w:sz w:val="24"/>
          <w:szCs w:val="24"/>
        </w:rPr>
        <w:t xml:space="preserve">de </w:t>
      </w:r>
      <w:r w:rsidRPr="008376FC">
        <w:rPr>
          <w:rFonts w:asciiTheme="majorHAnsi" w:eastAsia="Times New Roman" w:hAnsiTheme="majorHAnsi" w:cstheme="majorHAnsi"/>
          <w:b w:val="0"/>
          <w:sz w:val="24"/>
          <w:szCs w:val="24"/>
        </w:rPr>
        <w:t>la autoritatea competentă care a aprobat/avizat Planul anual de investiții. Operatorul, pe parcursul anului, este în drept să depună nu mai mult de patru solicitări de modificare a Planului anual de investiții aprobat/avizat, dar nu mai târziu de 31 octombrie a anului de gestiune.</w:t>
      </w:r>
    </w:p>
    <w:p w:rsidR="004005AD" w:rsidRPr="008376FC" w:rsidRDefault="004005AD" w:rsidP="00F61756">
      <w:pPr>
        <w:spacing w:before="120"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b w:val="0"/>
          <w:sz w:val="24"/>
          <w:szCs w:val="24"/>
        </w:rPr>
        <w:t>Conform Regulamentului respectiv, până la 1 martie a fiecărui an de gestiune, operatorii prezintă ANRE Raportul privind realizarea Planului de investiții, aprobat/avizat de către ANRE, pentru anul precedent. În corespundere cu prevederile Regulamentului privind principiile de efectuare a investițiilor, ANRE examinează Raportul privind realizarea Planului anual de investiții pentru anul precedent și aprobă Hotărârea/Decizia privind acceptarea în scopuri tarifare a investițiilor realizate în anul precedent de către titularii de licențe.</w:t>
      </w:r>
    </w:p>
    <w:p w:rsidR="004005AD" w:rsidRDefault="004005AD" w:rsidP="00F61756">
      <w:pPr>
        <w:spacing w:before="120"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b w:val="0"/>
          <w:sz w:val="24"/>
          <w:szCs w:val="24"/>
        </w:rPr>
        <w:t>În perioada 2016-2021</w:t>
      </w:r>
      <w:r w:rsidR="00AA7291">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ANRE a aprobat/avizat Planurile de investiții ale titularilor de licențe care furnizează serviciul public de alimentare cu apă și de canalizare</w:t>
      </w:r>
      <w:r w:rsidR="00AA7291">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în valoare totală de 3</w:t>
      </w:r>
      <w:r w:rsidR="00AA7291">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507,5 mil.lei, </w:t>
      </w:r>
      <w:r w:rsidR="00DC7F50">
        <w:rPr>
          <w:rFonts w:asciiTheme="majorHAnsi" w:eastAsia="Times New Roman" w:hAnsiTheme="majorHAnsi" w:cstheme="majorHAnsi"/>
          <w:b w:val="0"/>
          <w:sz w:val="24"/>
          <w:szCs w:val="24"/>
        </w:rPr>
        <w:t xml:space="preserve"> însă au fost executate și respectiva aprobate </w:t>
      </w:r>
      <w:r w:rsidRPr="008376FC">
        <w:rPr>
          <w:rFonts w:asciiTheme="majorHAnsi" w:eastAsia="Times New Roman" w:hAnsiTheme="majorHAnsi" w:cstheme="majorHAnsi"/>
          <w:b w:val="0"/>
          <w:sz w:val="24"/>
          <w:szCs w:val="24"/>
        </w:rPr>
        <w:t>pentru includere în tarif 351,6 mil.lei</w:t>
      </w:r>
      <w:r w:rsidR="00AA7291">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sau 10% din valoarea lor planificată pentru a fi realizate. </w:t>
      </w:r>
    </w:p>
    <w:tbl>
      <w:tblPr>
        <w:tblStyle w:val="TableGrid7"/>
        <w:tblW w:w="0" w:type="auto"/>
        <w:shd w:val="clear" w:color="auto" w:fill="DEEAF6" w:themeFill="accent1" w:themeFillTint="33"/>
        <w:tblLook w:val="04A0" w:firstRow="1" w:lastRow="0" w:firstColumn="1" w:lastColumn="0" w:noHBand="0" w:noVBand="1"/>
      </w:tblPr>
      <w:tblGrid>
        <w:gridCol w:w="9678"/>
      </w:tblGrid>
      <w:tr w:rsidR="004005AD" w:rsidRPr="008376FC" w:rsidTr="00DC5C28">
        <w:tc>
          <w:tcPr>
            <w:tcW w:w="9678" w:type="dxa"/>
            <w:shd w:val="clear" w:color="auto" w:fill="auto"/>
          </w:tcPr>
          <w:p w:rsidR="004005AD" w:rsidRPr="008376FC" w:rsidRDefault="004005AD" w:rsidP="00F61756">
            <w:pPr>
              <w:spacing w:before="120" w:line="276" w:lineRule="auto"/>
              <w:jc w:val="both"/>
              <w:rPr>
                <w:rFonts w:asciiTheme="majorHAnsi" w:eastAsia="Times New Roman" w:hAnsiTheme="majorHAnsi" w:cstheme="majorHAnsi"/>
                <w:sz w:val="24"/>
                <w:szCs w:val="24"/>
              </w:rPr>
            </w:pPr>
            <w:r w:rsidRPr="008376FC">
              <w:rPr>
                <w:rFonts w:asciiTheme="majorHAnsi" w:eastAsia="Times New Roman" w:hAnsiTheme="majorHAnsi" w:cstheme="majorHAnsi"/>
                <w:sz w:val="24"/>
                <w:szCs w:val="24"/>
              </w:rPr>
              <w:t xml:space="preserve">Nota nr. </w:t>
            </w:r>
            <w:r w:rsidR="002C6378" w:rsidRPr="008376FC">
              <w:rPr>
                <w:rFonts w:asciiTheme="majorHAnsi" w:eastAsia="Times New Roman" w:hAnsiTheme="majorHAnsi" w:cstheme="majorHAnsi"/>
                <w:sz w:val="24"/>
                <w:szCs w:val="24"/>
              </w:rPr>
              <w:t>6</w:t>
            </w:r>
            <w:r w:rsidRPr="008376FC">
              <w:rPr>
                <w:rFonts w:asciiTheme="majorHAnsi" w:eastAsia="Times New Roman" w:hAnsiTheme="majorHAnsi" w:cstheme="majorHAnsi"/>
                <w:sz w:val="24"/>
                <w:szCs w:val="24"/>
              </w:rPr>
              <w:t xml:space="preserve">: </w:t>
            </w:r>
            <w:r w:rsidR="00AA7291">
              <w:rPr>
                <w:rFonts w:asciiTheme="majorHAnsi" w:eastAsia="Times New Roman" w:hAnsiTheme="majorHAnsi" w:cstheme="majorHAnsi"/>
                <w:b w:val="0"/>
                <w:bCs w:val="0"/>
                <w:sz w:val="24"/>
                <w:szCs w:val="24"/>
              </w:rPr>
              <w:t>Î</w:t>
            </w:r>
            <w:r w:rsidRPr="008376FC">
              <w:rPr>
                <w:rFonts w:asciiTheme="majorHAnsi" w:eastAsia="Times New Roman" w:hAnsiTheme="majorHAnsi" w:cstheme="majorHAnsi"/>
                <w:b w:val="0"/>
                <w:bCs w:val="0"/>
                <w:sz w:val="24"/>
                <w:szCs w:val="24"/>
              </w:rPr>
              <w:t>n condițiile în care un proiect investițional nu a fost realizat în anul bugetar corespunzăror, ca urmare a unor factori obiectiv</w:t>
            </w:r>
            <w:r w:rsidR="00AA7291">
              <w:rPr>
                <w:rFonts w:asciiTheme="majorHAnsi" w:eastAsia="Times New Roman" w:hAnsiTheme="majorHAnsi" w:cstheme="majorHAnsi"/>
                <w:b w:val="0"/>
                <w:bCs w:val="0"/>
                <w:sz w:val="24"/>
                <w:szCs w:val="24"/>
              </w:rPr>
              <w:t>i</w:t>
            </w:r>
            <w:r w:rsidRPr="008376FC">
              <w:rPr>
                <w:rFonts w:asciiTheme="majorHAnsi" w:eastAsia="Times New Roman" w:hAnsiTheme="majorHAnsi" w:cstheme="majorHAnsi"/>
                <w:b w:val="0"/>
                <w:bCs w:val="0"/>
                <w:sz w:val="24"/>
                <w:szCs w:val="24"/>
              </w:rPr>
              <w:t xml:space="preserve"> sau subiectivi, acesta poate fi inclus în Planurile de investiții pentru următorii ani.  Astfel, valoarea investițiilor aprobate în anii 2016-2021 poate include valoarea unor proiecte care nu au fost realizate pe parcursul mai multor ani și au fost incluse în Planurile de investiții pentru mai mulți ani. Informați</w:t>
            </w:r>
            <w:r w:rsidR="00AA7291">
              <w:rPr>
                <w:rFonts w:asciiTheme="majorHAnsi" w:eastAsia="Times New Roman" w:hAnsiTheme="majorHAnsi" w:cstheme="majorHAnsi"/>
                <w:b w:val="0"/>
                <w:bCs w:val="0"/>
                <w:sz w:val="24"/>
                <w:szCs w:val="24"/>
              </w:rPr>
              <w:t>i privind</w:t>
            </w:r>
            <w:r w:rsidRPr="008376FC">
              <w:rPr>
                <w:rFonts w:asciiTheme="majorHAnsi" w:eastAsia="Times New Roman" w:hAnsiTheme="majorHAnsi" w:cstheme="majorHAnsi"/>
                <w:b w:val="0"/>
                <w:bCs w:val="0"/>
                <w:sz w:val="24"/>
                <w:szCs w:val="24"/>
              </w:rPr>
              <w:t xml:space="preserve"> număr</w:t>
            </w:r>
            <w:r w:rsidR="00AA7291">
              <w:rPr>
                <w:rFonts w:asciiTheme="majorHAnsi" w:eastAsia="Times New Roman" w:hAnsiTheme="majorHAnsi" w:cstheme="majorHAnsi"/>
                <w:b w:val="0"/>
                <w:bCs w:val="0"/>
                <w:sz w:val="24"/>
                <w:szCs w:val="24"/>
              </w:rPr>
              <w:t>ul</w:t>
            </w:r>
            <w:r w:rsidRPr="008376FC">
              <w:rPr>
                <w:rFonts w:asciiTheme="majorHAnsi" w:eastAsia="Times New Roman" w:hAnsiTheme="majorHAnsi" w:cstheme="majorHAnsi"/>
                <w:b w:val="0"/>
                <w:bCs w:val="0"/>
                <w:sz w:val="24"/>
                <w:szCs w:val="24"/>
              </w:rPr>
              <w:t xml:space="preserve"> de proiecte investiționale incluse în Planurile investiționale, cu denumirea lor, valoarea estimată, nivelul de implementare etc. nu </w:t>
            </w:r>
            <w:r w:rsidR="00AA7291">
              <w:rPr>
                <w:rFonts w:asciiTheme="majorHAnsi" w:eastAsia="Times New Roman" w:hAnsiTheme="majorHAnsi" w:cstheme="majorHAnsi"/>
                <w:b w:val="0"/>
                <w:bCs w:val="0"/>
                <w:sz w:val="24"/>
                <w:szCs w:val="24"/>
              </w:rPr>
              <w:t>sunt</w:t>
            </w:r>
            <w:r w:rsidRPr="008376FC">
              <w:rPr>
                <w:rFonts w:asciiTheme="majorHAnsi" w:eastAsia="Times New Roman" w:hAnsiTheme="majorHAnsi" w:cstheme="majorHAnsi"/>
                <w:b w:val="0"/>
                <w:bCs w:val="0"/>
                <w:sz w:val="24"/>
                <w:szCs w:val="24"/>
              </w:rPr>
              <w:t xml:space="preserve"> disponibil</w:t>
            </w:r>
            <w:r w:rsidR="00AA7291">
              <w:rPr>
                <w:rFonts w:asciiTheme="majorHAnsi" w:eastAsia="Times New Roman" w:hAnsiTheme="majorHAnsi" w:cstheme="majorHAnsi"/>
                <w:b w:val="0"/>
                <w:bCs w:val="0"/>
                <w:sz w:val="24"/>
                <w:szCs w:val="24"/>
              </w:rPr>
              <w:t>e</w:t>
            </w:r>
            <w:r w:rsidRPr="008376FC">
              <w:rPr>
                <w:rFonts w:asciiTheme="majorHAnsi" w:eastAsia="Times New Roman" w:hAnsiTheme="majorHAnsi" w:cstheme="majorHAnsi"/>
                <w:b w:val="0"/>
                <w:bCs w:val="0"/>
                <w:sz w:val="24"/>
                <w:szCs w:val="24"/>
              </w:rPr>
              <w:t>. În acest sens, pentru a avea informați</w:t>
            </w:r>
            <w:r w:rsidR="00AA7291">
              <w:rPr>
                <w:rFonts w:asciiTheme="majorHAnsi" w:eastAsia="Times New Roman" w:hAnsiTheme="majorHAnsi" w:cstheme="majorHAnsi"/>
                <w:b w:val="0"/>
                <w:bCs w:val="0"/>
                <w:sz w:val="24"/>
                <w:szCs w:val="24"/>
              </w:rPr>
              <w:t>i</w:t>
            </w:r>
            <w:r w:rsidRPr="008376FC">
              <w:rPr>
                <w:rFonts w:asciiTheme="majorHAnsi" w:eastAsia="Times New Roman" w:hAnsiTheme="majorHAnsi" w:cstheme="majorHAnsi"/>
                <w:b w:val="0"/>
                <w:bCs w:val="0"/>
                <w:sz w:val="24"/>
                <w:szCs w:val="24"/>
              </w:rPr>
              <w:t xml:space="preserve"> adecvat</w:t>
            </w:r>
            <w:r w:rsidR="00AA7291">
              <w:rPr>
                <w:rFonts w:asciiTheme="majorHAnsi" w:eastAsia="Times New Roman" w:hAnsiTheme="majorHAnsi" w:cstheme="majorHAnsi"/>
                <w:b w:val="0"/>
                <w:bCs w:val="0"/>
                <w:sz w:val="24"/>
                <w:szCs w:val="24"/>
              </w:rPr>
              <w:t>e</w:t>
            </w:r>
            <w:r w:rsidRPr="008376FC">
              <w:rPr>
                <w:rFonts w:asciiTheme="majorHAnsi" w:eastAsia="Times New Roman" w:hAnsiTheme="majorHAnsi" w:cstheme="majorHAnsi"/>
                <w:b w:val="0"/>
                <w:bCs w:val="0"/>
                <w:sz w:val="24"/>
                <w:szCs w:val="24"/>
              </w:rPr>
              <w:t xml:space="preserve"> privind investițiile realizate la nivel de proiect, ar fi oportun ca fiecăru</w:t>
            </w:r>
            <w:r w:rsidR="00AA7291">
              <w:rPr>
                <w:rFonts w:asciiTheme="majorHAnsi" w:eastAsia="Times New Roman" w:hAnsiTheme="majorHAnsi" w:cstheme="majorHAnsi"/>
                <w:b w:val="0"/>
                <w:bCs w:val="0"/>
                <w:sz w:val="24"/>
                <w:szCs w:val="24"/>
              </w:rPr>
              <w:t>i</w:t>
            </w:r>
            <w:r w:rsidRPr="008376FC">
              <w:rPr>
                <w:rFonts w:asciiTheme="majorHAnsi" w:eastAsia="Times New Roman" w:hAnsiTheme="majorHAnsi" w:cstheme="majorHAnsi"/>
                <w:b w:val="0"/>
                <w:bCs w:val="0"/>
                <w:sz w:val="24"/>
                <w:szCs w:val="24"/>
              </w:rPr>
              <w:t xml:space="preserve"> proiect investițional inclus în Planul de investiții să</w:t>
            </w:r>
            <w:r w:rsidR="00AA7291">
              <w:rPr>
                <w:rFonts w:asciiTheme="majorHAnsi" w:eastAsia="Times New Roman" w:hAnsiTheme="majorHAnsi" w:cstheme="majorHAnsi"/>
                <w:b w:val="0"/>
                <w:bCs w:val="0"/>
                <w:sz w:val="24"/>
                <w:szCs w:val="24"/>
              </w:rPr>
              <w:t>-i</w:t>
            </w:r>
            <w:r w:rsidRPr="008376FC">
              <w:rPr>
                <w:rFonts w:asciiTheme="majorHAnsi" w:eastAsia="Times New Roman" w:hAnsiTheme="majorHAnsi" w:cstheme="majorHAnsi"/>
                <w:b w:val="0"/>
                <w:bCs w:val="0"/>
                <w:sz w:val="24"/>
                <w:szCs w:val="24"/>
              </w:rPr>
              <w:t xml:space="preserve"> fie atribuit un cod unic, care va sta la baza monitorizării implementării acestuia, similar practicilor aplicate de MF la realizarea proiectelor investiționale din mijloacel</w:t>
            </w:r>
            <w:r w:rsidR="00AA7291">
              <w:rPr>
                <w:rFonts w:asciiTheme="majorHAnsi" w:eastAsia="Times New Roman" w:hAnsiTheme="majorHAnsi" w:cstheme="majorHAnsi"/>
                <w:b w:val="0"/>
                <w:bCs w:val="0"/>
                <w:sz w:val="24"/>
                <w:szCs w:val="24"/>
              </w:rPr>
              <w:t>e</w:t>
            </w:r>
            <w:r w:rsidRPr="008376FC">
              <w:rPr>
                <w:rFonts w:asciiTheme="majorHAnsi" w:eastAsia="Times New Roman" w:hAnsiTheme="majorHAnsi" w:cstheme="majorHAnsi"/>
                <w:b w:val="0"/>
                <w:bCs w:val="0"/>
                <w:sz w:val="24"/>
                <w:szCs w:val="24"/>
              </w:rPr>
              <w:t xml:space="preserve"> BS și BUAT. </w:t>
            </w:r>
            <w:r w:rsidR="00AA7291">
              <w:rPr>
                <w:rFonts w:asciiTheme="majorHAnsi" w:eastAsia="Times New Roman" w:hAnsiTheme="majorHAnsi" w:cstheme="majorHAnsi"/>
                <w:b w:val="0"/>
                <w:bCs w:val="0"/>
                <w:sz w:val="24"/>
                <w:szCs w:val="24"/>
              </w:rPr>
              <w:t>Aceasta</w:t>
            </w:r>
            <w:r w:rsidRPr="008376FC">
              <w:rPr>
                <w:rFonts w:asciiTheme="majorHAnsi" w:eastAsia="Times New Roman" w:hAnsiTheme="majorHAnsi" w:cstheme="majorHAnsi"/>
                <w:b w:val="0"/>
                <w:bCs w:val="0"/>
                <w:sz w:val="24"/>
                <w:szCs w:val="24"/>
              </w:rPr>
              <w:t xml:space="preserve"> va permite inclusiv cunoașterea valorii investițiilor necesare pentru realizarea proiectelor, gradul și capacitatea de realizare a investițiilor din surse proprii și din surse externe, precum și va permite excluderea din analizele efectuate în dinamică a dublărilor (multiplicării) de volume de investiții planificate. </w:t>
            </w:r>
          </w:p>
        </w:tc>
      </w:tr>
    </w:tbl>
    <w:p w:rsidR="00DC5C28" w:rsidRDefault="004005AD" w:rsidP="00DC5C28">
      <w:pPr>
        <w:spacing w:before="120"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b w:val="0"/>
          <w:sz w:val="24"/>
          <w:szCs w:val="24"/>
        </w:rPr>
        <w:t>Totodată</w:t>
      </w:r>
      <w:r w:rsidR="00AA7291">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se atestă că unii operatori, deși au avut Planuri de investiții aprobate de ANRE, nu au prezentat Rapoarte privind realizarea Planului anual de investiții și</w:t>
      </w:r>
      <w:r w:rsidR="00AA7291">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respectiv, nu au înaintat propuneri pentru evaluarea valorii investițiilor realizate care pot fi incluse în tarif. Numărul întreprinderilor care nu au prezentat Rapoarte privind realizarea investițiilor variază de la 2 până 24 de întreprinderi pe an, iar valoarea investițiilor planificate și nerealizate constituie 3</w:t>
      </w:r>
      <w:r w:rsidR="00AA7291">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155,9 mil.lei</w:t>
      </w:r>
      <w:r w:rsidR="00AA7291">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sau 90% din volumele de investiții aprobate pentru anii 2016-2021.</w:t>
      </w:r>
    </w:p>
    <w:p w:rsidR="00F75306" w:rsidRPr="008376FC" w:rsidRDefault="00F75306" w:rsidP="00DC5C28">
      <w:pPr>
        <w:spacing w:after="0" w:line="240" w:lineRule="auto"/>
        <w:jc w:val="right"/>
        <w:rPr>
          <w:rFonts w:asciiTheme="majorHAnsi" w:eastAsia="Times New Roman" w:hAnsiTheme="majorHAnsi" w:cstheme="majorHAnsi"/>
          <w:sz w:val="24"/>
          <w:szCs w:val="24"/>
        </w:rPr>
      </w:pPr>
      <w:r w:rsidRPr="008376FC">
        <w:rPr>
          <w:rFonts w:asciiTheme="majorHAnsi" w:eastAsia="Times New Roman" w:hAnsiTheme="majorHAnsi" w:cstheme="majorHAnsi"/>
          <w:sz w:val="20"/>
          <w:szCs w:val="20"/>
        </w:rPr>
        <w:t xml:space="preserve">Tabelul nr. </w:t>
      </w:r>
      <w:r w:rsidR="00D878BA" w:rsidRPr="008376FC">
        <w:rPr>
          <w:rFonts w:asciiTheme="majorHAnsi" w:eastAsia="Times New Roman" w:hAnsiTheme="majorHAnsi" w:cstheme="majorHAnsi"/>
          <w:sz w:val="20"/>
          <w:szCs w:val="20"/>
        </w:rPr>
        <w:t>30</w:t>
      </w:r>
    </w:p>
    <w:tbl>
      <w:tblPr>
        <w:tblW w:w="96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1293"/>
        <w:gridCol w:w="519"/>
        <w:gridCol w:w="555"/>
        <w:gridCol w:w="555"/>
        <w:gridCol w:w="415"/>
        <w:gridCol w:w="415"/>
        <w:gridCol w:w="425"/>
        <w:gridCol w:w="692"/>
        <w:gridCol w:w="693"/>
        <w:gridCol w:w="693"/>
        <w:gridCol w:w="693"/>
        <w:gridCol w:w="692"/>
        <w:gridCol w:w="693"/>
        <w:gridCol w:w="803"/>
      </w:tblGrid>
      <w:tr w:rsidR="00400351" w:rsidRPr="008376FC" w:rsidTr="00F94EBC">
        <w:trPr>
          <w:cantSplit/>
          <w:trHeight w:val="313"/>
        </w:trPr>
        <w:tc>
          <w:tcPr>
            <w:tcW w:w="9675" w:type="dxa"/>
            <w:gridSpan w:val="15"/>
            <w:tcBorders>
              <w:top w:val="nil"/>
              <w:left w:val="nil"/>
              <w:bottom w:val="single" w:sz="4" w:space="0" w:color="auto"/>
              <w:right w:val="nil"/>
            </w:tcBorders>
            <w:shd w:val="clear" w:color="auto" w:fill="FFFFFF" w:themeFill="background1"/>
          </w:tcPr>
          <w:p w:rsidR="00400351" w:rsidRPr="008376FC" w:rsidRDefault="00400351" w:rsidP="00DC5C28">
            <w:pPr>
              <w:spacing w:after="0" w:line="240" w:lineRule="auto"/>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Informați</w:t>
            </w:r>
            <w:r w:rsidR="00AA7291">
              <w:rPr>
                <w:rFonts w:asciiTheme="majorHAnsi" w:eastAsia="Times New Roman" w:hAnsiTheme="majorHAnsi" w:cstheme="majorHAnsi"/>
                <w:sz w:val="18"/>
                <w:szCs w:val="18"/>
              </w:rPr>
              <w:t>i</w:t>
            </w:r>
            <w:r w:rsidRPr="008376FC">
              <w:rPr>
                <w:rFonts w:asciiTheme="majorHAnsi" w:eastAsia="Times New Roman" w:hAnsiTheme="majorHAnsi" w:cstheme="majorHAnsi"/>
                <w:sz w:val="18"/>
                <w:szCs w:val="18"/>
              </w:rPr>
              <w:t xml:space="preserve"> privind valoarea investițiilor pentru care nu au fost prezentate Rapoartele anuale privind realizarea investițiilor, în anii 2016-2021</w:t>
            </w:r>
          </w:p>
        </w:tc>
      </w:tr>
      <w:tr w:rsidR="004005AD" w:rsidRPr="008376FC" w:rsidTr="00F94EBC">
        <w:trPr>
          <w:cantSplit/>
          <w:trHeight w:val="313"/>
        </w:trPr>
        <w:tc>
          <w:tcPr>
            <w:tcW w:w="539" w:type="dxa"/>
            <w:vMerge w:val="restart"/>
            <w:tcBorders>
              <w:top w:val="single" w:sz="4" w:space="0" w:color="auto"/>
            </w:tcBorders>
            <w:shd w:val="clear" w:color="auto" w:fill="9CC2E5" w:themeFill="accent1" w:themeFillTint="99"/>
          </w:tcPr>
          <w:p w:rsidR="004005AD" w:rsidRPr="008376FC" w:rsidRDefault="004005AD" w:rsidP="007D322F">
            <w:pPr>
              <w:spacing w:after="0" w:line="276" w:lineRule="auto"/>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 xml:space="preserve">Nr. </w:t>
            </w:r>
            <w:r w:rsidR="00AA7291">
              <w:rPr>
                <w:rFonts w:asciiTheme="majorHAnsi" w:eastAsia="Times New Roman" w:hAnsiTheme="majorHAnsi" w:cstheme="majorHAnsi"/>
                <w:sz w:val="18"/>
                <w:szCs w:val="18"/>
              </w:rPr>
              <w:t>crt.</w:t>
            </w:r>
          </w:p>
        </w:tc>
        <w:tc>
          <w:tcPr>
            <w:tcW w:w="1293" w:type="dxa"/>
            <w:vMerge w:val="restart"/>
            <w:tcBorders>
              <w:top w:val="single" w:sz="4" w:space="0" w:color="auto"/>
            </w:tcBorders>
            <w:shd w:val="clear" w:color="auto" w:fill="9CC2E5" w:themeFill="accent1" w:themeFillTint="99"/>
          </w:tcPr>
          <w:p w:rsidR="004005AD" w:rsidRPr="008376FC" w:rsidRDefault="004005AD" w:rsidP="00F61756">
            <w:pPr>
              <w:spacing w:after="0" w:line="276" w:lineRule="auto"/>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Indicatorii</w:t>
            </w:r>
          </w:p>
        </w:tc>
        <w:tc>
          <w:tcPr>
            <w:tcW w:w="2884" w:type="dxa"/>
            <w:gridSpan w:val="6"/>
            <w:tcBorders>
              <w:top w:val="single" w:sz="4" w:space="0" w:color="auto"/>
            </w:tcBorders>
            <w:shd w:val="clear" w:color="000000" w:fill="9CC2E5"/>
          </w:tcPr>
          <w:p w:rsidR="004005AD" w:rsidRPr="008376FC" w:rsidRDefault="004005AD" w:rsidP="00F61756">
            <w:pPr>
              <w:spacing w:after="0" w:line="276" w:lineRule="auto"/>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Numărul de întreprinderi</w:t>
            </w:r>
          </w:p>
        </w:tc>
        <w:tc>
          <w:tcPr>
            <w:tcW w:w="4959" w:type="dxa"/>
            <w:gridSpan w:val="7"/>
            <w:tcBorders>
              <w:top w:val="single" w:sz="4" w:space="0" w:color="auto"/>
            </w:tcBorders>
            <w:shd w:val="clear" w:color="000000" w:fill="9CC2E5"/>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sz w:val="18"/>
                <w:szCs w:val="18"/>
              </w:rPr>
              <w:t>Valoarea investițiilor</w:t>
            </w:r>
          </w:p>
        </w:tc>
      </w:tr>
      <w:tr w:rsidR="004005AD" w:rsidRPr="008376FC" w:rsidTr="00F94EBC">
        <w:trPr>
          <w:cantSplit/>
          <w:trHeight w:val="763"/>
        </w:trPr>
        <w:tc>
          <w:tcPr>
            <w:tcW w:w="539" w:type="dxa"/>
            <w:vMerge/>
            <w:shd w:val="clear" w:color="auto" w:fill="9CC2E5" w:themeFill="accent1" w:themeFillTint="99"/>
            <w:hideMark/>
          </w:tcPr>
          <w:p w:rsidR="004005AD" w:rsidRPr="008376FC" w:rsidRDefault="004005AD" w:rsidP="00F61756">
            <w:pPr>
              <w:spacing w:after="0" w:line="276" w:lineRule="auto"/>
              <w:jc w:val="both"/>
              <w:rPr>
                <w:rFonts w:asciiTheme="majorHAnsi" w:eastAsia="Times New Roman" w:hAnsiTheme="majorHAnsi" w:cstheme="majorHAnsi"/>
                <w:sz w:val="18"/>
                <w:szCs w:val="18"/>
              </w:rPr>
            </w:pPr>
          </w:p>
        </w:tc>
        <w:tc>
          <w:tcPr>
            <w:tcW w:w="1293" w:type="dxa"/>
            <w:vMerge/>
            <w:shd w:val="clear" w:color="auto" w:fill="9CC2E5" w:themeFill="accent1" w:themeFillTint="99"/>
            <w:hideMark/>
          </w:tcPr>
          <w:p w:rsidR="004005AD" w:rsidRPr="008376FC" w:rsidRDefault="004005AD" w:rsidP="00F61756">
            <w:pPr>
              <w:spacing w:after="0" w:line="276" w:lineRule="auto"/>
              <w:jc w:val="both"/>
              <w:rPr>
                <w:rFonts w:asciiTheme="majorHAnsi" w:eastAsia="Times New Roman" w:hAnsiTheme="majorHAnsi" w:cstheme="majorHAnsi"/>
                <w:sz w:val="18"/>
                <w:szCs w:val="18"/>
              </w:rPr>
            </w:pPr>
          </w:p>
        </w:tc>
        <w:tc>
          <w:tcPr>
            <w:tcW w:w="519"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2016</w:t>
            </w:r>
          </w:p>
        </w:tc>
        <w:tc>
          <w:tcPr>
            <w:tcW w:w="555"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2017</w:t>
            </w:r>
          </w:p>
        </w:tc>
        <w:tc>
          <w:tcPr>
            <w:tcW w:w="555"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2018</w:t>
            </w:r>
          </w:p>
        </w:tc>
        <w:tc>
          <w:tcPr>
            <w:tcW w:w="415"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2019</w:t>
            </w:r>
          </w:p>
        </w:tc>
        <w:tc>
          <w:tcPr>
            <w:tcW w:w="415"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2020</w:t>
            </w:r>
          </w:p>
        </w:tc>
        <w:tc>
          <w:tcPr>
            <w:tcW w:w="423"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2021</w:t>
            </w:r>
          </w:p>
        </w:tc>
        <w:tc>
          <w:tcPr>
            <w:tcW w:w="692"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2016</w:t>
            </w:r>
          </w:p>
        </w:tc>
        <w:tc>
          <w:tcPr>
            <w:tcW w:w="693"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2017</w:t>
            </w:r>
          </w:p>
        </w:tc>
        <w:tc>
          <w:tcPr>
            <w:tcW w:w="693"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2018</w:t>
            </w:r>
          </w:p>
        </w:tc>
        <w:tc>
          <w:tcPr>
            <w:tcW w:w="693"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2019</w:t>
            </w:r>
          </w:p>
        </w:tc>
        <w:tc>
          <w:tcPr>
            <w:tcW w:w="692"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2020</w:t>
            </w:r>
          </w:p>
        </w:tc>
        <w:tc>
          <w:tcPr>
            <w:tcW w:w="693" w:type="dxa"/>
            <w:shd w:val="clear" w:color="000000" w:fill="9CC2E5"/>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sz w:val="18"/>
                <w:szCs w:val="18"/>
              </w:rPr>
            </w:pPr>
            <w:r w:rsidRPr="008376FC">
              <w:rPr>
                <w:rFonts w:asciiTheme="majorHAnsi" w:eastAsia="Times New Roman" w:hAnsiTheme="majorHAnsi" w:cstheme="majorHAnsi"/>
                <w:sz w:val="18"/>
                <w:szCs w:val="18"/>
              </w:rPr>
              <w:t>2021</w:t>
            </w:r>
          </w:p>
        </w:tc>
        <w:tc>
          <w:tcPr>
            <w:tcW w:w="801" w:type="dxa"/>
            <w:shd w:val="clear" w:color="auto" w:fill="9CC2E5" w:themeFill="accent1" w:themeFillTint="99"/>
            <w:noWrap/>
            <w:hideMark/>
          </w:tcPr>
          <w:p w:rsidR="004005AD" w:rsidRPr="008376FC" w:rsidRDefault="004005AD" w:rsidP="00F61756">
            <w:pPr>
              <w:spacing w:after="0" w:line="276" w:lineRule="auto"/>
              <w:jc w:val="both"/>
              <w:rPr>
                <w:rFonts w:asciiTheme="majorHAnsi" w:eastAsia="Times New Roman" w:hAnsiTheme="majorHAnsi" w:cstheme="majorHAnsi"/>
                <w:bCs w:val="0"/>
                <w:sz w:val="18"/>
                <w:szCs w:val="18"/>
              </w:rPr>
            </w:pPr>
            <w:r w:rsidRPr="008376FC">
              <w:rPr>
                <w:rFonts w:asciiTheme="majorHAnsi" w:eastAsia="Times New Roman" w:hAnsiTheme="majorHAnsi" w:cstheme="majorHAnsi"/>
                <w:bCs w:val="0"/>
                <w:sz w:val="18"/>
                <w:szCs w:val="18"/>
              </w:rPr>
              <w:t> </w:t>
            </w:r>
            <w:r w:rsidR="00AA7291" w:rsidRPr="008376FC">
              <w:rPr>
                <w:rFonts w:asciiTheme="majorHAnsi" w:eastAsia="Times New Roman" w:hAnsiTheme="majorHAnsi" w:cstheme="majorHAnsi"/>
                <w:bCs w:val="0"/>
                <w:sz w:val="18"/>
                <w:szCs w:val="18"/>
              </w:rPr>
              <w:t>T</w:t>
            </w:r>
            <w:r w:rsidRPr="008376FC">
              <w:rPr>
                <w:rFonts w:asciiTheme="majorHAnsi" w:eastAsia="Times New Roman" w:hAnsiTheme="majorHAnsi" w:cstheme="majorHAnsi"/>
                <w:bCs w:val="0"/>
                <w:sz w:val="18"/>
                <w:szCs w:val="18"/>
              </w:rPr>
              <w:t>otal</w:t>
            </w:r>
          </w:p>
        </w:tc>
      </w:tr>
      <w:tr w:rsidR="004005AD" w:rsidRPr="008376FC" w:rsidTr="00F94EBC">
        <w:trPr>
          <w:trHeight w:val="813"/>
        </w:trPr>
        <w:tc>
          <w:tcPr>
            <w:tcW w:w="539"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 1</w:t>
            </w:r>
          </w:p>
        </w:tc>
        <w:tc>
          <w:tcPr>
            <w:tcW w:w="1293" w:type="dxa"/>
            <w:shd w:val="clear" w:color="auto" w:fill="auto"/>
            <w:hideMark/>
          </w:tcPr>
          <w:p w:rsidR="004005AD" w:rsidRPr="008376FC" w:rsidRDefault="00512312" w:rsidP="00F61756">
            <w:pPr>
              <w:spacing w:after="0" w:line="276" w:lineRule="auto"/>
              <w:jc w:val="both"/>
              <w:rPr>
                <w:rFonts w:asciiTheme="majorHAnsi" w:eastAsia="Times New Roman" w:hAnsiTheme="majorHAnsi" w:cstheme="majorHAnsi"/>
                <w:b w:val="0"/>
                <w:bCs w:val="0"/>
                <w:sz w:val="18"/>
                <w:szCs w:val="18"/>
              </w:rPr>
            </w:pPr>
            <w:r>
              <w:rPr>
                <w:rFonts w:asciiTheme="majorHAnsi" w:eastAsia="Times New Roman" w:hAnsiTheme="majorHAnsi" w:cstheme="majorHAnsi"/>
                <w:b w:val="0"/>
                <w:sz w:val="18"/>
                <w:szCs w:val="18"/>
              </w:rPr>
              <w:t>I</w:t>
            </w:r>
            <w:r w:rsidRPr="008376FC">
              <w:rPr>
                <w:rFonts w:asciiTheme="majorHAnsi" w:eastAsia="Times New Roman" w:hAnsiTheme="majorHAnsi" w:cstheme="majorHAnsi"/>
                <w:b w:val="0"/>
                <w:sz w:val="18"/>
                <w:szCs w:val="18"/>
              </w:rPr>
              <w:t>nvestițiil</w:t>
            </w:r>
            <w:r>
              <w:rPr>
                <w:rFonts w:asciiTheme="majorHAnsi" w:eastAsia="Times New Roman" w:hAnsiTheme="majorHAnsi" w:cstheme="majorHAnsi"/>
                <w:b w:val="0"/>
                <w:sz w:val="18"/>
                <w:szCs w:val="18"/>
              </w:rPr>
              <w:t>e</w:t>
            </w:r>
            <w:r w:rsidRPr="008376FC">
              <w:rPr>
                <w:rFonts w:asciiTheme="majorHAnsi" w:eastAsia="Times New Roman" w:hAnsiTheme="majorHAnsi" w:cstheme="majorHAnsi"/>
                <w:b w:val="0"/>
                <w:sz w:val="18"/>
                <w:szCs w:val="18"/>
              </w:rPr>
              <w:t xml:space="preserve"> </w:t>
            </w:r>
            <w:r w:rsidR="004005AD" w:rsidRPr="008376FC">
              <w:rPr>
                <w:rFonts w:asciiTheme="majorHAnsi" w:eastAsia="Times New Roman" w:hAnsiTheme="majorHAnsi" w:cstheme="majorHAnsi"/>
                <w:b w:val="0"/>
                <w:sz w:val="18"/>
                <w:szCs w:val="18"/>
              </w:rPr>
              <w:t>aprobate/ avizate de ANRE</w:t>
            </w:r>
          </w:p>
        </w:tc>
        <w:tc>
          <w:tcPr>
            <w:tcW w:w="519"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4</w:t>
            </w:r>
          </w:p>
        </w:tc>
        <w:tc>
          <w:tcPr>
            <w:tcW w:w="55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6</w:t>
            </w:r>
          </w:p>
        </w:tc>
        <w:tc>
          <w:tcPr>
            <w:tcW w:w="55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12</w:t>
            </w:r>
          </w:p>
        </w:tc>
        <w:tc>
          <w:tcPr>
            <w:tcW w:w="41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10</w:t>
            </w:r>
          </w:p>
        </w:tc>
        <w:tc>
          <w:tcPr>
            <w:tcW w:w="41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18</w:t>
            </w:r>
          </w:p>
        </w:tc>
        <w:tc>
          <w:tcPr>
            <w:tcW w:w="42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38</w:t>
            </w:r>
          </w:p>
        </w:tc>
        <w:tc>
          <w:tcPr>
            <w:tcW w:w="692"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314,2</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629,4</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512,1</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432,1</w:t>
            </w:r>
          </w:p>
        </w:tc>
        <w:tc>
          <w:tcPr>
            <w:tcW w:w="692"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1003,8</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615,9</w:t>
            </w:r>
          </w:p>
        </w:tc>
        <w:tc>
          <w:tcPr>
            <w:tcW w:w="801" w:type="dxa"/>
            <w:shd w:val="clear" w:color="auto" w:fill="auto"/>
            <w:noWrap/>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3507,5</w:t>
            </w:r>
          </w:p>
        </w:tc>
      </w:tr>
      <w:tr w:rsidR="004005AD" w:rsidRPr="008376FC" w:rsidTr="00F94EBC">
        <w:trPr>
          <w:trHeight w:val="1262"/>
        </w:trPr>
        <w:tc>
          <w:tcPr>
            <w:tcW w:w="539"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 2</w:t>
            </w:r>
          </w:p>
        </w:tc>
        <w:tc>
          <w:tcPr>
            <w:tcW w:w="1293" w:type="dxa"/>
            <w:shd w:val="clear" w:color="auto" w:fill="auto"/>
            <w:hideMark/>
          </w:tcPr>
          <w:p w:rsidR="004005AD" w:rsidRPr="008376FC" w:rsidRDefault="00512312" w:rsidP="00F61756">
            <w:pPr>
              <w:spacing w:after="0" w:line="276" w:lineRule="auto"/>
              <w:jc w:val="both"/>
              <w:rPr>
                <w:rFonts w:asciiTheme="majorHAnsi" w:eastAsia="Times New Roman" w:hAnsiTheme="majorHAnsi" w:cstheme="majorHAnsi"/>
                <w:b w:val="0"/>
                <w:bCs w:val="0"/>
                <w:sz w:val="18"/>
                <w:szCs w:val="18"/>
              </w:rPr>
            </w:pPr>
            <w:r>
              <w:rPr>
                <w:rFonts w:asciiTheme="majorHAnsi" w:eastAsia="Times New Roman" w:hAnsiTheme="majorHAnsi" w:cstheme="majorHAnsi"/>
                <w:b w:val="0"/>
                <w:sz w:val="18"/>
                <w:szCs w:val="18"/>
              </w:rPr>
              <w:t>I</w:t>
            </w:r>
            <w:r w:rsidRPr="008376FC">
              <w:rPr>
                <w:rFonts w:asciiTheme="majorHAnsi" w:eastAsia="Times New Roman" w:hAnsiTheme="majorHAnsi" w:cstheme="majorHAnsi"/>
                <w:b w:val="0"/>
                <w:sz w:val="18"/>
                <w:szCs w:val="18"/>
              </w:rPr>
              <w:t>nvestițiil</w:t>
            </w:r>
            <w:r>
              <w:rPr>
                <w:rFonts w:asciiTheme="majorHAnsi" w:eastAsia="Times New Roman" w:hAnsiTheme="majorHAnsi" w:cstheme="majorHAnsi"/>
                <w:b w:val="0"/>
                <w:sz w:val="18"/>
                <w:szCs w:val="18"/>
              </w:rPr>
              <w:t>e</w:t>
            </w:r>
            <w:r w:rsidRPr="008376FC">
              <w:rPr>
                <w:rFonts w:asciiTheme="majorHAnsi" w:eastAsia="Times New Roman" w:hAnsiTheme="majorHAnsi" w:cstheme="majorHAnsi"/>
                <w:b w:val="0"/>
                <w:sz w:val="18"/>
                <w:szCs w:val="18"/>
              </w:rPr>
              <w:t xml:space="preserve"> </w:t>
            </w:r>
            <w:r w:rsidR="004005AD" w:rsidRPr="008376FC">
              <w:rPr>
                <w:rFonts w:asciiTheme="majorHAnsi" w:eastAsia="Times New Roman" w:hAnsiTheme="majorHAnsi" w:cstheme="majorHAnsi"/>
                <w:b w:val="0"/>
                <w:sz w:val="18"/>
                <w:szCs w:val="18"/>
              </w:rPr>
              <w:t>realizate</w:t>
            </w:r>
            <w:r w:rsidR="00AA7291">
              <w:rPr>
                <w:rFonts w:asciiTheme="majorHAnsi" w:eastAsia="Times New Roman" w:hAnsiTheme="majorHAnsi" w:cstheme="majorHAnsi"/>
                <w:b w:val="0"/>
                <w:sz w:val="18"/>
                <w:szCs w:val="18"/>
              </w:rPr>
              <w:t>,</w:t>
            </w:r>
            <w:r w:rsidR="004005AD" w:rsidRPr="008376FC">
              <w:rPr>
                <w:rFonts w:asciiTheme="majorHAnsi" w:eastAsia="Times New Roman" w:hAnsiTheme="majorHAnsi" w:cstheme="majorHAnsi"/>
                <w:b w:val="0"/>
                <w:sz w:val="18"/>
                <w:szCs w:val="18"/>
              </w:rPr>
              <w:t xml:space="preserve"> incluse </w:t>
            </w:r>
            <w:r w:rsidR="00AA7291">
              <w:rPr>
                <w:rFonts w:asciiTheme="majorHAnsi" w:eastAsia="Times New Roman" w:hAnsiTheme="majorHAnsi" w:cstheme="majorHAnsi"/>
                <w:b w:val="0"/>
                <w:sz w:val="18"/>
                <w:szCs w:val="18"/>
              </w:rPr>
              <w:t>î</w:t>
            </w:r>
            <w:r w:rsidR="004005AD" w:rsidRPr="008376FC">
              <w:rPr>
                <w:rFonts w:asciiTheme="majorHAnsi" w:eastAsia="Times New Roman" w:hAnsiTheme="majorHAnsi" w:cstheme="majorHAnsi"/>
                <w:b w:val="0"/>
                <w:sz w:val="18"/>
                <w:szCs w:val="18"/>
              </w:rPr>
              <w:t>n Rapoartele privind realizarea investițiilor</w:t>
            </w:r>
          </w:p>
        </w:tc>
        <w:tc>
          <w:tcPr>
            <w:tcW w:w="519"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1</w:t>
            </w:r>
          </w:p>
        </w:tc>
        <w:tc>
          <w:tcPr>
            <w:tcW w:w="55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4</w:t>
            </w:r>
          </w:p>
        </w:tc>
        <w:tc>
          <w:tcPr>
            <w:tcW w:w="55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4</w:t>
            </w:r>
          </w:p>
        </w:tc>
        <w:tc>
          <w:tcPr>
            <w:tcW w:w="41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6</w:t>
            </w:r>
          </w:p>
        </w:tc>
        <w:tc>
          <w:tcPr>
            <w:tcW w:w="41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13</w:t>
            </w:r>
          </w:p>
        </w:tc>
        <w:tc>
          <w:tcPr>
            <w:tcW w:w="42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14</w:t>
            </w:r>
          </w:p>
        </w:tc>
        <w:tc>
          <w:tcPr>
            <w:tcW w:w="692"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78,9</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40,4</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30,8</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71,6</w:t>
            </w:r>
          </w:p>
        </w:tc>
        <w:tc>
          <w:tcPr>
            <w:tcW w:w="692"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25,6</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104,3</w:t>
            </w:r>
          </w:p>
        </w:tc>
        <w:tc>
          <w:tcPr>
            <w:tcW w:w="801" w:type="dxa"/>
            <w:shd w:val="clear" w:color="auto" w:fill="auto"/>
            <w:noWrap/>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351,6</w:t>
            </w:r>
          </w:p>
        </w:tc>
      </w:tr>
      <w:tr w:rsidR="004005AD" w:rsidRPr="008376FC" w:rsidTr="00F94EBC">
        <w:trPr>
          <w:trHeight w:val="137"/>
        </w:trPr>
        <w:tc>
          <w:tcPr>
            <w:tcW w:w="539"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 3</w:t>
            </w:r>
          </w:p>
        </w:tc>
        <w:tc>
          <w:tcPr>
            <w:tcW w:w="12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Devieri</w:t>
            </w:r>
          </w:p>
        </w:tc>
        <w:tc>
          <w:tcPr>
            <w:tcW w:w="519"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3</w:t>
            </w:r>
          </w:p>
        </w:tc>
        <w:tc>
          <w:tcPr>
            <w:tcW w:w="55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2</w:t>
            </w:r>
          </w:p>
        </w:tc>
        <w:tc>
          <w:tcPr>
            <w:tcW w:w="55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8</w:t>
            </w:r>
          </w:p>
        </w:tc>
        <w:tc>
          <w:tcPr>
            <w:tcW w:w="41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4</w:t>
            </w:r>
          </w:p>
        </w:tc>
        <w:tc>
          <w:tcPr>
            <w:tcW w:w="415"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5</w:t>
            </w:r>
          </w:p>
        </w:tc>
        <w:tc>
          <w:tcPr>
            <w:tcW w:w="42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24</w:t>
            </w:r>
          </w:p>
        </w:tc>
        <w:tc>
          <w:tcPr>
            <w:tcW w:w="692"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235,3</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589</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481,3</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360,5</w:t>
            </w:r>
          </w:p>
        </w:tc>
        <w:tc>
          <w:tcPr>
            <w:tcW w:w="692"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978,2</w:t>
            </w:r>
          </w:p>
        </w:tc>
        <w:tc>
          <w:tcPr>
            <w:tcW w:w="693"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511,6</w:t>
            </w:r>
          </w:p>
        </w:tc>
        <w:tc>
          <w:tcPr>
            <w:tcW w:w="801" w:type="dxa"/>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3155,9</w:t>
            </w:r>
          </w:p>
        </w:tc>
      </w:tr>
      <w:tr w:rsidR="004005AD" w:rsidRPr="008376FC" w:rsidTr="00F94EBC">
        <w:trPr>
          <w:cantSplit/>
          <w:trHeight w:val="690"/>
        </w:trPr>
        <w:tc>
          <w:tcPr>
            <w:tcW w:w="539" w:type="dxa"/>
            <w:tcBorders>
              <w:bottom w:val="single" w:sz="4" w:space="0" w:color="auto"/>
            </w:tcBorders>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 4</w:t>
            </w:r>
          </w:p>
        </w:tc>
        <w:tc>
          <w:tcPr>
            <w:tcW w:w="1293" w:type="dxa"/>
            <w:tcBorders>
              <w:bottom w:val="single" w:sz="4" w:space="0" w:color="auto"/>
            </w:tcBorders>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Ponderea celor care au prezentat Rapoarte, %</w:t>
            </w:r>
            <w:r w:rsidR="00512312">
              <w:rPr>
                <w:rFonts w:asciiTheme="majorHAnsi" w:eastAsia="Times New Roman" w:hAnsiTheme="majorHAnsi" w:cstheme="majorHAnsi"/>
                <w:b w:val="0"/>
                <w:sz w:val="18"/>
                <w:szCs w:val="18"/>
              </w:rPr>
              <w:t xml:space="preserve"> (rd.2/rd.1)</w:t>
            </w:r>
          </w:p>
        </w:tc>
        <w:tc>
          <w:tcPr>
            <w:tcW w:w="519"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25,0%</w:t>
            </w:r>
          </w:p>
        </w:tc>
        <w:tc>
          <w:tcPr>
            <w:tcW w:w="555"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66,7%</w:t>
            </w:r>
          </w:p>
        </w:tc>
        <w:tc>
          <w:tcPr>
            <w:tcW w:w="555"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33,3%</w:t>
            </w:r>
          </w:p>
        </w:tc>
        <w:tc>
          <w:tcPr>
            <w:tcW w:w="415"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60,0%</w:t>
            </w:r>
          </w:p>
        </w:tc>
        <w:tc>
          <w:tcPr>
            <w:tcW w:w="415"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72,2%</w:t>
            </w:r>
          </w:p>
        </w:tc>
        <w:tc>
          <w:tcPr>
            <w:tcW w:w="423"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36,8%</w:t>
            </w:r>
          </w:p>
        </w:tc>
        <w:tc>
          <w:tcPr>
            <w:tcW w:w="692"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25,1%</w:t>
            </w:r>
          </w:p>
        </w:tc>
        <w:tc>
          <w:tcPr>
            <w:tcW w:w="693"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6,4%</w:t>
            </w:r>
          </w:p>
        </w:tc>
        <w:tc>
          <w:tcPr>
            <w:tcW w:w="693"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6,0%</w:t>
            </w:r>
          </w:p>
        </w:tc>
        <w:tc>
          <w:tcPr>
            <w:tcW w:w="693"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16,6%</w:t>
            </w:r>
          </w:p>
        </w:tc>
        <w:tc>
          <w:tcPr>
            <w:tcW w:w="692"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2,6%</w:t>
            </w:r>
          </w:p>
        </w:tc>
        <w:tc>
          <w:tcPr>
            <w:tcW w:w="693"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16,9%</w:t>
            </w:r>
          </w:p>
        </w:tc>
        <w:tc>
          <w:tcPr>
            <w:tcW w:w="801" w:type="dxa"/>
            <w:tcBorders>
              <w:bottom w:val="single" w:sz="4" w:space="0" w:color="auto"/>
            </w:tcBorders>
            <w:shd w:val="clear" w:color="auto" w:fill="auto"/>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10,0%</w:t>
            </w:r>
          </w:p>
        </w:tc>
      </w:tr>
      <w:tr w:rsidR="004005AD" w:rsidRPr="008376FC" w:rsidTr="00F94EBC">
        <w:trPr>
          <w:cantSplit/>
          <w:trHeight w:val="755"/>
        </w:trPr>
        <w:tc>
          <w:tcPr>
            <w:tcW w:w="539" w:type="dxa"/>
            <w:tcBorders>
              <w:bottom w:val="single" w:sz="4" w:space="0" w:color="auto"/>
            </w:tcBorders>
            <w:shd w:val="clear" w:color="auto" w:fill="auto"/>
            <w:noWrap/>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 5</w:t>
            </w:r>
          </w:p>
        </w:tc>
        <w:tc>
          <w:tcPr>
            <w:tcW w:w="1293" w:type="dxa"/>
            <w:tcBorders>
              <w:bottom w:val="single" w:sz="4" w:space="0" w:color="auto"/>
            </w:tcBorders>
            <w:shd w:val="clear" w:color="auto" w:fill="auto"/>
            <w:hideMark/>
          </w:tcPr>
          <w:p w:rsidR="004005AD" w:rsidRPr="008376FC" w:rsidRDefault="004005AD" w:rsidP="00F61756">
            <w:pPr>
              <w:spacing w:after="0" w:line="276" w:lineRule="auto"/>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sz w:val="18"/>
                <w:szCs w:val="18"/>
              </w:rPr>
              <w:t>Ponderea celor care nu au prezentat Rapoarte, %</w:t>
            </w:r>
            <w:r w:rsidR="00512312">
              <w:rPr>
                <w:rFonts w:asciiTheme="majorHAnsi" w:eastAsia="Times New Roman" w:hAnsiTheme="majorHAnsi" w:cstheme="majorHAnsi"/>
                <w:b w:val="0"/>
                <w:sz w:val="18"/>
                <w:szCs w:val="18"/>
              </w:rPr>
              <w:t xml:space="preserve"> (rd.3 /rd.1)</w:t>
            </w:r>
          </w:p>
        </w:tc>
        <w:tc>
          <w:tcPr>
            <w:tcW w:w="519"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75,0%</w:t>
            </w:r>
          </w:p>
        </w:tc>
        <w:tc>
          <w:tcPr>
            <w:tcW w:w="555"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33,3%</w:t>
            </w:r>
          </w:p>
        </w:tc>
        <w:tc>
          <w:tcPr>
            <w:tcW w:w="555"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66,7%</w:t>
            </w:r>
          </w:p>
        </w:tc>
        <w:tc>
          <w:tcPr>
            <w:tcW w:w="415"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40,0%</w:t>
            </w:r>
          </w:p>
        </w:tc>
        <w:tc>
          <w:tcPr>
            <w:tcW w:w="415"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27,8%</w:t>
            </w:r>
          </w:p>
        </w:tc>
        <w:tc>
          <w:tcPr>
            <w:tcW w:w="423"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63,2%</w:t>
            </w:r>
          </w:p>
        </w:tc>
        <w:tc>
          <w:tcPr>
            <w:tcW w:w="692"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74,9%</w:t>
            </w:r>
          </w:p>
        </w:tc>
        <w:tc>
          <w:tcPr>
            <w:tcW w:w="693"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93,6%</w:t>
            </w:r>
          </w:p>
        </w:tc>
        <w:tc>
          <w:tcPr>
            <w:tcW w:w="693"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94,0%</w:t>
            </w:r>
          </w:p>
        </w:tc>
        <w:tc>
          <w:tcPr>
            <w:tcW w:w="693"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83,4%</w:t>
            </w:r>
          </w:p>
        </w:tc>
        <w:tc>
          <w:tcPr>
            <w:tcW w:w="692"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97,4%</w:t>
            </w:r>
          </w:p>
        </w:tc>
        <w:tc>
          <w:tcPr>
            <w:tcW w:w="693"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83,1%</w:t>
            </w:r>
          </w:p>
        </w:tc>
        <w:tc>
          <w:tcPr>
            <w:tcW w:w="801" w:type="dxa"/>
            <w:tcBorders>
              <w:bottom w:val="single" w:sz="4" w:space="0" w:color="auto"/>
            </w:tcBorders>
            <w:shd w:val="clear" w:color="auto" w:fill="auto"/>
            <w:noWrap/>
            <w:textDirection w:val="btLr"/>
            <w:hideMark/>
          </w:tcPr>
          <w:p w:rsidR="004005AD" w:rsidRPr="008376FC" w:rsidRDefault="004005AD" w:rsidP="00F61756">
            <w:pPr>
              <w:spacing w:after="0" w:line="276" w:lineRule="auto"/>
              <w:ind w:left="113" w:right="113"/>
              <w:jc w:val="both"/>
              <w:rPr>
                <w:rFonts w:asciiTheme="majorHAnsi" w:eastAsia="Times New Roman" w:hAnsiTheme="majorHAnsi" w:cstheme="majorHAnsi"/>
                <w:b w:val="0"/>
                <w:bCs w:val="0"/>
                <w:sz w:val="18"/>
                <w:szCs w:val="18"/>
              </w:rPr>
            </w:pPr>
            <w:r w:rsidRPr="008376FC">
              <w:rPr>
                <w:rFonts w:asciiTheme="majorHAnsi" w:eastAsia="Times New Roman" w:hAnsiTheme="majorHAnsi" w:cstheme="majorHAnsi"/>
                <w:b w:val="0"/>
                <w:bCs w:val="0"/>
                <w:sz w:val="18"/>
                <w:szCs w:val="18"/>
              </w:rPr>
              <w:t>90,0%</w:t>
            </w:r>
          </w:p>
        </w:tc>
      </w:tr>
      <w:tr w:rsidR="00400351" w:rsidRPr="008376FC" w:rsidTr="00F94EBC">
        <w:trPr>
          <w:cantSplit/>
          <w:trHeight w:val="111"/>
        </w:trPr>
        <w:tc>
          <w:tcPr>
            <w:tcW w:w="9675" w:type="dxa"/>
            <w:gridSpan w:val="15"/>
            <w:tcBorders>
              <w:top w:val="single" w:sz="4" w:space="0" w:color="auto"/>
              <w:left w:val="nil"/>
              <w:bottom w:val="nil"/>
              <w:right w:val="nil"/>
            </w:tcBorders>
            <w:shd w:val="clear" w:color="auto" w:fill="auto"/>
            <w:noWrap/>
          </w:tcPr>
          <w:p w:rsidR="00400351" w:rsidRPr="00A663EC" w:rsidRDefault="00400351" w:rsidP="00F61756">
            <w:pPr>
              <w:spacing w:after="0" w:line="276" w:lineRule="auto"/>
              <w:jc w:val="both"/>
              <w:rPr>
                <w:rFonts w:asciiTheme="majorHAnsi" w:eastAsia="Times New Roman" w:hAnsiTheme="majorHAnsi" w:cstheme="majorHAnsi"/>
                <w:b w:val="0"/>
                <w:bCs w:val="0"/>
                <w:i/>
                <w:sz w:val="20"/>
                <w:szCs w:val="20"/>
              </w:rPr>
            </w:pPr>
            <w:r w:rsidRPr="00A663EC">
              <w:rPr>
                <w:rFonts w:asciiTheme="majorHAnsi" w:eastAsia="Times New Roman" w:hAnsiTheme="majorHAnsi" w:cstheme="majorHAnsi"/>
                <w:i/>
                <w:sz w:val="20"/>
                <w:szCs w:val="20"/>
              </w:rPr>
              <w:t xml:space="preserve">Sursa: </w:t>
            </w:r>
            <w:r w:rsidRPr="00A663EC">
              <w:rPr>
                <w:rFonts w:asciiTheme="majorHAnsi" w:eastAsia="Times New Roman" w:hAnsiTheme="majorHAnsi" w:cstheme="majorHAnsi"/>
                <w:b w:val="0"/>
                <w:i/>
                <w:sz w:val="20"/>
                <w:szCs w:val="20"/>
              </w:rPr>
              <w:t>Date</w:t>
            </w:r>
            <w:r w:rsidR="00AA7291">
              <w:rPr>
                <w:rFonts w:asciiTheme="majorHAnsi" w:eastAsia="Times New Roman" w:hAnsiTheme="majorHAnsi" w:cstheme="majorHAnsi"/>
                <w:b w:val="0"/>
                <w:i/>
                <w:sz w:val="20"/>
                <w:szCs w:val="20"/>
              </w:rPr>
              <w:t xml:space="preserve"> oferite d</w:t>
            </w:r>
            <w:r w:rsidRPr="00A663EC">
              <w:rPr>
                <w:rFonts w:asciiTheme="majorHAnsi" w:eastAsia="Times New Roman" w:hAnsiTheme="majorHAnsi" w:cstheme="majorHAnsi"/>
                <w:b w:val="0"/>
                <w:i/>
                <w:sz w:val="20"/>
                <w:szCs w:val="20"/>
              </w:rPr>
              <w:t>e ANRE.</w:t>
            </w:r>
          </w:p>
        </w:tc>
      </w:tr>
    </w:tbl>
    <w:p w:rsidR="003B5C69" w:rsidRPr="008376FC" w:rsidRDefault="003B5C69" w:rsidP="00F61756">
      <w:pPr>
        <w:spacing w:after="0" w:line="276" w:lineRule="auto"/>
        <w:jc w:val="both"/>
        <w:rPr>
          <w:rFonts w:asciiTheme="majorHAnsi" w:eastAsia="Times New Roman" w:hAnsiTheme="majorHAnsi" w:cstheme="majorHAnsi"/>
          <w:b w:val="0"/>
          <w:sz w:val="24"/>
          <w:szCs w:val="24"/>
        </w:rPr>
      </w:pPr>
    </w:p>
    <w:p w:rsidR="004005AD" w:rsidRPr="008376FC" w:rsidRDefault="004005AD" w:rsidP="00F61756">
      <w:pPr>
        <w:spacing w:after="0" w:line="276" w:lineRule="auto"/>
        <w:jc w:val="both"/>
        <w:rPr>
          <w:rFonts w:asciiTheme="majorHAnsi" w:eastAsia="Times New Roman" w:hAnsiTheme="majorHAnsi" w:cstheme="majorHAnsi"/>
          <w:sz w:val="24"/>
          <w:szCs w:val="24"/>
        </w:rPr>
      </w:pPr>
      <w:r w:rsidRPr="008376FC">
        <w:rPr>
          <w:rFonts w:asciiTheme="majorHAnsi" w:eastAsia="Times New Roman" w:hAnsiTheme="majorHAnsi" w:cstheme="majorHAnsi"/>
          <w:b w:val="0"/>
          <w:sz w:val="24"/>
          <w:szCs w:val="24"/>
        </w:rPr>
        <w:t>Datele din Tabel denotă că numărul întreprinderilor care prezintă spre aprobare Planurile de investiții este în creștere, din 45 de întreprinderi licenţiate de ANRE, numărul celor care prezintă anual Planuri de investiții spre aprobare și nemijlocit aprobate de ANRE a crescut de la 4 întreprinderi în anul 2016 la 38 de întreprinderi în anul 2021. Totodată, gradul de realizare a investiţiilor şi</w:t>
      </w:r>
      <w:r w:rsidR="00AA7291">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respectiv, prezentarea Rapoartelor anuale privind realizarea investițiilor este foarte jos, și ca urmare, ANRE în anii 2016-2021 a aprobat pentru includere în tarif doar </w:t>
      </w:r>
      <w:r w:rsidR="00A8403D">
        <w:rPr>
          <w:rFonts w:asciiTheme="majorHAnsi" w:eastAsia="Times New Roman" w:hAnsiTheme="majorHAnsi" w:cstheme="majorHAnsi"/>
          <w:b w:val="0"/>
          <w:sz w:val="24"/>
          <w:szCs w:val="24"/>
        </w:rPr>
        <w:t xml:space="preserve">a </w:t>
      </w:r>
      <w:r w:rsidRPr="008376FC">
        <w:rPr>
          <w:rFonts w:asciiTheme="majorHAnsi" w:eastAsia="Times New Roman" w:hAnsiTheme="majorHAnsi" w:cstheme="majorHAnsi"/>
          <w:b w:val="0"/>
          <w:sz w:val="24"/>
          <w:szCs w:val="24"/>
        </w:rPr>
        <w:t>351,6 mil. lei</w:t>
      </w:r>
      <w:r w:rsidR="00A8403D">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sau 10% din volumul total de investiții care urma să fie realizat în anii respectivi, nivelul de realizare a investițiilor a</w:t>
      </w:r>
      <w:r w:rsidR="00A8403D">
        <w:rPr>
          <w:rFonts w:asciiTheme="majorHAnsi" w:eastAsia="Times New Roman" w:hAnsiTheme="majorHAnsi" w:cstheme="majorHAnsi"/>
          <w:b w:val="0"/>
          <w:sz w:val="24"/>
          <w:szCs w:val="24"/>
        </w:rPr>
        <w:t>vând</w:t>
      </w:r>
      <w:r w:rsidRPr="008376FC">
        <w:rPr>
          <w:rFonts w:asciiTheme="majorHAnsi" w:eastAsia="Times New Roman" w:hAnsiTheme="majorHAnsi" w:cstheme="majorHAnsi"/>
          <w:b w:val="0"/>
          <w:sz w:val="24"/>
          <w:szCs w:val="24"/>
        </w:rPr>
        <w:t xml:space="preserve"> un trend  neuniform, cel mai mic nivel de realizare a planurilor de investiții fiind atins în anul 2021 – </w:t>
      </w:r>
      <w:r w:rsidR="00A8403D">
        <w:rPr>
          <w:rFonts w:asciiTheme="majorHAnsi" w:eastAsia="Times New Roman" w:hAnsiTheme="majorHAnsi" w:cstheme="majorHAnsi"/>
          <w:b w:val="0"/>
          <w:sz w:val="24"/>
          <w:szCs w:val="24"/>
        </w:rPr>
        <w:t xml:space="preserve">cu </w:t>
      </w:r>
      <w:r w:rsidRPr="008376FC">
        <w:rPr>
          <w:rFonts w:asciiTheme="majorHAnsi" w:eastAsia="Times New Roman" w:hAnsiTheme="majorHAnsi" w:cstheme="majorHAnsi"/>
          <w:b w:val="0"/>
          <w:sz w:val="24"/>
          <w:szCs w:val="24"/>
        </w:rPr>
        <w:t>5,3%</w:t>
      </w:r>
      <w:r w:rsidR="00A8403D">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și cel mai înalt nivel – în anul 2019</w:t>
      </w:r>
      <w:r w:rsidR="00A8403D">
        <w:rPr>
          <w:rFonts w:asciiTheme="majorHAnsi" w:eastAsia="Times New Roman" w:hAnsiTheme="majorHAnsi" w:cstheme="majorHAnsi"/>
          <w:b w:val="0"/>
          <w:sz w:val="24"/>
          <w:szCs w:val="24"/>
        </w:rPr>
        <w:t>, cu</w:t>
      </w:r>
      <w:r w:rsidRPr="008376FC">
        <w:rPr>
          <w:rFonts w:asciiTheme="majorHAnsi" w:eastAsia="Times New Roman" w:hAnsiTheme="majorHAnsi" w:cstheme="majorHAnsi"/>
          <w:b w:val="0"/>
          <w:sz w:val="24"/>
          <w:szCs w:val="24"/>
        </w:rPr>
        <w:t xml:space="preserve"> 72,0%.</w:t>
      </w:r>
    </w:p>
    <w:p w:rsidR="004005AD" w:rsidRPr="008376FC" w:rsidRDefault="00ED2CE9" w:rsidP="007D322F">
      <w:pPr>
        <w:spacing w:after="0" w:line="276" w:lineRule="auto"/>
        <w:jc w:val="right"/>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Figura nr. 3</w:t>
      </w:r>
      <w:r w:rsidR="00D91526" w:rsidRPr="008376FC">
        <w:rPr>
          <w:rFonts w:asciiTheme="majorHAnsi" w:eastAsia="Times New Roman" w:hAnsiTheme="majorHAnsi" w:cstheme="majorHAnsi"/>
          <w:sz w:val="20"/>
          <w:szCs w:val="20"/>
        </w:rPr>
        <w:t>9</w:t>
      </w:r>
    </w:p>
    <w:p w:rsidR="004005AD" w:rsidRPr="008376FC" w:rsidRDefault="004005AD" w:rsidP="00F61756">
      <w:pPr>
        <w:spacing w:line="276" w:lineRule="auto"/>
        <w:jc w:val="both"/>
        <w:rPr>
          <w:rFonts w:asciiTheme="majorHAnsi" w:eastAsia="Times New Roman" w:hAnsiTheme="majorHAnsi" w:cstheme="majorHAnsi"/>
          <w:sz w:val="24"/>
          <w:szCs w:val="24"/>
        </w:rPr>
      </w:pPr>
      <w:r w:rsidRPr="008376FC">
        <w:rPr>
          <w:rFonts w:asciiTheme="majorHAnsi" w:eastAsia="Times New Roman" w:hAnsiTheme="majorHAnsi" w:cstheme="majorHAnsi"/>
          <w:noProof/>
          <w:sz w:val="24"/>
          <w:szCs w:val="24"/>
          <w:lang w:val="ru-RU" w:eastAsia="ru-RU"/>
        </w:rPr>
        <w:drawing>
          <wp:inline distT="0" distB="0" distL="0" distR="0">
            <wp:extent cx="6181725" cy="1471246"/>
            <wp:effectExtent l="0" t="0" r="9525" b="15240"/>
            <wp:docPr id="31"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4005AD" w:rsidRPr="00A663EC" w:rsidRDefault="004005AD" w:rsidP="00F61756">
      <w:pPr>
        <w:spacing w:line="276" w:lineRule="auto"/>
        <w:jc w:val="both"/>
        <w:rPr>
          <w:rFonts w:asciiTheme="majorHAnsi" w:eastAsia="Times New Roman" w:hAnsiTheme="majorHAnsi" w:cstheme="majorHAnsi"/>
          <w:i/>
          <w:sz w:val="20"/>
          <w:szCs w:val="20"/>
        </w:rPr>
      </w:pPr>
      <w:r w:rsidRPr="00A663EC">
        <w:rPr>
          <w:rFonts w:asciiTheme="majorHAnsi" w:eastAsia="Times New Roman" w:hAnsiTheme="majorHAnsi" w:cstheme="majorHAnsi"/>
          <w:i/>
          <w:sz w:val="20"/>
          <w:szCs w:val="20"/>
        </w:rPr>
        <w:t xml:space="preserve">Sursa: </w:t>
      </w:r>
      <w:r w:rsidRPr="00A663EC">
        <w:rPr>
          <w:rFonts w:asciiTheme="majorHAnsi" w:eastAsia="Times New Roman" w:hAnsiTheme="majorHAnsi" w:cstheme="majorHAnsi"/>
          <w:b w:val="0"/>
          <w:i/>
          <w:sz w:val="20"/>
          <w:szCs w:val="20"/>
        </w:rPr>
        <w:t>Date</w:t>
      </w:r>
      <w:r w:rsidR="00A8403D">
        <w:rPr>
          <w:rFonts w:asciiTheme="majorHAnsi" w:eastAsia="Times New Roman" w:hAnsiTheme="majorHAnsi" w:cstheme="majorHAnsi"/>
          <w:b w:val="0"/>
          <w:i/>
          <w:sz w:val="20"/>
          <w:szCs w:val="20"/>
        </w:rPr>
        <w:t xml:space="preserve"> oferite d</w:t>
      </w:r>
      <w:r w:rsidRPr="00A663EC">
        <w:rPr>
          <w:rFonts w:asciiTheme="majorHAnsi" w:eastAsia="Times New Roman" w:hAnsiTheme="majorHAnsi" w:cstheme="majorHAnsi"/>
          <w:b w:val="0"/>
          <w:i/>
          <w:sz w:val="20"/>
          <w:szCs w:val="20"/>
        </w:rPr>
        <w:t>e ANRE.</w:t>
      </w:r>
    </w:p>
    <w:p w:rsidR="004005AD" w:rsidRPr="008376FC" w:rsidRDefault="004005AD" w:rsidP="00F61756">
      <w:pPr>
        <w:spacing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b w:val="0"/>
          <w:sz w:val="24"/>
          <w:szCs w:val="24"/>
        </w:rPr>
        <w:t>Analiza nivelului de realizare a Planurilor de investiții aprobate de ANRE la întreprinderile care au prezentat Rapoartele privind realizarea investițiilor rel</w:t>
      </w:r>
      <w:r w:rsidR="00A8403D">
        <w:rPr>
          <w:rFonts w:asciiTheme="majorHAnsi" w:eastAsia="Times New Roman" w:hAnsiTheme="majorHAnsi" w:cstheme="majorHAnsi"/>
          <w:b w:val="0"/>
          <w:sz w:val="24"/>
          <w:szCs w:val="24"/>
        </w:rPr>
        <w:t>evă</w:t>
      </w:r>
      <w:r w:rsidRPr="008376FC">
        <w:rPr>
          <w:rFonts w:asciiTheme="majorHAnsi" w:eastAsia="Times New Roman" w:hAnsiTheme="majorHAnsi" w:cstheme="majorHAnsi"/>
          <w:b w:val="0"/>
          <w:sz w:val="24"/>
          <w:szCs w:val="24"/>
        </w:rPr>
        <w:t xml:space="preserve"> că valoarea investițiilor planificate pentru anii 2016-2021 constituie 2</w:t>
      </w:r>
      <w:r w:rsidR="00A8403D">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392,7 mil.lei, fiind aprobate pentru includere în tarif 351,5 mil.lei, sau 14,7%. Nivelul de aprobare în tarif doar a 14,7% denotă că întreprinderile, deși au Planuri de investiții aprobate de ANRE, sau nu au capacități financiare să realizeze volumele de investiții planificate, sau, în Planurile de finanțare aprobate de ANRE</w:t>
      </w:r>
      <w:r w:rsidR="00A8403D">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sunt incluse investiții care nu au acoperire financiară reală.  </w:t>
      </w:r>
    </w:p>
    <w:p w:rsidR="004005AD" w:rsidRPr="008376FC" w:rsidRDefault="004005AD" w:rsidP="00F61756">
      <w:pPr>
        <w:spacing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b w:val="0"/>
          <w:sz w:val="24"/>
          <w:szCs w:val="24"/>
        </w:rPr>
        <w:t>Desfăşurarea unei activităţi eficiente şi profitabile constă în oferir</w:t>
      </w:r>
      <w:r w:rsidR="00A8403D">
        <w:rPr>
          <w:rFonts w:asciiTheme="majorHAnsi" w:eastAsia="Times New Roman" w:hAnsiTheme="majorHAnsi" w:cstheme="majorHAnsi"/>
          <w:b w:val="0"/>
          <w:sz w:val="24"/>
          <w:szCs w:val="24"/>
        </w:rPr>
        <w:t>ea</w:t>
      </w:r>
      <w:r w:rsidRPr="008376FC">
        <w:rPr>
          <w:rFonts w:asciiTheme="majorHAnsi" w:eastAsia="Times New Roman" w:hAnsiTheme="majorHAnsi" w:cstheme="majorHAnsi"/>
          <w:b w:val="0"/>
          <w:sz w:val="24"/>
          <w:szCs w:val="24"/>
        </w:rPr>
        <w:t xml:space="preserve"> operatorului </w:t>
      </w:r>
      <w:r w:rsidR="00A8403D">
        <w:rPr>
          <w:rFonts w:asciiTheme="majorHAnsi" w:eastAsia="Times New Roman" w:hAnsiTheme="majorHAnsi" w:cstheme="majorHAnsi"/>
          <w:b w:val="0"/>
          <w:sz w:val="24"/>
          <w:szCs w:val="24"/>
        </w:rPr>
        <w:t xml:space="preserve">a </w:t>
      </w:r>
      <w:r w:rsidRPr="008376FC">
        <w:rPr>
          <w:rFonts w:asciiTheme="majorHAnsi" w:eastAsia="Times New Roman" w:hAnsiTheme="majorHAnsi" w:cstheme="majorHAnsi"/>
          <w:b w:val="0"/>
          <w:sz w:val="24"/>
          <w:szCs w:val="24"/>
        </w:rPr>
        <w:t>posibilității de a acoperi consumurile şi cheltuielile sale justificate</w:t>
      </w:r>
      <w:r w:rsidR="00A8403D">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necesare pentru desfășurarea activităţii reglementate şi recuperarea mijloacel</w:t>
      </w:r>
      <w:r w:rsidR="00A8403D">
        <w:rPr>
          <w:rFonts w:asciiTheme="majorHAnsi" w:eastAsia="Times New Roman" w:hAnsiTheme="majorHAnsi" w:cstheme="majorHAnsi"/>
          <w:b w:val="0"/>
          <w:sz w:val="24"/>
          <w:szCs w:val="24"/>
        </w:rPr>
        <w:t>or</w:t>
      </w:r>
      <w:r w:rsidRPr="008376FC">
        <w:rPr>
          <w:rFonts w:asciiTheme="majorHAnsi" w:eastAsia="Times New Roman" w:hAnsiTheme="majorHAnsi" w:cstheme="majorHAnsi"/>
          <w:b w:val="0"/>
          <w:sz w:val="24"/>
          <w:szCs w:val="24"/>
        </w:rPr>
        <w:t xml:space="preserve"> financiare investite în dezvoltarea, renovarea şi reconstrucţia sistemului public de alimentare cu apă şi de canalizare. Nici întreprinderile</w:t>
      </w:r>
      <w:r w:rsidR="00A8403D">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nici fondatorii acestora nu s-au ghidat de aceste prevederi. În consecință, ma</w:t>
      </w:r>
      <w:r w:rsidR="00A8403D">
        <w:rPr>
          <w:rFonts w:asciiTheme="majorHAnsi" w:eastAsia="Times New Roman" w:hAnsiTheme="majorHAnsi" w:cstheme="majorHAnsi"/>
          <w:b w:val="0"/>
          <w:sz w:val="24"/>
          <w:szCs w:val="24"/>
        </w:rPr>
        <w:t>joritatea</w:t>
      </w:r>
      <w:r w:rsidRPr="008376FC">
        <w:rPr>
          <w:rFonts w:asciiTheme="majorHAnsi" w:eastAsia="Times New Roman" w:hAnsiTheme="majorHAnsi" w:cstheme="majorHAnsi"/>
          <w:b w:val="0"/>
          <w:sz w:val="24"/>
          <w:szCs w:val="24"/>
        </w:rPr>
        <w:t xml:space="preserve"> operatorilor acumulează </w:t>
      </w:r>
      <w:r w:rsidR="00A8403D" w:rsidRPr="008376FC">
        <w:rPr>
          <w:rFonts w:asciiTheme="majorHAnsi" w:eastAsia="Times New Roman" w:hAnsiTheme="majorHAnsi" w:cstheme="majorHAnsi"/>
          <w:b w:val="0"/>
          <w:sz w:val="24"/>
          <w:szCs w:val="24"/>
        </w:rPr>
        <w:t xml:space="preserve">de la an la an </w:t>
      </w:r>
      <w:r w:rsidRPr="008376FC">
        <w:rPr>
          <w:rFonts w:asciiTheme="majorHAnsi" w:eastAsia="Times New Roman" w:hAnsiTheme="majorHAnsi" w:cstheme="majorHAnsi"/>
          <w:b w:val="0"/>
          <w:sz w:val="24"/>
          <w:szCs w:val="24"/>
        </w:rPr>
        <w:t xml:space="preserve">tot mai multe pierderi, investițiile realizate în afara Planului de investiții nefiind recuperate prin tarif. </w:t>
      </w:r>
    </w:p>
    <w:p w:rsidR="004005AD" w:rsidRPr="008376FC" w:rsidRDefault="004005AD" w:rsidP="00F61756">
      <w:pPr>
        <w:spacing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b w:val="0"/>
          <w:sz w:val="24"/>
          <w:szCs w:val="24"/>
        </w:rPr>
        <w:t>Chiar și în condițiile în care</w:t>
      </w:r>
      <w:r w:rsidR="00A8403D">
        <w:rPr>
          <w:rFonts w:asciiTheme="majorHAnsi" w:eastAsia="Times New Roman" w:hAnsiTheme="majorHAnsi" w:cstheme="majorHAnsi"/>
          <w:b w:val="0"/>
          <w:sz w:val="24"/>
          <w:szCs w:val="24"/>
        </w:rPr>
        <w:t xml:space="preserve"> </w:t>
      </w:r>
      <w:r w:rsidRPr="008376FC">
        <w:rPr>
          <w:rFonts w:asciiTheme="majorHAnsi" w:eastAsia="Times New Roman" w:hAnsiTheme="majorHAnsi" w:cstheme="majorHAnsi"/>
          <w:b w:val="0"/>
          <w:sz w:val="24"/>
          <w:szCs w:val="24"/>
        </w:rPr>
        <w:t>o parte din investiții</w:t>
      </w:r>
      <w:r w:rsidR="00A8403D">
        <w:rPr>
          <w:rFonts w:asciiTheme="majorHAnsi" w:eastAsia="Times New Roman" w:hAnsiTheme="majorHAnsi" w:cstheme="majorHAnsi"/>
          <w:b w:val="0"/>
          <w:sz w:val="24"/>
          <w:szCs w:val="24"/>
        </w:rPr>
        <w:t>le</w:t>
      </w:r>
      <w:r w:rsidRPr="008376FC">
        <w:rPr>
          <w:rFonts w:asciiTheme="majorHAnsi" w:eastAsia="Times New Roman" w:hAnsiTheme="majorHAnsi" w:cstheme="majorHAnsi"/>
          <w:b w:val="0"/>
          <w:sz w:val="24"/>
          <w:szCs w:val="24"/>
        </w:rPr>
        <w:t xml:space="preserve"> care au fost realiza</w:t>
      </w:r>
      <w:r w:rsidR="00A8403D">
        <w:rPr>
          <w:rFonts w:asciiTheme="majorHAnsi" w:eastAsia="Times New Roman" w:hAnsiTheme="majorHAnsi" w:cstheme="majorHAnsi"/>
          <w:b w:val="0"/>
          <w:sz w:val="24"/>
          <w:szCs w:val="24"/>
        </w:rPr>
        <w:t>t</w:t>
      </w:r>
      <w:r w:rsidRPr="008376FC">
        <w:rPr>
          <w:rFonts w:asciiTheme="majorHAnsi" w:eastAsia="Times New Roman" w:hAnsiTheme="majorHAnsi" w:cstheme="majorHAnsi"/>
          <w:b w:val="0"/>
          <w:sz w:val="24"/>
          <w:szCs w:val="24"/>
        </w:rPr>
        <w:t>e de întreprinderi în limita Planului de investiții aprobat de ANRE au fost aprobate pentru a fi recuperate prin tarif, întreprinderile cărora le-au fost aprobate investițiile realizare, nu au înaintat propuneri de rigoare pentru revizuirea tarifelor</w:t>
      </w:r>
      <w:r w:rsidR="00A8403D">
        <w:rPr>
          <w:rFonts w:asciiTheme="majorHAnsi" w:eastAsia="Times New Roman" w:hAnsiTheme="majorHAnsi" w:cstheme="majorHAnsi"/>
          <w:b w:val="0"/>
          <w:sz w:val="24"/>
          <w:szCs w:val="24"/>
        </w:rPr>
        <w:t xml:space="preserve"> la</w:t>
      </w:r>
      <w:r w:rsidRPr="008376FC">
        <w:rPr>
          <w:rFonts w:asciiTheme="majorHAnsi" w:eastAsia="Times New Roman" w:hAnsiTheme="majorHAnsi" w:cstheme="majorHAnsi"/>
          <w:b w:val="0"/>
          <w:sz w:val="24"/>
          <w:szCs w:val="24"/>
        </w:rPr>
        <w:t xml:space="preserve"> serviciile prestate. </w:t>
      </w:r>
    </w:p>
    <w:p w:rsidR="004005AD" w:rsidRPr="008376FC" w:rsidRDefault="004005AD" w:rsidP="00F61756">
      <w:pPr>
        <w:spacing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b w:val="0"/>
          <w:sz w:val="24"/>
          <w:szCs w:val="24"/>
        </w:rPr>
        <w:t>De exemplu, S.A. „Ap</w:t>
      </w:r>
      <w:r w:rsidR="00A8403D">
        <w:rPr>
          <w:rFonts w:asciiTheme="majorHAnsi" w:eastAsia="Times New Roman" w:hAnsiTheme="majorHAnsi" w:cstheme="majorHAnsi"/>
          <w:b w:val="0"/>
          <w:sz w:val="24"/>
          <w:szCs w:val="24"/>
        </w:rPr>
        <w:t>ă</w:t>
      </w:r>
      <w:r w:rsidRPr="008376FC">
        <w:rPr>
          <w:rFonts w:asciiTheme="majorHAnsi" w:eastAsia="Times New Roman" w:hAnsiTheme="majorHAnsi" w:cstheme="majorHAnsi"/>
          <w:b w:val="0"/>
          <w:sz w:val="24"/>
          <w:szCs w:val="24"/>
        </w:rPr>
        <w:t xml:space="preserve">-Canal Chișinău” i-au fost aprobate pentru recuperate prin tarif în anul 2017 </w:t>
      </w:r>
      <w:r w:rsidR="002B336C">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78,9 mil.lei, în anul </w:t>
      </w:r>
      <w:r w:rsidR="002B336C" w:rsidRPr="008376FC">
        <w:rPr>
          <w:rFonts w:asciiTheme="majorHAnsi" w:eastAsia="Times New Roman" w:hAnsiTheme="majorHAnsi" w:cstheme="majorHAnsi"/>
          <w:b w:val="0"/>
          <w:sz w:val="24"/>
          <w:szCs w:val="24"/>
        </w:rPr>
        <w:t>201</w:t>
      </w:r>
      <w:r w:rsidR="002B336C">
        <w:rPr>
          <w:rFonts w:asciiTheme="majorHAnsi" w:eastAsia="Times New Roman" w:hAnsiTheme="majorHAnsi" w:cstheme="majorHAnsi"/>
          <w:b w:val="0"/>
          <w:sz w:val="24"/>
          <w:szCs w:val="24"/>
        </w:rPr>
        <w:t>8</w:t>
      </w:r>
      <w:r w:rsidR="002B336C" w:rsidRPr="008376FC">
        <w:rPr>
          <w:rFonts w:asciiTheme="majorHAnsi" w:eastAsia="Times New Roman" w:hAnsiTheme="majorHAnsi" w:cstheme="majorHAnsi"/>
          <w:b w:val="0"/>
          <w:sz w:val="24"/>
          <w:szCs w:val="24"/>
        </w:rPr>
        <w:t xml:space="preserve"> </w:t>
      </w:r>
      <w:r w:rsidR="002B336C">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29,4 mil.lei, în 2019 </w:t>
      </w:r>
      <w:r w:rsidR="002B336C">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63,7 mil.lei, în 2020 – 17,3 mil.lei, în 2021- 47,3 mil.lei, în perioada dată, tarifele au fost revizuite doar în anul 2016, în perioada 2016-2021 acestea fiind constante. </w:t>
      </w:r>
      <w:r w:rsidR="00A8403D">
        <w:rPr>
          <w:rFonts w:asciiTheme="majorHAnsi" w:eastAsia="Times New Roman" w:hAnsiTheme="majorHAnsi" w:cstheme="majorHAnsi"/>
          <w:b w:val="0"/>
          <w:sz w:val="24"/>
          <w:szCs w:val="24"/>
        </w:rPr>
        <w:t>De asemenea</w:t>
      </w:r>
      <w:r w:rsidRPr="008376FC">
        <w:rPr>
          <w:rFonts w:asciiTheme="majorHAnsi" w:eastAsia="Times New Roman" w:hAnsiTheme="majorHAnsi" w:cstheme="majorHAnsi"/>
          <w:b w:val="0"/>
          <w:sz w:val="24"/>
          <w:szCs w:val="24"/>
        </w:rPr>
        <w:t>, S.A. „Regia Apă-Canal Orhei”, în anii 2018-2021, a avut investiții realiza</w:t>
      </w:r>
      <w:r w:rsidR="00A8403D">
        <w:rPr>
          <w:rFonts w:asciiTheme="majorHAnsi" w:eastAsia="Times New Roman" w:hAnsiTheme="majorHAnsi" w:cstheme="majorHAnsi"/>
          <w:b w:val="0"/>
          <w:sz w:val="24"/>
          <w:szCs w:val="24"/>
        </w:rPr>
        <w:t>t</w:t>
      </w:r>
      <w:r w:rsidRPr="008376FC">
        <w:rPr>
          <w:rFonts w:asciiTheme="majorHAnsi" w:eastAsia="Times New Roman" w:hAnsiTheme="majorHAnsi" w:cstheme="majorHAnsi"/>
          <w:b w:val="0"/>
          <w:sz w:val="24"/>
          <w:szCs w:val="24"/>
        </w:rPr>
        <w:t>e</w:t>
      </w:r>
      <w:r w:rsidR="00A8403D">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aprobate de ANRE</w:t>
      </w:r>
      <w:r w:rsidR="00A8403D">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în scopul recuperării prin tarif, în valoare totală de 7,5 mil.lei</w:t>
      </w:r>
      <w:r w:rsidRPr="008376FC">
        <w:rPr>
          <w:rFonts w:asciiTheme="majorHAnsi" w:eastAsia="Times New Roman" w:hAnsiTheme="majorHAnsi" w:cstheme="majorHAnsi"/>
          <w:b w:val="0"/>
          <w:sz w:val="24"/>
          <w:szCs w:val="24"/>
          <w:vertAlign w:val="superscript"/>
        </w:rPr>
        <w:footnoteReference w:id="136"/>
      </w:r>
      <w:r w:rsidRPr="008376FC">
        <w:rPr>
          <w:rFonts w:asciiTheme="majorHAnsi" w:eastAsia="Times New Roman" w:hAnsiTheme="majorHAnsi" w:cstheme="majorHAnsi"/>
          <w:b w:val="0"/>
          <w:sz w:val="24"/>
          <w:szCs w:val="24"/>
        </w:rPr>
        <w:t>, dar tarifele nu au fost modificate din 2014</w:t>
      </w:r>
      <w:r w:rsidR="00156EB2">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la Î.M. „Apă-Canal” din Ungheni, valoarea investițiilor realizate în anii 2017-2021, acceptate pentru recuperare prin tarif</w:t>
      </w:r>
      <w:r w:rsidR="00156EB2">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a constituit 4,6 mil.lei, iar tarifele au fost modificate doar în anii 2017 și 2018</w:t>
      </w:r>
      <w:r w:rsidR="00156EB2">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la S.A. „Servicii Comunale Florești”, valoarea investițiilor realizate în anii 2017-2021, aprobate pentru includere în tarif</w:t>
      </w:r>
      <w:r w:rsidR="00156EB2">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a constituit 6,2 mil.lei, iar tarifele au fost revizuite doar în anii 2020 și 2022.</w:t>
      </w:r>
    </w:p>
    <w:p w:rsidR="004005AD" w:rsidRPr="008376FC" w:rsidRDefault="004005AD" w:rsidP="00F61756">
      <w:pPr>
        <w:spacing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b w:val="0"/>
          <w:sz w:val="24"/>
          <w:szCs w:val="24"/>
        </w:rPr>
        <w:t xml:space="preserve">Una din cauzele nivelului jos de acceptare a valorii investițiilor pentru includere în tarif este capacitatea redusă a posibilităților financiare ale întreprinderilor pentru efectuarea investițiilor majore din mijloacele proprii și împrumutate, sau efectuarea investițiilor în afara Planurilor de investiții aprobate de ANRE, care nu sunt acceptate pentru a fi recuperate prin includere în tarif.   </w:t>
      </w:r>
    </w:p>
    <w:p w:rsidR="004005AD" w:rsidRPr="008376FC" w:rsidRDefault="004005AD" w:rsidP="00F61756">
      <w:pPr>
        <w:spacing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b w:val="0"/>
          <w:sz w:val="24"/>
          <w:szCs w:val="24"/>
        </w:rPr>
        <w:t xml:space="preserve">În consecință, </w:t>
      </w:r>
      <w:r w:rsidR="009839EF">
        <w:rPr>
          <w:rFonts w:asciiTheme="majorHAnsi" w:eastAsia="Times New Roman" w:hAnsiTheme="majorHAnsi" w:cstheme="majorHAnsi"/>
          <w:b w:val="0"/>
          <w:sz w:val="24"/>
          <w:szCs w:val="24"/>
        </w:rPr>
        <w:t xml:space="preserve">o </w:t>
      </w:r>
      <w:r w:rsidRPr="008376FC">
        <w:rPr>
          <w:rFonts w:asciiTheme="majorHAnsi" w:eastAsia="Times New Roman" w:hAnsiTheme="majorHAnsi" w:cstheme="majorHAnsi"/>
          <w:b w:val="0"/>
          <w:sz w:val="24"/>
          <w:szCs w:val="24"/>
        </w:rPr>
        <w:t>mare parte d</w:t>
      </w:r>
      <w:r w:rsidR="009839EF">
        <w:rPr>
          <w:rFonts w:asciiTheme="majorHAnsi" w:eastAsia="Times New Roman" w:hAnsiTheme="majorHAnsi" w:cstheme="majorHAnsi"/>
          <w:b w:val="0"/>
          <w:sz w:val="24"/>
          <w:szCs w:val="24"/>
        </w:rPr>
        <w:t>in</w:t>
      </w:r>
      <w:r w:rsidRPr="008376FC">
        <w:rPr>
          <w:rFonts w:asciiTheme="majorHAnsi" w:eastAsia="Times New Roman" w:hAnsiTheme="majorHAnsi" w:cstheme="majorHAnsi"/>
          <w:b w:val="0"/>
          <w:sz w:val="24"/>
          <w:szCs w:val="24"/>
        </w:rPr>
        <w:t xml:space="preserve"> întreprinderi acumulează pe parcursul mai multor ani pierderi, iar unele au întrat în procedura de insolvabilitate.</w:t>
      </w:r>
    </w:p>
    <w:p w:rsidR="00A773D9" w:rsidRDefault="004005AD" w:rsidP="00DC5C28">
      <w:pPr>
        <w:spacing w:after="0"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b w:val="0"/>
          <w:sz w:val="24"/>
          <w:szCs w:val="24"/>
        </w:rPr>
        <w:t>La nivel de operatori economici, valoarea investiții</w:t>
      </w:r>
      <w:r w:rsidR="009839EF">
        <w:rPr>
          <w:rFonts w:asciiTheme="majorHAnsi" w:eastAsia="Times New Roman" w:hAnsiTheme="majorHAnsi" w:cstheme="majorHAnsi"/>
          <w:b w:val="0"/>
          <w:sz w:val="24"/>
          <w:szCs w:val="24"/>
        </w:rPr>
        <w:t>lor</w:t>
      </w:r>
      <w:r w:rsidRPr="008376FC">
        <w:rPr>
          <w:rFonts w:asciiTheme="majorHAnsi" w:eastAsia="Times New Roman" w:hAnsiTheme="majorHAnsi" w:cstheme="majorHAnsi"/>
          <w:b w:val="0"/>
          <w:sz w:val="24"/>
          <w:szCs w:val="24"/>
        </w:rPr>
        <w:t xml:space="preserve"> acceptate pentru includere în tarif</w:t>
      </w:r>
      <w:r w:rsidR="009839EF">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față de investiții</w:t>
      </w:r>
      <w:r w:rsidR="009839EF">
        <w:rPr>
          <w:rFonts w:asciiTheme="majorHAnsi" w:eastAsia="Times New Roman" w:hAnsiTheme="majorHAnsi" w:cstheme="majorHAnsi"/>
          <w:b w:val="0"/>
          <w:sz w:val="24"/>
          <w:szCs w:val="24"/>
        </w:rPr>
        <w:t>le</w:t>
      </w:r>
      <w:r w:rsidRPr="008376FC">
        <w:rPr>
          <w:rFonts w:asciiTheme="majorHAnsi" w:eastAsia="Times New Roman" w:hAnsiTheme="majorHAnsi" w:cstheme="majorHAnsi"/>
          <w:b w:val="0"/>
          <w:sz w:val="24"/>
          <w:szCs w:val="24"/>
        </w:rPr>
        <w:t xml:space="preserve"> planificate, a variat de la 0,3%</w:t>
      </w:r>
      <w:r w:rsidRPr="008376FC">
        <w:rPr>
          <w:rFonts w:asciiTheme="majorHAnsi" w:eastAsia="Times New Roman" w:hAnsiTheme="majorHAnsi" w:cstheme="majorHAnsi"/>
          <w:b w:val="0"/>
          <w:sz w:val="24"/>
          <w:szCs w:val="24"/>
          <w:vertAlign w:val="superscript"/>
        </w:rPr>
        <w:footnoteReference w:id="137"/>
      </w:r>
      <w:r w:rsidRPr="008376FC">
        <w:rPr>
          <w:rFonts w:asciiTheme="majorHAnsi" w:eastAsia="Times New Roman" w:hAnsiTheme="majorHAnsi" w:cstheme="majorHAnsi"/>
          <w:b w:val="0"/>
          <w:sz w:val="24"/>
          <w:szCs w:val="24"/>
        </w:rPr>
        <w:t xml:space="preserve"> până la 100%</w:t>
      </w:r>
      <w:r w:rsidRPr="008376FC">
        <w:rPr>
          <w:rFonts w:asciiTheme="majorHAnsi" w:eastAsia="Times New Roman" w:hAnsiTheme="majorHAnsi" w:cstheme="majorHAnsi"/>
          <w:b w:val="0"/>
          <w:sz w:val="24"/>
          <w:szCs w:val="24"/>
          <w:vertAlign w:val="superscript"/>
        </w:rPr>
        <w:footnoteReference w:id="138"/>
      </w:r>
      <w:r w:rsidRPr="008376FC">
        <w:rPr>
          <w:rFonts w:asciiTheme="majorHAnsi" w:eastAsia="Times New Roman" w:hAnsiTheme="majorHAnsi" w:cstheme="majorHAnsi"/>
          <w:b w:val="0"/>
          <w:sz w:val="24"/>
          <w:szCs w:val="24"/>
        </w:rPr>
        <w:t xml:space="preserve">. </w:t>
      </w:r>
    </w:p>
    <w:p w:rsidR="00A773D9" w:rsidRPr="008376FC" w:rsidRDefault="00A773D9" w:rsidP="00DC5C28">
      <w:pPr>
        <w:spacing w:after="0" w:line="240" w:lineRule="auto"/>
        <w:jc w:val="right"/>
        <w:rPr>
          <w:rFonts w:asciiTheme="majorHAnsi" w:eastAsia="Times New Roman" w:hAnsiTheme="majorHAnsi" w:cstheme="majorHAnsi"/>
          <w:b w:val="0"/>
          <w:sz w:val="24"/>
          <w:szCs w:val="24"/>
        </w:rPr>
      </w:pPr>
      <w:r w:rsidRPr="008376FC">
        <w:rPr>
          <w:rFonts w:asciiTheme="majorHAnsi" w:eastAsia="Times New Roman" w:hAnsiTheme="majorHAnsi" w:cstheme="majorHAnsi"/>
          <w:sz w:val="20"/>
          <w:szCs w:val="20"/>
        </w:rPr>
        <w:t xml:space="preserve">Tabelul nr. </w:t>
      </w:r>
      <w:r w:rsidR="00D91526" w:rsidRPr="008376FC">
        <w:rPr>
          <w:rFonts w:asciiTheme="majorHAnsi" w:eastAsia="Times New Roman" w:hAnsiTheme="majorHAnsi" w:cstheme="majorHAnsi"/>
          <w:sz w:val="20"/>
          <w:szCs w:val="20"/>
        </w:rPr>
        <w:t>31</w:t>
      </w:r>
    </w:p>
    <w:tbl>
      <w:tblPr>
        <w:tblStyle w:val="TableGrid7"/>
        <w:tblW w:w="9755" w:type="dxa"/>
        <w:tblLook w:val="04A0" w:firstRow="1" w:lastRow="0" w:firstColumn="1" w:lastColumn="0" w:noHBand="0" w:noVBand="1"/>
      </w:tblPr>
      <w:tblGrid>
        <w:gridCol w:w="2376"/>
        <w:gridCol w:w="1180"/>
        <w:gridCol w:w="1081"/>
        <w:gridCol w:w="968"/>
        <w:gridCol w:w="1103"/>
        <w:gridCol w:w="1242"/>
        <w:gridCol w:w="899"/>
        <w:gridCol w:w="906"/>
      </w:tblGrid>
      <w:tr w:rsidR="00400351" w:rsidRPr="008376FC" w:rsidTr="00F94EBC">
        <w:trPr>
          <w:trHeight w:val="184"/>
        </w:trPr>
        <w:tc>
          <w:tcPr>
            <w:tcW w:w="9755" w:type="dxa"/>
            <w:gridSpan w:val="8"/>
            <w:tcBorders>
              <w:top w:val="nil"/>
              <w:left w:val="nil"/>
              <w:bottom w:val="single" w:sz="4" w:space="0" w:color="auto"/>
              <w:right w:val="nil"/>
            </w:tcBorders>
            <w:shd w:val="clear" w:color="auto" w:fill="FFFFFF" w:themeFill="background1"/>
          </w:tcPr>
          <w:p w:rsidR="00400351" w:rsidRPr="008376FC" w:rsidRDefault="00400351" w:rsidP="00DC5C28">
            <w:pPr>
              <w:jc w:val="center"/>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Sinteza investițiilor acceptate pentru includere în tarif în anii 2017-2021</w:t>
            </w:r>
          </w:p>
        </w:tc>
      </w:tr>
      <w:tr w:rsidR="004005AD" w:rsidRPr="008376FC" w:rsidTr="00F94EBC">
        <w:trPr>
          <w:trHeight w:val="184"/>
        </w:trPr>
        <w:tc>
          <w:tcPr>
            <w:tcW w:w="2376" w:type="dxa"/>
            <w:vMerge w:val="restart"/>
            <w:tcBorders>
              <w:top w:val="single" w:sz="4" w:space="0" w:color="auto"/>
            </w:tcBorders>
            <w:shd w:val="clear" w:color="auto" w:fill="BDD6EE" w:themeFill="accent1" w:themeFillTint="66"/>
          </w:tcPr>
          <w:p w:rsidR="004005AD" w:rsidRPr="008376FC" w:rsidRDefault="004005AD"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Anii</w:t>
            </w:r>
          </w:p>
        </w:tc>
        <w:tc>
          <w:tcPr>
            <w:tcW w:w="7378" w:type="dxa"/>
            <w:gridSpan w:val="7"/>
            <w:tcBorders>
              <w:top w:val="single" w:sz="4" w:space="0" w:color="auto"/>
            </w:tcBorders>
            <w:shd w:val="clear" w:color="auto" w:fill="BDD6EE" w:themeFill="accent1" w:themeFillTint="66"/>
          </w:tcPr>
          <w:p w:rsidR="004005AD" w:rsidRPr="008376FC" w:rsidRDefault="004005AD"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Ponderea investițiilor realizate și acceptate pentru recuperare prin tarif în totalul investițiilor planificate</w:t>
            </w:r>
          </w:p>
        </w:tc>
      </w:tr>
      <w:tr w:rsidR="004005AD" w:rsidRPr="008376FC" w:rsidTr="00F94EBC">
        <w:trPr>
          <w:trHeight w:val="184"/>
        </w:trPr>
        <w:tc>
          <w:tcPr>
            <w:tcW w:w="2376" w:type="dxa"/>
            <w:vMerge/>
            <w:shd w:val="clear" w:color="auto" w:fill="BDD6EE" w:themeFill="accent1" w:themeFillTint="66"/>
          </w:tcPr>
          <w:p w:rsidR="004005AD" w:rsidRPr="008376FC" w:rsidRDefault="004005AD" w:rsidP="00DC5C28">
            <w:pPr>
              <w:jc w:val="both"/>
              <w:rPr>
                <w:rFonts w:asciiTheme="majorHAnsi" w:eastAsia="Times New Roman" w:hAnsiTheme="majorHAnsi" w:cstheme="majorHAnsi"/>
                <w:sz w:val="20"/>
                <w:szCs w:val="20"/>
              </w:rPr>
            </w:pPr>
          </w:p>
        </w:tc>
        <w:tc>
          <w:tcPr>
            <w:tcW w:w="1180"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≤10%</w:t>
            </w:r>
          </w:p>
        </w:tc>
        <w:tc>
          <w:tcPr>
            <w:tcW w:w="1081"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10%-20%</w:t>
            </w:r>
          </w:p>
        </w:tc>
        <w:tc>
          <w:tcPr>
            <w:tcW w:w="968"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20%-50%</w:t>
            </w:r>
          </w:p>
        </w:tc>
        <w:tc>
          <w:tcPr>
            <w:tcW w:w="1103"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50%-80%</w:t>
            </w:r>
          </w:p>
        </w:tc>
        <w:tc>
          <w:tcPr>
            <w:tcW w:w="1242"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80%- 99,9%</w:t>
            </w:r>
          </w:p>
        </w:tc>
        <w:tc>
          <w:tcPr>
            <w:tcW w:w="899"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100%</w:t>
            </w:r>
          </w:p>
        </w:tc>
        <w:tc>
          <w:tcPr>
            <w:tcW w:w="905"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Total</w:t>
            </w:r>
          </w:p>
        </w:tc>
      </w:tr>
      <w:tr w:rsidR="004005AD" w:rsidRPr="008376FC" w:rsidTr="00F94EBC">
        <w:trPr>
          <w:trHeight w:val="260"/>
        </w:trPr>
        <w:tc>
          <w:tcPr>
            <w:tcW w:w="9755" w:type="dxa"/>
            <w:gridSpan w:val="8"/>
          </w:tcPr>
          <w:p w:rsidR="004005AD" w:rsidRPr="008376FC" w:rsidRDefault="004005AD"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Valoarea investițiilor acceptate pentru includere în tarif, mil.lei</w:t>
            </w:r>
          </w:p>
        </w:tc>
      </w:tr>
      <w:tr w:rsidR="004005AD" w:rsidRPr="008376FC" w:rsidTr="00F94EBC">
        <w:trPr>
          <w:trHeight w:val="260"/>
        </w:trPr>
        <w:tc>
          <w:tcPr>
            <w:tcW w:w="2376" w:type="dxa"/>
          </w:tcPr>
          <w:p w:rsidR="004005AD" w:rsidRPr="008376FC" w:rsidRDefault="004005AD" w:rsidP="00DC5C28">
            <w:pPr>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2017</w:t>
            </w:r>
          </w:p>
        </w:tc>
        <w:tc>
          <w:tcPr>
            <w:tcW w:w="1180"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29,8</w:t>
            </w:r>
          </w:p>
        </w:tc>
        <w:tc>
          <w:tcPr>
            <w:tcW w:w="1081"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968"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103"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242"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899"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905"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29,8</w:t>
            </w:r>
          </w:p>
        </w:tc>
      </w:tr>
      <w:tr w:rsidR="004005AD" w:rsidRPr="008376FC" w:rsidTr="00F94EBC">
        <w:trPr>
          <w:trHeight w:val="251"/>
        </w:trPr>
        <w:tc>
          <w:tcPr>
            <w:tcW w:w="2376" w:type="dxa"/>
          </w:tcPr>
          <w:p w:rsidR="004005AD" w:rsidRPr="008376FC" w:rsidRDefault="004005AD" w:rsidP="00DC5C28">
            <w:pPr>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2018</w:t>
            </w:r>
          </w:p>
        </w:tc>
        <w:tc>
          <w:tcPr>
            <w:tcW w:w="1180"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0,1</w:t>
            </w:r>
          </w:p>
        </w:tc>
        <w:tc>
          <w:tcPr>
            <w:tcW w:w="1081"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1,8</w:t>
            </w:r>
          </w:p>
        </w:tc>
        <w:tc>
          <w:tcPr>
            <w:tcW w:w="968"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103"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242"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899"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905"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1,9</w:t>
            </w:r>
          </w:p>
        </w:tc>
      </w:tr>
      <w:tr w:rsidR="004005AD" w:rsidRPr="008376FC" w:rsidTr="00F94EBC">
        <w:trPr>
          <w:trHeight w:val="260"/>
        </w:trPr>
        <w:tc>
          <w:tcPr>
            <w:tcW w:w="2376" w:type="dxa"/>
          </w:tcPr>
          <w:p w:rsidR="004005AD" w:rsidRPr="008376FC" w:rsidRDefault="004005AD" w:rsidP="00DC5C28">
            <w:pPr>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2019</w:t>
            </w:r>
          </w:p>
        </w:tc>
        <w:tc>
          <w:tcPr>
            <w:tcW w:w="1180"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081"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64,7</w:t>
            </w:r>
          </w:p>
        </w:tc>
        <w:tc>
          <w:tcPr>
            <w:tcW w:w="968"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6,9</w:t>
            </w:r>
          </w:p>
        </w:tc>
        <w:tc>
          <w:tcPr>
            <w:tcW w:w="1103"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242"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899"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905"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71,6</w:t>
            </w:r>
          </w:p>
        </w:tc>
      </w:tr>
      <w:tr w:rsidR="004005AD" w:rsidRPr="008376FC" w:rsidTr="00F94EBC">
        <w:trPr>
          <w:trHeight w:val="251"/>
        </w:trPr>
        <w:tc>
          <w:tcPr>
            <w:tcW w:w="2376" w:type="dxa"/>
          </w:tcPr>
          <w:p w:rsidR="004005AD" w:rsidRPr="008376FC" w:rsidRDefault="004005AD" w:rsidP="00DC5C28">
            <w:pPr>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2020</w:t>
            </w:r>
          </w:p>
        </w:tc>
        <w:tc>
          <w:tcPr>
            <w:tcW w:w="1180"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17,7</w:t>
            </w:r>
          </w:p>
        </w:tc>
        <w:tc>
          <w:tcPr>
            <w:tcW w:w="1081"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2,4</w:t>
            </w:r>
          </w:p>
        </w:tc>
        <w:tc>
          <w:tcPr>
            <w:tcW w:w="968"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1,1</w:t>
            </w:r>
          </w:p>
        </w:tc>
        <w:tc>
          <w:tcPr>
            <w:tcW w:w="1103"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0,9</w:t>
            </w:r>
          </w:p>
        </w:tc>
        <w:tc>
          <w:tcPr>
            <w:tcW w:w="1242"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3,3</w:t>
            </w:r>
          </w:p>
        </w:tc>
        <w:tc>
          <w:tcPr>
            <w:tcW w:w="899"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0,2</w:t>
            </w:r>
          </w:p>
        </w:tc>
        <w:tc>
          <w:tcPr>
            <w:tcW w:w="905"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25,6</w:t>
            </w:r>
          </w:p>
        </w:tc>
      </w:tr>
      <w:tr w:rsidR="004005AD" w:rsidRPr="008376FC" w:rsidTr="00F94EBC">
        <w:trPr>
          <w:trHeight w:val="260"/>
        </w:trPr>
        <w:tc>
          <w:tcPr>
            <w:tcW w:w="2376" w:type="dxa"/>
          </w:tcPr>
          <w:p w:rsidR="004005AD" w:rsidRPr="008376FC" w:rsidRDefault="004005AD" w:rsidP="00DC5C28">
            <w:pPr>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2021</w:t>
            </w:r>
          </w:p>
        </w:tc>
        <w:tc>
          <w:tcPr>
            <w:tcW w:w="1180"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3,3</w:t>
            </w:r>
          </w:p>
        </w:tc>
        <w:tc>
          <w:tcPr>
            <w:tcW w:w="1081"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48,9</w:t>
            </w:r>
          </w:p>
        </w:tc>
        <w:tc>
          <w:tcPr>
            <w:tcW w:w="968"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1,2</w:t>
            </w:r>
          </w:p>
        </w:tc>
        <w:tc>
          <w:tcPr>
            <w:tcW w:w="1103"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3,3</w:t>
            </w:r>
          </w:p>
        </w:tc>
        <w:tc>
          <w:tcPr>
            <w:tcW w:w="1242"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0,8</w:t>
            </w:r>
          </w:p>
        </w:tc>
        <w:tc>
          <w:tcPr>
            <w:tcW w:w="899"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905"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57,5</w:t>
            </w:r>
          </w:p>
        </w:tc>
      </w:tr>
      <w:tr w:rsidR="004005AD" w:rsidRPr="008376FC" w:rsidTr="00F94EBC">
        <w:trPr>
          <w:trHeight w:val="260"/>
        </w:trPr>
        <w:tc>
          <w:tcPr>
            <w:tcW w:w="2376" w:type="dxa"/>
            <w:shd w:val="clear" w:color="auto" w:fill="BDD6EE" w:themeFill="accent1" w:themeFillTint="66"/>
          </w:tcPr>
          <w:p w:rsidR="004005AD" w:rsidRPr="008376FC" w:rsidRDefault="001B5B47"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T</w:t>
            </w:r>
            <w:r w:rsidR="004005AD" w:rsidRPr="008376FC">
              <w:rPr>
                <w:rFonts w:asciiTheme="majorHAnsi" w:eastAsia="Times New Roman" w:hAnsiTheme="majorHAnsi" w:cstheme="majorHAnsi"/>
                <w:sz w:val="20"/>
                <w:szCs w:val="20"/>
              </w:rPr>
              <w:t>otal</w:t>
            </w:r>
          </w:p>
        </w:tc>
        <w:tc>
          <w:tcPr>
            <w:tcW w:w="1180"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50,9</w:t>
            </w:r>
          </w:p>
        </w:tc>
        <w:tc>
          <w:tcPr>
            <w:tcW w:w="1081"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117,8</w:t>
            </w:r>
          </w:p>
        </w:tc>
        <w:tc>
          <w:tcPr>
            <w:tcW w:w="968"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9,2</w:t>
            </w:r>
          </w:p>
        </w:tc>
        <w:tc>
          <w:tcPr>
            <w:tcW w:w="1103"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4,2</w:t>
            </w:r>
          </w:p>
        </w:tc>
        <w:tc>
          <w:tcPr>
            <w:tcW w:w="1242"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4,</w:t>
            </w:r>
            <w:r w:rsidR="00A773D9" w:rsidRPr="008376FC">
              <w:rPr>
                <w:rFonts w:asciiTheme="majorHAnsi" w:eastAsia="Times New Roman" w:hAnsiTheme="majorHAnsi" w:cstheme="majorHAnsi"/>
                <w:bCs w:val="0"/>
                <w:sz w:val="20"/>
                <w:szCs w:val="20"/>
              </w:rPr>
              <w:t>1</w:t>
            </w:r>
          </w:p>
        </w:tc>
        <w:tc>
          <w:tcPr>
            <w:tcW w:w="899" w:type="dxa"/>
            <w:shd w:val="clear" w:color="auto" w:fill="BDD6EE" w:themeFill="accent1" w:themeFillTint="66"/>
          </w:tcPr>
          <w:p w:rsidR="004005AD" w:rsidRPr="008376FC" w:rsidRDefault="004005AD" w:rsidP="00DC5C28">
            <w:pPr>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0,2</w:t>
            </w:r>
          </w:p>
        </w:tc>
        <w:tc>
          <w:tcPr>
            <w:tcW w:w="905" w:type="dxa"/>
            <w:shd w:val="clear" w:color="auto" w:fill="BDD6EE" w:themeFill="accent1" w:themeFillTint="66"/>
          </w:tcPr>
          <w:p w:rsidR="004005AD" w:rsidRPr="008376FC" w:rsidRDefault="00A773D9" w:rsidP="00DC5C28">
            <w:pPr>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bCs w:val="0"/>
                <w:sz w:val="20"/>
                <w:szCs w:val="20"/>
              </w:rPr>
              <w:t>186,4</w:t>
            </w:r>
          </w:p>
        </w:tc>
      </w:tr>
      <w:tr w:rsidR="004005AD" w:rsidRPr="008376FC" w:rsidTr="00F94EBC">
        <w:trPr>
          <w:trHeight w:val="260"/>
        </w:trPr>
        <w:tc>
          <w:tcPr>
            <w:tcW w:w="9755" w:type="dxa"/>
            <w:gridSpan w:val="8"/>
          </w:tcPr>
          <w:p w:rsidR="004005AD" w:rsidRPr="008376FC" w:rsidRDefault="004005AD" w:rsidP="00DC5C28">
            <w:pPr>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Numărul întreprinderilor</w:t>
            </w:r>
          </w:p>
        </w:tc>
      </w:tr>
      <w:tr w:rsidR="004005AD" w:rsidRPr="008376FC" w:rsidTr="00F94EBC">
        <w:trPr>
          <w:trHeight w:val="260"/>
        </w:trPr>
        <w:tc>
          <w:tcPr>
            <w:tcW w:w="2376" w:type="dxa"/>
          </w:tcPr>
          <w:p w:rsidR="004005AD" w:rsidRPr="008376FC" w:rsidRDefault="004005AD" w:rsidP="00DC5C28">
            <w:pPr>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2017</w:t>
            </w:r>
          </w:p>
        </w:tc>
        <w:tc>
          <w:tcPr>
            <w:tcW w:w="1180"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p>
        </w:tc>
        <w:tc>
          <w:tcPr>
            <w:tcW w:w="1081"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968"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103"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242"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899"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905"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p>
        </w:tc>
      </w:tr>
      <w:tr w:rsidR="004005AD" w:rsidRPr="008376FC" w:rsidTr="00F94EBC">
        <w:trPr>
          <w:trHeight w:val="260"/>
        </w:trPr>
        <w:tc>
          <w:tcPr>
            <w:tcW w:w="2376" w:type="dxa"/>
          </w:tcPr>
          <w:p w:rsidR="004005AD" w:rsidRPr="008376FC" w:rsidRDefault="004005AD" w:rsidP="00DC5C28">
            <w:pPr>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2018</w:t>
            </w:r>
          </w:p>
        </w:tc>
        <w:tc>
          <w:tcPr>
            <w:tcW w:w="1180"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w:t>
            </w:r>
          </w:p>
        </w:tc>
        <w:tc>
          <w:tcPr>
            <w:tcW w:w="1081"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w:t>
            </w:r>
          </w:p>
        </w:tc>
        <w:tc>
          <w:tcPr>
            <w:tcW w:w="968"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103"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242"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899"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905"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w:t>
            </w:r>
          </w:p>
        </w:tc>
      </w:tr>
      <w:tr w:rsidR="004005AD" w:rsidRPr="008376FC" w:rsidTr="00F94EBC">
        <w:trPr>
          <w:trHeight w:val="260"/>
        </w:trPr>
        <w:tc>
          <w:tcPr>
            <w:tcW w:w="2376" w:type="dxa"/>
          </w:tcPr>
          <w:p w:rsidR="004005AD" w:rsidRPr="008376FC" w:rsidRDefault="004005AD" w:rsidP="00DC5C28">
            <w:pPr>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2019</w:t>
            </w:r>
          </w:p>
        </w:tc>
        <w:tc>
          <w:tcPr>
            <w:tcW w:w="1180"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081"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w:t>
            </w:r>
          </w:p>
        </w:tc>
        <w:tc>
          <w:tcPr>
            <w:tcW w:w="968"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6</w:t>
            </w:r>
          </w:p>
        </w:tc>
        <w:tc>
          <w:tcPr>
            <w:tcW w:w="1103"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1242"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899" w:type="dxa"/>
          </w:tcPr>
          <w:p w:rsidR="004005AD" w:rsidRPr="008376FC" w:rsidRDefault="004005AD" w:rsidP="00DC5C28">
            <w:pPr>
              <w:jc w:val="both"/>
              <w:rPr>
                <w:rFonts w:asciiTheme="majorHAnsi" w:eastAsia="Times New Roman" w:hAnsiTheme="majorHAnsi" w:cstheme="majorHAnsi"/>
                <w:b w:val="0"/>
                <w:bCs w:val="0"/>
                <w:sz w:val="20"/>
                <w:szCs w:val="20"/>
              </w:rPr>
            </w:pPr>
          </w:p>
        </w:tc>
        <w:tc>
          <w:tcPr>
            <w:tcW w:w="905" w:type="dxa"/>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8</w:t>
            </w:r>
          </w:p>
        </w:tc>
      </w:tr>
      <w:tr w:rsidR="004005AD" w:rsidRPr="008376FC" w:rsidTr="00F94EBC">
        <w:trPr>
          <w:trHeight w:val="260"/>
        </w:trPr>
        <w:tc>
          <w:tcPr>
            <w:tcW w:w="2376"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2020</w:t>
            </w:r>
          </w:p>
        </w:tc>
        <w:tc>
          <w:tcPr>
            <w:tcW w:w="1180"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p>
        </w:tc>
        <w:tc>
          <w:tcPr>
            <w:tcW w:w="1081"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p>
        </w:tc>
        <w:tc>
          <w:tcPr>
            <w:tcW w:w="968"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p>
        </w:tc>
        <w:tc>
          <w:tcPr>
            <w:tcW w:w="1103"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w:t>
            </w:r>
          </w:p>
        </w:tc>
        <w:tc>
          <w:tcPr>
            <w:tcW w:w="1242"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w:t>
            </w:r>
          </w:p>
        </w:tc>
        <w:tc>
          <w:tcPr>
            <w:tcW w:w="899"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w:t>
            </w:r>
          </w:p>
        </w:tc>
        <w:tc>
          <w:tcPr>
            <w:tcW w:w="905"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13</w:t>
            </w:r>
          </w:p>
        </w:tc>
      </w:tr>
      <w:tr w:rsidR="004005AD" w:rsidRPr="008376FC" w:rsidTr="00F94EBC">
        <w:trPr>
          <w:trHeight w:val="260"/>
        </w:trPr>
        <w:tc>
          <w:tcPr>
            <w:tcW w:w="2376"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2021</w:t>
            </w:r>
          </w:p>
        </w:tc>
        <w:tc>
          <w:tcPr>
            <w:tcW w:w="1180"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w:t>
            </w:r>
          </w:p>
        </w:tc>
        <w:tc>
          <w:tcPr>
            <w:tcW w:w="1081"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p>
        </w:tc>
        <w:tc>
          <w:tcPr>
            <w:tcW w:w="968"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p>
        </w:tc>
        <w:tc>
          <w:tcPr>
            <w:tcW w:w="1103"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p>
        </w:tc>
        <w:tc>
          <w:tcPr>
            <w:tcW w:w="1242"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w:t>
            </w:r>
          </w:p>
        </w:tc>
        <w:tc>
          <w:tcPr>
            <w:tcW w:w="899"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p>
        </w:tc>
        <w:tc>
          <w:tcPr>
            <w:tcW w:w="905" w:type="dxa"/>
            <w:tcBorders>
              <w:bottom w:val="single" w:sz="4" w:space="0" w:color="auto"/>
            </w:tcBorders>
          </w:tcPr>
          <w:p w:rsidR="004005AD" w:rsidRPr="008376FC" w:rsidRDefault="004005AD" w:rsidP="00DC5C28">
            <w:pPr>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13</w:t>
            </w:r>
          </w:p>
        </w:tc>
      </w:tr>
      <w:tr w:rsidR="00150287" w:rsidRPr="008376FC" w:rsidTr="00F94EBC">
        <w:trPr>
          <w:trHeight w:val="260"/>
        </w:trPr>
        <w:tc>
          <w:tcPr>
            <w:tcW w:w="9755" w:type="dxa"/>
            <w:gridSpan w:val="8"/>
            <w:tcBorders>
              <w:top w:val="single" w:sz="4" w:space="0" w:color="auto"/>
              <w:left w:val="nil"/>
              <w:bottom w:val="nil"/>
              <w:right w:val="nil"/>
            </w:tcBorders>
          </w:tcPr>
          <w:p w:rsidR="00150287" w:rsidRPr="008376FC" w:rsidRDefault="00150287" w:rsidP="00DC5C28">
            <w:pPr>
              <w:jc w:val="both"/>
              <w:rPr>
                <w:rFonts w:asciiTheme="majorHAnsi" w:eastAsia="Times New Roman" w:hAnsiTheme="majorHAnsi" w:cstheme="majorHAnsi"/>
                <w:b w:val="0"/>
                <w:bCs w:val="0"/>
                <w:sz w:val="20"/>
                <w:szCs w:val="20"/>
              </w:rPr>
            </w:pPr>
            <w:r w:rsidRPr="00A663EC">
              <w:rPr>
                <w:rFonts w:asciiTheme="majorHAnsi" w:eastAsia="Times New Roman" w:hAnsiTheme="majorHAnsi" w:cstheme="majorHAnsi"/>
                <w:bCs w:val="0"/>
                <w:i/>
                <w:sz w:val="20"/>
                <w:szCs w:val="20"/>
              </w:rPr>
              <w:t>Sursa:</w:t>
            </w:r>
            <w:r w:rsidRPr="00A663EC">
              <w:rPr>
                <w:rFonts w:asciiTheme="majorHAnsi" w:eastAsia="Times New Roman" w:hAnsiTheme="majorHAnsi" w:cstheme="majorHAnsi"/>
                <w:b w:val="0"/>
                <w:i/>
                <w:sz w:val="20"/>
                <w:szCs w:val="20"/>
              </w:rPr>
              <w:t xml:space="preserve"> Date</w:t>
            </w:r>
            <w:r w:rsidR="009839EF">
              <w:rPr>
                <w:rFonts w:asciiTheme="majorHAnsi" w:eastAsia="Times New Roman" w:hAnsiTheme="majorHAnsi" w:cstheme="majorHAnsi"/>
                <w:b w:val="0"/>
                <w:i/>
                <w:sz w:val="20"/>
                <w:szCs w:val="20"/>
              </w:rPr>
              <w:t xml:space="preserve"> oferite d</w:t>
            </w:r>
            <w:r w:rsidRPr="00A663EC">
              <w:rPr>
                <w:rFonts w:asciiTheme="majorHAnsi" w:eastAsia="Times New Roman" w:hAnsiTheme="majorHAnsi" w:cstheme="majorHAnsi"/>
                <w:b w:val="0"/>
                <w:i/>
                <w:sz w:val="20"/>
                <w:szCs w:val="20"/>
              </w:rPr>
              <w:t>e ANRE</w:t>
            </w:r>
            <w:r w:rsidRPr="008376FC">
              <w:rPr>
                <w:rFonts w:asciiTheme="majorHAnsi" w:eastAsia="Times New Roman" w:hAnsiTheme="majorHAnsi" w:cstheme="majorHAnsi"/>
                <w:b w:val="0"/>
                <w:sz w:val="20"/>
                <w:szCs w:val="20"/>
              </w:rPr>
              <w:t>.</w:t>
            </w:r>
          </w:p>
        </w:tc>
      </w:tr>
    </w:tbl>
    <w:p w:rsidR="00D50A23" w:rsidRPr="008376FC" w:rsidRDefault="00D50A23" w:rsidP="00F61756">
      <w:pPr>
        <w:spacing w:after="0" w:line="276" w:lineRule="auto"/>
        <w:jc w:val="both"/>
        <w:rPr>
          <w:rFonts w:asciiTheme="majorHAnsi" w:eastAsia="Times New Roman" w:hAnsiTheme="majorHAnsi" w:cstheme="majorHAnsi"/>
          <w:b w:val="0"/>
          <w:bCs w:val="0"/>
          <w:sz w:val="24"/>
          <w:szCs w:val="24"/>
        </w:rPr>
      </w:pPr>
    </w:p>
    <w:p w:rsidR="004005AD" w:rsidRPr="008376FC" w:rsidRDefault="004005AD" w:rsidP="00F61756">
      <w:pPr>
        <w:spacing w:after="0" w:line="276" w:lineRule="auto"/>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Nerevizuirea periodică a tarifelor, sau nesubvenționarea diferenței de tarif</w:t>
      </w:r>
      <w:r w:rsidRPr="008376FC">
        <w:rPr>
          <w:rFonts w:asciiTheme="majorHAnsi" w:eastAsia="Times New Roman" w:hAnsiTheme="majorHAnsi" w:cstheme="majorHAnsi"/>
          <w:b w:val="0"/>
          <w:bCs w:val="0"/>
          <w:sz w:val="24"/>
          <w:szCs w:val="24"/>
          <w:vertAlign w:val="superscript"/>
        </w:rPr>
        <w:footnoteReference w:id="139"/>
      </w:r>
      <w:r w:rsidRPr="008376FC">
        <w:rPr>
          <w:rFonts w:asciiTheme="majorHAnsi" w:eastAsia="Times New Roman" w:hAnsiTheme="majorHAnsi" w:cstheme="majorHAnsi"/>
          <w:b w:val="0"/>
          <w:bCs w:val="0"/>
          <w:sz w:val="24"/>
          <w:szCs w:val="24"/>
        </w:rPr>
        <w:t xml:space="preserve">, a condiționat creșterea continuă a pierderilor, a gradului de îndatorare și înregistrarea capitalului negativ de către unele întreprinderi. Iar în legătură cu starea fizică și morală degradată a utilajelor antrenate în procesul de producere a serviciilor publice de alimentare cu apă și canalizare, este necesară demararea de urgență a investițiilor semnificative, inclusiv pentru reabilitarea sistemelor construite pe timpurile sovietice. </w:t>
      </w:r>
    </w:p>
    <w:p w:rsidR="009F65A9" w:rsidRPr="008376FC" w:rsidRDefault="009F65A9" w:rsidP="00F61756">
      <w:pPr>
        <w:spacing w:line="276" w:lineRule="auto"/>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Totodată, pentru operatorii apă-canal care înregistrează pierderi supranormate, ar fi oportun să fie elaborat un Plan de măsuri (pe termen scurt, mediu sau lung) cu stabilirea indicatorilor</w:t>
      </w:r>
      <w:r w:rsidR="00482C90">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ţintă pentru reducerea anuală a pierderilor de apă, cu crearea unui mecanism stimulent în cazul în care țintele sunt atinse, de exem</w:t>
      </w:r>
      <w:r w:rsidR="00482C90">
        <w:rPr>
          <w:rFonts w:asciiTheme="majorHAnsi" w:eastAsia="Times New Roman" w:hAnsiTheme="majorHAnsi" w:cstheme="majorHAnsi"/>
          <w:b w:val="0"/>
          <w:bCs w:val="0"/>
          <w:sz w:val="24"/>
          <w:szCs w:val="24"/>
        </w:rPr>
        <w:t>p</w:t>
      </w:r>
      <w:r w:rsidRPr="008376FC">
        <w:rPr>
          <w:rFonts w:asciiTheme="majorHAnsi" w:eastAsia="Times New Roman" w:hAnsiTheme="majorHAnsi" w:cstheme="majorHAnsi"/>
          <w:b w:val="0"/>
          <w:bCs w:val="0"/>
          <w:sz w:val="24"/>
          <w:szCs w:val="24"/>
        </w:rPr>
        <w:t>lu</w:t>
      </w:r>
      <w:r w:rsidR="00482C90">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majorarea mărimii rentabilitații cu o rată fix</w:t>
      </w:r>
      <w:r w:rsidR="00482C90">
        <w:rPr>
          <w:rFonts w:asciiTheme="majorHAnsi" w:eastAsia="Times New Roman" w:hAnsiTheme="majorHAnsi" w:cstheme="majorHAnsi"/>
          <w:b w:val="0"/>
          <w:bCs w:val="0"/>
          <w:sz w:val="24"/>
          <w:szCs w:val="24"/>
        </w:rPr>
        <w:t>ă</w:t>
      </w:r>
      <w:r w:rsidRPr="008376FC">
        <w:rPr>
          <w:rFonts w:asciiTheme="majorHAnsi" w:eastAsia="Times New Roman" w:hAnsiTheme="majorHAnsi" w:cstheme="majorHAnsi"/>
          <w:b w:val="0"/>
          <w:bCs w:val="0"/>
          <w:sz w:val="24"/>
          <w:szCs w:val="24"/>
        </w:rPr>
        <w:t>, și diminuare</w:t>
      </w:r>
      <w:r w:rsidR="00482C90">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z w:val="24"/>
          <w:szCs w:val="24"/>
        </w:rPr>
        <w:t xml:space="preserve"> ei în cazurile în care țintele nu vot fi atinse</w:t>
      </w:r>
      <w:r w:rsidRPr="0057429D">
        <w:rPr>
          <w:rFonts w:asciiTheme="majorHAnsi" w:eastAsia="Times New Roman" w:hAnsiTheme="majorHAnsi" w:cstheme="majorHAnsi"/>
          <w:b w:val="0"/>
          <w:bCs w:val="0"/>
          <w:sz w:val="24"/>
          <w:szCs w:val="24"/>
        </w:rPr>
        <w:t xml:space="preserve">. </w:t>
      </w:r>
      <w:r w:rsidR="00482C90" w:rsidRPr="0057429D">
        <w:rPr>
          <w:rFonts w:asciiTheme="majorHAnsi" w:eastAsia="Times New Roman" w:hAnsiTheme="majorHAnsi" w:cstheme="majorHAnsi"/>
          <w:b w:val="0"/>
          <w:bCs w:val="0"/>
          <w:sz w:val="24"/>
          <w:szCs w:val="24"/>
        </w:rPr>
        <w:t>Î</w:t>
      </w:r>
      <w:r w:rsidRPr="0057429D">
        <w:rPr>
          <w:rFonts w:asciiTheme="majorHAnsi" w:eastAsia="Times New Roman" w:hAnsiTheme="majorHAnsi" w:cstheme="majorHAnsi"/>
          <w:b w:val="0"/>
          <w:bCs w:val="0"/>
          <w:sz w:val="24"/>
          <w:szCs w:val="24"/>
        </w:rPr>
        <w:t>n privinţa cre</w:t>
      </w:r>
      <w:r w:rsidR="00482C90" w:rsidRPr="0057429D">
        <w:rPr>
          <w:rFonts w:asciiTheme="majorHAnsi" w:eastAsia="Times New Roman" w:hAnsiTheme="majorHAnsi" w:cstheme="majorHAnsi"/>
          <w:b w:val="0"/>
          <w:bCs w:val="0"/>
          <w:sz w:val="24"/>
          <w:szCs w:val="24"/>
        </w:rPr>
        <w:t>ă</w:t>
      </w:r>
      <w:r w:rsidRPr="0057429D">
        <w:rPr>
          <w:rFonts w:asciiTheme="majorHAnsi" w:eastAsia="Times New Roman" w:hAnsiTheme="majorHAnsi" w:cstheme="majorHAnsi"/>
          <w:b w:val="0"/>
          <w:bCs w:val="0"/>
          <w:sz w:val="24"/>
          <w:szCs w:val="24"/>
        </w:rPr>
        <w:t>rii si</w:t>
      </w:r>
      <w:r w:rsidR="00482C90" w:rsidRPr="0057429D">
        <w:rPr>
          <w:rFonts w:asciiTheme="majorHAnsi" w:eastAsia="Times New Roman" w:hAnsiTheme="majorHAnsi" w:cstheme="majorHAnsi"/>
          <w:b w:val="0"/>
          <w:bCs w:val="0"/>
          <w:sz w:val="24"/>
          <w:szCs w:val="24"/>
        </w:rPr>
        <w:t>s</w:t>
      </w:r>
      <w:r w:rsidRPr="0057429D">
        <w:rPr>
          <w:rFonts w:asciiTheme="majorHAnsi" w:eastAsia="Times New Roman" w:hAnsiTheme="majorHAnsi" w:cstheme="majorHAnsi"/>
          <w:b w:val="0"/>
          <w:bCs w:val="0"/>
          <w:sz w:val="24"/>
          <w:szCs w:val="24"/>
        </w:rPr>
        <w:t xml:space="preserve">temelor </w:t>
      </w:r>
      <w:r w:rsidR="00A72D48" w:rsidRPr="0057429D">
        <w:rPr>
          <w:rFonts w:asciiTheme="majorHAnsi" w:eastAsia="Times New Roman" w:hAnsiTheme="majorHAnsi" w:cstheme="majorHAnsi"/>
          <w:b w:val="0"/>
          <w:bCs w:val="0"/>
          <w:sz w:val="24"/>
          <w:szCs w:val="24"/>
        </w:rPr>
        <w:t>de alimentare cu apă și canalizare noi</w:t>
      </w:r>
      <w:r w:rsidRPr="0057429D">
        <w:rPr>
          <w:rFonts w:asciiTheme="majorHAnsi" w:eastAsia="Times New Roman" w:hAnsiTheme="majorHAnsi" w:cstheme="majorHAnsi"/>
          <w:b w:val="0"/>
          <w:bCs w:val="0"/>
          <w:sz w:val="24"/>
          <w:szCs w:val="24"/>
        </w:rPr>
        <w:t xml:space="preserve"> şi soluţii</w:t>
      </w:r>
      <w:r w:rsidR="008C182D" w:rsidRPr="0057429D">
        <w:rPr>
          <w:rFonts w:asciiTheme="majorHAnsi" w:eastAsia="Times New Roman" w:hAnsiTheme="majorHAnsi" w:cstheme="majorHAnsi"/>
          <w:b w:val="0"/>
          <w:bCs w:val="0"/>
          <w:sz w:val="24"/>
          <w:szCs w:val="24"/>
        </w:rPr>
        <w:t>lor</w:t>
      </w:r>
      <w:r w:rsidRPr="0057429D">
        <w:rPr>
          <w:rFonts w:asciiTheme="majorHAnsi" w:eastAsia="Times New Roman" w:hAnsiTheme="majorHAnsi" w:cstheme="majorHAnsi"/>
          <w:b w:val="0"/>
          <w:bCs w:val="0"/>
          <w:sz w:val="24"/>
          <w:szCs w:val="24"/>
        </w:rPr>
        <w:t xml:space="preserve"> pentru sistemele vechi în vederea </w:t>
      </w:r>
      <w:r w:rsidR="002E2935" w:rsidRPr="0057429D">
        <w:rPr>
          <w:rFonts w:asciiTheme="majorHAnsi" w:eastAsia="Times New Roman" w:hAnsiTheme="majorHAnsi" w:cstheme="majorHAnsi"/>
          <w:b w:val="0"/>
          <w:bCs w:val="0"/>
          <w:sz w:val="24"/>
          <w:szCs w:val="24"/>
        </w:rPr>
        <w:t xml:space="preserve">diminuării </w:t>
      </w:r>
      <w:r w:rsidRPr="0057429D">
        <w:rPr>
          <w:rFonts w:asciiTheme="majorHAnsi" w:eastAsia="Times New Roman" w:hAnsiTheme="majorHAnsi" w:cstheme="majorHAnsi"/>
          <w:b w:val="0"/>
          <w:bCs w:val="0"/>
          <w:sz w:val="24"/>
          <w:szCs w:val="24"/>
        </w:rPr>
        <w:t>p</w:t>
      </w:r>
      <w:r w:rsidR="002E2935" w:rsidRPr="0057429D">
        <w:rPr>
          <w:rFonts w:asciiTheme="majorHAnsi" w:eastAsia="Times New Roman" w:hAnsiTheme="majorHAnsi" w:cstheme="majorHAnsi"/>
          <w:b w:val="0"/>
          <w:bCs w:val="0"/>
          <w:sz w:val="24"/>
          <w:szCs w:val="24"/>
        </w:rPr>
        <w:t>i</w:t>
      </w:r>
      <w:r w:rsidRPr="0057429D">
        <w:rPr>
          <w:rFonts w:asciiTheme="majorHAnsi" w:eastAsia="Times New Roman" w:hAnsiTheme="majorHAnsi" w:cstheme="majorHAnsi"/>
          <w:b w:val="0"/>
          <w:bCs w:val="0"/>
          <w:sz w:val="24"/>
          <w:szCs w:val="24"/>
        </w:rPr>
        <w:t>erderilor</w:t>
      </w:r>
      <w:r w:rsidR="00A72D48" w:rsidRPr="0057429D">
        <w:rPr>
          <w:rFonts w:asciiTheme="majorHAnsi" w:eastAsia="Times New Roman" w:hAnsiTheme="majorHAnsi" w:cstheme="majorHAnsi"/>
          <w:b w:val="0"/>
          <w:bCs w:val="0"/>
          <w:sz w:val="24"/>
          <w:szCs w:val="24"/>
        </w:rPr>
        <w:t xml:space="preserve"> de apă</w:t>
      </w:r>
      <w:r w:rsidRPr="0057429D">
        <w:rPr>
          <w:rFonts w:asciiTheme="majorHAnsi" w:eastAsia="Times New Roman" w:hAnsiTheme="majorHAnsi" w:cstheme="majorHAnsi"/>
          <w:b w:val="0"/>
          <w:bCs w:val="0"/>
          <w:sz w:val="24"/>
          <w:szCs w:val="24"/>
        </w:rPr>
        <w:t>, precum elabor</w:t>
      </w:r>
      <w:r w:rsidR="00E74026" w:rsidRPr="0057429D">
        <w:rPr>
          <w:rFonts w:asciiTheme="majorHAnsi" w:eastAsia="Times New Roman" w:hAnsiTheme="majorHAnsi" w:cstheme="majorHAnsi"/>
          <w:b w:val="0"/>
          <w:bCs w:val="0"/>
          <w:sz w:val="24"/>
          <w:szCs w:val="24"/>
        </w:rPr>
        <w:t>ării</w:t>
      </w:r>
      <w:r w:rsidRPr="0057429D">
        <w:rPr>
          <w:rFonts w:asciiTheme="majorHAnsi" w:eastAsia="Times New Roman" w:hAnsiTheme="majorHAnsi" w:cstheme="majorHAnsi"/>
          <w:b w:val="0"/>
          <w:bCs w:val="0"/>
          <w:sz w:val="24"/>
          <w:szCs w:val="24"/>
        </w:rPr>
        <w:t xml:space="preserve"> şi implement</w:t>
      </w:r>
      <w:r w:rsidR="00E74026" w:rsidRPr="0057429D">
        <w:rPr>
          <w:rFonts w:asciiTheme="majorHAnsi" w:eastAsia="Times New Roman" w:hAnsiTheme="majorHAnsi" w:cstheme="majorHAnsi"/>
          <w:b w:val="0"/>
          <w:bCs w:val="0"/>
          <w:sz w:val="24"/>
          <w:szCs w:val="24"/>
        </w:rPr>
        <w:t>ării</w:t>
      </w:r>
      <w:r w:rsidRPr="0057429D">
        <w:rPr>
          <w:rFonts w:asciiTheme="majorHAnsi" w:eastAsia="Times New Roman" w:hAnsiTheme="majorHAnsi" w:cstheme="majorHAnsi"/>
          <w:b w:val="0"/>
          <w:bCs w:val="0"/>
          <w:sz w:val="24"/>
          <w:szCs w:val="24"/>
        </w:rPr>
        <w:t xml:space="preserve"> măsurilor în vederea identificării scurgerilor ascunse, limit</w:t>
      </w:r>
      <w:r w:rsidR="00E74026" w:rsidRPr="0057429D">
        <w:rPr>
          <w:rFonts w:asciiTheme="majorHAnsi" w:eastAsia="Times New Roman" w:hAnsiTheme="majorHAnsi" w:cstheme="majorHAnsi"/>
          <w:b w:val="0"/>
          <w:bCs w:val="0"/>
          <w:sz w:val="24"/>
          <w:szCs w:val="24"/>
        </w:rPr>
        <w:t>ării</w:t>
      </w:r>
      <w:r w:rsidRPr="0057429D">
        <w:rPr>
          <w:rFonts w:asciiTheme="majorHAnsi" w:eastAsia="Times New Roman" w:hAnsiTheme="majorHAnsi" w:cstheme="majorHAnsi"/>
          <w:b w:val="0"/>
          <w:bCs w:val="0"/>
          <w:sz w:val="24"/>
          <w:szCs w:val="24"/>
        </w:rPr>
        <w:t xml:space="preserve"> furturilor de apă, investiţii în modernizarea infrastructurii de apă şi canalizare,</w:t>
      </w:r>
      <w:r w:rsidR="00A72D48" w:rsidRPr="0057429D">
        <w:rPr>
          <w:rFonts w:asciiTheme="majorHAnsi" w:eastAsia="Times New Roman" w:hAnsiTheme="majorHAnsi" w:cstheme="majorHAnsi"/>
          <w:b w:val="0"/>
          <w:bCs w:val="0"/>
          <w:sz w:val="24"/>
          <w:szCs w:val="24"/>
        </w:rPr>
        <w:t xml:space="preserve"> este oportună</w:t>
      </w:r>
      <w:r w:rsidRPr="0057429D">
        <w:rPr>
          <w:rFonts w:asciiTheme="majorHAnsi" w:eastAsia="Times New Roman" w:hAnsiTheme="majorHAnsi" w:cstheme="majorHAnsi"/>
          <w:b w:val="0"/>
          <w:bCs w:val="0"/>
          <w:sz w:val="24"/>
          <w:szCs w:val="24"/>
        </w:rPr>
        <w:t xml:space="preserve"> implementarea sistemului SCADA de monitorizare a scurgerilor </w:t>
      </w:r>
      <w:r w:rsidR="00A72D48" w:rsidRPr="0057429D">
        <w:rPr>
          <w:rFonts w:asciiTheme="majorHAnsi" w:eastAsia="Times New Roman" w:hAnsiTheme="majorHAnsi" w:cstheme="majorHAnsi"/>
          <w:b w:val="0"/>
          <w:bCs w:val="0"/>
          <w:sz w:val="24"/>
          <w:szCs w:val="24"/>
        </w:rPr>
        <w:t xml:space="preserve"> și aplicarea altor bune practici în domeniu. </w:t>
      </w:r>
    </w:p>
    <w:p w:rsidR="004005AD" w:rsidRPr="008376FC" w:rsidRDefault="00D50A23" w:rsidP="00F61756">
      <w:pPr>
        <w:pStyle w:val="a3"/>
        <w:widowControl w:val="0"/>
        <w:numPr>
          <w:ilvl w:val="2"/>
          <w:numId w:val="73"/>
        </w:numPr>
        <w:tabs>
          <w:tab w:val="left" w:pos="567"/>
          <w:tab w:val="left" w:pos="709"/>
          <w:tab w:val="left" w:pos="851"/>
        </w:tabs>
        <w:autoSpaceDE w:val="0"/>
        <w:autoSpaceDN w:val="0"/>
        <w:spacing w:before="120" w:line="276" w:lineRule="auto"/>
        <w:ind w:right="112"/>
        <w:jc w:val="both"/>
        <w:rPr>
          <w:rFonts w:asciiTheme="majorHAnsi" w:hAnsiTheme="majorHAnsi" w:cstheme="majorHAnsi"/>
          <w:b/>
          <w:color w:val="0070C0"/>
          <w:lang w:val="en-US"/>
        </w:rPr>
      </w:pPr>
      <w:r w:rsidRPr="008376FC">
        <w:rPr>
          <w:rFonts w:asciiTheme="majorHAnsi" w:hAnsiTheme="majorHAnsi" w:cstheme="majorHAnsi"/>
          <w:color w:val="0070C0"/>
          <w:lang w:val="ro-RO"/>
        </w:rPr>
        <w:t xml:space="preserve"> </w:t>
      </w:r>
      <w:r w:rsidR="004005AD" w:rsidRPr="008376FC">
        <w:rPr>
          <w:rFonts w:asciiTheme="majorHAnsi" w:hAnsiTheme="majorHAnsi" w:cstheme="majorHAnsi"/>
          <w:b/>
          <w:color w:val="0070C0"/>
          <w:lang w:val="en-US"/>
        </w:rPr>
        <w:t>La finele anului 2021, 4 întreprinderi au înregistrat pierderi brute din vânzări</w:t>
      </w:r>
      <w:r w:rsidR="00E74026">
        <w:rPr>
          <w:rFonts w:asciiTheme="majorHAnsi" w:hAnsiTheme="majorHAnsi" w:cstheme="majorHAnsi"/>
          <w:b/>
          <w:color w:val="0070C0"/>
          <w:lang w:val="en-US"/>
        </w:rPr>
        <w:t>.</w:t>
      </w:r>
    </w:p>
    <w:p w:rsidR="004005AD" w:rsidRPr="008376FC" w:rsidRDefault="004005AD" w:rsidP="00F61756">
      <w:pPr>
        <w:widowControl w:val="0"/>
        <w:tabs>
          <w:tab w:val="left" w:pos="709"/>
          <w:tab w:val="left" w:pos="851"/>
        </w:tabs>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Analiza veniturilor din v</w:t>
      </w:r>
      <w:r w:rsidR="00E74026">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nzări</w:t>
      </w:r>
      <w:r w:rsidR="00E74026">
        <w:rPr>
          <w:rFonts w:asciiTheme="majorHAnsi" w:eastAsia="Times New Roman" w:hAnsiTheme="majorHAnsi" w:cstheme="majorHAnsi"/>
          <w:b w:val="0"/>
          <w:bCs w:val="0"/>
          <w:sz w:val="24"/>
          <w:szCs w:val="24"/>
        </w:rPr>
        <w:t>le</w:t>
      </w:r>
      <w:r w:rsidRPr="008376FC">
        <w:rPr>
          <w:rFonts w:asciiTheme="majorHAnsi" w:eastAsia="Times New Roman" w:hAnsiTheme="majorHAnsi" w:cstheme="majorHAnsi"/>
          <w:b w:val="0"/>
          <w:bCs w:val="0"/>
          <w:sz w:val="24"/>
          <w:szCs w:val="24"/>
        </w:rPr>
        <w:t xml:space="preserve"> realizate în anii 2014-2021 </w:t>
      </w:r>
      <w:r w:rsidR="00E74026">
        <w:rPr>
          <w:rFonts w:asciiTheme="majorHAnsi" w:eastAsia="Times New Roman" w:hAnsiTheme="majorHAnsi" w:cstheme="majorHAnsi"/>
          <w:b w:val="0"/>
          <w:bCs w:val="0"/>
          <w:sz w:val="24"/>
          <w:szCs w:val="24"/>
        </w:rPr>
        <w:t>relevă</w:t>
      </w:r>
      <w:r w:rsidRPr="008376FC">
        <w:rPr>
          <w:rFonts w:asciiTheme="majorHAnsi" w:eastAsia="Times New Roman" w:hAnsiTheme="majorHAnsi" w:cstheme="majorHAnsi"/>
          <w:b w:val="0"/>
          <w:bCs w:val="0"/>
          <w:sz w:val="24"/>
          <w:szCs w:val="24"/>
        </w:rPr>
        <w:t xml:space="preserve"> că acestea au crescut de la 912,6 mil.lei în 2014 la 1</w:t>
      </w:r>
      <w:r w:rsidR="00E74026">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171,6 mil.lei</w:t>
      </w:r>
      <w:r w:rsidR="00E74026">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sau cu 28,4% în 2021. Costurile vânzărilor de asemenea sunt în creștere</w:t>
      </w:r>
      <w:r w:rsidR="00E74026">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de la 693,7 mil.lei p</w:t>
      </w:r>
      <w:r w:rsidR="00E74026">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nă la 899,1 mil.lei</w:t>
      </w:r>
      <w:r w:rsidR="00E74026">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sau cu 29,6%, iar profiturile </w:t>
      </w:r>
      <w:r w:rsidR="00E74026">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de la 221,4 mil.lei p</w:t>
      </w:r>
      <w:r w:rsidR="009B0FA5">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nă la 278,1 mil.lei</w:t>
      </w:r>
      <w:r w:rsidR="00E74026">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sau cu 25,6%. Pierderile au înregistrat o tendință neuniformă, în anul 2021 fiind înregistrată o creștere</w:t>
      </w:r>
      <w:r w:rsidR="009B0FA5">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față de anul 2014</w:t>
      </w:r>
      <w:r w:rsidR="009B0FA5">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cu 3,5 mil.lei</w:t>
      </w:r>
      <w:r w:rsidR="009B0FA5">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sau </w:t>
      </w:r>
      <w:r w:rsidR="009B0FA5">
        <w:rPr>
          <w:rFonts w:asciiTheme="majorHAnsi" w:eastAsia="Times New Roman" w:hAnsiTheme="majorHAnsi" w:cstheme="majorHAnsi"/>
          <w:b w:val="0"/>
          <w:bCs w:val="0"/>
          <w:sz w:val="24"/>
          <w:szCs w:val="24"/>
        </w:rPr>
        <w:t>de</w:t>
      </w:r>
      <w:r w:rsidRPr="008376FC">
        <w:rPr>
          <w:rFonts w:asciiTheme="majorHAnsi" w:eastAsia="Times New Roman" w:hAnsiTheme="majorHAnsi" w:cstheme="majorHAnsi"/>
          <w:b w:val="0"/>
          <w:bCs w:val="0"/>
          <w:sz w:val="24"/>
          <w:szCs w:val="24"/>
        </w:rPr>
        <w:t xml:space="preserve"> peste 2 ori (în anul 2014 </w:t>
      </w:r>
      <w:r w:rsidR="009B0FA5">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2,5 mil.lei</w:t>
      </w:r>
      <w:r w:rsidR="009B0FA5">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și în anul 2021 </w:t>
      </w:r>
      <w:r w:rsidR="009B0FA5">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6,0 mii lei).   </w:t>
      </w:r>
    </w:p>
    <w:p w:rsidR="004005AD" w:rsidRPr="008376FC" w:rsidRDefault="004005AD" w:rsidP="007D322F">
      <w:pPr>
        <w:widowControl w:val="0"/>
        <w:tabs>
          <w:tab w:val="left" w:pos="567"/>
          <w:tab w:val="left" w:pos="709"/>
          <w:tab w:val="left" w:pos="851"/>
        </w:tabs>
        <w:autoSpaceDE w:val="0"/>
        <w:autoSpaceDN w:val="0"/>
        <w:spacing w:before="11" w:after="0" w:line="276" w:lineRule="auto"/>
        <w:ind w:left="480" w:right="112"/>
        <w:jc w:val="right"/>
        <w:rPr>
          <w:rFonts w:asciiTheme="majorHAnsi" w:eastAsia="Times New Roman" w:hAnsiTheme="majorHAnsi" w:cstheme="majorHAnsi"/>
          <w:b w:val="0"/>
          <w:bCs w:val="0"/>
          <w:sz w:val="24"/>
          <w:szCs w:val="24"/>
        </w:rPr>
      </w:pPr>
      <w:r w:rsidRPr="008376FC">
        <w:rPr>
          <w:rFonts w:asciiTheme="majorHAnsi" w:eastAsia="Times New Roman" w:hAnsiTheme="majorHAnsi" w:cstheme="majorHAnsi"/>
          <w:sz w:val="20"/>
          <w:szCs w:val="20"/>
        </w:rPr>
        <w:t xml:space="preserve">Figura nr. </w:t>
      </w:r>
      <w:r w:rsidR="00D91526" w:rsidRPr="008376FC">
        <w:rPr>
          <w:rFonts w:asciiTheme="majorHAnsi" w:eastAsia="Times New Roman" w:hAnsiTheme="majorHAnsi" w:cstheme="majorHAnsi"/>
          <w:sz w:val="20"/>
          <w:szCs w:val="20"/>
        </w:rPr>
        <w:t>40</w:t>
      </w:r>
    </w:p>
    <w:p w:rsidR="004005AD" w:rsidRPr="008376FC" w:rsidRDefault="004005AD" w:rsidP="00F61756">
      <w:pPr>
        <w:widowControl w:val="0"/>
        <w:tabs>
          <w:tab w:val="left" w:pos="709"/>
          <w:tab w:val="left" w:pos="851"/>
        </w:tabs>
        <w:autoSpaceDE w:val="0"/>
        <w:autoSpaceDN w:val="0"/>
        <w:spacing w:before="11" w:after="0" w:line="276" w:lineRule="auto"/>
        <w:ind w:right="112"/>
        <w:jc w:val="both"/>
        <w:rPr>
          <w:rFonts w:asciiTheme="majorHAnsi" w:eastAsia="Times New Roman" w:hAnsiTheme="majorHAnsi" w:cstheme="majorHAnsi"/>
          <w:bCs w:val="0"/>
          <w:sz w:val="24"/>
          <w:szCs w:val="24"/>
        </w:rPr>
      </w:pPr>
      <w:r w:rsidRPr="008376FC">
        <w:rPr>
          <w:rFonts w:asciiTheme="majorHAnsi" w:eastAsia="Times New Roman" w:hAnsiTheme="majorHAnsi" w:cstheme="majorHAnsi"/>
          <w:bCs w:val="0"/>
          <w:noProof/>
          <w:sz w:val="24"/>
          <w:szCs w:val="24"/>
          <w:lang w:val="ru-RU" w:eastAsia="ru-RU"/>
        </w:rPr>
        <w:drawing>
          <wp:inline distT="0" distB="0" distL="0" distR="0">
            <wp:extent cx="6086475" cy="1660525"/>
            <wp:effectExtent l="19050" t="0" r="9525"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756A34" w:rsidRPr="0057429D" w:rsidRDefault="00756A34" w:rsidP="00F61756">
      <w:pPr>
        <w:widowControl w:val="0"/>
        <w:tabs>
          <w:tab w:val="left" w:pos="0"/>
          <w:tab w:val="left" w:pos="709"/>
          <w:tab w:val="left" w:pos="851"/>
        </w:tabs>
        <w:autoSpaceDE w:val="0"/>
        <w:autoSpaceDN w:val="0"/>
        <w:spacing w:before="120" w:after="120" w:line="276" w:lineRule="auto"/>
        <w:ind w:right="112"/>
        <w:jc w:val="both"/>
        <w:rPr>
          <w:rFonts w:asciiTheme="majorHAnsi" w:eastAsia="Times New Roman" w:hAnsiTheme="majorHAnsi" w:cstheme="majorHAnsi"/>
          <w:b w:val="0"/>
          <w:bCs w:val="0"/>
          <w:i/>
          <w:sz w:val="20"/>
          <w:szCs w:val="20"/>
        </w:rPr>
      </w:pPr>
      <w:r w:rsidRPr="0057429D">
        <w:rPr>
          <w:rFonts w:asciiTheme="majorHAnsi" w:eastAsia="Times New Roman" w:hAnsiTheme="majorHAnsi" w:cstheme="majorHAnsi"/>
          <w:bCs w:val="0"/>
          <w:i/>
          <w:sz w:val="20"/>
          <w:szCs w:val="20"/>
        </w:rPr>
        <w:t>Sursa:</w:t>
      </w:r>
      <w:r w:rsidRPr="0057429D">
        <w:rPr>
          <w:rFonts w:asciiTheme="majorHAnsi" w:eastAsia="Times New Roman" w:hAnsiTheme="majorHAnsi" w:cstheme="majorHAnsi"/>
          <w:b w:val="0"/>
          <w:bCs w:val="0"/>
          <w:i/>
          <w:sz w:val="20"/>
          <w:szCs w:val="20"/>
        </w:rPr>
        <w:t xml:space="preserve"> Date</w:t>
      </w:r>
      <w:r w:rsidR="009B0FA5">
        <w:rPr>
          <w:rFonts w:asciiTheme="majorHAnsi" w:eastAsia="Times New Roman" w:hAnsiTheme="majorHAnsi" w:cstheme="majorHAnsi"/>
          <w:b w:val="0"/>
          <w:bCs w:val="0"/>
          <w:i/>
          <w:sz w:val="20"/>
          <w:szCs w:val="20"/>
        </w:rPr>
        <w:t xml:space="preserve"> oferite d</w:t>
      </w:r>
      <w:r w:rsidRPr="0057429D">
        <w:rPr>
          <w:rFonts w:asciiTheme="majorHAnsi" w:eastAsia="Times New Roman" w:hAnsiTheme="majorHAnsi" w:cstheme="majorHAnsi"/>
          <w:b w:val="0"/>
          <w:bCs w:val="0"/>
          <w:i/>
          <w:sz w:val="20"/>
          <w:szCs w:val="20"/>
        </w:rPr>
        <w:t>e BNS.</w:t>
      </w:r>
    </w:p>
    <w:p w:rsidR="00800FDE" w:rsidRDefault="004005AD" w:rsidP="00800FDE">
      <w:pPr>
        <w:widowControl w:val="0"/>
        <w:tabs>
          <w:tab w:val="left" w:pos="0"/>
          <w:tab w:val="left" w:pos="709"/>
          <w:tab w:val="left" w:pos="851"/>
        </w:tabs>
        <w:autoSpaceDE w:val="0"/>
        <w:autoSpaceDN w:val="0"/>
        <w:spacing w:before="120" w:after="12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Numărul întreprinderilor care au înregistrat în anii 2014-2021 pierderi din vânzări este neuniform.</w:t>
      </w:r>
    </w:p>
    <w:p w:rsidR="00B038D8" w:rsidRPr="008376FC" w:rsidRDefault="00B038D8" w:rsidP="00800FDE">
      <w:pPr>
        <w:widowControl w:val="0"/>
        <w:tabs>
          <w:tab w:val="left" w:pos="0"/>
          <w:tab w:val="left" w:pos="709"/>
          <w:tab w:val="left" w:pos="851"/>
        </w:tabs>
        <w:autoSpaceDE w:val="0"/>
        <w:autoSpaceDN w:val="0"/>
        <w:spacing w:after="0" w:line="276" w:lineRule="auto"/>
        <w:ind w:right="112"/>
        <w:jc w:val="right"/>
        <w:rPr>
          <w:rFonts w:asciiTheme="majorHAnsi" w:eastAsia="Times New Roman" w:hAnsiTheme="majorHAnsi" w:cstheme="majorHAnsi"/>
          <w:b w:val="0"/>
          <w:bCs w:val="0"/>
          <w:sz w:val="24"/>
          <w:szCs w:val="24"/>
        </w:rPr>
      </w:pPr>
      <w:r w:rsidRPr="008376FC">
        <w:rPr>
          <w:rFonts w:asciiTheme="majorHAnsi" w:eastAsia="Times New Roman" w:hAnsiTheme="majorHAnsi" w:cstheme="majorHAnsi"/>
          <w:bCs w:val="0"/>
          <w:sz w:val="20"/>
          <w:szCs w:val="20"/>
        </w:rPr>
        <w:t xml:space="preserve">Tabelul nr. </w:t>
      </w:r>
      <w:r w:rsidR="00D91526" w:rsidRPr="008376FC">
        <w:rPr>
          <w:rFonts w:asciiTheme="majorHAnsi" w:eastAsia="Times New Roman" w:hAnsiTheme="majorHAnsi" w:cstheme="majorHAnsi"/>
          <w:bCs w:val="0"/>
          <w:sz w:val="20"/>
          <w:szCs w:val="20"/>
        </w:rPr>
        <w:t>32</w:t>
      </w:r>
    </w:p>
    <w:tbl>
      <w:tblPr>
        <w:tblStyle w:val="TableGrid7"/>
        <w:tblW w:w="9584" w:type="dxa"/>
        <w:tblInd w:w="137" w:type="dxa"/>
        <w:tblLook w:val="04A0" w:firstRow="1" w:lastRow="0" w:firstColumn="1" w:lastColumn="0" w:noHBand="0" w:noVBand="1"/>
      </w:tblPr>
      <w:tblGrid>
        <w:gridCol w:w="4668"/>
        <w:gridCol w:w="1221"/>
        <w:gridCol w:w="915"/>
        <w:gridCol w:w="1221"/>
        <w:gridCol w:w="1559"/>
      </w:tblGrid>
      <w:tr w:rsidR="00150287" w:rsidRPr="008376FC" w:rsidTr="00F94EBC">
        <w:trPr>
          <w:trHeight w:val="310"/>
        </w:trPr>
        <w:tc>
          <w:tcPr>
            <w:tcW w:w="9583" w:type="dxa"/>
            <w:gridSpan w:val="5"/>
            <w:tcBorders>
              <w:top w:val="nil"/>
              <w:left w:val="nil"/>
              <w:bottom w:val="single" w:sz="4" w:space="0" w:color="auto"/>
              <w:right w:val="nil"/>
            </w:tcBorders>
            <w:shd w:val="clear" w:color="auto" w:fill="FFFFFF" w:themeFill="background1"/>
          </w:tcPr>
          <w:p w:rsidR="00150287" w:rsidRPr="008376FC" w:rsidRDefault="00150287" w:rsidP="00800FDE">
            <w:pPr>
              <w:widowControl w:val="0"/>
              <w:tabs>
                <w:tab w:val="left" w:pos="567"/>
                <w:tab w:val="left" w:pos="709"/>
                <w:tab w:val="left" w:pos="851"/>
              </w:tabs>
              <w:autoSpaceDE w:val="0"/>
              <w:autoSpaceDN w:val="0"/>
              <w:jc w:val="both"/>
              <w:rPr>
                <w:rFonts w:asciiTheme="majorHAnsi" w:eastAsia="Times New Roman" w:hAnsiTheme="majorHAnsi" w:cstheme="majorHAnsi"/>
                <w:sz w:val="20"/>
                <w:szCs w:val="20"/>
              </w:rPr>
            </w:pPr>
            <w:r w:rsidRPr="008376FC">
              <w:rPr>
                <w:rFonts w:asciiTheme="majorHAnsi" w:eastAsia="Times New Roman" w:hAnsiTheme="majorHAnsi" w:cstheme="majorHAnsi"/>
                <w:bCs w:val="0"/>
                <w:sz w:val="20"/>
                <w:szCs w:val="20"/>
              </w:rPr>
              <w:t>Numărul întreprinderilor care au înregistrat pierderi din v</w:t>
            </w:r>
            <w:r w:rsidR="009B0FA5">
              <w:rPr>
                <w:rFonts w:asciiTheme="majorHAnsi" w:eastAsia="Times New Roman" w:hAnsiTheme="majorHAnsi" w:cstheme="majorHAnsi"/>
                <w:bCs w:val="0"/>
                <w:sz w:val="20"/>
                <w:szCs w:val="20"/>
              </w:rPr>
              <w:t>â</w:t>
            </w:r>
            <w:r w:rsidRPr="008376FC">
              <w:rPr>
                <w:rFonts w:asciiTheme="majorHAnsi" w:eastAsia="Times New Roman" w:hAnsiTheme="majorHAnsi" w:cstheme="majorHAnsi"/>
                <w:bCs w:val="0"/>
                <w:sz w:val="20"/>
                <w:szCs w:val="20"/>
              </w:rPr>
              <w:t>nzări în anii 2014-2021</w:t>
            </w:r>
          </w:p>
        </w:tc>
      </w:tr>
      <w:tr w:rsidR="004005AD" w:rsidRPr="008376FC" w:rsidTr="00F94EBC">
        <w:trPr>
          <w:trHeight w:val="310"/>
        </w:trPr>
        <w:tc>
          <w:tcPr>
            <w:tcW w:w="4668" w:type="dxa"/>
            <w:tcBorders>
              <w:top w:val="single" w:sz="4" w:space="0" w:color="auto"/>
              <w:bottom w:val="single" w:sz="4" w:space="0" w:color="auto"/>
            </w:tcBorders>
            <w:shd w:val="clear" w:color="auto" w:fill="9CC2E5" w:themeFill="accent1" w:themeFillTint="99"/>
          </w:tcPr>
          <w:p w:rsidR="004005AD" w:rsidRPr="008376FC" w:rsidRDefault="004005AD" w:rsidP="00800FDE">
            <w:pPr>
              <w:widowControl w:val="0"/>
              <w:tabs>
                <w:tab w:val="left" w:pos="567"/>
                <w:tab w:val="left" w:pos="709"/>
                <w:tab w:val="left" w:pos="851"/>
              </w:tabs>
              <w:autoSpaceDE w:val="0"/>
              <w:autoSpaceDN w:val="0"/>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Indicatorii</w:t>
            </w:r>
          </w:p>
        </w:tc>
        <w:tc>
          <w:tcPr>
            <w:tcW w:w="1221" w:type="dxa"/>
            <w:tcBorders>
              <w:top w:val="single" w:sz="4" w:space="0" w:color="auto"/>
              <w:bottom w:val="single" w:sz="4" w:space="0" w:color="auto"/>
            </w:tcBorders>
            <w:shd w:val="clear" w:color="auto" w:fill="9CC2E5" w:themeFill="accent1" w:themeFillTint="99"/>
          </w:tcPr>
          <w:p w:rsidR="004005AD" w:rsidRPr="008376FC" w:rsidRDefault="004005AD" w:rsidP="00800FDE">
            <w:pPr>
              <w:widowControl w:val="0"/>
              <w:tabs>
                <w:tab w:val="left" w:pos="567"/>
                <w:tab w:val="left" w:pos="709"/>
                <w:tab w:val="left" w:pos="851"/>
              </w:tabs>
              <w:autoSpaceDE w:val="0"/>
              <w:autoSpaceDN w:val="0"/>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2014</w:t>
            </w:r>
          </w:p>
        </w:tc>
        <w:tc>
          <w:tcPr>
            <w:tcW w:w="915" w:type="dxa"/>
            <w:tcBorders>
              <w:top w:val="single" w:sz="4" w:space="0" w:color="auto"/>
              <w:bottom w:val="single" w:sz="4" w:space="0" w:color="auto"/>
            </w:tcBorders>
            <w:shd w:val="clear" w:color="auto" w:fill="9CC2E5" w:themeFill="accent1" w:themeFillTint="99"/>
          </w:tcPr>
          <w:p w:rsidR="004005AD" w:rsidRPr="008376FC" w:rsidRDefault="004005AD" w:rsidP="00800FDE">
            <w:pPr>
              <w:widowControl w:val="0"/>
              <w:tabs>
                <w:tab w:val="left" w:pos="567"/>
                <w:tab w:val="left" w:pos="709"/>
                <w:tab w:val="left" w:pos="851"/>
              </w:tabs>
              <w:autoSpaceDE w:val="0"/>
              <w:autoSpaceDN w:val="0"/>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2019</w:t>
            </w:r>
          </w:p>
        </w:tc>
        <w:tc>
          <w:tcPr>
            <w:tcW w:w="1221" w:type="dxa"/>
            <w:tcBorders>
              <w:top w:val="single" w:sz="4" w:space="0" w:color="auto"/>
              <w:bottom w:val="single" w:sz="4" w:space="0" w:color="auto"/>
            </w:tcBorders>
            <w:shd w:val="clear" w:color="auto" w:fill="9CC2E5" w:themeFill="accent1" w:themeFillTint="99"/>
          </w:tcPr>
          <w:p w:rsidR="004005AD" w:rsidRPr="008376FC" w:rsidRDefault="004005AD" w:rsidP="00800FDE">
            <w:pPr>
              <w:widowControl w:val="0"/>
              <w:tabs>
                <w:tab w:val="left" w:pos="567"/>
                <w:tab w:val="left" w:pos="709"/>
                <w:tab w:val="left" w:pos="851"/>
              </w:tabs>
              <w:autoSpaceDE w:val="0"/>
              <w:autoSpaceDN w:val="0"/>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2020</w:t>
            </w:r>
          </w:p>
        </w:tc>
        <w:tc>
          <w:tcPr>
            <w:tcW w:w="1559" w:type="dxa"/>
            <w:tcBorders>
              <w:top w:val="single" w:sz="4" w:space="0" w:color="auto"/>
              <w:bottom w:val="single" w:sz="4" w:space="0" w:color="auto"/>
            </w:tcBorders>
            <w:shd w:val="clear" w:color="auto" w:fill="9CC2E5" w:themeFill="accent1" w:themeFillTint="99"/>
          </w:tcPr>
          <w:p w:rsidR="004005AD" w:rsidRPr="008376FC" w:rsidRDefault="004005AD" w:rsidP="00800FDE">
            <w:pPr>
              <w:widowControl w:val="0"/>
              <w:tabs>
                <w:tab w:val="left" w:pos="567"/>
                <w:tab w:val="left" w:pos="709"/>
                <w:tab w:val="left" w:pos="851"/>
              </w:tabs>
              <w:autoSpaceDE w:val="0"/>
              <w:autoSpaceDN w:val="0"/>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2021</w:t>
            </w:r>
          </w:p>
        </w:tc>
      </w:tr>
      <w:tr w:rsidR="004005AD" w:rsidRPr="008376FC" w:rsidTr="00F94EBC">
        <w:trPr>
          <w:trHeight w:val="303"/>
        </w:trPr>
        <w:tc>
          <w:tcPr>
            <w:tcW w:w="4668" w:type="dxa"/>
            <w:tcBorders>
              <w:bottom w:val="single" w:sz="4" w:space="0" w:color="auto"/>
            </w:tcBorders>
          </w:tcPr>
          <w:p w:rsidR="004005AD" w:rsidRPr="008376FC" w:rsidRDefault="004005AD" w:rsidP="00800FDE">
            <w:pPr>
              <w:widowControl w:val="0"/>
              <w:tabs>
                <w:tab w:val="left" w:pos="567"/>
                <w:tab w:val="left" w:pos="709"/>
                <w:tab w:val="left" w:pos="851"/>
              </w:tabs>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Numărul întreprinderilor care au înregistrat pierderi din vânzări</w:t>
            </w:r>
          </w:p>
        </w:tc>
        <w:tc>
          <w:tcPr>
            <w:tcW w:w="1221" w:type="dxa"/>
            <w:tcBorders>
              <w:bottom w:val="single" w:sz="4" w:space="0" w:color="auto"/>
            </w:tcBorders>
          </w:tcPr>
          <w:p w:rsidR="004005AD" w:rsidRPr="008376FC" w:rsidRDefault="004005AD" w:rsidP="00800FDE">
            <w:pPr>
              <w:widowControl w:val="0"/>
              <w:tabs>
                <w:tab w:val="left" w:pos="567"/>
                <w:tab w:val="left" w:pos="709"/>
                <w:tab w:val="left" w:pos="851"/>
              </w:tabs>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5</w:t>
            </w:r>
          </w:p>
        </w:tc>
        <w:tc>
          <w:tcPr>
            <w:tcW w:w="915" w:type="dxa"/>
            <w:tcBorders>
              <w:bottom w:val="single" w:sz="4" w:space="0" w:color="auto"/>
            </w:tcBorders>
          </w:tcPr>
          <w:p w:rsidR="004005AD" w:rsidRPr="008376FC" w:rsidRDefault="004005AD" w:rsidP="00800FDE">
            <w:pPr>
              <w:widowControl w:val="0"/>
              <w:tabs>
                <w:tab w:val="left" w:pos="567"/>
                <w:tab w:val="left" w:pos="709"/>
                <w:tab w:val="left" w:pos="851"/>
              </w:tabs>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9</w:t>
            </w:r>
          </w:p>
        </w:tc>
        <w:tc>
          <w:tcPr>
            <w:tcW w:w="1221" w:type="dxa"/>
            <w:tcBorders>
              <w:bottom w:val="single" w:sz="4" w:space="0" w:color="auto"/>
            </w:tcBorders>
          </w:tcPr>
          <w:p w:rsidR="004005AD" w:rsidRPr="008376FC" w:rsidRDefault="004005AD" w:rsidP="00800FDE">
            <w:pPr>
              <w:widowControl w:val="0"/>
              <w:tabs>
                <w:tab w:val="left" w:pos="567"/>
                <w:tab w:val="left" w:pos="709"/>
                <w:tab w:val="left" w:pos="851"/>
              </w:tabs>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3</w:t>
            </w:r>
          </w:p>
        </w:tc>
        <w:tc>
          <w:tcPr>
            <w:tcW w:w="1559" w:type="dxa"/>
            <w:tcBorders>
              <w:bottom w:val="single" w:sz="4" w:space="0" w:color="auto"/>
            </w:tcBorders>
          </w:tcPr>
          <w:p w:rsidR="004005AD" w:rsidRPr="008376FC" w:rsidRDefault="004005AD" w:rsidP="00800FDE">
            <w:pPr>
              <w:widowControl w:val="0"/>
              <w:tabs>
                <w:tab w:val="left" w:pos="567"/>
                <w:tab w:val="left" w:pos="709"/>
                <w:tab w:val="left" w:pos="851"/>
              </w:tabs>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4</w:t>
            </w:r>
          </w:p>
        </w:tc>
      </w:tr>
      <w:tr w:rsidR="00150287" w:rsidRPr="008376FC" w:rsidTr="00F94EBC">
        <w:trPr>
          <w:trHeight w:val="303"/>
        </w:trPr>
        <w:tc>
          <w:tcPr>
            <w:tcW w:w="9583" w:type="dxa"/>
            <w:gridSpan w:val="5"/>
            <w:tcBorders>
              <w:top w:val="single" w:sz="4" w:space="0" w:color="auto"/>
              <w:left w:val="nil"/>
              <w:bottom w:val="nil"/>
              <w:right w:val="nil"/>
            </w:tcBorders>
          </w:tcPr>
          <w:p w:rsidR="00150287" w:rsidRPr="0057429D" w:rsidRDefault="00150287" w:rsidP="00800FDE">
            <w:pPr>
              <w:widowControl w:val="0"/>
              <w:tabs>
                <w:tab w:val="left" w:pos="567"/>
                <w:tab w:val="left" w:pos="709"/>
                <w:tab w:val="left" w:pos="851"/>
              </w:tabs>
              <w:autoSpaceDE w:val="0"/>
              <w:autoSpaceDN w:val="0"/>
              <w:jc w:val="both"/>
              <w:rPr>
                <w:rFonts w:asciiTheme="majorHAnsi" w:eastAsia="Times New Roman" w:hAnsiTheme="majorHAnsi" w:cstheme="majorHAnsi"/>
                <w:b w:val="0"/>
                <w:bCs w:val="0"/>
                <w:i/>
                <w:sz w:val="20"/>
                <w:szCs w:val="20"/>
              </w:rPr>
            </w:pPr>
            <w:r w:rsidRPr="0057429D">
              <w:rPr>
                <w:rFonts w:asciiTheme="majorHAnsi" w:eastAsia="Times New Roman" w:hAnsiTheme="majorHAnsi" w:cstheme="majorHAnsi"/>
                <w:i/>
                <w:sz w:val="20"/>
                <w:szCs w:val="20"/>
              </w:rPr>
              <w:t>Sursa:</w:t>
            </w:r>
            <w:r w:rsidRPr="0057429D">
              <w:rPr>
                <w:rFonts w:asciiTheme="majorHAnsi" w:eastAsia="Times New Roman" w:hAnsiTheme="majorHAnsi" w:cstheme="majorHAnsi"/>
                <w:b w:val="0"/>
                <w:bCs w:val="0"/>
                <w:i/>
                <w:sz w:val="20"/>
                <w:szCs w:val="20"/>
              </w:rPr>
              <w:t xml:space="preserve"> Date</w:t>
            </w:r>
            <w:r w:rsidR="009B0FA5">
              <w:rPr>
                <w:rFonts w:asciiTheme="majorHAnsi" w:eastAsia="Times New Roman" w:hAnsiTheme="majorHAnsi" w:cstheme="majorHAnsi"/>
                <w:b w:val="0"/>
                <w:bCs w:val="0"/>
                <w:i/>
                <w:sz w:val="20"/>
                <w:szCs w:val="20"/>
              </w:rPr>
              <w:t xml:space="preserve"> oferite d</w:t>
            </w:r>
            <w:r w:rsidRPr="0057429D">
              <w:rPr>
                <w:rFonts w:asciiTheme="majorHAnsi" w:eastAsia="Times New Roman" w:hAnsiTheme="majorHAnsi" w:cstheme="majorHAnsi"/>
                <w:b w:val="0"/>
                <w:bCs w:val="0"/>
                <w:i/>
                <w:sz w:val="20"/>
                <w:szCs w:val="20"/>
              </w:rPr>
              <w:t>e BNS.</w:t>
            </w:r>
          </w:p>
        </w:tc>
      </w:tr>
    </w:tbl>
    <w:p w:rsidR="00AC6E70" w:rsidRDefault="004005AD" w:rsidP="007D322F">
      <w:pPr>
        <w:widowControl w:val="0"/>
        <w:tabs>
          <w:tab w:val="left" w:pos="567"/>
          <w:tab w:val="left" w:pos="709"/>
          <w:tab w:val="left" w:pos="851"/>
        </w:tabs>
        <w:autoSpaceDE w:val="0"/>
        <w:autoSpaceDN w:val="0"/>
        <w:spacing w:after="0" w:line="276" w:lineRule="auto"/>
        <w:ind w:right="112"/>
        <w:jc w:val="both"/>
        <w:rPr>
          <w:rFonts w:asciiTheme="majorHAnsi" w:eastAsia="Times New Roman" w:hAnsiTheme="majorHAnsi" w:cstheme="majorHAnsi"/>
          <w:sz w:val="24"/>
          <w:szCs w:val="24"/>
        </w:rPr>
      </w:pPr>
      <w:r w:rsidRPr="008376FC">
        <w:rPr>
          <w:rFonts w:asciiTheme="majorHAnsi" w:eastAsia="Times New Roman" w:hAnsiTheme="majorHAnsi" w:cstheme="majorHAnsi"/>
          <w:b w:val="0"/>
          <w:bCs w:val="0"/>
          <w:sz w:val="24"/>
          <w:szCs w:val="24"/>
        </w:rPr>
        <w:t>Astfel, la finele anului 2021, din totalul de 36 întreprinderi analizate, 4 au înregistrat pierderi din vânzări</w:t>
      </w:r>
      <w:r w:rsidR="009B0FA5">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care au constituit 6,0 mil.lei, celelalte întreprinderi înregistrând profituri de 278,1 mil.lei.</w:t>
      </w:r>
    </w:p>
    <w:p w:rsidR="004005AD" w:rsidRPr="007D322F" w:rsidRDefault="00ED2CE9" w:rsidP="00F61756">
      <w:pPr>
        <w:widowControl w:val="0"/>
        <w:tabs>
          <w:tab w:val="left" w:pos="567"/>
          <w:tab w:val="left" w:pos="709"/>
          <w:tab w:val="left" w:pos="851"/>
        </w:tabs>
        <w:autoSpaceDE w:val="0"/>
        <w:autoSpaceDN w:val="0"/>
        <w:spacing w:after="0" w:line="276" w:lineRule="auto"/>
        <w:ind w:left="284" w:right="112"/>
        <w:jc w:val="right"/>
        <w:rPr>
          <w:rFonts w:asciiTheme="majorHAnsi" w:eastAsia="Times New Roman" w:hAnsiTheme="majorHAnsi" w:cstheme="majorHAnsi"/>
          <w:sz w:val="20"/>
          <w:szCs w:val="20"/>
        </w:rPr>
      </w:pPr>
      <w:r w:rsidRPr="007D322F">
        <w:rPr>
          <w:rFonts w:asciiTheme="majorHAnsi" w:eastAsia="Times New Roman" w:hAnsiTheme="majorHAnsi" w:cstheme="majorHAnsi"/>
          <w:sz w:val="20"/>
          <w:szCs w:val="20"/>
        </w:rPr>
        <w:t xml:space="preserve">Figura nr. </w:t>
      </w:r>
      <w:r w:rsidR="00D91526" w:rsidRPr="007D322F">
        <w:rPr>
          <w:rFonts w:asciiTheme="majorHAnsi" w:eastAsia="Times New Roman" w:hAnsiTheme="majorHAnsi" w:cstheme="majorHAnsi"/>
          <w:sz w:val="20"/>
          <w:szCs w:val="20"/>
        </w:rPr>
        <w:t>41</w:t>
      </w:r>
    </w:p>
    <w:p w:rsidR="004005AD" w:rsidRPr="008376FC" w:rsidRDefault="004005AD" w:rsidP="00F61756">
      <w:pPr>
        <w:widowControl w:val="0"/>
        <w:tabs>
          <w:tab w:val="left" w:pos="567"/>
          <w:tab w:val="left" w:pos="709"/>
          <w:tab w:val="left" w:pos="851"/>
        </w:tabs>
        <w:autoSpaceDE w:val="0"/>
        <w:autoSpaceDN w:val="0"/>
        <w:spacing w:after="0" w:line="276" w:lineRule="auto"/>
        <w:ind w:right="4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noProof/>
          <w:sz w:val="24"/>
          <w:szCs w:val="24"/>
          <w:lang w:val="ru-RU" w:eastAsia="ru-RU"/>
        </w:rPr>
        <w:drawing>
          <wp:inline distT="0" distB="0" distL="0" distR="0">
            <wp:extent cx="6162675" cy="1630680"/>
            <wp:effectExtent l="19050" t="0" r="9525" b="762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r w:rsidRPr="008376FC">
        <w:rPr>
          <w:rFonts w:asciiTheme="majorHAnsi" w:eastAsia="Times New Roman" w:hAnsiTheme="majorHAnsi" w:cstheme="majorHAnsi"/>
          <w:b w:val="0"/>
          <w:bCs w:val="0"/>
          <w:sz w:val="24"/>
          <w:szCs w:val="24"/>
        </w:rPr>
        <w:t xml:space="preserve"> </w:t>
      </w:r>
    </w:p>
    <w:p w:rsidR="004005AD" w:rsidRPr="008376FC" w:rsidRDefault="004005AD" w:rsidP="00F61756">
      <w:pPr>
        <w:widowControl w:val="0"/>
        <w:tabs>
          <w:tab w:val="left" w:pos="567"/>
          <w:tab w:val="left" w:pos="709"/>
          <w:tab w:val="left" w:pos="851"/>
        </w:tabs>
        <w:autoSpaceDE w:val="0"/>
        <w:autoSpaceDN w:val="0"/>
        <w:spacing w:before="120" w:after="0" w:line="276" w:lineRule="auto"/>
        <w:ind w:right="4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Înregistrarea pierderilor din vânzări denotă că tarifele stabilite pentru prestarea serviciilor nu acoperă costurile acestora.</w:t>
      </w:r>
    </w:p>
    <w:p w:rsidR="004005AD" w:rsidRPr="008376FC" w:rsidRDefault="004005AD" w:rsidP="00F61756">
      <w:pPr>
        <w:pStyle w:val="a3"/>
        <w:widowControl w:val="0"/>
        <w:numPr>
          <w:ilvl w:val="2"/>
          <w:numId w:val="73"/>
        </w:numPr>
        <w:tabs>
          <w:tab w:val="left" w:pos="567"/>
          <w:tab w:val="left" w:pos="709"/>
          <w:tab w:val="left" w:pos="851"/>
        </w:tabs>
        <w:autoSpaceDE w:val="0"/>
        <w:autoSpaceDN w:val="0"/>
        <w:spacing w:before="120" w:line="276" w:lineRule="auto"/>
        <w:ind w:right="112"/>
        <w:jc w:val="both"/>
        <w:rPr>
          <w:rFonts w:asciiTheme="majorHAnsi" w:hAnsiTheme="majorHAnsi" w:cstheme="majorHAnsi"/>
          <w:b/>
          <w:color w:val="0070C0"/>
          <w:lang w:val="en-US"/>
        </w:rPr>
      </w:pPr>
      <w:r w:rsidRPr="008376FC">
        <w:rPr>
          <w:rFonts w:asciiTheme="majorHAnsi" w:hAnsiTheme="majorHAnsi" w:cstheme="majorHAnsi"/>
          <w:b/>
          <w:color w:val="0070C0"/>
          <w:lang w:val="en-US"/>
        </w:rPr>
        <w:t>Cheltuielile administrative sunt în creștere</w:t>
      </w:r>
      <w:r w:rsidR="009B0FA5">
        <w:rPr>
          <w:rFonts w:asciiTheme="majorHAnsi" w:hAnsiTheme="majorHAnsi" w:cstheme="majorHAnsi"/>
          <w:b/>
          <w:color w:val="0070C0"/>
          <w:lang w:val="en-US"/>
        </w:rPr>
        <w:t xml:space="preserve"> </w:t>
      </w:r>
      <w:r w:rsidR="009B0FA5" w:rsidRPr="008376FC">
        <w:rPr>
          <w:rFonts w:asciiTheme="majorHAnsi" w:hAnsiTheme="majorHAnsi" w:cstheme="majorHAnsi"/>
          <w:b/>
          <w:color w:val="0070C0"/>
          <w:lang w:val="en-US"/>
        </w:rPr>
        <w:t>de la an la an</w:t>
      </w:r>
      <w:r w:rsidR="009B0FA5">
        <w:rPr>
          <w:rFonts w:asciiTheme="majorHAnsi" w:hAnsiTheme="majorHAnsi" w:cstheme="majorHAnsi"/>
          <w:b/>
          <w:color w:val="0070C0"/>
          <w:lang w:val="en-US"/>
        </w:rPr>
        <w:t>.</w:t>
      </w:r>
      <w:r w:rsidRPr="008376FC">
        <w:rPr>
          <w:rFonts w:asciiTheme="majorHAnsi" w:hAnsiTheme="majorHAnsi" w:cstheme="majorHAnsi"/>
          <w:b/>
          <w:color w:val="0070C0"/>
          <w:lang w:val="en-US"/>
        </w:rPr>
        <w:t xml:space="preserve"> </w:t>
      </w:r>
    </w:p>
    <w:p w:rsidR="004005AD" w:rsidRPr="008376FC" w:rsidRDefault="004005AD" w:rsidP="00F61756">
      <w:pPr>
        <w:widowControl w:val="0"/>
        <w:tabs>
          <w:tab w:val="left" w:pos="567"/>
          <w:tab w:val="left" w:pos="709"/>
          <w:tab w:val="left" w:pos="851"/>
        </w:tabs>
        <w:autoSpaceDE w:val="0"/>
        <w:autoSpaceDN w:val="0"/>
        <w:spacing w:before="120" w:after="0" w:line="276" w:lineRule="auto"/>
        <w:ind w:right="4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În anii 2014-2021 se atestă creșterea cheltuielilor administrative</w:t>
      </w:r>
      <w:r w:rsidR="009B0FA5">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de la 152,8 mil.lei în anul 2014 la 208,8 mil.lei în anul 2021</w:t>
      </w:r>
      <w:r w:rsidR="009B0FA5">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sau cu 54,0 mil.lei (+36,6%). Cea mai mare creștere a cheltuielilor se atestă la operatorii din Bălți (+128%), Cantemir (+208,1%), Vulcănești (+127,5%), Taraclia (+143,6%), Soroca (+106,1%), Ocnița (+152,8%), Comrat (+134,2%), Basarabeasca (+566,4%), Strășeni (+148,2%) şi Edineț (+108,5%) etc. </w:t>
      </w:r>
    </w:p>
    <w:p w:rsidR="004005AD" w:rsidRDefault="004005AD" w:rsidP="00F61756">
      <w:pPr>
        <w:widowControl w:val="0"/>
        <w:tabs>
          <w:tab w:val="left" w:pos="567"/>
          <w:tab w:val="left" w:pos="709"/>
          <w:tab w:val="left" w:pos="851"/>
        </w:tabs>
        <w:autoSpaceDE w:val="0"/>
        <w:autoSpaceDN w:val="0"/>
        <w:spacing w:before="120" w:after="0" w:line="276" w:lineRule="auto"/>
        <w:ind w:right="4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De menționat că, deși cheltuielile administrative sunt în creștere de la an la an, tarifele pentru prestarea serviciilor de alimentare cu apă și canalizare nu au fost revizuite și</w:t>
      </w:r>
      <w:r w:rsidR="009B0FA5">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respectiv, recuperate prin tarif.  </w:t>
      </w:r>
    </w:p>
    <w:p w:rsidR="00070D2D" w:rsidRDefault="005C4A1E" w:rsidP="00F61756">
      <w:pPr>
        <w:widowControl w:val="0"/>
        <w:tabs>
          <w:tab w:val="left" w:pos="567"/>
          <w:tab w:val="left" w:pos="709"/>
          <w:tab w:val="left" w:pos="851"/>
        </w:tabs>
        <w:autoSpaceDE w:val="0"/>
        <w:autoSpaceDN w:val="0"/>
        <w:spacing w:before="120" w:after="0" w:line="276" w:lineRule="auto"/>
        <w:ind w:right="49"/>
        <w:jc w:val="both"/>
        <w:rPr>
          <w:rFonts w:asciiTheme="majorHAnsi" w:eastAsia="Times New Roman" w:hAnsiTheme="majorHAnsi" w:cstheme="majorHAnsi"/>
          <w:b w:val="0"/>
          <w:bCs w:val="0"/>
          <w:sz w:val="24"/>
          <w:szCs w:val="24"/>
        </w:rPr>
      </w:pPr>
      <w:r w:rsidRPr="00156F68">
        <w:rPr>
          <w:rFonts w:asciiTheme="majorHAnsi" w:eastAsia="Times New Roman" w:hAnsiTheme="majorHAnsi" w:cstheme="majorHAnsi"/>
          <w:b w:val="0"/>
          <w:bCs w:val="0"/>
          <w:sz w:val="24"/>
          <w:szCs w:val="24"/>
        </w:rPr>
        <w:t>Ace</w:t>
      </w:r>
      <w:r w:rsidR="003F214D" w:rsidRPr="00156F68">
        <w:rPr>
          <w:rFonts w:asciiTheme="majorHAnsi" w:eastAsia="Times New Roman" w:hAnsiTheme="majorHAnsi" w:cstheme="majorHAnsi"/>
          <w:b w:val="0"/>
          <w:bCs w:val="0"/>
          <w:sz w:val="24"/>
          <w:szCs w:val="24"/>
        </w:rPr>
        <w:t>e</w:t>
      </w:r>
      <w:r w:rsidRPr="00156F68">
        <w:rPr>
          <w:rFonts w:asciiTheme="majorHAnsi" w:eastAsia="Times New Roman" w:hAnsiTheme="majorHAnsi" w:cstheme="majorHAnsi"/>
          <w:b w:val="0"/>
          <w:bCs w:val="0"/>
          <w:sz w:val="24"/>
          <w:szCs w:val="24"/>
        </w:rPr>
        <w:t>ași situație se atestă și la cheltuielile operaționale, care de asemenea nu sunt recuperate prin tarifele reglementate, ceea ce creează dificultăți în activitatea operatorilor și duce la acumularea pierderilor și incapacitatea de plată a operatorului.</w:t>
      </w:r>
      <w:r w:rsidR="00070D2D">
        <w:rPr>
          <w:rFonts w:asciiTheme="majorHAnsi" w:eastAsia="Times New Roman" w:hAnsiTheme="majorHAnsi" w:cstheme="majorHAnsi"/>
          <w:b w:val="0"/>
          <w:bCs w:val="0"/>
          <w:sz w:val="24"/>
          <w:szCs w:val="24"/>
        </w:rPr>
        <w:t xml:space="preserve"> </w:t>
      </w:r>
    </w:p>
    <w:p w:rsidR="004005AD" w:rsidRPr="008376FC" w:rsidRDefault="004005AD" w:rsidP="00F61756">
      <w:pPr>
        <w:widowControl w:val="0"/>
        <w:tabs>
          <w:tab w:val="left" w:pos="567"/>
          <w:tab w:val="left" w:pos="709"/>
          <w:tab w:val="left" w:pos="851"/>
        </w:tabs>
        <w:autoSpaceDE w:val="0"/>
        <w:autoSpaceDN w:val="0"/>
        <w:spacing w:before="120" w:after="0" w:line="276" w:lineRule="auto"/>
        <w:ind w:right="4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Cumulul mai multor factori care servesc temei pentru revizuirea tarifelor și nerevizuirea lor în termen rezonabil, duce la acumularea pierderilor și</w:t>
      </w:r>
      <w:r w:rsidR="009B0FA5">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ulterior</w:t>
      </w:r>
      <w:r w:rsidR="009B0FA5">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la insolvabilitatea întreprinderilor prestatoare de servicii apă-canal. Totodată, pe parcursul anilor s-a creat un cerc vicios, conform căruia condiţiile de revizuire a tarifului sunt întrunite</w:t>
      </w:r>
      <w:r w:rsidR="009B0FA5">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dar nu se revizuiesc pentru a nu </w:t>
      </w:r>
      <w:r w:rsidR="009B0FA5">
        <w:rPr>
          <w:rFonts w:asciiTheme="majorHAnsi" w:eastAsia="Times New Roman" w:hAnsiTheme="majorHAnsi" w:cstheme="majorHAnsi"/>
          <w:b w:val="0"/>
          <w:bCs w:val="0"/>
          <w:sz w:val="24"/>
          <w:szCs w:val="24"/>
        </w:rPr>
        <w:t>cauza</w:t>
      </w:r>
      <w:r w:rsidRPr="008376FC">
        <w:rPr>
          <w:rFonts w:asciiTheme="majorHAnsi" w:eastAsia="Times New Roman" w:hAnsiTheme="majorHAnsi" w:cstheme="majorHAnsi"/>
          <w:b w:val="0"/>
          <w:bCs w:val="0"/>
          <w:sz w:val="24"/>
          <w:szCs w:val="24"/>
        </w:rPr>
        <w:t xml:space="preserve"> scăderea nivelului de trai a</w:t>
      </w:r>
      <w:r w:rsidR="009B0FA5">
        <w:rPr>
          <w:rFonts w:asciiTheme="majorHAnsi" w:eastAsia="Times New Roman" w:hAnsiTheme="majorHAnsi" w:cstheme="majorHAnsi"/>
          <w:b w:val="0"/>
          <w:bCs w:val="0"/>
          <w:sz w:val="24"/>
          <w:szCs w:val="24"/>
        </w:rPr>
        <w:t>l</w:t>
      </w:r>
      <w:r w:rsidRPr="008376FC">
        <w:rPr>
          <w:rFonts w:asciiTheme="majorHAnsi" w:eastAsia="Times New Roman" w:hAnsiTheme="majorHAnsi" w:cstheme="majorHAnsi"/>
          <w:b w:val="0"/>
          <w:bCs w:val="0"/>
          <w:sz w:val="24"/>
          <w:szCs w:val="24"/>
        </w:rPr>
        <w:t xml:space="preserve"> populaţiei, în acelaşi timp, APL nu au capacități financiare suficiente pentru subsidiere</w:t>
      </w:r>
      <w:r w:rsidR="009B0FA5">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z w:val="24"/>
          <w:szCs w:val="24"/>
        </w:rPr>
        <w:t>/subvenționarea diferenței de tarif</w:t>
      </w:r>
      <w:r w:rsidR="009B0FA5">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în cazul în care valoarea lui reală este mult mai înaltă decât cea aprobată. </w:t>
      </w:r>
    </w:p>
    <w:p w:rsidR="004005AD" w:rsidRPr="008376FC" w:rsidRDefault="004005AD" w:rsidP="00F61756">
      <w:pPr>
        <w:widowControl w:val="0"/>
        <w:tabs>
          <w:tab w:val="left" w:pos="567"/>
          <w:tab w:val="left" w:pos="709"/>
          <w:tab w:val="left" w:pos="851"/>
        </w:tabs>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Tarifele pentru prestarea serviciilor publice trebuie să fie adecvate și corespunzătoare, iar în cazul aplicării unor politici sociale, menite să mențină tariful la un nivel cât de cât suportabil de populație, urmează să fie elaborate </w:t>
      </w:r>
      <w:r w:rsidR="009B0FA5">
        <w:rPr>
          <w:rFonts w:asciiTheme="majorHAnsi" w:eastAsia="Times New Roman" w:hAnsiTheme="majorHAnsi" w:cstheme="majorHAnsi"/>
          <w:b w:val="0"/>
          <w:bCs w:val="0"/>
          <w:sz w:val="24"/>
          <w:szCs w:val="24"/>
        </w:rPr>
        <w:t>m</w:t>
      </w:r>
      <w:r w:rsidRPr="008376FC">
        <w:rPr>
          <w:rFonts w:asciiTheme="majorHAnsi" w:eastAsia="Times New Roman" w:hAnsiTheme="majorHAnsi" w:cstheme="majorHAnsi"/>
          <w:b w:val="0"/>
          <w:bCs w:val="0"/>
          <w:sz w:val="24"/>
          <w:szCs w:val="24"/>
        </w:rPr>
        <w:t xml:space="preserve">ecanisme de compensare a diferențelor dintre tarifele reale și cele aplicate, </w:t>
      </w:r>
      <w:r w:rsidR="009B0FA5">
        <w:rPr>
          <w:rFonts w:asciiTheme="majorHAnsi" w:eastAsia="Times New Roman" w:hAnsiTheme="majorHAnsi" w:cstheme="majorHAnsi"/>
          <w:b w:val="0"/>
          <w:bCs w:val="0"/>
          <w:sz w:val="24"/>
          <w:szCs w:val="24"/>
        </w:rPr>
        <w:t>în caz contrar</w:t>
      </w:r>
      <w:r w:rsidRPr="008376FC">
        <w:rPr>
          <w:rFonts w:asciiTheme="majorHAnsi" w:eastAsia="Times New Roman" w:hAnsiTheme="majorHAnsi" w:cstheme="majorHAnsi"/>
          <w:b w:val="0"/>
          <w:bCs w:val="0"/>
          <w:sz w:val="24"/>
          <w:szCs w:val="24"/>
        </w:rPr>
        <w:t>, întreprinderile prestatoare de servicii vor întra în insolvabilitate totală din simplu</w:t>
      </w:r>
      <w:r w:rsidR="009B0FA5">
        <w:rPr>
          <w:rFonts w:asciiTheme="majorHAnsi" w:eastAsia="Times New Roman" w:hAnsiTheme="majorHAnsi" w:cstheme="majorHAnsi"/>
          <w:b w:val="0"/>
          <w:bCs w:val="0"/>
          <w:sz w:val="24"/>
          <w:szCs w:val="24"/>
        </w:rPr>
        <w:t>l</w:t>
      </w:r>
      <w:r w:rsidRPr="008376FC">
        <w:rPr>
          <w:rFonts w:asciiTheme="majorHAnsi" w:eastAsia="Times New Roman" w:hAnsiTheme="majorHAnsi" w:cstheme="majorHAnsi"/>
          <w:b w:val="0"/>
          <w:bCs w:val="0"/>
          <w:sz w:val="24"/>
          <w:szCs w:val="24"/>
        </w:rPr>
        <w:t xml:space="preserve"> motiv că mare</w:t>
      </w:r>
      <w:r w:rsidR="009B0FA5">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z w:val="24"/>
          <w:szCs w:val="24"/>
        </w:rPr>
        <w:t xml:space="preserve"> parte </w:t>
      </w:r>
      <w:r w:rsidRPr="007A7A3F">
        <w:rPr>
          <w:rFonts w:asciiTheme="majorHAnsi" w:eastAsia="Times New Roman" w:hAnsiTheme="majorHAnsi" w:cstheme="majorHAnsi"/>
          <w:b w:val="0"/>
          <w:bCs w:val="0"/>
          <w:sz w:val="24"/>
          <w:szCs w:val="24"/>
        </w:rPr>
        <w:t xml:space="preserve">a </w:t>
      </w:r>
      <w:r w:rsidR="009B0FA5">
        <w:rPr>
          <w:rFonts w:asciiTheme="majorHAnsi" w:eastAsia="Times New Roman" w:hAnsiTheme="majorHAnsi" w:cstheme="majorHAnsi"/>
          <w:b w:val="0"/>
          <w:bCs w:val="0"/>
          <w:sz w:val="24"/>
          <w:szCs w:val="24"/>
        </w:rPr>
        <w:t>bugetelor locale</w:t>
      </w:r>
      <w:r w:rsidR="009B0FA5" w:rsidRPr="008376FC">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sz w:val="24"/>
          <w:szCs w:val="24"/>
        </w:rPr>
        <w:t xml:space="preserve">nu dispun de suficiente resurse financiare pentru a compensa diferențele sau a subsidia activitățile respective desfășurate de întreprinderi. </w:t>
      </w:r>
    </w:p>
    <w:p w:rsidR="004005AD" w:rsidRPr="008376FC" w:rsidRDefault="004005AD" w:rsidP="00F61756">
      <w:pPr>
        <w:widowControl w:val="0"/>
        <w:numPr>
          <w:ilvl w:val="0"/>
          <w:numId w:val="18"/>
        </w:numPr>
        <w:tabs>
          <w:tab w:val="left" w:pos="567"/>
          <w:tab w:val="left" w:pos="709"/>
          <w:tab w:val="left" w:pos="851"/>
        </w:tabs>
        <w:autoSpaceDE w:val="0"/>
        <w:autoSpaceDN w:val="0"/>
        <w:spacing w:before="120" w:after="0" w:line="276" w:lineRule="auto"/>
        <w:ind w:left="0" w:right="112" w:firstLine="0"/>
        <w:jc w:val="both"/>
        <w:rPr>
          <w:rFonts w:asciiTheme="majorHAnsi" w:eastAsia="Times New Roman" w:hAnsiTheme="majorHAnsi" w:cstheme="majorHAnsi"/>
          <w:bCs w:val="0"/>
          <w:sz w:val="24"/>
          <w:szCs w:val="24"/>
        </w:rPr>
      </w:pPr>
      <w:r w:rsidRPr="008376FC">
        <w:rPr>
          <w:rFonts w:asciiTheme="majorHAnsi" w:eastAsia="Times New Roman" w:hAnsiTheme="majorHAnsi" w:cstheme="majorHAnsi"/>
          <w:bCs w:val="0"/>
          <w:sz w:val="24"/>
          <w:szCs w:val="24"/>
        </w:rPr>
        <w:t>Cheltuieli privind amortizarea</w:t>
      </w:r>
    </w:p>
    <w:p w:rsidR="009F6B17" w:rsidRDefault="004005AD"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rPr>
      </w:pPr>
      <w:r w:rsidRPr="00714105">
        <w:rPr>
          <w:rFonts w:asciiTheme="majorHAnsi" w:eastAsia="Times New Roman" w:hAnsiTheme="majorHAnsi" w:cstheme="majorHAnsi"/>
          <w:b w:val="0"/>
          <w:bCs w:val="0"/>
          <w:sz w:val="24"/>
          <w:szCs w:val="24"/>
        </w:rPr>
        <w:t xml:space="preserve">De menționat că, în componența cheltuielilor privind amortizarea mijloacelor fixe și amortizărilor necorporale aferente furnizării/prestării serviciului public de alimentare cu apă, de canalizare și epurare </w:t>
      </w:r>
      <w:r w:rsidR="009F6B17" w:rsidRPr="00714105">
        <w:rPr>
          <w:rFonts w:asciiTheme="majorHAnsi" w:eastAsia="Times New Roman" w:hAnsiTheme="majorHAnsi" w:cstheme="majorHAnsi"/>
          <w:b w:val="0"/>
          <w:bCs w:val="0"/>
          <w:sz w:val="24"/>
          <w:szCs w:val="24"/>
        </w:rPr>
        <w:t xml:space="preserve">a apelor </w:t>
      </w:r>
      <w:r w:rsidRPr="00714105">
        <w:rPr>
          <w:rFonts w:asciiTheme="majorHAnsi" w:eastAsia="Times New Roman" w:hAnsiTheme="majorHAnsi" w:cstheme="majorHAnsi"/>
          <w:b w:val="0"/>
          <w:bCs w:val="0"/>
          <w:sz w:val="24"/>
          <w:szCs w:val="24"/>
        </w:rPr>
        <w:t>uzate</w:t>
      </w:r>
      <w:r w:rsidR="009F6B17" w:rsidRPr="00714105">
        <w:rPr>
          <w:rFonts w:asciiTheme="majorHAnsi" w:eastAsia="Times New Roman" w:hAnsiTheme="majorHAnsi" w:cstheme="majorHAnsi"/>
          <w:b w:val="0"/>
          <w:bCs w:val="0"/>
          <w:sz w:val="24"/>
          <w:szCs w:val="24"/>
        </w:rPr>
        <w:t>,</w:t>
      </w:r>
      <w:r w:rsidRPr="00714105">
        <w:rPr>
          <w:rFonts w:asciiTheme="majorHAnsi" w:eastAsia="Times New Roman" w:hAnsiTheme="majorHAnsi" w:cstheme="majorHAnsi"/>
          <w:b w:val="0"/>
          <w:bCs w:val="0"/>
          <w:sz w:val="24"/>
          <w:szCs w:val="24"/>
        </w:rPr>
        <w:t xml:space="preserve"> în fiecare an de reglementare în tarif se includ doar</w:t>
      </w:r>
      <w:r w:rsidR="0057429D" w:rsidRPr="00714105">
        <w:rPr>
          <w:rFonts w:asciiTheme="majorHAnsi" w:eastAsia="Times New Roman" w:hAnsiTheme="majorHAnsi" w:cstheme="majorHAnsi"/>
          <w:b w:val="0"/>
          <w:bCs w:val="0"/>
          <w:sz w:val="24"/>
          <w:szCs w:val="24"/>
        </w:rPr>
        <w:t xml:space="preserve"> cheltuielile pentru amortizarea activelor </w:t>
      </w:r>
      <w:r w:rsidRPr="00714105">
        <w:rPr>
          <w:rFonts w:asciiTheme="majorHAnsi" w:eastAsia="Times New Roman" w:hAnsiTheme="majorHAnsi" w:cstheme="majorHAnsi"/>
          <w:b w:val="0"/>
          <w:bCs w:val="0"/>
          <w:sz w:val="24"/>
          <w:szCs w:val="24"/>
        </w:rPr>
        <w:t>deținute cu dreptul de proprietate</w:t>
      </w:r>
      <w:r w:rsidRPr="008376FC">
        <w:rPr>
          <w:rFonts w:asciiTheme="majorHAnsi" w:eastAsia="Times New Roman" w:hAnsiTheme="majorHAnsi" w:cstheme="majorHAnsi"/>
          <w:b w:val="0"/>
          <w:bCs w:val="0"/>
          <w:sz w:val="24"/>
          <w:szCs w:val="24"/>
          <w:vertAlign w:val="superscript"/>
        </w:rPr>
        <w:footnoteReference w:id="140"/>
      </w:r>
      <w:r w:rsidRPr="008376FC">
        <w:rPr>
          <w:rFonts w:asciiTheme="majorHAnsi" w:eastAsia="Times New Roman" w:hAnsiTheme="majorHAnsi" w:cstheme="majorHAnsi"/>
          <w:b w:val="0"/>
          <w:bCs w:val="0"/>
          <w:sz w:val="24"/>
          <w:szCs w:val="24"/>
        </w:rPr>
        <w:t>. Totodată, în tarif nu se includ mijloacele publice care prin natura lor aparțin domeniului public al UAT, mijloacele fixe și imobilizări</w:t>
      </w:r>
      <w:r w:rsidR="009F6B17">
        <w:rPr>
          <w:rFonts w:asciiTheme="majorHAnsi" w:eastAsia="Times New Roman" w:hAnsiTheme="majorHAnsi" w:cstheme="majorHAnsi"/>
          <w:b w:val="0"/>
          <w:bCs w:val="0"/>
          <w:sz w:val="24"/>
          <w:szCs w:val="24"/>
        </w:rPr>
        <w:t>le</w:t>
      </w:r>
      <w:r w:rsidRPr="008376FC">
        <w:rPr>
          <w:rFonts w:asciiTheme="majorHAnsi" w:eastAsia="Times New Roman" w:hAnsiTheme="majorHAnsi" w:cstheme="majorHAnsi"/>
          <w:b w:val="0"/>
          <w:bCs w:val="0"/>
          <w:sz w:val="24"/>
          <w:szCs w:val="24"/>
        </w:rPr>
        <w:t xml:space="preserve"> necorporale finanțate de donatori, procurate din contul subvențiilor și alocate din BUAT sau BS, transmise operatorului cu titlu gratuit etc. În consecință, </w:t>
      </w:r>
      <w:r w:rsidR="009F6B17">
        <w:rPr>
          <w:rFonts w:asciiTheme="majorHAnsi" w:eastAsia="Times New Roman" w:hAnsiTheme="majorHAnsi" w:cstheme="majorHAnsi"/>
          <w:b w:val="0"/>
          <w:bCs w:val="0"/>
          <w:sz w:val="24"/>
          <w:szCs w:val="24"/>
        </w:rPr>
        <w:t xml:space="preserve">ca </w:t>
      </w:r>
      <w:r w:rsidRPr="008376FC">
        <w:rPr>
          <w:rFonts w:asciiTheme="majorHAnsi" w:eastAsia="Times New Roman" w:hAnsiTheme="majorHAnsi" w:cstheme="majorHAnsi"/>
          <w:b w:val="0"/>
          <w:bCs w:val="0"/>
          <w:sz w:val="24"/>
          <w:szCs w:val="24"/>
        </w:rPr>
        <w:t xml:space="preserve">urmare a acestor restricții, operatorii serviciilor publice de alimentare cu apă și </w:t>
      </w:r>
      <w:r w:rsidR="009F6B17">
        <w:rPr>
          <w:rFonts w:asciiTheme="majorHAnsi" w:eastAsia="Times New Roman" w:hAnsiTheme="majorHAnsi" w:cstheme="majorHAnsi"/>
          <w:b w:val="0"/>
          <w:bCs w:val="0"/>
          <w:sz w:val="24"/>
          <w:szCs w:val="24"/>
        </w:rPr>
        <w:t xml:space="preserve">de </w:t>
      </w:r>
      <w:r w:rsidRPr="008376FC">
        <w:rPr>
          <w:rFonts w:asciiTheme="majorHAnsi" w:eastAsia="Times New Roman" w:hAnsiTheme="majorHAnsi" w:cstheme="majorHAnsi"/>
          <w:b w:val="0"/>
          <w:bCs w:val="0"/>
          <w:sz w:val="24"/>
          <w:szCs w:val="24"/>
        </w:rPr>
        <w:t xml:space="preserve">canalizare nu au </w:t>
      </w:r>
      <w:r w:rsidR="00A23B8A">
        <w:rPr>
          <w:rFonts w:asciiTheme="majorHAnsi" w:eastAsia="Times New Roman" w:hAnsiTheme="majorHAnsi" w:cstheme="majorHAnsi"/>
          <w:b w:val="0"/>
          <w:bCs w:val="0"/>
          <w:sz w:val="24"/>
          <w:szCs w:val="24"/>
        </w:rPr>
        <w:t xml:space="preserve">resurse </w:t>
      </w:r>
      <w:r w:rsidRPr="008376FC">
        <w:rPr>
          <w:rFonts w:asciiTheme="majorHAnsi" w:eastAsia="Times New Roman" w:hAnsiTheme="majorHAnsi" w:cstheme="majorHAnsi"/>
          <w:b w:val="0"/>
          <w:bCs w:val="0"/>
          <w:sz w:val="24"/>
          <w:szCs w:val="24"/>
        </w:rPr>
        <w:t>proprii pentru a forma Fondul de dezvoltare, care conform art. 36</w:t>
      </w:r>
      <w:r w:rsidRPr="008376FC">
        <w:rPr>
          <w:rFonts w:asciiTheme="majorHAnsi" w:eastAsia="Times New Roman" w:hAnsiTheme="majorHAnsi" w:cstheme="majorHAnsi"/>
          <w:b w:val="0"/>
          <w:bCs w:val="0"/>
          <w:sz w:val="24"/>
          <w:szCs w:val="24"/>
          <w:vertAlign w:val="superscript"/>
        </w:rPr>
        <w:t>1</w:t>
      </w:r>
      <w:r w:rsidRPr="008376FC">
        <w:rPr>
          <w:rFonts w:asciiTheme="majorHAnsi" w:eastAsia="Times New Roman" w:hAnsiTheme="majorHAnsi" w:cstheme="majorHAnsi"/>
          <w:b w:val="0"/>
          <w:bCs w:val="0"/>
          <w:sz w:val="24"/>
          <w:szCs w:val="24"/>
        </w:rPr>
        <w:t xml:space="preserve"> din Legea nr.303/2013, este destinat pentru înlocuirea şi dezvoltarea infrastructurii tehnico-edilitare aferente serviciului public de alimentare cu apă și de canalizare, pentru cofinanțarea proiectelor care beneficiază de asistență nerambursabilă, precum şi pentru asigurarea fondurilor necesare rambursării împrumuturilor contractate în scopul efectuării investițiilor. Nici fonda</w:t>
      </w:r>
      <w:r w:rsidR="00692DA5" w:rsidRPr="008376FC">
        <w:rPr>
          <w:rFonts w:asciiTheme="majorHAnsi" w:eastAsia="Times New Roman" w:hAnsiTheme="majorHAnsi" w:cstheme="majorHAnsi"/>
          <w:b w:val="0"/>
          <w:bCs w:val="0"/>
          <w:sz w:val="24"/>
          <w:szCs w:val="24"/>
        </w:rPr>
        <w:t>torii (APL)</w:t>
      </w:r>
      <w:r w:rsidRPr="008376FC">
        <w:rPr>
          <w:rFonts w:asciiTheme="majorHAnsi" w:eastAsia="Times New Roman" w:hAnsiTheme="majorHAnsi" w:cstheme="majorHAnsi"/>
          <w:b w:val="0"/>
          <w:bCs w:val="0"/>
          <w:sz w:val="24"/>
          <w:szCs w:val="24"/>
        </w:rPr>
        <w:t xml:space="preserve"> întreprinderilor respective nu dispun în buget</w:t>
      </w:r>
      <w:r w:rsidR="00C51CF0" w:rsidRPr="008376FC">
        <w:rPr>
          <w:rFonts w:asciiTheme="majorHAnsi" w:eastAsia="Times New Roman" w:hAnsiTheme="majorHAnsi" w:cstheme="majorHAnsi"/>
          <w:b w:val="0"/>
          <w:bCs w:val="0"/>
          <w:sz w:val="24"/>
          <w:szCs w:val="24"/>
        </w:rPr>
        <w:t xml:space="preserve">ele </w:t>
      </w:r>
      <w:r w:rsidR="009F6B17">
        <w:rPr>
          <w:rFonts w:asciiTheme="majorHAnsi" w:eastAsia="Times New Roman" w:hAnsiTheme="majorHAnsi" w:cstheme="majorHAnsi"/>
          <w:b w:val="0"/>
          <w:bCs w:val="0"/>
          <w:sz w:val="24"/>
          <w:szCs w:val="24"/>
        </w:rPr>
        <w:t>lor</w:t>
      </w:r>
      <w:r w:rsidR="00C51CF0" w:rsidRPr="008376FC">
        <w:rPr>
          <w:rFonts w:asciiTheme="majorHAnsi" w:eastAsia="Times New Roman" w:hAnsiTheme="majorHAnsi" w:cstheme="majorHAnsi"/>
          <w:b w:val="0"/>
          <w:bCs w:val="0"/>
          <w:sz w:val="24"/>
          <w:szCs w:val="24"/>
        </w:rPr>
        <w:t xml:space="preserve"> de resurse financiare </w:t>
      </w:r>
      <w:r w:rsidRPr="008376FC">
        <w:rPr>
          <w:rFonts w:asciiTheme="majorHAnsi" w:eastAsia="Times New Roman" w:hAnsiTheme="majorHAnsi" w:cstheme="majorHAnsi"/>
          <w:b w:val="0"/>
          <w:bCs w:val="0"/>
          <w:sz w:val="24"/>
          <w:szCs w:val="24"/>
        </w:rPr>
        <w:t xml:space="preserve">pentru a compensa anual valoarea amortizării anuale calculate pentru obiectivele transmise sub diferite forme </w:t>
      </w:r>
      <w:r w:rsidR="009F6B17">
        <w:rPr>
          <w:rFonts w:asciiTheme="majorHAnsi" w:eastAsia="Times New Roman" w:hAnsiTheme="majorHAnsi" w:cstheme="majorHAnsi"/>
          <w:b w:val="0"/>
          <w:bCs w:val="0"/>
          <w:sz w:val="24"/>
          <w:szCs w:val="24"/>
        </w:rPr>
        <w:t>de</w:t>
      </w:r>
      <w:r w:rsidRPr="008376FC">
        <w:rPr>
          <w:rFonts w:asciiTheme="majorHAnsi" w:eastAsia="Times New Roman" w:hAnsiTheme="majorHAnsi" w:cstheme="majorHAnsi"/>
          <w:b w:val="0"/>
          <w:bCs w:val="0"/>
          <w:sz w:val="24"/>
          <w:szCs w:val="24"/>
        </w:rPr>
        <w:t xml:space="preserve"> gospodărire (comodat/gratuit/gestiune etc.) întreprinderilor prestatoare de servicii. </w:t>
      </w:r>
    </w:p>
    <w:p w:rsidR="004005AD" w:rsidRPr="008376FC" w:rsidRDefault="004005AD"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Obiectivele respective, în condițiile în care acestea sunt transmise pentru gestiune fără plată sau sunt create din alte surse dec</w:t>
      </w:r>
      <w:r w:rsidR="009F6B17">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 xml:space="preserve">t cele proprii (externe/subvenții), </w:t>
      </w:r>
      <w:r w:rsidR="009F6B17">
        <w:rPr>
          <w:rFonts w:asciiTheme="majorHAnsi" w:eastAsia="Times New Roman" w:hAnsiTheme="majorHAnsi" w:cstheme="majorHAnsi"/>
          <w:b w:val="0"/>
          <w:bCs w:val="0"/>
          <w:sz w:val="24"/>
          <w:szCs w:val="24"/>
        </w:rPr>
        <w:t>nu sunt</w:t>
      </w:r>
      <w:r w:rsidRPr="008376FC">
        <w:rPr>
          <w:rFonts w:asciiTheme="majorHAnsi" w:eastAsia="Times New Roman" w:hAnsiTheme="majorHAnsi" w:cstheme="majorHAnsi"/>
          <w:b w:val="0"/>
          <w:bCs w:val="0"/>
          <w:sz w:val="24"/>
          <w:szCs w:val="24"/>
        </w:rPr>
        <w:t xml:space="preserve"> recuperate prin tarif. În mod normal, ar trebui să fie recuperate</w:t>
      </w:r>
      <w:r w:rsidR="00A23B8A">
        <w:rPr>
          <w:rFonts w:asciiTheme="majorHAnsi" w:eastAsia="Times New Roman" w:hAnsiTheme="majorHAnsi" w:cstheme="majorHAnsi"/>
          <w:b w:val="0"/>
          <w:bCs w:val="0"/>
          <w:sz w:val="24"/>
          <w:szCs w:val="24"/>
        </w:rPr>
        <w:t xml:space="preserve"> sau prin redevență, sau</w:t>
      </w:r>
      <w:r w:rsidRPr="008376FC">
        <w:rPr>
          <w:rFonts w:asciiTheme="majorHAnsi" w:eastAsia="Times New Roman" w:hAnsiTheme="majorHAnsi" w:cstheme="majorHAnsi"/>
          <w:b w:val="0"/>
          <w:bCs w:val="0"/>
          <w:sz w:val="24"/>
          <w:szCs w:val="24"/>
        </w:rPr>
        <w:t xml:space="preserve"> prin subsidii/subvenții</w:t>
      </w:r>
      <w:r w:rsidR="00A23B8A">
        <w:rPr>
          <w:rFonts w:asciiTheme="majorHAnsi" w:eastAsia="Times New Roman" w:hAnsiTheme="majorHAnsi" w:cstheme="majorHAnsi"/>
          <w:b w:val="0"/>
          <w:bCs w:val="0"/>
          <w:sz w:val="24"/>
          <w:szCs w:val="24"/>
        </w:rPr>
        <w:t xml:space="preserve"> cu destinație specială</w:t>
      </w:r>
      <w:r w:rsidRPr="008376FC">
        <w:rPr>
          <w:rFonts w:asciiTheme="majorHAnsi" w:eastAsia="Times New Roman" w:hAnsiTheme="majorHAnsi" w:cstheme="majorHAnsi"/>
          <w:b w:val="0"/>
          <w:bCs w:val="0"/>
          <w:sz w:val="24"/>
          <w:szCs w:val="24"/>
        </w:rPr>
        <w:t xml:space="preserve">, </w:t>
      </w:r>
      <w:r w:rsidR="009F6B17">
        <w:rPr>
          <w:rFonts w:asciiTheme="majorHAnsi" w:eastAsia="Times New Roman" w:hAnsiTheme="majorHAnsi" w:cstheme="majorHAnsi"/>
          <w:b w:val="0"/>
          <w:bCs w:val="0"/>
          <w:sz w:val="24"/>
          <w:szCs w:val="24"/>
        </w:rPr>
        <w:t xml:space="preserve">pe </w:t>
      </w:r>
      <w:r w:rsidRPr="008376FC">
        <w:rPr>
          <w:rFonts w:asciiTheme="majorHAnsi" w:eastAsia="Times New Roman" w:hAnsiTheme="majorHAnsi" w:cstheme="majorHAnsi"/>
          <w:b w:val="0"/>
          <w:bCs w:val="0"/>
          <w:sz w:val="24"/>
          <w:szCs w:val="24"/>
        </w:rPr>
        <w:t xml:space="preserve">care fondatorii întreprinderilor nu le pot acorda din lipsa resurselor financiare suficiente în bugetele </w:t>
      </w:r>
      <w:r w:rsidR="009F6B17">
        <w:rPr>
          <w:rFonts w:asciiTheme="majorHAnsi" w:eastAsia="Times New Roman" w:hAnsiTheme="majorHAnsi" w:cstheme="majorHAnsi"/>
          <w:b w:val="0"/>
          <w:bCs w:val="0"/>
          <w:sz w:val="24"/>
          <w:szCs w:val="24"/>
        </w:rPr>
        <w:t>lor</w:t>
      </w:r>
      <w:r w:rsidRPr="008376FC">
        <w:rPr>
          <w:rFonts w:asciiTheme="majorHAnsi" w:eastAsia="Times New Roman" w:hAnsiTheme="majorHAnsi" w:cstheme="majorHAnsi"/>
          <w:b w:val="0"/>
          <w:bCs w:val="0"/>
          <w:sz w:val="24"/>
          <w:szCs w:val="24"/>
        </w:rPr>
        <w:t xml:space="preserve">. </w:t>
      </w:r>
      <w:r w:rsidR="009F6B17">
        <w:rPr>
          <w:rFonts w:asciiTheme="majorHAnsi" w:eastAsia="Times New Roman" w:hAnsiTheme="majorHAnsi" w:cstheme="majorHAnsi"/>
          <w:b w:val="0"/>
          <w:bCs w:val="0"/>
          <w:sz w:val="24"/>
          <w:szCs w:val="24"/>
        </w:rPr>
        <w:t>Astfel, s</w:t>
      </w:r>
      <w:r w:rsidRPr="008376FC">
        <w:rPr>
          <w:rFonts w:asciiTheme="majorHAnsi" w:eastAsia="Times New Roman" w:hAnsiTheme="majorHAnsi" w:cstheme="majorHAnsi"/>
          <w:b w:val="0"/>
          <w:bCs w:val="0"/>
          <w:sz w:val="24"/>
          <w:szCs w:val="24"/>
        </w:rPr>
        <w:t xml:space="preserve">e </w:t>
      </w:r>
      <w:r w:rsidR="009F6B17">
        <w:rPr>
          <w:rFonts w:asciiTheme="majorHAnsi" w:eastAsia="Times New Roman" w:hAnsiTheme="majorHAnsi" w:cstheme="majorHAnsi"/>
          <w:b w:val="0"/>
          <w:bCs w:val="0"/>
          <w:sz w:val="24"/>
          <w:szCs w:val="24"/>
        </w:rPr>
        <w:t>creează</w:t>
      </w:r>
      <w:r w:rsidRPr="008376FC">
        <w:rPr>
          <w:rFonts w:asciiTheme="majorHAnsi" w:eastAsia="Times New Roman" w:hAnsiTheme="majorHAnsi" w:cstheme="majorHAnsi"/>
          <w:b w:val="0"/>
          <w:bCs w:val="0"/>
          <w:sz w:val="24"/>
          <w:szCs w:val="24"/>
        </w:rPr>
        <w:t xml:space="preserve"> un cerc vicios care</w:t>
      </w:r>
      <w:r w:rsidR="009F6B17">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în consecință</w:t>
      </w:r>
      <w:r w:rsidR="009F6B17">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duce la acumularea continuă a pierderilor din simplu</w:t>
      </w:r>
      <w:r w:rsidR="009F6B17">
        <w:rPr>
          <w:rFonts w:asciiTheme="majorHAnsi" w:eastAsia="Times New Roman" w:hAnsiTheme="majorHAnsi" w:cstheme="majorHAnsi"/>
          <w:b w:val="0"/>
          <w:bCs w:val="0"/>
          <w:sz w:val="24"/>
          <w:szCs w:val="24"/>
        </w:rPr>
        <w:t>l</w:t>
      </w:r>
      <w:r w:rsidRPr="008376FC">
        <w:rPr>
          <w:rFonts w:asciiTheme="majorHAnsi" w:eastAsia="Times New Roman" w:hAnsiTheme="majorHAnsi" w:cstheme="majorHAnsi"/>
          <w:b w:val="0"/>
          <w:bCs w:val="0"/>
          <w:sz w:val="24"/>
          <w:szCs w:val="24"/>
        </w:rPr>
        <w:t xml:space="preserve"> motiv că, primind în gestiune unele bunuri noi, indiferent din care surse acestea au fost create, întreprinderile urmează, pe durata lor de funcționare, să întreprindă măsuri </w:t>
      </w:r>
      <w:r w:rsidR="005104E7">
        <w:rPr>
          <w:rFonts w:asciiTheme="majorHAnsi" w:eastAsia="Times New Roman" w:hAnsiTheme="majorHAnsi" w:cstheme="majorHAnsi"/>
          <w:b w:val="0"/>
          <w:bCs w:val="0"/>
          <w:sz w:val="24"/>
          <w:szCs w:val="24"/>
        </w:rPr>
        <w:t>de</w:t>
      </w:r>
      <w:r w:rsidRPr="008376FC">
        <w:rPr>
          <w:rFonts w:asciiTheme="majorHAnsi" w:eastAsia="Times New Roman" w:hAnsiTheme="majorHAnsi" w:cstheme="majorHAnsi"/>
          <w:b w:val="0"/>
          <w:bCs w:val="0"/>
          <w:sz w:val="24"/>
          <w:szCs w:val="24"/>
        </w:rPr>
        <w:t xml:space="preserve"> menținere</w:t>
      </w:r>
      <w:r w:rsidR="005104E7">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sz w:val="24"/>
          <w:szCs w:val="24"/>
        </w:rPr>
        <w:t xml:space="preserve">a lor în funcțiune, </w:t>
      </w:r>
      <w:r w:rsidR="005104E7">
        <w:rPr>
          <w:rFonts w:asciiTheme="majorHAnsi" w:eastAsia="Times New Roman" w:hAnsiTheme="majorHAnsi" w:cstheme="majorHAnsi"/>
          <w:b w:val="0"/>
          <w:bCs w:val="0"/>
          <w:sz w:val="24"/>
          <w:szCs w:val="24"/>
        </w:rPr>
        <w:t xml:space="preserve">de </w:t>
      </w:r>
      <w:r w:rsidRPr="008376FC">
        <w:rPr>
          <w:rFonts w:asciiTheme="majorHAnsi" w:eastAsia="Times New Roman" w:hAnsiTheme="majorHAnsi" w:cstheme="majorHAnsi"/>
          <w:b w:val="0"/>
          <w:bCs w:val="0"/>
          <w:sz w:val="24"/>
          <w:szCs w:val="24"/>
        </w:rPr>
        <w:t>dezvoltare</w:t>
      </w:r>
      <w:r w:rsidR="005104E7">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sz w:val="24"/>
          <w:szCs w:val="24"/>
        </w:rPr>
        <w:t xml:space="preserve">a rețelelor existente etc. În lipsa resurselor </w:t>
      </w:r>
      <w:r w:rsidR="005104E7">
        <w:rPr>
          <w:rFonts w:asciiTheme="majorHAnsi" w:eastAsia="Times New Roman" w:hAnsiTheme="majorHAnsi" w:cstheme="majorHAnsi"/>
          <w:b w:val="0"/>
          <w:bCs w:val="0"/>
          <w:sz w:val="24"/>
          <w:szCs w:val="24"/>
        </w:rPr>
        <w:t>necesare</w:t>
      </w:r>
      <w:r w:rsidRPr="008376FC">
        <w:rPr>
          <w:rFonts w:asciiTheme="majorHAnsi" w:eastAsia="Times New Roman" w:hAnsiTheme="majorHAnsi" w:cstheme="majorHAnsi"/>
          <w:b w:val="0"/>
          <w:bCs w:val="0"/>
          <w:sz w:val="24"/>
          <w:szCs w:val="24"/>
        </w:rPr>
        <w:t xml:space="preserve">, se menține infrastructura aflată în gestiune din mijloacele proprii acumulate, destinate acestui scop. Fondurile de mijloace financiare acumulate în contul recuperării prin includere în tarif a amortizării mijloacelor fixe care fac parte din proprietatea întreprinderii sunt insuficiente pentru a face față menținerii adecvate și corespunzătoare a infrastructurii gestionate de întreprinderi. </w:t>
      </w:r>
      <w:r w:rsidR="005104E7">
        <w:rPr>
          <w:rFonts w:asciiTheme="majorHAnsi" w:eastAsia="Times New Roman" w:hAnsiTheme="majorHAnsi" w:cstheme="majorHAnsi"/>
          <w:b w:val="0"/>
          <w:bCs w:val="0"/>
          <w:sz w:val="24"/>
          <w:szCs w:val="24"/>
        </w:rPr>
        <w:t>O m</w:t>
      </w:r>
      <w:r w:rsidRPr="008376FC">
        <w:rPr>
          <w:rFonts w:asciiTheme="majorHAnsi" w:eastAsia="Times New Roman" w:hAnsiTheme="majorHAnsi" w:cstheme="majorHAnsi"/>
          <w:b w:val="0"/>
          <w:bCs w:val="0"/>
          <w:sz w:val="24"/>
          <w:szCs w:val="24"/>
        </w:rPr>
        <w:t xml:space="preserve">are parte a infrastructurii noi este creată din contul mijloacelor fondurilor </w:t>
      </w:r>
      <w:r w:rsidR="005104E7">
        <w:rPr>
          <w:rFonts w:asciiTheme="majorHAnsi" w:eastAsia="Times New Roman" w:hAnsiTheme="majorHAnsi" w:cstheme="majorHAnsi"/>
          <w:b w:val="0"/>
          <w:bCs w:val="0"/>
          <w:sz w:val="24"/>
          <w:szCs w:val="24"/>
        </w:rPr>
        <w:t xml:space="preserve">de </w:t>
      </w:r>
      <w:r w:rsidRPr="008376FC">
        <w:rPr>
          <w:rFonts w:asciiTheme="majorHAnsi" w:eastAsia="Times New Roman" w:hAnsiTheme="majorHAnsi" w:cstheme="majorHAnsi"/>
          <w:b w:val="0"/>
          <w:bCs w:val="0"/>
          <w:sz w:val="24"/>
          <w:szCs w:val="24"/>
        </w:rPr>
        <w:t>stat (FNDR și FEN</w:t>
      </w:r>
      <w:r w:rsidR="005104E7">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actualmente FNDRL și FNM) sau din mijloacele fondurilor externe, transmise gratuit APL, care</w:t>
      </w:r>
      <w:r w:rsidR="005104E7">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la rândul său</w:t>
      </w:r>
      <w:r w:rsidR="005104E7">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le-au transmis</w:t>
      </w:r>
      <w:r w:rsidR="005104E7">
        <w:rPr>
          <w:rFonts w:asciiTheme="majorHAnsi" w:eastAsia="Times New Roman" w:hAnsiTheme="majorHAnsi" w:cstheme="majorHAnsi"/>
          <w:b w:val="0"/>
          <w:bCs w:val="0"/>
          <w:sz w:val="24"/>
          <w:szCs w:val="24"/>
        </w:rPr>
        <w:t xml:space="preserve"> </w:t>
      </w:r>
      <w:r w:rsidR="005104E7" w:rsidRPr="008376FC">
        <w:rPr>
          <w:rFonts w:asciiTheme="majorHAnsi" w:eastAsia="Times New Roman" w:hAnsiTheme="majorHAnsi" w:cstheme="majorHAnsi"/>
          <w:b w:val="0"/>
          <w:bCs w:val="0"/>
          <w:sz w:val="24"/>
          <w:szCs w:val="24"/>
        </w:rPr>
        <w:t>fără plată</w:t>
      </w:r>
      <w:r w:rsidRPr="008376FC">
        <w:rPr>
          <w:rFonts w:asciiTheme="majorHAnsi" w:eastAsia="Times New Roman" w:hAnsiTheme="majorHAnsi" w:cstheme="majorHAnsi"/>
          <w:b w:val="0"/>
          <w:bCs w:val="0"/>
          <w:sz w:val="24"/>
          <w:szCs w:val="24"/>
        </w:rPr>
        <w:t xml:space="preserve"> întreprinderilor prestatoare de servicii de alimentare cu apă și </w:t>
      </w:r>
      <w:r w:rsidR="005104E7">
        <w:rPr>
          <w:rFonts w:asciiTheme="majorHAnsi" w:eastAsia="Times New Roman" w:hAnsiTheme="majorHAnsi" w:cstheme="majorHAnsi"/>
          <w:b w:val="0"/>
          <w:bCs w:val="0"/>
          <w:sz w:val="24"/>
          <w:szCs w:val="24"/>
        </w:rPr>
        <w:t xml:space="preserve">de </w:t>
      </w:r>
      <w:r w:rsidRPr="008376FC">
        <w:rPr>
          <w:rFonts w:asciiTheme="majorHAnsi" w:eastAsia="Times New Roman" w:hAnsiTheme="majorHAnsi" w:cstheme="majorHAnsi"/>
          <w:b w:val="0"/>
          <w:bCs w:val="0"/>
          <w:sz w:val="24"/>
          <w:szCs w:val="24"/>
        </w:rPr>
        <w:t>canalizare. Iar conform regulilor aprobate în Metodologie, valoarea acestora face parte din excepție și</w:t>
      </w:r>
      <w:r w:rsidR="005104E7">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respectiv</w:t>
      </w:r>
      <w:r w:rsidR="005104E7">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nu se recuperează prin tarif. </w:t>
      </w:r>
    </w:p>
    <w:p w:rsidR="004005AD" w:rsidRPr="008376FC" w:rsidRDefault="004005AD"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În opinia auditului, abordarea aplicată urmează a fi revizuită, deoarece conform pct.12 din HG nr. 901/2015 </w:t>
      </w:r>
      <w:r w:rsidR="005104E7">
        <w:rPr>
          <w:rFonts w:asciiTheme="majorHAnsi" w:eastAsia="Times New Roman" w:hAnsiTheme="majorHAnsi" w:cstheme="majorHAnsi"/>
          <w:b w:val="0"/>
          <w:bCs w:val="0"/>
          <w:sz w:val="24"/>
          <w:szCs w:val="24"/>
        </w:rPr>
        <w:t>„P</w:t>
      </w:r>
      <w:r w:rsidRPr="008376FC">
        <w:rPr>
          <w:rFonts w:asciiTheme="majorHAnsi" w:eastAsia="Times New Roman" w:hAnsiTheme="majorHAnsi" w:cstheme="majorHAnsi"/>
          <w:b w:val="0"/>
          <w:bCs w:val="0"/>
          <w:sz w:val="24"/>
          <w:szCs w:val="24"/>
        </w:rPr>
        <w:t>entru aprobarea Regulamentului cu privire la modul de transmitere a bunurilor proprietate publică</w:t>
      </w:r>
      <w:r w:rsidR="005104E7">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w:t>
      </w:r>
      <w:r w:rsidR="005104E7">
        <w:rPr>
          <w:rFonts w:asciiTheme="majorHAnsi" w:eastAsia="Times New Roman" w:hAnsiTheme="majorHAnsi" w:cstheme="majorHAnsi"/>
          <w:b w:val="0"/>
          <w:bCs w:val="0"/>
          <w:sz w:val="24"/>
          <w:szCs w:val="24"/>
        </w:rPr>
        <w:t>d</w:t>
      </w:r>
      <w:r w:rsidRPr="008376FC">
        <w:rPr>
          <w:rFonts w:asciiTheme="majorHAnsi" w:eastAsia="Times New Roman" w:hAnsiTheme="majorHAnsi" w:cstheme="majorHAnsi"/>
          <w:b w:val="0"/>
          <w:bCs w:val="0"/>
          <w:sz w:val="24"/>
          <w:szCs w:val="24"/>
        </w:rPr>
        <w:t xml:space="preserve">ecizia de transmitere a bunurilor proprietate publică, </w:t>
      </w:r>
      <w:r w:rsidR="005104E7">
        <w:rPr>
          <w:rFonts w:asciiTheme="majorHAnsi" w:eastAsia="Times New Roman" w:hAnsiTheme="majorHAnsi" w:cstheme="majorHAnsi"/>
          <w:b w:val="0"/>
          <w:bCs w:val="0"/>
          <w:sz w:val="24"/>
          <w:szCs w:val="24"/>
        </w:rPr>
        <w:t xml:space="preserve">a căror </w:t>
      </w:r>
      <w:r w:rsidRPr="008376FC">
        <w:rPr>
          <w:rFonts w:asciiTheme="majorHAnsi" w:eastAsia="Times New Roman" w:hAnsiTheme="majorHAnsi" w:cstheme="majorHAnsi"/>
          <w:b w:val="0"/>
          <w:bCs w:val="0"/>
          <w:sz w:val="24"/>
          <w:szCs w:val="24"/>
        </w:rPr>
        <w:t xml:space="preserve">întreținere este sau va fi finanțată integral </w:t>
      </w:r>
      <w:r w:rsidR="005104E7">
        <w:rPr>
          <w:rFonts w:asciiTheme="majorHAnsi" w:eastAsia="Times New Roman" w:hAnsiTheme="majorHAnsi" w:cstheme="majorHAnsi"/>
          <w:b w:val="0"/>
          <w:bCs w:val="0"/>
          <w:sz w:val="24"/>
          <w:szCs w:val="24"/>
        </w:rPr>
        <w:t>ori</w:t>
      </w:r>
      <w:r w:rsidRPr="008376FC">
        <w:rPr>
          <w:rFonts w:asciiTheme="majorHAnsi" w:eastAsia="Times New Roman" w:hAnsiTheme="majorHAnsi" w:cstheme="majorHAnsi"/>
          <w:b w:val="0"/>
          <w:bCs w:val="0"/>
          <w:sz w:val="24"/>
          <w:szCs w:val="24"/>
        </w:rPr>
        <w:t xml:space="preserve"> parțial din bugetul public national, cu excepţia transmiterii bunurilor proprietate publică în cadrul unei</w:t>
      </w:r>
      <w:r w:rsidR="005104E7">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z w:val="24"/>
          <w:szCs w:val="24"/>
        </w:rPr>
        <w:t xml:space="preserve"> şi aceleiaşi autorităţi a administraţiei publice, se adoptă prin coordonare prealabilă cu Ministerul Finanțelor. </w:t>
      </w:r>
      <w:r w:rsidR="005104E7">
        <w:rPr>
          <w:rFonts w:asciiTheme="majorHAnsi" w:eastAsia="Times New Roman" w:hAnsiTheme="majorHAnsi" w:cstheme="majorHAnsi"/>
          <w:b w:val="0"/>
          <w:bCs w:val="0"/>
          <w:sz w:val="24"/>
          <w:szCs w:val="24"/>
        </w:rPr>
        <w:t>Aceasta</w:t>
      </w:r>
      <w:r w:rsidRPr="008376FC">
        <w:rPr>
          <w:rFonts w:asciiTheme="majorHAnsi" w:eastAsia="Times New Roman" w:hAnsiTheme="majorHAnsi" w:cstheme="majorHAnsi"/>
          <w:b w:val="0"/>
          <w:bCs w:val="0"/>
          <w:sz w:val="24"/>
          <w:szCs w:val="24"/>
        </w:rPr>
        <w:t xml:space="preserve"> presupune că, la aprobarea bugetului</w:t>
      </w:r>
      <w:r w:rsidR="005104E7">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urmează a fi prevăzute alocații bugetare pentru întreținerea bunurilor noi primite gratuit. Ace</w:t>
      </w:r>
      <w:r w:rsidR="005104E7">
        <w:rPr>
          <w:rFonts w:asciiTheme="majorHAnsi" w:eastAsia="Times New Roman" w:hAnsiTheme="majorHAnsi" w:cstheme="majorHAnsi"/>
          <w:b w:val="0"/>
          <w:bCs w:val="0"/>
          <w:sz w:val="24"/>
          <w:szCs w:val="24"/>
        </w:rPr>
        <w:t>e</w:t>
      </w:r>
      <w:r w:rsidRPr="008376FC">
        <w:rPr>
          <w:rFonts w:asciiTheme="majorHAnsi" w:eastAsia="Times New Roman" w:hAnsiTheme="majorHAnsi" w:cstheme="majorHAnsi"/>
          <w:b w:val="0"/>
          <w:bCs w:val="0"/>
          <w:sz w:val="24"/>
          <w:szCs w:val="24"/>
        </w:rPr>
        <w:t xml:space="preserve">ași abordare ar trebui să fie </w:t>
      </w:r>
      <w:r w:rsidR="005104E7">
        <w:rPr>
          <w:rFonts w:asciiTheme="majorHAnsi" w:eastAsia="Times New Roman" w:hAnsiTheme="majorHAnsi" w:cstheme="majorHAnsi"/>
          <w:b w:val="0"/>
          <w:bCs w:val="0"/>
          <w:sz w:val="24"/>
          <w:szCs w:val="24"/>
        </w:rPr>
        <w:t>aplicată</w:t>
      </w:r>
      <w:r w:rsidRPr="008376FC">
        <w:rPr>
          <w:rFonts w:asciiTheme="majorHAnsi" w:eastAsia="Times New Roman" w:hAnsiTheme="majorHAnsi" w:cstheme="majorHAnsi"/>
          <w:b w:val="0"/>
          <w:bCs w:val="0"/>
          <w:sz w:val="24"/>
          <w:szCs w:val="24"/>
        </w:rPr>
        <w:t xml:space="preserve"> și în cazul întreprinderilor prestatoare de servicii de alimentare cu apă și canalizare. Pentru că </w:t>
      </w:r>
      <w:r w:rsidR="005104E7">
        <w:rPr>
          <w:rFonts w:asciiTheme="majorHAnsi" w:eastAsia="Times New Roman" w:hAnsiTheme="majorHAnsi" w:cstheme="majorHAnsi"/>
          <w:b w:val="0"/>
          <w:bCs w:val="0"/>
          <w:sz w:val="24"/>
          <w:szCs w:val="24"/>
        </w:rPr>
        <w:t>i</w:t>
      </w:r>
      <w:r w:rsidRPr="008376FC">
        <w:rPr>
          <w:rFonts w:asciiTheme="majorHAnsi" w:eastAsia="Times New Roman" w:hAnsiTheme="majorHAnsi" w:cstheme="majorHAnsi"/>
          <w:b w:val="0"/>
          <w:bCs w:val="0"/>
          <w:sz w:val="24"/>
          <w:szCs w:val="24"/>
        </w:rPr>
        <w:t xml:space="preserve">ntrarea în posesie a unor bunuri noi, indiferent de formă și din care surse acestea sunt create, va genera pe viitor costuri </w:t>
      </w:r>
      <w:r w:rsidR="00E03CB8">
        <w:rPr>
          <w:rFonts w:asciiTheme="majorHAnsi" w:eastAsia="Times New Roman" w:hAnsiTheme="majorHAnsi" w:cstheme="majorHAnsi"/>
          <w:b w:val="0"/>
          <w:bCs w:val="0"/>
          <w:sz w:val="24"/>
          <w:szCs w:val="24"/>
        </w:rPr>
        <w:t>de</w:t>
      </w:r>
      <w:r w:rsidRPr="008376FC">
        <w:rPr>
          <w:rFonts w:asciiTheme="majorHAnsi" w:eastAsia="Times New Roman" w:hAnsiTheme="majorHAnsi" w:cstheme="majorHAnsi"/>
          <w:b w:val="0"/>
          <w:bCs w:val="0"/>
          <w:sz w:val="24"/>
          <w:szCs w:val="24"/>
        </w:rPr>
        <w:t xml:space="preserve"> întreținere și menținere</w:t>
      </w:r>
      <w:r w:rsidR="00E03CB8">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sz w:val="24"/>
          <w:szCs w:val="24"/>
        </w:rPr>
        <w:t xml:space="preserve">a </w:t>
      </w:r>
      <w:r w:rsidR="00E03CB8">
        <w:rPr>
          <w:rFonts w:asciiTheme="majorHAnsi" w:eastAsia="Times New Roman" w:hAnsiTheme="majorHAnsi" w:cstheme="majorHAnsi"/>
          <w:b w:val="0"/>
          <w:bCs w:val="0"/>
          <w:sz w:val="24"/>
          <w:szCs w:val="24"/>
        </w:rPr>
        <w:t xml:space="preserve">lor </w:t>
      </w:r>
      <w:r w:rsidRPr="008376FC">
        <w:rPr>
          <w:rFonts w:asciiTheme="majorHAnsi" w:eastAsia="Times New Roman" w:hAnsiTheme="majorHAnsi" w:cstheme="majorHAnsi"/>
          <w:b w:val="0"/>
          <w:bCs w:val="0"/>
          <w:sz w:val="24"/>
          <w:szCs w:val="24"/>
        </w:rPr>
        <w:t xml:space="preserve">în stare funcțională, care conform principiilor aplicate acum, nu </w:t>
      </w:r>
      <w:r w:rsidR="00E03CB8">
        <w:rPr>
          <w:rFonts w:asciiTheme="majorHAnsi" w:eastAsia="Times New Roman" w:hAnsiTheme="majorHAnsi" w:cstheme="majorHAnsi"/>
          <w:b w:val="0"/>
          <w:bCs w:val="0"/>
          <w:sz w:val="24"/>
          <w:szCs w:val="24"/>
        </w:rPr>
        <w:t>vor</w:t>
      </w:r>
      <w:r w:rsidRPr="008376FC">
        <w:rPr>
          <w:rFonts w:asciiTheme="majorHAnsi" w:eastAsia="Times New Roman" w:hAnsiTheme="majorHAnsi" w:cstheme="majorHAnsi"/>
          <w:b w:val="0"/>
          <w:bCs w:val="0"/>
          <w:sz w:val="24"/>
          <w:szCs w:val="24"/>
        </w:rPr>
        <w:t xml:space="preserve"> fi nici recuperate prin tarif</w:t>
      </w:r>
      <w:r w:rsidR="00E03CB8">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nici prin acordarea subvențiilor de la BUAT. </w:t>
      </w:r>
    </w:p>
    <w:p w:rsidR="004005AD" w:rsidRPr="008376FC" w:rsidRDefault="004005AD" w:rsidP="00F61756">
      <w:pPr>
        <w:widowControl w:val="0"/>
        <w:numPr>
          <w:ilvl w:val="0"/>
          <w:numId w:val="17"/>
        </w:numPr>
        <w:shd w:val="clear" w:color="auto" w:fill="FFFFFF"/>
        <w:autoSpaceDE w:val="0"/>
        <w:autoSpaceDN w:val="0"/>
        <w:spacing w:before="120" w:after="0" w:line="276" w:lineRule="auto"/>
        <w:ind w:left="0" w:firstLine="426"/>
        <w:jc w:val="both"/>
        <w:rPr>
          <w:rFonts w:asciiTheme="majorHAnsi" w:eastAsia="Times New Roman" w:hAnsiTheme="majorHAnsi" w:cstheme="majorHAnsi"/>
          <w:bCs w:val="0"/>
          <w:sz w:val="24"/>
          <w:szCs w:val="24"/>
        </w:rPr>
      </w:pPr>
      <w:r w:rsidRPr="008376FC">
        <w:rPr>
          <w:rFonts w:asciiTheme="majorHAnsi" w:eastAsia="Times New Roman" w:hAnsiTheme="majorHAnsi" w:cstheme="majorHAnsi"/>
          <w:bCs w:val="0"/>
          <w:sz w:val="24"/>
          <w:szCs w:val="24"/>
        </w:rPr>
        <w:t xml:space="preserve">Rentabilitatea operatorului </w:t>
      </w:r>
    </w:p>
    <w:p w:rsidR="004005AD" w:rsidRPr="008376FC" w:rsidRDefault="004005AD" w:rsidP="00F61756">
      <w:pPr>
        <w:widowControl w:val="0"/>
        <w:tabs>
          <w:tab w:val="left" w:pos="567"/>
          <w:tab w:val="left" w:pos="709"/>
          <w:tab w:val="left" w:pos="851"/>
        </w:tabs>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În anii 2019-2021</w:t>
      </w:r>
      <w:r w:rsidR="00E03CB8">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rentabilitarea operatorilor </w:t>
      </w:r>
      <w:r w:rsidR="00E03CB8">
        <w:rPr>
          <w:rFonts w:asciiTheme="majorHAnsi" w:eastAsia="Times New Roman" w:hAnsiTheme="majorHAnsi" w:cstheme="majorHAnsi"/>
          <w:b w:val="0"/>
          <w:bCs w:val="0"/>
          <w:sz w:val="24"/>
          <w:szCs w:val="24"/>
        </w:rPr>
        <w:t xml:space="preserve">de </w:t>
      </w:r>
      <w:r w:rsidRPr="008376FC">
        <w:rPr>
          <w:rFonts w:asciiTheme="majorHAnsi" w:eastAsia="Times New Roman" w:hAnsiTheme="majorHAnsi" w:cstheme="majorHAnsi"/>
          <w:b w:val="0"/>
          <w:bCs w:val="0"/>
          <w:sz w:val="24"/>
          <w:szCs w:val="24"/>
        </w:rPr>
        <w:t>si</w:t>
      </w:r>
      <w:r w:rsidR="0081092F" w:rsidRPr="008376FC">
        <w:rPr>
          <w:rFonts w:asciiTheme="majorHAnsi" w:eastAsia="Times New Roman" w:hAnsiTheme="majorHAnsi" w:cstheme="majorHAnsi"/>
          <w:b w:val="0"/>
          <w:bCs w:val="0"/>
          <w:sz w:val="24"/>
          <w:szCs w:val="24"/>
        </w:rPr>
        <w:t xml:space="preserve">steme publice de alimentare </w:t>
      </w:r>
      <w:r w:rsidRPr="008376FC">
        <w:rPr>
          <w:rFonts w:asciiTheme="majorHAnsi" w:eastAsia="Times New Roman" w:hAnsiTheme="majorHAnsi" w:cstheme="majorHAnsi"/>
          <w:b w:val="0"/>
          <w:bCs w:val="0"/>
          <w:sz w:val="24"/>
          <w:szCs w:val="24"/>
        </w:rPr>
        <w:t xml:space="preserve">cu apă și </w:t>
      </w:r>
      <w:r w:rsidR="00E03CB8">
        <w:rPr>
          <w:rFonts w:asciiTheme="majorHAnsi" w:eastAsia="Times New Roman" w:hAnsiTheme="majorHAnsi" w:cstheme="majorHAnsi"/>
          <w:b w:val="0"/>
          <w:bCs w:val="0"/>
          <w:sz w:val="24"/>
          <w:szCs w:val="24"/>
        </w:rPr>
        <w:t xml:space="preserve">de </w:t>
      </w:r>
      <w:r w:rsidRPr="008376FC">
        <w:rPr>
          <w:rFonts w:asciiTheme="majorHAnsi" w:eastAsia="Times New Roman" w:hAnsiTheme="majorHAnsi" w:cstheme="majorHAnsi"/>
          <w:b w:val="0"/>
          <w:bCs w:val="0"/>
          <w:sz w:val="24"/>
          <w:szCs w:val="24"/>
        </w:rPr>
        <w:t>canalizare constituia 3% din cheltuielile aferente furnizării/prestării serviciului respectiv</w:t>
      </w:r>
      <w:r w:rsidR="00E03CB8">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determinate conform</w:t>
      </w:r>
      <w:r w:rsidR="00A46F4F">
        <w:rPr>
          <w:rFonts w:asciiTheme="majorHAnsi" w:eastAsia="Times New Roman" w:hAnsiTheme="majorHAnsi" w:cstheme="majorHAnsi"/>
          <w:b w:val="0"/>
          <w:bCs w:val="0"/>
          <w:sz w:val="24"/>
          <w:szCs w:val="24"/>
        </w:rPr>
        <w:t xml:space="preserve"> pct. 47 din </w:t>
      </w:r>
      <w:r w:rsidRPr="008376FC">
        <w:rPr>
          <w:rFonts w:asciiTheme="majorHAnsi" w:eastAsia="Times New Roman" w:hAnsiTheme="majorHAnsi" w:cstheme="majorHAnsi"/>
          <w:b w:val="0"/>
          <w:bCs w:val="0"/>
          <w:sz w:val="24"/>
          <w:szCs w:val="24"/>
        </w:rPr>
        <w:t xml:space="preserve"> </w:t>
      </w:r>
      <w:r w:rsidR="00E03CB8">
        <w:rPr>
          <w:rFonts w:asciiTheme="majorHAnsi" w:eastAsia="Times New Roman" w:hAnsiTheme="majorHAnsi" w:cstheme="majorHAnsi"/>
          <w:b w:val="0"/>
          <w:bCs w:val="0"/>
          <w:sz w:val="24"/>
          <w:szCs w:val="24"/>
        </w:rPr>
        <w:t>M</w:t>
      </w:r>
      <w:r w:rsidRPr="008376FC">
        <w:rPr>
          <w:rFonts w:asciiTheme="majorHAnsi" w:eastAsia="Times New Roman" w:hAnsiTheme="majorHAnsi" w:cstheme="majorHAnsi"/>
          <w:b w:val="0"/>
          <w:bCs w:val="0"/>
          <w:sz w:val="24"/>
          <w:szCs w:val="24"/>
        </w:rPr>
        <w:t xml:space="preserve">etodologie. Conform </w:t>
      </w:r>
      <w:r w:rsidR="000056B2" w:rsidRPr="008376FC">
        <w:rPr>
          <w:rFonts w:asciiTheme="majorHAnsi" w:eastAsia="Times New Roman" w:hAnsiTheme="majorHAnsi" w:cstheme="majorHAnsi"/>
          <w:b w:val="0"/>
          <w:bCs w:val="0"/>
          <w:sz w:val="24"/>
          <w:szCs w:val="24"/>
        </w:rPr>
        <w:t>pct.46 din Metodologie, operatorul urmează să utilizeze cel puțin 50% din rentabilitate pentru investiții în dezvoltarea, renovarea, reconstrucția și reînnoirea mijloacelor fixe și a imobilizărilor necorporale utilizate în activitatea de furnizare/prestare a serviciului public de alimentare cu apă și de canalizare.</w:t>
      </w:r>
      <w:r w:rsidRPr="008376FC">
        <w:rPr>
          <w:rFonts w:asciiTheme="majorHAnsi" w:eastAsia="Times New Roman" w:hAnsiTheme="majorHAnsi" w:cstheme="majorHAnsi"/>
          <w:b w:val="0"/>
          <w:bCs w:val="0"/>
          <w:sz w:val="24"/>
          <w:szCs w:val="24"/>
        </w:rPr>
        <w:t xml:space="preserve"> În realitate, această preved</w:t>
      </w:r>
      <w:r w:rsidR="0081092F" w:rsidRPr="008376FC">
        <w:rPr>
          <w:rFonts w:asciiTheme="majorHAnsi" w:eastAsia="Times New Roman" w:hAnsiTheme="majorHAnsi" w:cstheme="majorHAnsi"/>
          <w:b w:val="0"/>
          <w:bCs w:val="0"/>
          <w:sz w:val="24"/>
          <w:szCs w:val="24"/>
        </w:rPr>
        <w:t xml:space="preserve">ere nu este posibil de aplicat </w:t>
      </w:r>
      <w:r w:rsidRPr="008376FC">
        <w:rPr>
          <w:rFonts w:asciiTheme="majorHAnsi" w:eastAsia="Times New Roman" w:hAnsiTheme="majorHAnsi" w:cstheme="majorHAnsi"/>
          <w:b w:val="0"/>
          <w:bCs w:val="0"/>
          <w:sz w:val="24"/>
          <w:szCs w:val="24"/>
        </w:rPr>
        <w:t xml:space="preserve">din </w:t>
      </w:r>
      <w:r w:rsidR="00E03CB8">
        <w:rPr>
          <w:rFonts w:asciiTheme="majorHAnsi" w:eastAsia="Times New Roman" w:hAnsiTheme="majorHAnsi" w:cstheme="majorHAnsi"/>
          <w:b w:val="0"/>
          <w:bCs w:val="0"/>
          <w:sz w:val="24"/>
          <w:szCs w:val="24"/>
        </w:rPr>
        <w:t>cauza</w:t>
      </w:r>
      <w:r w:rsidRPr="008376FC">
        <w:rPr>
          <w:rFonts w:asciiTheme="majorHAnsi" w:eastAsia="Times New Roman" w:hAnsiTheme="majorHAnsi" w:cstheme="majorHAnsi"/>
          <w:b w:val="0"/>
          <w:bCs w:val="0"/>
          <w:sz w:val="24"/>
          <w:szCs w:val="24"/>
        </w:rPr>
        <w:t xml:space="preserve"> că </w:t>
      </w:r>
      <w:r w:rsidR="00E03CB8">
        <w:rPr>
          <w:rFonts w:asciiTheme="majorHAnsi" w:eastAsia="Times New Roman" w:hAnsiTheme="majorHAnsi" w:cstheme="majorHAnsi"/>
          <w:b w:val="0"/>
          <w:bCs w:val="0"/>
          <w:sz w:val="24"/>
          <w:szCs w:val="24"/>
        </w:rPr>
        <w:t>majoritatea</w:t>
      </w:r>
      <w:r w:rsidRPr="008376FC">
        <w:rPr>
          <w:rFonts w:asciiTheme="majorHAnsi" w:eastAsia="Times New Roman" w:hAnsiTheme="majorHAnsi" w:cstheme="majorHAnsi"/>
          <w:b w:val="0"/>
          <w:bCs w:val="0"/>
          <w:sz w:val="24"/>
          <w:szCs w:val="24"/>
        </w:rPr>
        <w:t xml:space="preserve"> întreprinderilor acumulează pierderi de la an la an, resursele acumulate d</w:t>
      </w:r>
      <w:r w:rsidR="006F7A9D" w:rsidRPr="008376FC">
        <w:rPr>
          <w:rFonts w:asciiTheme="majorHAnsi" w:eastAsia="Times New Roman" w:hAnsiTheme="majorHAnsi" w:cstheme="majorHAnsi"/>
          <w:b w:val="0"/>
          <w:bCs w:val="0"/>
          <w:sz w:val="24"/>
          <w:szCs w:val="24"/>
        </w:rPr>
        <w:t>in amortizare ş</w:t>
      </w:r>
      <w:r w:rsidRPr="008376FC">
        <w:rPr>
          <w:rFonts w:asciiTheme="majorHAnsi" w:eastAsia="Times New Roman" w:hAnsiTheme="majorHAnsi" w:cstheme="majorHAnsi"/>
          <w:b w:val="0"/>
          <w:bCs w:val="0"/>
          <w:sz w:val="24"/>
          <w:szCs w:val="24"/>
        </w:rPr>
        <w:t>i rentabilitate sunt insuficiente pent</w:t>
      </w:r>
      <w:r w:rsidR="006F7A9D" w:rsidRPr="008376FC">
        <w:rPr>
          <w:rFonts w:asciiTheme="majorHAnsi" w:eastAsia="Times New Roman" w:hAnsiTheme="majorHAnsi" w:cstheme="majorHAnsi"/>
          <w:b w:val="0"/>
          <w:bCs w:val="0"/>
          <w:sz w:val="24"/>
          <w:szCs w:val="24"/>
        </w:rPr>
        <w:t>ru a efectua investiții majore ş</w:t>
      </w:r>
      <w:r w:rsidRPr="008376FC">
        <w:rPr>
          <w:rFonts w:asciiTheme="majorHAnsi" w:eastAsia="Times New Roman" w:hAnsiTheme="majorHAnsi" w:cstheme="majorHAnsi"/>
          <w:b w:val="0"/>
          <w:bCs w:val="0"/>
          <w:sz w:val="24"/>
          <w:szCs w:val="24"/>
        </w:rPr>
        <w:t>i abia ajung pentru a menține infrastructura în stare cât de c</w:t>
      </w:r>
      <w:r w:rsidR="00E03CB8">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 xml:space="preserve">t funcțională. </w:t>
      </w:r>
      <w:r w:rsidRPr="008376FC">
        <w:rPr>
          <w:rFonts w:asciiTheme="majorHAnsi" w:eastAsia="Times New Roman" w:hAnsiTheme="majorHAnsi" w:cstheme="majorHAnsi"/>
          <w:b w:val="0"/>
          <w:bCs w:val="0"/>
          <w:sz w:val="24"/>
          <w:szCs w:val="24"/>
          <w:lang w:val="en-US"/>
        </w:rPr>
        <w:t>De menționat că, în anul 2022, prin H</w:t>
      </w:r>
      <w:r w:rsidR="00E03CB8">
        <w:rPr>
          <w:rFonts w:asciiTheme="majorHAnsi" w:eastAsia="Times New Roman" w:hAnsiTheme="majorHAnsi" w:cstheme="majorHAnsi"/>
          <w:b w:val="0"/>
          <w:bCs w:val="0"/>
          <w:sz w:val="24"/>
          <w:szCs w:val="24"/>
          <w:lang w:val="en-US"/>
        </w:rPr>
        <w:t xml:space="preserve">otărârea </w:t>
      </w:r>
      <w:r w:rsidRPr="008376FC">
        <w:rPr>
          <w:rFonts w:asciiTheme="majorHAnsi" w:eastAsia="Times New Roman" w:hAnsiTheme="majorHAnsi" w:cstheme="majorHAnsi"/>
          <w:b w:val="0"/>
          <w:bCs w:val="0"/>
          <w:sz w:val="24"/>
          <w:szCs w:val="24"/>
          <w:lang w:val="en-US"/>
        </w:rPr>
        <w:t>ANRE nr. 937 din 16.12.2022</w:t>
      </w:r>
      <w:r w:rsidR="00E03CB8">
        <w:rPr>
          <w:rFonts w:asciiTheme="majorHAnsi" w:eastAsia="Times New Roman" w:hAnsiTheme="majorHAnsi" w:cstheme="majorHAnsi"/>
          <w:b w:val="0"/>
          <w:bCs w:val="0"/>
          <w:sz w:val="24"/>
          <w:szCs w:val="24"/>
          <w:lang w:val="en-US"/>
        </w:rPr>
        <w:t>,</w:t>
      </w:r>
      <w:r w:rsidRPr="008376FC">
        <w:rPr>
          <w:rFonts w:asciiTheme="majorHAnsi" w:eastAsia="Times New Roman" w:hAnsiTheme="majorHAnsi" w:cstheme="majorHAnsi"/>
          <w:b w:val="0"/>
          <w:bCs w:val="0"/>
          <w:sz w:val="24"/>
          <w:szCs w:val="24"/>
          <w:lang w:val="en-US"/>
        </w:rPr>
        <w:t xml:space="preserve"> mărimea maximă a rentabilității a fost majorat</w:t>
      </w:r>
      <w:r w:rsidR="00E03CB8">
        <w:rPr>
          <w:rFonts w:asciiTheme="majorHAnsi" w:eastAsia="Times New Roman" w:hAnsiTheme="majorHAnsi" w:cstheme="majorHAnsi"/>
          <w:b w:val="0"/>
          <w:bCs w:val="0"/>
          <w:sz w:val="24"/>
          <w:szCs w:val="24"/>
          <w:lang w:val="en-US"/>
        </w:rPr>
        <w:t>ă</w:t>
      </w:r>
      <w:r w:rsidRPr="008376FC">
        <w:rPr>
          <w:rFonts w:asciiTheme="majorHAnsi" w:eastAsia="Times New Roman" w:hAnsiTheme="majorHAnsi" w:cstheme="majorHAnsi"/>
          <w:b w:val="0"/>
          <w:bCs w:val="0"/>
          <w:sz w:val="24"/>
          <w:szCs w:val="24"/>
          <w:lang w:val="en-US"/>
        </w:rPr>
        <w:t xml:space="preserve"> p</w:t>
      </w:r>
      <w:r w:rsidR="00E03CB8">
        <w:rPr>
          <w:rFonts w:asciiTheme="majorHAnsi" w:eastAsia="Times New Roman" w:hAnsiTheme="majorHAnsi" w:cstheme="majorHAnsi"/>
          <w:b w:val="0"/>
          <w:bCs w:val="0"/>
          <w:sz w:val="24"/>
          <w:szCs w:val="24"/>
          <w:lang w:val="en-US"/>
        </w:rPr>
        <w:t>â</w:t>
      </w:r>
      <w:r w:rsidRPr="008376FC">
        <w:rPr>
          <w:rFonts w:asciiTheme="majorHAnsi" w:eastAsia="Times New Roman" w:hAnsiTheme="majorHAnsi" w:cstheme="majorHAnsi"/>
          <w:b w:val="0"/>
          <w:bCs w:val="0"/>
          <w:sz w:val="24"/>
          <w:szCs w:val="24"/>
          <w:lang w:val="en-US"/>
        </w:rPr>
        <w:t>nă la 5%.</w:t>
      </w:r>
    </w:p>
    <w:p w:rsidR="004005AD" w:rsidRPr="008376FC" w:rsidRDefault="004005AD" w:rsidP="00F61756">
      <w:pPr>
        <w:widowControl w:val="0"/>
        <w:numPr>
          <w:ilvl w:val="0"/>
          <w:numId w:val="17"/>
        </w:numPr>
        <w:tabs>
          <w:tab w:val="left" w:pos="567"/>
          <w:tab w:val="left" w:pos="709"/>
          <w:tab w:val="left" w:pos="851"/>
        </w:tabs>
        <w:autoSpaceDE w:val="0"/>
        <w:autoSpaceDN w:val="0"/>
        <w:spacing w:before="120" w:after="0" w:line="276" w:lineRule="auto"/>
        <w:ind w:left="0" w:right="112" w:firstLine="426"/>
        <w:jc w:val="both"/>
        <w:rPr>
          <w:rFonts w:asciiTheme="majorHAnsi" w:eastAsia="Times New Roman" w:hAnsiTheme="majorHAnsi" w:cstheme="majorHAnsi"/>
          <w:bCs w:val="0"/>
          <w:sz w:val="24"/>
          <w:szCs w:val="24"/>
        </w:rPr>
      </w:pPr>
      <w:r w:rsidRPr="008376FC">
        <w:rPr>
          <w:rFonts w:asciiTheme="majorHAnsi" w:eastAsia="Times New Roman" w:hAnsiTheme="majorHAnsi" w:cstheme="majorHAnsi"/>
          <w:bCs w:val="0"/>
          <w:sz w:val="24"/>
          <w:szCs w:val="24"/>
        </w:rPr>
        <w:t>Stabilirea plăților regulatorii pentru titularii de licență</w:t>
      </w:r>
    </w:p>
    <w:p w:rsidR="004005AD" w:rsidRPr="008376FC" w:rsidRDefault="004005AD" w:rsidP="00800FDE">
      <w:pPr>
        <w:widowControl w:val="0"/>
        <w:tabs>
          <w:tab w:val="left" w:pos="567"/>
          <w:tab w:val="left" w:pos="709"/>
          <w:tab w:val="left" w:pos="851"/>
        </w:tabs>
        <w:autoSpaceDE w:val="0"/>
        <w:autoSpaceDN w:val="0"/>
        <w:spacing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Conform art.7 alin. (4) din Legea nr. 303/2013, ANRE stabilește pentru titularii de licențe plățile regulatorii necesare pentru asigurarea activităţii sale, în conformitate cu Legea nr. 174/2017 cu privire la energetică, în mărime de p</w:t>
      </w:r>
      <w:r w:rsidR="00E03CB8">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nă la 0,3% din venitul titularului de licență, obținut din furnizarea/prestarea serviciului public de alimentare cu apă şi de canalizare. Plăţile regulatorii se transferă de către titularii de licenţe în contul curent al Agenţiei, trimestrial, în termenul stabilit de Agenţie.</w:t>
      </w:r>
    </w:p>
    <w:p w:rsidR="004005AD" w:rsidRPr="008376FC" w:rsidRDefault="004005AD" w:rsidP="00800FDE">
      <w:pPr>
        <w:widowControl w:val="0"/>
        <w:tabs>
          <w:tab w:val="left" w:pos="567"/>
          <w:tab w:val="left" w:pos="709"/>
          <w:tab w:val="left" w:pos="851"/>
        </w:tabs>
        <w:autoSpaceDE w:val="0"/>
        <w:autoSpaceDN w:val="0"/>
        <w:spacing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Analiza mărimi</w:t>
      </w:r>
      <w:r w:rsidR="00875D41">
        <w:rPr>
          <w:rFonts w:asciiTheme="majorHAnsi" w:eastAsia="Times New Roman" w:hAnsiTheme="majorHAnsi" w:cstheme="majorHAnsi"/>
          <w:b w:val="0"/>
          <w:bCs w:val="0"/>
          <w:sz w:val="24"/>
          <w:szCs w:val="24"/>
        </w:rPr>
        <w:t>i</w:t>
      </w:r>
      <w:r w:rsidRPr="008376FC">
        <w:rPr>
          <w:rFonts w:asciiTheme="majorHAnsi" w:eastAsia="Times New Roman" w:hAnsiTheme="majorHAnsi" w:cstheme="majorHAnsi"/>
          <w:b w:val="0"/>
          <w:bCs w:val="0"/>
          <w:sz w:val="24"/>
          <w:szCs w:val="24"/>
        </w:rPr>
        <w:t xml:space="preserve"> plăți</w:t>
      </w:r>
      <w:r w:rsidR="00875D41">
        <w:rPr>
          <w:rFonts w:asciiTheme="majorHAnsi" w:eastAsia="Times New Roman" w:hAnsiTheme="majorHAnsi" w:cstheme="majorHAnsi"/>
          <w:b w:val="0"/>
          <w:bCs w:val="0"/>
          <w:sz w:val="24"/>
          <w:szCs w:val="24"/>
        </w:rPr>
        <w:t>lor</w:t>
      </w:r>
      <w:r w:rsidRPr="008376FC">
        <w:rPr>
          <w:rFonts w:asciiTheme="majorHAnsi" w:eastAsia="Times New Roman" w:hAnsiTheme="majorHAnsi" w:cstheme="majorHAnsi"/>
          <w:b w:val="0"/>
          <w:bCs w:val="0"/>
          <w:sz w:val="24"/>
          <w:szCs w:val="24"/>
        </w:rPr>
        <w:t xml:space="preserve"> regulatorii pentru serviciul public de alimentare cu apă și de canalizare</w:t>
      </w:r>
      <w:r w:rsidR="00875D41">
        <w:rPr>
          <w:rFonts w:asciiTheme="majorHAnsi" w:eastAsia="Times New Roman" w:hAnsiTheme="majorHAnsi" w:cstheme="majorHAnsi"/>
          <w:b w:val="0"/>
          <w:bCs w:val="0"/>
          <w:sz w:val="24"/>
          <w:szCs w:val="24"/>
        </w:rPr>
        <w:t xml:space="preserve">, </w:t>
      </w:r>
      <w:r w:rsidR="00875D41" w:rsidRPr="008376FC">
        <w:rPr>
          <w:rFonts w:asciiTheme="majorHAnsi" w:eastAsia="Times New Roman" w:hAnsiTheme="majorHAnsi" w:cstheme="majorHAnsi"/>
          <w:b w:val="0"/>
          <w:bCs w:val="0"/>
          <w:sz w:val="24"/>
          <w:szCs w:val="24"/>
        </w:rPr>
        <w:t>stabilite în perioada 2014-2022</w:t>
      </w:r>
      <w:r w:rsidR="00875D41">
        <w:rPr>
          <w:rFonts w:asciiTheme="majorHAnsi" w:eastAsia="Times New Roman" w:hAnsiTheme="majorHAnsi" w:cstheme="majorHAnsi"/>
          <w:b w:val="0"/>
          <w:bCs w:val="0"/>
          <w:sz w:val="24"/>
          <w:szCs w:val="24"/>
        </w:rPr>
        <w:t>,</w:t>
      </w:r>
      <w:r w:rsidR="00875D41" w:rsidRPr="008376FC">
        <w:rPr>
          <w:rFonts w:asciiTheme="majorHAnsi" w:eastAsia="Times New Roman" w:hAnsiTheme="majorHAnsi" w:cstheme="majorHAnsi"/>
          <w:b w:val="0"/>
          <w:bCs w:val="0"/>
          <w:sz w:val="24"/>
          <w:szCs w:val="24"/>
        </w:rPr>
        <w:t xml:space="preserve"> </w:t>
      </w:r>
      <w:r w:rsidR="00875D41">
        <w:rPr>
          <w:rFonts w:asciiTheme="majorHAnsi" w:eastAsia="Times New Roman" w:hAnsiTheme="majorHAnsi" w:cstheme="majorHAnsi"/>
          <w:b w:val="0"/>
          <w:bCs w:val="0"/>
          <w:sz w:val="24"/>
          <w:szCs w:val="24"/>
        </w:rPr>
        <w:t>denotă</w:t>
      </w:r>
      <w:r w:rsidRPr="008376FC">
        <w:rPr>
          <w:rFonts w:asciiTheme="majorHAnsi" w:eastAsia="Times New Roman" w:hAnsiTheme="majorHAnsi" w:cstheme="majorHAnsi"/>
          <w:b w:val="0"/>
          <w:bCs w:val="0"/>
          <w:sz w:val="24"/>
          <w:szCs w:val="24"/>
        </w:rPr>
        <w:t xml:space="preserve"> că acestea</w:t>
      </w:r>
      <w:r w:rsidR="00A21F14">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în</w:t>
      </w:r>
      <w:r w:rsidR="00875D41">
        <w:rPr>
          <w:rFonts w:asciiTheme="majorHAnsi" w:eastAsia="Times New Roman" w:hAnsiTheme="majorHAnsi" w:cstheme="majorHAnsi"/>
          <w:b w:val="0"/>
          <w:bCs w:val="0"/>
          <w:sz w:val="24"/>
          <w:szCs w:val="24"/>
        </w:rPr>
        <w:t xml:space="preserve"> anii</w:t>
      </w:r>
      <w:r w:rsidRPr="008376FC">
        <w:rPr>
          <w:rFonts w:asciiTheme="majorHAnsi" w:eastAsia="Times New Roman" w:hAnsiTheme="majorHAnsi" w:cstheme="majorHAnsi"/>
          <w:b w:val="0"/>
          <w:bCs w:val="0"/>
          <w:sz w:val="24"/>
          <w:szCs w:val="24"/>
        </w:rPr>
        <w:t xml:space="preserve"> 2019-2020</w:t>
      </w:r>
      <w:r w:rsidR="00A21F14">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a</w:t>
      </w:r>
      <w:r w:rsidR="00875D41">
        <w:rPr>
          <w:rFonts w:asciiTheme="majorHAnsi" w:eastAsia="Times New Roman" w:hAnsiTheme="majorHAnsi" w:cstheme="majorHAnsi"/>
          <w:b w:val="0"/>
          <w:bCs w:val="0"/>
          <w:sz w:val="24"/>
          <w:szCs w:val="24"/>
        </w:rPr>
        <w:t>u</w:t>
      </w:r>
      <w:r w:rsidRPr="008376FC">
        <w:rPr>
          <w:rFonts w:asciiTheme="majorHAnsi" w:eastAsia="Times New Roman" w:hAnsiTheme="majorHAnsi" w:cstheme="majorHAnsi"/>
          <w:b w:val="0"/>
          <w:bCs w:val="0"/>
          <w:sz w:val="24"/>
          <w:szCs w:val="24"/>
        </w:rPr>
        <w:t xml:space="preserve"> constituit 0,15% din venitul titularului de licen</w:t>
      </w:r>
      <w:r w:rsidR="00875D41">
        <w:rPr>
          <w:rFonts w:asciiTheme="majorHAnsi" w:eastAsia="Times New Roman" w:hAnsiTheme="majorHAnsi" w:cstheme="majorHAnsi"/>
          <w:b w:val="0"/>
          <w:bCs w:val="0"/>
          <w:sz w:val="24"/>
          <w:szCs w:val="24"/>
        </w:rPr>
        <w:t>ț</w:t>
      </w:r>
      <w:r w:rsidRPr="008376FC">
        <w:rPr>
          <w:rFonts w:asciiTheme="majorHAnsi" w:eastAsia="Times New Roman" w:hAnsiTheme="majorHAnsi" w:cstheme="majorHAnsi"/>
          <w:b w:val="0"/>
          <w:bCs w:val="0"/>
          <w:sz w:val="24"/>
          <w:szCs w:val="24"/>
        </w:rPr>
        <w:t xml:space="preserve">ă. </w:t>
      </w:r>
    </w:p>
    <w:p w:rsidR="004005AD" w:rsidRPr="008376FC" w:rsidRDefault="004005AD" w:rsidP="00800FDE">
      <w:pPr>
        <w:widowControl w:val="0"/>
        <w:tabs>
          <w:tab w:val="left" w:pos="567"/>
          <w:tab w:val="left" w:pos="709"/>
          <w:tab w:val="left" w:pos="851"/>
        </w:tabs>
        <w:autoSpaceDE w:val="0"/>
        <w:autoSpaceDN w:val="0"/>
        <w:spacing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În anii 2019-2021</w:t>
      </w:r>
      <w:r w:rsidR="00A21F14">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în bugetul ANRE au fost încasate 5,28 mil.lei, fiind planificate 5,37 mil.lei.</w:t>
      </w:r>
    </w:p>
    <w:p w:rsidR="004005AD" w:rsidRPr="008376FC" w:rsidRDefault="00ED2CE9" w:rsidP="00F61756">
      <w:pPr>
        <w:widowControl w:val="0"/>
        <w:tabs>
          <w:tab w:val="left" w:pos="567"/>
          <w:tab w:val="left" w:pos="709"/>
          <w:tab w:val="left" w:pos="851"/>
        </w:tabs>
        <w:autoSpaceDE w:val="0"/>
        <w:autoSpaceDN w:val="0"/>
        <w:spacing w:before="120" w:after="0" w:line="276" w:lineRule="auto"/>
        <w:ind w:right="112"/>
        <w:jc w:val="right"/>
        <w:rPr>
          <w:rFonts w:asciiTheme="majorHAnsi" w:eastAsia="Times New Roman" w:hAnsiTheme="majorHAnsi" w:cstheme="majorHAnsi"/>
          <w:b w:val="0"/>
          <w:bCs w:val="0"/>
          <w:sz w:val="24"/>
          <w:szCs w:val="24"/>
        </w:rPr>
      </w:pPr>
      <w:r w:rsidRPr="008376FC">
        <w:rPr>
          <w:rFonts w:asciiTheme="majorHAnsi" w:eastAsia="Times New Roman" w:hAnsiTheme="majorHAnsi" w:cstheme="majorHAnsi"/>
          <w:sz w:val="20"/>
          <w:szCs w:val="20"/>
        </w:rPr>
        <w:t>Figura nr.</w:t>
      </w:r>
      <w:r w:rsidR="00D91526" w:rsidRPr="008376FC">
        <w:rPr>
          <w:rFonts w:asciiTheme="majorHAnsi" w:eastAsia="Times New Roman" w:hAnsiTheme="majorHAnsi" w:cstheme="majorHAnsi"/>
          <w:sz w:val="20"/>
          <w:szCs w:val="20"/>
        </w:rPr>
        <w:t>42</w:t>
      </w:r>
    </w:p>
    <w:p w:rsidR="004005AD" w:rsidRPr="008376FC" w:rsidRDefault="004005AD" w:rsidP="00F61756">
      <w:pPr>
        <w:widowControl w:val="0"/>
        <w:tabs>
          <w:tab w:val="left" w:pos="567"/>
          <w:tab w:val="left" w:pos="709"/>
          <w:tab w:val="left" w:pos="851"/>
        </w:tabs>
        <w:autoSpaceDE w:val="0"/>
        <w:autoSpaceDN w:val="0"/>
        <w:spacing w:before="11"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noProof/>
          <w:sz w:val="24"/>
          <w:szCs w:val="24"/>
          <w:lang w:val="ru-RU" w:eastAsia="ru-RU"/>
        </w:rPr>
        <w:drawing>
          <wp:inline distT="0" distB="0" distL="0" distR="0">
            <wp:extent cx="6189345" cy="1277816"/>
            <wp:effectExtent l="0" t="0" r="1905" b="17780"/>
            <wp:docPr id="38" name="Chart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4005AD" w:rsidRPr="00E24AA6" w:rsidRDefault="00B038D8" w:rsidP="00F61756">
      <w:pPr>
        <w:widowControl w:val="0"/>
        <w:shd w:val="clear" w:color="auto" w:fill="FFFFFF"/>
        <w:autoSpaceDE w:val="0"/>
        <w:autoSpaceDN w:val="0"/>
        <w:spacing w:after="0" w:line="276" w:lineRule="auto"/>
        <w:ind w:firstLine="540"/>
        <w:jc w:val="both"/>
        <w:rPr>
          <w:rFonts w:asciiTheme="majorHAnsi" w:eastAsia="Times New Roman" w:hAnsiTheme="majorHAnsi" w:cstheme="majorHAnsi"/>
          <w:i/>
          <w:sz w:val="20"/>
          <w:szCs w:val="20"/>
          <w:lang w:eastAsia="ru-RU"/>
        </w:rPr>
      </w:pPr>
      <w:r w:rsidRPr="00E24AA6">
        <w:rPr>
          <w:rFonts w:asciiTheme="majorHAnsi" w:eastAsia="Times New Roman" w:hAnsiTheme="majorHAnsi" w:cstheme="majorHAnsi"/>
          <w:i/>
          <w:sz w:val="20"/>
          <w:szCs w:val="20"/>
          <w:lang w:eastAsia="ru-RU"/>
        </w:rPr>
        <w:t xml:space="preserve">Sursa: </w:t>
      </w:r>
      <w:r w:rsidRPr="00E24AA6">
        <w:rPr>
          <w:rFonts w:asciiTheme="majorHAnsi" w:eastAsia="Times New Roman" w:hAnsiTheme="majorHAnsi" w:cstheme="majorHAnsi"/>
          <w:b w:val="0"/>
          <w:i/>
          <w:sz w:val="20"/>
          <w:szCs w:val="20"/>
          <w:lang w:eastAsia="ru-RU"/>
        </w:rPr>
        <w:t>Date</w:t>
      </w:r>
      <w:r w:rsidR="00A21F14">
        <w:rPr>
          <w:rFonts w:asciiTheme="majorHAnsi" w:eastAsia="Times New Roman" w:hAnsiTheme="majorHAnsi" w:cstheme="majorHAnsi"/>
          <w:b w:val="0"/>
          <w:i/>
          <w:sz w:val="20"/>
          <w:szCs w:val="20"/>
          <w:lang w:eastAsia="ru-RU"/>
        </w:rPr>
        <w:t xml:space="preserve"> oferite d</w:t>
      </w:r>
      <w:r w:rsidRPr="00E24AA6">
        <w:rPr>
          <w:rFonts w:asciiTheme="majorHAnsi" w:eastAsia="Times New Roman" w:hAnsiTheme="majorHAnsi" w:cstheme="majorHAnsi"/>
          <w:b w:val="0"/>
          <w:i/>
          <w:sz w:val="20"/>
          <w:szCs w:val="20"/>
          <w:lang w:eastAsia="ru-RU"/>
        </w:rPr>
        <w:t>e</w:t>
      </w:r>
      <w:r w:rsidR="00EF2D1F" w:rsidRPr="00E24AA6">
        <w:rPr>
          <w:rFonts w:asciiTheme="majorHAnsi" w:eastAsia="Times New Roman" w:hAnsiTheme="majorHAnsi" w:cstheme="majorHAnsi"/>
          <w:b w:val="0"/>
          <w:i/>
          <w:sz w:val="20"/>
          <w:szCs w:val="20"/>
          <w:lang w:eastAsia="ru-RU"/>
        </w:rPr>
        <w:t xml:space="preserve"> ANRE.</w:t>
      </w:r>
    </w:p>
    <w:p w:rsidR="004005AD" w:rsidRPr="008376FC" w:rsidRDefault="004005AD" w:rsidP="00F61756">
      <w:pPr>
        <w:widowControl w:val="0"/>
        <w:shd w:val="clear" w:color="auto" w:fill="FFFFFF"/>
        <w:autoSpaceDE w:val="0"/>
        <w:autoSpaceDN w:val="0"/>
        <w:spacing w:after="0" w:line="276" w:lineRule="auto"/>
        <w:ind w:firstLine="540"/>
        <w:jc w:val="both"/>
        <w:rPr>
          <w:rFonts w:asciiTheme="majorHAnsi" w:eastAsia="Times New Roman" w:hAnsiTheme="majorHAnsi" w:cstheme="majorHAnsi"/>
          <w:sz w:val="24"/>
          <w:szCs w:val="24"/>
          <w:lang w:eastAsia="ru-RU"/>
        </w:rPr>
      </w:pPr>
    </w:p>
    <w:p w:rsidR="004005AD" w:rsidRPr="008376FC" w:rsidRDefault="004005AD" w:rsidP="00F61756">
      <w:pPr>
        <w:widowControl w:val="0"/>
        <w:autoSpaceDE w:val="0"/>
        <w:autoSpaceDN w:val="0"/>
        <w:spacing w:after="40" w:line="276" w:lineRule="auto"/>
        <w:ind w:firstLine="567"/>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Cu referire la componența cheltuielilor care se includ în tarif şi </w:t>
      </w:r>
      <w:r w:rsidR="00A21F14">
        <w:rPr>
          <w:rFonts w:asciiTheme="majorHAnsi" w:eastAsia="Times New Roman" w:hAnsiTheme="majorHAnsi" w:cstheme="majorHAnsi"/>
          <w:b w:val="0"/>
          <w:bCs w:val="0"/>
          <w:sz w:val="24"/>
          <w:szCs w:val="24"/>
        </w:rPr>
        <w:t xml:space="preserve">la </w:t>
      </w:r>
      <w:r w:rsidRPr="008376FC">
        <w:rPr>
          <w:rFonts w:asciiTheme="majorHAnsi" w:eastAsia="Times New Roman" w:hAnsiTheme="majorHAnsi" w:cstheme="majorHAnsi"/>
          <w:b w:val="0"/>
          <w:bCs w:val="0"/>
          <w:sz w:val="24"/>
          <w:szCs w:val="24"/>
        </w:rPr>
        <w:t>ajustarea lor, se atestă următoarele</w:t>
      </w:r>
      <w:r w:rsidR="00A21F14">
        <w:rPr>
          <w:rFonts w:asciiTheme="majorHAnsi" w:eastAsia="Times New Roman" w:hAnsiTheme="majorHAnsi" w:cstheme="majorHAnsi"/>
          <w:b w:val="0"/>
          <w:bCs w:val="0"/>
          <w:sz w:val="24"/>
          <w:szCs w:val="24"/>
        </w:rPr>
        <w:t>.</w:t>
      </w:r>
    </w:p>
    <w:p w:rsidR="004005AD" w:rsidRPr="008376FC" w:rsidRDefault="004005AD" w:rsidP="00F61756">
      <w:pPr>
        <w:widowControl w:val="0"/>
        <w:numPr>
          <w:ilvl w:val="0"/>
          <w:numId w:val="18"/>
        </w:numPr>
        <w:autoSpaceDE w:val="0"/>
        <w:autoSpaceDN w:val="0"/>
        <w:spacing w:before="16" w:after="40" w:line="276" w:lineRule="auto"/>
        <w:jc w:val="both"/>
        <w:rPr>
          <w:rFonts w:asciiTheme="majorHAnsi" w:eastAsia="Times New Roman" w:hAnsiTheme="majorHAnsi" w:cstheme="majorHAnsi"/>
          <w:bCs w:val="0"/>
          <w:sz w:val="24"/>
          <w:szCs w:val="24"/>
        </w:rPr>
      </w:pPr>
      <w:r w:rsidRPr="008376FC">
        <w:rPr>
          <w:rFonts w:asciiTheme="majorHAnsi" w:eastAsia="Times New Roman" w:hAnsiTheme="majorHAnsi" w:cstheme="majorHAnsi"/>
          <w:bCs w:val="0"/>
          <w:sz w:val="24"/>
          <w:szCs w:val="24"/>
        </w:rPr>
        <w:t>Componența cheltuielilor ce stau la baza formării tarifului</w:t>
      </w:r>
    </w:p>
    <w:p w:rsidR="00800FDE" w:rsidRPr="008376FC" w:rsidRDefault="004005AD" w:rsidP="00F61756">
      <w:pPr>
        <w:widowControl w:val="0"/>
        <w:autoSpaceDE w:val="0"/>
        <w:autoSpaceDN w:val="0"/>
        <w:spacing w:after="40" w:line="276" w:lineRule="auto"/>
        <w:ind w:firstLine="70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Cu privire la componența cheltuielilor ce stau la baza formării tarifului</w:t>
      </w:r>
      <w:r w:rsidR="00A21F14">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se atestă că componența acestora</w:t>
      </w:r>
      <w:r w:rsidR="00A21F14">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inclusă în pct.22 din Metodologie</w:t>
      </w:r>
      <w:r w:rsidR="00A21F14">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nu este transpusă în  art.35 alin.(3) din Legea </w:t>
      </w:r>
      <w:r w:rsidR="00A21F14">
        <w:rPr>
          <w:rFonts w:asciiTheme="majorHAnsi" w:eastAsia="Times New Roman" w:hAnsiTheme="majorHAnsi" w:cstheme="majorHAnsi"/>
          <w:b w:val="0"/>
          <w:bCs w:val="0"/>
          <w:sz w:val="24"/>
          <w:szCs w:val="24"/>
        </w:rPr>
        <w:t>nr.</w:t>
      </w:r>
      <w:r w:rsidRPr="008376FC">
        <w:rPr>
          <w:rFonts w:asciiTheme="majorHAnsi" w:eastAsia="Times New Roman" w:hAnsiTheme="majorHAnsi" w:cstheme="majorHAnsi"/>
          <w:b w:val="0"/>
          <w:bCs w:val="0"/>
          <w:sz w:val="24"/>
          <w:szCs w:val="24"/>
        </w:rPr>
        <w:t xml:space="preserve">303/2013. </w:t>
      </w:r>
    </w:p>
    <w:tbl>
      <w:tblPr>
        <w:tblStyle w:val="TableGrid7"/>
        <w:tblW w:w="0" w:type="auto"/>
        <w:tblInd w:w="-5" w:type="dxa"/>
        <w:tblLook w:val="04A0" w:firstRow="1" w:lastRow="0" w:firstColumn="1" w:lastColumn="0" w:noHBand="0" w:noVBand="1"/>
      </w:tblPr>
      <w:tblGrid>
        <w:gridCol w:w="4820"/>
        <w:gridCol w:w="4819"/>
      </w:tblGrid>
      <w:tr w:rsidR="004005AD" w:rsidRPr="008376FC" w:rsidTr="00E916FF">
        <w:trPr>
          <w:trHeight w:val="1124"/>
        </w:trPr>
        <w:tc>
          <w:tcPr>
            <w:tcW w:w="4820" w:type="dxa"/>
            <w:shd w:val="clear" w:color="auto" w:fill="BDD6EE" w:themeFill="accent1" w:themeFillTint="66"/>
          </w:tcPr>
          <w:p w:rsidR="004005AD" w:rsidRPr="008376FC" w:rsidRDefault="004005AD" w:rsidP="00800FDE">
            <w:pPr>
              <w:widowControl w:val="0"/>
              <w:tabs>
                <w:tab w:val="left" w:pos="567"/>
                <w:tab w:val="left" w:pos="709"/>
                <w:tab w:val="left" w:pos="851"/>
              </w:tabs>
              <w:autoSpaceDE w:val="0"/>
              <w:autoSpaceDN w:val="0"/>
              <w:jc w:val="both"/>
              <w:rPr>
                <w:rFonts w:asciiTheme="majorHAnsi" w:eastAsia="Times New Roman" w:hAnsiTheme="majorHAnsi" w:cstheme="majorHAnsi"/>
                <w:sz w:val="20"/>
                <w:szCs w:val="20"/>
                <w:lang w:eastAsia="ru-RU"/>
              </w:rPr>
            </w:pPr>
            <w:r w:rsidRPr="008376FC">
              <w:rPr>
                <w:rFonts w:asciiTheme="majorHAnsi" w:eastAsia="Times New Roman" w:hAnsiTheme="majorHAnsi" w:cstheme="majorHAnsi"/>
                <w:sz w:val="20"/>
                <w:szCs w:val="20"/>
              </w:rPr>
              <w:t>H</w:t>
            </w:r>
            <w:r w:rsidR="00A21F14">
              <w:rPr>
                <w:rFonts w:asciiTheme="majorHAnsi" w:eastAsia="Times New Roman" w:hAnsiTheme="majorHAnsi" w:cstheme="majorHAnsi"/>
                <w:sz w:val="20"/>
                <w:szCs w:val="20"/>
              </w:rPr>
              <w:t xml:space="preserve">otărârea </w:t>
            </w:r>
            <w:r w:rsidRPr="008376FC">
              <w:rPr>
                <w:rFonts w:asciiTheme="majorHAnsi" w:eastAsia="Times New Roman" w:hAnsiTheme="majorHAnsi" w:cstheme="majorHAnsi"/>
                <w:sz w:val="20"/>
                <w:szCs w:val="20"/>
              </w:rPr>
              <w:t xml:space="preserve">ANRE nr.489/2019 </w:t>
            </w:r>
            <w:r w:rsidR="00A21F14">
              <w:rPr>
                <w:rFonts w:asciiTheme="majorHAnsi" w:eastAsia="Times New Roman" w:hAnsiTheme="majorHAnsi" w:cstheme="majorHAnsi"/>
                <w:sz w:val="20"/>
                <w:szCs w:val="20"/>
              </w:rPr>
              <w:t>„C</w:t>
            </w:r>
            <w:r w:rsidRPr="008376FC">
              <w:rPr>
                <w:rFonts w:asciiTheme="majorHAnsi" w:eastAsia="Times New Roman" w:hAnsiTheme="majorHAnsi" w:cstheme="majorHAnsi"/>
                <w:sz w:val="20"/>
                <w:szCs w:val="20"/>
              </w:rPr>
              <w:t>u privire la aprobarea Metodologiei de determinare,</w:t>
            </w:r>
            <w:r w:rsidRPr="008376FC">
              <w:rPr>
                <w:rFonts w:asciiTheme="majorHAnsi" w:eastAsia="Times New Roman" w:hAnsiTheme="majorHAnsi" w:cstheme="majorHAnsi"/>
                <w:sz w:val="20"/>
                <w:szCs w:val="20"/>
              </w:rPr>
              <w:br/>
              <w:t>aprobare și aplicare a tarifelor pentru serviciul public</w:t>
            </w:r>
            <w:r w:rsidRPr="008376FC">
              <w:rPr>
                <w:rFonts w:asciiTheme="majorHAnsi" w:eastAsia="Times New Roman" w:hAnsiTheme="majorHAnsi" w:cstheme="majorHAnsi"/>
                <w:sz w:val="20"/>
                <w:szCs w:val="20"/>
              </w:rPr>
              <w:br/>
              <w:t>de alimentare cu apă, de canalizare și epurare a</w:t>
            </w:r>
            <w:r w:rsidR="00EF2D1F" w:rsidRPr="008376FC">
              <w:rPr>
                <w:rFonts w:asciiTheme="majorHAnsi" w:eastAsia="Times New Roman" w:hAnsiTheme="majorHAnsi" w:cstheme="majorHAnsi"/>
                <w:sz w:val="20"/>
                <w:szCs w:val="20"/>
              </w:rPr>
              <w:t xml:space="preserve"> </w:t>
            </w:r>
            <w:r w:rsidRPr="008376FC">
              <w:rPr>
                <w:rFonts w:asciiTheme="majorHAnsi" w:eastAsia="Times New Roman" w:hAnsiTheme="majorHAnsi" w:cstheme="majorHAnsi"/>
                <w:sz w:val="20"/>
                <w:szCs w:val="20"/>
              </w:rPr>
              <w:t>apelor uzate</w:t>
            </w:r>
          </w:p>
        </w:tc>
        <w:tc>
          <w:tcPr>
            <w:tcW w:w="4819" w:type="dxa"/>
            <w:shd w:val="clear" w:color="auto" w:fill="BDD6EE" w:themeFill="accent1" w:themeFillTint="66"/>
          </w:tcPr>
          <w:p w:rsidR="004005AD" w:rsidRPr="008376FC" w:rsidRDefault="004005AD" w:rsidP="00800FDE">
            <w:pPr>
              <w:widowControl w:val="0"/>
              <w:autoSpaceDE w:val="0"/>
              <w:autoSpaceDN w:val="0"/>
              <w:jc w:val="both"/>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 xml:space="preserve">Legea </w:t>
            </w:r>
            <w:r w:rsidR="00A21F14">
              <w:rPr>
                <w:rFonts w:asciiTheme="majorHAnsi" w:eastAsia="Times New Roman" w:hAnsiTheme="majorHAnsi" w:cstheme="majorHAnsi"/>
                <w:sz w:val="20"/>
                <w:szCs w:val="20"/>
              </w:rPr>
              <w:t>nr.</w:t>
            </w:r>
            <w:r w:rsidRPr="008376FC">
              <w:rPr>
                <w:rFonts w:asciiTheme="majorHAnsi" w:eastAsia="Times New Roman" w:hAnsiTheme="majorHAnsi" w:cstheme="majorHAnsi"/>
                <w:sz w:val="20"/>
                <w:szCs w:val="20"/>
              </w:rPr>
              <w:t>303/2013 privind serviciul public de alimentare cu apă şi de canalizare</w:t>
            </w:r>
          </w:p>
        </w:tc>
      </w:tr>
      <w:tr w:rsidR="00800FDE" w:rsidRPr="008376FC" w:rsidTr="00E916FF">
        <w:trPr>
          <w:trHeight w:val="1124"/>
        </w:trPr>
        <w:tc>
          <w:tcPr>
            <w:tcW w:w="4820" w:type="dxa"/>
            <w:shd w:val="clear" w:color="auto" w:fill="FFFFFF" w:themeFill="background1"/>
          </w:tcPr>
          <w:p w:rsidR="00800FDE" w:rsidRPr="008376FC" w:rsidRDefault="00800FDE" w:rsidP="00800FDE">
            <w:pPr>
              <w:widowControl w:val="0"/>
              <w:autoSpaceDE w:val="0"/>
              <w:autoSpaceDN w:val="0"/>
              <w:ind w:firstLine="567"/>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 xml:space="preserve">Pct.22. Luând în considerare procesul tehnologic și specificul activității operatorilor sistemelor publice de alimentare cu apă și de canalizare și conform prevederilor articolului 35 din Legea privind serviciul public de alimentare cu apă și de canalizare nr. 303/2013, Metodologia prevede următoarea structură a cheltuielilor care stau la baza determinării tarifelor: </w:t>
            </w:r>
          </w:p>
          <w:p w:rsidR="00800FDE" w:rsidRPr="008376FC" w:rsidRDefault="00800FDE" w:rsidP="00800FDE">
            <w:pPr>
              <w:widowControl w:val="0"/>
              <w:autoSpaceDE w:val="0"/>
              <w:autoSpaceDN w:val="0"/>
              <w:ind w:firstLine="567"/>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1) Cheltuieli de bază (CB);</w:t>
            </w:r>
          </w:p>
          <w:p w:rsidR="00800FDE" w:rsidRPr="008376FC" w:rsidRDefault="00800FDE" w:rsidP="00800FDE">
            <w:pPr>
              <w:widowControl w:val="0"/>
              <w:autoSpaceDE w:val="0"/>
              <w:autoSpaceDN w:val="0"/>
              <w:ind w:firstLine="567"/>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2) Cheltuielile privind amortizarea mijloacelor fixe și a imobilizărilor necorporale (CAI);</w:t>
            </w:r>
          </w:p>
          <w:p w:rsidR="00800FDE" w:rsidRPr="008376FC" w:rsidRDefault="00800FDE" w:rsidP="00800FDE">
            <w:pPr>
              <w:widowControl w:val="0"/>
              <w:autoSpaceDE w:val="0"/>
              <w:autoSpaceDN w:val="0"/>
              <w:ind w:firstLine="567"/>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3) Cheltuieli de procurare a apei (CAP);</w:t>
            </w:r>
          </w:p>
          <w:p w:rsidR="00800FDE" w:rsidRPr="008376FC" w:rsidRDefault="00800FDE" w:rsidP="00800FDE">
            <w:pPr>
              <w:widowControl w:val="0"/>
              <w:autoSpaceDE w:val="0"/>
              <w:autoSpaceDN w:val="0"/>
              <w:ind w:firstLine="567"/>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 xml:space="preserve">4) Cheltuieli pentru energia electrică (CEE); </w:t>
            </w:r>
          </w:p>
          <w:p w:rsidR="00800FDE" w:rsidRPr="008376FC" w:rsidRDefault="00800FDE" w:rsidP="00800FDE">
            <w:pPr>
              <w:widowControl w:val="0"/>
              <w:autoSpaceDE w:val="0"/>
              <w:autoSpaceDN w:val="0"/>
              <w:ind w:firstLine="567"/>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5) Redevența (RDV);</w:t>
            </w:r>
          </w:p>
          <w:p w:rsidR="00800FDE" w:rsidRPr="008376FC" w:rsidRDefault="00800FDE" w:rsidP="00800FDE">
            <w:pPr>
              <w:widowControl w:val="0"/>
              <w:autoSpaceDE w:val="0"/>
              <w:autoSpaceDN w:val="0"/>
              <w:ind w:firstLine="567"/>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6) Cheltuieli privind achiziționarea contoarelor pentru consumatorii casnici (CAC);</w:t>
            </w:r>
          </w:p>
          <w:p w:rsidR="00800FDE" w:rsidRPr="008376FC" w:rsidRDefault="00800FDE" w:rsidP="00800FDE">
            <w:pPr>
              <w:widowControl w:val="0"/>
              <w:autoSpaceDE w:val="0"/>
              <w:autoSpaceDN w:val="0"/>
              <w:ind w:firstLine="567"/>
              <w:jc w:val="both"/>
              <w:rPr>
                <w:rFonts w:asciiTheme="majorHAnsi" w:eastAsia="Times New Roman" w:hAnsiTheme="majorHAnsi" w:cstheme="majorHAnsi"/>
                <w:b w:val="0"/>
                <w:sz w:val="20"/>
                <w:szCs w:val="20"/>
              </w:rPr>
            </w:pPr>
            <w:r w:rsidRPr="008376FC">
              <w:rPr>
                <w:rFonts w:asciiTheme="majorHAnsi" w:eastAsia="Times New Roman" w:hAnsiTheme="majorHAnsi" w:cstheme="majorHAnsi"/>
                <w:b w:val="0"/>
                <w:sz w:val="20"/>
                <w:szCs w:val="20"/>
              </w:rPr>
              <w:t>7) Cheltuieli de tratare a apelor conform contractelor încheiate cu terțe părți (CTR);</w:t>
            </w:r>
          </w:p>
          <w:p w:rsidR="00800FDE" w:rsidRPr="00800FDE" w:rsidRDefault="00800FDE" w:rsidP="00800FDE">
            <w:pPr>
              <w:widowControl w:val="0"/>
              <w:tabs>
                <w:tab w:val="left" w:pos="567"/>
                <w:tab w:val="left" w:pos="709"/>
                <w:tab w:val="left" w:pos="851"/>
              </w:tabs>
              <w:autoSpaceDE w:val="0"/>
              <w:autoSpaceDN w:val="0"/>
              <w:jc w:val="both"/>
              <w:rPr>
                <w:rFonts w:asciiTheme="majorHAnsi" w:eastAsia="Times New Roman" w:hAnsiTheme="majorHAnsi" w:cstheme="majorHAnsi"/>
                <w:sz w:val="20"/>
                <w:szCs w:val="20"/>
              </w:rPr>
            </w:pPr>
            <w:r w:rsidRPr="008376FC">
              <w:rPr>
                <w:rFonts w:asciiTheme="majorHAnsi" w:eastAsia="Times New Roman" w:hAnsiTheme="majorHAnsi" w:cstheme="majorHAnsi"/>
                <w:b w:val="0"/>
                <w:sz w:val="20"/>
                <w:szCs w:val="20"/>
              </w:rPr>
              <w:t>8) Alte cheltuieli operaționale (AC).</w:t>
            </w:r>
          </w:p>
        </w:tc>
        <w:tc>
          <w:tcPr>
            <w:tcW w:w="4819" w:type="dxa"/>
            <w:shd w:val="clear" w:color="auto" w:fill="FFFFFF" w:themeFill="background1"/>
          </w:tcPr>
          <w:p w:rsidR="00800FDE" w:rsidRPr="00AC6E70" w:rsidRDefault="00800FDE" w:rsidP="00800FDE">
            <w:pPr>
              <w:keepNext/>
              <w:keepLines/>
              <w:shd w:val="clear" w:color="auto" w:fill="FFFFFF"/>
              <w:ind w:firstLine="540"/>
              <w:jc w:val="both"/>
              <w:outlineLvl w:val="3"/>
              <w:rPr>
                <w:rFonts w:asciiTheme="majorHAnsi" w:eastAsia="Times New Roman" w:hAnsiTheme="majorHAnsi" w:cstheme="majorHAnsi"/>
                <w:b w:val="0"/>
                <w:bCs w:val="0"/>
                <w:sz w:val="20"/>
                <w:szCs w:val="20"/>
                <w:lang w:val="en-US"/>
              </w:rPr>
            </w:pPr>
            <w:r w:rsidRPr="00BC28D6">
              <w:rPr>
                <w:rFonts w:asciiTheme="majorHAnsi" w:eastAsia="Times New Roman" w:hAnsiTheme="majorHAnsi" w:cstheme="majorHAnsi"/>
                <w:b w:val="0"/>
                <w:bCs w:val="0"/>
                <w:color w:val="333333"/>
                <w:sz w:val="20"/>
                <w:szCs w:val="20"/>
                <w:lang w:val="en-US"/>
              </w:rPr>
              <w:t> </w:t>
            </w:r>
            <w:r w:rsidRPr="00AC6E70">
              <w:rPr>
                <w:rFonts w:asciiTheme="majorHAnsi" w:eastAsia="Times New Roman" w:hAnsiTheme="majorHAnsi" w:cstheme="majorHAnsi"/>
                <w:b w:val="0"/>
                <w:bCs w:val="0"/>
                <w:sz w:val="20"/>
                <w:szCs w:val="20"/>
                <w:lang w:val="en-US"/>
              </w:rPr>
              <w:t>Art. 35 alin.(3) Metodologia de determinare, aprobare şi aplicare a tarifelor pentru serviciul public de alimentare cu apă, de canalizare şi de epurare a apelor uzate include: </w:t>
            </w:r>
          </w:p>
          <w:p w:rsidR="00800FDE" w:rsidRPr="00AC6E70" w:rsidRDefault="00800FDE" w:rsidP="00800FDE">
            <w:pPr>
              <w:keepNext/>
              <w:keepLines/>
              <w:shd w:val="clear" w:color="auto" w:fill="FFFFFF"/>
              <w:ind w:firstLine="39"/>
              <w:jc w:val="both"/>
              <w:outlineLvl w:val="3"/>
              <w:rPr>
                <w:rFonts w:asciiTheme="majorHAnsi" w:eastAsia="Times New Roman" w:hAnsiTheme="majorHAnsi" w:cstheme="majorHAnsi"/>
                <w:b w:val="0"/>
                <w:bCs w:val="0"/>
                <w:sz w:val="20"/>
                <w:szCs w:val="20"/>
                <w:lang w:val="en-US"/>
              </w:rPr>
            </w:pPr>
            <w:r w:rsidRPr="00AC6E70">
              <w:rPr>
                <w:rFonts w:asciiTheme="majorHAnsi" w:eastAsia="Times New Roman" w:hAnsiTheme="majorHAnsi" w:cstheme="majorHAnsi"/>
                <w:b w:val="0"/>
                <w:bCs w:val="0"/>
                <w:sz w:val="20"/>
                <w:szCs w:val="20"/>
                <w:lang w:val="en-US"/>
              </w:rPr>
              <w:t>1) componenţa şi modul de determinare, în scopuri tarifare, a:</w:t>
            </w:r>
          </w:p>
          <w:p w:rsidR="00800FDE" w:rsidRPr="00AC6E70" w:rsidRDefault="00800FDE" w:rsidP="00800FDE">
            <w:pPr>
              <w:keepNext/>
              <w:keepLines/>
              <w:shd w:val="clear" w:color="auto" w:fill="FFFFFF"/>
              <w:ind w:firstLine="39"/>
              <w:jc w:val="both"/>
              <w:outlineLvl w:val="3"/>
              <w:rPr>
                <w:rFonts w:asciiTheme="majorHAnsi" w:eastAsia="Times New Roman" w:hAnsiTheme="majorHAnsi" w:cstheme="majorHAnsi"/>
                <w:b w:val="0"/>
                <w:bCs w:val="0"/>
                <w:sz w:val="20"/>
                <w:szCs w:val="20"/>
                <w:lang w:val="en-US"/>
              </w:rPr>
            </w:pPr>
            <w:r w:rsidRPr="00AC6E70">
              <w:rPr>
                <w:rFonts w:asciiTheme="majorHAnsi" w:eastAsia="Times New Roman" w:hAnsiTheme="majorHAnsi" w:cstheme="majorHAnsi"/>
                <w:b w:val="0"/>
                <w:bCs w:val="0"/>
                <w:sz w:val="20"/>
                <w:szCs w:val="20"/>
                <w:lang w:val="en-US"/>
              </w:rPr>
              <w:t>a) cheltuielilor de procurare a apei;</w:t>
            </w:r>
          </w:p>
          <w:p w:rsidR="00800FDE" w:rsidRPr="00AC6E70" w:rsidRDefault="00800FDE" w:rsidP="00800FDE">
            <w:pPr>
              <w:keepNext/>
              <w:keepLines/>
              <w:shd w:val="clear" w:color="auto" w:fill="FFFFFF"/>
              <w:ind w:firstLine="39"/>
              <w:jc w:val="both"/>
              <w:outlineLvl w:val="3"/>
              <w:rPr>
                <w:rFonts w:asciiTheme="majorHAnsi" w:eastAsia="Times New Roman" w:hAnsiTheme="majorHAnsi" w:cstheme="majorHAnsi"/>
                <w:b w:val="0"/>
                <w:bCs w:val="0"/>
                <w:sz w:val="20"/>
                <w:szCs w:val="20"/>
                <w:lang w:val="en-US"/>
              </w:rPr>
            </w:pPr>
            <w:r w:rsidRPr="00AC6E70">
              <w:rPr>
                <w:rFonts w:asciiTheme="majorHAnsi" w:eastAsia="Times New Roman" w:hAnsiTheme="majorHAnsi" w:cstheme="majorHAnsi"/>
                <w:b w:val="0"/>
                <w:bCs w:val="0"/>
                <w:sz w:val="20"/>
                <w:szCs w:val="20"/>
                <w:lang w:val="en-US"/>
              </w:rPr>
              <w:t>b) cheltuielilor materiale;</w:t>
            </w:r>
          </w:p>
          <w:p w:rsidR="00800FDE" w:rsidRPr="00AC6E70" w:rsidRDefault="00800FDE" w:rsidP="00800FDE">
            <w:pPr>
              <w:keepNext/>
              <w:keepLines/>
              <w:shd w:val="clear" w:color="auto" w:fill="FFFFFF"/>
              <w:ind w:firstLine="39"/>
              <w:jc w:val="both"/>
              <w:outlineLvl w:val="3"/>
              <w:rPr>
                <w:rFonts w:asciiTheme="majorHAnsi" w:eastAsia="Times New Roman" w:hAnsiTheme="majorHAnsi" w:cstheme="majorHAnsi"/>
                <w:b w:val="0"/>
                <w:bCs w:val="0"/>
                <w:sz w:val="20"/>
                <w:szCs w:val="20"/>
                <w:lang w:val="en-US"/>
              </w:rPr>
            </w:pPr>
            <w:r w:rsidRPr="00AC6E70">
              <w:rPr>
                <w:rFonts w:asciiTheme="majorHAnsi" w:eastAsia="Times New Roman" w:hAnsiTheme="majorHAnsi" w:cstheme="majorHAnsi"/>
                <w:b w:val="0"/>
                <w:bCs w:val="0"/>
                <w:sz w:val="20"/>
                <w:szCs w:val="20"/>
                <w:lang w:val="en-US"/>
              </w:rPr>
              <w:t>c) cheltuielilor de personal;</w:t>
            </w:r>
          </w:p>
          <w:p w:rsidR="00800FDE" w:rsidRPr="00AC6E70" w:rsidRDefault="00800FDE" w:rsidP="00800FDE">
            <w:pPr>
              <w:keepNext/>
              <w:keepLines/>
              <w:shd w:val="clear" w:color="auto" w:fill="FFFFFF"/>
              <w:ind w:firstLine="39"/>
              <w:jc w:val="both"/>
              <w:outlineLvl w:val="3"/>
              <w:rPr>
                <w:rFonts w:asciiTheme="majorHAnsi" w:eastAsia="Times New Roman" w:hAnsiTheme="majorHAnsi" w:cstheme="majorHAnsi"/>
                <w:b w:val="0"/>
                <w:bCs w:val="0"/>
                <w:sz w:val="20"/>
                <w:szCs w:val="20"/>
                <w:lang w:val="en-US"/>
              </w:rPr>
            </w:pPr>
            <w:r w:rsidRPr="00AC6E70">
              <w:rPr>
                <w:rFonts w:asciiTheme="majorHAnsi" w:eastAsia="Times New Roman" w:hAnsiTheme="majorHAnsi" w:cstheme="majorHAnsi"/>
                <w:b w:val="0"/>
                <w:bCs w:val="0"/>
                <w:sz w:val="20"/>
                <w:szCs w:val="20"/>
                <w:lang w:val="en-US"/>
              </w:rPr>
              <w:t>d) cheltuielilor pentru energia electrică;</w:t>
            </w:r>
          </w:p>
          <w:p w:rsidR="00800FDE" w:rsidRPr="00AC6E70" w:rsidRDefault="00800FDE" w:rsidP="00800FDE">
            <w:pPr>
              <w:keepNext/>
              <w:keepLines/>
              <w:shd w:val="clear" w:color="auto" w:fill="FFFFFF"/>
              <w:ind w:firstLine="39"/>
              <w:jc w:val="both"/>
              <w:outlineLvl w:val="3"/>
              <w:rPr>
                <w:rFonts w:asciiTheme="majorHAnsi" w:eastAsia="Times New Roman" w:hAnsiTheme="majorHAnsi" w:cstheme="majorHAnsi"/>
                <w:b w:val="0"/>
                <w:bCs w:val="0"/>
                <w:sz w:val="20"/>
                <w:szCs w:val="20"/>
                <w:lang w:val="en-US"/>
              </w:rPr>
            </w:pPr>
            <w:r w:rsidRPr="00AC6E70">
              <w:rPr>
                <w:rFonts w:asciiTheme="majorHAnsi" w:eastAsia="Times New Roman" w:hAnsiTheme="majorHAnsi" w:cstheme="majorHAnsi"/>
                <w:b w:val="0"/>
                <w:bCs w:val="0"/>
                <w:sz w:val="20"/>
                <w:szCs w:val="20"/>
                <w:lang w:val="en-US"/>
              </w:rPr>
              <w:t>e) cheltuielilor de distribuire și administrative;</w:t>
            </w:r>
          </w:p>
          <w:p w:rsidR="00800FDE" w:rsidRPr="00AC6E70" w:rsidRDefault="00800FDE" w:rsidP="00800FDE">
            <w:pPr>
              <w:keepNext/>
              <w:keepLines/>
              <w:shd w:val="clear" w:color="auto" w:fill="FFFFFF"/>
              <w:ind w:firstLine="39"/>
              <w:jc w:val="both"/>
              <w:outlineLvl w:val="3"/>
              <w:rPr>
                <w:rFonts w:asciiTheme="majorHAnsi" w:eastAsia="Times New Roman" w:hAnsiTheme="majorHAnsi" w:cstheme="majorHAnsi"/>
                <w:b w:val="0"/>
                <w:bCs w:val="0"/>
                <w:sz w:val="20"/>
                <w:szCs w:val="20"/>
                <w:lang w:val="en-US"/>
              </w:rPr>
            </w:pPr>
            <w:r w:rsidRPr="00AC6E70">
              <w:rPr>
                <w:rFonts w:asciiTheme="majorHAnsi" w:eastAsia="Times New Roman" w:hAnsiTheme="majorHAnsi" w:cstheme="majorHAnsi"/>
                <w:b w:val="0"/>
                <w:bCs w:val="0"/>
                <w:sz w:val="20"/>
                <w:szCs w:val="20"/>
                <w:lang w:val="en-US"/>
              </w:rPr>
              <w:t>f) cheltuielilor de întreținere și exploatare a sistemului public de alimentare cu apă și de canalizare;</w:t>
            </w:r>
          </w:p>
          <w:p w:rsidR="00800FDE" w:rsidRPr="00AC6E70" w:rsidRDefault="00800FDE" w:rsidP="00800FDE">
            <w:pPr>
              <w:keepNext/>
              <w:keepLines/>
              <w:shd w:val="clear" w:color="auto" w:fill="FFFFFF"/>
              <w:ind w:firstLine="39"/>
              <w:jc w:val="both"/>
              <w:outlineLvl w:val="3"/>
              <w:rPr>
                <w:rFonts w:asciiTheme="majorHAnsi" w:eastAsia="Times New Roman" w:hAnsiTheme="majorHAnsi" w:cstheme="majorHAnsi"/>
                <w:b w:val="0"/>
                <w:bCs w:val="0"/>
                <w:sz w:val="20"/>
                <w:szCs w:val="20"/>
                <w:lang w:val="en-US"/>
              </w:rPr>
            </w:pPr>
            <w:r w:rsidRPr="00AC6E70">
              <w:rPr>
                <w:rFonts w:asciiTheme="majorHAnsi" w:eastAsia="Times New Roman" w:hAnsiTheme="majorHAnsi" w:cstheme="majorHAnsi"/>
                <w:b w:val="0"/>
                <w:bCs w:val="0"/>
                <w:sz w:val="20"/>
                <w:szCs w:val="20"/>
                <w:lang w:val="en-US"/>
              </w:rPr>
              <w:t>g) amortizării mijloacelor fixe și a imobilizărilor necorporale deţinute de operator cu drept de proprietate şi care nu fac parte din sistemele publice de alimentare cu apă şi de canalizare, inclusiv în cazul reevaluării acestora astfel încît activele respective să nu fie depreciate mai mult de o dată, însă excluzînd activele care au fost obţinute gratuit, prin donaţii sau prin alte surse nerambursabile;</w:t>
            </w:r>
          </w:p>
          <w:p w:rsidR="00800FDE" w:rsidRPr="00AC6E70" w:rsidRDefault="00800FDE" w:rsidP="00800FDE">
            <w:pPr>
              <w:keepNext/>
              <w:keepLines/>
              <w:shd w:val="clear" w:color="auto" w:fill="FFFFFF"/>
              <w:jc w:val="both"/>
              <w:outlineLvl w:val="3"/>
              <w:rPr>
                <w:rFonts w:asciiTheme="majorHAnsi" w:eastAsia="Times New Roman" w:hAnsiTheme="majorHAnsi" w:cstheme="majorHAnsi"/>
                <w:b w:val="0"/>
                <w:bCs w:val="0"/>
                <w:sz w:val="20"/>
                <w:szCs w:val="20"/>
                <w:lang w:val="en-US"/>
              </w:rPr>
            </w:pPr>
            <w:r w:rsidRPr="00AC6E70">
              <w:rPr>
                <w:rFonts w:asciiTheme="majorHAnsi" w:eastAsia="Times New Roman" w:hAnsiTheme="majorHAnsi" w:cstheme="majorHAnsi"/>
                <w:b w:val="0"/>
                <w:bCs w:val="0"/>
                <w:sz w:val="20"/>
                <w:szCs w:val="20"/>
                <w:lang w:val="en-US"/>
              </w:rPr>
              <w:t>h) amortizării mijloacelor fixe și a imobilizărilor necorporale care fac parte din sistemele publice de alimentare cu apă şi de canalizare ale entităţii specializate a autorităţii publice locale care asigură gestiunea directă a serviciului public de alimentare cu apă şi de canalizare;</w:t>
            </w:r>
          </w:p>
          <w:p w:rsidR="00800FDE" w:rsidRPr="00AC6E70" w:rsidRDefault="00800FDE" w:rsidP="00800FDE">
            <w:pPr>
              <w:keepNext/>
              <w:keepLines/>
              <w:shd w:val="clear" w:color="auto" w:fill="FFFFFF"/>
              <w:jc w:val="both"/>
              <w:outlineLvl w:val="3"/>
              <w:rPr>
                <w:rFonts w:asciiTheme="majorHAnsi" w:eastAsia="Times New Roman" w:hAnsiTheme="majorHAnsi" w:cstheme="majorHAnsi"/>
                <w:b w:val="0"/>
                <w:bCs w:val="0"/>
                <w:sz w:val="20"/>
                <w:szCs w:val="20"/>
                <w:lang w:val="en-US"/>
              </w:rPr>
            </w:pPr>
            <w:r w:rsidRPr="00AC6E70">
              <w:rPr>
                <w:rFonts w:asciiTheme="majorHAnsi" w:eastAsia="Times New Roman" w:hAnsiTheme="majorHAnsi" w:cstheme="majorHAnsi"/>
                <w:b w:val="0"/>
                <w:bCs w:val="0"/>
                <w:sz w:val="20"/>
                <w:szCs w:val="20"/>
                <w:lang w:val="en-US"/>
              </w:rPr>
              <w:t>i) amortizării mijloacelor fixe și a imobilizărilor necorporale transmise operatorului conform contractului de delegare de către autorităţile publice locale pentru a fi utilizate doar în scopurile prevăzute de contractul de delegare;</w:t>
            </w:r>
          </w:p>
          <w:p w:rsidR="00800FDE" w:rsidRPr="00AC6E70" w:rsidRDefault="00800FDE" w:rsidP="00800FDE">
            <w:pPr>
              <w:keepNext/>
              <w:keepLines/>
              <w:shd w:val="clear" w:color="auto" w:fill="FFFFFF"/>
              <w:jc w:val="both"/>
              <w:outlineLvl w:val="3"/>
              <w:rPr>
                <w:rFonts w:asciiTheme="majorHAnsi" w:eastAsia="Times New Roman" w:hAnsiTheme="majorHAnsi" w:cstheme="majorHAnsi"/>
                <w:b w:val="0"/>
                <w:bCs w:val="0"/>
                <w:sz w:val="20"/>
                <w:szCs w:val="20"/>
                <w:lang w:val="en-US"/>
              </w:rPr>
            </w:pPr>
            <w:r w:rsidRPr="00AC6E70">
              <w:rPr>
                <w:rFonts w:asciiTheme="majorHAnsi" w:eastAsia="Times New Roman" w:hAnsiTheme="majorHAnsi" w:cstheme="majorHAnsi"/>
                <w:b w:val="0"/>
                <w:bCs w:val="0"/>
                <w:sz w:val="20"/>
                <w:szCs w:val="20"/>
                <w:lang w:val="en-US"/>
              </w:rPr>
              <w:t>j) nivelului redevenței;</w:t>
            </w:r>
          </w:p>
          <w:p w:rsidR="00800FDE" w:rsidRPr="00AC6E70" w:rsidRDefault="00800FDE" w:rsidP="00800FDE">
            <w:pPr>
              <w:keepNext/>
              <w:keepLines/>
              <w:shd w:val="clear" w:color="auto" w:fill="FFFFFF"/>
              <w:jc w:val="both"/>
              <w:outlineLvl w:val="3"/>
              <w:rPr>
                <w:rFonts w:asciiTheme="majorHAnsi" w:eastAsia="Times New Roman" w:hAnsiTheme="majorHAnsi" w:cstheme="majorHAnsi"/>
                <w:b w:val="0"/>
                <w:bCs w:val="0"/>
                <w:sz w:val="20"/>
                <w:szCs w:val="20"/>
                <w:lang w:val="en-US"/>
              </w:rPr>
            </w:pPr>
            <w:r w:rsidRPr="00AC6E70">
              <w:rPr>
                <w:rFonts w:asciiTheme="majorHAnsi" w:eastAsia="Times New Roman" w:hAnsiTheme="majorHAnsi" w:cstheme="majorHAnsi"/>
                <w:b w:val="0"/>
                <w:bCs w:val="0"/>
                <w:sz w:val="20"/>
                <w:szCs w:val="20"/>
                <w:lang w:val="en-US"/>
              </w:rPr>
              <w:t>k) cheltuielilor privind impozitele și taxele;</w:t>
            </w:r>
          </w:p>
          <w:p w:rsidR="00800FDE" w:rsidRPr="00AC6E70" w:rsidRDefault="00800FDE" w:rsidP="00800FDE">
            <w:pPr>
              <w:keepNext/>
              <w:keepLines/>
              <w:shd w:val="clear" w:color="auto" w:fill="FFFFFF"/>
              <w:jc w:val="both"/>
              <w:outlineLvl w:val="3"/>
              <w:rPr>
                <w:rFonts w:asciiTheme="majorHAnsi" w:eastAsia="Times New Roman" w:hAnsiTheme="majorHAnsi" w:cstheme="majorHAnsi"/>
                <w:b w:val="0"/>
                <w:bCs w:val="0"/>
                <w:sz w:val="20"/>
                <w:szCs w:val="20"/>
                <w:lang w:val="en-US"/>
              </w:rPr>
            </w:pPr>
            <w:r w:rsidRPr="00AC6E70">
              <w:rPr>
                <w:rFonts w:asciiTheme="majorHAnsi" w:eastAsia="Times New Roman" w:hAnsiTheme="majorHAnsi" w:cstheme="majorHAnsi"/>
                <w:b w:val="0"/>
                <w:bCs w:val="0"/>
                <w:sz w:val="20"/>
                <w:szCs w:val="20"/>
                <w:lang w:val="en-US"/>
              </w:rPr>
              <w:t>l) altor cheltuieli operaționale;</w:t>
            </w:r>
          </w:p>
          <w:p w:rsidR="00800FDE" w:rsidRPr="00800FDE" w:rsidRDefault="00800FDE" w:rsidP="00800FDE">
            <w:pPr>
              <w:widowControl w:val="0"/>
              <w:autoSpaceDE w:val="0"/>
              <w:autoSpaceDN w:val="0"/>
              <w:jc w:val="both"/>
              <w:rPr>
                <w:rFonts w:asciiTheme="majorHAnsi" w:eastAsia="Times New Roman" w:hAnsiTheme="majorHAnsi" w:cstheme="majorHAnsi"/>
                <w:sz w:val="20"/>
                <w:szCs w:val="20"/>
              </w:rPr>
            </w:pPr>
            <w:r w:rsidRPr="00AC6E70">
              <w:rPr>
                <w:rFonts w:asciiTheme="majorHAnsi" w:eastAsia="Times New Roman" w:hAnsiTheme="majorHAnsi" w:cstheme="majorHAnsi"/>
                <w:b w:val="0"/>
                <w:bCs w:val="0"/>
                <w:sz w:val="20"/>
                <w:szCs w:val="20"/>
                <w:lang w:val="en-US"/>
              </w:rPr>
              <w:t>m) nivelului de rentabilitate</w:t>
            </w:r>
            <w:r w:rsidRPr="00AC6E70">
              <w:rPr>
                <w:rFonts w:asciiTheme="majorHAnsi" w:eastAsia="Times New Roman" w:hAnsiTheme="majorHAnsi" w:cstheme="majorHAnsi"/>
                <w:b w:val="0"/>
                <w:sz w:val="20"/>
                <w:szCs w:val="20"/>
              </w:rPr>
              <w:t>.</w:t>
            </w:r>
          </w:p>
        </w:tc>
      </w:tr>
    </w:tbl>
    <w:p w:rsidR="004005AD" w:rsidRPr="008376FC" w:rsidRDefault="004005AD" w:rsidP="00E916FF">
      <w:pPr>
        <w:widowControl w:val="0"/>
        <w:autoSpaceDE w:val="0"/>
        <w:autoSpaceDN w:val="0"/>
        <w:spacing w:after="40" w:line="276" w:lineRule="auto"/>
        <w:jc w:val="both"/>
        <w:rPr>
          <w:rFonts w:asciiTheme="majorHAnsi" w:eastAsia="Times New Roman" w:hAnsiTheme="majorHAnsi" w:cstheme="majorHAnsi"/>
          <w:b w:val="0"/>
          <w:bCs w:val="0"/>
          <w:sz w:val="24"/>
          <w:szCs w:val="24"/>
        </w:rPr>
      </w:pPr>
    </w:p>
    <w:p w:rsidR="004005AD" w:rsidRDefault="004005AD" w:rsidP="00F61756">
      <w:pPr>
        <w:widowControl w:val="0"/>
        <w:shd w:val="clear" w:color="auto" w:fill="FFFFFF"/>
        <w:autoSpaceDE w:val="0"/>
        <w:autoSpaceDN w:val="0"/>
        <w:spacing w:after="0" w:line="276" w:lineRule="auto"/>
        <w:ind w:firstLine="54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Conform regulilor generale, prevederile inclu</w:t>
      </w:r>
      <w:r w:rsidR="00EF2D1F" w:rsidRPr="008376FC">
        <w:rPr>
          <w:rFonts w:asciiTheme="majorHAnsi" w:eastAsia="Times New Roman" w:hAnsiTheme="majorHAnsi" w:cstheme="majorHAnsi"/>
          <w:b w:val="0"/>
          <w:bCs w:val="0"/>
          <w:sz w:val="24"/>
          <w:szCs w:val="24"/>
        </w:rPr>
        <w:t>s</w:t>
      </w:r>
      <w:r w:rsidRPr="008376FC">
        <w:rPr>
          <w:rFonts w:asciiTheme="majorHAnsi" w:eastAsia="Times New Roman" w:hAnsiTheme="majorHAnsi" w:cstheme="majorHAnsi"/>
          <w:b w:val="0"/>
          <w:bCs w:val="0"/>
          <w:sz w:val="24"/>
          <w:szCs w:val="24"/>
        </w:rPr>
        <w:t xml:space="preserve">e într-o </w:t>
      </w:r>
      <w:r w:rsidR="00EF2D1F" w:rsidRPr="008376FC">
        <w:rPr>
          <w:rFonts w:asciiTheme="majorHAnsi" w:eastAsia="Times New Roman" w:hAnsiTheme="majorHAnsi" w:cstheme="majorHAnsi"/>
          <w:b w:val="0"/>
          <w:bCs w:val="0"/>
          <w:sz w:val="24"/>
          <w:szCs w:val="24"/>
        </w:rPr>
        <w:t>L</w:t>
      </w:r>
      <w:r w:rsidRPr="008376FC">
        <w:rPr>
          <w:rFonts w:asciiTheme="majorHAnsi" w:eastAsia="Times New Roman" w:hAnsiTheme="majorHAnsi" w:cstheme="majorHAnsi"/>
          <w:b w:val="0"/>
          <w:bCs w:val="0"/>
          <w:sz w:val="24"/>
          <w:szCs w:val="24"/>
        </w:rPr>
        <w:t>ege urmează să fie transpuse în al</w:t>
      </w:r>
      <w:r w:rsidR="007A7A3F">
        <w:rPr>
          <w:rFonts w:asciiTheme="majorHAnsi" w:eastAsia="Times New Roman" w:hAnsiTheme="majorHAnsi" w:cstheme="majorHAnsi"/>
          <w:b w:val="0"/>
          <w:bCs w:val="0"/>
          <w:sz w:val="24"/>
          <w:szCs w:val="24"/>
        </w:rPr>
        <w:t>t</w:t>
      </w:r>
      <w:r w:rsidRPr="008376FC">
        <w:rPr>
          <w:rFonts w:asciiTheme="majorHAnsi" w:eastAsia="Times New Roman" w:hAnsiTheme="majorHAnsi" w:cstheme="majorHAnsi"/>
          <w:b w:val="0"/>
          <w:bCs w:val="0"/>
          <w:sz w:val="24"/>
          <w:szCs w:val="24"/>
        </w:rPr>
        <w:t xml:space="preserve">e acte normative în redacția Legii. </w:t>
      </w:r>
    </w:p>
    <w:p w:rsidR="00E916FF" w:rsidRPr="008376FC" w:rsidRDefault="00E916FF" w:rsidP="00F61756">
      <w:pPr>
        <w:widowControl w:val="0"/>
        <w:shd w:val="clear" w:color="auto" w:fill="FFFFFF"/>
        <w:autoSpaceDE w:val="0"/>
        <w:autoSpaceDN w:val="0"/>
        <w:spacing w:after="0" w:line="276" w:lineRule="auto"/>
        <w:ind w:firstLine="540"/>
        <w:jc w:val="both"/>
        <w:rPr>
          <w:rFonts w:asciiTheme="majorHAnsi" w:eastAsia="Times New Roman" w:hAnsiTheme="majorHAnsi" w:cstheme="majorHAnsi"/>
          <w:sz w:val="24"/>
          <w:szCs w:val="24"/>
          <w:lang w:eastAsia="ru-RU"/>
        </w:rPr>
      </w:pPr>
    </w:p>
    <w:p w:rsidR="004005AD" w:rsidRPr="008376FC" w:rsidRDefault="004005AD" w:rsidP="00F61756">
      <w:pPr>
        <w:pStyle w:val="a3"/>
        <w:widowControl w:val="0"/>
        <w:numPr>
          <w:ilvl w:val="2"/>
          <w:numId w:val="73"/>
        </w:numPr>
        <w:tabs>
          <w:tab w:val="left" w:pos="0"/>
          <w:tab w:val="left" w:pos="851"/>
        </w:tabs>
        <w:autoSpaceDE w:val="0"/>
        <w:autoSpaceDN w:val="0"/>
        <w:spacing w:before="120" w:line="276" w:lineRule="auto"/>
        <w:ind w:left="0" w:right="112" w:firstLine="0"/>
        <w:jc w:val="both"/>
        <w:rPr>
          <w:rFonts w:asciiTheme="majorHAnsi" w:hAnsiTheme="majorHAnsi" w:cstheme="majorHAnsi"/>
          <w:b/>
          <w:color w:val="0070C0"/>
          <w:lang w:val="en-US"/>
        </w:rPr>
      </w:pPr>
      <w:r w:rsidRPr="008376FC">
        <w:rPr>
          <w:rFonts w:asciiTheme="majorHAnsi" w:hAnsiTheme="majorHAnsi" w:cstheme="majorHAnsi"/>
          <w:b/>
          <w:color w:val="0070C0"/>
          <w:lang w:val="en-US"/>
        </w:rPr>
        <w:t>Fondurile de dezvolta</w:t>
      </w:r>
      <w:r w:rsidR="007A7A3F">
        <w:rPr>
          <w:rFonts w:asciiTheme="majorHAnsi" w:hAnsiTheme="majorHAnsi" w:cstheme="majorHAnsi"/>
          <w:b/>
          <w:color w:val="0070C0"/>
          <w:lang w:val="en-US"/>
        </w:rPr>
        <w:t>r</w:t>
      </w:r>
      <w:r w:rsidRPr="008376FC">
        <w:rPr>
          <w:rFonts w:asciiTheme="majorHAnsi" w:hAnsiTheme="majorHAnsi" w:cstheme="majorHAnsi"/>
          <w:b/>
          <w:color w:val="0070C0"/>
          <w:lang w:val="en-US"/>
        </w:rPr>
        <w:t>e prevăzute de cadrul regulator nu au fost create de toți operator</w:t>
      </w:r>
      <w:r w:rsidR="007A7A3F">
        <w:rPr>
          <w:rFonts w:asciiTheme="majorHAnsi" w:hAnsiTheme="majorHAnsi" w:cstheme="majorHAnsi"/>
          <w:b/>
          <w:color w:val="0070C0"/>
          <w:lang w:val="en-US"/>
        </w:rPr>
        <w:t>i</w:t>
      </w:r>
      <w:r w:rsidRPr="008376FC">
        <w:rPr>
          <w:rFonts w:asciiTheme="majorHAnsi" w:hAnsiTheme="majorHAnsi" w:cstheme="majorHAnsi"/>
          <w:b/>
          <w:color w:val="0070C0"/>
          <w:lang w:val="en-US"/>
        </w:rPr>
        <w:t xml:space="preserve">i de servicii de alimentare cu apă și </w:t>
      </w:r>
      <w:r w:rsidR="007A7A3F">
        <w:rPr>
          <w:rFonts w:asciiTheme="majorHAnsi" w:hAnsiTheme="majorHAnsi" w:cstheme="majorHAnsi"/>
          <w:b/>
          <w:color w:val="0070C0"/>
          <w:lang w:val="en-US"/>
        </w:rPr>
        <w:t xml:space="preserve">de </w:t>
      </w:r>
      <w:r w:rsidRPr="008376FC">
        <w:rPr>
          <w:rFonts w:asciiTheme="majorHAnsi" w:hAnsiTheme="majorHAnsi" w:cstheme="majorHAnsi"/>
          <w:b/>
          <w:color w:val="0070C0"/>
          <w:lang w:val="en-US"/>
        </w:rPr>
        <w:t>canalizare</w:t>
      </w:r>
      <w:r w:rsidR="007A7A3F">
        <w:rPr>
          <w:rFonts w:asciiTheme="majorHAnsi" w:hAnsiTheme="majorHAnsi" w:cstheme="majorHAnsi"/>
          <w:b/>
          <w:color w:val="0070C0"/>
          <w:lang w:val="en-US"/>
        </w:rPr>
        <w:t>.</w:t>
      </w:r>
    </w:p>
    <w:p w:rsidR="004005AD" w:rsidRPr="008376FC" w:rsidRDefault="004005AD"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sz w:val="24"/>
          <w:szCs w:val="24"/>
          <w:lang w:eastAsia="ru-RU"/>
        </w:rPr>
        <w:t xml:space="preserve">Fondul de dezvoltare se instituie de către operator/operatorul regional sau de către autoritatea publică locală și este destinat pentru înlocuirea şi dezvoltarea infrastructurii tehnico-edilitare aferente serviciului public de alimentare cu apă și de canalizare, pentru cofinanţarea proiectelor care beneficiază de asistenţă nerambursabilă, precum şi pentru asigurarea fondurilor necesare rambursării împrumuturilor contractate în scopul efectuării investițiilor. </w:t>
      </w:r>
      <w:r w:rsidRPr="008376FC">
        <w:rPr>
          <w:rFonts w:asciiTheme="majorHAnsi" w:eastAsia="Times New Roman" w:hAnsiTheme="majorHAnsi" w:cstheme="majorHAnsi"/>
          <w:b w:val="0"/>
          <w:sz w:val="24"/>
          <w:szCs w:val="24"/>
          <w:lang w:eastAsia="ru-RU"/>
        </w:rPr>
        <w:t>Totodată,</w:t>
      </w:r>
      <w:r w:rsidRPr="008376FC">
        <w:rPr>
          <w:rFonts w:asciiTheme="majorHAnsi" w:eastAsia="Times New Roman" w:hAnsiTheme="majorHAnsi" w:cstheme="majorHAnsi"/>
          <w:sz w:val="24"/>
          <w:szCs w:val="24"/>
          <w:lang w:eastAsia="ru-RU"/>
        </w:rPr>
        <w:t xml:space="preserve"> </w:t>
      </w:r>
      <w:r w:rsidRPr="008376FC">
        <w:rPr>
          <w:rFonts w:asciiTheme="majorHAnsi" w:eastAsia="Times New Roman" w:hAnsiTheme="majorHAnsi" w:cstheme="majorHAnsi"/>
          <w:b w:val="0"/>
          <w:bCs w:val="0"/>
          <w:sz w:val="24"/>
          <w:szCs w:val="24"/>
          <w:lang w:eastAsia="ru-RU"/>
        </w:rPr>
        <w:t>operatorul care realizează proiecte din contul împrumuturilor sau creditelor interne sau externe  este  obligat ca, de la semnarea acordului de împrumut și p</w:t>
      </w:r>
      <w:r w:rsidR="007A7A3F">
        <w:rPr>
          <w:rFonts w:asciiTheme="majorHAnsi" w:eastAsia="Times New Roman" w:hAnsiTheme="majorHAnsi" w:cstheme="majorHAnsi"/>
          <w:b w:val="0"/>
          <w:bCs w:val="0"/>
          <w:sz w:val="24"/>
          <w:szCs w:val="24"/>
          <w:lang w:eastAsia="ru-RU"/>
        </w:rPr>
        <w:t>â</w:t>
      </w:r>
      <w:r w:rsidRPr="008376FC">
        <w:rPr>
          <w:rFonts w:asciiTheme="majorHAnsi" w:eastAsia="Times New Roman" w:hAnsiTheme="majorHAnsi" w:cstheme="majorHAnsi"/>
          <w:b w:val="0"/>
          <w:bCs w:val="0"/>
          <w:sz w:val="24"/>
          <w:szCs w:val="24"/>
          <w:lang w:eastAsia="ru-RU"/>
        </w:rPr>
        <w:t>nă la rambursarea integrală a acestuia, să constituie Fondul de dezvoltare în mărimea care acoperă serviciul datoriei aferent împrumuturilor contractate. </w:t>
      </w:r>
    </w:p>
    <w:p w:rsidR="004005AD" w:rsidRPr="008376FC" w:rsidRDefault="004005AD"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sz w:val="24"/>
          <w:szCs w:val="24"/>
          <w:lang w:eastAsia="ru-RU"/>
        </w:rPr>
        <w:t xml:space="preserve">Mijloacele acumulate în Fond urmează a fi păstrate într-un cont bancar și/sau cont de plăți separat, purtătoare de dobândă, sau conform prevederilor acordurilor de împrumut încheiate în scopul efectuării investițiilor pentru înlocuirea şi dezvoltarea infrastructurii tehnico-edilitare. </w:t>
      </w:r>
    </w:p>
    <w:p w:rsidR="004005AD" w:rsidRPr="008376FC" w:rsidRDefault="004005AD"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sz w:val="24"/>
          <w:szCs w:val="24"/>
          <w:lang w:eastAsia="ru-RU"/>
        </w:rPr>
        <w:t>Fondul de dezvoltare se constituie din: (i) defălcări din profitul net al întreprinderii, (ii) amortizarea imobilizărilor corporale şi necorporale proprietate APL, transmise operatorului, în cazul gestiunii directe; (iii) redevența aferentă bunurilor concesionate, calculată conform contractului de delegare a gestiunii serviciului public de alimentare cu apă și de canalizare; (iv) dob</w:t>
      </w:r>
      <w:r w:rsidR="007A7A3F">
        <w:rPr>
          <w:rFonts w:asciiTheme="majorHAnsi" w:eastAsia="Times New Roman" w:hAnsiTheme="majorHAnsi" w:cstheme="majorHAnsi"/>
          <w:b w:val="0"/>
          <w:bCs w:val="0"/>
          <w:sz w:val="24"/>
          <w:szCs w:val="24"/>
          <w:lang w:eastAsia="ru-RU"/>
        </w:rPr>
        <w:t>â</w:t>
      </w:r>
      <w:r w:rsidRPr="008376FC">
        <w:rPr>
          <w:rFonts w:asciiTheme="majorHAnsi" w:eastAsia="Times New Roman" w:hAnsiTheme="majorHAnsi" w:cstheme="majorHAnsi"/>
          <w:b w:val="0"/>
          <w:bCs w:val="0"/>
          <w:sz w:val="24"/>
          <w:szCs w:val="24"/>
          <w:lang w:eastAsia="ru-RU"/>
        </w:rPr>
        <w:t>nzi aferente contului bancar în care se păstrează mijloacele Fondului de dezvoltare, și (v) alte surse, conform deciziilor APL cu care sunt încheiate contracte de delegare a gestiunii serviciului public de alimentare cu apă şi de canalizare.</w:t>
      </w:r>
    </w:p>
    <w:p w:rsidR="004005AD" w:rsidRPr="008376FC" w:rsidRDefault="004005AD"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sz w:val="24"/>
          <w:szCs w:val="24"/>
          <w:lang w:eastAsia="ru-RU"/>
        </w:rPr>
        <w:t>Redevența se virează de către operator în Fondul de dezvoltare în limita în care este inclusă în calculul tarifelor aplicate pentru serviciul public de alimentare cu apă şi de canalizare.</w:t>
      </w:r>
    </w:p>
    <w:p w:rsidR="004005AD" w:rsidRPr="008376FC" w:rsidRDefault="004005AD"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sz w:val="24"/>
          <w:szCs w:val="24"/>
          <w:lang w:eastAsia="ru-RU"/>
        </w:rPr>
        <w:t>De asemenea, cadrul regulator prevede că, în cazul în care mijloacele financiare acumulate în Fondul de dezvoltare nu s</w:t>
      </w:r>
      <w:r w:rsidR="007A7A3F">
        <w:rPr>
          <w:rFonts w:asciiTheme="majorHAnsi" w:eastAsia="Times New Roman" w:hAnsiTheme="majorHAnsi" w:cstheme="majorHAnsi"/>
          <w:b w:val="0"/>
          <w:bCs w:val="0"/>
          <w:sz w:val="24"/>
          <w:szCs w:val="24"/>
          <w:lang w:eastAsia="ru-RU"/>
        </w:rPr>
        <w:t>u</w:t>
      </w:r>
      <w:r w:rsidRPr="008376FC">
        <w:rPr>
          <w:rFonts w:asciiTheme="majorHAnsi" w:eastAsia="Times New Roman" w:hAnsiTheme="majorHAnsi" w:cstheme="majorHAnsi"/>
          <w:b w:val="0"/>
          <w:bCs w:val="0"/>
          <w:sz w:val="24"/>
          <w:szCs w:val="24"/>
          <w:lang w:eastAsia="ru-RU"/>
        </w:rPr>
        <w:t>nt suficiente pentru a acoperi serviciul datoriei conform acordurilor/contractelor de împrumut, constând din rambursarea plăților de bază, dob</w:t>
      </w:r>
      <w:r w:rsidR="007A7A3F">
        <w:rPr>
          <w:rFonts w:asciiTheme="majorHAnsi" w:eastAsia="Times New Roman" w:hAnsiTheme="majorHAnsi" w:cstheme="majorHAnsi"/>
          <w:b w:val="0"/>
          <w:bCs w:val="0"/>
          <w:sz w:val="24"/>
          <w:szCs w:val="24"/>
          <w:lang w:eastAsia="ru-RU"/>
        </w:rPr>
        <w:t>â</w:t>
      </w:r>
      <w:r w:rsidRPr="008376FC">
        <w:rPr>
          <w:rFonts w:asciiTheme="majorHAnsi" w:eastAsia="Times New Roman" w:hAnsiTheme="majorHAnsi" w:cstheme="majorHAnsi"/>
          <w:b w:val="0"/>
          <w:bCs w:val="0"/>
          <w:sz w:val="24"/>
          <w:szCs w:val="24"/>
          <w:lang w:eastAsia="ru-RU"/>
        </w:rPr>
        <w:t>nzilor, comisioanelor și altor costuri aferente, at</w:t>
      </w:r>
      <w:r w:rsidR="007A7A3F">
        <w:rPr>
          <w:rFonts w:asciiTheme="majorHAnsi" w:eastAsia="Times New Roman" w:hAnsiTheme="majorHAnsi" w:cstheme="majorHAnsi"/>
          <w:b w:val="0"/>
          <w:bCs w:val="0"/>
          <w:sz w:val="24"/>
          <w:szCs w:val="24"/>
          <w:lang w:eastAsia="ru-RU"/>
        </w:rPr>
        <w:t>â</w:t>
      </w:r>
      <w:r w:rsidRPr="008376FC">
        <w:rPr>
          <w:rFonts w:asciiTheme="majorHAnsi" w:eastAsia="Times New Roman" w:hAnsiTheme="majorHAnsi" w:cstheme="majorHAnsi"/>
          <w:b w:val="0"/>
          <w:bCs w:val="0"/>
          <w:sz w:val="24"/>
          <w:szCs w:val="24"/>
          <w:lang w:eastAsia="ru-RU"/>
        </w:rPr>
        <w:t>t operatorul</w:t>
      </w:r>
      <w:r w:rsidR="007A7A3F">
        <w:rPr>
          <w:rFonts w:asciiTheme="majorHAnsi" w:eastAsia="Times New Roman" w:hAnsiTheme="majorHAnsi" w:cstheme="majorHAnsi"/>
          <w:b w:val="0"/>
          <w:bCs w:val="0"/>
          <w:sz w:val="24"/>
          <w:szCs w:val="24"/>
          <w:lang w:eastAsia="ru-RU"/>
        </w:rPr>
        <w:t>,</w:t>
      </w:r>
      <w:r w:rsidRPr="008376FC">
        <w:rPr>
          <w:rFonts w:asciiTheme="majorHAnsi" w:eastAsia="Times New Roman" w:hAnsiTheme="majorHAnsi" w:cstheme="majorHAnsi"/>
          <w:b w:val="0"/>
          <w:bCs w:val="0"/>
          <w:sz w:val="24"/>
          <w:szCs w:val="24"/>
          <w:lang w:eastAsia="ru-RU"/>
        </w:rPr>
        <w:t xml:space="preserve"> c</w:t>
      </w:r>
      <w:r w:rsidR="007A7A3F">
        <w:rPr>
          <w:rFonts w:asciiTheme="majorHAnsi" w:eastAsia="Times New Roman" w:hAnsiTheme="majorHAnsi" w:cstheme="majorHAnsi"/>
          <w:b w:val="0"/>
          <w:bCs w:val="0"/>
          <w:sz w:val="24"/>
          <w:szCs w:val="24"/>
          <w:lang w:eastAsia="ru-RU"/>
        </w:rPr>
        <w:t>â</w:t>
      </w:r>
      <w:r w:rsidRPr="008376FC">
        <w:rPr>
          <w:rFonts w:asciiTheme="majorHAnsi" w:eastAsia="Times New Roman" w:hAnsiTheme="majorHAnsi" w:cstheme="majorHAnsi"/>
          <w:b w:val="0"/>
          <w:bCs w:val="0"/>
          <w:sz w:val="24"/>
          <w:szCs w:val="24"/>
          <w:lang w:eastAsia="ru-RU"/>
        </w:rPr>
        <w:t>t și APL vor contribui, după caz, cu mijloace proprii p</w:t>
      </w:r>
      <w:r w:rsidR="007A7A3F">
        <w:rPr>
          <w:rFonts w:asciiTheme="majorHAnsi" w:eastAsia="Times New Roman" w:hAnsiTheme="majorHAnsi" w:cstheme="majorHAnsi"/>
          <w:b w:val="0"/>
          <w:bCs w:val="0"/>
          <w:sz w:val="24"/>
          <w:szCs w:val="24"/>
          <w:lang w:eastAsia="ru-RU"/>
        </w:rPr>
        <w:t>â</w:t>
      </w:r>
      <w:r w:rsidRPr="008376FC">
        <w:rPr>
          <w:rFonts w:asciiTheme="majorHAnsi" w:eastAsia="Times New Roman" w:hAnsiTheme="majorHAnsi" w:cstheme="majorHAnsi"/>
          <w:b w:val="0"/>
          <w:bCs w:val="0"/>
          <w:sz w:val="24"/>
          <w:szCs w:val="24"/>
          <w:lang w:eastAsia="ru-RU"/>
        </w:rPr>
        <w:t>nă la atingerea sumei necesare pentru acoperirea serviciului datoriei.</w:t>
      </w:r>
    </w:p>
    <w:p w:rsidR="004005AD" w:rsidRPr="008376FC" w:rsidRDefault="004005AD"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sz w:val="24"/>
          <w:szCs w:val="24"/>
          <w:lang w:eastAsia="ru-RU"/>
        </w:rPr>
        <w:t>Mijloacele Fondului de dezvoltare nu pot fi utilizate în alte scopuri dec</w:t>
      </w:r>
      <w:r w:rsidR="007A7A3F">
        <w:rPr>
          <w:rFonts w:asciiTheme="majorHAnsi" w:eastAsia="Times New Roman" w:hAnsiTheme="majorHAnsi" w:cstheme="majorHAnsi"/>
          <w:b w:val="0"/>
          <w:bCs w:val="0"/>
          <w:sz w:val="24"/>
          <w:szCs w:val="24"/>
          <w:lang w:eastAsia="ru-RU"/>
        </w:rPr>
        <w:t>â</w:t>
      </w:r>
      <w:r w:rsidRPr="008376FC">
        <w:rPr>
          <w:rFonts w:asciiTheme="majorHAnsi" w:eastAsia="Times New Roman" w:hAnsiTheme="majorHAnsi" w:cstheme="majorHAnsi"/>
          <w:b w:val="0"/>
          <w:bCs w:val="0"/>
          <w:sz w:val="24"/>
          <w:szCs w:val="24"/>
          <w:lang w:eastAsia="ru-RU"/>
        </w:rPr>
        <w:t>t cele definite în art. 36</w:t>
      </w:r>
      <w:r w:rsidRPr="008376FC">
        <w:rPr>
          <w:rFonts w:asciiTheme="majorHAnsi" w:eastAsia="Times New Roman" w:hAnsiTheme="majorHAnsi" w:cstheme="majorHAnsi"/>
          <w:b w:val="0"/>
          <w:bCs w:val="0"/>
          <w:sz w:val="24"/>
          <w:szCs w:val="24"/>
          <w:vertAlign w:val="superscript"/>
          <w:lang w:eastAsia="ru-RU"/>
        </w:rPr>
        <w:t>1</w:t>
      </w:r>
      <w:r w:rsidRPr="008376FC">
        <w:rPr>
          <w:rFonts w:asciiTheme="majorHAnsi" w:eastAsia="Times New Roman" w:hAnsiTheme="majorHAnsi" w:cstheme="majorHAnsi"/>
          <w:b w:val="0"/>
          <w:bCs w:val="0"/>
          <w:sz w:val="24"/>
          <w:szCs w:val="24"/>
          <w:lang w:eastAsia="ru-RU"/>
        </w:rPr>
        <w:t xml:space="preserve"> din Legea nr.303/2013. Mijloacele Fondului neutilizate p</w:t>
      </w:r>
      <w:r w:rsidR="007A7A3F">
        <w:rPr>
          <w:rFonts w:asciiTheme="majorHAnsi" w:eastAsia="Times New Roman" w:hAnsiTheme="majorHAnsi" w:cstheme="majorHAnsi"/>
          <w:b w:val="0"/>
          <w:bCs w:val="0"/>
          <w:sz w:val="24"/>
          <w:szCs w:val="24"/>
          <w:lang w:eastAsia="ru-RU"/>
        </w:rPr>
        <w:t>â</w:t>
      </w:r>
      <w:r w:rsidRPr="008376FC">
        <w:rPr>
          <w:rFonts w:asciiTheme="majorHAnsi" w:eastAsia="Times New Roman" w:hAnsiTheme="majorHAnsi" w:cstheme="majorHAnsi"/>
          <w:b w:val="0"/>
          <w:bCs w:val="0"/>
          <w:sz w:val="24"/>
          <w:szCs w:val="24"/>
          <w:lang w:eastAsia="ru-RU"/>
        </w:rPr>
        <w:t>nă la data încheierii anului bugetar s</w:t>
      </w:r>
      <w:r w:rsidR="007A7A3F">
        <w:rPr>
          <w:rFonts w:asciiTheme="majorHAnsi" w:eastAsia="Times New Roman" w:hAnsiTheme="majorHAnsi" w:cstheme="majorHAnsi"/>
          <w:b w:val="0"/>
          <w:bCs w:val="0"/>
          <w:sz w:val="24"/>
          <w:szCs w:val="24"/>
          <w:lang w:eastAsia="ru-RU"/>
        </w:rPr>
        <w:t>u</w:t>
      </w:r>
      <w:r w:rsidRPr="008376FC">
        <w:rPr>
          <w:rFonts w:asciiTheme="majorHAnsi" w:eastAsia="Times New Roman" w:hAnsiTheme="majorHAnsi" w:cstheme="majorHAnsi"/>
          <w:b w:val="0"/>
          <w:bCs w:val="0"/>
          <w:sz w:val="24"/>
          <w:szCs w:val="24"/>
          <w:lang w:eastAsia="ru-RU"/>
        </w:rPr>
        <w:t>nt accesibile pentru utilizare în anul bugetar următor.</w:t>
      </w:r>
    </w:p>
    <w:p w:rsidR="004005AD" w:rsidRPr="008376FC" w:rsidRDefault="004005AD" w:rsidP="00F61756">
      <w:pPr>
        <w:widowControl w:val="0"/>
        <w:tabs>
          <w:tab w:val="left" w:pos="567"/>
          <w:tab w:val="left" w:pos="709"/>
          <w:tab w:val="left" w:pos="851"/>
        </w:tabs>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Verificarea respectări</w:t>
      </w:r>
      <w:r w:rsidR="007A7A3F">
        <w:rPr>
          <w:rFonts w:asciiTheme="majorHAnsi" w:eastAsia="Times New Roman" w:hAnsiTheme="majorHAnsi" w:cstheme="majorHAnsi"/>
          <w:b w:val="0"/>
          <w:bCs w:val="0"/>
          <w:sz w:val="24"/>
          <w:szCs w:val="24"/>
        </w:rPr>
        <w:t>i</w:t>
      </w:r>
      <w:r w:rsidRPr="008376FC">
        <w:rPr>
          <w:rFonts w:asciiTheme="majorHAnsi" w:eastAsia="Times New Roman" w:hAnsiTheme="majorHAnsi" w:cstheme="majorHAnsi"/>
          <w:b w:val="0"/>
          <w:bCs w:val="0"/>
          <w:sz w:val="24"/>
          <w:szCs w:val="24"/>
        </w:rPr>
        <w:t xml:space="preserve"> cerințelor respective la 2 operatori care au raportat în anul 2021 că au datorii pentru împrumuturi, </w:t>
      </w:r>
      <w:r w:rsidR="007A7A3F">
        <w:rPr>
          <w:rFonts w:asciiTheme="majorHAnsi" w:eastAsia="Times New Roman" w:hAnsiTheme="majorHAnsi" w:cstheme="majorHAnsi"/>
          <w:b w:val="0"/>
          <w:bCs w:val="0"/>
          <w:sz w:val="24"/>
          <w:szCs w:val="24"/>
        </w:rPr>
        <w:t>relevă</w:t>
      </w:r>
      <w:r w:rsidRPr="008376FC">
        <w:rPr>
          <w:rFonts w:asciiTheme="majorHAnsi" w:eastAsia="Times New Roman" w:hAnsiTheme="majorHAnsi" w:cstheme="majorHAnsi"/>
          <w:b w:val="0"/>
          <w:bCs w:val="0"/>
          <w:sz w:val="24"/>
          <w:szCs w:val="24"/>
        </w:rPr>
        <w:t xml:space="preserve"> că S.A. „Regia Apă</w:t>
      </w:r>
      <w:r w:rsidR="007A7A3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Canal Orhei” în anul 2019 a creat Fondul de dezvoltate, în care pe parcursul anilor au fost acumulate 3,89 mil.lei, s-au cheltuit 3,54 mil.lei, soldul neutilizat la finele anului a constituit 0,35 mil.lei. S.A. „Operator Regional Apă</w:t>
      </w:r>
      <w:r w:rsidR="007A7A3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Canal H</w:t>
      </w:r>
      <w:r w:rsidR="007A7A3F">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nceşti”</w:t>
      </w:r>
      <w:r w:rsidR="007A7A3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deși a deschis </w:t>
      </w:r>
      <w:r w:rsidR="007A7A3F">
        <w:rPr>
          <w:rFonts w:asciiTheme="majorHAnsi" w:eastAsia="Times New Roman" w:hAnsiTheme="majorHAnsi" w:cstheme="majorHAnsi"/>
          <w:b w:val="0"/>
          <w:bCs w:val="0"/>
          <w:sz w:val="24"/>
          <w:szCs w:val="24"/>
        </w:rPr>
        <w:t xml:space="preserve">un </w:t>
      </w:r>
      <w:r w:rsidRPr="008376FC">
        <w:rPr>
          <w:rFonts w:asciiTheme="majorHAnsi" w:eastAsia="Times New Roman" w:hAnsiTheme="majorHAnsi" w:cstheme="majorHAnsi"/>
          <w:b w:val="0"/>
          <w:bCs w:val="0"/>
          <w:sz w:val="24"/>
          <w:szCs w:val="24"/>
        </w:rPr>
        <w:t xml:space="preserve">cont bancar în anul 2017, încasările în acesta au avut loc </w:t>
      </w:r>
      <w:r w:rsidRPr="00095743">
        <w:rPr>
          <w:rFonts w:asciiTheme="majorHAnsi" w:eastAsia="Times New Roman" w:hAnsiTheme="majorHAnsi" w:cstheme="majorHAnsi"/>
          <w:b w:val="0"/>
          <w:bCs w:val="0"/>
          <w:sz w:val="24"/>
          <w:szCs w:val="24"/>
        </w:rPr>
        <w:t>doar î</w:t>
      </w:r>
      <w:r w:rsidRPr="008376FC">
        <w:rPr>
          <w:rFonts w:asciiTheme="majorHAnsi" w:eastAsia="Times New Roman" w:hAnsiTheme="majorHAnsi" w:cstheme="majorHAnsi"/>
          <w:b w:val="0"/>
          <w:bCs w:val="0"/>
          <w:sz w:val="24"/>
          <w:szCs w:val="24"/>
        </w:rPr>
        <w:t>n anul 2017</w:t>
      </w:r>
      <w:r w:rsidR="007A7A3F">
        <w:rPr>
          <w:rFonts w:asciiTheme="majorHAnsi" w:eastAsia="Times New Roman" w:hAnsiTheme="majorHAnsi" w:cstheme="majorHAnsi"/>
          <w:b w:val="0"/>
          <w:bCs w:val="0"/>
          <w:sz w:val="24"/>
          <w:szCs w:val="24"/>
        </w:rPr>
        <w:t xml:space="preserve"> – în sumă de</w:t>
      </w:r>
      <w:r w:rsidRPr="008376FC">
        <w:rPr>
          <w:rFonts w:asciiTheme="majorHAnsi" w:eastAsia="Times New Roman" w:hAnsiTheme="majorHAnsi" w:cstheme="majorHAnsi"/>
          <w:b w:val="0"/>
          <w:bCs w:val="0"/>
          <w:sz w:val="24"/>
          <w:szCs w:val="24"/>
        </w:rPr>
        <w:t xml:space="preserve"> 0,54 mil.lei</w:t>
      </w:r>
      <w:r w:rsidR="007A7A3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și în anul 2021 </w:t>
      </w:r>
      <w:r w:rsidR="007A7A3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w:t>
      </w:r>
      <w:r w:rsidR="007A7A3F">
        <w:rPr>
          <w:rFonts w:asciiTheme="majorHAnsi" w:eastAsia="Times New Roman" w:hAnsiTheme="majorHAnsi" w:cstheme="majorHAnsi"/>
          <w:b w:val="0"/>
          <w:bCs w:val="0"/>
          <w:sz w:val="24"/>
          <w:szCs w:val="24"/>
        </w:rPr>
        <w:t xml:space="preserve">în sumă de </w:t>
      </w:r>
      <w:r w:rsidRPr="008376FC">
        <w:rPr>
          <w:rFonts w:asciiTheme="majorHAnsi" w:eastAsia="Times New Roman" w:hAnsiTheme="majorHAnsi" w:cstheme="majorHAnsi"/>
          <w:b w:val="0"/>
          <w:bCs w:val="0"/>
          <w:sz w:val="24"/>
          <w:szCs w:val="24"/>
        </w:rPr>
        <w:t>0,1 mil.lei, care au fost direcționate pentru rambursarea împrumuturilor recredita</w:t>
      </w:r>
      <w:r w:rsidR="001F0CCC">
        <w:rPr>
          <w:rFonts w:asciiTheme="majorHAnsi" w:eastAsia="Times New Roman" w:hAnsiTheme="majorHAnsi" w:cstheme="majorHAnsi"/>
          <w:b w:val="0"/>
          <w:bCs w:val="0"/>
          <w:sz w:val="24"/>
          <w:szCs w:val="24"/>
        </w:rPr>
        <w:t>t</w:t>
      </w:r>
      <w:r w:rsidRPr="008376FC">
        <w:rPr>
          <w:rFonts w:asciiTheme="majorHAnsi" w:eastAsia="Times New Roman" w:hAnsiTheme="majorHAnsi" w:cstheme="majorHAnsi"/>
          <w:b w:val="0"/>
          <w:bCs w:val="0"/>
          <w:sz w:val="24"/>
          <w:szCs w:val="24"/>
        </w:rPr>
        <w:t>e și dob</w:t>
      </w:r>
      <w:r w:rsidR="007A7A3F">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nzilor aderente acestora, contul re</w:t>
      </w:r>
      <w:r w:rsidR="007A7A3F">
        <w:rPr>
          <w:rFonts w:asciiTheme="majorHAnsi" w:eastAsia="Times New Roman" w:hAnsiTheme="majorHAnsi" w:cstheme="majorHAnsi"/>
          <w:b w:val="0"/>
          <w:bCs w:val="0"/>
          <w:sz w:val="24"/>
          <w:szCs w:val="24"/>
        </w:rPr>
        <w:t>s</w:t>
      </w:r>
      <w:r w:rsidRPr="008376FC">
        <w:rPr>
          <w:rFonts w:asciiTheme="majorHAnsi" w:eastAsia="Times New Roman" w:hAnsiTheme="majorHAnsi" w:cstheme="majorHAnsi"/>
          <w:b w:val="0"/>
          <w:bCs w:val="0"/>
          <w:sz w:val="24"/>
          <w:szCs w:val="24"/>
        </w:rPr>
        <w:t xml:space="preserve">pectiv fiind închis la 27.01.2022. </w:t>
      </w:r>
    </w:p>
    <w:p w:rsidR="00BE2ABB" w:rsidRPr="00FB7942" w:rsidRDefault="00BE2ABB" w:rsidP="00F61756">
      <w:pPr>
        <w:widowControl w:val="0"/>
        <w:tabs>
          <w:tab w:val="left" w:pos="567"/>
          <w:tab w:val="left" w:pos="709"/>
          <w:tab w:val="left" w:pos="851"/>
        </w:tabs>
        <w:autoSpaceDE w:val="0"/>
        <w:autoSpaceDN w:val="0"/>
        <w:spacing w:after="0" w:line="276" w:lineRule="auto"/>
        <w:jc w:val="both"/>
        <w:rPr>
          <w:rFonts w:asciiTheme="majorHAnsi" w:eastAsia="Times New Roman" w:hAnsiTheme="majorHAnsi" w:cstheme="majorHAnsi"/>
          <w:b w:val="0"/>
          <w:bCs w:val="0"/>
          <w:sz w:val="24"/>
          <w:szCs w:val="24"/>
        </w:rPr>
      </w:pPr>
      <w:r w:rsidRPr="00FB7942">
        <w:rPr>
          <w:rFonts w:asciiTheme="majorHAnsi" w:eastAsia="Times New Roman" w:hAnsiTheme="majorHAnsi" w:cstheme="majorHAnsi"/>
          <w:b w:val="0"/>
          <w:bCs w:val="0"/>
          <w:sz w:val="24"/>
          <w:szCs w:val="24"/>
        </w:rPr>
        <w:t>Totodată, în cadrul ședinței de comunicare, S.A. „Servicii Comunale Florești” a menționat că, deși a  deschis un cont separat pentru acumularea mijloacelor financiare în Fondul de dezvoltare, defalcări în acesta nu sunt efectuate, deoarece amortizarea și rentabilitatea recuperate prin tarif sunt utilizate pentru acoperirea cheltuielilor operaționale, care nu sunt incluse în tarif.  Iar S.A. „Ap</w:t>
      </w:r>
      <w:r w:rsidR="00EC1CE2" w:rsidRPr="00FB7942">
        <w:rPr>
          <w:rFonts w:asciiTheme="majorHAnsi" w:eastAsia="Times New Roman" w:hAnsiTheme="majorHAnsi" w:cstheme="majorHAnsi"/>
          <w:b w:val="0"/>
          <w:bCs w:val="0"/>
          <w:sz w:val="24"/>
          <w:szCs w:val="24"/>
        </w:rPr>
        <w:t>ă-</w:t>
      </w:r>
      <w:r w:rsidRPr="00FB7942">
        <w:rPr>
          <w:rFonts w:asciiTheme="majorHAnsi" w:eastAsia="Times New Roman" w:hAnsiTheme="majorHAnsi" w:cstheme="majorHAnsi"/>
          <w:b w:val="0"/>
          <w:bCs w:val="0"/>
          <w:sz w:val="24"/>
          <w:szCs w:val="24"/>
        </w:rPr>
        <w:t>Canal Chișinău” a comunicat că amortizările recuperate prin tarif nu au fost acumulate în Fondul de dezvoltare, ci au fost folosite pentru plata directă a serviciului datoriei pentru împrumuturile BERD și BEI, precum și pentru finanțarea investițiilor. Până la începutul anului 2023</w:t>
      </w:r>
      <w:r w:rsidR="00EC1CE2" w:rsidRPr="00FB7942">
        <w:rPr>
          <w:rFonts w:asciiTheme="majorHAnsi" w:eastAsia="Times New Roman" w:hAnsiTheme="majorHAnsi" w:cstheme="majorHAnsi"/>
          <w:b w:val="0"/>
          <w:bCs w:val="0"/>
          <w:sz w:val="24"/>
          <w:szCs w:val="24"/>
        </w:rPr>
        <w:t>,</w:t>
      </w:r>
      <w:r w:rsidRPr="00FB7942">
        <w:rPr>
          <w:rFonts w:asciiTheme="majorHAnsi" w:eastAsia="Times New Roman" w:hAnsiTheme="majorHAnsi" w:cstheme="majorHAnsi"/>
          <w:b w:val="0"/>
          <w:bCs w:val="0"/>
          <w:sz w:val="24"/>
          <w:szCs w:val="24"/>
        </w:rPr>
        <w:t xml:space="preserve"> Fondul de dezvoltare nu a fost creat din cauza lipsei unei redevențe incluse în tarif. De asemenea, S.A. „Ap</w:t>
      </w:r>
      <w:r w:rsidR="00EC1CE2" w:rsidRPr="00FB7942">
        <w:rPr>
          <w:rFonts w:asciiTheme="majorHAnsi" w:eastAsia="Times New Roman" w:hAnsiTheme="majorHAnsi" w:cstheme="majorHAnsi"/>
          <w:b w:val="0"/>
          <w:bCs w:val="0"/>
          <w:sz w:val="24"/>
          <w:szCs w:val="24"/>
        </w:rPr>
        <w:t>ă-</w:t>
      </w:r>
      <w:r w:rsidRPr="00FB7942">
        <w:rPr>
          <w:rFonts w:asciiTheme="majorHAnsi" w:eastAsia="Times New Roman" w:hAnsiTheme="majorHAnsi" w:cstheme="majorHAnsi"/>
          <w:b w:val="0"/>
          <w:bCs w:val="0"/>
          <w:sz w:val="24"/>
          <w:szCs w:val="24"/>
        </w:rPr>
        <w:t xml:space="preserve">Canal Chișinău” a comunicat că redevența aprobată  în componența tarifului de ANRE este substanțial mai mică decât nivelul aprobat prin contractul de delegare a gestiunii și decât serviciul datoriei față de BERD și BEI, ceea ce face dificilă sau chiar imposibilă efectuarea investițiilor de lungă durată, ducând astfel la degradarea mai rapidă a rețelelor existente, în condițiile intervențiilor de reconstrucție și renovare </w:t>
      </w:r>
      <w:r w:rsidR="00EC1CE2" w:rsidRPr="00FB7942">
        <w:rPr>
          <w:rFonts w:asciiTheme="majorHAnsi" w:eastAsia="Times New Roman" w:hAnsiTheme="majorHAnsi" w:cstheme="majorHAnsi"/>
          <w:b w:val="0"/>
          <w:bCs w:val="0"/>
          <w:sz w:val="24"/>
          <w:szCs w:val="24"/>
        </w:rPr>
        <w:t>fără respectarea</w:t>
      </w:r>
      <w:r w:rsidRPr="00FB7942">
        <w:rPr>
          <w:rFonts w:asciiTheme="majorHAnsi" w:eastAsia="Times New Roman" w:hAnsiTheme="majorHAnsi" w:cstheme="majorHAnsi"/>
          <w:b w:val="0"/>
          <w:bCs w:val="0"/>
          <w:sz w:val="24"/>
          <w:szCs w:val="24"/>
        </w:rPr>
        <w:t xml:space="preserve"> termeni</w:t>
      </w:r>
      <w:r w:rsidR="00EC1CE2" w:rsidRPr="00FB7942">
        <w:rPr>
          <w:rFonts w:asciiTheme="majorHAnsi" w:eastAsia="Times New Roman" w:hAnsiTheme="majorHAnsi" w:cstheme="majorHAnsi"/>
          <w:b w:val="0"/>
          <w:bCs w:val="0"/>
          <w:sz w:val="24"/>
          <w:szCs w:val="24"/>
        </w:rPr>
        <w:t>lor</w:t>
      </w:r>
      <w:r w:rsidRPr="00FB7942">
        <w:rPr>
          <w:rFonts w:asciiTheme="majorHAnsi" w:eastAsia="Times New Roman" w:hAnsiTheme="majorHAnsi" w:cstheme="majorHAnsi"/>
          <w:b w:val="0"/>
          <w:bCs w:val="0"/>
          <w:sz w:val="24"/>
          <w:szCs w:val="24"/>
        </w:rPr>
        <w:t xml:space="preserve"> relevanți și potriviți. Astfel, deși mărimea redevenței incluse în contractul de gestiune delegată</w:t>
      </w:r>
      <w:r w:rsidR="00EC1CE2" w:rsidRPr="00FB7942">
        <w:rPr>
          <w:rFonts w:asciiTheme="majorHAnsi" w:eastAsia="Times New Roman" w:hAnsiTheme="majorHAnsi" w:cstheme="majorHAnsi"/>
          <w:b w:val="0"/>
          <w:bCs w:val="0"/>
          <w:sz w:val="24"/>
          <w:szCs w:val="24"/>
        </w:rPr>
        <w:t>,</w:t>
      </w:r>
      <w:r w:rsidRPr="00FB7942">
        <w:rPr>
          <w:rFonts w:asciiTheme="majorHAnsi" w:eastAsia="Times New Roman" w:hAnsiTheme="majorHAnsi" w:cstheme="majorHAnsi"/>
          <w:b w:val="0"/>
          <w:bCs w:val="0"/>
          <w:sz w:val="24"/>
          <w:szCs w:val="24"/>
        </w:rPr>
        <w:t xml:space="preserve"> încheiat între S.A. „Ap</w:t>
      </w:r>
      <w:r w:rsidR="00EC1CE2" w:rsidRPr="00FB7942">
        <w:rPr>
          <w:rFonts w:asciiTheme="majorHAnsi" w:eastAsia="Times New Roman" w:hAnsiTheme="majorHAnsi" w:cstheme="majorHAnsi"/>
          <w:b w:val="0"/>
          <w:bCs w:val="0"/>
          <w:sz w:val="24"/>
          <w:szCs w:val="24"/>
        </w:rPr>
        <w:t>ă-</w:t>
      </w:r>
      <w:r w:rsidRPr="00FB7942">
        <w:rPr>
          <w:rFonts w:asciiTheme="majorHAnsi" w:eastAsia="Times New Roman" w:hAnsiTheme="majorHAnsi" w:cstheme="majorHAnsi"/>
          <w:b w:val="0"/>
          <w:bCs w:val="0"/>
          <w:sz w:val="24"/>
          <w:szCs w:val="24"/>
        </w:rPr>
        <w:t>Canal Chișinău” și primăria mun. Chișinău a constituit 82</w:t>
      </w:r>
      <w:r w:rsidR="00EC1CE2" w:rsidRPr="00FB7942">
        <w:rPr>
          <w:rFonts w:asciiTheme="majorHAnsi" w:eastAsia="Times New Roman" w:hAnsiTheme="majorHAnsi" w:cstheme="majorHAnsi"/>
          <w:b w:val="0"/>
          <w:bCs w:val="0"/>
          <w:sz w:val="24"/>
          <w:szCs w:val="24"/>
        </w:rPr>
        <w:t>.</w:t>
      </w:r>
      <w:r w:rsidRPr="00FB7942">
        <w:rPr>
          <w:rFonts w:asciiTheme="majorHAnsi" w:eastAsia="Times New Roman" w:hAnsiTheme="majorHAnsi" w:cstheme="majorHAnsi"/>
          <w:b w:val="0"/>
          <w:bCs w:val="0"/>
          <w:sz w:val="24"/>
          <w:szCs w:val="24"/>
        </w:rPr>
        <w:t>247,4 mii lei, în tarif a fost inclusă doar o parte din acesta, în sumă de 34</w:t>
      </w:r>
      <w:r w:rsidR="00EC1CE2" w:rsidRPr="00FB7942">
        <w:rPr>
          <w:rFonts w:asciiTheme="majorHAnsi" w:eastAsia="Times New Roman" w:hAnsiTheme="majorHAnsi" w:cstheme="majorHAnsi"/>
          <w:b w:val="0"/>
          <w:bCs w:val="0"/>
          <w:sz w:val="24"/>
          <w:szCs w:val="24"/>
        </w:rPr>
        <w:t>.</w:t>
      </w:r>
      <w:r w:rsidRPr="00FB7942">
        <w:rPr>
          <w:rFonts w:asciiTheme="majorHAnsi" w:eastAsia="Times New Roman" w:hAnsiTheme="majorHAnsi" w:cstheme="majorHAnsi"/>
          <w:b w:val="0"/>
          <w:bCs w:val="0"/>
          <w:sz w:val="24"/>
          <w:szCs w:val="24"/>
        </w:rPr>
        <w:t>335,9 mii lei, sau cu 47</w:t>
      </w:r>
      <w:r w:rsidR="00EC1CE2" w:rsidRPr="00FB7942">
        <w:rPr>
          <w:rFonts w:asciiTheme="majorHAnsi" w:eastAsia="Times New Roman" w:hAnsiTheme="majorHAnsi" w:cstheme="majorHAnsi"/>
          <w:b w:val="0"/>
          <w:bCs w:val="0"/>
          <w:sz w:val="24"/>
          <w:szCs w:val="24"/>
        </w:rPr>
        <w:t>.</w:t>
      </w:r>
      <w:r w:rsidRPr="00FB7942">
        <w:rPr>
          <w:rFonts w:asciiTheme="majorHAnsi" w:eastAsia="Times New Roman" w:hAnsiTheme="majorHAnsi" w:cstheme="majorHAnsi"/>
          <w:b w:val="0"/>
          <w:bCs w:val="0"/>
          <w:sz w:val="24"/>
          <w:szCs w:val="24"/>
        </w:rPr>
        <w:t>911,5 mii lei mai puțin (-58,3%), suma respectivă reprezentând un deficit de resurse financiare care urmau a fi îndreptate pentru menținerea în stare funcțională a rețelelor la care termenul de funcționare utilă a expira</w:t>
      </w:r>
      <w:r w:rsidR="00EC1CE2" w:rsidRPr="00FB7942">
        <w:rPr>
          <w:rFonts w:asciiTheme="majorHAnsi" w:eastAsia="Times New Roman" w:hAnsiTheme="majorHAnsi" w:cstheme="majorHAnsi"/>
          <w:b w:val="0"/>
          <w:bCs w:val="0"/>
          <w:sz w:val="24"/>
          <w:szCs w:val="24"/>
        </w:rPr>
        <w:t>t</w:t>
      </w:r>
      <w:r w:rsidRPr="00FB7942">
        <w:rPr>
          <w:rFonts w:asciiTheme="majorHAnsi" w:eastAsia="Times New Roman" w:hAnsiTheme="majorHAnsi" w:cstheme="majorHAnsi"/>
          <w:b w:val="0"/>
          <w:bCs w:val="0"/>
          <w:sz w:val="24"/>
          <w:szCs w:val="24"/>
        </w:rPr>
        <w:t xml:space="preserve">, dar care continuă să fie utilizate în continuare în procesul tehnologic al operatorului. Astfel, în calcul nu a fost luată redevență aferentă OITE, durata de funcționare utilă a cărora este depășită, cu amortizarea de 100%, dar care continuă să fie utilizate,  cantitativ numărul acestora constituind circa 2/3 din numărul total de active gestionate. Fără o reevaluare </w:t>
      </w:r>
      <w:r w:rsidR="00EC1CE2" w:rsidRPr="00FB7942">
        <w:rPr>
          <w:rFonts w:asciiTheme="majorHAnsi" w:eastAsia="Times New Roman" w:hAnsiTheme="majorHAnsi" w:cstheme="majorHAnsi"/>
          <w:b w:val="0"/>
          <w:bCs w:val="0"/>
          <w:sz w:val="24"/>
          <w:szCs w:val="24"/>
        </w:rPr>
        <w:t xml:space="preserve">a </w:t>
      </w:r>
      <w:r w:rsidRPr="00FB7942">
        <w:rPr>
          <w:rFonts w:asciiTheme="majorHAnsi" w:eastAsia="Times New Roman" w:hAnsiTheme="majorHAnsi" w:cstheme="majorHAnsi"/>
          <w:b w:val="0"/>
          <w:bCs w:val="0"/>
          <w:sz w:val="24"/>
          <w:szCs w:val="24"/>
        </w:rPr>
        <w:t xml:space="preserve">acestor obiective la valoarea lor justă, după cum prevăd SNC, și aplicarea regulilor stabilite în Legea nr.303/2013 privind determinarea mărimii redevenței în mărimea egală cu amortizarea calculată, nu este posibil de menținut în stare funcțională rețelele pentru care în tarif  nu sunt incluse </w:t>
      </w:r>
      <w:r w:rsidR="00FC0D92" w:rsidRPr="00FB7942">
        <w:rPr>
          <w:rFonts w:asciiTheme="majorHAnsi" w:eastAsia="Times New Roman" w:hAnsiTheme="majorHAnsi" w:cstheme="majorHAnsi"/>
          <w:b w:val="0"/>
          <w:bCs w:val="0"/>
          <w:sz w:val="24"/>
          <w:szCs w:val="24"/>
        </w:rPr>
        <w:t xml:space="preserve">anumite </w:t>
      </w:r>
      <w:r w:rsidRPr="00FB7942">
        <w:rPr>
          <w:rFonts w:asciiTheme="majorHAnsi" w:eastAsia="Times New Roman" w:hAnsiTheme="majorHAnsi" w:cstheme="majorHAnsi"/>
          <w:b w:val="0"/>
          <w:bCs w:val="0"/>
          <w:sz w:val="24"/>
          <w:szCs w:val="24"/>
        </w:rPr>
        <w:t>cheltuieli/costuri, operatorii fiind nevoiți să utilizeze pentru aceste rețele  mijloacele acumula</w:t>
      </w:r>
      <w:r w:rsidR="00FC0D92" w:rsidRPr="00FB7942">
        <w:rPr>
          <w:rFonts w:asciiTheme="majorHAnsi" w:eastAsia="Times New Roman" w:hAnsiTheme="majorHAnsi" w:cstheme="majorHAnsi"/>
          <w:b w:val="0"/>
          <w:bCs w:val="0"/>
          <w:sz w:val="24"/>
          <w:szCs w:val="24"/>
        </w:rPr>
        <w:t>t</w:t>
      </w:r>
      <w:r w:rsidRPr="00FB7942">
        <w:rPr>
          <w:rFonts w:asciiTheme="majorHAnsi" w:eastAsia="Times New Roman" w:hAnsiTheme="majorHAnsi" w:cstheme="majorHAnsi"/>
          <w:b w:val="0"/>
          <w:bCs w:val="0"/>
          <w:sz w:val="24"/>
          <w:szCs w:val="24"/>
        </w:rPr>
        <w:t>e din redevențele aferente rețelelor care nu au atins gradul de amortizare de 100%, astfel, neavând resurse sau acestea fiind limitate, pentru efectuarea investițiilor și dezvoltarea rețelelor existente.</w:t>
      </w:r>
    </w:p>
    <w:p w:rsidR="004005AD" w:rsidRPr="008376FC" w:rsidRDefault="00B404AD" w:rsidP="00F61756">
      <w:pPr>
        <w:widowControl w:val="0"/>
        <w:tabs>
          <w:tab w:val="left" w:pos="567"/>
          <w:tab w:val="left" w:pos="709"/>
          <w:tab w:val="left" w:pos="851"/>
        </w:tabs>
        <w:autoSpaceDE w:val="0"/>
        <w:autoSpaceDN w:val="0"/>
        <w:spacing w:before="120" w:after="0" w:line="276" w:lineRule="auto"/>
        <w:ind w:right="112"/>
        <w:jc w:val="both"/>
        <w:rPr>
          <w:rFonts w:asciiTheme="majorHAnsi" w:eastAsia="Times New Roman" w:hAnsiTheme="majorHAnsi" w:cstheme="majorHAnsi"/>
          <w:b w:val="0"/>
          <w:bCs w:val="0"/>
          <w:sz w:val="24"/>
          <w:szCs w:val="24"/>
        </w:rPr>
      </w:pPr>
      <w:r w:rsidRPr="00FB7942">
        <w:rPr>
          <w:rFonts w:asciiTheme="majorHAnsi" w:eastAsia="Times New Roman" w:hAnsiTheme="majorHAnsi" w:cstheme="majorHAnsi"/>
          <w:b w:val="0"/>
          <w:bCs w:val="0"/>
          <w:sz w:val="24"/>
          <w:szCs w:val="24"/>
        </w:rPr>
        <w:t>C</w:t>
      </w:r>
      <w:r w:rsidR="004005AD" w:rsidRPr="00FB7942">
        <w:rPr>
          <w:rFonts w:asciiTheme="majorHAnsi" w:eastAsia="Times New Roman" w:hAnsiTheme="majorHAnsi" w:cstheme="majorHAnsi"/>
          <w:b w:val="0"/>
          <w:bCs w:val="0"/>
          <w:sz w:val="24"/>
          <w:szCs w:val="24"/>
        </w:rPr>
        <w:t>rearea Fondului de dezvoltate are menirea de dezvoltare continuă a serviciilor prestate</w:t>
      </w:r>
      <w:r w:rsidR="001F0CCC" w:rsidRPr="00FB7942">
        <w:rPr>
          <w:rFonts w:asciiTheme="majorHAnsi" w:eastAsia="Times New Roman" w:hAnsiTheme="majorHAnsi" w:cstheme="majorHAnsi"/>
          <w:b w:val="0"/>
          <w:bCs w:val="0"/>
          <w:sz w:val="24"/>
          <w:szCs w:val="24"/>
        </w:rPr>
        <w:t>,</w:t>
      </w:r>
      <w:r w:rsidR="004005AD" w:rsidRPr="00FB7942">
        <w:rPr>
          <w:rFonts w:asciiTheme="majorHAnsi" w:eastAsia="Times New Roman" w:hAnsiTheme="majorHAnsi" w:cstheme="majorHAnsi"/>
          <w:b w:val="0"/>
          <w:bCs w:val="0"/>
          <w:sz w:val="24"/>
          <w:szCs w:val="24"/>
        </w:rPr>
        <w:t xml:space="preserve"> precum și menținerea OITE în stare corespunzătoare și funcțională</w:t>
      </w:r>
      <w:r w:rsidR="0071152F" w:rsidRPr="00FB7942">
        <w:rPr>
          <w:rFonts w:asciiTheme="majorHAnsi" w:eastAsia="Times New Roman" w:hAnsiTheme="majorHAnsi" w:cstheme="majorHAnsi"/>
          <w:b w:val="0"/>
          <w:bCs w:val="0"/>
          <w:sz w:val="24"/>
          <w:szCs w:val="24"/>
        </w:rPr>
        <w:t xml:space="preserve">. Necrearea </w:t>
      </w:r>
      <w:r w:rsidR="004005AD" w:rsidRPr="00FB7942">
        <w:rPr>
          <w:rFonts w:asciiTheme="majorHAnsi" w:eastAsia="Times New Roman" w:hAnsiTheme="majorHAnsi" w:cstheme="majorHAnsi"/>
          <w:b w:val="0"/>
          <w:bCs w:val="0"/>
          <w:sz w:val="24"/>
          <w:szCs w:val="24"/>
        </w:rPr>
        <w:t>Fondurilor respective de către operatorii economici a fost explicată prin faptul că în tarif nu sunt incluse toate cheltuieli</w:t>
      </w:r>
      <w:r w:rsidR="001F0CCC" w:rsidRPr="00FB7942">
        <w:rPr>
          <w:rFonts w:asciiTheme="majorHAnsi" w:eastAsia="Times New Roman" w:hAnsiTheme="majorHAnsi" w:cstheme="majorHAnsi"/>
          <w:b w:val="0"/>
          <w:bCs w:val="0"/>
          <w:sz w:val="24"/>
          <w:szCs w:val="24"/>
        </w:rPr>
        <w:t>le</w:t>
      </w:r>
      <w:r w:rsidR="004005AD" w:rsidRPr="00FB7942">
        <w:rPr>
          <w:rFonts w:asciiTheme="majorHAnsi" w:eastAsia="Times New Roman" w:hAnsiTheme="majorHAnsi" w:cstheme="majorHAnsi"/>
          <w:b w:val="0"/>
          <w:bCs w:val="0"/>
          <w:sz w:val="24"/>
          <w:szCs w:val="24"/>
        </w:rPr>
        <w:t xml:space="preserve"> suportate aferente prestării serviciului, iar mijloacele acumulate de la uzura</w:t>
      </w:r>
      <w:r w:rsidR="0071152F" w:rsidRPr="00FB7942">
        <w:rPr>
          <w:rFonts w:asciiTheme="majorHAnsi" w:eastAsia="Times New Roman" w:hAnsiTheme="majorHAnsi" w:cstheme="majorHAnsi"/>
          <w:b w:val="0"/>
          <w:bCs w:val="0"/>
          <w:sz w:val="24"/>
          <w:szCs w:val="24"/>
        </w:rPr>
        <w:t>/amortizarea</w:t>
      </w:r>
      <w:r w:rsidR="004005AD" w:rsidRPr="00FB7942">
        <w:rPr>
          <w:rFonts w:asciiTheme="majorHAnsi" w:eastAsia="Times New Roman" w:hAnsiTheme="majorHAnsi" w:cstheme="majorHAnsi"/>
          <w:b w:val="0"/>
          <w:bCs w:val="0"/>
          <w:sz w:val="24"/>
          <w:szCs w:val="24"/>
        </w:rPr>
        <w:t xml:space="preserve"> și rentabilitatea incluse  în tarif nu acoperă valoarea cheltuielilor neacceptate pentru recupera</w:t>
      </w:r>
      <w:r w:rsidR="001F0CCC" w:rsidRPr="00FB7942">
        <w:rPr>
          <w:rFonts w:asciiTheme="majorHAnsi" w:eastAsia="Times New Roman" w:hAnsiTheme="majorHAnsi" w:cstheme="majorHAnsi"/>
          <w:b w:val="0"/>
          <w:bCs w:val="0"/>
          <w:sz w:val="24"/>
          <w:szCs w:val="24"/>
        </w:rPr>
        <w:t>r</w:t>
      </w:r>
      <w:r w:rsidR="004005AD" w:rsidRPr="00FB7942">
        <w:rPr>
          <w:rFonts w:asciiTheme="majorHAnsi" w:eastAsia="Times New Roman" w:hAnsiTheme="majorHAnsi" w:cstheme="majorHAnsi"/>
          <w:b w:val="0"/>
          <w:bCs w:val="0"/>
          <w:sz w:val="24"/>
          <w:szCs w:val="24"/>
        </w:rPr>
        <w:t>e prin tarif, acestea fiind direcționate pentru acoperirea cheltuielilor operaționale</w:t>
      </w:r>
      <w:r w:rsidR="001F0CCC" w:rsidRPr="00FB7942">
        <w:rPr>
          <w:rFonts w:asciiTheme="majorHAnsi" w:eastAsia="Times New Roman" w:hAnsiTheme="majorHAnsi" w:cstheme="majorHAnsi"/>
          <w:b w:val="0"/>
          <w:bCs w:val="0"/>
          <w:sz w:val="24"/>
          <w:szCs w:val="24"/>
        </w:rPr>
        <w:t>, a</w:t>
      </w:r>
      <w:r w:rsidR="004005AD" w:rsidRPr="00FB7942">
        <w:rPr>
          <w:rFonts w:asciiTheme="majorHAnsi" w:eastAsia="Times New Roman" w:hAnsiTheme="majorHAnsi" w:cstheme="majorHAnsi"/>
          <w:b w:val="0"/>
          <w:bCs w:val="0"/>
          <w:sz w:val="24"/>
          <w:szCs w:val="24"/>
        </w:rPr>
        <w:t xml:space="preserve"> pierderilor în rețea și </w:t>
      </w:r>
      <w:r w:rsidR="00FC0D92" w:rsidRPr="00FB7942">
        <w:rPr>
          <w:rFonts w:asciiTheme="majorHAnsi" w:eastAsia="Times New Roman" w:hAnsiTheme="majorHAnsi" w:cstheme="majorHAnsi"/>
          <w:b w:val="0"/>
          <w:bCs w:val="0"/>
          <w:sz w:val="24"/>
          <w:szCs w:val="24"/>
        </w:rPr>
        <w:t xml:space="preserve">a </w:t>
      </w:r>
      <w:r w:rsidR="001F0CCC" w:rsidRPr="00FB7942">
        <w:rPr>
          <w:rFonts w:asciiTheme="majorHAnsi" w:eastAsia="Times New Roman" w:hAnsiTheme="majorHAnsi" w:cstheme="majorHAnsi"/>
          <w:b w:val="0"/>
          <w:bCs w:val="0"/>
          <w:sz w:val="24"/>
          <w:szCs w:val="24"/>
        </w:rPr>
        <w:t xml:space="preserve">celor </w:t>
      </w:r>
      <w:r w:rsidR="004005AD" w:rsidRPr="00FB7942">
        <w:rPr>
          <w:rFonts w:asciiTheme="majorHAnsi" w:eastAsia="Times New Roman" w:hAnsiTheme="majorHAnsi" w:cstheme="majorHAnsi"/>
          <w:b w:val="0"/>
          <w:bCs w:val="0"/>
          <w:sz w:val="24"/>
          <w:szCs w:val="24"/>
        </w:rPr>
        <w:t>tehnologice supranormate, care</w:t>
      </w:r>
      <w:r w:rsidR="0009137A" w:rsidRPr="00FB7942">
        <w:rPr>
          <w:rFonts w:asciiTheme="majorHAnsi" w:eastAsia="Times New Roman" w:hAnsiTheme="majorHAnsi" w:cstheme="majorHAnsi"/>
          <w:b w:val="0"/>
          <w:bCs w:val="0"/>
          <w:sz w:val="24"/>
          <w:szCs w:val="24"/>
        </w:rPr>
        <w:t>,</w:t>
      </w:r>
      <w:r w:rsidR="004005AD" w:rsidRPr="00FB7942">
        <w:rPr>
          <w:rFonts w:asciiTheme="majorHAnsi" w:eastAsia="Times New Roman" w:hAnsiTheme="majorHAnsi" w:cstheme="majorHAnsi"/>
          <w:b w:val="0"/>
          <w:bCs w:val="0"/>
          <w:sz w:val="24"/>
          <w:szCs w:val="24"/>
        </w:rPr>
        <w:t xml:space="preserve"> de a</w:t>
      </w:r>
      <w:r w:rsidR="001F0CCC" w:rsidRPr="00FB7942">
        <w:rPr>
          <w:rFonts w:asciiTheme="majorHAnsi" w:eastAsia="Times New Roman" w:hAnsiTheme="majorHAnsi" w:cstheme="majorHAnsi"/>
          <w:b w:val="0"/>
          <w:bCs w:val="0"/>
          <w:sz w:val="24"/>
          <w:szCs w:val="24"/>
        </w:rPr>
        <w:t>s</w:t>
      </w:r>
      <w:r w:rsidR="004005AD" w:rsidRPr="00FB7942">
        <w:rPr>
          <w:rFonts w:asciiTheme="majorHAnsi" w:eastAsia="Times New Roman" w:hAnsiTheme="majorHAnsi" w:cstheme="majorHAnsi"/>
          <w:b w:val="0"/>
          <w:bCs w:val="0"/>
          <w:sz w:val="24"/>
          <w:szCs w:val="24"/>
        </w:rPr>
        <w:t>emenea</w:t>
      </w:r>
      <w:r w:rsidR="0009137A" w:rsidRPr="00FB7942">
        <w:rPr>
          <w:rFonts w:asciiTheme="majorHAnsi" w:eastAsia="Times New Roman" w:hAnsiTheme="majorHAnsi" w:cstheme="majorHAnsi"/>
          <w:b w:val="0"/>
          <w:bCs w:val="0"/>
          <w:sz w:val="24"/>
          <w:szCs w:val="24"/>
        </w:rPr>
        <w:t>,</w:t>
      </w:r>
      <w:r w:rsidR="004005AD" w:rsidRPr="00FB7942">
        <w:rPr>
          <w:rFonts w:asciiTheme="majorHAnsi" w:eastAsia="Times New Roman" w:hAnsiTheme="majorHAnsi" w:cstheme="majorHAnsi"/>
          <w:b w:val="0"/>
          <w:bCs w:val="0"/>
          <w:sz w:val="24"/>
          <w:szCs w:val="24"/>
        </w:rPr>
        <w:t xml:space="preserve"> nu sunt acceptate pentru recuperare</w:t>
      </w:r>
      <w:r w:rsidR="001F0CCC" w:rsidRPr="00FB7942">
        <w:rPr>
          <w:rFonts w:asciiTheme="majorHAnsi" w:eastAsia="Times New Roman" w:hAnsiTheme="majorHAnsi" w:cstheme="majorHAnsi"/>
          <w:b w:val="0"/>
          <w:bCs w:val="0"/>
          <w:sz w:val="24"/>
          <w:szCs w:val="24"/>
        </w:rPr>
        <w:t>a</w:t>
      </w:r>
      <w:r w:rsidR="004005AD" w:rsidRPr="00FB7942">
        <w:rPr>
          <w:rFonts w:asciiTheme="majorHAnsi" w:eastAsia="Times New Roman" w:hAnsiTheme="majorHAnsi" w:cstheme="majorHAnsi"/>
          <w:b w:val="0"/>
          <w:bCs w:val="0"/>
          <w:sz w:val="24"/>
          <w:szCs w:val="24"/>
        </w:rPr>
        <w:t xml:space="preserve"> prin tari</w:t>
      </w:r>
      <w:r w:rsidR="0009137A" w:rsidRPr="00FB7942">
        <w:rPr>
          <w:rFonts w:asciiTheme="majorHAnsi" w:eastAsia="Times New Roman" w:hAnsiTheme="majorHAnsi" w:cstheme="majorHAnsi"/>
          <w:b w:val="0"/>
          <w:bCs w:val="0"/>
          <w:sz w:val="24"/>
          <w:szCs w:val="24"/>
        </w:rPr>
        <w:t>f</w:t>
      </w:r>
      <w:r w:rsidR="004005AD" w:rsidRPr="00FB7942">
        <w:rPr>
          <w:rFonts w:asciiTheme="majorHAnsi" w:eastAsia="Times New Roman" w:hAnsiTheme="majorHAnsi" w:cstheme="majorHAnsi"/>
          <w:b w:val="0"/>
          <w:bCs w:val="0"/>
          <w:sz w:val="24"/>
          <w:szCs w:val="24"/>
        </w:rPr>
        <w:t>.</w:t>
      </w:r>
      <w:r w:rsidR="004005AD" w:rsidRPr="008376FC">
        <w:rPr>
          <w:rFonts w:asciiTheme="majorHAnsi" w:eastAsia="Times New Roman" w:hAnsiTheme="majorHAnsi" w:cstheme="majorHAnsi"/>
          <w:b w:val="0"/>
          <w:bCs w:val="0"/>
          <w:sz w:val="24"/>
          <w:szCs w:val="24"/>
        </w:rPr>
        <w:t xml:space="preserve"> </w:t>
      </w:r>
    </w:p>
    <w:p w:rsidR="004005AD" w:rsidRPr="008376FC" w:rsidRDefault="004005AD" w:rsidP="00F61756">
      <w:pPr>
        <w:pStyle w:val="a3"/>
        <w:widowControl w:val="0"/>
        <w:numPr>
          <w:ilvl w:val="2"/>
          <w:numId w:val="73"/>
        </w:numPr>
        <w:shd w:val="clear" w:color="auto" w:fill="FFFFFF"/>
        <w:autoSpaceDE w:val="0"/>
        <w:autoSpaceDN w:val="0"/>
        <w:spacing w:before="120" w:line="276" w:lineRule="auto"/>
        <w:ind w:left="0" w:firstLine="0"/>
        <w:jc w:val="both"/>
        <w:rPr>
          <w:rFonts w:asciiTheme="majorHAnsi" w:hAnsiTheme="majorHAnsi" w:cstheme="majorHAnsi"/>
          <w:b/>
          <w:color w:val="0070C0"/>
          <w:lang w:val="en-US"/>
        </w:rPr>
      </w:pPr>
      <w:r w:rsidRPr="008376FC">
        <w:rPr>
          <w:rFonts w:asciiTheme="majorHAnsi" w:hAnsiTheme="majorHAnsi" w:cstheme="majorHAnsi"/>
          <w:b/>
          <w:color w:val="0070C0"/>
          <w:lang w:val="en-US"/>
        </w:rPr>
        <w:t>APL, pe parcursul mai multor ani</w:t>
      </w:r>
      <w:r w:rsidR="001F0CCC">
        <w:rPr>
          <w:rFonts w:asciiTheme="majorHAnsi" w:hAnsiTheme="majorHAnsi" w:cstheme="majorHAnsi"/>
          <w:b/>
          <w:color w:val="0070C0"/>
          <w:lang w:val="en-US"/>
        </w:rPr>
        <w:t>,</w:t>
      </w:r>
      <w:r w:rsidRPr="008376FC">
        <w:rPr>
          <w:rFonts w:asciiTheme="majorHAnsi" w:hAnsiTheme="majorHAnsi" w:cstheme="majorHAnsi"/>
          <w:b/>
          <w:color w:val="0070C0"/>
          <w:lang w:val="en-US"/>
        </w:rPr>
        <w:t xml:space="preserve"> nu au întreprins măsuri pentru aprobarea indicatorilor de performanță ai serviciului public de alimentare cu apă şi de canalizare</w:t>
      </w:r>
      <w:r w:rsidR="001F0CCC">
        <w:rPr>
          <w:rFonts w:asciiTheme="majorHAnsi" w:hAnsiTheme="majorHAnsi" w:cstheme="majorHAnsi"/>
          <w:b/>
          <w:color w:val="0070C0"/>
          <w:lang w:val="en-US"/>
        </w:rPr>
        <w:t>.</w:t>
      </w:r>
    </w:p>
    <w:p w:rsidR="004005AD" w:rsidRPr="008376FC" w:rsidRDefault="004005AD"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sz w:val="24"/>
          <w:szCs w:val="24"/>
          <w:lang w:eastAsia="ru-RU"/>
        </w:rPr>
        <w:t>În temeiul art. 7 alin. (2) lit. g) din Legea nr. 303 din 13.12.2013 privind serviciul public de alimentare cu apă și de canalizare, Consiliul de administrație al ANRE a aprobat prin H</w:t>
      </w:r>
      <w:r w:rsidR="005A11C0">
        <w:rPr>
          <w:rFonts w:asciiTheme="majorHAnsi" w:eastAsia="Times New Roman" w:hAnsiTheme="majorHAnsi" w:cstheme="majorHAnsi"/>
          <w:b w:val="0"/>
          <w:bCs w:val="0"/>
          <w:sz w:val="24"/>
          <w:szCs w:val="24"/>
          <w:lang w:eastAsia="ru-RU"/>
        </w:rPr>
        <w:t xml:space="preserve">otărârea </w:t>
      </w:r>
      <w:r w:rsidRPr="008376FC">
        <w:rPr>
          <w:rFonts w:asciiTheme="majorHAnsi" w:eastAsia="Times New Roman" w:hAnsiTheme="majorHAnsi" w:cstheme="majorHAnsi"/>
          <w:b w:val="0"/>
          <w:bCs w:val="0"/>
          <w:sz w:val="24"/>
          <w:szCs w:val="24"/>
          <w:lang w:eastAsia="ru-RU"/>
        </w:rPr>
        <w:t>ANRE nr. 356/2019 Regulamentul-cadru cu privire la indicatorii de performanță ai serviciului public de alimentare cu apă și de canalizare, care stabileşte indicatorii de performanță minim</w:t>
      </w:r>
      <w:r w:rsidR="005A11C0">
        <w:rPr>
          <w:rFonts w:asciiTheme="majorHAnsi" w:eastAsia="Times New Roman" w:hAnsiTheme="majorHAnsi" w:cstheme="majorHAnsi"/>
          <w:b w:val="0"/>
          <w:bCs w:val="0"/>
          <w:sz w:val="24"/>
          <w:szCs w:val="24"/>
          <w:lang w:eastAsia="ru-RU"/>
        </w:rPr>
        <w:t>i</w:t>
      </w:r>
      <w:r w:rsidRPr="008376FC">
        <w:rPr>
          <w:rFonts w:asciiTheme="majorHAnsi" w:eastAsia="Times New Roman" w:hAnsiTheme="majorHAnsi" w:cstheme="majorHAnsi"/>
          <w:b w:val="0"/>
          <w:bCs w:val="0"/>
          <w:sz w:val="24"/>
          <w:szCs w:val="24"/>
          <w:lang w:eastAsia="ru-RU"/>
        </w:rPr>
        <w:t xml:space="preserve"> care trebuie respectaţi de către operatori </w:t>
      </w:r>
      <w:r w:rsidR="005A11C0">
        <w:rPr>
          <w:rFonts w:asciiTheme="majorHAnsi" w:eastAsia="Times New Roman" w:hAnsiTheme="majorHAnsi" w:cstheme="majorHAnsi"/>
          <w:b w:val="0"/>
          <w:bCs w:val="0"/>
          <w:sz w:val="24"/>
          <w:szCs w:val="24"/>
          <w:lang w:eastAsia="ru-RU"/>
        </w:rPr>
        <w:t>pe</w:t>
      </w:r>
      <w:r w:rsidRPr="008376FC">
        <w:rPr>
          <w:rFonts w:asciiTheme="majorHAnsi" w:eastAsia="Times New Roman" w:hAnsiTheme="majorHAnsi" w:cstheme="majorHAnsi"/>
          <w:b w:val="0"/>
          <w:bCs w:val="0"/>
          <w:sz w:val="24"/>
          <w:szCs w:val="24"/>
          <w:lang w:eastAsia="ru-RU"/>
        </w:rPr>
        <w:t>ntru asigurarea serviciului de alimentare cu apă şi de canalizare.</w:t>
      </w:r>
    </w:p>
    <w:p w:rsidR="004005AD" w:rsidRPr="008376FC" w:rsidRDefault="004005AD"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sz w:val="24"/>
          <w:szCs w:val="24"/>
          <w:lang w:eastAsia="ru-RU"/>
        </w:rPr>
        <w:t xml:space="preserve">Indicatorii de performanță stabiliţi în Regulamentul respectiv sunt obligatorii pentru toţi operatorii, indiferent de forma de organizare juridică, natura capitalului, tipul de proprietate. </w:t>
      </w:r>
    </w:p>
    <w:p w:rsidR="004005AD" w:rsidRPr="008376FC" w:rsidRDefault="004005AD"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sz w:val="24"/>
          <w:szCs w:val="24"/>
          <w:lang w:eastAsia="ru-RU"/>
        </w:rPr>
        <w:t>Totodată, conform pct.2 din H</w:t>
      </w:r>
      <w:r w:rsidR="005A11C0">
        <w:rPr>
          <w:rFonts w:asciiTheme="majorHAnsi" w:eastAsia="Times New Roman" w:hAnsiTheme="majorHAnsi" w:cstheme="majorHAnsi"/>
          <w:b w:val="0"/>
          <w:bCs w:val="0"/>
          <w:sz w:val="24"/>
          <w:szCs w:val="24"/>
          <w:lang w:eastAsia="ru-RU"/>
        </w:rPr>
        <w:t xml:space="preserve">otărârea </w:t>
      </w:r>
      <w:r w:rsidRPr="008376FC">
        <w:rPr>
          <w:rFonts w:asciiTheme="majorHAnsi" w:eastAsia="Times New Roman" w:hAnsiTheme="majorHAnsi" w:cstheme="majorHAnsi"/>
          <w:b w:val="0"/>
          <w:bCs w:val="0"/>
          <w:sz w:val="24"/>
          <w:szCs w:val="24"/>
          <w:lang w:eastAsia="ru-RU"/>
        </w:rPr>
        <w:t>ANRE menționată, APL de nivelul înt</w:t>
      </w:r>
      <w:r w:rsidR="005A11C0">
        <w:rPr>
          <w:rFonts w:asciiTheme="majorHAnsi" w:eastAsia="Times New Roman" w:hAnsiTheme="majorHAnsi" w:cstheme="majorHAnsi"/>
          <w:b w:val="0"/>
          <w:bCs w:val="0"/>
          <w:sz w:val="24"/>
          <w:szCs w:val="24"/>
          <w:lang w:eastAsia="ru-RU"/>
        </w:rPr>
        <w:t>â</w:t>
      </w:r>
      <w:r w:rsidRPr="008376FC">
        <w:rPr>
          <w:rFonts w:asciiTheme="majorHAnsi" w:eastAsia="Times New Roman" w:hAnsiTheme="majorHAnsi" w:cstheme="majorHAnsi"/>
          <w:b w:val="0"/>
          <w:bCs w:val="0"/>
          <w:sz w:val="24"/>
          <w:szCs w:val="24"/>
          <w:lang w:eastAsia="ru-RU"/>
        </w:rPr>
        <w:t>i urmau să elaboreze și să aprobe</w:t>
      </w:r>
      <w:r w:rsidR="005A11C0">
        <w:rPr>
          <w:rFonts w:asciiTheme="majorHAnsi" w:eastAsia="Times New Roman" w:hAnsiTheme="majorHAnsi" w:cstheme="majorHAnsi"/>
          <w:b w:val="0"/>
          <w:bCs w:val="0"/>
          <w:sz w:val="24"/>
          <w:szCs w:val="24"/>
          <w:lang w:eastAsia="ru-RU"/>
        </w:rPr>
        <w:t>,</w:t>
      </w:r>
      <w:r w:rsidRPr="008376FC">
        <w:rPr>
          <w:rFonts w:asciiTheme="majorHAnsi" w:eastAsia="Times New Roman" w:hAnsiTheme="majorHAnsi" w:cstheme="majorHAnsi"/>
          <w:b w:val="0"/>
          <w:bCs w:val="0"/>
          <w:sz w:val="24"/>
          <w:szCs w:val="24"/>
          <w:lang w:eastAsia="ru-RU"/>
        </w:rPr>
        <w:t xml:space="preserve"> în termen de 6 luni de la data intrării în vigoare a hotărâri</w:t>
      </w:r>
      <w:r w:rsidR="005A11C0">
        <w:rPr>
          <w:rFonts w:asciiTheme="majorHAnsi" w:eastAsia="Times New Roman" w:hAnsiTheme="majorHAnsi" w:cstheme="majorHAnsi"/>
          <w:b w:val="0"/>
          <w:bCs w:val="0"/>
          <w:sz w:val="24"/>
          <w:szCs w:val="24"/>
          <w:lang w:eastAsia="ru-RU"/>
        </w:rPr>
        <w:t>i,</w:t>
      </w:r>
      <w:r w:rsidRPr="008376FC">
        <w:rPr>
          <w:rFonts w:asciiTheme="majorHAnsi" w:eastAsia="Times New Roman" w:hAnsiTheme="majorHAnsi" w:cstheme="majorHAnsi"/>
          <w:b w:val="0"/>
          <w:bCs w:val="0"/>
          <w:sz w:val="24"/>
          <w:szCs w:val="24"/>
          <w:lang w:eastAsia="ru-RU"/>
        </w:rPr>
        <w:t xml:space="preserve"> Regulamentele proprii cu privire la indicatorii de performanță ai serviciului public de alimentare cu apă și de canalizare. Totodată, prevederile Regulamentului au restricții. Astfel, prevederile din Regulament nu se aplică: (i) în caz de forţă majoră, (ii) în cazul unor acţiuni întreprinse de terţi, care duc la perturbarea furnizării/prestării serviciului public de alimentare cu apă şi de canalizare, (iii) necesitatea de a mări debitul de apă în locurile în care urmează să fie stinse incendiile.</w:t>
      </w:r>
    </w:p>
    <w:p w:rsidR="004005AD" w:rsidRPr="008376FC" w:rsidRDefault="004005AD"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sidRPr="00E24AA6">
        <w:rPr>
          <w:rFonts w:asciiTheme="majorHAnsi" w:eastAsia="Times New Roman" w:hAnsiTheme="majorHAnsi" w:cstheme="majorHAnsi"/>
          <w:b w:val="0"/>
          <w:bCs w:val="0"/>
          <w:sz w:val="24"/>
          <w:szCs w:val="24"/>
          <w:lang w:eastAsia="ru-RU"/>
        </w:rPr>
        <w:t>În conformitate cu indicatorii de performanță stabiliți în Regulament, operatorii sunt obligaţi să respecte criteriile aferente: (i) continuității furnizării/prestării serviciului public de alimentare cu apă şi de canalizare, (ii) calității şi parametrilor tehnici la furnizarea/prestarea serviciului public de alimentare cu apă şi de canalizare,</w:t>
      </w:r>
      <w:r w:rsidRPr="008376FC">
        <w:rPr>
          <w:rFonts w:asciiTheme="majorHAnsi" w:eastAsia="Times New Roman" w:hAnsiTheme="majorHAnsi" w:cstheme="majorHAnsi"/>
          <w:b w:val="0"/>
          <w:bCs w:val="0"/>
          <w:sz w:val="24"/>
          <w:szCs w:val="24"/>
          <w:lang w:eastAsia="ru-RU"/>
        </w:rPr>
        <w:t xml:space="preserve"> (iii) branşării/racordării la reţelele publice de alimentare cu apă şi de canalizare, (iv)  contractării serviciului public de alimentare cu apă şi de canalizare, facturării şi achitării serviciului, și (v) petițiilor consumatorilor şi procedurilor de soluţionare a neînţelegerilor.</w:t>
      </w:r>
    </w:p>
    <w:p w:rsidR="004005AD" w:rsidRPr="008376FC" w:rsidRDefault="004005AD"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sz w:val="24"/>
          <w:szCs w:val="24"/>
          <w:lang w:eastAsia="ru-RU"/>
        </w:rPr>
        <w:t>Fiecare din categorii</w:t>
      </w:r>
      <w:r w:rsidR="00095743">
        <w:rPr>
          <w:rFonts w:asciiTheme="majorHAnsi" w:eastAsia="Times New Roman" w:hAnsiTheme="majorHAnsi" w:cstheme="majorHAnsi"/>
          <w:b w:val="0"/>
          <w:bCs w:val="0"/>
          <w:sz w:val="24"/>
          <w:szCs w:val="24"/>
          <w:lang w:eastAsia="ru-RU"/>
        </w:rPr>
        <w:t>le</w:t>
      </w:r>
      <w:r w:rsidRPr="008376FC">
        <w:rPr>
          <w:rFonts w:asciiTheme="majorHAnsi" w:eastAsia="Times New Roman" w:hAnsiTheme="majorHAnsi" w:cstheme="majorHAnsi"/>
          <w:b w:val="0"/>
          <w:bCs w:val="0"/>
          <w:sz w:val="24"/>
          <w:szCs w:val="24"/>
          <w:lang w:eastAsia="ru-RU"/>
        </w:rPr>
        <w:t xml:space="preserve"> de indicatori de performanță are aproba</w:t>
      </w:r>
      <w:r w:rsidR="00095743">
        <w:rPr>
          <w:rFonts w:asciiTheme="majorHAnsi" w:eastAsia="Times New Roman" w:hAnsiTheme="majorHAnsi" w:cstheme="majorHAnsi"/>
          <w:b w:val="0"/>
          <w:bCs w:val="0"/>
          <w:sz w:val="24"/>
          <w:szCs w:val="24"/>
          <w:lang w:eastAsia="ru-RU"/>
        </w:rPr>
        <w:t>t</w:t>
      </w:r>
      <w:r w:rsidRPr="008376FC">
        <w:rPr>
          <w:rFonts w:asciiTheme="majorHAnsi" w:eastAsia="Times New Roman" w:hAnsiTheme="majorHAnsi" w:cstheme="majorHAnsi"/>
          <w:b w:val="0"/>
          <w:bCs w:val="0"/>
          <w:sz w:val="24"/>
          <w:szCs w:val="24"/>
          <w:lang w:eastAsia="ru-RU"/>
        </w:rPr>
        <w:t>e Rapoarte formaliza</w:t>
      </w:r>
      <w:r w:rsidR="00095743">
        <w:rPr>
          <w:rFonts w:asciiTheme="majorHAnsi" w:eastAsia="Times New Roman" w:hAnsiTheme="majorHAnsi" w:cstheme="majorHAnsi"/>
          <w:b w:val="0"/>
          <w:bCs w:val="0"/>
          <w:sz w:val="24"/>
          <w:szCs w:val="24"/>
          <w:lang w:eastAsia="ru-RU"/>
        </w:rPr>
        <w:t>t</w:t>
      </w:r>
      <w:r w:rsidRPr="008376FC">
        <w:rPr>
          <w:rFonts w:asciiTheme="majorHAnsi" w:eastAsia="Times New Roman" w:hAnsiTheme="majorHAnsi" w:cstheme="majorHAnsi"/>
          <w:b w:val="0"/>
          <w:bCs w:val="0"/>
          <w:sz w:val="24"/>
          <w:szCs w:val="24"/>
          <w:lang w:eastAsia="ru-RU"/>
        </w:rPr>
        <w:t xml:space="preserve">e, care permit generalizarea informațiilor din acestea. </w:t>
      </w:r>
    </w:p>
    <w:p w:rsidR="004005AD" w:rsidRPr="008376FC" w:rsidRDefault="004005AD" w:rsidP="00F61756">
      <w:pPr>
        <w:widowControl w:val="0"/>
        <w:shd w:val="clear" w:color="auto" w:fill="FFFFFF"/>
        <w:autoSpaceDE w:val="0"/>
        <w:autoSpaceDN w:val="0"/>
        <w:spacing w:before="120" w:after="0" w:line="276" w:lineRule="auto"/>
        <w:jc w:val="both"/>
        <w:rPr>
          <w:rFonts w:asciiTheme="majorHAnsi" w:eastAsia="Times New Roman" w:hAnsiTheme="majorHAnsi" w:cstheme="majorHAnsi"/>
          <w:b w:val="0"/>
          <w:bCs w:val="0"/>
          <w:sz w:val="24"/>
          <w:szCs w:val="24"/>
          <w:lang w:eastAsia="ru-RU"/>
        </w:rPr>
      </w:pPr>
      <w:r w:rsidRPr="008376FC">
        <w:rPr>
          <w:rFonts w:asciiTheme="majorHAnsi" w:eastAsia="Times New Roman" w:hAnsiTheme="majorHAnsi" w:cstheme="majorHAnsi"/>
          <w:b w:val="0"/>
          <w:bCs w:val="0"/>
          <w:sz w:val="24"/>
          <w:szCs w:val="24"/>
          <w:lang w:eastAsia="ru-RU"/>
        </w:rPr>
        <w:t xml:space="preserve">Analiza respectării prevederilor acestui </w:t>
      </w:r>
      <w:r w:rsidR="00095743">
        <w:rPr>
          <w:rFonts w:asciiTheme="majorHAnsi" w:eastAsia="Times New Roman" w:hAnsiTheme="majorHAnsi" w:cstheme="majorHAnsi"/>
          <w:b w:val="0"/>
          <w:bCs w:val="0"/>
          <w:sz w:val="24"/>
          <w:szCs w:val="24"/>
          <w:lang w:eastAsia="ru-RU"/>
        </w:rPr>
        <w:t>R</w:t>
      </w:r>
      <w:r w:rsidRPr="008376FC">
        <w:rPr>
          <w:rFonts w:asciiTheme="majorHAnsi" w:eastAsia="Times New Roman" w:hAnsiTheme="majorHAnsi" w:cstheme="majorHAnsi"/>
          <w:b w:val="0"/>
          <w:bCs w:val="0"/>
          <w:sz w:val="24"/>
          <w:szCs w:val="24"/>
          <w:lang w:eastAsia="ru-RU"/>
        </w:rPr>
        <w:t xml:space="preserve">egulament </w:t>
      </w:r>
      <w:r w:rsidR="00095743">
        <w:rPr>
          <w:rFonts w:asciiTheme="majorHAnsi" w:eastAsia="Times New Roman" w:hAnsiTheme="majorHAnsi" w:cstheme="majorHAnsi"/>
          <w:b w:val="0"/>
          <w:bCs w:val="0"/>
          <w:sz w:val="24"/>
          <w:szCs w:val="24"/>
          <w:lang w:eastAsia="ru-RU"/>
        </w:rPr>
        <w:t>denotă</w:t>
      </w:r>
      <w:r w:rsidRPr="008376FC">
        <w:rPr>
          <w:rFonts w:asciiTheme="majorHAnsi" w:eastAsia="Times New Roman" w:hAnsiTheme="majorHAnsi" w:cstheme="majorHAnsi"/>
          <w:b w:val="0"/>
          <w:bCs w:val="0"/>
          <w:sz w:val="24"/>
          <w:szCs w:val="24"/>
          <w:lang w:eastAsia="ru-RU"/>
        </w:rPr>
        <w:t xml:space="preserve"> că, deși APL de nivelul înt</w:t>
      </w:r>
      <w:r w:rsidR="00095743">
        <w:rPr>
          <w:rFonts w:asciiTheme="majorHAnsi" w:eastAsia="Times New Roman" w:hAnsiTheme="majorHAnsi" w:cstheme="majorHAnsi"/>
          <w:b w:val="0"/>
          <w:bCs w:val="0"/>
          <w:sz w:val="24"/>
          <w:szCs w:val="24"/>
          <w:lang w:eastAsia="ru-RU"/>
        </w:rPr>
        <w:t>â</w:t>
      </w:r>
      <w:r w:rsidRPr="008376FC">
        <w:rPr>
          <w:rFonts w:asciiTheme="majorHAnsi" w:eastAsia="Times New Roman" w:hAnsiTheme="majorHAnsi" w:cstheme="majorHAnsi"/>
          <w:b w:val="0"/>
          <w:bCs w:val="0"/>
          <w:sz w:val="24"/>
          <w:szCs w:val="24"/>
          <w:lang w:eastAsia="ru-RU"/>
        </w:rPr>
        <w:t xml:space="preserve">i nu au elaborat și aprobat în termen de 6 luni de la data intrării în vigoare </w:t>
      </w:r>
      <w:r w:rsidR="00095743">
        <w:rPr>
          <w:rFonts w:asciiTheme="majorHAnsi" w:eastAsia="Times New Roman" w:hAnsiTheme="majorHAnsi" w:cstheme="majorHAnsi"/>
          <w:b w:val="0"/>
          <w:bCs w:val="0"/>
          <w:sz w:val="24"/>
          <w:szCs w:val="24"/>
          <w:lang w:eastAsia="ru-RU"/>
        </w:rPr>
        <w:t xml:space="preserve">a </w:t>
      </w:r>
      <w:r w:rsidRPr="008376FC">
        <w:rPr>
          <w:rFonts w:asciiTheme="majorHAnsi" w:eastAsia="Times New Roman" w:hAnsiTheme="majorHAnsi" w:cstheme="majorHAnsi"/>
          <w:b w:val="0"/>
          <w:bCs w:val="0"/>
          <w:sz w:val="24"/>
          <w:szCs w:val="24"/>
          <w:lang w:eastAsia="ru-RU"/>
        </w:rPr>
        <w:t>Hotărârii ANRE nr.356/2019</w:t>
      </w:r>
      <w:r w:rsidRPr="008376FC">
        <w:rPr>
          <w:rFonts w:asciiTheme="majorHAnsi" w:eastAsia="Times New Roman" w:hAnsiTheme="majorHAnsi" w:cstheme="majorHAnsi"/>
          <w:b w:val="0"/>
          <w:bCs w:val="0"/>
          <w:sz w:val="24"/>
          <w:szCs w:val="24"/>
          <w:vertAlign w:val="superscript"/>
          <w:lang w:eastAsia="ru-RU"/>
        </w:rPr>
        <w:footnoteReference w:id="141"/>
      </w:r>
      <w:r w:rsidRPr="008376FC">
        <w:rPr>
          <w:rFonts w:asciiTheme="majorHAnsi" w:eastAsia="Times New Roman" w:hAnsiTheme="majorHAnsi" w:cstheme="majorHAnsi"/>
          <w:b w:val="0"/>
          <w:bCs w:val="0"/>
          <w:sz w:val="24"/>
          <w:szCs w:val="24"/>
          <w:lang w:eastAsia="ru-RU"/>
        </w:rPr>
        <w:t xml:space="preserve"> Regulamentele proprii cu privire la indicatorii de performanță ai serviciului public de alimentare cu apă și de canalizare, acestea raportează ANRE datele conform Regulamentului</w:t>
      </w:r>
      <w:r w:rsidR="00095743">
        <w:rPr>
          <w:rFonts w:asciiTheme="majorHAnsi" w:eastAsia="Times New Roman" w:hAnsiTheme="majorHAnsi" w:cstheme="majorHAnsi"/>
          <w:b w:val="0"/>
          <w:bCs w:val="0"/>
          <w:sz w:val="24"/>
          <w:szCs w:val="24"/>
          <w:lang w:eastAsia="ru-RU"/>
        </w:rPr>
        <w:t>-</w:t>
      </w:r>
      <w:r w:rsidRPr="008376FC">
        <w:rPr>
          <w:rFonts w:asciiTheme="majorHAnsi" w:eastAsia="Times New Roman" w:hAnsiTheme="majorHAnsi" w:cstheme="majorHAnsi"/>
          <w:b w:val="0"/>
          <w:bCs w:val="0"/>
          <w:sz w:val="24"/>
          <w:szCs w:val="24"/>
          <w:lang w:eastAsia="ru-RU"/>
        </w:rPr>
        <w:t>tip aprobat de ANRE.</w:t>
      </w:r>
    </w:p>
    <w:p w:rsidR="004005AD" w:rsidRPr="008376FC" w:rsidRDefault="004005AD" w:rsidP="00F61756">
      <w:pPr>
        <w:pStyle w:val="a3"/>
        <w:widowControl w:val="0"/>
        <w:numPr>
          <w:ilvl w:val="2"/>
          <w:numId w:val="73"/>
        </w:numPr>
        <w:tabs>
          <w:tab w:val="left" w:pos="851"/>
          <w:tab w:val="left" w:pos="993"/>
          <w:tab w:val="left" w:pos="1474"/>
        </w:tabs>
        <w:autoSpaceDE w:val="0"/>
        <w:autoSpaceDN w:val="0"/>
        <w:spacing w:before="120" w:line="276" w:lineRule="auto"/>
        <w:jc w:val="both"/>
        <w:rPr>
          <w:rFonts w:asciiTheme="majorHAnsi" w:hAnsiTheme="majorHAnsi" w:cstheme="majorHAnsi"/>
          <w:b/>
          <w:color w:val="0070C0"/>
          <w:lang w:val="en-US"/>
        </w:rPr>
      </w:pPr>
      <w:r w:rsidRPr="008376FC">
        <w:rPr>
          <w:rFonts w:asciiTheme="majorHAnsi" w:hAnsiTheme="majorHAnsi" w:cstheme="majorHAnsi"/>
          <w:b/>
          <w:color w:val="0070C0"/>
          <w:lang w:val="en-US"/>
        </w:rPr>
        <w:t>Calitatea serviciului public de alimentare cu apă și de canalizare</w:t>
      </w:r>
      <w:r w:rsidR="00DC2C86" w:rsidRPr="008376FC">
        <w:rPr>
          <w:rFonts w:asciiTheme="majorHAnsi" w:hAnsiTheme="majorHAnsi" w:cstheme="majorHAnsi"/>
          <w:b/>
          <w:color w:val="0070C0"/>
          <w:lang w:val="en-US"/>
        </w:rPr>
        <w:t xml:space="preserve"> poate fi îmbunătăţită</w:t>
      </w:r>
      <w:r w:rsidR="00095743">
        <w:rPr>
          <w:rFonts w:asciiTheme="majorHAnsi" w:hAnsiTheme="majorHAnsi" w:cstheme="majorHAnsi"/>
          <w:b/>
          <w:color w:val="0070C0"/>
          <w:lang w:val="en-US"/>
        </w:rPr>
        <w:t>.</w:t>
      </w:r>
    </w:p>
    <w:p w:rsidR="004005AD" w:rsidRPr="008376FC" w:rsidRDefault="004005AD" w:rsidP="00F61756">
      <w:pPr>
        <w:widowControl w:val="0"/>
        <w:autoSpaceDE w:val="0"/>
        <w:autoSpaceDN w:val="0"/>
        <w:spacing w:before="120" w:after="0" w:line="276" w:lineRule="auto"/>
        <w:ind w:right="116"/>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Calitatea</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prestării</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serviciilor</w:t>
      </w:r>
      <w:r w:rsidRPr="008376FC">
        <w:rPr>
          <w:rFonts w:asciiTheme="majorHAnsi" w:eastAsia="Times New Roman" w:hAnsiTheme="majorHAnsi" w:cstheme="majorHAnsi"/>
          <w:b w:val="0"/>
          <w:bCs w:val="0"/>
          <w:spacing w:val="61"/>
          <w:sz w:val="24"/>
          <w:szCs w:val="24"/>
        </w:rPr>
        <w:t xml:space="preserve"> </w:t>
      </w:r>
      <w:r w:rsidRPr="008376FC">
        <w:rPr>
          <w:rFonts w:asciiTheme="majorHAnsi" w:eastAsia="Times New Roman" w:hAnsiTheme="majorHAnsi" w:cstheme="majorHAnsi"/>
          <w:b w:val="0"/>
          <w:bCs w:val="0"/>
          <w:sz w:val="24"/>
          <w:szCs w:val="24"/>
        </w:rPr>
        <w:t>de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aprovizionare cu apă și sanitație au mai multe puncte slabe, acest lucru fiind condiționat în</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mare parte de finanțarea mai slabă a acestui sector</w:t>
      </w:r>
      <w:r w:rsidR="00095743">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atât din partea BS</w:t>
      </w:r>
      <w:r w:rsidR="00095743">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cât și din partea APL. </w:t>
      </w:r>
      <w:r w:rsidR="00095743">
        <w:rPr>
          <w:rFonts w:asciiTheme="majorHAnsi" w:eastAsia="Times New Roman" w:hAnsiTheme="majorHAnsi" w:cstheme="majorHAnsi"/>
          <w:b w:val="0"/>
          <w:bCs w:val="0"/>
          <w:sz w:val="24"/>
          <w:szCs w:val="24"/>
        </w:rPr>
        <w:t>Majoritatea</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clădirilor,</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construcțiilor</w:t>
      </w:r>
      <w:r w:rsidRPr="008376FC">
        <w:rPr>
          <w:rFonts w:asciiTheme="majorHAnsi" w:eastAsia="Times New Roman" w:hAnsiTheme="majorHAnsi" w:cstheme="majorHAnsi"/>
          <w:b w:val="0"/>
          <w:bCs w:val="0"/>
          <w:spacing w:val="-57"/>
          <w:sz w:val="24"/>
          <w:szCs w:val="24"/>
        </w:rPr>
        <w:t xml:space="preserve">  </w:t>
      </w:r>
      <w:r w:rsidRPr="008376FC">
        <w:rPr>
          <w:rFonts w:asciiTheme="majorHAnsi" w:eastAsia="Times New Roman" w:hAnsiTheme="majorHAnsi" w:cstheme="majorHAnsi"/>
          <w:b w:val="0"/>
          <w:bCs w:val="0"/>
          <w:sz w:val="24"/>
          <w:szCs w:val="24"/>
        </w:rPr>
        <w:t>speciale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și</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instalațiilor</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de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transmisie</w:t>
      </w:r>
      <w:r w:rsidRPr="008376FC">
        <w:rPr>
          <w:rFonts w:asciiTheme="majorHAnsi" w:eastAsia="Times New Roman" w:hAnsiTheme="majorHAnsi" w:cstheme="majorHAnsi"/>
          <w:b w:val="0"/>
          <w:bCs w:val="0"/>
          <w:spacing w:val="1"/>
          <w:sz w:val="24"/>
          <w:szCs w:val="24"/>
        </w:rPr>
        <w:t xml:space="preserve"> are gradul de uzur</w:t>
      </w:r>
      <w:r w:rsidR="00095743">
        <w:rPr>
          <w:rFonts w:asciiTheme="majorHAnsi" w:eastAsia="Times New Roman" w:hAnsiTheme="majorHAnsi" w:cstheme="majorHAnsi"/>
          <w:b w:val="0"/>
          <w:bCs w:val="0"/>
          <w:spacing w:val="1"/>
          <w:sz w:val="24"/>
          <w:szCs w:val="24"/>
        </w:rPr>
        <w:t>ă</w:t>
      </w:r>
      <w:r w:rsidRPr="008376FC">
        <w:rPr>
          <w:rFonts w:asciiTheme="majorHAnsi" w:eastAsia="Times New Roman" w:hAnsiTheme="majorHAnsi" w:cstheme="majorHAnsi"/>
          <w:b w:val="0"/>
          <w:bCs w:val="0"/>
          <w:spacing w:val="1"/>
          <w:sz w:val="24"/>
          <w:szCs w:val="24"/>
        </w:rPr>
        <w:t xml:space="preserve"> avansat sau de 100%, </w:t>
      </w:r>
      <w:r w:rsidRPr="008376FC">
        <w:rPr>
          <w:rFonts w:asciiTheme="majorHAnsi" w:eastAsia="Times New Roman" w:hAnsiTheme="majorHAnsi" w:cstheme="majorHAnsi"/>
          <w:b w:val="0"/>
          <w:bCs w:val="0"/>
          <w:sz w:val="24"/>
          <w:szCs w:val="24"/>
        </w:rPr>
        <w:t>ceea</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ce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condiționează</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pierderi</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de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cantități</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semnificative</w:t>
      </w:r>
      <w:r w:rsidRPr="008376FC">
        <w:rPr>
          <w:rFonts w:asciiTheme="majorHAnsi" w:eastAsia="Times New Roman" w:hAnsiTheme="majorHAnsi" w:cstheme="majorHAnsi"/>
          <w:b w:val="0"/>
          <w:bCs w:val="0"/>
          <w:spacing w:val="-2"/>
          <w:sz w:val="24"/>
          <w:szCs w:val="24"/>
        </w:rPr>
        <w:t xml:space="preserve"> </w:t>
      </w:r>
      <w:r w:rsidRPr="008376FC">
        <w:rPr>
          <w:rFonts w:asciiTheme="majorHAnsi" w:eastAsia="Times New Roman" w:hAnsiTheme="majorHAnsi" w:cstheme="majorHAnsi"/>
          <w:b w:val="0"/>
          <w:bCs w:val="0"/>
          <w:sz w:val="24"/>
          <w:szCs w:val="24"/>
        </w:rPr>
        <w:t>de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apă în rețea.</w:t>
      </w:r>
    </w:p>
    <w:p w:rsidR="004005AD" w:rsidRPr="008376FC" w:rsidRDefault="004005AD" w:rsidP="00F61756">
      <w:pPr>
        <w:widowControl w:val="0"/>
        <w:autoSpaceDE w:val="0"/>
        <w:autoSpaceDN w:val="0"/>
        <w:spacing w:before="120" w:after="0" w:line="276" w:lineRule="auto"/>
        <w:ind w:right="115"/>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Nici </w:t>
      </w:r>
      <w:r w:rsidR="00095743">
        <w:rPr>
          <w:rFonts w:asciiTheme="majorHAnsi" w:eastAsia="Times New Roman" w:hAnsiTheme="majorHAnsi" w:cstheme="majorHAnsi"/>
          <w:b w:val="0"/>
          <w:bCs w:val="0"/>
          <w:sz w:val="24"/>
          <w:szCs w:val="24"/>
        </w:rPr>
        <w:t>re</w:t>
      </w:r>
      <w:r w:rsidRPr="008376FC">
        <w:rPr>
          <w:rFonts w:asciiTheme="majorHAnsi" w:eastAsia="Times New Roman" w:hAnsiTheme="majorHAnsi" w:cstheme="majorHAnsi"/>
          <w:b w:val="0"/>
          <w:bCs w:val="0"/>
          <w:sz w:val="24"/>
          <w:szCs w:val="24"/>
        </w:rPr>
        <w:t>sursele BS</w:t>
      </w:r>
      <w:r w:rsidR="00095743">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nici ale UAT nu sunt suficiente pentru a remedia situațiile atestate. Doar prin atragerea unor investiții străine va fi posibil de modernizat acest tip de servicii publice,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iar în contextul aderării la Uniunea Europeană</w:t>
      </w:r>
      <w:r w:rsidR="00095743">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va fi posibil de însușit mai eficient practicile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moderne</w:t>
      </w:r>
      <w:r w:rsidRPr="008376FC">
        <w:rPr>
          <w:rFonts w:asciiTheme="majorHAnsi" w:eastAsia="Times New Roman" w:hAnsiTheme="majorHAnsi" w:cstheme="majorHAnsi"/>
          <w:b w:val="0"/>
          <w:bCs w:val="0"/>
          <w:spacing w:val="-2"/>
          <w:sz w:val="24"/>
          <w:szCs w:val="24"/>
        </w:rPr>
        <w:t xml:space="preserve"> </w:t>
      </w:r>
      <w:r w:rsidRPr="008376FC">
        <w:rPr>
          <w:rFonts w:asciiTheme="majorHAnsi" w:eastAsia="Times New Roman" w:hAnsiTheme="majorHAnsi" w:cstheme="majorHAnsi"/>
          <w:b w:val="0"/>
          <w:bCs w:val="0"/>
          <w:sz w:val="24"/>
          <w:szCs w:val="24"/>
        </w:rPr>
        <w:t>în domeniul aprovizionării cu apă</w:t>
      </w:r>
      <w:r w:rsidRPr="008376FC">
        <w:rPr>
          <w:rFonts w:asciiTheme="majorHAnsi" w:eastAsia="Times New Roman" w:hAnsiTheme="majorHAnsi" w:cstheme="majorHAnsi"/>
          <w:b w:val="0"/>
          <w:bCs w:val="0"/>
          <w:spacing w:val="-2"/>
          <w:sz w:val="24"/>
          <w:szCs w:val="24"/>
        </w:rPr>
        <w:t xml:space="preserve"> </w:t>
      </w:r>
      <w:r w:rsidRPr="008376FC">
        <w:rPr>
          <w:rFonts w:asciiTheme="majorHAnsi" w:eastAsia="Times New Roman" w:hAnsiTheme="majorHAnsi" w:cstheme="majorHAnsi"/>
          <w:b w:val="0"/>
          <w:bCs w:val="0"/>
          <w:sz w:val="24"/>
          <w:szCs w:val="24"/>
        </w:rPr>
        <w:t>și</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sanitație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din alte</w:t>
      </w:r>
      <w:r w:rsidRPr="008376FC">
        <w:rPr>
          <w:rFonts w:asciiTheme="majorHAnsi" w:eastAsia="Times New Roman" w:hAnsiTheme="majorHAnsi" w:cstheme="majorHAnsi"/>
          <w:b w:val="0"/>
          <w:bCs w:val="0"/>
          <w:spacing w:val="-1"/>
          <w:sz w:val="24"/>
          <w:szCs w:val="24"/>
        </w:rPr>
        <w:t xml:space="preserve"> </w:t>
      </w:r>
      <w:r w:rsidRPr="008376FC">
        <w:rPr>
          <w:rFonts w:asciiTheme="majorHAnsi" w:eastAsia="Times New Roman" w:hAnsiTheme="majorHAnsi" w:cstheme="majorHAnsi"/>
          <w:b w:val="0"/>
          <w:bCs w:val="0"/>
          <w:sz w:val="24"/>
          <w:szCs w:val="24"/>
        </w:rPr>
        <w:t>țări.</w:t>
      </w:r>
    </w:p>
    <w:p w:rsidR="004005AD" w:rsidRPr="008376FC" w:rsidRDefault="004005AD" w:rsidP="00F61756">
      <w:pPr>
        <w:spacing w:before="120"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b w:val="0"/>
          <w:sz w:val="24"/>
          <w:szCs w:val="24"/>
        </w:rPr>
        <w:t>Conform prevederilor Regulamentului cu privire la calitatea serviciului public de alimentare cu apă și de canalizare, aprobat prin Hotărârea Consiliului de Administrație al Agenției Naționale pentru Reglementare în Energetică nr. 356/2016 din 27.12.2016, operatorii de sistem, prestatori ai serviciului public de alimentare cu apă și de canalizare,</w:t>
      </w:r>
      <w:r w:rsidRPr="008376FC">
        <w:rPr>
          <w:rFonts w:asciiTheme="majorHAnsi" w:eastAsia="Times New Roman" w:hAnsiTheme="majorHAnsi" w:cstheme="majorHAnsi"/>
          <w:sz w:val="24"/>
          <w:szCs w:val="24"/>
        </w:rPr>
        <w:t xml:space="preserve"> </w:t>
      </w:r>
      <w:r w:rsidRPr="008376FC">
        <w:rPr>
          <w:rFonts w:asciiTheme="majorHAnsi" w:eastAsia="Times New Roman" w:hAnsiTheme="majorHAnsi" w:cstheme="majorHAnsi"/>
          <w:b w:val="0"/>
          <w:sz w:val="24"/>
          <w:szCs w:val="24"/>
        </w:rPr>
        <w:t>prezintă ANRE rapoarte cu privire la indicatorii de calitate realizați în anul de gestiune.</w:t>
      </w:r>
    </w:p>
    <w:p w:rsidR="004005AD" w:rsidRPr="008376FC" w:rsidRDefault="004005AD" w:rsidP="00F61756">
      <w:pPr>
        <w:spacing w:before="12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Operatorii licențiați sunt obligați să furnizeze în mod continuu și fiabil serviciul public de alimentare cu apă și de canalizare consumatorilor, în conformitate cu indicatorii de calitate,</w:t>
      </w:r>
      <w:r w:rsidRPr="008376FC">
        <w:rPr>
          <w:rFonts w:asciiTheme="majorHAnsi" w:hAnsiTheme="majorHAnsi" w:cstheme="majorHAnsi"/>
          <w:bCs w:val="0"/>
          <w:sz w:val="24"/>
          <w:szCs w:val="24"/>
        </w:rPr>
        <w:t xml:space="preserve"> </w:t>
      </w:r>
      <w:r w:rsidRPr="008376FC">
        <w:rPr>
          <w:rFonts w:asciiTheme="majorHAnsi" w:hAnsiTheme="majorHAnsi" w:cstheme="majorHAnsi"/>
          <w:b w:val="0"/>
          <w:bCs w:val="0"/>
          <w:sz w:val="24"/>
          <w:szCs w:val="24"/>
        </w:rPr>
        <w:t>care se referă la fiecare dintre componentele activității desfășurate</w:t>
      </w:r>
    </w:p>
    <w:p w:rsidR="004005AD" w:rsidRPr="008376FC" w:rsidRDefault="004005AD" w:rsidP="00F61756">
      <w:pPr>
        <w:spacing w:before="120" w:line="276" w:lineRule="auto"/>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Scopul monitorizării și</w:t>
      </w:r>
      <w:r w:rsidR="003D75E9">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 xml:space="preserve"> totodată, a evaluării performanței serviciilor prestate de către operatorii care furnizează serviciul public de alimentare cu apă și de canalizare este îmbunătățirea calității serviciului furnizat, precum și necesitatea sensibilizării acestora asupra îndeplinirii conștiincioase a obligațiilor spre realizarea obiectivului propus. </w:t>
      </w:r>
    </w:p>
    <w:p w:rsidR="007D322F" w:rsidRPr="008376FC" w:rsidRDefault="004005AD" w:rsidP="00F61756">
      <w:pPr>
        <w:spacing w:before="120" w:line="276" w:lineRule="auto"/>
        <w:jc w:val="both"/>
        <w:rPr>
          <w:rFonts w:asciiTheme="majorHAnsi" w:eastAsia="Times New Roman" w:hAnsiTheme="majorHAnsi" w:cstheme="majorHAnsi"/>
          <w:sz w:val="24"/>
          <w:szCs w:val="24"/>
        </w:rPr>
      </w:pPr>
      <w:r w:rsidRPr="008376FC">
        <w:rPr>
          <w:rFonts w:asciiTheme="majorHAnsi" w:eastAsia="Times New Roman" w:hAnsiTheme="majorHAnsi" w:cstheme="majorHAnsi"/>
          <w:b w:val="0"/>
          <w:sz w:val="24"/>
          <w:szCs w:val="24"/>
        </w:rPr>
        <w:t>Starea și gradul de uzură avansat al</w:t>
      </w:r>
      <w:r w:rsidR="003D75E9">
        <w:rPr>
          <w:rFonts w:asciiTheme="majorHAnsi" w:eastAsia="Times New Roman" w:hAnsiTheme="majorHAnsi" w:cstheme="majorHAnsi"/>
          <w:b w:val="0"/>
          <w:sz w:val="24"/>
          <w:szCs w:val="24"/>
        </w:rPr>
        <w:t>e</w:t>
      </w:r>
      <w:r w:rsidRPr="008376FC">
        <w:rPr>
          <w:rFonts w:asciiTheme="majorHAnsi" w:eastAsia="Times New Roman" w:hAnsiTheme="majorHAnsi" w:cstheme="majorHAnsi"/>
          <w:b w:val="0"/>
          <w:sz w:val="24"/>
          <w:szCs w:val="24"/>
        </w:rPr>
        <w:t xml:space="preserve"> echipamentului funcțional utilizat în prestarea serviciilor publice de alimentare și canalizare, duce la creșterea numărului de întreruperi at</w:t>
      </w:r>
      <w:r w:rsidR="003D75E9">
        <w:rPr>
          <w:rFonts w:asciiTheme="majorHAnsi" w:eastAsia="Times New Roman" w:hAnsiTheme="majorHAnsi" w:cstheme="majorHAnsi"/>
          <w:b w:val="0"/>
          <w:sz w:val="24"/>
          <w:szCs w:val="24"/>
        </w:rPr>
        <w:t>â</w:t>
      </w:r>
      <w:r w:rsidRPr="008376FC">
        <w:rPr>
          <w:rFonts w:asciiTheme="majorHAnsi" w:eastAsia="Times New Roman" w:hAnsiTheme="majorHAnsi" w:cstheme="majorHAnsi"/>
          <w:b w:val="0"/>
          <w:sz w:val="24"/>
          <w:szCs w:val="24"/>
        </w:rPr>
        <w:t>t a</w:t>
      </w:r>
      <w:r w:rsidR="003D75E9">
        <w:rPr>
          <w:rFonts w:asciiTheme="majorHAnsi" w:eastAsia="Times New Roman" w:hAnsiTheme="majorHAnsi" w:cstheme="majorHAnsi"/>
          <w:b w:val="0"/>
          <w:sz w:val="24"/>
          <w:szCs w:val="24"/>
        </w:rPr>
        <w:t>l</w:t>
      </w:r>
      <w:r w:rsidRPr="008376FC">
        <w:rPr>
          <w:rFonts w:asciiTheme="majorHAnsi" w:eastAsia="Times New Roman" w:hAnsiTheme="majorHAnsi" w:cstheme="majorHAnsi"/>
          <w:b w:val="0"/>
          <w:sz w:val="24"/>
          <w:szCs w:val="24"/>
        </w:rPr>
        <w:t xml:space="preserve"> celor planificate</w:t>
      </w:r>
      <w:r w:rsidR="003D75E9">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c</w:t>
      </w:r>
      <w:r w:rsidR="003D75E9">
        <w:rPr>
          <w:rFonts w:asciiTheme="majorHAnsi" w:eastAsia="Times New Roman" w:hAnsiTheme="majorHAnsi" w:cstheme="majorHAnsi"/>
          <w:b w:val="0"/>
          <w:sz w:val="24"/>
          <w:szCs w:val="24"/>
        </w:rPr>
        <w:t>â</w:t>
      </w:r>
      <w:r w:rsidRPr="008376FC">
        <w:rPr>
          <w:rFonts w:asciiTheme="majorHAnsi" w:eastAsia="Times New Roman" w:hAnsiTheme="majorHAnsi" w:cstheme="majorHAnsi"/>
          <w:b w:val="0"/>
          <w:sz w:val="24"/>
          <w:szCs w:val="24"/>
        </w:rPr>
        <w:t xml:space="preserve">t și </w:t>
      </w:r>
      <w:r w:rsidR="003D75E9">
        <w:rPr>
          <w:rFonts w:asciiTheme="majorHAnsi" w:eastAsia="Times New Roman" w:hAnsiTheme="majorHAnsi" w:cstheme="majorHAnsi"/>
          <w:b w:val="0"/>
          <w:sz w:val="24"/>
          <w:szCs w:val="24"/>
        </w:rPr>
        <w:t xml:space="preserve">al </w:t>
      </w:r>
      <w:r w:rsidRPr="008376FC">
        <w:rPr>
          <w:rFonts w:asciiTheme="majorHAnsi" w:eastAsia="Times New Roman" w:hAnsiTheme="majorHAnsi" w:cstheme="majorHAnsi"/>
          <w:b w:val="0"/>
          <w:sz w:val="24"/>
          <w:szCs w:val="24"/>
        </w:rPr>
        <w:t>celor neplanificare. Astfel, analiza datelor prezentate de operatorii economici către ANRE relevă că</w:t>
      </w:r>
      <w:r w:rsidR="003D75E9">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pe parcursul anilor 2019-2021</w:t>
      </w:r>
      <w:r w:rsidR="003D75E9">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numărul cazurilor de întreruperi neplanificate a serviciilor de alimentare cu apă și de canalizare are o dinamică neuniformă. În comparație cu indicatorii realizați în anul 2019</w:t>
      </w:r>
      <w:r w:rsidR="003D75E9">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în anul 2021 se constată că numărul de întreruperi neplanificate este în creștere</w:t>
      </w:r>
      <w:r w:rsidR="003D75E9">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de la 4</w:t>
      </w:r>
      <w:r w:rsidR="003D75E9">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342 de cazuri până la 7</w:t>
      </w:r>
      <w:r w:rsidR="003D75E9">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661</w:t>
      </w:r>
      <w:r w:rsidR="003D75E9">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sau cu 76% pentru serviciul public de canalizare, în timp ce pentru serviciul public de alimentare cu apă</w:t>
      </w:r>
      <w:r w:rsidR="003D75E9">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numărul de sistări de servicii s-a diminuat nesemnificativ, de la 10</w:t>
      </w:r>
      <w:r w:rsidR="003D75E9">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610 în anul 2019 până la 10</w:t>
      </w:r>
      <w:r w:rsidR="003D75E9">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481 în anul 2021</w:t>
      </w:r>
      <w:r w:rsidR="003D75E9">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sau cu 1,2%, în anul 2020 fiind înregistrată o creștere</w:t>
      </w:r>
      <w:r w:rsidR="003D75E9">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față de anul 2019</w:t>
      </w:r>
      <w:r w:rsidR="003D75E9">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de 10,1% (+1</w:t>
      </w:r>
      <w:r w:rsidR="003D75E9">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074 de cazuri). </w:t>
      </w:r>
    </w:p>
    <w:tbl>
      <w:tblPr>
        <w:tblStyle w:val="TableGrid7"/>
        <w:tblW w:w="9747" w:type="dxa"/>
        <w:tblLayout w:type="fixed"/>
        <w:tblLook w:val="04A0" w:firstRow="1" w:lastRow="0" w:firstColumn="1" w:lastColumn="0" w:noHBand="0" w:noVBand="1"/>
      </w:tblPr>
      <w:tblGrid>
        <w:gridCol w:w="5017"/>
        <w:gridCol w:w="4730"/>
      </w:tblGrid>
      <w:tr w:rsidR="00B55A22" w:rsidRPr="008376FC" w:rsidTr="00F94EBC">
        <w:trPr>
          <w:trHeight w:val="162"/>
        </w:trPr>
        <w:tc>
          <w:tcPr>
            <w:tcW w:w="5017" w:type="dxa"/>
          </w:tcPr>
          <w:p w:rsidR="00B55A22" w:rsidRPr="007D322F" w:rsidRDefault="00B55A22" w:rsidP="00F61756">
            <w:pPr>
              <w:spacing w:line="276" w:lineRule="auto"/>
              <w:jc w:val="center"/>
              <w:rPr>
                <w:rFonts w:asciiTheme="majorHAnsi" w:eastAsia="Times New Roman" w:hAnsiTheme="majorHAnsi" w:cstheme="majorHAnsi"/>
                <w:noProof/>
                <w:sz w:val="20"/>
                <w:szCs w:val="20"/>
                <w:lang w:val="ru-RU" w:eastAsia="ru-RU"/>
              </w:rPr>
            </w:pPr>
            <w:r w:rsidRPr="007D322F">
              <w:rPr>
                <w:rFonts w:asciiTheme="majorHAnsi" w:eastAsia="Times New Roman" w:hAnsiTheme="majorHAnsi" w:cstheme="majorHAnsi"/>
                <w:sz w:val="20"/>
                <w:szCs w:val="20"/>
              </w:rPr>
              <w:t>Figura</w:t>
            </w:r>
            <w:r w:rsidR="00D91526" w:rsidRPr="007D322F">
              <w:rPr>
                <w:rFonts w:asciiTheme="majorHAnsi" w:eastAsia="Times New Roman" w:hAnsiTheme="majorHAnsi" w:cstheme="majorHAnsi"/>
                <w:sz w:val="20"/>
                <w:szCs w:val="20"/>
              </w:rPr>
              <w:t xml:space="preserve"> nr.43</w:t>
            </w:r>
          </w:p>
        </w:tc>
        <w:tc>
          <w:tcPr>
            <w:tcW w:w="4730" w:type="dxa"/>
          </w:tcPr>
          <w:p w:rsidR="00B55A22" w:rsidRPr="007D322F" w:rsidRDefault="00B55A22" w:rsidP="00F61756">
            <w:pPr>
              <w:spacing w:line="276" w:lineRule="auto"/>
              <w:jc w:val="center"/>
              <w:rPr>
                <w:rFonts w:asciiTheme="majorHAnsi" w:eastAsia="Times New Roman" w:hAnsiTheme="majorHAnsi" w:cstheme="majorHAnsi"/>
                <w:noProof/>
                <w:sz w:val="20"/>
                <w:szCs w:val="20"/>
                <w:lang w:val="ru-RU" w:eastAsia="ru-RU"/>
              </w:rPr>
            </w:pPr>
            <w:r w:rsidRPr="007D322F">
              <w:rPr>
                <w:rFonts w:asciiTheme="majorHAnsi" w:eastAsia="Times New Roman" w:hAnsiTheme="majorHAnsi" w:cstheme="majorHAnsi"/>
                <w:sz w:val="20"/>
                <w:szCs w:val="20"/>
              </w:rPr>
              <w:t xml:space="preserve">Figura  nr. </w:t>
            </w:r>
            <w:r w:rsidR="00D91526" w:rsidRPr="007D322F">
              <w:rPr>
                <w:rFonts w:asciiTheme="majorHAnsi" w:eastAsia="Times New Roman" w:hAnsiTheme="majorHAnsi" w:cstheme="majorHAnsi"/>
                <w:sz w:val="20"/>
                <w:szCs w:val="20"/>
              </w:rPr>
              <w:t xml:space="preserve"> 44</w:t>
            </w:r>
          </w:p>
        </w:tc>
      </w:tr>
      <w:tr w:rsidR="004005AD" w:rsidRPr="008376FC" w:rsidTr="00F94EBC">
        <w:trPr>
          <w:trHeight w:val="1827"/>
        </w:trPr>
        <w:tc>
          <w:tcPr>
            <w:tcW w:w="5017" w:type="dxa"/>
          </w:tcPr>
          <w:p w:rsidR="004005AD" w:rsidRPr="008376FC" w:rsidRDefault="004005AD" w:rsidP="00F61756">
            <w:pPr>
              <w:spacing w:line="276" w:lineRule="auto"/>
              <w:jc w:val="center"/>
              <w:rPr>
                <w:rFonts w:asciiTheme="majorHAnsi" w:eastAsia="Times New Roman" w:hAnsiTheme="majorHAnsi" w:cstheme="majorHAnsi"/>
                <w:sz w:val="24"/>
                <w:szCs w:val="24"/>
              </w:rPr>
            </w:pPr>
            <w:r w:rsidRPr="008376FC">
              <w:rPr>
                <w:rFonts w:asciiTheme="majorHAnsi" w:eastAsia="Times New Roman" w:hAnsiTheme="majorHAnsi" w:cstheme="majorHAnsi"/>
                <w:noProof/>
                <w:sz w:val="24"/>
                <w:szCs w:val="24"/>
                <w:lang w:val="ru-RU" w:eastAsia="ru-RU"/>
              </w:rPr>
              <w:drawing>
                <wp:inline distT="0" distB="0" distL="0" distR="0">
                  <wp:extent cx="3308985" cy="1184910"/>
                  <wp:effectExtent l="19050" t="0" r="24765"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c>
          <w:tcPr>
            <w:tcW w:w="4730" w:type="dxa"/>
          </w:tcPr>
          <w:p w:rsidR="004005AD" w:rsidRPr="008376FC" w:rsidRDefault="004005AD" w:rsidP="00F61756">
            <w:pPr>
              <w:spacing w:line="276" w:lineRule="auto"/>
              <w:jc w:val="center"/>
              <w:rPr>
                <w:rFonts w:asciiTheme="majorHAnsi" w:eastAsia="Times New Roman" w:hAnsiTheme="majorHAnsi" w:cstheme="majorHAnsi"/>
                <w:sz w:val="24"/>
                <w:szCs w:val="24"/>
              </w:rPr>
            </w:pPr>
            <w:r w:rsidRPr="008376FC">
              <w:rPr>
                <w:rFonts w:asciiTheme="majorHAnsi" w:eastAsia="Times New Roman" w:hAnsiTheme="majorHAnsi" w:cstheme="majorHAnsi"/>
                <w:noProof/>
                <w:sz w:val="24"/>
                <w:szCs w:val="24"/>
                <w:lang w:val="ru-RU" w:eastAsia="ru-RU"/>
              </w:rPr>
              <w:drawing>
                <wp:inline distT="0" distB="0" distL="0" distR="0">
                  <wp:extent cx="2699385" cy="1165860"/>
                  <wp:effectExtent l="19050" t="0" r="24765"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bl>
    <w:p w:rsidR="004005AD" w:rsidRPr="00E24AA6" w:rsidRDefault="004005AD" w:rsidP="00F61756">
      <w:pPr>
        <w:spacing w:line="276" w:lineRule="auto"/>
        <w:jc w:val="both"/>
        <w:rPr>
          <w:rFonts w:asciiTheme="majorHAnsi" w:eastAsia="Times New Roman" w:hAnsiTheme="majorHAnsi" w:cstheme="majorHAnsi"/>
          <w:i/>
          <w:sz w:val="20"/>
          <w:szCs w:val="20"/>
        </w:rPr>
      </w:pPr>
      <w:r w:rsidRPr="00E24AA6">
        <w:rPr>
          <w:rFonts w:asciiTheme="majorHAnsi" w:eastAsia="Times New Roman" w:hAnsiTheme="majorHAnsi" w:cstheme="majorHAnsi"/>
          <w:i/>
          <w:sz w:val="20"/>
          <w:szCs w:val="20"/>
        </w:rPr>
        <w:t xml:space="preserve">Sursa: </w:t>
      </w:r>
      <w:r w:rsidRPr="00E24AA6">
        <w:rPr>
          <w:rFonts w:asciiTheme="majorHAnsi" w:eastAsia="Times New Roman" w:hAnsiTheme="majorHAnsi" w:cstheme="majorHAnsi"/>
          <w:b w:val="0"/>
          <w:i/>
          <w:sz w:val="20"/>
          <w:szCs w:val="20"/>
        </w:rPr>
        <w:t>Date</w:t>
      </w:r>
      <w:r w:rsidR="003D75E9">
        <w:rPr>
          <w:rFonts w:asciiTheme="majorHAnsi" w:eastAsia="Times New Roman" w:hAnsiTheme="majorHAnsi" w:cstheme="majorHAnsi"/>
          <w:b w:val="0"/>
          <w:i/>
          <w:sz w:val="20"/>
          <w:szCs w:val="20"/>
        </w:rPr>
        <w:t xml:space="preserve"> oferite de</w:t>
      </w:r>
      <w:r w:rsidRPr="00E24AA6">
        <w:rPr>
          <w:rFonts w:asciiTheme="majorHAnsi" w:eastAsia="Times New Roman" w:hAnsiTheme="majorHAnsi" w:cstheme="majorHAnsi"/>
          <w:b w:val="0"/>
          <w:i/>
          <w:sz w:val="20"/>
          <w:szCs w:val="20"/>
        </w:rPr>
        <w:t xml:space="preserve"> ANRE.</w:t>
      </w:r>
    </w:p>
    <w:p w:rsidR="00E916FF" w:rsidRDefault="004005AD" w:rsidP="00E916FF">
      <w:pPr>
        <w:spacing w:before="120"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b w:val="0"/>
          <w:sz w:val="24"/>
          <w:szCs w:val="24"/>
        </w:rPr>
        <w:t>Totodată</w:t>
      </w:r>
      <w:r w:rsidR="003D75E9">
        <w:rPr>
          <w:rFonts w:asciiTheme="majorHAnsi" w:eastAsia="Times New Roman" w:hAnsiTheme="majorHAnsi" w:cstheme="majorHAnsi"/>
          <w:b w:val="0"/>
          <w:sz w:val="24"/>
          <w:szCs w:val="24"/>
        </w:rPr>
        <w:t>,</w:t>
      </w:r>
      <w:r w:rsidRPr="008376FC">
        <w:rPr>
          <w:rFonts w:asciiTheme="majorHAnsi" w:eastAsia="Times New Roman" w:hAnsiTheme="majorHAnsi" w:cstheme="majorHAnsi"/>
          <w:b w:val="0"/>
          <w:sz w:val="24"/>
          <w:szCs w:val="24"/>
        </w:rPr>
        <w:t xml:space="preserve"> se atestă că, în anul 2021, numărul cazurilor de întreruperi neplanificate a serviciilor de canalizare depășește cu 25 de ori numărul cazurilor de întreruperi planificate, iar la servicii</w:t>
      </w:r>
      <w:r w:rsidR="003D75E9">
        <w:rPr>
          <w:rFonts w:asciiTheme="majorHAnsi" w:eastAsia="Times New Roman" w:hAnsiTheme="majorHAnsi" w:cstheme="majorHAnsi"/>
          <w:b w:val="0"/>
          <w:sz w:val="24"/>
          <w:szCs w:val="24"/>
        </w:rPr>
        <w:t>le</w:t>
      </w:r>
      <w:r w:rsidRPr="008376FC">
        <w:rPr>
          <w:rFonts w:asciiTheme="majorHAnsi" w:eastAsia="Times New Roman" w:hAnsiTheme="majorHAnsi" w:cstheme="majorHAnsi"/>
          <w:b w:val="0"/>
          <w:sz w:val="24"/>
          <w:szCs w:val="24"/>
        </w:rPr>
        <w:t xml:space="preserve"> de alimentare cu apă depășirea este de peste 7 ori.</w:t>
      </w:r>
    </w:p>
    <w:p w:rsidR="004005AD" w:rsidRPr="008376FC" w:rsidRDefault="004005AD" w:rsidP="00E916FF">
      <w:pPr>
        <w:spacing w:before="120" w:line="276" w:lineRule="auto"/>
        <w:jc w:val="right"/>
        <w:rPr>
          <w:rFonts w:asciiTheme="majorHAnsi" w:eastAsia="Times New Roman" w:hAnsiTheme="majorHAnsi" w:cstheme="majorHAnsi"/>
          <w:b w:val="0"/>
          <w:sz w:val="24"/>
          <w:szCs w:val="24"/>
        </w:rPr>
      </w:pPr>
      <w:r w:rsidRPr="008376FC">
        <w:rPr>
          <w:rFonts w:asciiTheme="majorHAnsi" w:eastAsia="Times New Roman" w:hAnsiTheme="majorHAnsi" w:cstheme="majorHAnsi"/>
          <w:bCs w:val="0"/>
          <w:sz w:val="20"/>
          <w:szCs w:val="20"/>
        </w:rPr>
        <w:t>Figura nr.</w:t>
      </w:r>
      <w:r w:rsidR="009F7633" w:rsidRPr="008376FC">
        <w:rPr>
          <w:rFonts w:asciiTheme="majorHAnsi" w:eastAsia="Times New Roman" w:hAnsiTheme="majorHAnsi" w:cstheme="majorHAnsi"/>
          <w:bCs w:val="0"/>
          <w:sz w:val="20"/>
          <w:szCs w:val="20"/>
        </w:rPr>
        <w:t>4</w:t>
      </w:r>
      <w:r w:rsidR="00D91526" w:rsidRPr="008376FC">
        <w:rPr>
          <w:rFonts w:asciiTheme="majorHAnsi" w:eastAsia="Times New Roman" w:hAnsiTheme="majorHAnsi" w:cstheme="majorHAnsi"/>
          <w:bCs w:val="0"/>
          <w:sz w:val="20"/>
          <w:szCs w:val="20"/>
        </w:rPr>
        <w:t>5</w:t>
      </w:r>
    </w:p>
    <w:p w:rsidR="004005AD" w:rsidRPr="008376FC" w:rsidRDefault="004005AD" w:rsidP="00F61756">
      <w:pPr>
        <w:spacing w:before="120"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b w:val="0"/>
          <w:noProof/>
          <w:sz w:val="24"/>
          <w:szCs w:val="24"/>
          <w:lang w:val="ru-RU" w:eastAsia="ru-RU"/>
        </w:rPr>
        <w:drawing>
          <wp:inline distT="0" distB="0" distL="0" distR="0">
            <wp:extent cx="6143625" cy="1219200"/>
            <wp:effectExtent l="0" t="0" r="9525"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4005AD" w:rsidRPr="00E24AA6" w:rsidRDefault="004005AD" w:rsidP="00F61756">
      <w:pPr>
        <w:spacing w:before="120" w:line="276" w:lineRule="auto"/>
        <w:jc w:val="both"/>
        <w:rPr>
          <w:rFonts w:asciiTheme="majorHAnsi" w:eastAsia="Times New Roman" w:hAnsiTheme="majorHAnsi" w:cstheme="majorHAnsi"/>
          <w:b w:val="0"/>
          <w:i/>
          <w:sz w:val="20"/>
          <w:szCs w:val="20"/>
        </w:rPr>
      </w:pPr>
      <w:r w:rsidRPr="00E24AA6">
        <w:rPr>
          <w:rFonts w:asciiTheme="majorHAnsi" w:eastAsia="Times New Roman" w:hAnsiTheme="majorHAnsi" w:cstheme="majorHAnsi"/>
          <w:i/>
          <w:sz w:val="20"/>
          <w:szCs w:val="20"/>
        </w:rPr>
        <w:t xml:space="preserve">Sursa: </w:t>
      </w:r>
      <w:r w:rsidRPr="00E24AA6">
        <w:rPr>
          <w:rFonts w:asciiTheme="majorHAnsi" w:eastAsia="Times New Roman" w:hAnsiTheme="majorHAnsi" w:cstheme="majorHAnsi"/>
          <w:b w:val="0"/>
          <w:i/>
          <w:sz w:val="20"/>
          <w:szCs w:val="20"/>
        </w:rPr>
        <w:t>Date</w:t>
      </w:r>
      <w:r w:rsidR="003D75E9">
        <w:rPr>
          <w:rFonts w:asciiTheme="majorHAnsi" w:eastAsia="Times New Roman" w:hAnsiTheme="majorHAnsi" w:cstheme="majorHAnsi"/>
          <w:b w:val="0"/>
          <w:i/>
          <w:sz w:val="20"/>
          <w:szCs w:val="20"/>
        </w:rPr>
        <w:t xml:space="preserve"> oferite d</w:t>
      </w:r>
      <w:r w:rsidRPr="00E24AA6">
        <w:rPr>
          <w:rFonts w:asciiTheme="majorHAnsi" w:eastAsia="Times New Roman" w:hAnsiTheme="majorHAnsi" w:cstheme="majorHAnsi"/>
          <w:b w:val="0"/>
          <w:i/>
          <w:sz w:val="20"/>
          <w:szCs w:val="20"/>
        </w:rPr>
        <w:t>e ANRE.</w:t>
      </w:r>
    </w:p>
    <w:p w:rsidR="00EE132E" w:rsidRPr="008376FC" w:rsidRDefault="004D68A9" w:rsidP="00F61756">
      <w:pPr>
        <w:spacing w:line="276" w:lineRule="auto"/>
        <w:jc w:val="both"/>
        <w:rPr>
          <w:rFonts w:asciiTheme="majorHAnsi" w:eastAsia="Calibri" w:hAnsiTheme="majorHAnsi" w:cstheme="majorHAnsi"/>
          <w:bCs w:val="0"/>
          <w:sz w:val="24"/>
          <w:szCs w:val="24"/>
        </w:rPr>
      </w:pPr>
      <w:r w:rsidRPr="008376FC">
        <w:rPr>
          <w:rFonts w:asciiTheme="majorHAnsi" w:eastAsia="Calibri" w:hAnsiTheme="majorHAnsi" w:cstheme="majorHAnsi"/>
          <w:bCs w:val="0"/>
          <w:color w:val="0070C0"/>
          <w:sz w:val="24"/>
          <w:szCs w:val="24"/>
        </w:rPr>
        <w:t>4.5</w:t>
      </w:r>
      <w:r w:rsidR="009F7633" w:rsidRPr="008376FC">
        <w:rPr>
          <w:rFonts w:asciiTheme="majorHAnsi" w:eastAsia="Calibri" w:hAnsiTheme="majorHAnsi" w:cstheme="majorHAnsi"/>
          <w:bCs w:val="0"/>
          <w:color w:val="0070C0"/>
          <w:sz w:val="24"/>
          <w:szCs w:val="24"/>
        </w:rPr>
        <w:t>.13.  Contractele de gestiune delegată încheiate între operatorii serviciilor de alimentate cu apă și sanitați</w:t>
      </w:r>
      <w:r w:rsidR="003D75E9">
        <w:rPr>
          <w:rFonts w:asciiTheme="majorHAnsi" w:eastAsia="Calibri" w:hAnsiTheme="majorHAnsi" w:cstheme="majorHAnsi"/>
          <w:bCs w:val="0"/>
          <w:color w:val="0070C0"/>
          <w:sz w:val="24"/>
          <w:szCs w:val="24"/>
        </w:rPr>
        <w:t>e</w:t>
      </w:r>
      <w:r w:rsidR="009F7633" w:rsidRPr="008376FC">
        <w:rPr>
          <w:rFonts w:asciiTheme="majorHAnsi" w:eastAsia="Calibri" w:hAnsiTheme="majorHAnsi" w:cstheme="majorHAnsi"/>
          <w:bCs w:val="0"/>
          <w:color w:val="0070C0"/>
          <w:sz w:val="24"/>
          <w:szCs w:val="24"/>
        </w:rPr>
        <w:t xml:space="preserve"> și fo</w:t>
      </w:r>
      <w:r w:rsidR="00E8029E" w:rsidRPr="008376FC">
        <w:rPr>
          <w:rFonts w:asciiTheme="majorHAnsi" w:eastAsia="Calibri" w:hAnsiTheme="majorHAnsi" w:cstheme="majorHAnsi"/>
          <w:bCs w:val="0"/>
          <w:color w:val="0070C0"/>
          <w:sz w:val="24"/>
          <w:szCs w:val="24"/>
        </w:rPr>
        <w:t>n</w:t>
      </w:r>
      <w:r w:rsidR="009F7633" w:rsidRPr="008376FC">
        <w:rPr>
          <w:rFonts w:asciiTheme="majorHAnsi" w:eastAsia="Calibri" w:hAnsiTheme="majorHAnsi" w:cstheme="majorHAnsi"/>
          <w:bCs w:val="0"/>
          <w:color w:val="0070C0"/>
          <w:sz w:val="24"/>
          <w:szCs w:val="24"/>
        </w:rPr>
        <w:t>dator</w:t>
      </w:r>
      <w:r w:rsidR="003D75E9">
        <w:rPr>
          <w:rFonts w:asciiTheme="majorHAnsi" w:eastAsia="Calibri" w:hAnsiTheme="majorHAnsi" w:cstheme="majorHAnsi"/>
          <w:bCs w:val="0"/>
          <w:color w:val="0070C0"/>
          <w:sz w:val="24"/>
          <w:szCs w:val="24"/>
        </w:rPr>
        <w:t>ul</w:t>
      </w:r>
      <w:r w:rsidR="009F7633" w:rsidRPr="008376FC">
        <w:rPr>
          <w:rFonts w:asciiTheme="majorHAnsi" w:eastAsia="Calibri" w:hAnsiTheme="majorHAnsi" w:cstheme="majorHAnsi"/>
          <w:bCs w:val="0"/>
          <w:color w:val="0070C0"/>
          <w:sz w:val="24"/>
          <w:szCs w:val="24"/>
        </w:rPr>
        <w:t xml:space="preserve"> acestora nu corespund prevederilor legale</w:t>
      </w:r>
      <w:r w:rsidR="003D75E9">
        <w:rPr>
          <w:rFonts w:asciiTheme="majorHAnsi" w:eastAsia="Calibri" w:hAnsiTheme="majorHAnsi" w:cstheme="majorHAnsi"/>
          <w:bCs w:val="0"/>
          <w:color w:val="0070C0"/>
          <w:sz w:val="24"/>
          <w:szCs w:val="24"/>
        </w:rPr>
        <w:t>.</w:t>
      </w:r>
    </w:p>
    <w:p w:rsidR="00EE132E" w:rsidRPr="008376FC" w:rsidRDefault="00EE132E"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sz w:val="24"/>
          <w:szCs w:val="24"/>
        </w:rPr>
        <w:t>Conform art. 11 din Legea nr.303/2013,</w:t>
      </w:r>
      <w:r w:rsidRPr="008376FC">
        <w:rPr>
          <w:rFonts w:asciiTheme="majorHAnsi" w:eastAsia="Times New Roman" w:hAnsiTheme="majorHAnsi" w:cstheme="majorHAnsi"/>
          <w:sz w:val="24"/>
          <w:szCs w:val="24"/>
        </w:rPr>
        <w:t xml:space="preserve"> </w:t>
      </w:r>
      <w:r w:rsidRPr="008376FC">
        <w:rPr>
          <w:rFonts w:asciiTheme="majorHAnsi" w:eastAsia="Times New Roman" w:hAnsiTheme="majorHAnsi" w:cstheme="majorHAnsi"/>
          <w:b w:val="0"/>
          <w:bCs w:val="0"/>
          <w:sz w:val="24"/>
          <w:szCs w:val="24"/>
        </w:rPr>
        <w:t>gestiunea serviciului public de alimentare cu apă şi de canalizare se organizează şi se realizează prin gestiune direct</w:t>
      </w:r>
      <w:r w:rsidR="009F7633" w:rsidRPr="008376FC">
        <w:rPr>
          <w:rFonts w:asciiTheme="majorHAnsi" w:eastAsia="Times New Roman" w:hAnsiTheme="majorHAnsi" w:cstheme="majorHAnsi"/>
          <w:b w:val="0"/>
          <w:bCs w:val="0"/>
          <w:sz w:val="24"/>
          <w:szCs w:val="24"/>
        </w:rPr>
        <w:t>ă</w:t>
      </w:r>
      <w:r w:rsidRPr="008376FC">
        <w:rPr>
          <w:rFonts w:asciiTheme="majorHAnsi" w:eastAsia="Times New Roman" w:hAnsiTheme="majorHAnsi" w:cstheme="majorHAnsi"/>
          <w:b w:val="0"/>
          <w:bCs w:val="0"/>
          <w:sz w:val="24"/>
          <w:szCs w:val="24"/>
        </w:rPr>
        <w:t xml:space="preserve"> sau gestiune delegată. Alegerea formei de gestiune a serviciului public de alimentare cu apă şi de canalizare se efectuează prin decizia autorităţilor deliberative ale unităţilor administrativ-teritoriale, în funcţie de natura şi starea serviciului, de necesitatea asigurării celui mai bun raport calitate-preț, de interesele actuale şi de perspectivă ale unităţilor administrativ-teritoriale, precum şi de mărimea şi complexitatea sistemelor aferente serviciului. Forma de gestiune a serviciului de alimentare cu apă și de canalizare se stabilește prin: decizie privind darea în administrare, adoptată de autorităţile deliberative ale unităţilor administrativ-teritoriale, în cazul gestiunii directe și (ii) decizie privind atribuirea şi încheierea contractelor de delegare a gestiunii serviciului, adoptată, respectiv aprobată, după caz, de autorităţile deliberative ale unităţilor administrativ-teritoriale, în cazul gestiunii delegate.</w:t>
      </w:r>
    </w:p>
    <w:p w:rsidR="00EE132E" w:rsidRPr="008376FC" w:rsidRDefault="00EE132E"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Activităţile specifice serviciului de alimentare cu apă şi de canalizare, indiferent de forma de gestiune aleasă, se realizează pe baza unui regulament de organizare și funcționare a serviciului şi a unui caiet de sarcini, elaborate şi aprobate de autorităţile administraţiei publice locale în conformitate cu Regulamentul-cadru de organizare şi funcţionare a serviciului public de alimentare cu apă şi de canalizare</w:t>
      </w:r>
      <w:r w:rsidRPr="008376FC">
        <w:rPr>
          <w:rFonts w:asciiTheme="majorHAnsi" w:eastAsia="Times New Roman" w:hAnsiTheme="majorHAnsi" w:cstheme="majorHAnsi"/>
          <w:b w:val="0"/>
          <w:bCs w:val="0"/>
          <w:sz w:val="24"/>
          <w:szCs w:val="24"/>
          <w:vertAlign w:val="superscript"/>
        </w:rPr>
        <w:footnoteReference w:id="142"/>
      </w:r>
      <w:r w:rsidRPr="008376FC">
        <w:rPr>
          <w:rFonts w:asciiTheme="majorHAnsi" w:eastAsia="Times New Roman" w:hAnsiTheme="majorHAnsi" w:cstheme="majorHAnsi"/>
          <w:b w:val="0"/>
          <w:bCs w:val="0"/>
          <w:sz w:val="24"/>
          <w:szCs w:val="24"/>
        </w:rPr>
        <w:t xml:space="preserve"> și cu Caietul de sarcini-cadru al serviciului public de alimentare cu apă și de canalizare</w:t>
      </w:r>
      <w:r w:rsidRPr="008376FC">
        <w:rPr>
          <w:rFonts w:asciiTheme="majorHAnsi" w:eastAsia="Times New Roman" w:hAnsiTheme="majorHAnsi" w:cstheme="majorHAnsi"/>
          <w:b w:val="0"/>
          <w:bCs w:val="0"/>
          <w:sz w:val="24"/>
          <w:szCs w:val="24"/>
          <w:vertAlign w:val="superscript"/>
        </w:rPr>
        <w:footnoteReference w:id="143"/>
      </w:r>
      <w:r w:rsidRPr="008376FC">
        <w:rPr>
          <w:rFonts w:asciiTheme="majorHAnsi" w:eastAsia="Times New Roman" w:hAnsiTheme="majorHAnsi" w:cstheme="majorHAnsi"/>
          <w:b w:val="0"/>
          <w:bCs w:val="0"/>
          <w:sz w:val="24"/>
          <w:szCs w:val="24"/>
        </w:rPr>
        <w:t>, elaborate de Agenție.</w:t>
      </w:r>
    </w:p>
    <w:p w:rsidR="00EE132E" w:rsidRPr="008376FC" w:rsidRDefault="003D75E9"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Pr>
          <w:rFonts w:asciiTheme="majorHAnsi" w:eastAsia="Times New Roman" w:hAnsiTheme="majorHAnsi" w:cstheme="majorHAnsi"/>
          <w:b w:val="0"/>
          <w:bCs w:val="0"/>
          <w:sz w:val="24"/>
          <w:szCs w:val="24"/>
        </w:rPr>
        <w:t>O m</w:t>
      </w:r>
      <w:r w:rsidR="00EE132E" w:rsidRPr="008376FC">
        <w:rPr>
          <w:rFonts w:asciiTheme="majorHAnsi" w:eastAsia="Times New Roman" w:hAnsiTheme="majorHAnsi" w:cstheme="majorHAnsi"/>
          <w:b w:val="0"/>
          <w:bCs w:val="0"/>
          <w:sz w:val="24"/>
          <w:szCs w:val="24"/>
        </w:rPr>
        <w:t xml:space="preserve">are parte a infrastructurii aferente prestării serviciilor de alimentare cu apă şi de canalizare </w:t>
      </w:r>
      <w:r>
        <w:rPr>
          <w:rFonts w:asciiTheme="majorHAnsi" w:eastAsia="Times New Roman" w:hAnsiTheme="majorHAnsi" w:cstheme="majorHAnsi"/>
          <w:b w:val="0"/>
          <w:bCs w:val="0"/>
          <w:sz w:val="24"/>
          <w:szCs w:val="24"/>
        </w:rPr>
        <w:t>este</w:t>
      </w:r>
      <w:r w:rsidR="00EE132E" w:rsidRPr="008376FC">
        <w:rPr>
          <w:rFonts w:asciiTheme="majorHAnsi" w:eastAsia="Times New Roman" w:hAnsiTheme="majorHAnsi" w:cstheme="majorHAnsi"/>
          <w:b w:val="0"/>
          <w:bCs w:val="0"/>
          <w:sz w:val="24"/>
          <w:szCs w:val="24"/>
        </w:rPr>
        <w:t xml:space="preserve"> transmis</w:t>
      </w:r>
      <w:r>
        <w:rPr>
          <w:rFonts w:asciiTheme="majorHAnsi" w:eastAsia="Times New Roman" w:hAnsiTheme="majorHAnsi" w:cstheme="majorHAnsi"/>
          <w:b w:val="0"/>
          <w:bCs w:val="0"/>
          <w:sz w:val="24"/>
          <w:szCs w:val="24"/>
        </w:rPr>
        <w:t>ă</w:t>
      </w:r>
      <w:r w:rsidR="00EE132E" w:rsidRPr="008376FC">
        <w:rPr>
          <w:rFonts w:asciiTheme="majorHAnsi" w:eastAsia="Times New Roman" w:hAnsiTheme="majorHAnsi" w:cstheme="majorHAnsi"/>
          <w:b w:val="0"/>
          <w:bCs w:val="0"/>
          <w:sz w:val="24"/>
          <w:szCs w:val="24"/>
        </w:rPr>
        <w:t xml:space="preserve"> întreprinderilor în gestiune, astfel urm</w:t>
      </w:r>
      <w:r>
        <w:rPr>
          <w:rFonts w:asciiTheme="majorHAnsi" w:eastAsia="Times New Roman" w:hAnsiTheme="majorHAnsi" w:cstheme="majorHAnsi"/>
          <w:b w:val="0"/>
          <w:bCs w:val="0"/>
          <w:sz w:val="24"/>
          <w:szCs w:val="24"/>
        </w:rPr>
        <w:t>â</w:t>
      </w:r>
      <w:r w:rsidR="00EE132E" w:rsidRPr="008376FC">
        <w:rPr>
          <w:rFonts w:asciiTheme="majorHAnsi" w:eastAsia="Times New Roman" w:hAnsiTheme="majorHAnsi" w:cstheme="majorHAnsi"/>
          <w:b w:val="0"/>
          <w:bCs w:val="0"/>
          <w:sz w:val="24"/>
          <w:szCs w:val="24"/>
        </w:rPr>
        <w:t>nd a fi aplicate regulile aferente gestiunii delegate.</w:t>
      </w:r>
    </w:p>
    <w:p w:rsidR="00EE132E" w:rsidRPr="008376FC" w:rsidRDefault="00EE132E"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Cs w:val="0"/>
          <w:sz w:val="24"/>
          <w:szCs w:val="24"/>
        </w:rPr>
        <w:t>Gestiunea delegată</w:t>
      </w:r>
      <w:r w:rsidRPr="008376FC">
        <w:rPr>
          <w:rFonts w:asciiTheme="majorHAnsi" w:eastAsia="Times New Roman" w:hAnsiTheme="majorHAnsi" w:cstheme="majorHAnsi"/>
          <w:b w:val="0"/>
          <w:bCs w:val="0"/>
          <w:sz w:val="24"/>
          <w:szCs w:val="24"/>
        </w:rPr>
        <w:t xml:space="preserve"> reprezintă modalitatea de gestiune prin care autorităţile administraţiei publice locale sau asociațiile de dezvoltare intercomunitară, după caz, transferă, în baza </w:t>
      </w:r>
      <w:r w:rsidRPr="008376FC">
        <w:rPr>
          <w:rFonts w:asciiTheme="majorHAnsi" w:eastAsia="Times New Roman" w:hAnsiTheme="majorHAnsi" w:cstheme="majorHAnsi"/>
          <w:b w:val="0"/>
          <w:bCs w:val="0"/>
          <w:i/>
          <w:iCs/>
          <w:sz w:val="24"/>
          <w:szCs w:val="24"/>
        </w:rPr>
        <w:t>contractului de delegare a gestiunii</w:t>
      </w:r>
      <w:r w:rsidRPr="008376FC">
        <w:rPr>
          <w:rFonts w:asciiTheme="majorHAnsi" w:eastAsia="Times New Roman" w:hAnsiTheme="majorHAnsi" w:cstheme="majorHAnsi"/>
          <w:b w:val="0"/>
          <w:bCs w:val="0"/>
          <w:sz w:val="24"/>
          <w:szCs w:val="24"/>
        </w:rPr>
        <w:t xml:space="preserve">, unui sau mai multor operatori toate atribuţiile şi responsabilităţile privind furnizarea/prestarea serviciului public de alimentare cu apă şi de canalizare, precum şi </w:t>
      </w:r>
      <w:r w:rsidRPr="008376FC">
        <w:rPr>
          <w:rFonts w:asciiTheme="majorHAnsi" w:eastAsia="Times New Roman" w:hAnsiTheme="majorHAnsi" w:cstheme="majorHAnsi"/>
          <w:bCs w:val="0"/>
          <w:sz w:val="24"/>
          <w:szCs w:val="24"/>
        </w:rPr>
        <w:t xml:space="preserve">administrarea </w:t>
      </w:r>
      <w:r w:rsidRPr="008376FC">
        <w:rPr>
          <w:rFonts w:asciiTheme="majorHAnsi" w:eastAsia="Times New Roman" w:hAnsiTheme="majorHAnsi" w:cstheme="majorHAnsi"/>
          <w:b w:val="0"/>
          <w:bCs w:val="0"/>
          <w:sz w:val="24"/>
          <w:szCs w:val="24"/>
        </w:rPr>
        <w:t>şi exploatarea sistemelor şi infrastructurii tehnico-edilitare aferente acestora. </w:t>
      </w:r>
    </w:p>
    <w:p w:rsidR="00EE132E" w:rsidRPr="008376FC" w:rsidRDefault="00EE132E"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Atribuirea contractelor de del</w:t>
      </w:r>
      <w:r w:rsidR="001A6A3F" w:rsidRPr="008376FC">
        <w:rPr>
          <w:rFonts w:asciiTheme="majorHAnsi" w:eastAsia="Times New Roman" w:hAnsiTheme="majorHAnsi" w:cstheme="majorHAnsi"/>
          <w:b w:val="0"/>
          <w:bCs w:val="0"/>
          <w:sz w:val="24"/>
          <w:szCs w:val="24"/>
        </w:rPr>
        <w:t>egare a gestiunii se efectueaz</w:t>
      </w:r>
      <w:r w:rsidRPr="008376FC">
        <w:rPr>
          <w:rFonts w:asciiTheme="majorHAnsi" w:eastAsia="Times New Roman" w:hAnsiTheme="majorHAnsi" w:cstheme="majorHAnsi"/>
          <w:b w:val="0"/>
          <w:bCs w:val="0"/>
          <w:sz w:val="24"/>
          <w:szCs w:val="24"/>
        </w:rPr>
        <w:t xml:space="preserve">ă prin licitație publică sau negociere directă, organizate în baza Procedurii-cadru privind organizarea, derularea și atribuirea contractelor de delegare a gestiunii serviciului public de alimentare cu apă şi de canalizare, aprobate prin HG nr.506/2019. </w:t>
      </w:r>
    </w:p>
    <w:p w:rsidR="00EE132E" w:rsidRPr="008376FC" w:rsidRDefault="00EE132E"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Contractele de delegare a gestiunii se aprobă prin decizie de atribuire, adoptată de autoritățile deliberative ale UAT.   </w:t>
      </w:r>
    </w:p>
    <w:p w:rsidR="00EE132E" w:rsidRPr="008376FC" w:rsidRDefault="00EE132E"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Operatorul care îşi desfăşoară activitatea în regim de gestiune delegată furnizează/prestează serviciul public de alimentare cu apă şi de canalizare prin exploatarea şi </w:t>
      </w:r>
      <w:r w:rsidRPr="008376FC">
        <w:rPr>
          <w:rFonts w:asciiTheme="majorHAnsi" w:eastAsia="Times New Roman" w:hAnsiTheme="majorHAnsi" w:cstheme="majorHAnsi"/>
          <w:bCs w:val="0"/>
          <w:sz w:val="24"/>
          <w:szCs w:val="24"/>
        </w:rPr>
        <w:t xml:space="preserve">administrarea </w:t>
      </w:r>
      <w:r w:rsidRPr="008376FC">
        <w:rPr>
          <w:rFonts w:asciiTheme="majorHAnsi" w:eastAsia="Times New Roman" w:hAnsiTheme="majorHAnsi" w:cstheme="majorHAnsi"/>
          <w:b w:val="0"/>
          <w:bCs w:val="0"/>
          <w:sz w:val="24"/>
          <w:szCs w:val="24"/>
        </w:rPr>
        <w:t xml:space="preserve">infrastructurii tehnico-edilitare aferente acestuia, în baza contractului de delegare a gestiunii aprobat în modul stabilit şi în baza licenţei eliberate de </w:t>
      </w:r>
      <w:r w:rsidR="001A6A3F" w:rsidRPr="008376FC">
        <w:rPr>
          <w:rFonts w:asciiTheme="majorHAnsi" w:eastAsia="Times New Roman" w:hAnsiTheme="majorHAnsi" w:cstheme="majorHAnsi"/>
          <w:b w:val="0"/>
          <w:bCs w:val="0"/>
          <w:sz w:val="24"/>
          <w:szCs w:val="24"/>
        </w:rPr>
        <w:t>ANRE</w:t>
      </w:r>
      <w:r w:rsidRPr="008376FC">
        <w:rPr>
          <w:rFonts w:asciiTheme="majorHAnsi" w:eastAsia="Times New Roman" w:hAnsiTheme="majorHAnsi" w:cstheme="majorHAnsi"/>
          <w:b w:val="0"/>
          <w:bCs w:val="0"/>
          <w:sz w:val="24"/>
          <w:szCs w:val="24"/>
        </w:rPr>
        <w:t>.</w:t>
      </w:r>
    </w:p>
    <w:p w:rsidR="00EE132E" w:rsidRPr="008376FC" w:rsidRDefault="00EE132E"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Analiza respectării prevederilor Legii  nr.303/2013 a relevat că unele din aceste prevederi nu sunt respectate. Astfel</w:t>
      </w:r>
      <w:r w:rsidR="008D7796">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w:t>
      </w:r>
    </w:p>
    <w:p w:rsidR="00EE132E" w:rsidRPr="008376FC" w:rsidRDefault="008D7796" w:rsidP="00F61756">
      <w:pPr>
        <w:numPr>
          <w:ilvl w:val="0"/>
          <w:numId w:val="23"/>
        </w:numPr>
        <w:shd w:val="clear" w:color="auto" w:fill="FFFFFF"/>
        <w:spacing w:after="0" w:line="276" w:lineRule="auto"/>
        <w:ind w:left="0" w:firstLine="426"/>
        <w:jc w:val="both"/>
        <w:rPr>
          <w:rFonts w:asciiTheme="majorHAnsi" w:eastAsia="Times New Roman" w:hAnsiTheme="majorHAnsi" w:cstheme="majorHAnsi"/>
          <w:bCs w:val="0"/>
          <w:sz w:val="24"/>
          <w:szCs w:val="24"/>
        </w:rPr>
      </w:pPr>
      <w:r>
        <w:rPr>
          <w:rFonts w:asciiTheme="majorHAnsi" w:eastAsia="Times New Roman" w:hAnsiTheme="majorHAnsi" w:cstheme="majorHAnsi"/>
          <w:bCs w:val="0"/>
          <w:sz w:val="24"/>
          <w:szCs w:val="24"/>
        </w:rPr>
        <w:t>n</w:t>
      </w:r>
      <w:r w:rsidR="00EE132E" w:rsidRPr="008376FC">
        <w:rPr>
          <w:rFonts w:asciiTheme="majorHAnsi" w:eastAsia="Times New Roman" w:hAnsiTheme="majorHAnsi" w:cstheme="majorHAnsi"/>
          <w:bCs w:val="0"/>
          <w:sz w:val="24"/>
          <w:szCs w:val="24"/>
        </w:rPr>
        <w:t>u toți operatorii serviciilor de AAC d</w:t>
      </w:r>
      <w:r w:rsidR="00162C74">
        <w:rPr>
          <w:rFonts w:asciiTheme="majorHAnsi" w:eastAsia="Times New Roman" w:hAnsiTheme="majorHAnsi" w:cstheme="majorHAnsi"/>
          <w:bCs w:val="0"/>
          <w:sz w:val="24"/>
          <w:szCs w:val="24"/>
        </w:rPr>
        <w:t>i</w:t>
      </w:r>
      <w:r w:rsidR="00EE132E" w:rsidRPr="008376FC">
        <w:rPr>
          <w:rFonts w:asciiTheme="majorHAnsi" w:eastAsia="Times New Roman" w:hAnsiTheme="majorHAnsi" w:cstheme="majorHAnsi"/>
          <w:bCs w:val="0"/>
          <w:sz w:val="24"/>
          <w:szCs w:val="24"/>
        </w:rPr>
        <w:t>spun de licența ANRE</w:t>
      </w:r>
      <w:r w:rsidR="00135B17">
        <w:rPr>
          <w:rStyle w:val="ab"/>
          <w:rFonts w:asciiTheme="majorHAnsi" w:eastAsia="Times New Roman" w:hAnsiTheme="majorHAnsi" w:cstheme="majorHAnsi"/>
          <w:bCs w:val="0"/>
          <w:sz w:val="24"/>
          <w:szCs w:val="24"/>
        </w:rPr>
        <w:footnoteReference w:id="144"/>
      </w:r>
      <w:r w:rsidR="00162C74">
        <w:rPr>
          <w:rFonts w:asciiTheme="majorHAnsi" w:eastAsia="Times New Roman" w:hAnsiTheme="majorHAnsi" w:cstheme="majorHAnsi"/>
          <w:bCs w:val="0"/>
          <w:sz w:val="24"/>
          <w:szCs w:val="24"/>
        </w:rPr>
        <w:t>.</w:t>
      </w:r>
    </w:p>
    <w:p w:rsidR="00EE132E" w:rsidRPr="008376FC" w:rsidRDefault="00EE132E"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Deși </w:t>
      </w:r>
      <w:r w:rsidR="00162C74">
        <w:rPr>
          <w:rFonts w:asciiTheme="majorHAnsi" w:eastAsia="Times New Roman" w:hAnsiTheme="majorHAnsi" w:cstheme="majorHAnsi"/>
          <w:b w:val="0"/>
          <w:bCs w:val="0"/>
          <w:sz w:val="24"/>
          <w:szCs w:val="24"/>
        </w:rPr>
        <w:t>o</w:t>
      </w:r>
      <w:r w:rsidRPr="008376FC">
        <w:rPr>
          <w:rFonts w:asciiTheme="majorHAnsi" w:eastAsia="Times New Roman" w:hAnsiTheme="majorHAnsi" w:cstheme="majorHAnsi"/>
          <w:b w:val="0"/>
          <w:bCs w:val="0"/>
          <w:sz w:val="24"/>
          <w:szCs w:val="24"/>
        </w:rPr>
        <w:t xml:space="preserve">peratorul care îşi desfăşoară activitatea în regim de gestiune delegată este obligat să furnizeze/presteze serviciul public de alimentare cu apă şi de canalizare prin exploatarea şi </w:t>
      </w:r>
      <w:r w:rsidRPr="008376FC">
        <w:rPr>
          <w:rFonts w:asciiTheme="majorHAnsi" w:eastAsia="Times New Roman" w:hAnsiTheme="majorHAnsi" w:cstheme="majorHAnsi"/>
          <w:bCs w:val="0"/>
          <w:sz w:val="24"/>
          <w:szCs w:val="24"/>
        </w:rPr>
        <w:t xml:space="preserve">administrarea </w:t>
      </w:r>
      <w:r w:rsidRPr="008376FC">
        <w:rPr>
          <w:rFonts w:asciiTheme="majorHAnsi" w:eastAsia="Times New Roman" w:hAnsiTheme="majorHAnsi" w:cstheme="majorHAnsi"/>
          <w:b w:val="0"/>
          <w:bCs w:val="0"/>
          <w:sz w:val="24"/>
          <w:szCs w:val="24"/>
        </w:rPr>
        <w:t xml:space="preserve">infrastructurii tehnico-edilitare aferente acestuia, în baza contractului de delegare a gestiunii aprobat în modul stabilit şi în baza licenţei eliberate de Agenţie, acest criteriu nu este respectat de toate APL și </w:t>
      </w:r>
      <w:r w:rsidR="00162C74">
        <w:rPr>
          <w:rFonts w:asciiTheme="majorHAnsi" w:eastAsia="Times New Roman" w:hAnsiTheme="majorHAnsi" w:cstheme="majorHAnsi"/>
          <w:b w:val="0"/>
          <w:bCs w:val="0"/>
          <w:sz w:val="24"/>
          <w:szCs w:val="24"/>
        </w:rPr>
        <w:t xml:space="preserve">de </w:t>
      </w:r>
      <w:r w:rsidRPr="008376FC">
        <w:rPr>
          <w:rFonts w:asciiTheme="majorHAnsi" w:eastAsia="Times New Roman" w:hAnsiTheme="majorHAnsi" w:cstheme="majorHAnsi"/>
          <w:b w:val="0"/>
          <w:bCs w:val="0"/>
          <w:sz w:val="24"/>
          <w:szCs w:val="24"/>
        </w:rPr>
        <w:t>operatorii de servicii respective.</w:t>
      </w:r>
    </w:p>
    <w:p w:rsidR="007D322F" w:rsidRDefault="00EE132E" w:rsidP="00E916FF">
      <w:pPr>
        <w:shd w:val="clear" w:color="auto" w:fill="FFFFFF"/>
        <w:spacing w:after="0" w:line="276" w:lineRule="auto"/>
        <w:jc w:val="both"/>
        <w:rPr>
          <w:rFonts w:asciiTheme="majorHAnsi" w:eastAsia="Times New Roman" w:hAnsiTheme="majorHAnsi" w:cstheme="majorHAnsi"/>
          <w:sz w:val="20"/>
          <w:szCs w:val="20"/>
        </w:rPr>
      </w:pPr>
      <w:r w:rsidRPr="008376FC">
        <w:rPr>
          <w:rFonts w:asciiTheme="majorHAnsi" w:eastAsia="Times New Roman" w:hAnsiTheme="majorHAnsi" w:cstheme="majorHAnsi"/>
          <w:b w:val="0"/>
          <w:bCs w:val="0"/>
          <w:sz w:val="24"/>
          <w:szCs w:val="24"/>
        </w:rPr>
        <w:t>Astfel, conform informațiilor BNS, în anii 2016-2021 numărul operatorilor care raportează BNS administrarea/gestiun</w:t>
      </w:r>
      <w:r w:rsidR="001A6A3F" w:rsidRPr="008376FC">
        <w:rPr>
          <w:rFonts w:asciiTheme="majorHAnsi" w:eastAsia="Times New Roman" w:hAnsiTheme="majorHAnsi" w:cstheme="majorHAnsi"/>
          <w:b w:val="0"/>
          <w:bCs w:val="0"/>
          <w:sz w:val="24"/>
          <w:szCs w:val="24"/>
        </w:rPr>
        <w:t>e</w:t>
      </w:r>
      <w:r w:rsidRPr="008376FC">
        <w:rPr>
          <w:rFonts w:asciiTheme="majorHAnsi" w:eastAsia="Times New Roman" w:hAnsiTheme="majorHAnsi" w:cstheme="majorHAnsi"/>
          <w:b w:val="0"/>
          <w:bCs w:val="0"/>
          <w:sz w:val="24"/>
          <w:szCs w:val="24"/>
        </w:rPr>
        <w:t>a sistemelor sau rețel</w:t>
      </w:r>
      <w:r w:rsidR="001A6A3F" w:rsidRPr="008376FC">
        <w:rPr>
          <w:rFonts w:asciiTheme="majorHAnsi" w:eastAsia="Times New Roman" w:hAnsiTheme="majorHAnsi" w:cstheme="majorHAnsi"/>
          <w:b w:val="0"/>
          <w:bCs w:val="0"/>
          <w:sz w:val="24"/>
          <w:szCs w:val="24"/>
        </w:rPr>
        <w:t>e</w:t>
      </w:r>
      <w:r w:rsidRPr="008376FC">
        <w:rPr>
          <w:rFonts w:asciiTheme="majorHAnsi" w:eastAsia="Times New Roman" w:hAnsiTheme="majorHAnsi" w:cstheme="majorHAnsi"/>
          <w:b w:val="0"/>
          <w:bCs w:val="0"/>
          <w:sz w:val="24"/>
          <w:szCs w:val="24"/>
        </w:rPr>
        <w:t xml:space="preserve">lor de alimentare cu apă și </w:t>
      </w:r>
      <w:r w:rsidR="00162C74">
        <w:rPr>
          <w:rFonts w:asciiTheme="majorHAnsi" w:eastAsia="Times New Roman" w:hAnsiTheme="majorHAnsi" w:cstheme="majorHAnsi"/>
          <w:b w:val="0"/>
          <w:bCs w:val="0"/>
          <w:sz w:val="24"/>
          <w:szCs w:val="24"/>
        </w:rPr>
        <w:t xml:space="preserve">de </w:t>
      </w:r>
      <w:r w:rsidRPr="008376FC">
        <w:rPr>
          <w:rFonts w:asciiTheme="majorHAnsi" w:eastAsia="Times New Roman" w:hAnsiTheme="majorHAnsi" w:cstheme="majorHAnsi"/>
          <w:b w:val="0"/>
          <w:bCs w:val="0"/>
          <w:sz w:val="24"/>
          <w:szCs w:val="24"/>
        </w:rPr>
        <w:t>canalizare a va</w:t>
      </w:r>
      <w:r w:rsidR="001A6A3F" w:rsidRPr="008376FC">
        <w:rPr>
          <w:rFonts w:asciiTheme="majorHAnsi" w:eastAsia="Times New Roman" w:hAnsiTheme="majorHAnsi" w:cstheme="majorHAnsi"/>
          <w:b w:val="0"/>
          <w:bCs w:val="0"/>
          <w:sz w:val="24"/>
          <w:szCs w:val="24"/>
        </w:rPr>
        <w:t>r</w:t>
      </w:r>
      <w:r w:rsidRPr="008376FC">
        <w:rPr>
          <w:rFonts w:asciiTheme="majorHAnsi" w:eastAsia="Times New Roman" w:hAnsiTheme="majorHAnsi" w:cstheme="majorHAnsi"/>
          <w:b w:val="0"/>
          <w:bCs w:val="0"/>
          <w:sz w:val="24"/>
          <w:szCs w:val="24"/>
        </w:rPr>
        <w:t>iat între 614-685 și</w:t>
      </w:r>
      <w:r w:rsidR="00162C74">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respectiv</w:t>
      </w:r>
      <w:r w:rsidR="00162C74">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98-105, pe c</w:t>
      </w:r>
      <w:r w:rsidR="00162C74">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nd conform datelor ANRE</w:t>
      </w:r>
      <w:r w:rsidR="00162C74">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de Licențe dispun doar 44 de operatori de servicii. </w:t>
      </w:r>
    </w:p>
    <w:p w:rsidR="00EE132E" w:rsidRPr="008376FC" w:rsidRDefault="00EE132E" w:rsidP="00F61756">
      <w:pPr>
        <w:shd w:val="clear" w:color="auto" w:fill="FFFFFF"/>
        <w:spacing w:after="0" w:line="276" w:lineRule="auto"/>
        <w:ind w:firstLine="539"/>
        <w:jc w:val="right"/>
        <w:rPr>
          <w:rFonts w:asciiTheme="majorHAnsi" w:eastAsia="Times New Roman" w:hAnsiTheme="majorHAnsi" w:cstheme="majorHAnsi"/>
          <w:b w:val="0"/>
          <w:bCs w:val="0"/>
          <w:sz w:val="24"/>
          <w:szCs w:val="24"/>
        </w:rPr>
      </w:pPr>
      <w:r w:rsidRPr="008376FC">
        <w:rPr>
          <w:rFonts w:asciiTheme="majorHAnsi" w:eastAsia="Times New Roman" w:hAnsiTheme="majorHAnsi" w:cstheme="majorHAnsi"/>
          <w:sz w:val="20"/>
          <w:szCs w:val="20"/>
        </w:rPr>
        <w:t xml:space="preserve">Figura nr. </w:t>
      </w:r>
      <w:r w:rsidR="004C246F" w:rsidRPr="008376FC">
        <w:rPr>
          <w:rFonts w:asciiTheme="majorHAnsi" w:eastAsia="Times New Roman" w:hAnsiTheme="majorHAnsi" w:cstheme="majorHAnsi"/>
          <w:sz w:val="20"/>
          <w:szCs w:val="20"/>
        </w:rPr>
        <w:t>4</w:t>
      </w:r>
      <w:r w:rsidR="00D91526" w:rsidRPr="008376FC">
        <w:rPr>
          <w:rFonts w:asciiTheme="majorHAnsi" w:eastAsia="Times New Roman" w:hAnsiTheme="majorHAnsi" w:cstheme="majorHAnsi"/>
          <w:sz w:val="20"/>
          <w:szCs w:val="20"/>
        </w:rPr>
        <w:t>6</w:t>
      </w:r>
    </w:p>
    <w:p w:rsidR="00EE132E" w:rsidRPr="008376FC" w:rsidRDefault="00EE132E" w:rsidP="00E916FF">
      <w:pPr>
        <w:shd w:val="clear" w:color="auto" w:fill="FFFFFF"/>
        <w:spacing w:after="0" w:line="276" w:lineRule="auto"/>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noProof/>
          <w:sz w:val="24"/>
          <w:szCs w:val="24"/>
          <w:lang w:val="ru-RU" w:eastAsia="ru-RU"/>
        </w:rPr>
        <w:drawing>
          <wp:inline distT="0" distB="0" distL="0" distR="0">
            <wp:extent cx="6131169" cy="1647092"/>
            <wp:effectExtent l="0" t="0" r="3175" b="10795"/>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EE132E" w:rsidRPr="00E24AA6" w:rsidRDefault="00EE132E" w:rsidP="00F61756">
      <w:pPr>
        <w:shd w:val="clear" w:color="auto" w:fill="FFFFFF"/>
        <w:spacing w:after="0" w:line="276" w:lineRule="auto"/>
        <w:ind w:firstLine="540"/>
        <w:jc w:val="both"/>
        <w:rPr>
          <w:rFonts w:asciiTheme="majorHAnsi" w:eastAsia="Times New Roman" w:hAnsiTheme="majorHAnsi" w:cstheme="majorHAnsi"/>
          <w:b w:val="0"/>
          <w:bCs w:val="0"/>
          <w:i/>
          <w:sz w:val="20"/>
          <w:szCs w:val="20"/>
        </w:rPr>
      </w:pPr>
      <w:r w:rsidRPr="00E24AA6">
        <w:rPr>
          <w:rFonts w:asciiTheme="majorHAnsi" w:eastAsia="Times New Roman" w:hAnsiTheme="majorHAnsi" w:cstheme="majorHAnsi"/>
          <w:bCs w:val="0"/>
          <w:i/>
          <w:sz w:val="20"/>
          <w:szCs w:val="20"/>
        </w:rPr>
        <w:t>Sursa:</w:t>
      </w:r>
      <w:r w:rsidRPr="00E24AA6">
        <w:rPr>
          <w:rFonts w:asciiTheme="majorHAnsi" w:eastAsia="Times New Roman" w:hAnsiTheme="majorHAnsi" w:cstheme="majorHAnsi"/>
          <w:b w:val="0"/>
          <w:bCs w:val="0"/>
          <w:i/>
          <w:sz w:val="20"/>
          <w:szCs w:val="20"/>
        </w:rPr>
        <w:t xml:space="preserve"> Date</w:t>
      </w:r>
      <w:r w:rsidR="00162C74">
        <w:rPr>
          <w:rFonts w:asciiTheme="majorHAnsi" w:eastAsia="Times New Roman" w:hAnsiTheme="majorHAnsi" w:cstheme="majorHAnsi"/>
          <w:b w:val="0"/>
          <w:bCs w:val="0"/>
          <w:i/>
          <w:sz w:val="20"/>
          <w:szCs w:val="20"/>
        </w:rPr>
        <w:t xml:space="preserve"> oferite de</w:t>
      </w:r>
      <w:r w:rsidRPr="00E24AA6">
        <w:rPr>
          <w:rFonts w:asciiTheme="majorHAnsi" w:eastAsia="Times New Roman" w:hAnsiTheme="majorHAnsi" w:cstheme="majorHAnsi"/>
          <w:b w:val="0"/>
          <w:bCs w:val="0"/>
          <w:i/>
          <w:sz w:val="20"/>
          <w:szCs w:val="20"/>
        </w:rPr>
        <w:t xml:space="preserve"> BNS și ANRE.</w:t>
      </w:r>
    </w:p>
    <w:p w:rsidR="00EE132E" w:rsidRPr="008376FC" w:rsidRDefault="00EE132E"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p>
    <w:p w:rsidR="00EE132E" w:rsidRPr="008376FC" w:rsidRDefault="00EE132E"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În scopul conformării la prevederile cadrului r</w:t>
      </w:r>
      <w:r w:rsidR="001A6A3F" w:rsidRPr="008376FC">
        <w:rPr>
          <w:rFonts w:asciiTheme="majorHAnsi" w:eastAsia="Times New Roman" w:hAnsiTheme="majorHAnsi" w:cstheme="majorHAnsi"/>
          <w:b w:val="0"/>
          <w:bCs w:val="0"/>
          <w:sz w:val="24"/>
          <w:szCs w:val="24"/>
        </w:rPr>
        <w:t>egulator, APL urmează să efectu</w:t>
      </w:r>
      <w:r w:rsidRPr="008376FC">
        <w:rPr>
          <w:rFonts w:asciiTheme="majorHAnsi" w:eastAsia="Times New Roman" w:hAnsiTheme="majorHAnsi" w:cstheme="majorHAnsi"/>
          <w:b w:val="0"/>
          <w:bCs w:val="0"/>
          <w:sz w:val="24"/>
          <w:szCs w:val="24"/>
        </w:rPr>
        <w:t xml:space="preserve">eze o inventariere a tururor contractelor încheiate anterior cu operatorii serviciilor de alimentare cu apă și </w:t>
      </w:r>
      <w:r w:rsidR="00162C74">
        <w:rPr>
          <w:rFonts w:asciiTheme="majorHAnsi" w:eastAsia="Times New Roman" w:hAnsiTheme="majorHAnsi" w:cstheme="majorHAnsi"/>
          <w:b w:val="0"/>
          <w:bCs w:val="0"/>
          <w:sz w:val="24"/>
          <w:szCs w:val="24"/>
        </w:rPr>
        <w:t xml:space="preserve">de </w:t>
      </w:r>
      <w:r w:rsidRPr="008376FC">
        <w:rPr>
          <w:rFonts w:asciiTheme="majorHAnsi" w:eastAsia="Times New Roman" w:hAnsiTheme="majorHAnsi" w:cstheme="majorHAnsi"/>
          <w:b w:val="0"/>
          <w:bCs w:val="0"/>
          <w:sz w:val="24"/>
          <w:szCs w:val="24"/>
        </w:rPr>
        <w:t>canalizare, pentru indentificarea operatorilor cu care în anii precedenți au fost încheiate contract</w:t>
      </w:r>
      <w:r w:rsidR="001A6A3F" w:rsidRPr="008376FC">
        <w:rPr>
          <w:rFonts w:asciiTheme="majorHAnsi" w:eastAsia="Times New Roman" w:hAnsiTheme="majorHAnsi" w:cstheme="majorHAnsi"/>
          <w:b w:val="0"/>
          <w:bCs w:val="0"/>
          <w:sz w:val="24"/>
          <w:szCs w:val="24"/>
        </w:rPr>
        <w:t>e</w:t>
      </w:r>
      <w:r w:rsidRPr="008376FC">
        <w:rPr>
          <w:rFonts w:asciiTheme="majorHAnsi" w:eastAsia="Times New Roman" w:hAnsiTheme="majorHAnsi" w:cstheme="majorHAnsi"/>
          <w:b w:val="0"/>
          <w:bCs w:val="0"/>
          <w:sz w:val="24"/>
          <w:szCs w:val="24"/>
        </w:rPr>
        <w:t xml:space="preserve">le </w:t>
      </w:r>
      <w:r w:rsidR="001A6A3F" w:rsidRPr="008376FC">
        <w:rPr>
          <w:rFonts w:asciiTheme="majorHAnsi" w:eastAsia="Times New Roman" w:hAnsiTheme="majorHAnsi" w:cstheme="majorHAnsi"/>
          <w:b w:val="0"/>
          <w:bCs w:val="0"/>
          <w:sz w:val="24"/>
          <w:szCs w:val="24"/>
        </w:rPr>
        <w:t xml:space="preserve">de </w:t>
      </w:r>
      <w:r w:rsidRPr="008376FC">
        <w:rPr>
          <w:rFonts w:asciiTheme="majorHAnsi" w:eastAsia="Times New Roman" w:hAnsiTheme="majorHAnsi" w:cstheme="majorHAnsi"/>
          <w:b w:val="0"/>
          <w:bCs w:val="0"/>
          <w:sz w:val="24"/>
          <w:szCs w:val="24"/>
        </w:rPr>
        <w:t>gestiune delegată care nu sunt conforme cu  prevederile Legii nr.133/2013, și parcurgerea pașilor prevăzuți în Legea respectivă și alte acte conexe, incl</w:t>
      </w:r>
      <w:r w:rsidR="001A6A3F" w:rsidRPr="008376FC">
        <w:rPr>
          <w:rFonts w:asciiTheme="majorHAnsi" w:eastAsia="Times New Roman" w:hAnsiTheme="majorHAnsi" w:cstheme="majorHAnsi"/>
          <w:b w:val="0"/>
          <w:bCs w:val="0"/>
          <w:sz w:val="24"/>
          <w:szCs w:val="24"/>
        </w:rPr>
        <w:t>u</w:t>
      </w:r>
      <w:r w:rsidRPr="008376FC">
        <w:rPr>
          <w:rFonts w:asciiTheme="majorHAnsi" w:eastAsia="Times New Roman" w:hAnsiTheme="majorHAnsi" w:cstheme="majorHAnsi"/>
          <w:b w:val="0"/>
          <w:bCs w:val="0"/>
          <w:sz w:val="24"/>
          <w:szCs w:val="24"/>
        </w:rPr>
        <w:t>siv obținerea, după caz, a licențelor ANRE</w:t>
      </w:r>
      <w:r w:rsidR="00162C74">
        <w:rPr>
          <w:rFonts w:asciiTheme="majorHAnsi" w:eastAsia="Times New Roman" w:hAnsiTheme="majorHAnsi" w:cstheme="majorHAnsi"/>
          <w:b w:val="0"/>
          <w:bCs w:val="0"/>
          <w:sz w:val="24"/>
          <w:szCs w:val="24"/>
        </w:rPr>
        <w:t>;</w:t>
      </w:r>
    </w:p>
    <w:p w:rsidR="00EE132E" w:rsidRPr="008376FC" w:rsidRDefault="00162C74" w:rsidP="00F61756">
      <w:pPr>
        <w:numPr>
          <w:ilvl w:val="0"/>
          <w:numId w:val="24"/>
        </w:numPr>
        <w:shd w:val="clear" w:color="auto" w:fill="FFFFFF"/>
        <w:spacing w:after="0" w:line="276" w:lineRule="auto"/>
        <w:ind w:left="0" w:firstLine="284"/>
        <w:jc w:val="both"/>
        <w:rPr>
          <w:rFonts w:asciiTheme="majorHAnsi" w:eastAsia="Times New Roman" w:hAnsiTheme="majorHAnsi" w:cstheme="majorHAnsi"/>
          <w:bCs w:val="0"/>
          <w:sz w:val="24"/>
          <w:szCs w:val="24"/>
        </w:rPr>
      </w:pPr>
      <w:r>
        <w:rPr>
          <w:rFonts w:asciiTheme="majorHAnsi" w:eastAsia="Times New Roman" w:hAnsiTheme="majorHAnsi" w:cstheme="majorHAnsi"/>
          <w:bCs w:val="0"/>
          <w:sz w:val="24"/>
          <w:szCs w:val="24"/>
        </w:rPr>
        <w:t>n</w:t>
      </w:r>
      <w:r w:rsidR="00EE132E" w:rsidRPr="008376FC">
        <w:rPr>
          <w:rFonts w:asciiTheme="majorHAnsi" w:eastAsia="Times New Roman" w:hAnsiTheme="majorHAnsi" w:cstheme="majorHAnsi"/>
          <w:bCs w:val="0"/>
          <w:sz w:val="24"/>
          <w:szCs w:val="24"/>
        </w:rPr>
        <w:t>u toate contracte</w:t>
      </w:r>
      <w:r w:rsidR="001A6A3F" w:rsidRPr="008376FC">
        <w:rPr>
          <w:rFonts w:asciiTheme="majorHAnsi" w:eastAsia="Times New Roman" w:hAnsiTheme="majorHAnsi" w:cstheme="majorHAnsi"/>
          <w:bCs w:val="0"/>
          <w:sz w:val="24"/>
          <w:szCs w:val="24"/>
        </w:rPr>
        <w:t>le</w:t>
      </w:r>
      <w:r w:rsidR="00EE132E" w:rsidRPr="008376FC">
        <w:rPr>
          <w:rFonts w:asciiTheme="majorHAnsi" w:eastAsia="Times New Roman" w:hAnsiTheme="majorHAnsi" w:cstheme="majorHAnsi"/>
          <w:bCs w:val="0"/>
          <w:sz w:val="24"/>
          <w:szCs w:val="24"/>
        </w:rPr>
        <w:t xml:space="preserve"> de gestiune delegat</w:t>
      </w:r>
      <w:r w:rsidR="00C64DA4">
        <w:rPr>
          <w:rFonts w:asciiTheme="majorHAnsi" w:eastAsia="Times New Roman" w:hAnsiTheme="majorHAnsi" w:cstheme="majorHAnsi"/>
          <w:bCs w:val="0"/>
          <w:sz w:val="24"/>
          <w:szCs w:val="24"/>
        </w:rPr>
        <w:t>ă</w:t>
      </w:r>
      <w:r w:rsidR="00EE132E" w:rsidRPr="008376FC">
        <w:rPr>
          <w:rFonts w:asciiTheme="majorHAnsi" w:eastAsia="Times New Roman" w:hAnsiTheme="majorHAnsi" w:cstheme="majorHAnsi"/>
          <w:bCs w:val="0"/>
          <w:sz w:val="24"/>
          <w:szCs w:val="24"/>
        </w:rPr>
        <w:t xml:space="preserve"> sunt încheiate cu respectarea prevederilor cadrului regulator</w:t>
      </w:r>
      <w:r>
        <w:rPr>
          <w:rFonts w:asciiTheme="majorHAnsi" w:eastAsia="Times New Roman" w:hAnsiTheme="majorHAnsi" w:cstheme="majorHAnsi"/>
          <w:bCs w:val="0"/>
          <w:sz w:val="24"/>
          <w:szCs w:val="24"/>
        </w:rPr>
        <w:t>.</w:t>
      </w:r>
      <w:r w:rsidR="00EE132E" w:rsidRPr="008376FC">
        <w:rPr>
          <w:rFonts w:asciiTheme="majorHAnsi" w:eastAsia="Times New Roman" w:hAnsiTheme="majorHAnsi" w:cstheme="majorHAnsi"/>
          <w:bCs w:val="0"/>
          <w:sz w:val="24"/>
          <w:szCs w:val="24"/>
        </w:rPr>
        <w:t xml:space="preserve">  </w:t>
      </w:r>
    </w:p>
    <w:p w:rsidR="00EE132E" w:rsidRPr="008376FC" w:rsidRDefault="00EE132E"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Conform art.13 alin.(7) din Legea nr.303/2013, delegarea gestiunii se efectuează în baz</w:t>
      </w:r>
      <w:r w:rsidR="00162C74">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z w:val="24"/>
          <w:szCs w:val="24"/>
        </w:rPr>
        <w:t xml:space="preserve"> Contractului de delegare a gestiunii, care ur</w:t>
      </w:r>
      <w:r w:rsidR="001A6A3F" w:rsidRPr="008376FC">
        <w:rPr>
          <w:rFonts w:asciiTheme="majorHAnsi" w:eastAsia="Times New Roman" w:hAnsiTheme="majorHAnsi" w:cstheme="majorHAnsi"/>
          <w:b w:val="0"/>
          <w:bCs w:val="0"/>
          <w:sz w:val="24"/>
          <w:szCs w:val="24"/>
        </w:rPr>
        <w:t>m</w:t>
      </w:r>
      <w:r w:rsidRPr="008376FC">
        <w:rPr>
          <w:rFonts w:asciiTheme="majorHAnsi" w:eastAsia="Times New Roman" w:hAnsiTheme="majorHAnsi" w:cstheme="majorHAnsi"/>
          <w:b w:val="0"/>
          <w:bCs w:val="0"/>
          <w:sz w:val="24"/>
          <w:szCs w:val="24"/>
        </w:rPr>
        <w:t>ează a fi însoţit obligatoriu de următoarele anexe:  (i) caietul de sarcini privind furnizarea/prestarea serviciului, (ii) Regulamentul de organizare și funcționare a serviciului public de alimentare cu apă şi de canalizare, (iii)  inventarul bunurilor mobile şi imobile, proprietate publică sau privată a unităţilor administrativ-teritoriale afere</w:t>
      </w:r>
      <w:r w:rsidR="001A6A3F" w:rsidRPr="008376FC">
        <w:rPr>
          <w:rFonts w:asciiTheme="majorHAnsi" w:eastAsia="Times New Roman" w:hAnsiTheme="majorHAnsi" w:cstheme="majorHAnsi"/>
          <w:b w:val="0"/>
          <w:bCs w:val="0"/>
          <w:sz w:val="24"/>
          <w:szCs w:val="24"/>
        </w:rPr>
        <w:t>nte serviciului furnizat/presta</w:t>
      </w:r>
      <w:r w:rsidRPr="008376FC">
        <w:rPr>
          <w:rFonts w:asciiTheme="majorHAnsi" w:eastAsia="Times New Roman" w:hAnsiTheme="majorHAnsi" w:cstheme="majorHAnsi"/>
          <w:b w:val="0"/>
          <w:bCs w:val="0"/>
          <w:sz w:val="24"/>
          <w:szCs w:val="24"/>
        </w:rPr>
        <w:t>t, (iv) procesul-verbal de predare-preluare a bunurilor.</w:t>
      </w:r>
    </w:p>
    <w:p w:rsidR="00EE132E" w:rsidRPr="008376FC" w:rsidRDefault="00EE132E" w:rsidP="00F61756">
      <w:pPr>
        <w:shd w:val="clear" w:color="auto" w:fill="FFFFFF"/>
        <w:spacing w:after="0" w:line="276" w:lineRule="auto"/>
        <w:ind w:firstLine="540"/>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rPr>
        <w:t>Analiza res</w:t>
      </w:r>
      <w:r w:rsidR="006B1575" w:rsidRPr="008376FC">
        <w:rPr>
          <w:rFonts w:asciiTheme="majorHAnsi" w:eastAsia="Times New Roman" w:hAnsiTheme="majorHAnsi" w:cstheme="majorHAnsi"/>
          <w:b w:val="0"/>
          <w:bCs w:val="0"/>
          <w:sz w:val="24"/>
          <w:szCs w:val="24"/>
        </w:rPr>
        <w:t>pectării acestei norme a releva</w:t>
      </w:r>
      <w:r w:rsidRPr="008376FC">
        <w:rPr>
          <w:rFonts w:asciiTheme="majorHAnsi" w:eastAsia="Times New Roman" w:hAnsiTheme="majorHAnsi" w:cstheme="majorHAnsi"/>
          <w:b w:val="0"/>
          <w:bCs w:val="0"/>
          <w:sz w:val="24"/>
          <w:szCs w:val="24"/>
        </w:rPr>
        <w:t>t că</w:t>
      </w:r>
      <w:r w:rsidR="00C64DA4">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o parte din contractele de gestiune delegată nu sunt întocmite în conformitate cu norma respectivă, deşi, conform art.39 alin.(7) </w:t>
      </w:r>
      <w:r w:rsidR="00162C74">
        <w:rPr>
          <w:rFonts w:asciiTheme="majorHAnsi" w:eastAsia="Times New Roman" w:hAnsiTheme="majorHAnsi" w:cstheme="majorHAnsi"/>
          <w:b w:val="0"/>
          <w:bCs w:val="0"/>
          <w:sz w:val="24"/>
          <w:szCs w:val="24"/>
        </w:rPr>
        <w:t xml:space="preserve">din Legea </w:t>
      </w:r>
      <w:r w:rsidR="00162C74" w:rsidRPr="008376FC">
        <w:rPr>
          <w:rFonts w:asciiTheme="majorHAnsi" w:eastAsia="Times New Roman" w:hAnsiTheme="majorHAnsi" w:cstheme="majorHAnsi"/>
          <w:b w:val="0"/>
          <w:bCs w:val="0"/>
          <w:sz w:val="24"/>
          <w:szCs w:val="24"/>
          <w:shd w:val="clear" w:color="auto" w:fill="FFFFFF"/>
        </w:rPr>
        <w:t xml:space="preserve">nr. </w:t>
      </w:r>
      <w:r w:rsidR="003864FD" w:rsidRPr="008376FC">
        <w:rPr>
          <w:rFonts w:asciiTheme="majorHAnsi" w:eastAsia="Times New Roman" w:hAnsiTheme="majorHAnsi" w:cstheme="majorHAnsi"/>
          <w:b w:val="0"/>
          <w:bCs w:val="0"/>
          <w:sz w:val="24"/>
          <w:szCs w:val="24"/>
          <w:shd w:val="clear" w:color="auto" w:fill="FFFFFF"/>
        </w:rPr>
        <w:t>303/2013</w:t>
      </w:r>
      <w:r w:rsidR="00162C74">
        <w:rPr>
          <w:rFonts w:asciiTheme="majorHAnsi" w:eastAsia="Times New Roman" w:hAnsiTheme="majorHAnsi" w:cstheme="majorHAnsi"/>
          <w:b w:val="0"/>
          <w:bCs w:val="0"/>
          <w:sz w:val="24"/>
          <w:szCs w:val="24"/>
          <w:shd w:val="clear" w:color="auto" w:fill="FFFFFF"/>
        </w:rPr>
        <w:t>,</w:t>
      </w:r>
      <w:r w:rsidR="00162C74">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sz w:val="24"/>
          <w:szCs w:val="24"/>
          <w:shd w:val="clear" w:color="auto" w:fill="FFFFFF"/>
        </w:rPr>
        <w:t xml:space="preserve">ANRE şi APL, în termen de 6 luni de la data publicării </w:t>
      </w:r>
      <w:r w:rsidR="00125453">
        <w:rPr>
          <w:rFonts w:asciiTheme="majorHAnsi" w:eastAsia="Times New Roman" w:hAnsiTheme="majorHAnsi" w:cstheme="majorHAnsi"/>
          <w:b w:val="0"/>
          <w:bCs w:val="0"/>
          <w:sz w:val="24"/>
          <w:szCs w:val="24"/>
          <w:shd w:val="clear" w:color="auto" w:fill="FFFFFF"/>
        </w:rPr>
        <w:t>L</w:t>
      </w:r>
      <w:r w:rsidRPr="008376FC">
        <w:rPr>
          <w:rFonts w:asciiTheme="majorHAnsi" w:eastAsia="Times New Roman" w:hAnsiTheme="majorHAnsi" w:cstheme="majorHAnsi"/>
          <w:b w:val="0"/>
          <w:bCs w:val="0"/>
          <w:sz w:val="24"/>
          <w:szCs w:val="24"/>
          <w:shd w:val="clear" w:color="auto" w:fill="FFFFFF"/>
        </w:rPr>
        <w:t xml:space="preserve">egii, urmau să elaboreze actele normative prevăzute în lege şi să aducă actele </w:t>
      </w:r>
      <w:r w:rsidR="00125453">
        <w:rPr>
          <w:rFonts w:asciiTheme="majorHAnsi" w:eastAsia="Times New Roman" w:hAnsiTheme="majorHAnsi" w:cstheme="majorHAnsi"/>
          <w:b w:val="0"/>
          <w:bCs w:val="0"/>
          <w:sz w:val="24"/>
          <w:szCs w:val="24"/>
          <w:shd w:val="clear" w:color="auto" w:fill="FFFFFF"/>
        </w:rPr>
        <w:t>lor</w:t>
      </w:r>
      <w:r w:rsidRPr="008376FC">
        <w:rPr>
          <w:rFonts w:asciiTheme="majorHAnsi" w:eastAsia="Times New Roman" w:hAnsiTheme="majorHAnsi" w:cstheme="majorHAnsi"/>
          <w:b w:val="0"/>
          <w:bCs w:val="0"/>
          <w:sz w:val="24"/>
          <w:szCs w:val="24"/>
          <w:shd w:val="clear" w:color="auto" w:fill="FFFFFF"/>
        </w:rPr>
        <w:t xml:space="preserve"> normative în concordanţă cu legea respectivă.</w:t>
      </w:r>
    </w:p>
    <w:p w:rsidR="0080416E" w:rsidRPr="008376FC" w:rsidRDefault="0080416E" w:rsidP="00F61756">
      <w:pPr>
        <w:shd w:val="clear" w:color="auto" w:fill="FFFFFF"/>
        <w:spacing w:after="0" w:line="276" w:lineRule="auto"/>
        <w:ind w:firstLine="540"/>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 xml:space="preserve">Analiza </w:t>
      </w:r>
      <w:r w:rsidR="00422CB8" w:rsidRPr="008376FC">
        <w:rPr>
          <w:rFonts w:asciiTheme="majorHAnsi" w:eastAsia="Times New Roman" w:hAnsiTheme="majorHAnsi" w:cstheme="majorHAnsi"/>
          <w:b w:val="0"/>
          <w:bCs w:val="0"/>
          <w:sz w:val="24"/>
          <w:szCs w:val="24"/>
          <w:shd w:val="clear" w:color="auto" w:fill="FFFFFF"/>
        </w:rPr>
        <w:t xml:space="preserve">implementării acestor prevederi </w:t>
      </w:r>
      <w:r w:rsidR="00125453">
        <w:rPr>
          <w:rFonts w:asciiTheme="majorHAnsi" w:eastAsia="Times New Roman" w:hAnsiTheme="majorHAnsi" w:cstheme="majorHAnsi"/>
          <w:b w:val="0"/>
          <w:bCs w:val="0"/>
          <w:sz w:val="24"/>
          <w:szCs w:val="24"/>
          <w:shd w:val="clear" w:color="auto" w:fill="FFFFFF"/>
        </w:rPr>
        <w:t>relevă că</w:t>
      </w:r>
      <w:r w:rsidR="00422CB8" w:rsidRPr="008376FC">
        <w:rPr>
          <w:rFonts w:asciiTheme="majorHAnsi" w:eastAsia="Times New Roman" w:hAnsiTheme="majorHAnsi" w:cstheme="majorHAnsi"/>
          <w:b w:val="0"/>
          <w:bCs w:val="0"/>
          <w:sz w:val="24"/>
          <w:szCs w:val="24"/>
          <w:shd w:val="clear" w:color="auto" w:fill="FFFFFF"/>
        </w:rPr>
        <w:t xml:space="preserve"> APL nu s-au conformar cerințelor Legii, iar ANRE a elaborat cadrul normativ prevăzut în aceasta. </w:t>
      </w:r>
    </w:p>
    <w:p w:rsidR="00EE132E" w:rsidRDefault="00125453" w:rsidP="00F61756">
      <w:pPr>
        <w:shd w:val="clear" w:color="auto" w:fill="FFFFFF"/>
        <w:spacing w:after="0" w:line="276" w:lineRule="auto"/>
        <w:ind w:firstLine="540"/>
        <w:jc w:val="both"/>
        <w:rPr>
          <w:rFonts w:asciiTheme="majorHAnsi" w:eastAsia="Times New Roman" w:hAnsiTheme="majorHAnsi" w:cstheme="majorHAnsi"/>
          <w:b w:val="0"/>
          <w:bCs w:val="0"/>
          <w:sz w:val="24"/>
          <w:szCs w:val="24"/>
          <w:shd w:val="clear" w:color="auto" w:fill="FFFFFF"/>
        </w:rPr>
      </w:pPr>
      <w:r>
        <w:rPr>
          <w:rFonts w:asciiTheme="majorHAnsi" w:eastAsia="Times New Roman" w:hAnsiTheme="majorHAnsi" w:cstheme="majorHAnsi"/>
          <w:b w:val="0"/>
          <w:bCs w:val="0"/>
          <w:sz w:val="24"/>
          <w:szCs w:val="24"/>
          <w:shd w:val="clear" w:color="auto" w:fill="FFFFFF"/>
        </w:rPr>
        <w:t>Verificarea</w:t>
      </w:r>
      <w:r w:rsidRPr="008376FC">
        <w:rPr>
          <w:rFonts w:asciiTheme="majorHAnsi" w:eastAsia="Times New Roman" w:hAnsiTheme="majorHAnsi" w:cstheme="majorHAnsi"/>
          <w:b w:val="0"/>
          <w:bCs w:val="0"/>
          <w:sz w:val="24"/>
          <w:szCs w:val="24"/>
          <w:shd w:val="clear" w:color="auto" w:fill="FFFFFF"/>
        </w:rPr>
        <w:t xml:space="preserve"> </w:t>
      </w:r>
      <w:r w:rsidR="00EE132E" w:rsidRPr="008376FC">
        <w:rPr>
          <w:rFonts w:asciiTheme="majorHAnsi" w:eastAsia="Times New Roman" w:hAnsiTheme="majorHAnsi" w:cstheme="majorHAnsi"/>
          <w:b w:val="0"/>
          <w:bCs w:val="0"/>
          <w:sz w:val="24"/>
          <w:szCs w:val="24"/>
          <w:shd w:val="clear" w:color="auto" w:fill="FFFFFF"/>
        </w:rPr>
        <w:t xml:space="preserve">a 4 contracte de gestiune delegată a serviciilor regionale de alimentare cu apă și </w:t>
      </w:r>
      <w:r>
        <w:rPr>
          <w:rFonts w:asciiTheme="majorHAnsi" w:eastAsia="Times New Roman" w:hAnsiTheme="majorHAnsi" w:cstheme="majorHAnsi"/>
          <w:b w:val="0"/>
          <w:bCs w:val="0"/>
          <w:sz w:val="24"/>
          <w:szCs w:val="24"/>
          <w:shd w:val="clear" w:color="auto" w:fill="FFFFFF"/>
        </w:rPr>
        <w:t xml:space="preserve">de </w:t>
      </w:r>
      <w:r w:rsidR="00EE132E" w:rsidRPr="008376FC">
        <w:rPr>
          <w:rFonts w:asciiTheme="majorHAnsi" w:eastAsia="Times New Roman" w:hAnsiTheme="majorHAnsi" w:cstheme="majorHAnsi"/>
          <w:b w:val="0"/>
          <w:bCs w:val="0"/>
          <w:sz w:val="24"/>
          <w:szCs w:val="24"/>
          <w:shd w:val="clear" w:color="auto" w:fill="FFFFFF"/>
        </w:rPr>
        <w:t xml:space="preserve">canalizare </w:t>
      </w:r>
      <w:r w:rsidR="006B1575" w:rsidRPr="008376FC">
        <w:rPr>
          <w:rFonts w:asciiTheme="majorHAnsi" w:eastAsia="Times New Roman" w:hAnsiTheme="majorHAnsi" w:cstheme="majorHAnsi"/>
          <w:b w:val="0"/>
          <w:bCs w:val="0"/>
          <w:sz w:val="24"/>
          <w:szCs w:val="24"/>
          <w:shd w:val="clear" w:color="auto" w:fill="FFFFFF"/>
        </w:rPr>
        <w:t>denotă</w:t>
      </w:r>
      <w:r w:rsidR="00EE132E" w:rsidRPr="008376FC">
        <w:rPr>
          <w:rFonts w:asciiTheme="majorHAnsi" w:eastAsia="Times New Roman" w:hAnsiTheme="majorHAnsi" w:cstheme="majorHAnsi"/>
          <w:b w:val="0"/>
          <w:bCs w:val="0"/>
          <w:sz w:val="24"/>
          <w:szCs w:val="24"/>
          <w:shd w:val="clear" w:color="auto" w:fill="FFFFFF"/>
        </w:rPr>
        <w:t xml:space="preserve"> că </w:t>
      </w:r>
      <w:r w:rsidR="00200D38" w:rsidRPr="008376FC">
        <w:rPr>
          <w:rFonts w:asciiTheme="majorHAnsi" w:eastAsia="Times New Roman" w:hAnsiTheme="majorHAnsi" w:cstheme="majorHAnsi"/>
          <w:b w:val="0"/>
          <w:bCs w:val="0"/>
          <w:sz w:val="24"/>
          <w:szCs w:val="24"/>
          <w:shd w:val="clear" w:color="auto" w:fill="FFFFFF"/>
        </w:rPr>
        <w:t xml:space="preserve">două </w:t>
      </w:r>
      <w:r w:rsidR="00EE132E" w:rsidRPr="008376FC">
        <w:rPr>
          <w:rFonts w:asciiTheme="majorHAnsi" w:eastAsia="Times New Roman" w:hAnsiTheme="majorHAnsi" w:cstheme="majorHAnsi"/>
          <w:b w:val="0"/>
          <w:bCs w:val="0"/>
          <w:sz w:val="24"/>
          <w:szCs w:val="24"/>
          <w:shd w:val="clear" w:color="auto" w:fill="FFFFFF"/>
        </w:rPr>
        <w:t>contract</w:t>
      </w:r>
      <w:r w:rsidR="00200D38" w:rsidRPr="008376FC">
        <w:rPr>
          <w:rFonts w:asciiTheme="majorHAnsi" w:eastAsia="Times New Roman" w:hAnsiTheme="majorHAnsi" w:cstheme="majorHAnsi"/>
          <w:b w:val="0"/>
          <w:bCs w:val="0"/>
          <w:sz w:val="24"/>
          <w:szCs w:val="24"/>
          <w:shd w:val="clear" w:color="auto" w:fill="FFFFFF"/>
        </w:rPr>
        <w:t>e</w:t>
      </w:r>
      <w:r w:rsidR="00EE132E" w:rsidRPr="008376FC">
        <w:rPr>
          <w:rFonts w:asciiTheme="majorHAnsi" w:eastAsia="Times New Roman" w:hAnsiTheme="majorHAnsi" w:cstheme="majorHAnsi"/>
          <w:b w:val="0"/>
          <w:bCs w:val="0"/>
          <w:sz w:val="24"/>
          <w:szCs w:val="24"/>
          <w:shd w:val="clear" w:color="auto" w:fill="FFFFFF"/>
        </w:rPr>
        <w:t xml:space="preserve"> („Apa</w:t>
      </w:r>
      <w:r>
        <w:rPr>
          <w:rFonts w:asciiTheme="majorHAnsi" w:eastAsia="Times New Roman" w:hAnsiTheme="majorHAnsi" w:cstheme="majorHAnsi"/>
          <w:b w:val="0"/>
          <w:bCs w:val="0"/>
          <w:sz w:val="24"/>
          <w:szCs w:val="24"/>
          <w:shd w:val="clear" w:color="auto" w:fill="FFFFFF"/>
        </w:rPr>
        <w:t>-</w:t>
      </w:r>
      <w:r w:rsidR="00EE132E" w:rsidRPr="008376FC">
        <w:rPr>
          <w:rFonts w:asciiTheme="majorHAnsi" w:eastAsia="Times New Roman" w:hAnsiTheme="majorHAnsi" w:cstheme="majorHAnsi"/>
          <w:b w:val="0"/>
          <w:bCs w:val="0"/>
          <w:sz w:val="24"/>
          <w:szCs w:val="24"/>
          <w:shd w:val="clear" w:color="auto" w:fill="FFFFFF"/>
        </w:rPr>
        <w:t>Canal Nisporeni” S.A.</w:t>
      </w:r>
      <w:r w:rsidR="00200D38" w:rsidRPr="008376FC">
        <w:rPr>
          <w:rFonts w:asciiTheme="majorHAnsi" w:eastAsia="Times New Roman" w:hAnsiTheme="majorHAnsi" w:cstheme="majorHAnsi"/>
          <w:b w:val="0"/>
          <w:bCs w:val="0"/>
          <w:sz w:val="24"/>
          <w:szCs w:val="24"/>
          <w:shd w:val="clear" w:color="auto" w:fill="FFFFFF"/>
        </w:rPr>
        <w:t xml:space="preserve"> şi „Regia Apă</w:t>
      </w:r>
      <w:r>
        <w:rPr>
          <w:rFonts w:asciiTheme="majorHAnsi" w:eastAsia="Times New Roman" w:hAnsiTheme="majorHAnsi" w:cstheme="majorHAnsi"/>
          <w:b w:val="0"/>
          <w:bCs w:val="0"/>
          <w:sz w:val="24"/>
          <w:szCs w:val="24"/>
          <w:shd w:val="clear" w:color="auto" w:fill="FFFFFF"/>
        </w:rPr>
        <w:t>-</w:t>
      </w:r>
      <w:r w:rsidR="00200D38" w:rsidRPr="008376FC">
        <w:rPr>
          <w:rFonts w:asciiTheme="majorHAnsi" w:eastAsia="Times New Roman" w:hAnsiTheme="majorHAnsi" w:cstheme="majorHAnsi"/>
          <w:b w:val="0"/>
          <w:bCs w:val="0"/>
          <w:sz w:val="24"/>
          <w:szCs w:val="24"/>
          <w:shd w:val="clear" w:color="auto" w:fill="FFFFFF"/>
        </w:rPr>
        <w:t>Canal Soroca” S.A.</w:t>
      </w:r>
      <w:r w:rsidR="00EE132E" w:rsidRPr="008376FC">
        <w:rPr>
          <w:rFonts w:asciiTheme="majorHAnsi" w:eastAsia="Times New Roman" w:hAnsiTheme="majorHAnsi" w:cstheme="majorHAnsi"/>
          <w:b w:val="0"/>
          <w:bCs w:val="0"/>
          <w:sz w:val="24"/>
          <w:szCs w:val="24"/>
          <w:shd w:val="clear" w:color="auto" w:fill="FFFFFF"/>
        </w:rPr>
        <w:t xml:space="preserve">) corespund cerințelor Legii, fiind încheiat în anul 2016 pe durata de 49 </w:t>
      </w:r>
      <w:r>
        <w:rPr>
          <w:rFonts w:asciiTheme="majorHAnsi" w:eastAsia="Times New Roman" w:hAnsiTheme="majorHAnsi" w:cstheme="majorHAnsi"/>
          <w:b w:val="0"/>
          <w:bCs w:val="0"/>
          <w:sz w:val="24"/>
          <w:szCs w:val="24"/>
          <w:shd w:val="clear" w:color="auto" w:fill="FFFFFF"/>
        </w:rPr>
        <w:t xml:space="preserve">de </w:t>
      </w:r>
      <w:r w:rsidR="00EE132E" w:rsidRPr="008376FC">
        <w:rPr>
          <w:rFonts w:asciiTheme="majorHAnsi" w:eastAsia="Times New Roman" w:hAnsiTheme="majorHAnsi" w:cstheme="majorHAnsi"/>
          <w:b w:val="0"/>
          <w:bCs w:val="0"/>
          <w:sz w:val="24"/>
          <w:szCs w:val="24"/>
          <w:shd w:val="clear" w:color="auto" w:fill="FFFFFF"/>
        </w:rPr>
        <w:t>ani. Contractele de gestiune delegat</w:t>
      </w:r>
      <w:r w:rsidR="00C64DA4">
        <w:rPr>
          <w:rFonts w:asciiTheme="majorHAnsi" w:eastAsia="Times New Roman" w:hAnsiTheme="majorHAnsi" w:cstheme="majorHAnsi"/>
          <w:b w:val="0"/>
          <w:bCs w:val="0"/>
          <w:sz w:val="24"/>
          <w:szCs w:val="24"/>
          <w:shd w:val="clear" w:color="auto" w:fill="FFFFFF"/>
        </w:rPr>
        <w:t>ă</w:t>
      </w:r>
      <w:r w:rsidR="00EE132E" w:rsidRPr="008376FC">
        <w:rPr>
          <w:rFonts w:asciiTheme="majorHAnsi" w:eastAsia="Times New Roman" w:hAnsiTheme="majorHAnsi" w:cstheme="majorHAnsi"/>
          <w:b w:val="0"/>
          <w:bCs w:val="0"/>
          <w:sz w:val="24"/>
          <w:szCs w:val="24"/>
          <w:shd w:val="clear" w:color="auto" w:fill="FFFFFF"/>
        </w:rPr>
        <w:t xml:space="preserve"> a serviciilor regionale încheiate cu S.C. „Amen-Ver”, r</w:t>
      </w:r>
      <w:r w:rsidR="006B1575" w:rsidRPr="008376FC">
        <w:rPr>
          <w:rFonts w:asciiTheme="majorHAnsi" w:eastAsia="Times New Roman" w:hAnsiTheme="majorHAnsi" w:cstheme="majorHAnsi"/>
          <w:b w:val="0"/>
          <w:bCs w:val="0"/>
          <w:sz w:val="24"/>
          <w:szCs w:val="24"/>
          <w:shd w:val="clear" w:color="auto" w:fill="FFFFFF"/>
        </w:rPr>
        <w:t>-</w:t>
      </w:r>
      <w:r w:rsidR="00EE132E" w:rsidRPr="008376FC">
        <w:rPr>
          <w:rFonts w:asciiTheme="majorHAnsi" w:eastAsia="Times New Roman" w:hAnsiTheme="majorHAnsi" w:cstheme="majorHAnsi"/>
          <w:b w:val="0"/>
          <w:bCs w:val="0"/>
          <w:sz w:val="24"/>
          <w:szCs w:val="24"/>
          <w:shd w:val="clear" w:color="auto" w:fill="FFFFFF"/>
        </w:rPr>
        <w:t>nul H</w:t>
      </w:r>
      <w:r>
        <w:rPr>
          <w:rFonts w:asciiTheme="majorHAnsi" w:eastAsia="Times New Roman" w:hAnsiTheme="majorHAnsi" w:cstheme="majorHAnsi"/>
          <w:b w:val="0"/>
          <w:bCs w:val="0"/>
          <w:sz w:val="24"/>
          <w:szCs w:val="24"/>
          <w:shd w:val="clear" w:color="auto" w:fill="FFFFFF"/>
        </w:rPr>
        <w:t>â</w:t>
      </w:r>
      <w:r w:rsidR="00EE132E" w:rsidRPr="008376FC">
        <w:rPr>
          <w:rFonts w:asciiTheme="majorHAnsi" w:eastAsia="Times New Roman" w:hAnsiTheme="majorHAnsi" w:cstheme="majorHAnsi"/>
          <w:b w:val="0"/>
          <w:bCs w:val="0"/>
          <w:sz w:val="24"/>
          <w:szCs w:val="24"/>
          <w:shd w:val="clear" w:color="auto" w:fill="FFFFFF"/>
        </w:rPr>
        <w:t xml:space="preserve">ncești (încheiat în anul 2011 pe 25 de ani), cu „Regia Apa-Canal Orhei” S.A. (încheiat în 2012 pe 25 de ani) </w:t>
      </w:r>
      <w:r w:rsidR="00A81DE5" w:rsidRPr="008376FC">
        <w:rPr>
          <w:rFonts w:asciiTheme="majorHAnsi" w:eastAsia="Times New Roman" w:hAnsiTheme="majorHAnsi" w:cstheme="majorHAnsi"/>
          <w:b w:val="0"/>
          <w:bCs w:val="0"/>
          <w:sz w:val="24"/>
          <w:szCs w:val="24"/>
          <w:shd w:val="clear" w:color="auto" w:fill="FFFFFF"/>
        </w:rPr>
        <w:t>până în anul 2022</w:t>
      </w:r>
      <w:r>
        <w:rPr>
          <w:rFonts w:asciiTheme="majorHAnsi" w:eastAsia="Times New Roman" w:hAnsiTheme="majorHAnsi" w:cstheme="majorHAnsi"/>
          <w:b w:val="0"/>
          <w:bCs w:val="0"/>
          <w:sz w:val="24"/>
          <w:szCs w:val="24"/>
          <w:shd w:val="clear" w:color="auto" w:fill="FFFFFF"/>
        </w:rPr>
        <w:t>,</w:t>
      </w:r>
      <w:r w:rsidR="00A81DE5" w:rsidRPr="008376FC">
        <w:rPr>
          <w:rFonts w:asciiTheme="majorHAnsi" w:eastAsia="Times New Roman" w:hAnsiTheme="majorHAnsi" w:cstheme="majorHAnsi"/>
          <w:b w:val="0"/>
          <w:bCs w:val="0"/>
          <w:sz w:val="24"/>
          <w:szCs w:val="24"/>
          <w:shd w:val="clear" w:color="auto" w:fill="FFFFFF"/>
        </w:rPr>
        <w:t xml:space="preserve"> </w:t>
      </w:r>
      <w:r w:rsidR="00EE132E" w:rsidRPr="008376FC">
        <w:rPr>
          <w:rFonts w:asciiTheme="majorHAnsi" w:eastAsia="Times New Roman" w:hAnsiTheme="majorHAnsi" w:cstheme="majorHAnsi"/>
          <w:b w:val="0"/>
          <w:bCs w:val="0"/>
          <w:sz w:val="24"/>
          <w:szCs w:val="24"/>
          <w:shd w:val="clear" w:color="auto" w:fill="FFFFFF"/>
        </w:rPr>
        <w:t xml:space="preserve">nu </w:t>
      </w:r>
      <w:r w:rsidR="00A81DE5" w:rsidRPr="008376FC">
        <w:rPr>
          <w:rFonts w:asciiTheme="majorHAnsi" w:eastAsia="Times New Roman" w:hAnsiTheme="majorHAnsi" w:cstheme="majorHAnsi"/>
          <w:b w:val="0"/>
          <w:bCs w:val="0"/>
          <w:sz w:val="24"/>
          <w:szCs w:val="24"/>
          <w:shd w:val="clear" w:color="auto" w:fill="FFFFFF"/>
        </w:rPr>
        <w:t xml:space="preserve">au corespuns </w:t>
      </w:r>
      <w:r w:rsidR="00EE132E" w:rsidRPr="008376FC">
        <w:rPr>
          <w:rFonts w:asciiTheme="majorHAnsi" w:eastAsia="Times New Roman" w:hAnsiTheme="majorHAnsi" w:cstheme="majorHAnsi"/>
          <w:b w:val="0"/>
          <w:bCs w:val="0"/>
          <w:sz w:val="24"/>
          <w:szCs w:val="24"/>
          <w:shd w:val="clear" w:color="auto" w:fill="FFFFFF"/>
        </w:rPr>
        <w:t>cerințelor Legii nr.303/2013.</w:t>
      </w:r>
    </w:p>
    <w:p w:rsidR="00E916FF" w:rsidRPr="008376FC" w:rsidRDefault="00E916FF" w:rsidP="00F61756">
      <w:pPr>
        <w:shd w:val="clear" w:color="auto" w:fill="FFFFFF"/>
        <w:spacing w:after="0" w:line="276" w:lineRule="auto"/>
        <w:ind w:firstLine="540"/>
        <w:jc w:val="both"/>
        <w:rPr>
          <w:rFonts w:asciiTheme="majorHAnsi" w:eastAsia="Times New Roman" w:hAnsiTheme="majorHAnsi" w:cstheme="majorHAnsi"/>
          <w:b w:val="0"/>
          <w:bCs w:val="0"/>
          <w:sz w:val="24"/>
          <w:szCs w:val="24"/>
          <w:shd w:val="clear" w:color="auto" w:fill="FFFFFF"/>
        </w:rPr>
      </w:pPr>
    </w:p>
    <w:tbl>
      <w:tblPr>
        <w:tblStyle w:val="af2"/>
        <w:tblW w:w="0" w:type="auto"/>
        <w:tblLook w:val="04A0" w:firstRow="1" w:lastRow="0" w:firstColumn="1" w:lastColumn="0" w:noHBand="0" w:noVBand="1"/>
      </w:tblPr>
      <w:tblGrid>
        <w:gridCol w:w="9678"/>
      </w:tblGrid>
      <w:tr w:rsidR="00360195" w:rsidRPr="008376FC" w:rsidTr="00360195">
        <w:tc>
          <w:tcPr>
            <w:tcW w:w="9905" w:type="dxa"/>
          </w:tcPr>
          <w:p w:rsidR="00360195" w:rsidRPr="008376FC" w:rsidRDefault="000056B2" w:rsidP="00F61756">
            <w:pPr>
              <w:spacing w:line="276" w:lineRule="auto"/>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sz w:val="24"/>
                <w:szCs w:val="24"/>
              </w:rPr>
              <w:t>Notă</w:t>
            </w:r>
            <w:r w:rsidR="00FB511E" w:rsidRPr="008376FC">
              <w:rPr>
                <w:rFonts w:asciiTheme="majorHAnsi" w:eastAsia="Times New Roman" w:hAnsiTheme="majorHAnsi" w:cstheme="majorHAnsi"/>
                <w:sz w:val="24"/>
                <w:szCs w:val="24"/>
              </w:rPr>
              <w:t xml:space="preserve"> nr.</w:t>
            </w:r>
            <w:r w:rsidR="002C6378" w:rsidRPr="008376FC">
              <w:rPr>
                <w:rFonts w:asciiTheme="majorHAnsi" w:eastAsia="Times New Roman" w:hAnsiTheme="majorHAnsi" w:cstheme="majorHAnsi"/>
                <w:sz w:val="24"/>
                <w:szCs w:val="24"/>
              </w:rPr>
              <w:t>7</w:t>
            </w:r>
            <w:r w:rsidRPr="008376FC">
              <w:rPr>
                <w:rFonts w:asciiTheme="majorHAnsi" w:eastAsia="Times New Roman" w:hAnsiTheme="majorHAnsi" w:cstheme="majorHAnsi"/>
                <w:sz w:val="24"/>
                <w:szCs w:val="24"/>
              </w:rPr>
              <w:t>:</w:t>
            </w:r>
            <w:r w:rsidR="00360195" w:rsidRPr="008376FC">
              <w:rPr>
                <w:rFonts w:asciiTheme="majorHAnsi" w:eastAsia="Times New Roman" w:hAnsiTheme="majorHAnsi" w:cstheme="majorHAnsi"/>
                <w:b w:val="0"/>
                <w:bCs w:val="0"/>
                <w:sz w:val="24"/>
                <w:szCs w:val="24"/>
              </w:rPr>
              <w:t xml:space="preserve"> Pe parcursul anului 2022, </w:t>
            </w:r>
            <w:r w:rsidR="00125453">
              <w:rPr>
                <w:rFonts w:asciiTheme="majorHAnsi" w:eastAsia="Times New Roman" w:hAnsiTheme="majorHAnsi" w:cstheme="majorHAnsi"/>
                <w:b w:val="0"/>
                <w:bCs w:val="0"/>
                <w:sz w:val="24"/>
                <w:szCs w:val="24"/>
              </w:rPr>
              <w:t>doi</w:t>
            </w:r>
            <w:r w:rsidR="00360195" w:rsidRPr="008376FC">
              <w:rPr>
                <w:rFonts w:asciiTheme="majorHAnsi" w:eastAsia="Times New Roman" w:hAnsiTheme="majorHAnsi" w:cstheme="majorHAnsi"/>
                <w:b w:val="0"/>
                <w:bCs w:val="0"/>
                <w:sz w:val="24"/>
                <w:szCs w:val="24"/>
              </w:rPr>
              <w:t xml:space="preserve"> operatori au încheiat acorduri adiţionale la contractele de delegare</w:t>
            </w:r>
            <w:r w:rsidR="00125453">
              <w:rPr>
                <w:rFonts w:asciiTheme="majorHAnsi" w:eastAsia="Times New Roman" w:hAnsiTheme="majorHAnsi" w:cstheme="majorHAnsi"/>
                <w:b w:val="0"/>
                <w:bCs w:val="0"/>
                <w:sz w:val="24"/>
                <w:szCs w:val="24"/>
              </w:rPr>
              <w:t>,</w:t>
            </w:r>
            <w:r w:rsidR="00360195" w:rsidRPr="008376FC">
              <w:rPr>
                <w:rFonts w:asciiTheme="majorHAnsi" w:eastAsia="Times New Roman" w:hAnsiTheme="majorHAnsi" w:cstheme="majorHAnsi"/>
                <w:b w:val="0"/>
                <w:bCs w:val="0"/>
                <w:sz w:val="24"/>
                <w:szCs w:val="24"/>
              </w:rPr>
              <w:t xml:space="preserve"> în care a fost inclusă redevenţa</w:t>
            </w:r>
            <w:r w:rsidR="0016729E" w:rsidRPr="008376FC">
              <w:rPr>
                <w:rStyle w:val="ab"/>
                <w:rFonts w:asciiTheme="majorHAnsi" w:eastAsia="Times New Roman" w:hAnsiTheme="majorHAnsi" w:cstheme="majorHAnsi"/>
                <w:b w:val="0"/>
                <w:bCs w:val="0"/>
                <w:sz w:val="24"/>
                <w:szCs w:val="24"/>
              </w:rPr>
              <w:footnoteReference w:id="145"/>
            </w:r>
            <w:r w:rsidR="00125453">
              <w:rPr>
                <w:rFonts w:asciiTheme="majorHAnsi" w:eastAsia="Times New Roman" w:hAnsiTheme="majorHAnsi" w:cstheme="majorHAnsi"/>
                <w:b w:val="0"/>
                <w:bCs w:val="0"/>
                <w:sz w:val="24"/>
                <w:szCs w:val="24"/>
              </w:rPr>
              <w:t>,</w:t>
            </w:r>
            <w:r w:rsidR="00360195" w:rsidRPr="008376FC">
              <w:rPr>
                <w:rFonts w:asciiTheme="majorHAnsi" w:eastAsia="Times New Roman" w:hAnsiTheme="majorHAnsi" w:cstheme="majorHAnsi"/>
                <w:b w:val="0"/>
                <w:bCs w:val="0"/>
                <w:sz w:val="24"/>
                <w:szCs w:val="24"/>
              </w:rPr>
              <w:t xml:space="preserve"> egală cu </w:t>
            </w:r>
            <w:r w:rsidR="00A46483">
              <w:rPr>
                <w:rFonts w:asciiTheme="majorHAnsi" w:eastAsia="Times New Roman" w:hAnsiTheme="majorHAnsi" w:cstheme="majorHAnsi"/>
                <w:b w:val="0"/>
                <w:bCs w:val="0"/>
                <w:sz w:val="24"/>
                <w:szCs w:val="24"/>
              </w:rPr>
              <w:t>amortizarea</w:t>
            </w:r>
            <w:r w:rsidR="00A46483" w:rsidRPr="008376FC">
              <w:rPr>
                <w:rFonts w:asciiTheme="majorHAnsi" w:eastAsia="Times New Roman" w:hAnsiTheme="majorHAnsi" w:cstheme="majorHAnsi"/>
                <w:b w:val="0"/>
                <w:bCs w:val="0"/>
                <w:sz w:val="24"/>
                <w:szCs w:val="24"/>
              </w:rPr>
              <w:t xml:space="preserve"> </w:t>
            </w:r>
            <w:r w:rsidR="00360195" w:rsidRPr="008376FC">
              <w:rPr>
                <w:rFonts w:asciiTheme="majorHAnsi" w:eastAsia="Times New Roman" w:hAnsiTheme="majorHAnsi" w:cstheme="majorHAnsi"/>
                <w:b w:val="0"/>
                <w:bCs w:val="0"/>
                <w:sz w:val="24"/>
                <w:szCs w:val="24"/>
              </w:rPr>
              <w:t>si</w:t>
            </w:r>
            <w:r w:rsidR="00125453">
              <w:rPr>
                <w:rFonts w:asciiTheme="majorHAnsi" w:eastAsia="Times New Roman" w:hAnsiTheme="majorHAnsi" w:cstheme="majorHAnsi"/>
                <w:b w:val="0"/>
                <w:bCs w:val="0"/>
                <w:sz w:val="24"/>
                <w:szCs w:val="24"/>
              </w:rPr>
              <w:t>s</w:t>
            </w:r>
            <w:r w:rsidR="00360195" w:rsidRPr="008376FC">
              <w:rPr>
                <w:rFonts w:asciiTheme="majorHAnsi" w:eastAsia="Times New Roman" w:hAnsiTheme="majorHAnsi" w:cstheme="majorHAnsi"/>
                <w:b w:val="0"/>
                <w:bCs w:val="0"/>
                <w:sz w:val="24"/>
                <w:szCs w:val="24"/>
              </w:rPr>
              <w:t xml:space="preserve">temelor de alimentare cu apă şi </w:t>
            </w:r>
            <w:r w:rsidR="00125453">
              <w:rPr>
                <w:rFonts w:asciiTheme="majorHAnsi" w:eastAsia="Times New Roman" w:hAnsiTheme="majorHAnsi" w:cstheme="majorHAnsi"/>
                <w:b w:val="0"/>
                <w:bCs w:val="0"/>
                <w:sz w:val="24"/>
                <w:szCs w:val="24"/>
              </w:rPr>
              <w:t xml:space="preserve">de </w:t>
            </w:r>
            <w:r w:rsidR="00360195" w:rsidRPr="008376FC">
              <w:rPr>
                <w:rFonts w:asciiTheme="majorHAnsi" w:eastAsia="Times New Roman" w:hAnsiTheme="majorHAnsi" w:cstheme="majorHAnsi"/>
                <w:b w:val="0"/>
                <w:bCs w:val="0"/>
                <w:sz w:val="24"/>
                <w:szCs w:val="24"/>
              </w:rPr>
              <w:t xml:space="preserve">canalizare </w:t>
            </w:r>
            <w:r w:rsidR="00125453">
              <w:rPr>
                <w:rFonts w:asciiTheme="majorHAnsi" w:eastAsia="Times New Roman" w:hAnsiTheme="majorHAnsi" w:cstheme="majorHAnsi"/>
                <w:b w:val="0"/>
                <w:bCs w:val="0"/>
                <w:sz w:val="24"/>
                <w:szCs w:val="24"/>
              </w:rPr>
              <w:t>din</w:t>
            </w:r>
            <w:r w:rsidR="00360195" w:rsidRPr="008376FC">
              <w:rPr>
                <w:rFonts w:asciiTheme="majorHAnsi" w:eastAsia="Times New Roman" w:hAnsiTheme="majorHAnsi" w:cstheme="majorHAnsi"/>
                <w:b w:val="0"/>
                <w:bCs w:val="0"/>
                <w:sz w:val="24"/>
                <w:szCs w:val="24"/>
              </w:rPr>
              <w:t xml:space="preserve"> evidenţa contabilă a autorităţii delegate</w:t>
            </w:r>
            <w:r w:rsidR="001E2887" w:rsidRPr="008376FC">
              <w:rPr>
                <w:rFonts w:asciiTheme="majorHAnsi" w:eastAsia="Times New Roman" w:hAnsiTheme="majorHAnsi" w:cstheme="majorHAnsi"/>
                <w:b w:val="0"/>
                <w:bCs w:val="0"/>
                <w:sz w:val="24"/>
                <w:szCs w:val="24"/>
              </w:rPr>
              <w:t xml:space="preserve">, </w:t>
            </w:r>
            <w:r w:rsidR="00C64DA4">
              <w:rPr>
                <w:rFonts w:asciiTheme="majorHAnsi" w:eastAsia="Times New Roman" w:hAnsiTheme="majorHAnsi" w:cstheme="majorHAnsi"/>
                <w:b w:val="0"/>
                <w:bCs w:val="0"/>
                <w:sz w:val="24"/>
                <w:szCs w:val="24"/>
              </w:rPr>
              <w:t xml:space="preserve">aceasta </w:t>
            </w:r>
            <w:r w:rsidR="001E2887" w:rsidRPr="008376FC">
              <w:rPr>
                <w:rFonts w:asciiTheme="majorHAnsi" w:eastAsia="Times New Roman" w:hAnsiTheme="majorHAnsi" w:cstheme="majorHAnsi"/>
                <w:b w:val="0"/>
                <w:bCs w:val="0"/>
                <w:sz w:val="24"/>
                <w:szCs w:val="24"/>
              </w:rPr>
              <w:t>urm</w:t>
            </w:r>
            <w:r w:rsidR="00125453">
              <w:rPr>
                <w:rFonts w:asciiTheme="majorHAnsi" w:eastAsia="Times New Roman" w:hAnsiTheme="majorHAnsi" w:cstheme="majorHAnsi"/>
                <w:b w:val="0"/>
                <w:bCs w:val="0"/>
                <w:sz w:val="24"/>
                <w:szCs w:val="24"/>
              </w:rPr>
              <w:t>â</w:t>
            </w:r>
            <w:r w:rsidR="001E2887" w:rsidRPr="008376FC">
              <w:rPr>
                <w:rFonts w:asciiTheme="majorHAnsi" w:eastAsia="Times New Roman" w:hAnsiTheme="majorHAnsi" w:cstheme="majorHAnsi"/>
                <w:b w:val="0"/>
                <w:bCs w:val="0"/>
                <w:sz w:val="24"/>
                <w:szCs w:val="24"/>
              </w:rPr>
              <w:t>nd a fi utilizat</w:t>
            </w:r>
            <w:r w:rsidR="00125453">
              <w:rPr>
                <w:rFonts w:asciiTheme="majorHAnsi" w:eastAsia="Times New Roman" w:hAnsiTheme="majorHAnsi" w:cstheme="majorHAnsi"/>
                <w:b w:val="0"/>
                <w:bCs w:val="0"/>
                <w:sz w:val="24"/>
                <w:szCs w:val="24"/>
              </w:rPr>
              <w:t>ă</w:t>
            </w:r>
            <w:r w:rsidR="001E2887" w:rsidRPr="008376FC">
              <w:rPr>
                <w:rFonts w:asciiTheme="majorHAnsi" w:eastAsia="Times New Roman" w:hAnsiTheme="majorHAnsi" w:cstheme="majorHAnsi"/>
                <w:b w:val="0"/>
                <w:bCs w:val="0"/>
                <w:sz w:val="24"/>
                <w:szCs w:val="24"/>
              </w:rPr>
              <w:t xml:space="preserve">  priorita</w:t>
            </w:r>
            <w:r w:rsidR="00125453">
              <w:rPr>
                <w:rFonts w:asciiTheme="majorHAnsi" w:eastAsia="Times New Roman" w:hAnsiTheme="majorHAnsi" w:cstheme="majorHAnsi"/>
                <w:b w:val="0"/>
                <w:bCs w:val="0"/>
                <w:sz w:val="24"/>
                <w:szCs w:val="24"/>
              </w:rPr>
              <w:t>r</w:t>
            </w:r>
            <w:r w:rsidR="001E2887" w:rsidRPr="008376FC">
              <w:rPr>
                <w:rFonts w:asciiTheme="majorHAnsi" w:eastAsia="Times New Roman" w:hAnsiTheme="majorHAnsi" w:cstheme="majorHAnsi"/>
                <w:b w:val="0"/>
                <w:bCs w:val="0"/>
                <w:sz w:val="24"/>
                <w:szCs w:val="24"/>
              </w:rPr>
              <w:t xml:space="preserve"> </w:t>
            </w:r>
            <w:r w:rsidR="00125453">
              <w:rPr>
                <w:rFonts w:asciiTheme="majorHAnsi" w:eastAsia="Times New Roman" w:hAnsiTheme="majorHAnsi" w:cstheme="majorHAnsi"/>
                <w:b w:val="0"/>
                <w:bCs w:val="0"/>
                <w:sz w:val="24"/>
                <w:szCs w:val="24"/>
              </w:rPr>
              <w:t>la</w:t>
            </w:r>
            <w:r w:rsidR="00360195" w:rsidRPr="008376FC">
              <w:rPr>
                <w:rFonts w:asciiTheme="majorHAnsi" w:eastAsia="Times New Roman" w:hAnsiTheme="majorHAnsi" w:cstheme="majorHAnsi"/>
                <w:b w:val="0"/>
                <w:bCs w:val="0"/>
                <w:sz w:val="24"/>
                <w:szCs w:val="24"/>
              </w:rPr>
              <w:t xml:space="preserve"> plata serviciului datoriei externe</w:t>
            </w:r>
            <w:r w:rsidR="0016729E" w:rsidRPr="008376FC">
              <w:rPr>
                <w:rFonts w:asciiTheme="majorHAnsi" w:eastAsia="Times New Roman" w:hAnsiTheme="majorHAnsi" w:cstheme="majorHAnsi"/>
                <w:b w:val="0"/>
                <w:bCs w:val="0"/>
                <w:sz w:val="24"/>
                <w:szCs w:val="24"/>
              </w:rPr>
              <w:t xml:space="preserve"> aferent</w:t>
            </w:r>
            <w:r w:rsidR="00125453">
              <w:rPr>
                <w:rFonts w:asciiTheme="majorHAnsi" w:eastAsia="Times New Roman" w:hAnsiTheme="majorHAnsi" w:cstheme="majorHAnsi"/>
                <w:b w:val="0"/>
                <w:bCs w:val="0"/>
                <w:sz w:val="24"/>
                <w:szCs w:val="24"/>
              </w:rPr>
              <w:t>e</w:t>
            </w:r>
            <w:r w:rsidR="0016729E" w:rsidRPr="008376FC">
              <w:rPr>
                <w:rFonts w:asciiTheme="majorHAnsi" w:eastAsia="Times New Roman" w:hAnsiTheme="majorHAnsi" w:cstheme="majorHAnsi"/>
                <w:b w:val="0"/>
                <w:bCs w:val="0"/>
                <w:sz w:val="24"/>
                <w:szCs w:val="24"/>
              </w:rPr>
              <w:t xml:space="preserve"> Acordurilor de împrumut contractate</w:t>
            </w:r>
            <w:r w:rsidR="00360195" w:rsidRPr="008376FC">
              <w:rPr>
                <w:rFonts w:asciiTheme="majorHAnsi" w:eastAsia="Times New Roman" w:hAnsiTheme="majorHAnsi" w:cstheme="majorHAnsi"/>
                <w:b w:val="0"/>
                <w:bCs w:val="0"/>
                <w:sz w:val="24"/>
                <w:szCs w:val="24"/>
              </w:rPr>
              <w:t xml:space="preserve"> şi </w:t>
            </w:r>
            <w:r w:rsidR="00125453">
              <w:rPr>
                <w:rFonts w:asciiTheme="majorHAnsi" w:eastAsia="Times New Roman" w:hAnsiTheme="majorHAnsi" w:cstheme="majorHAnsi"/>
                <w:b w:val="0"/>
                <w:bCs w:val="0"/>
                <w:sz w:val="24"/>
                <w:szCs w:val="24"/>
              </w:rPr>
              <w:t>la</w:t>
            </w:r>
            <w:r w:rsidR="00360195" w:rsidRPr="008376FC">
              <w:rPr>
                <w:rFonts w:asciiTheme="majorHAnsi" w:eastAsia="Times New Roman" w:hAnsiTheme="majorHAnsi" w:cstheme="majorHAnsi"/>
                <w:b w:val="0"/>
                <w:bCs w:val="0"/>
                <w:sz w:val="24"/>
                <w:szCs w:val="24"/>
              </w:rPr>
              <w:t xml:space="preserve"> finanţarea reparaţiilor</w:t>
            </w:r>
            <w:r w:rsidR="00C64DA4">
              <w:rPr>
                <w:rFonts w:asciiTheme="majorHAnsi" w:eastAsia="Times New Roman" w:hAnsiTheme="majorHAnsi" w:cstheme="majorHAnsi"/>
                <w:b w:val="0"/>
                <w:bCs w:val="0"/>
                <w:sz w:val="24"/>
                <w:szCs w:val="24"/>
              </w:rPr>
              <w:t>,</w:t>
            </w:r>
            <w:r w:rsidR="00360195" w:rsidRPr="008376FC">
              <w:rPr>
                <w:rFonts w:asciiTheme="majorHAnsi" w:eastAsia="Times New Roman" w:hAnsiTheme="majorHAnsi" w:cstheme="majorHAnsi"/>
                <w:b w:val="0"/>
                <w:bCs w:val="0"/>
                <w:sz w:val="24"/>
                <w:szCs w:val="24"/>
              </w:rPr>
              <w:t xml:space="preserve"> cu capitalizarea cheltuielilor, inclusiv reabilitarea, modernizarea şi/sau dezvoltarea bunurilor domeniului public de alimentare cu apă</w:t>
            </w:r>
            <w:r w:rsidR="0016729E" w:rsidRPr="008376FC">
              <w:rPr>
                <w:rFonts w:asciiTheme="majorHAnsi" w:eastAsia="Times New Roman" w:hAnsiTheme="majorHAnsi" w:cstheme="majorHAnsi"/>
                <w:b w:val="0"/>
                <w:bCs w:val="0"/>
                <w:sz w:val="24"/>
                <w:szCs w:val="24"/>
              </w:rPr>
              <w:t xml:space="preserve"> şi de canalizare</w:t>
            </w:r>
            <w:r w:rsidR="00360195" w:rsidRPr="008376FC">
              <w:rPr>
                <w:rFonts w:asciiTheme="majorHAnsi" w:eastAsia="Times New Roman" w:hAnsiTheme="majorHAnsi" w:cstheme="majorHAnsi"/>
                <w:b w:val="0"/>
                <w:bCs w:val="0"/>
                <w:sz w:val="24"/>
                <w:szCs w:val="24"/>
              </w:rPr>
              <w:t xml:space="preserve">. </w:t>
            </w:r>
          </w:p>
        </w:tc>
      </w:tr>
    </w:tbl>
    <w:p w:rsidR="00360195" w:rsidRPr="008376FC" w:rsidRDefault="00360195"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p>
    <w:p w:rsidR="00EE132E" w:rsidRPr="008376FC" w:rsidRDefault="00EE132E"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Ca urmare a nerevizuirii în timp rezonabil a formatului contractelor de gestiune delegată, încheiate până la intrarea </w:t>
      </w:r>
      <w:r w:rsidR="006B1575" w:rsidRPr="008376FC">
        <w:rPr>
          <w:rFonts w:asciiTheme="majorHAnsi" w:eastAsia="Times New Roman" w:hAnsiTheme="majorHAnsi" w:cstheme="majorHAnsi"/>
          <w:b w:val="0"/>
          <w:bCs w:val="0"/>
          <w:sz w:val="24"/>
          <w:szCs w:val="24"/>
        </w:rPr>
        <w:t xml:space="preserve">în vigoare a </w:t>
      </w:r>
      <w:r w:rsidRPr="008376FC">
        <w:rPr>
          <w:rFonts w:asciiTheme="majorHAnsi" w:eastAsia="Times New Roman" w:hAnsiTheme="majorHAnsi" w:cstheme="majorHAnsi"/>
          <w:b w:val="0"/>
          <w:bCs w:val="0"/>
          <w:sz w:val="24"/>
          <w:szCs w:val="24"/>
        </w:rPr>
        <w:t>prevederilor Legii nr.303/2013, contract</w:t>
      </w:r>
      <w:r w:rsidR="006B1575" w:rsidRPr="008376FC">
        <w:rPr>
          <w:rFonts w:asciiTheme="majorHAnsi" w:eastAsia="Times New Roman" w:hAnsiTheme="majorHAnsi" w:cstheme="majorHAnsi"/>
          <w:b w:val="0"/>
          <w:bCs w:val="0"/>
          <w:sz w:val="24"/>
          <w:szCs w:val="24"/>
        </w:rPr>
        <w:t>ele</w:t>
      </w:r>
      <w:r w:rsidRPr="008376FC">
        <w:rPr>
          <w:rFonts w:asciiTheme="majorHAnsi" w:eastAsia="Times New Roman" w:hAnsiTheme="majorHAnsi" w:cstheme="majorHAnsi"/>
          <w:b w:val="0"/>
          <w:bCs w:val="0"/>
          <w:sz w:val="24"/>
          <w:szCs w:val="24"/>
        </w:rPr>
        <w:t xml:space="preserve"> în formatul vechi nu prevăd nici plata redevenței, nici crearea Fondului de dezvoltare. </w:t>
      </w:r>
    </w:p>
    <w:p w:rsidR="00EE132E" w:rsidRPr="008376FC" w:rsidRDefault="00EE132E" w:rsidP="00F61756">
      <w:pPr>
        <w:shd w:val="clear" w:color="auto" w:fill="FFFFFF"/>
        <w:spacing w:after="0" w:line="276" w:lineRule="auto"/>
        <w:ind w:firstLine="539"/>
        <w:jc w:val="right"/>
        <w:rPr>
          <w:rFonts w:asciiTheme="majorHAnsi" w:eastAsia="Times New Roman" w:hAnsiTheme="majorHAnsi" w:cs="Times New Roman"/>
          <w:bCs w:val="0"/>
          <w:sz w:val="20"/>
          <w:szCs w:val="20"/>
        </w:rPr>
      </w:pPr>
      <w:r w:rsidRPr="008376FC">
        <w:rPr>
          <w:rFonts w:asciiTheme="majorHAnsi" w:eastAsia="Times New Roman" w:hAnsiTheme="majorHAnsi" w:cs="Times New Roman"/>
          <w:bCs w:val="0"/>
          <w:sz w:val="20"/>
          <w:szCs w:val="20"/>
        </w:rPr>
        <w:t xml:space="preserve">Tabelul nr. </w:t>
      </w:r>
      <w:r w:rsidR="004C246F" w:rsidRPr="008376FC">
        <w:rPr>
          <w:rFonts w:asciiTheme="majorHAnsi" w:eastAsia="Times New Roman" w:hAnsiTheme="majorHAnsi" w:cs="Times New Roman"/>
          <w:bCs w:val="0"/>
          <w:sz w:val="20"/>
          <w:szCs w:val="20"/>
        </w:rPr>
        <w:t>3</w:t>
      </w:r>
      <w:r w:rsidR="00D91526" w:rsidRPr="008376FC">
        <w:rPr>
          <w:rFonts w:asciiTheme="majorHAnsi" w:eastAsia="Times New Roman" w:hAnsiTheme="majorHAnsi" w:cs="Times New Roman"/>
          <w:bCs w:val="0"/>
          <w:sz w:val="20"/>
          <w:szCs w:val="20"/>
        </w:rPr>
        <w:t>3</w:t>
      </w:r>
    </w:p>
    <w:p w:rsidR="00EE132E" w:rsidRPr="008376FC" w:rsidRDefault="00EE132E" w:rsidP="00F61756">
      <w:pPr>
        <w:shd w:val="clear" w:color="auto" w:fill="FFFFFF"/>
        <w:spacing w:after="0" w:line="276" w:lineRule="auto"/>
        <w:ind w:firstLine="539"/>
        <w:jc w:val="both"/>
        <w:rPr>
          <w:rFonts w:asciiTheme="majorHAnsi" w:eastAsia="Times New Roman" w:hAnsiTheme="majorHAnsi" w:cs="Times New Roman"/>
          <w:b w:val="0"/>
          <w:bCs w:val="0"/>
          <w:sz w:val="20"/>
          <w:szCs w:val="20"/>
        </w:rPr>
      </w:pPr>
      <w:r w:rsidRPr="008376FC">
        <w:rPr>
          <w:rFonts w:asciiTheme="majorHAnsi" w:eastAsia="Times New Roman" w:hAnsiTheme="majorHAnsi" w:cs="Times New Roman"/>
          <w:bCs w:val="0"/>
          <w:sz w:val="20"/>
          <w:szCs w:val="20"/>
        </w:rPr>
        <w:t>Compara</w:t>
      </w:r>
      <w:r w:rsidR="00C64DA4">
        <w:rPr>
          <w:rFonts w:asciiTheme="majorHAnsi" w:eastAsia="Times New Roman" w:hAnsiTheme="majorHAnsi" w:cs="Times New Roman"/>
          <w:bCs w:val="0"/>
          <w:sz w:val="20"/>
          <w:szCs w:val="20"/>
        </w:rPr>
        <w:t>rea</w:t>
      </w:r>
      <w:r w:rsidRPr="008376FC">
        <w:rPr>
          <w:rFonts w:asciiTheme="majorHAnsi" w:eastAsia="Times New Roman" w:hAnsiTheme="majorHAnsi" w:cs="Times New Roman"/>
          <w:bCs w:val="0"/>
          <w:sz w:val="20"/>
          <w:szCs w:val="20"/>
        </w:rPr>
        <w:t xml:space="preserve"> conținutului din contract</w:t>
      </w:r>
      <w:r w:rsidR="00C64DA4">
        <w:rPr>
          <w:rFonts w:asciiTheme="majorHAnsi" w:eastAsia="Times New Roman" w:hAnsiTheme="majorHAnsi" w:cs="Times New Roman"/>
          <w:bCs w:val="0"/>
          <w:sz w:val="20"/>
          <w:szCs w:val="20"/>
        </w:rPr>
        <w:t>e</w:t>
      </w:r>
      <w:r w:rsidRPr="008376FC">
        <w:rPr>
          <w:rFonts w:asciiTheme="majorHAnsi" w:eastAsia="Times New Roman" w:hAnsiTheme="majorHAnsi" w:cs="Times New Roman"/>
          <w:bCs w:val="0"/>
          <w:sz w:val="20"/>
          <w:szCs w:val="20"/>
        </w:rPr>
        <w:t>le de gestiune delegat</w:t>
      </w:r>
      <w:r w:rsidR="00C64DA4">
        <w:rPr>
          <w:rFonts w:asciiTheme="majorHAnsi" w:eastAsia="Times New Roman" w:hAnsiTheme="majorHAnsi" w:cs="Times New Roman"/>
          <w:bCs w:val="0"/>
          <w:sz w:val="20"/>
          <w:szCs w:val="20"/>
        </w:rPr>
        <w:t>ă,</w:t>
      </w:r>
      <w:r w:rsidRPr="008376FC">
        <w:rPr>
          <w:rFonts w:asciiTheme="majorHAnsi" w:eastAsia="Times New Roman" w:hAnsiTheme="majorHAnsi" w:cs="Times New Roman"/>
          <w:bCs w:val="0"/>
          <w:sz w:val="20"/>
          <w:szCs w:val="20"/>
        </w:rPr>
        <w:t xml:space="preserve"> încheiate în </w:t>
      </w:r>
      <w:r w:rsidR="00C64DA4">
        <w:rPr>
          <w:rFonts w:asciiTheme="majorHAnsi" w:eastAsia="Times New Roman" w:hAnsiTheme="majorHAnsi" w:cs="Times New Roman"/>
          <w:bCs w:val="0"/>
          <w:sz w:val="20"/>
          <w:szCs w:val="20"/>
        </w:rPr>
        <w:t>f</w:t>
      </w:r>
      <w:r w:rsidRPr="008376FC">
        <w:rPr>
          <w:rFonts w:asciiTheme="majorHAnsi" w:eastAsia="Times New Roman" w:hAnsiTheme="majorHAnsi" w:cs="Times New Roman"/>
          <w:bCs w:val="0"/>
          <w:sz w:val="20"/>
          <w:szCs w:val="20"/>
        </w:rPr>
        <w:t xml:space="preserve">ormat nou și în </w:t>
      </w:r>
      <w:r w:rsidR="00C64DA4">
        <w:rPr>
          <w:rFonts w:asciiTheme="majorHAnsi" w:eastAsia="Times New Roman" w:hAnsiTheme="majorHAnsi" w:cs="Times New Roman"/>
          <w:bCs w:val="0"/>
          <w:sz w:val="20"/>
          <w:szCs w:val="20"/>
        </w:rPr>
        <w:t>f</w:t>
      </w:r>
      <w:r w:rsidRPr="008376FC">
        <w:rPr>
          <w:rFonts w:asciiTheme="majorHAnsi" w:eastAsia="Times New Roman" w:hAnsiTheme="majorHAnsi" w:cs="Times New Roman"/>
          <w:bCs w:val="0"/>
          <w:sz w:val="20"/>
          <w:szCs w:val="20"/>
        </w:rPr>
        <w:t>ormat vechi</w:t>
      </w:r>
    </w:p>
    <w:tbl>
      <w:tblPr>
        <w:tblStyle w:val="TableGrid9"/>
        <w:tblW w:w="0" w:type="auto"/>
        <w:tblLook w:val="04A0" w:firstRow="1" w:lastRow="0" w:firstColumn="1" w:lastColumn="0" w:noHBand="0" w:noVBand="1"/>
      </w:tblPr>
      <w:tblGrid>
        <w:gridCol w:w="459"/>
        <w:gridCol w:w="4122"/>
        <w:gridCol w:w="493"/>
        <w:gridCol w:w="4604"/>
      </w:tblGrid>
      <w:tr w:rsidR="00EE132E" w:rsidRPr="008376FC" w:rsidTr="004C246F">
        <w:tc>
          <w:tcPr>
            <w:tcW w:w="467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E132E" w:rsidRPr="008376FC" w:rsidRDefault="00EE132E" w:rsidP="00E916FF">
            <w:pPr>
              <w:jc w:val="both"/>
              <w:rPr>
                <w:rFonts w:asciiTheme="majorHAnsi" w:eastAsia="Times New Roman" w:hAnsiTheme="majorHAnsi"/>
                <w:bCs w:val="0"/>
                <w:sz w:val="20"/>
                <w:szCs w:val="20"/>
              </w:rPr>
            </w:pPr>
            <w:r w:rsidRPr="008376FC">
              <w:rPr>
                <w:rFonts w:asciiTheme="majorHAnsi" w:eastAsia="Times New Roman" w:hAnsiTheme="majorHAnsi"/>
                <w:bCs w:val="0"/>
                <w:sz w:val="20"/>
                <w:szCs w:val="20"/>
              </w:rPr>
              <w:t>Structura contr</w:t>
            </w:r>
            <w:r w:rsidR="00C64DA4">
              <w:rPr>
                <w:rFonts w:asciiTheme="majorHAnsi" w:eastAsia="Times New Roman" w:hAnsiTheme="majorHAnsi"/>
                <w:bCs w:val="0"/>
                <w:sz w:val="20"/>
                <w:szCs w:val="20"/>
              </w:rPr>
              <w:t>a</w:t>
            </w:r>
            <w:r w:rsidRPr="008376FC">
              <w:rPr>
                <w:rFonts w:asciiTheme="majorHAnsi" w:eastAsia="Times New Roman" w:hAnsiTheme="majorHAnsi"/>
                <w:bCs w:val="0"/>
                <w:sz w:val="20"/>
                <w:szCs w:val="20"/>
              </w:rPr>
              <w:t>ctului vechi de gestiune delegat</w:t>
            </w:r>
            <w:r w:rsidR="00C64DA4">
              <w:rPr>
                <w:rFonts w:asciiTheme="majorHAnsi" w:eastAsia="Times New Roman" w:hAnsiTheme="majorHAnsi"/>
                <w:bCs w:val="0"/>
                <w:sz w:val="20"/>
                <w:szCs w:val="20"/>
              </w:rPr>
              <w:t>ă</w:t>
            </w:r>
            <w:r w:rsidRPr="008376FC">
              <w:rPr>
                <w:rFonts w:asciiTheme="majorHAnsi" w:eastAsia="Times New Roman" w:hAnsiTheme="majorHAnsi"/>
                <w:bCs w:val="0"/>
                <w:sz w:val="20"/>
                <w:szCs w:val="20"/>
              </w:rPr>
              <w:t xml:space="preserve"> a serviciilor de alimentare cu apă și canalizare</w:t>
            </w:r>
            <w:r w:rsidRPr="008376FC">
              <w:rPr>
                <w:rFonts w:asciiTheme="majorHAnsi" w:eastAsia="Times New Roman" w:hAnsiTheme="majorHAnsi"/>
                <w:bCs w:val="0"/>
                <w:sz w:val="20"/>
                <w:szCs w:val="20"/>
                <w:vertAlign w:val="superscript"/>
              </w:rPr>
              <w:footnoteReference w:id="146"/>
            </w:r>
          </w:p>
        </w:tc>
        <w:tc>
          <w:tcPr>
            <w:tcW w:w="5217"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E132E" w:rsidRPr="008376FC" w:rsidRDefault="00EE132E" w:rsidP="00E916FF">
            <w:pPr>
              <w:jc w:val="both"/>
              <w:rPr>
                <w:rFonts w:asciiTheme="majorHAnsi" w:eastAsia="Times New Roman" w:hAnsiTheme="majorHAnsi"/>
                <w:bCs w:val="0"/>
                <w:sz w:val="20"/>
                <w:szCs w:val="20"/>
              </w:rPr>
            </w:pPr>
            <w:r w:rsidRPr="008376FC">
              <w:rPr>
                <w:rFonts w:asciiTheme="majorHAnsi" w:eastAsia="Times New Roman" w:hAnsiTheme="majorHAnsi"/>
                <w:bCs w:val="0"/>
                <w:sz w:val="20"/>
                <w:szCs w:val="20"/>
              </w:rPr>
              <w:t>Structura contractului nou de gestiune delegat</w:t>
            </w:r>
            <w:r w:rsidR="00C64DA4">
              <w:rPr>
                <w:rFonts w:asciiTheme="majorHAnsi" w:eastAsia="Times New Roman" w:hAnsiTheme="majorHAnsi"/>
                <w:bCs w:val="0"/>
                <w:sz w:val="20"/>
                <w:szCs w:val="20"/>
              </w:rPr>
              <w:t>ă</w:t>
            </w:r>
            <w:r w:rsidRPr="008376FC">
              <w:rPr>
                <w:rFonts w:asciiTheme="majorHAnsi" w:eastAsia="Times New Roman" w:hAnsiTheme="majorHAnsi"/>
                <w:bCs w:val="0"/>
                <w:sz w:val="20"/>
                <w:szCs w:val="20"/>
              </w:rPr>
              <w:t xml:space="preserve"> a serviciilor de alimentare cu apă și canalizare</w:t>
            </w:r>
            <w:r w:rsidRPr="008376FC">
              <w:rPr>
                <w:rFonts w:asciiTheme="majorHAnsi" w:eastAsia="Times New Roman" w:hAnsiTheme="majorHAnsi"/>
                <w:bCs w:val="0"/>
                <w:sz w:val="20"/>
                <w:szCs w:val="20"/>
                <w:vertAlign w:val="superscript"/>
              </w:rPr>
              <w:footnoteReference w:id="147"/>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Părțile contractului</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Părțile contractului</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2</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Definiții</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2</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Obiectul contractului</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3</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Obiectul și obiectivele contractului</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3</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Drepturile și obligațiunile părților</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4</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Regimul bunurilor</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4</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Durata contractului</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5</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Prevederi generale</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5</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Administrarea patrimoniului public și privat preluat</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6</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Durata contractului și aria serviciilor</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6</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Tarifele. Modul de determinare și încasare a contravalorii serrviciului public și serviciilor auxiliare prestate</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7</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Contul serviciilor datoriei</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7</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Nivelul și plata redevenței</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8</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Drepturile părților</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8</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 xml:space="preserve">Forța de muncă și condițiile privind </w:t>
            </w:r>
            <w:r w:rsidR="00C64DA4">
              <w:rPr>
                <w:rFonts w:asciiTheme="majorHAnsi" w:eastAsia="Times New Roman" w:hAnsiTheme="majorHAnsi"/>
                <w:b w:val="0"/>
                <w:bCs w:val="0"/>
                <w:sz w:val="20"/>
                <w:szCs w:val="20"/>
              </w:rPr>
              <w:t>p</w:t>
            </w:r>
            <w:r w:rsidRPr="008376FC">
              <w:rPr>
                <w:rFonts w:asciiTheme="majorHAnsi" w:eastAsia="Times New Roman" w:hAnsiTheme="majorHAnsi"/>
                <w:b w:val="0"/>
                <w:bCs w:val="0"/>
                <w:sz w:val="20"/>
                <w:szCs w:val="20"/>
              </w:rPr>
              <w:t>rotecția social</w:t>
            </w:r>
            <w:r w:rsidR="00C64DA4">
              <w:rPr>
                <w:rFonts w:asciiTheme="majorHAnsi" w:eastAsia="Times New Roman" w:hAnsiTheme="majorHAnsi"/>
                <w:b w:val="0"/>
                <w:bCs w:val="0"/>
                <w:sz w:val="20"/>
                <w:szCs w:val="20"/>
              </w:rPr>
              <w:t>ă</w:t>
            </w:r>
            <w:r w:rsidRPr="008376FC">
              <w:rPr>
                <w:rFonts w:asciiTheme="majorHAnsi" w:eastAsia="Times New Roman" w:hAnsiTheme="majorHAnsi"/>
                <w:b w:val="0"/>
                <w:bCs w:val="0"/>
                <w:sz w:val="20"/>
                <w:szCs w:val="20"/>
              </w:rPr>
              <w:t xml:space="preserve"> a salariaților</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9</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Obligațiunile părților</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9</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Răspunderea contractuală</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10</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Sistemul de lucrări</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10</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Forța majoră</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11</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Indicatorii de performanță</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11</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Condițiile de redefinire (modificare) a clauzelor contractuale</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12</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Sistemul de tarife</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12</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Condiţiile de repartiţie şi restituire a bunurilor la încetarea contractului sau retragerea unui sau mai multor delegatari</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13</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Raportarea</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13</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Menținerea echilibrului contractual</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14</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Încetarea contractului</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14</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Rezilierea contractului sau retragerea din contract</w:t>
            </w: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15</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Responsabilitățile de mediu</w:t>
            </w:r>
          </w:p>
        </w:tc>
        <w:tc>
          <w:tcPr>
            <w:tcW w:w="496"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15</w:t>
            </w:r>
          </w:p>
        </w:tc>
        <w:tc>
          <w:tcPr>
            <w:tcW w:w="4721"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Dispoziții finale</w:t>
            </w:r>
          </w:p>
        </w:tc>
      </w:tr>
      <w:tr w:rsidR="00EE132E" w:rsidRPr="008376FC" w:rsidTr="00BD559D">
        <w:trPr>
          <w:trHeight w:val="482"/>
        </w:trPr>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16</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Administrarea domeniului public corespunzător furnizării de apă și serviciilor de canalizare</w:t>
            </w:r>
          </w:p>
        </w:tc>
        <w:tc>
          <w:tcPr>
            <w:tcW w:w="496"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tc>
        <w:tc>
          <w:tcPr>
            <w:tcW w:w="4721"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p w:rsidR="00EE132E" w:rsidRPr="008376FC" w:rsidRDefault="00EE132E" w:rsidP="00E916FF">
            <w:pPr>
              <w:jc w:val="both"/>
              <w:rPr>
                <w:rFonts w:asciiTheme="majorHAnsi" w:eastAsia="Times New Roman" w:hAnsiTheme="majorHAnsi"/>
                <w:b w:val="0"/>
                <w:bCs w:val="0"/>
                <w:sz w:val="20"/>
                <w:szCs w:val="20"/>
              </w:rPr>
            </w:pP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17</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Personal</w:t>
            </w:r>
          </w:p>
        </w:tc>
        <w:tc>
          <w:tcPr>
            <w:tcW w:w="496"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tc>
        <w:tc>
          <w:tcPr>
            <w:tcW w:w="4721"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18</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Forța majoră</w:t>
            </w:r>
          </w:p>
        </w:tc>
        <w:tc>
          <w:tcPr>
            <w:tcW w:w="496"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tc>
        <w:tc>
          <w:tcPr>
            <w:tcW w:w="4721"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19</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Responsabilitate</w:t>
            </w:r>
          </w:p>
        </w:tc>
        <w:tc>
          <w:tcPr>
            <w:tcW w:w="496"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tc>
        <w:tc>
          <w:tcPr>
            <w:tcW w:w="4721"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20</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Litigii</w:t>
            </w:r>
          </w:p>
        </w:tc>
        <w:tc>
          <w:tcPr>
            <w:tcW w:w="496"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tc>
        <w:tc>
          <w:tcPr>
            <w:tcW w:w="4721"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tc>
      </w:tr>
      <w:tr w:rsidR="00EE132E" w:rsidRPr="008376FC" w:rsidTr="004C246F">
        <w:tc>
          <w:tcPr>
            <w:tcW w:w="460"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21</w:t>
            </w:r>
          </w:p>
        </w:tc>
        <w:tc>
          <w:tcPr>
            <w:tcW w:w="4212" w:type="dxa"/>
            <w:tcBorders>
              <w:top w:val="single" w:sz="4" w:space="0" w:color="auto"/>
              <w:left w:val="single" w:sz="4" w:space="0" w:color="auto"/>
              <w:bottom w:val="single" w:sz="4" w:space="0" w:color="auto"/>
              <w:right w:val="single" w:sz="4" w:space="0" w:color="auto"/>
            </w:tcBorders>
            <w:hideMark/>
          </w:tcPr>
          <w:p w:rsidR="00EE132E" w:rsidRPr="008376FC" w:rsidRDefault="00EE132E" w:rsidP="00E916FF">
            <w:pPr>
              <w:jc w:val="both"/>
              <w:rPr>
                <w:rFonts w:asciiTheme="majorHAnsi" w:eastAsia="Times New Roman" w:hAnsiTheme="majorHAnsi"/>
                <w:b w:val="0"/>
                <w:bCs w:val="0"/>
                <w:sz w:val="20"/>
                <w:szCs w:val="20"/>
              </w:rPr>
            </w:pPr>
            <w:r w:rsidRPr="008376FC">
              <w:rPr>
                <w:rFonts w:asciiTheme="majorHAnsi" w:eastAsia="Times New Roman" w:hAnsiTheme="majorHAnsi"/>
                <w:b w:val="0"/>
                <w:bCs w:val="0"/>
                <w:sz w:val="20"/>
                <w:szCs w:val="20"/>
              </w:rPr>
              <w:t>Prevederi finale</w:t>
            </w:r>
          </w:p>
        </w:tc>
        <w:tc>
          <w:tcPr>
            <w:tcW w:w="496"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tc>
        <w:tc>
          <w:tcPr>
            <w:tcW w:w="4721" w:type="dxa"/>
            <w:tcBorders>
              <w:top w:val="single" w:sz="4" w:space="0" w:color="auto"/>
              <w:left w:val="single" w:sz="4" w:space="0" w:color="auto"/>
              <w:bottom w:val="single" w:sz="4" w:space="0" w:color="auto"/>
              <w:right w:val="single" w:sz="4" w:space="0" w:color="auto"/>
            </w:tcBorders>
          </w:tcPr>
          <w:p w:rsidR="00EE132E" w:rsidRPr="008376FC" w:rsidRDefault="00EE132E" w:rsidP="00E916FF">
            <w:pPr>
              <w:jc w:val="both"/>
              <w:rPr>
                <w:rFonts w:asciiTheme="majorHAnsi" w:eastAsia="Times New Roman" w:hAnsiTheme="majorHAnsi"/>
                <w:b w:val="0"/>
                <w:bCs w:val="0"/>
                <w:sz w:val="20"/>
                <w:szCs w:val="20"/>
              </w:rPr>
            </w:pPr>
          </w:p>
        </w:tc>
      </w:tr>
    </w:tbl>
    <w:p w:rsidR="00EE132E" w:rsidRPr="008376FC" w:rsidRDefault="00EE132E" w:rsidP="00F61756">
      <w:pPr>
        <w:shd w:val="clear" w:color="auto" w:fill="FFFFFF"/>
        <w:spacing w:after="0" w:line="276" w:lineRule="auto"/>
        <w:ind w:firstLine="540"/>
        <w:jc w:val="both"/>
        <w:rPr>
          <w:rFonts w:asciiTheme="majorHAnsi" w:eastAsia="Times New Roman" w:hAnsiTheme="majorHAnsi" w:cs="Times New Roman"/>
          <w:b w:val="0"/>
          <w:bCs w:val="0"/>
          <w:sz w:val="24"/>
          <w:szCs w:val="24"/>
        </w:rPr>
      </w:pPr>
    </w:p>
    <w:p w:rsidR="00EE132E" w:rsidRPr="008376FC" w:rsidRDefault="00EE132E"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Astfel, APL urmează să inventarie</w:t>
      </w:r>
      <w:r w:rsidR="006B1575" w:rsidRPr="008376FC">
        <w:rPr>
          <w:rFonts w:asciiTheme="majorHAnsi" w:eastAsia="Times New Roman" w:hAnsiTheme="majorHAnsi" w:cstheme="majorHAnsi"/>
          <w:b w:val="0"/>
          <w:bCs w:val="0"/>
          <w:sz w:val="24"/>
          <w:szCs w:val="24"/>
        </w:rPr>
        <w:t>z</w:t>
      </w:r>
      <w:r w:rsidRPr="008376FC">
        <w:rPr>
          <w:rFonts w:asciiTheme="majorHAnsi" w:eastAsia="Times New Roman" w:hAnsiTheme="majorHAnsi" w:cstheme="majorHAnsi"/>
          <w:b w:val="0"/>
          <w:bCs w:val="0"/>
          <w:sz w:val="24"/>
          <w:szCs w:val="24"/>
        </w:rPr>
        <w:t xml:space="preserve">e toate contractele de gestiune delegată încheiate cu operatorii licențiați, pentru a aduce conținutul acestora în conformitate cu prevederile Legii nr.303/2013 și </w:t>
      </w:r>
      <w:r w:rsidR="00CF2DA4">
        <w:rPr>
          <w:rFonts w:asciiTheme="majorHAnsi" w:eastAsia="Times New Roman" w:hAnsiTheme="majorHAnsi" w:cstheme="majorHAnsi"/>
          <w:b w:val="0"/>
          <w:bCs w:val="0"/>
          <w:sz w:val="24"/>
          <w:szCs w:val="24"/>
        </w:rPr>
        <w:t xml:space="preserve">ale </w:t>
      </w:r>
      <w:r w:rsidRPr="008376FC">
        <w:rPr>
          <w:rFonts w:asciiTheme="majorHAnsi" w:eastAsia="Times New Roman" w:hAnsiTheme="majorHAnsi" w:cstheme="majorHAnsi"/>
          <w:b w:val="0"/>
          <w:bCs w:val="0"/>
          <w:sz w:val="24"/>
          <w:szCs w:val="24"/>
        </w:rPr>
        <w:t>actelor conexe aceste</w:t>
      </w:r>
      <w:r w:rsidR="00CF2DA4">
        <w:rPr>
          <w:rFonts w:asciiTheme="majorHAnsi" w:eastAsia="Times New Roman" w:hAnsiTheme="majorHAnsi" w:cstheme="majorHAnsi"/>
          <w:b w:val="0"/>
          <w:bCs w:val="0"/>
          <w:sz w:val="24"/>
          <w:szCs w:val="24"/>
        </w:rPr>
        <w:t>i</w:t>
      </w:r>
      <w:r w:rsidRPr="008376FC">
        <w:rPr>
          <w:rFonts w:asciiTheme="majorHAnsi" w:eastAsia="Times New Roman" w:hAnsiTheme="majorHAnsi" w:cstheme="majorHAnsi"/>
          <w:b w:val="0"/>
          <w:bCs w:val="0"/>
          <w:sz w:val="24"/>
          <w:szCs w:val="24"/>
        </w:rPr>
        <w:t>a, iar ANRE</w:t>
      </w:r>
      <w:r w:rsidR="00CF2DA4">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prin prisma prevederilor art.9</w:t>
      </w:r>
      <w:r w:rsidRPr="008376FC">
        <w:rPr>
          <w:rFonts w:asciiTheme="majorHAnsi" w:eastAsia="Times New Roman" w:hAnsiTheme="majorHAnsi" w:cstheme="majorHAnsi"/>
          <w:b w:val="0"/>
          <w:bCs w:val="0"/>
          <w:sz w:val="24"/>
          <w:szCs w:val="24"/>
          <w:vertAlign w:val="superscript"/>
        </w:rPr>
        <w:t>1</w:t>
      </w:r>
      <w:r w:rsidRPr="008376FC">
        <w:rPr>
          <w:rFonts w:asciiTheme="majorHAnsi" w:eastAsia="Times New Roman" w:hAnsiTheme="majorHAnsi" w:cstheme="majorHAnsi"/>
          <w:b w:val="0"/>
          <w:bCs w:val="0"/>
          <w:sz w:val="24"/>
          <w:szCs w:val="24"/>
        </w:rPr>
        <w:t xml:space="preserve"> din Legea nr.303/2013</w:t>
      </w:r>
      <w:r w:rsidR="00CF2DA4">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urmează să monitorizeze și </w:t>
      </w:r>
      <w:r w:rsidR="00CF2DA4">
        <w:rPr>
          <w:rFonts w:asciiTheme="majorHAnsi" w:eastAsia="Times New Roman" w:hAnsiTheme="majorHAnsi" w:cstheme="majorHAnsi"/>
          <w:b w:val="0"/>
          <w:bCs w:val="0"/>
          <w:sz w:val="24"/>
          <w:szCs w:val="24"/>
        </w:rPr>
        <w:t xml:space="preserve">să </w:t>
      </w:r>
      <w:r w:rsidRPr="008376FC">
        <w:rPr>
          <w:rFonts w:asciiTheme="majorHAnsi" w:eastAsia="Times New Roman" w:hAnsiTheme="majorHAnsi" w:cstheme="majorHAnsi"/>
          <w:b w:val="0"/>
          <w:bCs w:val="0"/>
          <w:sz w:val="24"/>
          <w:szCs w:val="24"/>
        </w:rPr>
        <w:t>verifice</w:t>
      </w:r>
      <w:r w:rsidRPr="00A46483">
        <w:rPr>
          <w:rFonts w:asciiTheme="majorHAnsi" w:eastAsia="Times New Roman" w:hAnsiTheme="majorHAnsi" w:cstheme="majorHAnsi"/>
          <w:b w:val="0"/>
          <w:bCs w:val="0"/>
          <w:sz w:val="24"/>
          <w:szCs w:val="24"/>
        </w:rPr>
        <w:t>, prin control, activitatea</w:t>
      </w:r>
      <w:r w:rsidRPr="008376FC">
        <w:rPr>
          <w:rFonts w:asciiTheme="majorHAnsi" w:eastAsia="Times New Roman" w:hAnsiTheme="majorHAnsi" w:cstheme="majorHAnsi"/>
          <w:b w:val="0"/>
          <w:bCs w:val="0"/>
          <w:sz w:val="24"/>
          <w:szCs w:val="24"/>
        </w:rPr>
        <w:t xml:space="preserve"> operatorilor pentru asigurarea respectării legislației din domeniu în desfășurarea activității licențiate, inclusiv în ceea ce priveşte corespunderea contractelor de gestuine delelgată cerinţelor normative în vigoare</w:t>
      </w:r>
      <w:r w:rsidR="00CF2DA4">
        <w:rPr>
          <w:rFonts w:asciiTheme="majorHAnsi" w:eastAsia="Times New Roman" w:hAnsiTheme="majorHAnsi" w:cstheme="majorHAnsi"/>
          <w:b w:val="0"/>
          <w:bCs w:val="0"/>
          <w:sz w:val="24"/>
          <w:szCs w:val="24"/>
        </w:rPr>
        <w:t>;</w:t>
      </w:r>
    </w:p>
    <w:p w:rsidR="00EE132E" w:rsidRPr="008376FC" w:rsidRDefault="00EE132E"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w:t>
      </w:r>
    </w:p>
    <w:p w:rsidR="00EE132E" w:rsidRPr="008376FC" w:rsidRDefault="00CF2DA4" w:rsidP="00F61756">
      <w:pPr>
        <w:numPr>
          <w:ilvl w:val="0"/>
          <w:numId w:val="24"/>
        </w:numPr>
        <w:shd w:val="clear" w:color="auto" w:fill="FFFFFF"/>
        <w:spacing w:after="0" w:line="276" w:lineRule="auto"/>
        <w:jc w:val="both"/>
        <w:rPr>
          <w:rFonts w:asciiTheme="majorHAnsi" w:eastAsia="Times New Roman" w:hAnsiTheme="majorHAnsi" w:cstheme="majorHAnsi"/>
          <w:bCs w:val="0"/>
          <w:sz w:val="24"/>
          <w:szCs w:val="24"/>
        </w:rPr>
      </w:pPr>
      <w:r>
        <w:rPr>
          <w:rFonts w:asciiTheme="majorHAnsi" w:eastAsia="Times New Roman" w:hAnsiTheme="majorHAnsi" w:cstheme="majorHAnsi"/>
          <w:bCs w:val="0"/>
          <w:sz w:val="24"/>
          <w:szCs w:val="24"/>
        </w:rPr>
        <w:t>i</w:t>
      </w:r>
      <w:r w:rsidR="00EE132E" w:rsidRPr="008376FC">
        <w:rPr>
          <w:rFonts w:asciiTheme="majorHAnsi" w:eastAsia="Times New Roman" w:hAnsiTheme="majorHAnsi" w:cstheme="majorHAnsi"/>
          <w:bCs w:val="0"/>
          <w:sz w:val="24"/>
          <w:szCs w:val="24"/>
        </w:rPr>
        <w:t>ndicatorii de performanță</w:t>
      </w:r>
    </w:p>
    <w:p w:rsidR="00EE132E" w:rsidRPr="008376FC" w:rsidRDefault="00EE132E"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Conform art.13 alin. (9) din Legea nr.303/2013, criteriile principale pentru încheierea contractelor de delegare a gestiunii s</w:t>
      </w:r>
      <w:r w:rsidR="006B1575" w:rsidRPr="008376FC">
        <w:rPr>
          <w:rFonts w:asciiTheme="majorHAnsi" w:eastAsia="Times New Roman" w:hAnsiTheme="majorHAnsi" w:cstheme="majorHAnsi"/>
          <w:b w:val="0"/>
          <w:bCs w:val="0"/>
          <w:sz w:val="24"/>
          <w:szCs w:val="24"/>
        </w:rPr>
        <w:t>u</w:t>
      </w:r>
      <w:r w:rsidRPr="008376FC">
        <w:rPr>
          <w:rFonts w:asciiTheme="majorHAnsi" w:eastAsia="Times New Roman" w:hAnsiTheme="majorHAnsi" w:cstheme="majorHAnsi"/>
          <w:b w:val="0"/>
          <w:bCs w:val="0"/>
          <w:sz w:val="24"/>
          <w:szCs w:val="24"/>
        </w:rPr>
        <w:t>nt garanţiile profesionale şi financiare ale operatorilor, precum şi indicatorii de performanță la furnizarea/prestarea serviciului în condiţii de calitate şi cantitate corespunzătoare. </w:t>
      </w:r>
    </w:p>
    <w:p w:rsidR="00EE132E" w:rsidRPr="008376FC" w:rsidRDefault="000056B2"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În scopul exercitării atribuțuțiilor stabilte în art. 7 alin. (2) lit. g) din Legea </w:t>
      </w:r>
      <w:r w:rsidR="00CF2DA4">
        <w:rPr>
          <w:rFonts w:asciiTheme="majorHAnsi" w:eastAsia="Times New Roman" w:hAnsiTheme="majorHAnsi" w:cstheme="majorHAnsi"/>
          <w:b w:val="0"/>
          <w:bCs w:val="0"/>
          <w:sz w:val="24"/>
          <w:szCs w:val="24"/>
        </w:rPr>
        <w:t>nr.</w:t>
      </w:r>
      <w:r w:rsidRPr="008376FC">
        <w:rPr>
          <w:rFonts w:asciiTheme="majorHAnsi" w:eastAsia="Times New Roman" w:hAnsiTheme="majorHAnsi" w:cstheme="majorHAnsi"/>
          <w:b w:val="0"/>
          <w:bCs w:val="0"/>
          <w:sz w:val="24"/>
          <w:szCs w:val="24"/>
        </w:rPr>
        <w:t xml:space="preserve">303/2013, Agenția a elaborat și </w:t>
      </w:r>
      <w:r w:rsidR="00CF2DA4">
        <w:rPr>
          <w:rFonts w:asciiTheme="majorHAnsi" w:eastAsia="Times New Roman" w:hAnsiTheme="majorHAnsi" w:cstheme="majorHAnsi"/>
          <w:b w:val="0"/>
          <w:bCs w:val="0"/>
          <w:sz w:val="24"/>
          <w:szCs w:val="24"/>
        </w:rPr>
        <w:t xml:space="preserve">a </w:t>
      </w:r>
      <w:r w:rsidRPr="008376FC">
        <w:rPr>
          <w:rFonts w:asciiTheme="majorHAnsi" w:eastAsia="Times New Roman" w:hAnsiTheme="majorHAnsi" w:cstheme="majorHAnsi"/>
          <w:b w:val="0"/>
          <w:bCs w:val="0"/>
          <w:sz w:val="24"/>
          <w:szCs w:val="24"/>
        </w:rPr>
        <w:t>aprobat</w:t>
      </w:r>
      <w:r w:rsidR="00CF2DA4">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prin Hotărârea ANRE  nr. 356/2019</w:t>
      </w:r>
      <w:r w:rsidR="00CF2DA4">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Regulamentul-cadru cu privire la indicatorii de performanță ai serviciului public de alimentare cu apă și de canalizare. Potrivit art. 8 alin. (1) lit. n) din Legea </w:t>
      </w:r>
      <w:r w:rsidR="00CF2DA4">
        <w:rPr>
          <w:rFonts w:asciiTheme="majorHAnsi" w:eastAsia="Times New Roman" w:hAnsiTheme="majorHAnsi" w:cstheme="majorHAnsi"/>
          <w:b w:val="0"/>
          <w:bCs w:val="0"/>
          <w:sz w:val="24"/>
          <w:szCs w:val="24"/>
        </w:rPr>
        <w:t>menționată,</w:t>
      </w:r>
      <w:r w:rsidRPr="008376FC">
        <w:rPr>
          <w:rFonts w:asciiTheme="majorHAnsi" w:eastAsia="Times New Roman" w:hAnsiTheme="majorHAnsi" w:cstheme="majorHAnsi"/>
          <w:b w:val="0"/>
          <w:bCs w:val="0"/>
          <w:sz w:val="24"/>
          <w:szCs w:val="24"/>
        </w:rPr>
        <w:t xml:space="preserve"> în competența APL este stabilită aprobarea indicatorilor de performanță ai serviciului în conformitate cu Regulamentul-cadru. </w:t>
      </w:r>
      <w:r w:rsidR="00CF2DA4">
        <w:rPr>
          <w:rFonts w:asciiTheme="majorHAnsi" w:eastAsia="Times New Roman" w:hAnsiTheme="majorHAnsi" w:cstheme="majorHAnsi"/>
          <w:b w:val="0"/>
          <w:bCs w:val="0"/>
          <w:sz w:val="24"/>
          <w:szCs w:val="24"/>
        </w:rPr>
        <w:t>Astfel</w:t>
      </w:r>
      <w:r w:rsidR="004E6906" w:rsidRPr="008376FC">
        <w:rPr>
          <w:rFonts w:asciiTheme="majorHAnsi" w:eastAsia="Times New Roman" w:hAnsiTheme="majorHAnsi" w:cstheme="majorHAnsi"/>
          <w:b w:val="0"/>
          <w:bCs w:val="0"/>
          <w:sz w:val="24"/>
          <w:szCs w:val="24"/>
        </w:rPr>
        <w:t>, titularii de licenț</w:t>
      </w:r>
      <w:r w:rsidR="00CF2DA4">
        <w:rPr>
          <w:rFonts w:asciiTheme="majorHAnsi" w:eastAsia="Times New Roman" w:hAnsiTheme="majorHAnsi" w:cstheme="majorHAnsi"/>
          <w:b w:val="0"/>
          <w:bCs w:val="0"/>
          <w:sz w:val="24"/>
          <w:szCs w:val="24"/>
        </w:rPr>
        <w:t>ă</w:t>
      </w:r>
      <w:r w:rsidR="004E6906" w:rsidRPr="008376FC">
        <w:rPr>
          <w:rFonts w:asciiTheme="majorHAnsi" w:eastAsia="Times New Roman" w:hAnsiTheme="majorHAnsi" w:cstheme="majorHAnsi"/>
          <w:b w:val="0"/>
          <w:bCs w:val="0"/>
          <w:sz w:val="24"/>
          <w:szCs w:val="24"/>
        </w:rPr>
        <w:t xml:space="preserve"> prez</w:t>
      </w:r>
      <w:r w:rsidR="00CF2DA4">
        <w:rPr>
          <w:rFonts w:asciiTheme="majorHAnsi" w:eastAsia="Times New Roman" w:hAnsiTheme="majorHAnsi" w:cstheme="majorHAnsi"/>
          <w:b w:val="0"/>
          <w:bCs w:val="0"/>
          <w:sz w:val="24"/>
          <w:szCs w:val="24"/>
        </w:rPr>
        <w:t>i</w:t>
      </w:r>
      <w:r w:rsidR="004E6906" w:rsidRPr="008376FC">
        <w:rPr>
          <w:rFonts w:asciiTheme="majorHAnsi" w:eastAsia="Times New Roman" w:hAnsiTheme="majorHAnsi" w:cstheme="majorHAnsi"/>
          <w:b w:val="0"/>
          <w:bCs w:val="0"/>
          <w:sz w:val="24"/>
          <w:szCs w:val="24"/>
        </w:rPr>
        <w:t>ntă ANRE rapoarte privind valorile realizate ale indicatorilor de performanță,</w:t>
      </w:r>
      <w:r w:rsidR="004E6906" w:rsidRPr="008376FC">
        <w:rPr>
          <w:sz w:val="28"/>
          <w:szCs w:val="28"/>
        </w:rPr>
        <w:t xml:space="preserve"> </w:t>
      </w:r>
      <w:r w:rsidR="00EE132E" w:rsidRPr="008376FC">
        <w:rPr>
          <w:rFonts w:asciiTheme="majorHAnsi" w:eastAsia="Times New Roman" w:hAnsiTheme="majorHAnsi" w:cstheme="majorHAnsi"/>
          <w:b w:val="0"/>
          <w:bCs w:val="0"/>
          <w:sz w:val="24"/>
          <w:szCs w:val="24"/>
        </w:rPr>
        <w:t xml:space="preserve">care includ: (i) </w:t>
      </w:r>
      <w:r w:rsidR="00CF2DA4">
        <w:rPr>
          <w:rFonts w:asciiTheme="majorHAnsi" w:eastAsia="Times New Roman" w:hAnsiTheme="majorHAnsi" w:cstheme="majorHAnsi"/>
          <w:b w:val="0"/>
          <w:bCs w:val="0"/>
          <w:sz w:val="24"/>
          <w:szCs w:val="24"/>
        </w:rPr>
        <w:t>a</w:t>
      </w:r>
      <w:r w:rsidR="00EE132E" w:rsidRPr="008376FC">
        <w:rPr>
          <w:rFonts w:asciiTheme="majorHAnsi" w:eastAsia="Times New Roman" w:hAnsiTheme="majorHAnsi" w:cstheme="majorHAnsi"/>
          <w:b w:val="0"/>
          <w:bCs w:val="0"/>
          <w:sz w:val="24"/>
          <w:szCs w:val="24"/>
        </w:rPr>
        <w:t xml:space="preserve">sigurarea continuității serviciului (întreruperi planificate/ întreruperi neplanificate), (ii)  </w:t>
      </w:r>
      <w:r w:rsidR="00CF2DA4">
        <w:rPr>
          <w:rFonts w:asciiTheme="majorHAnsi" w:eastAsia="Times New Roman" w:hAnsiTheme="majorHAnsi" w:cstheme="majorHAnsi"/>
          <w:b w:val="0"/>
          <w:bCs w:val="0"/>
          <w:sz w:val="24"/>
          <w:szCs w:val="24"/>
        </w:rPr>
        <w:t>e</w:t>
      </w:r>
      <w:r w:rsidR="00EE132E" w:rsidRPr="008376FC">
        <w:rPr>
          <w:rFonts w:asciiTheme="majorHAnsi" w:eastAsia="Times New Roman" w:hAnsiTheme="majorHAnsi" w:cstheme="majorHAnsi"/>
          <w:b w:val="0"/>
          <w:bCs w:val="0"/>
          <w:sz w:val="24"/>
          <w:szCs w:val="24"/>
        </w:rPr>
        <w:t xml:space="preserve">liberarea avizului de </w:t>
      </w:r>
      <w:r w:rsidR="00142543" w:rsidRPr="008376FC">
        <w:rPr>
          <w:rFonts w:asciiTheme="majorHAnsi" w:eastAsia="Times New Roman" w:hAnsiTheme="majorHAnsi" w:cstheme="majorHAnsi"/>
          <w:b w:val="0"/>
          <w:bCs w:val="0"/>
          <w:sz w:val="24"/>
          <w:szCs w:val="24"/>
        </w:rPr>
        <w:t>branșare/</w:t>
      </w:r>
      <w:r w:rsidR="00EE132E" w:rsidRPr="008376FC">
        <w:rPr>
          <w:rFonts w:asciiTheme="majorHAnsi" w:eastAsia="Times New Roman" w:hAnsiTheme="majorHAnsi" w:cstheme="majorHAnsi"/>
          <w:b w:val="0"/>
          <w:bCs w:val="0"/>
          <w:sz w:val="24"/>
          <w:szCs w:val="24"/>
        </w:rPr>
        <w:t xml:space="preserve">racordare la rețelele publice de alimentare cu apă și de canalizare, (iii) </w:t>
      </w:r>
      <w:r w:rsidR="00CF2DA4">
        <w:rPr>
          <w:rFonts w:asciiTheme="majorHAnsi" w:eastAsia="Times New Roman" w:hAnsiTheme="majorHAnsi" w:cstheme="majorHAnsi"/>
          <w:b w:val="0"/>
          <w:bCs w:val="0"/>
          <w:sz w:val="24"/>
          <w:szCs w:val="24"/>
        </w:rPr>
        <w:t>a</w:t>
      </w:r>
      <w:r w:rsidR="00EE132E" w:rsidRPr="008376FC">
        <w:rPr>
          <w:rFonts w:asciiTheme="majorHAnsi" w:eastAsia="Times New Roman" w:hAnsiTheme="majorHAnsi" w:cstheme="majorHAnsi"/>
          <w:b w:val="0"/>
          <w:bCs w:val="0"/>
          <w:sz w:val="24"/>
          <w:szCs w:val="24"/>
        </w:rPr>
        <w:t xml:space="preserve">vizarea documentației de proiect pentru montarea instalației interne de alimentare cu apă și de canalizare, (iv) </w:t>
      </w:r>
      <w:r w:rsidR="00CF2DA4">
        <w:rPr>
          <w:rFonts w:asciiTheme="majorHAnsi" w:eastAsia="Times New Roman" w:hAnsiTheme="majorHAnsi" w:cstheme="majorHAnsi"/>
          <w:b w:val="0"/>
          <w:bCs w:val="0"/>
          <w:sz w:val="24"/>
          <w:szCs w:val="24"/>
        </w:rPr>
        <w:t>b</w:t>
      </w:r>
      <w:r w:rsidR="00EE132E" w:rsidRPr="008376FC">
        <w:rPr>
          <w:rFonts w:asciiTheme="majorHAnsi" w:eastAsia="Times New Roman" w:hAnsiTheme="majorHAnsi" w:cstheme="majorHAnsi"/>
          <w:b w:val="0"/>
          <w:bCs w:val="0"/>
          <w:sz w:val="24"/>
          <w:szCs w:val="24"/>
        </w:rPr>
        <w:t xml:space="preserve">ranșarea/racordarea instalațiilor consumatorilor la rețeaua publică de alimentare cu apă și de canalizare, (v) </w:t>
      </w:r>
      <w:r w:rsidR="00CF2DA4">
        <w:rPr>
          <w:rFonts w:asciiTheme="majorHAnsi" w:eastAsia="Times New Roman" w:hAnsiTheme="majorHAnsi" w:cstheme="majorHAnsi"/>
          <w:b w:val="0"/>
          <w:bCs w:val="0"/>
          <w:sz w:val="24"/>
          <w:szCs w:val="24"/>
        </w:rPr>
        <w:t>b</w:t>
      </w:r>
      <w:r w:rsidR="00142543" w:rsidRPr="008376FC">
        <w:rPr>
          <w:rFonts w:asciiTheme="majorHAnsi" w:eastAsia="Times New Roman" w:hAnsiTheme="majorHAnsi" w:cstheme="majorHAnsi"/>
          <w:b w:val="0"/>
          <w:bCs w:val="0"/>
          <w:sz w:val="24"/>
          <w:szCs w:val="24"/>
        </w:rPr>
        <w:t>ranșarea/r</w:t>
      </w:r>
      <w:r w:rsidR="00EE132E" w:rsidRPr="008376FC">
        <w:rPr>
          <w:rFonts w:asciiTheme="majorHAnsi" w:eastAsia="Times New Roman" w:hAnsiTheme="majorHAnsi" w:cstheme="majorHAnsi"/>
          <w:b w:val="0"/>
          <w:bCs w:val="0"/>
          <w:sz w:val="24"/>
          <w:szCs w:val="24"/>
        </w:rPr>
        <w:t xml:space="preserve">econectarea instalațiilor consumatorilor deconectaț, (vi) </w:t>
      </w:r>
      <w:r w:rsidR="00CF2DA4">
        <w:rPr>
          <w:rFonts w:asciiTheme="majorHAnsi" w:eastAsia="Times New Roman" w:hAnsiTheme="majorHAnsi" w:cstheme="majorHAnsi"/>
          <w:b w:val="0"/>
          <w:bCs w:val="0"/>
          <w:sz w:val="24"/>
          <w:szCs w:val="24"/>
        </w:rPr>
        <w:t>î</w:t>
      </w:r>
      <w:r w:rsidR="00EE132E" w:rsidRPr="008376FC">
        <w:rPr>
          <w:rFonts w:asciiTheme="majorHAnsi" w:eastAsia="Times New Roman" w:hAnsiTheme="majorHAnsi" w:cstheme="majorHAnsi"/>
          <w:b w:val="0"/>
          <w:bCs w:val="0"/>
          <w:sz w:val="24"/>
          <w:szCs w:val="24"/>
        </w:rPr>
        <w:t xml:space="preserve">ncheierea contractelor de furnizare a serviciului public la solicitarea consumatorilor, (vii) </w:t>
      </w:r>
      <w:r w:rsidR="00CF2DA4">
        <w:rPr>
          <w:rFonts w:asciiTheme="majorHAnsi" w:eastAsia="Times New Roman" w:hAnsiTheme="majorHAnsi" w:cstheme="majorHAnsi"/>
          <w:b w:val="0"/>
          <w:bCs w:val="0"/>
          <w:sz w:val="24"/>
          <w:szCs w:val="24"/>
        </w:rPr>
        <w:t>f</w:t>
      </w:r>
      <w:r w:rsidR="00EE132E" w:rsidRPr="008376FC">
        <w:rPr>
          <w:rFonts w:asciiTheme="majorHAnsi" w:eastAsia="Times New Roman" w:hAnsiTheme="majorHAnsi" w:cstheme="majorHAnsi"/>
          <w:b w:val="0"/>
          <w:bCs w:val="0"/>
          <w:sz w:val="24"/>
          <w:szCs w:val="24"/>
        </w:rPr>
        <w:t xml:space="preserve">acturarea serviciului public de alimentare cu apă și de canalizare, (viii) </w:t>
      </w:r>
      <w:r w:rsidR="00CF2DA4">
        <w:rPr>
          <w:rFonts w:asciiTheme="majorHAnsi" w:eastAsia="Times New Roman" w:hAnsiTheme="majorHAnsi" w:cstheme="majorHAnsi"/>
          <w:b w:val="0"/>
          <w:bCs w:val="0"/>
          <w:sz w:val="24"/>
          <w:szCs w:val="24"/>
        </w:rPr>
        <w:t>e</w:t>
      </w:r>
      <w:r w:rsidR="00EE132E" w:rsidRPr="008376FC">
        <w:rPr>
          <w:rFonts w:asciiTheme="majorHAnsi" w:eastAsia="Times New Roman" w:hAnsiTheme="majorHAnsi" w:cstheme="majorHAnsi"/>
          <w:b w:val="0"/>
          <w:bCs w:val="0"/>
          <w:sz w:val="24"/>
          <w:szCs w:val="24"/>
        </w:rPr>
        <w:t xml:space="preserve">xaminarea și soluționarea reclamațiilor formulate de consumatori. </w:t>
      </w:r>
    </w:p>
    <w:p w:rsidR="00EE132E" w:rsidRPr="008376FC" w:rsidRDefault="00EE132E" w:rsidP="00F61756">
      <w:pPr>
        <w:autoSpaceDE w:val="0"/>
        <w:autoSpaceDN w:val="0"/>
        <w:adjustRightInd w:val="0"/>
        <w:spacing w:after="0" w:line="276" w:lineRule="auto"/>
        <w:ind w:firstLine="540"/>
        <w:jc w:val="both"/>
        <w:rPr>
          <w:rFonts w:asciiTheme="majorHAnsi" w:eastAsia="Calibri" w:hAnsiTheme="majorHAnsi" w:cstheme="majorHAnsi"/>
          <w:b w:val="0"/>
          <w:bCs w:val="0"/>
          <w:sz w:val="24"/>
          <w:szCs w:val="24"/>
        </w:rPr>
      </w:pPr>
      <w:r w:rsidRPr="008376FC">
        <w:rPr>
          <w:rFonts w:asciiTheme="majorHAnsi" w:eastAsia="Calibri" w:hAnsiTheme="majorHAnsi" w:cstheme="majorHAnsi"/>
          <w:b w:val="0"/>
          <w:bCs w:val="0"/>
          <w:sz w:val="24"/>
          <w:szCs w:val="24"/>
        </w:rPr>
        <w:t>Analiza indicatorilor de performanță incluși în prevederile contractuale denotă că acestea deviază de la caz la caz.</w:t>
      </w:r>
    </w:p>
    <w:p w:rsidR="00EE132E" w:rsidRPr="008376FC" w:rsidRDefault="00EE132E"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Totodată, în unele contracte sunt incluse și indicatorii aferenți SAAS: numărul localităților conecta</w:t>
      </w:r>
      <w:r w:rsidR="00CF2DA4">
        <w:rPr>
          <w:rFonts w:asciiTheme="majorHAnsi" w:eastAsia="Times New Roman" w:hAnsiTheme="majorHAnsi" w:cstheme="majorHAnsi"/>
          <w:b w:val="0"/>
          <w:bCs w:val="0"/>
          <w:sz w:val="24"/>
          <w:szCs w:val="24"/>
        </w:rPr>
        <w:t>t</w:t>
      </w:r>
      <w:r w:rsidRPr="008376FC">
        <w:rPr>
          <w:rFonts w:asciiTheme="majorHAnsi" w:eastAsia="Times New Roman" w:hAnsiTheme="majorHAnsi" w:cstheme="majorHAnsi"/>
          <w:b w:val="0"/>
          <w:bCs w:val="0"/>
          <w:sz w:val="24"/>
          <w:szCs w:val="24"/>
        </w:rPr>
        <w:t>e, numărul populației conecta</w:t>
      </w:r>
      <w:r w:rsidR="00CF2DA4">
        <w:rPr>
          <w:rFonts w:asciiTheme="majorHAnsi" w:eastAsia="Times New Roman" w:hAnsiTheme="majorHAnsi" w:cstheme="majorHAnsi"/>
          <w:b w:val="0"/>
          <w:bCs w:val="0"/>
          <w:sz w:val="24"/>
          <w:szCs w:val="24"/>
        </w:rPr>
        <w:t>t</w:t>
      </w:r>
      <w:r w:rsidRPr="008376FC">
        <w:rPr>
          <w:rFonts w:asciiTheme="majorHAnsi" w:eastAsia="Times New Roman" w:hAnsiTheme="majorHAnsi" w:cstheme="majorHAnsi"/>
          <w:b w:val="0"/>
          <w:bCs w:val="0"/>
          <w:sz w:val="24"/>
          <w:szCs w:val="24"/>
        </w:rPr>
        <w:t xml:space="preserve">e etc. </w:t>
      </w:r>
    </w:p>
    <w:p w:rsidR="00E83D03" w:rsidRPr="008376FC" w:rsidRDefault="000056B2" w:rsidP="00F61756">
      <w:pPr>
        <w:autoSpaceDE w:val="0"/>
        <w:autoSpaceDN w:val="0"/>
        <w:adjustRightInd w:val="0"/>
        <w:spacing w:after="0" w:line="276" w:lineRule="auto"/>
        <w:ind w:firstLine="540"/>
        <w:jc w:val="both"/>
        <w:rPr>
          <w:rFonts w:asciiTheme="majorHAnsi" w:eastAsia="Calibri" w:hAnsiTheme="majorHAnsi" w:cstheme="majorHAnsi"/>
          <w:b w:val="0"/>
          <w:bCs w:val="0"/>
          <w:sz w:val="24"/>
          <w:szCs w:val="24"/>
        </w:rPr>
      </w:pPr>
      <w:r w:rsidRPr="008376FC">
        <w:rPr>
          <w:rFonts w:asciiTheme="majorHAnsi" w:eastAsia="Calibri" w:hAnsiTheme="majorHAnsi" w:cstheme="majorHAnsi"/>
          <w:b w:val="0"/>
          <w:bCs w:val="0"/>
          <w:sz w:val="24"/>
          <w:szCs w:val="24"/>
        </w:rPr>
        <w:t>Indicatorii de performanță din Regulamentul-cadru se referă la continuitatea din punct de vedere calitaiv și cantitativ a furnizării/prestării serviciului public.</w:t>
      </w:r>
      <w:r w:rsidR="00E83D03" w:rsidRPr="008376FC">
        <w:rPr>
          <w:rStyle w:val="ae"/>
        </w:rPr>
        <w:t xml:space="preserve"> </w:t>
      </w:r>
      <w:r w:rsidRPr="008376FC">
        <w:rPr>
          <w:rFonts w:asciiTheme="majorHAnsi" w:eastAsia="Calibri" w:hAnsiTheme="majorHAnsi" w:cstheme="majorHAnsi"/>
          <w:b w:val="0"/>
          <w:bCs w:val="0"/>
          <w:sz w:val="24"/>
          <w:szCs w:val="24"/>
        </w:rPr>
        <w:t>Totodată, indicatorii de performanță supuși monitorizării de ANRE nu includ ca indicator pierderile de apă, cu stabilirea țintelor minime și max</w:t>
      </w:r>
      <w:r w:rsidR="00086480">
        <w:rPr>
          <w:rFonts w:asciiTheme="majorHAnsi" w:eastAsia="Calibri" w:hAnsiTheme="majorHAnsi" w:cstheme="majorHAnsi"/>
          <w:b w:val="0"/>
          <w:bCs w:val="0"/>
          <w:sz w:val="24"/>
          <w:szCs w:val="24"/>
        </w:rPr>
        <w:t>i</w:t>
      </w:r>
      <w:r w:rsidRPr="008376FC">
        <w:rPr>
          <w:rFonts w:asciiTheme="majorHAnsi" w:eastAsia="Calibri" w:hAnsiTheme="majorHAnsi" w:cstheme="majorHAnsi"/>
          <w:b w:val="0"/>
          <w:bCs w:val="0"/>
          <w:sz w:val="24"/>
          <w:szCs w:val="24"/>
        </w:rPr>
        <w:t>me.</w:t>
      </w:r>
      <w:r w:rsidR="00E83D03" w:rsidRPr="008376FC">
        <w:rPr>
          <w:rFonts w:asciiTheme="majorHAnsi" w:eastAsia="Calibri" w:hAnsiTheme="majorHAnsi" w:cstheme="majorHAnsi"/>
          <w:b w:val="0"/>
          <w:bCs w:val="0"/>
          <w:sz w:val="24"/>
          <w:szCs w:val="24"/>
        </w:rPr>
        <w:t xml:space="preserve"> De exemplu</w:t>
      </w:r>
      <w:r w:rsidR="00086480">
        <w:rPr>
          <w:rFonts w:asciiTheme="majorHAnsi" w:eastAsia="Calibri" w:hAnsiTheme="majorHAnsi" w:cstheme="majorHAnsi"/>
          <w:b w:val="0"/>
          <w:bCs w:val="0"/>
          <w:sz w:val="24"/>
          <w:szCs w:val="24"/>
        </w:rPr>
        <w:t>,</w:t>
      </w:r>
      <w:r w:rsidR="00E83D03" w:rsidRPr="008376FC">
        <w:rPr>
          <w:rFonts w:asciiTheme="majorHAnsi" w:eastAsia="Calibri" w:hAnsiTheme="majorHAnsi" w:cstheme="majorHAnsi"/>
          <w:b w:val="0"/>
          <w:bCs w:val="0"/>
          <w:sz w:val="24"/>
          <w:szCs w:val="24"/>
        </w:rPr>
        <w:t xml:space="preserve"> </w:t>
      </w:r>
    </w:p>
    <w:tbl>
      <w:tblPr>
        <w:tblStyle w:val="TableGrid9"/>
        <w:tblW w:w="9918" w:type="dxa"/>
        <w:tblInd w:w="-5" w:type="dxa"/>
        <w:tblLook w:val="04A0" w:firstRow="1" w:lastRow="0" w:firstColumn="1" w:lastColumn="0" w:noHBand="0" w:noVBand="1"/>
      </w:tblPr>
      <w:tblGrid>
        <w:gridCol w:w="4950"/>
        <w:gridCol w:w="4968"/>
      </w:tblGrid>
      <w:tr w:rsidR="00E83D03" w:rsidRPr="008376FC" w:rsidTr="00F94EBC">
        <w:trPr>
          <w:trHeight w:val="439"/>
        </w:trPr>
        <w:tc>
          <w:tcPr>
            <w:tcW w:w="4950"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83D03" w:rsidRPr="008376FC" w:rsidRDefault="000056B2" w:rsidP="00F61756">
            <w:pPr>
              <w:autoSpaceDE w:val="0"/>
              <w:autoSpaceDN w:val="0"/>
              <w:adjustRightInd w:val="0"/>
              <w:spacing w:after="160" w:line="276" w:lineRule="auto"/>
              <w:jc w:val="both"/>
              <w:rPr>
                <w:rFonts w:asciiTheme="majorHAnsi" w:eastAsia="Calibri" w:hAnsiTheme="majorHAnsi" w:cstheme="majorHAnsi"/>
                <w:sz w:val="20"/>
                <w:szCs w:val="20"/>
              </w:rPr>
            </w:pPr>
            <w:r w:rsidRPr="008376FC">
              <w:rPr>
                <w:rFonts w:asciiTheme="majorHAnsi" w:eastAsia="Calibri" w:hAnsiTheme="majorHAnsi" w:cstheme="majorHAnsi"/>
                <w:sz w:val="20"/>
                <w:szCs w:val="20"/>
              </w:rPr>
              <w:t>Indicatorii</w:t>
            </w:r>
          </w:p>
        </w:tc>
        <w:tc>
          <w:tcPr>
            <w:tcW w:w="4968"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83D03" w:rsidRPr="008376FC" w:rsidRDefault="000056B2" w:rsidP="00F61756">
            <w:pPr>
              <w:autoSpaceDE w:val="0"/>
              <w:autoSpaceDN w:val="0"/>
              <w:adjustRightInd w:val="0"/>
              <w:spacing w:after="160" w:line="276" w:lineRule="auto"/>
              <w:jc w:val="both"/>
              <w:rPr>
                <w:rFonts w:asciiTheme="majorHAnsi" w:eastAsia="Calibri" w:hAnsiTheme="majorHAnsi" w:cstheme="majorHAnsi"/>
                <w:sz w:val="20"/>
                <w:szCs w:val="20"/>
              </w:rPr>
            </w:pPr>
            <w:r w:rsidRPr="008376FC">
              <w:rPr>
                <w:rFonts w:asciiTheme="majorHAnsi" w:eastAsia="Calibri" w:hAnsiTheme="majorHAnsi" w:cstheme="majorHAnsi"/>
                <w:sz w:val="20"/>
                <w:szCs w:val="20"/>
              </w:rPr>
              <w:t>Nivelul/</w:t>
            </w:r>
            <w:r w:rsidR="00086480">
              <w:rPr>
                <w:rFonts w:asciiTheme="majorHAnsi" w:eastAsia="Calibri" w:hAnsiTheme="majorHAnsi" w:cstheme="majorHAnsi"/>
                <w:sz w:val="20"/>
                <w:szCs w:val="20"/>
              </w:rPr>
              <w:t>ț</w:t>
            </w:r>
            <w:r w:rsidRPr="008376FC">
              <w:rPr>
                <w:rFonts w:asciiTheme="majorHAnsi" w:eastAsia="Calibri" w:hAnsiTheme="majorHAnsi" w:cstheme="majorHAnsi"/>
                <w:sz w:val="20"/>
                <w:szCs w:val="20"/>
              </w:rPr>
              <w:t>intele indicatorului</w:t>
            </w:r>
          </w:p>
        </w:tc>
      </w:tr>
      <w:tr w:rsidR="00E83D03" w:rsidRPr="008376FC" w:rsidTr="00CB30D6">
        <w:trPr>
          <w:trHeight w:val="963"/>
        </w:trPr>
        <w:tc>
          <w:tcPr>
            <w:tcW w:w="4950" w:type="dxa"/>
            <w:tcBorders>
              <w:top w:val="single" w:sz="4" w:space="0" w:color="auto"/>
              <w:left w:val="single" w:sz="4" w:space="0" w:color="auto"/>
              <w:bottom w:val="single" w:sz="4" w:space="0" w:color="auto"/>
              <w:right w:val="single" w:sz="4" w:space="0" w:color="auto"/>
            </w:tcBorders>
            <w:hideMark/>
          </w:tcPr>
          <w:p w:rsidR="00E83D03" w:rsidRPr="008376FC" w:rsidRDefault="000056B2" w:rsidP="00F61756">
            <w:pPr>
              <w:autoSpaceDE w:val="0"/>
              <w:autoSpaceDN w:val="0"/>
              <w:adjustRightInd w:val="0"/>
              <w:spacing w:after="160"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Pierderi de apă</w:t>
            </w:r>
          </w:p>
        </w:tc>
        <w:tc>
          <w:tcPr>
            <w:tcW w:w="4968" w:type="dxa"/>
            <w:tcBorders>
              <w:top w:val="single" w:sz="4" w:space="0" w:color="auto"/>
              <w:left w:val="single" w:sz="4" w:space="0" w:color="auto"/>
              <w:bottom w:val="single" w:sz="4" w:space="0" w:color="auto"/>
              <w:right w:val="single" w:sz="4" w:space="0" w:color="auto"/>
            </w:tcBorders>
            <w:hideMark/>
          </w:tcPr>
          <w:p w:rsidR="00CB30D6" w:rsidRDefault="000056B2" w:rsidP="00F61756">
            <w:pPr>
              <w:autoSpaceDE w:val="0"/>
              <w:autoSpaceDN w:val="0"/>
              <w:adjustRightInd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Ținta</w:t>
            </w:r>
            <w:r w:rsidR="00086480">
              <w:rPr>
                <w:rFonts w:asciiTheme="majorHAnsi" w:eastAsia="Calibri" w:hAnsiTheme="majorHAnsi" w:cstheme="majorHAnsi"/>
                <w:b w:val="0"/>
                <w:bCs w:val="0"/>
                <w:sz w:val="20"/>
                <w:szCs w:val="20"/>
              </w:rPr>
              <w:t xml:space="preserve"> –</w:t>
            </w:r>
            <w:r w:rsidRPr="008376FC">
              <w:rPr>
                <w:rFonts w:asciiTheme="majorHAnsi" w:eastAsia="Calibri" w:hAnsiTheme="majorHAnsi" w:cstheme="majorHAnsi"/>
                <w:b w:val="0"/>
                <w:bCs w:val="0"/>
                <w:sz w:val="20"/>
                <w:szCs w:val="20"/>
              </w:rPr>
              <w:t xml:space="preserve"> 10%</w:t>
            </w:r>
          </w:p>
          <w:p w:rsidR="00E83D03" w:rsidRPr="008376FC" w:rsidRDefault="000056B2" w:rsidP="00F61756">
            <w:pPr>
              <w:autoSpaceDE w:val="0"/>
              <w:autoSpaceDN w:val="0"/>
              <w:adjustRightInd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Maximum – 20%</w:t>
            </w:r>
          </w:p>
          <w:p w:rsidR="00E83D03" w:rsidRPr="008376FC" w:rsidRDefault="000056B2" w:rsidP="00F61756">
            <w:pPr>
              <w:autoSpaceDE w:val="0"/>
              <w:autoSpaceDN w:val="0"/>
              <w:adjustRightInd w:val="0"/>
              <w:spacing w:line="276" w:lineRule="auto"/>
              <w:jc w:val="both"/>
              <w:rPr>
                <w:rFonts w:asciiTheme="majorHAnsi" w:eastAsia="Calibri" w:hAnsiTheme="majorHAnsi" w:cstheme="majorHAnsi"/>
                <w:b w:val="0"/>
                <w:bCs w:val="0"/>
                <w:sz w:val="20"/>
                <w:szCs w:val="20"/>
              </w:rPr>
            </w:pPr>
            <w:r w:rsidRPr="008376FC">
              <w:rPr>
                <w:rFonts w:asciiTheme="majorHAnsi" w:eastAsia="Calibri" w:hAnsiTheme="majorHAnsi" w:cstheme="majorHAnsi"/>
                <w:b w:val="0"/>
                <w:bCs w:val="0"/>
                <w:sz w:val="20"/>
                <w:szCs w:val="20"/>
              </w:rPr>
              <w:t>Sau să fie aratat % normat a</w:t>
            </w:r>
            <w:r w:rsidR="00086480">
              <w:rPr>
                <w:rFonts w:asciiTheme="majorHAnsi" w:eastAsia="Calibri" w:hAnsiTheme="majorHAnsi" w:cstheme="majorHAnsi"/>
                <w:b w:val="0"/>
                <w:bCs w:val="0"/>
                <w:sz w:val="20"/>
                <w:szCs w:val="20"/>
              </w:rPr>
              <w:t>l</w:t>
            </w:r>
            <w:r w:rsidRPr="008376FC">
              <w:rPr>
                <w:rFonts w:asciiTheme="majorHAnsi" w:eastAsia="Calibri" w:hAnsiTheme="majorHAnsi" w:cstheme="majorHAnsi"/>
                <w:b w:val="0"/>
                <w:bCs w:val="0"/>
                <w:sz w:val="20"/>
                <w:szCs w:val="20"/>
              </w:rPr>
              <w:t xml:space="preserve"> pierderilor de apă și depăsirea admisibilă (supracomsumul normat)</w:t>
            </w:r>
          </w:p>
        </w:tc>
      </w:tr>
    </w:tbl>
    <w:p w:rsidR="00E83D03" w:rsidRPr="008376FC" w:rsidRDefault="00E83D03" w:rsidP="00F61756">
      <w:pPr>
        <w:autoSpaceDE w:val="0"/>
        <w:autoSpaceDN w:val="0"/>
        <w:adjustRightInd w:val="0"/>
        <w:spacing w:after="0" w:line="276" w:lineRule="auto"/>
        <w:jc w:val="both"/>
        <w:rPr>
          <w:rFonts w:asciiTheme="majorHAnsi" w:eastAsia="Calibri" w:hAnsiTheme="majorHAnsi" w:cstheme="majorHAnsi"/>
          <w:b w:val="0"/>
          <w:bCs w:val="0"/>
          <w:sz w:val="24"/>
          <w:szCs w:val="24"/>
        </w:rPr>
      </w:pPr>
      <w:r w:rsidRPr="008376FC">
        <w:rPr>
          <w:rFonts w:asciiTheme="majorHAnsi" w:eastAsia="Calibri" w:hAnsiTheme="majorHAnsi" w:cstheme="majorHAnsi"/>
          <w:b w:val="0"/>
          <w:bCs w:val="0"/>
          <w:sz w:val="24"/>
          <w:szCs w:val="24"/>
        </w:rPr>
        <w:t xml:space="preserve"> </w:t>
      </w:r>
    </w:p>
    <w:p w:rsidR="00531CDE" w:rsidRPr="008376FC" w:rsidRDefault="00EE132E"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În contextul celor menționare, este necesar ca </w:t>
      </w:r>
      <w:r w:rsidR="00531CDE" w:rsidRPr="008376FC">
        <w:rPr>
          <w:rFonts w:asciiTheme="majorHAnsi" w:eastAsia="Times New Roman" w:hAnsiTheme="majorHAnsi" w:cstheme="majorHAnsi"/>
          <w:b w:val="0"/>
          <w:bCs w:val="0"/>
          <w:sz w:val="24"/>
          <w:szCs w:val="24"/>
        </w:rPr>
        <w:t xml:space="preserve">indicatorii incluși în </w:t>
      </w:r>
      <w:r w:rsidRPr="008376FC">
        <w:rPr>
          <w:rFonts w:asciiTheme="majorHAnsi" w:eastAsia="Times New Roman" w:hAnsiTheme="majorHAnsi" w:cstheme="majorHAnsi"/>
          <w:b w:val="0"/>
          <w:bCs w:val="0"/>
          <w:sz w:val="24"/>
          <w:szCs w:val="24"/>
        </w:rPr>
        <w:t xml:space="preserve">Regulamentul aprobat de ANRE să fie </w:t>
      </w:r>
      <w:r w:rsidR="00531CDE" w:rsidRPr="008376FC">
        <w:rPr>
          <w:rFonts w:asciiTheme="majorHAnsi" w:eastAsia="Times New Roman" w:hAnsiTheme="majorHAnsi" w:cstheme="majorHAnsi"/>
          <w:b w:val="0"/>
          <w:bCs w:val="0"/>
          <w:sz w:val="24"/>
          <w:szCs w:val="24"/>
        </w:rPr>
        <w:t>ajustați prin includerea tuturor indicatorilor de performanță pentru a evalua performanț</w:t>
      </w:r>
      <w:r w:rsidR="00E43DC9" w:rsidRPr="008376FC">
        <w:rPr>
          <w:rFonts w:asciiTheme="majorHAnsi" w:eastAsia="Times New Roman" w:hAnsiTheme="majorHAnsi" w:cstheme="majorHAnsi"/>
          <w:b w:val="0"/>
          <w:bCs w:val="0"/>
          <w:sz w:val="24"/>
          <w:szCs w:val="24"/>
        </w:rPr>
        <w:t>ele atin</w:t>
      </w:r>
      <w:r w:rsidR="00086480">
        <w:rPr>
          <w:rFonts w:asciiTheme="majorHAnsi" w:eastAsia="Times New Roman" w:hAnsiTheme="majorHAnsi" w:cstheme="majorHAnsi"/>
          <w:b w:val="0"/>
          <w:bCs w:val="0"/>
          <w:sz w:val="24"/>
          <w:szCs w:val="24"/>
        </w:rPr>
        <w:t>s</w:t>
      </w:r>
      <w:r w:rsidR="00E43DC9" w:rsidRPr="008376FC">
        <w:rPr>
          <w:rFonts w:asciiTheme="majorHAnsi" w:eastAsia="Times New Roman" w:hAnsiTheme="majorHAnsi" w:cstheme="majorHAnsi"/>
          <w:b w:val="0"/>
          <w:bCs w:val="0"/>
          <w:sz w:val="24"/>
          <w:szCs w:val="24"/>
        </w:rPr>
        <w:t xml:space="preserve">e în gestionarea </w:t>
      </w:r>
      <w:r w:rsidR="00531CDE" w:rsidRPr="008376FC">
        <w:rPr>
          <w:rFonts w:asciiTheme="majorHAnsi" w:eastAsia="Times New Roman" w:hAnsiTheme="majorHAnsi" w:cstheme="majorHAnsi"/>
          <w:b w:val="0"/>
          <w:bCs w:val="0"/>
          <w:sz w:val="24"/>
          <w:szCs w:val="24"/>
        </w:rPr>
        <w:t>sistemelor AAS</w:t>
      </w:r>
      <w:r w:rsidR="00E43DC9" w:rsidRPr="008376FC">
        <w:rPr>
          <w:rFonts w:asciiTheme="majorHAnsi" w:eastAsia="Times New Roman" w:hAnsiTheme="majorHAnsi" w:cstheme="majorHAnsi"/>
          <w:b w:val="0"/>
          <w:bCs w:val="0"/>
          <w:sz w:val="24"/>
          <w:szCs w:val="24"/>
        </w:rPr>
        <w:t xml:space="preserve">. </w:t>
      </w:r>
      <w:r w:rsidR="00531CDE" w:rsidRPr="008376FC">
        <w:rPr>
          <w:rFonts w:asciiTheme="majorHAnsi" w:eastAsia="Times New Roman" w:hAnsiTheme="majorHAnsi" w:cstheme="majorHAnsi"/>
          <w:b w:val="0"/>
          <w:bCs w:val="0"/>
          <w:sz w:val="24"/>
          <w:szCs w:val="24"/>
        </w:rPr>
        <w:t>Totodată, indicatorii supuși monitorizării</w:t>
      </w:r>
      <w:r w:rsidR="00086480">
        <w:rPr>
          <w:rFonts w:asciiTheme="majorHAnsi" w:eastAsia="Times New Roman" w:hAnsiTheme="majorHAnsi" w:cstheme="majorHAnsi"/>
          <w:b w:val="0"/>
          <w:bCs w:val="0"/>
          <w:sz w:val="24"/>
          <w:szCs w:val="24"/>
        </w:rPr>
        <w:t>,</w:t>
      </w:r>
      <w:r w:rsidR="00531CDE" w:rsidRPr="008376FC">
        <w:rPr>
          <w:rFonts w:asciiTheme="majorHAnsi" w:eastAsia="Times New Roman" w:hAnsiTheme="majorHAnsi" w:cstheme="majorHAnsi"/>
          <w:b w:val="0"/>
          <w:bCs w:val="0"/>
          <w:sz w:val="24"/>
          <w:szCs w:val="24"/>
        </w:rPr>
        <w:t xml:space="preserve"> statuați în Regulamentul aprobat de ANRE</w:t>
      </w:r>
      <w:r w:rsidR="00086480">
        <w:rPr>
          <w:rFonts w:asciiTheme="majorHAnsi" w:eastAsia="Times New Roman" w:hAnsiTheme="majorHAnsi" w:cstheme="majorHAnsi"/>
          <w:b w:val="0"/>
          <w:bCs w:val="0"/>
          <w:sz w:val="24"/>
          <w:szCs w:val="24"/>
        </w:rPr>
        <w:t>,</w:t>
      </w:r>
      <w:r w:rsidR="00531CDE" w:rsidRPr="008376FC">
        <w:rPr>
          <w:rFonts w:asciiTheme="majorHAnsi" w:eastAsia="Times New Roman" w:hAnsiTheme="majorHAnsi" w:cstheme="majorHAnsi"/>
          <w:b w:val="0"/>
          <w:bCs w:val="0"/>
          <w:sz w:val="24"/>
          <w:szCs w:val="24"/>
        </w:rPr>
        <w:t xml:space="preserve"> să fie incluși obligatoriu în contractele de gestiune delegat</w:t>
      </w:r>
      <w:r w:rsidR="00086480">
        <w:rPr>
          <w:rFonts w:asciiTheme="majorHAnsi" w:eastAsia="Times New Roman" w:hAnsiTheme="majorHAnsi" w:cstheme="majorHAnsi"/>
          <w:b w:val="0"/>
          <w:bCs w:val="0"/>
          <w:sz w:val="24"/>
          <w:szCs w:val="24"/>
        </w:rPr>
        <w:t>ă</w:t>
      </w:r>
      <w:r w:rsidR="00531CDE" w:rsidRPr="008376FC">
        <w:rPr>
          <w:rFonts w:asciiTheme="majorHAnsi" w:eastAsia="Times New Roman" w:hAnsiTheme="majorHAnsi" w:cstheme="majorHAnsi"/>
          <w:b w:val="0"/>
          <w:bCs w:val="0"/>
          <w:sz w:val="24"/>
          <w:szCs w:val="24"/>
        </w:rPr>
        <w:t>, cu raportare</w:t>
      </w:r>
      <w:r w:rsidR="00086480">
        <w:rPr>
          <w:rFonts w:asciiTheme="majorHAnsi" w:eastAsia="Times New Roman" w:hAnsiTheme="majorHAnsi" w:cstheme="majorHAnsi"/>
          <w:b w:val="0"/>
          <w:bCs w:val="0"/>
          <w:sz w:val="24"/>
          <w:szCs w:val="24"/>
        </w:rPr>
        <w:t>a</w:t>
      </w:r>
      <w:r w:rsidR="00531CDE" w:rsidRPr="008376FC">
        <w:rPr>
          <w:rFonts w:asciiTheme="majorHAnsi" w:eastAsia="Times New Roman" w:hAnsiTheme="majorHAnsi" w:cstheme="majorHAnsi"/>
          <w:b w:val="0"/>
          <w:bCs w:val="0"/>
          <w:sz w:val="24"/>
          <w:szCs w:val="24"/>
        </w:rPr>
        <w:t>, generalizare</w:t>
      </w:r>
      <w:r w:rsidR="00086480">
        <w:rPr>
          <w:rFonts w:asciiTheme="majorHAnsi" w:eastAsia="Times New Roman" w:hAnsiTheme="majorHAnsi" w:cstheme="majorHAnsi"/>
          <w:b w:val="0"/>
          <w:bCs w:val="0"/>
          <w:sz w:val="24"/>
          <w:szCs w:val="24"/>
        </w:rPr>
        <w:t>a</w:t>
      </w:r>
      <w:r w:rsidR="00531CDE" w:rsidRPr="008376FC">
        <w:rPr>
          <w:rFonts w:asciiTheme="majorHAnsi" w:eastAsia="Times New Roman" w:hAnsiTheme="majorHAnsi" w:cstheme="majorHAnsi"/>
          <w:b w:val="0"/>
          <w:bCs w:val="0"/>
          <w:sz w:val="24"/>
          <w:szCs w:val="24"/>
        </w:rPr>
        <w:t xml:space="preserve"> și prezentare</w:t>
      </w:r>
      <w:r w:rsidR="00086480">
        <w:rPr>
          <w:rFonts w:asciiTheme="majorHAnsi" w:eastAsia="Times New Roman" w:hAnsiTheme="majorHAnsi" w:cstheme="majorHAnsi"/>
          <w:b w:val="0"/>
          <w:bCs w:val="0"/>
          <w:sz w:val="24"/>
          <w:szCs w:val="24"/>
        </w:rPr>
        <w:t>a</w:t>
      </w:r>
      <w:r w:rsidR="00531CDE" w:rsidRPr="008376FC">
        <w:rPr>
          <w:rFonts w:asciiTheme="majorHAnsi" w:eastAsia="Times New Roman" w:hAnsiTheme="majorHAnsi" w:cstheme="majorHAnsi"/>
          <w:b w:val="0"/>
          <w:bCs w:val="0"/>
          <w:sz w:val="24"/>
          <w:szCs w:val="24"/>
        </w:rPr>
        <w:t xml:space="preserve"> în Anuarele ANRE a spectrului de indicatori relevanți care să descrie situația per ansamblu în domeniu.</w:t>
      </w:r>
    </w:p>
    <w:p w:rsidR="00070540" w:rsidRPr="008376FC" w:rsidRDefault="00070540"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p>
    <w:tbl>
      <w:tblPr>
        <w:tblStyle w:val="TableGrid9"/>
        <w:tblW w:w="0" w:type="auto"/>
        <w:shd w:val="clear" w:color="auto" w:fill="DEEAF6" w:themeFill="accent1" w:themeFillTint="33"/>
        <w:tblLook w:val="04A0" w:firstRow="1" w:lastRow="0" w:firstColumn="1" w:lastColumn="0" w:noHBand="0" w:noVBand="1"/>
      </w:tblPr>
      <w:tblGrid>
        <w:gridCol w:w="9678"/>
      </w:tblGrid>
      <w:tr w:rsidR="00EE132E" w:rsidRPr="00FB7942" w:rsidTr="00F94EBC">
        <w:trPr>
          <w:trHeight w:val="1785"/>
        </w:trPr>
        <w:tc>
          <w:tcPr>
            <w:tcW w:w="9786" w:type="dxa"/>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rsidR="00EE132E" w:rsidRPr="00FB7942" w:rsidRDefault="00EE132E" w:rsidP="00F61756">
            <w:pPr>
              <w:spacing w:line="276" w:lineRule="auto"/>
              <w:jc w:val="both"/>
              <w:rPr>
                <w:rFonts w:asciiTheme="majorHAnsi" w:eastAsia="Times New Roman" w:hAnsiTheme="majorHAnsi" w:cstheme="majorHAnsi"/>
                <w:b w:val="0"/>
                <w:bCs w:val="0"/>
                <w:sz w:val="24"/>
                <w:szCs w:val="24"/>
              </w:rPr>
            </w:pPr>
            <w:r w:rsidRPr="00FB7942">
              <w:rPr>
                <w:rFonts w:asciiTheme="majorHAnsi" w:eastAsia="Times New Roman" w:hAnsiTheme="majorHAnsi" w:cstheme="majorHAnsi"/>
                <w:sz w:val="24"/>
                <w:szCs w:val="24"/>
              </w:rPr>
              <w:t>Not</w:t>
            </w:r>
            <w:r w:rsidR="00086480" w:rsidRPr="00FB7942">
              <w:rPr>
                <w:rFonts w:asciiTheme="majorHAnsi" w:eastAsia="Times New Roman" w:hAnsiTheme="majorHAnsi" w:cstheme="majorHAnsi"/>
                <w:sz w:val="24"/>
                <w:szCs w:val="24"/>
              </w:rPr>
              <w:t>a</w:t>
            </w:r>
            <w:r w:rsidRPr="00FB7942">
              <w:rPr>
                <w:rFonts w:asciiTheme="majorHAnsi" w:eastAsia="Times New Roman" w:hAnsiTheme="majorHAnsi" w:cstheme="majorHAnsi"/>
                <w:sz w:val="24"/>
                <w:szCs w:val="24"/>
              </w:rPr>
              <w:t xml:space="preserve"> nr.</w:t>
            </w:r>
            <w:r w:rsidR="00CA7FEF" w:rsidRPr="00FB7942">
              <w:rPr>
                <w:rFonts w:asciiTheme="majorHAnsi" w:eastAsia="Times New Roman" w:hAnsiTheme="majorHAnsi" w:cstheme="majorHAnsi"/>
                <w:sz w:val="24"/>
                <w:szCs w:val="24"/>
              </w:rPr>
              <w:t>8</w:t>
            </w:r>
            <w:r w:rsidRPr="00FB7942">
              <w:rPr>
                <w:rFonts w:asciiTheme="majorHAnsi" w:eastAsia="Times New Roman" w:hAnsiTheme="majorHAnsi" w:cstheme="majorHAnsi"/>
                <w:sz w:val="24"/>
                <w:szCs w:val="24"/>
              </w:rPr>
              <w:t>:</w:t>
            </w:r>
            <w:r w:rsidRPr="00FB7942">
              <w:rPr>
                <w:rFonts w:asciiTheme="majorHAnsi" w:eastAsia="Times New Roman" w:hAnsiTheme="majorHAnsi" w:cstheme="majorHAnsi"/>
                <w:b w:val="0"/>
                <w:bCs w:val="0"/>
                <w:sz w:val="24"/>
                <w:szCs w:val="24"/>
              </w:rPr>
              <w:t xml:space="preserve"> </w:t>
            </w:r>
            <w:r w:rsidR="00E43DC9" w:rsidRPr="00FB7942">
              <w:rPr>
                <w:rFonts w:asciiTheme="majorHAnsi" w:eastAsia="Times New Roman" w:hAnsiTheme="majorHAnsi" w:cstheme="majorHAnsi"/>
                <w:b w:val="0"/>
                <w:bCs w:val="0"/>
                <w:sz w:val="24"/>
                <w:szCs w:val="24"/>
              </w:rPr>
              <w:t>C</w:t>
            </w:r>
            <w:r w:rsidRPr="00FB7942">
              <w:rPr>
                <w:rFonts w:asciiTheme="majorHAnsi" w:eastAsia="Times New Roman" w:hAnsiTheme="majorHAnsi" w:cstheme="majorHAnsi"/>
                <w:b w:val="0"/>
                <w:bCs w:val="0"/>
                <w:sz w:val="24"/>
                <w:szCs w:val="24"/>
              </w:rPr>
              <w:t xml:space="preserve">onform </w:t>
            </w:r>
            <w:r w:rsidR="002B47E8" w:rsidRPr="00FB7942">
              <w:rPr>
                <w:rFonts w:asciiTheme="majorHAnsi" w:eastAsia="Times New Roman" w:hAnsiTheme="majorHAnsi" w:cstheme="majorHAnsi"/>
                <w:b w:val="0"/>
                <w:bCs w:val="0"/>
                <w:sz w:val="24"/>
                <w:szCs w:val="24"/>
              </w:rPr>
              <w:t>explicațiilor</w:t>
            </w:r>
            <w:r w:rsidRPr="00FB7942">
              <w:rPr>
                <w:rFonts w:asciiTheme="majorHAnsi" w:eastAsia="Times New Roman" w:hAnsiTheme="majorHAnsi" w:cstheme="majorHAnsi"/>
                <w:b w:val="0"/>
                <w:bCs w:val="0"/>
                <w:sz w:val="24"/>
                <w:szCs w:val="24"/>
              </w:rPr>
              <w:t xml:space="preserve"> ANRE, indicatorii de performanţă supuşi monitorizării se referă la continuitatea, fiabilitatea şi calitatea serviciului prestat.</w:t>
            </w:r>
          </w:p>
          <w:p w:rsidR="0088086E" w:rsidRPr="00FB7942" w:rsidRDefault="00BC28D6" w:rsidP="00F61756">
            <w:pPr>
              <w:pStyle w:val="af"/>
              <w:spacing w:line="276" w:lineRule="auto"/>
              <w:jc w:val="both"/>
              <w:rPr>
                <w:bCs/>
              </w:rPr>
            </w:pPr>
            <w:r w:rsidRPr="00FB7942">
              <w:rPr>
                <w:rFonts w:asciiTheme="majorHAnsi" w:eastAsia="Times New Roman" w:hAnsiTheme="majorHAnsi" w:cstheme="majorHAnsi"/>
                <w:bCs/>
                <w:sz w:val="24"/>
                <w:szCs w:val="24"/>
                <w:lang w:eastAsia="ro-RO"/>
              </w:rPr>
              <w:t>Totodată, în opinia ANRE</w:t>
            </w:r>
            <w:r w:rsidR="00FC0D92" w:rsidRPr="00FB7942">
              <w:rPr>
                <w:rFonts w:asciiTheme="majorHAnsi" w:eastAsia="Times New Roman" w:hAnsiTheme="majorHAnsi" w:cstheme="majorHAnsi"/>
                <w:bCs/>
                <w:sz w:val="24"/>
                <w:szCs w:val="24"/>
                <w:lang w:eastAsia="ro-RO"/>
              </w:rPr>
              <w:t>,</w:t>
            </w:r>
            <w:r w:rsidRPr="00FB7942">
              <w:rPr>
                <w:rFonts w:asciiTheme="majorHAnsi" w:eastAsia="Times New Roman" w:hAnsiTheme="majorHAnsi" w:cstheme="majorHAnsi"/>
                <w:bCs/>
                <w:sz w:val="24"/>
                <w:szCs w:val="24"/>
                <w:lang w:eastAsia="ro-RO"/>
              </w:rPr>
              <w:t xml:space="preserve"> pierderile de apă se raportează conform Regulamentului cu privire la stabilirea şi aprobarea, în scop de determinare a tarifelor, a consumului tehnologic şi a pierderilor de apă în sistemele publice de alimentare cu apă, aprobat prin HANRE nr. 180/2016 și</w:t>
            </w:r>
            <w:r w:rsidR="00FC0D92" w:rsidRPr="00FB7942">
              <w:rPr>
                <w:rFonts w:asciiTheme="majorHAnsi" w:eastAsia="Times New Roman" w:hAnsiTheme="majorHAnsi" w:cstheme="majorHAnsi"/>
                <w:bCs/>
                <w:sz w:val="24"/>
                <w:szCs w:val="24"/>
                <w:lang w:eastAsia="ro-RO"/>
              </w:rPr>
              <w:t>,</w:t>
            </w:r>
            <w:r w:rsidRPr="00FB7942">
              <w:rPr>
                <w:rFonts w:asciiTheme="majorHAnsi" w:eastAsia="Times New Roman" w:hAnsiTheme="majorHAnsi" w:cstheme="majorHAnsi"/>
                <w:bCs/>
                <w:sz w:val="24"/>
                <w:szCs w:val="24"/>
                <w:lang w:eastAsia="ro-RO"/>
              </w:rPr>
              <w:t xml:space="preserve"> respectiv</w:t>
            </w:r>
            <w:r w:rsidR="00FC0D92" w:rsidRPr="00FB7942">
              <w:rPr>
                <w:rFonts w:asciiTheme="majorHAnsi" w:eastAsia="Times New Roman" w:hAnsiTheme="majorHAnsi" w:cstheme="majorHAnsi"/>
                <w:bCs/>
                <w:sz w:val="24"/>
                <w:szCs w:val="24"/>
                <w:lang w:eastAsia="ro-RO"/>
              </w:rPr>
              <w:t>,</w:t>
            </w:r>
            <w:r w:rsidRPr="00FB7942">
              <w:rPr>
                <w:rFonts w:asciiTheme="majorHAnsi" w:eastAsia="Times New Roman" w:hAnsiTheme="majorHAnsi" w:cstheme="majorHAnsi"/>
                <w:bCs/>
                <w:sz w:val="24"/>
                <w:szCs w:val="24"/>
                <w:lang w:eastAsia="ro-RO"/>
              </w:rPr>
              <w:t xml:space="preserve"> nu este necesar să fie raportați la indicatorii de performanță.</w:t>
            </w:r>
          </w:p>
        </w:tc>
      </w:tr>
    </w:tbl>
    <w:p w:rsidR="00EE132E" w:rsidRPr="00FB7942" w:rsidRDefault="00EE132E"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p>
    <w:p w:rsidR="00BE2ABB" w:rsidRPr="00F77F6A" w:rsidRDefault="00BE2ABB" w:rsidP="00F61756">
      <w:pPr>
        <w:shd w:val="clear" w:color="auto" w:fill="FFFFFF"/>
        <w:spacing w:after="0" w:line="276" w:lineRule="auto"/>
        <w:ind w:firstLine="540"/>
        <w:jc w:val="both"/>
        <w:rPr>
          <w:rFonts w:asciiTheme="majorHAnsi" w:eastAsia="Times New Roman" w:hAnsiTheme="majorHAnsi" w:cstheme="majorHAnsi"/>
          <w:b w:val="0"/>
          <w:bCs w:val="0"/>
          <w:sz w:val="24"/>
          <w:szCs w:val="24"/>
        </w:rPr>
      </w:pPr>
      <w:r w:rsidRPr="00FB7942">
        <w:rPr>
          <w:rFonts w:asciiTheme="majorHAnsi" w:eastAsia="Calibri" w:hAnsiTheme="majorHAnsi" w:cstheme="majorHAnsi"/>
          <w:b w:val="0"/>
          <w:bCs w:val="0"/>
          <w:sz w:val="24"/>
          <w:szCs w:val="24"/>
        </w:rPr>
        <w:t>Atenționăm asupra faptului că</w:t>
      </w:r>
      <w:r w:rsidR="00FB7942">
        <w:rPr>
          <w:rFonts w:asciiTheme="majorHAnsi" w:eastAsia="Calibri" w:hAnsiTheme="majorHAnsi" w:cstheme="majorHAnsi"/>
          <w:b w:val="0"/>
          <w:bCs w:val="0"/>
          <w:sz w:val="24"/>
          <w:szCs w:val="24"/>
        </w:rPr>
        <w:t xml:space="preserve"> </w:t>
      </w:r>
      <w:r w:rsidRPr="00FB7942">
        <w:rPr>
          <w:rFonts w:asciiTheme="majorHAnsi" w:eastAsia="Calibri" w:hAnsiTheme="majorHAnsi" w:cstheme="majorHAnsi"/>
          <w:b w:val="0"/>
          <w:bCs w:val="0"/>
          <w:sz w:val="24"/>
          <w:szCs w:val="24"/>
        </w:rPr>
        <w:t>Regulamentul</w:t>
      </w:r>
      <w:r w:rsidR="00FC0D92" w:rsidRPr="00FB7942">
        <w:rPr>
          <w:rFonts w:asciiTheme="majorHAnsi" w:eastAsia="Calibri" w:hAnsiTheme="majorHAnsi" w:cstheme="majorHAnsi"/>
          <w:b w:val="0"/>
          <w:bCs w:val="0"/>
          <w:sz w:val="24"/>
          <w:szCs w:val="24"/>
        </w:rPr>
        <w:t>-</w:t>
      </w:r>
      <w:r w:rsidRPr="00FB7942">
        <w:rPr>
          <w:rFonts w:asciiTheme="majorHAnsi" w:eastAsia="Calibri" w:hAnsiTheme="majorHAnsi" w:cstheme="majorHAnsi"/>
          <w:b w:val="0"/>
          <w:bCs w:val="0"/>
          <w:sz w:val="24"/>
          <w:szCs w:val="24"/>
        </w:rPr>
        <w:t>cadru</w:t>
      </w:r>
      <w:r w:rsidRPr="00FB7942">
        <w:rPr>
          <w:rFonts w:asciiTheme="majorHAnsi" w:eastAsia="Times New Roman" w:hAnsiTheme="majorHAnsi" w:cstheme="majorHAnsi"/>
          <w:b w:val="0"/>
          <w:bCs w:val="0"/>
          <w:sz w:val="24"/>
          <w:szCs w:val="24"/>
        </w:rPr>
        <w:t xml:space="preserve"> cu privire la indicatorii de performanță ai serviciului public de alimentare cu apă și de canalizare pune accentul doar pe indicatorii de performanță aferenți furnizării/prestării serviciului în condiții de calitate și cantitate corespunzătoare, nefiind incluși și indicatorii aferenți garanțiilor profesionale și financiare ale operatorilor</w:t>
      </w:r>
      <w:r w:rsidR="00FC0D92" w:rsidRPr="00FB7942">
        <w:rPr>
          <w:rFonts w:asciiTheme="majorHAnsi" w:eastAsia="Times New Roman" w:hAnsiTheme="majorHAnsi" w:cstheme="majorHAnsi"/>
          <w:b w:val="0"/>
          <w:bCs w:val="0"/>
          <w:sz w:val="24"/>
          <w:szCs w:val="24"/>
        </w:rPr>
        <w:t>,</w:t>
      </w:r>
      <w:r w:rsidRPr="00FB7942">
        <w:rPr>
          <w:rFonts w:asciiTheme="majorHAnsi" w:eastAsia="Times New Roman" w:hAnsiTheme="majorHAnsi" w:cstheme="majorHAnsi"/>
          <w:b w:val="0"/>
          <w:bCs w:val="0"/>
          <w:sz w:val="24"/>
          <w:szCs w:val="24"/>
        </w:rPr>
        <w:t xml:space="preserve"> după cum prevede art. 13 alin. (9) din Legea nr.303/2013. Astfel, ar fi oportun ca prevederile Regulamentului</w:t>
      </w:r>
      <w:r w:rsidR="00FC0D92" w:rsidRPr="00FB7942">
        <w:rPr>
          <w:rFonts w:asciiTheme="majorHAnsi" w:eastAsia="Times New Roman" w:hAnsiTheme="majorHAnsi" w:cstheme="majorHAnsi"/>
          <w:b w:val="0"/>
          <w:bCs w:val="0"/>
          <w:sz w:val="24"/>
          <w:szCs w:val="24"/>
        </w:rPr>
        <w:t>-</w:t>
      </w:r>
      <w:r w:rsidRPr="00FB7942">
        <w:rPr>
          <w:rFonts w:asciiTheme="majorHAnsi" w:eastAsia="Times New Roman" w:hAnsiTheme="majorHAnsi" w:cstheme="majorHAnsi"/>
          <w:b w:val="0"/>
          <w:bCs w:val="0"/>
          <w:sz w:val="24"/>
          <w:szCs w:val="24"/>
        </w:rPr>
        <w:t xml:space="preserve"> cadru să fie completate cu indicatorii aferenți performanței financiare, performanței OITE aferente alimentării cu apă și sanitație etc.</w:t>
      </w:r>
    </w:p>
    <w:p w:rsidR="0088086E" w:rsidRDefault="00E042FD" w:rsidP="00F61756">
      <w:pPr>
        <w:shd w:val="clear" w:color="auto" w:fill="FFFFFF"/>
        <w:spacing w:after="0" w:line="276" w:lineRule="auto"/>
        <w:ind w:firstLine="540"/>
        <w:jc w:val="both"/>
        <w:rPr>
          <w:rFonts w:asciiTheme="majorHAnsi" w:eastAsia="Calibri" w:hAnsiTheme="majorHAnsi" w:cstheme="majorHAnsi"/>
          <w:bCs w:val="0"/>
          <w:sz w:val="24"/>
          <w:szCs w:val="24"/>
        </w:rPr>
      </w:pPr>
      <w:r>
        <w:rPr>
          <w:rFonts w:asciiTheme="majorHAnsi" w:eastAsia="Times New Roman" w:hAnsiTheme="majorHAnsi" w:cstheme="majorHAnsi"/>
          <w:b w:val="0"/>
          <w:bCs w:val="0"/>
          <w:sz w:val="24"/>
          <w:szCs w:val="24"/>
        </w:rPr>
        <w:t xml:space="preserve"> </w:t>
      </w:r>
    </w:p>
    <w:p w:rsidR="0088086E" w:rsidRDefault="00086480" w:rsidP="00F61756">
      <w:pPr>
        <w:numPr>
          <w:ilvl w:val="0"/>
          <w:numId w:val="26"/>
        </w:numPr>
        <w:shd w:val="clear" w:color="auto" w:fill="FFFFFF" w:themeFill="background1"/>
        <w:tabs>
          <w:tab w:val="left" w:pos="567"/>
          <w:tab w:val="left" w:pos="993"/>
        </w:tabs>
        <w:autoSpaceDE w:val="0"/>
        <w:autoSpaceDN w:val="0"/>
        <w:adjustRightInd w:val="0"/>
        <w:spacing w:after="0" w:line="276" w:lineRule="auto"/>
        <w:ind w:left="0" w:firstLine="284"/>
        <w:jc w:val="both"/>
        <w:rPr>
          <w:rFonts w:asciiTheme="majorHAnsi" w:eastAsia="Calibri" w:hAnsiTheme="majorHAnsi" w:cstheme="majorHAnsi"/>
          <w:bCs w:val="0"/>
          <w:sz w:val="24"/>
          <w:szCs w:val="24"/>
        </w:rPr>
      </w:pPr>
      <w:r>
        <w:rPr>
          <w:rFonts w:asciiTheme="majorHAnsi" w:eastAsia="Calibri" w:hAnsiTheme="majorHAnsi" w:cstheme="majorHAnsi"/>
          <w:bCs w:val="0"/>
          <w:sz w:val="24"/>
          <w:szCs w:val="24"/>
        </w:rPr>
        <w:t>p</w:t>
      </w:r>
      <w:r w:rsidR="00EE132E" w:rsidRPr="008376FC">
        <w:rPr>
          <w:rFonts w:asciiTheme="majorHAnsi" w:eastAsia="Calibri" w:hAnsiTheme="majorHAnsi" w:cstheme="majorHAnsi"/>
          <w:bCs w:val="0"/>
          <w:sz w:val="24"/>
          <w:szCs w:val="24"/>
        </w:rPr>
        <w:t>revederi ambigue privitor la administrarea și/sau gestiunea bunurilor transmise în gestiune del</w:t>
      </w:r>
      <w:r>
        <w:rPr>
          <w:rFonts w:asciiTheme="majorHAnsi" w:eastAsia="Calibri" w:hAnsiTheme="majorHAnsi" w:cstheme="majorHAnsi"/>
          <w:bCs w:val="0"/>
          <w:sz w:val="24"/>
          <w:szCs w:val="24"/>
        </w:rPr>
        <w:t>e</w:t>
      </w:r>
      <w:r w:rsidR="00EE132E" w:rsidRPr="008376FC">
        <w:rPr>
          <w:rFonts w:asciiTheme="majorHAnsi" w:eastAsia="Calibri" w:hAnsiTheme="majorHAnsi" w:cstheme="majorHAnsi"/>
          <w:bCs w:val="0"/>
          <w:sz w:val="24"/>
          <w:szCs w:val="24"/>
        </w:rPr>
        <w:t>gată</w:t>
      </w:r>
    </w:p>
    <w:p w:rsidR="00EE132E" w:rsidRPr="008376FC" w:rsidRDefault="00EE132E"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  </w:t>
      </w:r>
    </w:p>
    <w:p w:rsidR="00EE132E" w:rsidRPr="008376FC" w:rsidRDefault="00EE132E"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Sistemele publice de alimentare cu apă și de canalizare utilizate pentru furnizarea/prestarea serviciului pot fi: (i) date în </w:t>
      </w:r>
      <w:r w:rsidRPr="008376FC">
        <w:rPr>
          <w:rFonts w:asciiTheme="majorHAnsi" w:eastAsia="Times New Roman" w:hAnsiTheme="majorHAnsi" w:cstheme="majorHAnsi"/>
          <w:bCs w:val="0"/>
          <w:sz w:val="24"/>
          <w:szCs w:val="24"/>
        </w:rPr>
        <w:t>administrare</w:t>
      </w:r>
      <w:r w:rsidRPr="008376FC">
        <w:rPr>
          <w:rFonts w:asciiTheme="majorHAnsi" w:eastAsia="Times New Roman" w:hAnsiTheme="majorHAnsi" w:cstheme="majorHAnsi"/>
          <w:b w:val="0"/>
          <w:bCs w:val="0"/>
          <w:sz w:val="24"/>
          <w:szCs w:val="24"/>
        </w:rPr>
        <w:t xml:space="preserve"> și exploatare operatorilor, în cazul gestiunii directe și (ii) </w:t>
      </w:r>
      <w:r w:rsidRPr="008376FC">
        <w:rPr>
          <w:rFonts w:asciiTheme="majorHAnsi" w:eastAsia="Times New Roman" w:hAnsiTheme="majorHAnsi" w:cstheme="majorHAnsi"/>
          <w:bCs w:val="0"/>
          <w:sz w:val="24"/>
          <w:szCs w:val="24"/>
        </w:rPr>
        <w:t xml:space="preserve">concesionate </w:t>
      </w:r>
      <w:r w:rsidRPr="008376FC">
        <w:rPr>
          <w:rFonts w:asciiTheme="majorHAnsi" w:eastAsia="Times New Roman" w:hAnsiTheme="majorHAnsi" w:cstheme="majorHAnsi"/>
          <w:b w:val="0"/>
          <w:bCs w:val="0"/>
          <w:sz w:val="24"/>
          <w:szCs w:val="24"/>
        </w:rPr>
        <w:t>operatorilor, în temeiul deciziei de atribuire a contractului de delegare a gestiunii serviciului, în cazul gestiunii delegate. </w:t>
      </w:r>
    </w:p>
    <w:p w:rsidR="00EE132E" w:rsidRPr="008376FC" w:rsidRDefault="00EE132E"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shd w:val="clear" w:color="auto" w:fill="FFFFFF"/>
        </w:rPr>
        <w:t xml:space="preserve"> În cazul gestiunii delegate, concesionarea sistemelor publice de alimentare cu apă și de canalizare utilizate pentru furnizarea/prestarea serviciului este parte intrinsecă a contractelor de delegare a gestiunii. Aceste bunuri se transmit operatorilor spre administrare și exploatare pe perioada delegării gestiunii, în baza contractului de delegare a gestiunii, odată cu delegarea gestiunii serviciului. </w:t>
      </w:r>
    </w:p>
    <w:p w:rsidR="00EE132E" w:rsidRPr="008376FC" w:rsidRDefault="00EE132E" w:rsidP="00F61756">
      <w:pPr>
        <w:shd w:val="clear" w:color="auto" w:fill="FFFFFF" w:themeFill="background1"/>
        <w:spacing w:after="0" w:line="276" w:lineRule="auto"/>
        <w:ind w:firstLine="709"/>
        <w:jc w:val="both"/>
        <w:rPr>
          <w:rFonts w:asciiTheme="majorHAnsi" w:eastAsia="Calibri" w:hAnsiTheme="majorHAnsi" w:cstheme="majorHAnsi"/>
          <w:b w:val="0"/>
          <w:bCs w:val="0"/>
          <w:sz w:val="24"/>
          <w:szCs w:val="24"/>
          <w:shd w:val="clear" w:color="auto" w:fill="FFFFFF"/>
        </w:rPr>
      </w:pPr>
      <w:r w:rsidRPr="008376FC">
        <w:rPr>
          <w:rFonts w:asciiTheme="majorHAnsi" w:eastAsia="Calibri" w:hAnsiTheme="majorHAnsi" w:cstheme="majorHAnsi"/>
          <w:b w:val="0"/>
          <w:bCs w:val="0"/>
          <w:sz w:val="24"/>
          <w:szCs w:val="24"/>
          <w:shd w:val="clear" w:color="auto" w:fill="FFFFFF"/>
        </w:rPr>
        <w:t>Operatorul, indiferent de modalitatea de gestiune a serviciului, este obligat să ţină evidenţ</w:t>
      </w:r>
      <w:r w:rsidR="00E36253">
        <w:rPr>
          <w:rFonts w:asciiTheme="majorHAnsi" w:eastAsia="Calibri" w:hAnsiTheme="majorHAnsi" w:cstheme="majorHAnsi"/>
          <w:b w:val="0"/>
          <w:bCs w:val="0"/>
          <w:sz w:val="24"/>
          <w:szCs w:val="24"/>
          <w:shd w:val="clear" w:color="auto" w:fill="FFFFFF"/>
        </w:rPr>
        <w:t>a</w:t>
      </w:r>
      <w:r w:rsidRPr="008376FC">
        <w:rPr>
          <w:rFonts w:asciiTheme="majorHAnsi" w:eastAsia="Calibri" w:hAnsiTheme="majorHAnsi" w:cstheme="majorHAnsi"/>
          <w:b w:val="0"/>
          <w:bCs w:val="0"/>
          <w:sz w:val="24"/>
          <w:szCs w:val="24"/>
          <w:shd w:val="clear" w:color="auto" w:fill="FFFFFF"/>
        </w:rPr>
        <w:t xml:space="preserve"> separată a bunurilor primite în gestiune, inclusiv a modificării în timp a valorii sau a înlocuirii complete a acestora.</w:t>
      </w:r>
    </w:p>
    <w:p w:rsidR="00EE132E" w:rsidRPr="008376FC" w:rsidRDefault="00EE132E"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Conform prevederilor </w:t>
      </w:r>
      <w:r w:rsidR="00E36253">
        <w:rPr>
          <w:rFonts w:asciiTheme="majorHAnsi" w:eastAsia="Times New Roman" w:hAnsiTheme="majorHAnsi" w:cstheme="majorHAnsi"/>
          <w:b w:val="0"/>
          <w:bCs w:val="0"/>
          <w:sz w:val="24"/>
          <w:szCs w:val="24"/>
        </w:rPr>
        <w:t>L</w:t>
      </w:r>
      <w:r w:rsidRPr="008376FC">
        <w:rPr>
          <w:rFonts w:asciiTheme="majorHAnsi" w:eastAsia="Times New Roman" w:hAnsiTheme="majorHAnsi" w:cstheme="majorHAnsi"/>
          <w:b w:val="0"/>
          <w:bCs w:val="0"/>
          <w:sz w:val="24"/>
          <w:szCs w:val="24"/>
        </w:rPr>
        <w:t xml:space="preserve">egii nr.121/2018, </w:t>
      </w:r>
      <w:r w:rsidRPr="008376FC">
        <w:rPr>
          <w:rFonts w:asciiTheme="majorHAnsi" w:eastAsia="Times New Roman" w:hAnsiTheme="majorHAnsi" w:cstheme="majorHAnsi"/>
          <w:b w:val="0"/>
          <w:bCs w:val="0"/>
          <w:i/>
          <w:iCs/>
          <w:sz w:val="24"/>
          <w:szCs w:val="24"/>
          <w:shd w:val="clear" w:color="auto" w:fill="FFFFFF"/>
        </w:rPr>
        <w:t>contract</w:t>
      </w:r>
      <w:r w:rsidR="00E36253">
        <w:rPr>
          <w:rFonts w:asciiTheme="majorHAnsi" w:eastAsia="Times New Roman" w:hAnsiTheme="majorHAnsi" w:cstheme="majorHAnsi"/>
          <w:b w:val="0"/>
          <w:bCs w:val="0"/>
          <w:i/>
          <w:iCs/>
          <w:sz w:val="24"/>
          <w:szCs w:val="24"/>
          <w:shd w:val="clear" w:color="auto" w:fill="FFFFFF"/>
        </w:rPr>
        <w:t>ul</w:t>
      </w:r>
      <w:r w:rsidRPr="008376FC">
        <w:rPr>
          <w:rFonts w:asciiTheme="majorHAnsi" w:eastAsia="Times New Roman" w:hAnsiTheme="majorHAnsi" w:cstheme="majorHAnsi"/>
          <w:b w:val="0"/>
          <w:bCs w:val="0"/>
          <w:i/>
          <w:iCs/>
          <w:sz w:val="24"/>
          <w:szCs w:val="24"/>
          <w:shd w:val="clear" w:color="auto" w:fill="FFFFFF"/>
        </w:rPr>
        <w:t xml:space="preserve"> de concesiune de servicii</w:t>
      </w:r>
      <w:r w:rsidRPr="008376FC">
        <w:rPr>
          <w:rFonts w:asciiTheme="majorHAnsi" w:eastAsia="Times New Roman" w:hAnsiTheme="majorHAnsi" w:cstheme="majorHAnsi"/>
          <w:b w:val="0"/>
          <w:bCs w:val="0"/>
          <w:sz w:val="24"/>
          <w:szCs w:val="24"/>
          <w:shd w:val="clear" w:color="auto" w:fill="FFFFFF"/>
        </w:rPr>
        <w:t xml:space="preserve"> reprezintă un </w:t>
      </w:r>
      <w:r w:rsidRPr="008376FC">
        <w:rPr>
          <w:rFonts w:asciiTheme="majorHAnsi" w:eastAsia="Times New Roman" w:hAnsiTheme="majorHAnsi" w:cstheme="majorHAnsi"/>
          <w:bCs w:val="0"/>
          <w:sz w:val="24"/>
          <w:szCs w:val="24"/>
          <w:shd w:val="clear" w:color="auto" w:fill="FFFFFF"/>
        </w:rPr>
        <w:t>contract cu titlu oneros</w:t>
      </w:r>
      <w:r w:rsidRPr="008376FC">
        <w:rPr>
          <w:rFonts w:asciiTheme="majorHAnsi" w:eastAsia="Times New Roman" w:hAnsiTheme="majorHAnsi" w:cstheme="majorHAnsi"/>
          <w:b w:val="0"/>
          <w:bCs w:val="0"/>
          <w:sz w:val="24"/>
          <w:szCs w:val="24"/>
          <w:shd w:val="clear" w:color="auto" w:fill="FFFFFF"/>
        </w:rPr>
        <w:t xml:space="preserve">, încheiat în scris, prin care una sau mai multe autorități contractante încredințează </w:t>
      </w:r>
      <w:r w:rsidRPr="008376FC">
        <w:rPr>
          <w:rFonts w:asciiTheme="majorHAnsi" w:eastAsia="Times New Roman" w:hAnsiTheme="majorHAnsi" w:cstheme="majorHAnsi"/>
          <w:bCs w:val="0"/>
          <w:sz w:val="24"/>
          <w:szCs w:val="24"/>
          <w:shd w:val="clear" w:color="auto" w:fill="FFFFFF"/>
        </w:rPr>
        <w:t>prestarea și gestionarea</w:t>
      </w:r>
      <w:r w:rsidRPr="008376FC">
        <w:rPr>
          <w:rFonts w:asciiTheme="majorHAnsi" w:eastAsia="Times New Roman" w:hAnsiTheme="majorHAnsi" w:cstheme="majorHAnsi"/>
          <w:b w:val="0"/>
          <w:bCs w:val="0"/>
          <w:sz w:val="24"/>
          <w:szCs w:val="24"/>
          <w:shd w:val="clear" w:color="auto" w:fill="FFFFFF"/>
        </w:rPr>
        <w:t xml:space="preserve"> serviciilor unuia sau mai multor operatori economici, precum și </w:t>
      </w:r>
      <w:r w:rsidRPr="008376FC">
        <w:rPr>
          <w:rFonts w:asciiTheme="majorHAnsi" w:eastAsia="Times New Roman" w:hAnsiTheme="majorHAnsi" w:cstheme="majorHAnsi"/>
          <w:bCs w:val="0"/>
          <w:sz w:val="24"/>
          <w:szCs w:val="24"/>
          <w:shd w:val="clear" w:color="auto" w:fill="FFFFFF"/>
        </w:rPr>
        <w:t>exploatarea</w:t>
      </w:r>
      <w:r w:rsidRPr="008376FC">
        <w:rPr>
          <w:rFonts w:asciiTheme="majorHAnsi" w:eastAsia="Times New Roman" w:hAnsiTheme="majorHAnsi" w:cstheme="majorHAnsi"/>
          <w:b w:val="0"/>
          <w:bCs w:val="0"/>
          <w:sz w:val="24"/>
          <w:szCs w:val="24"/>
          <w:shd w:val="clear" w:color="auto" w:fill="FFFFFF"/>
        </w:rPr>
        <w:t xml:space="preserve"> bunurilor accesorii serviciilor ce fac obiectul concesiunii, în care contraprestația pentru servicii este reprezentată fie exclusiv de dreptul de a exploata serviciile ce fac obiectul concesiunii, fie de dreptul respectiv însoțit de o plată. </w:t>
      </w:r>
    </w:p>
    <w:p w:rsidR="00EE132E" w:rsidRPr="008376FC" w:rsidRDefault="00EE132E"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Conform art.4 din Legea nr.303/2013</w:t>
      </w:r>
      <w:r w:rsidR="00E36253">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i/>
          <w:iCs/>
          <w:sz w:val="24"/>
          <w:szCs w:val="24"/>
        </w:rPr>
        <w:t>delegarea gestiunii serviciului public de alimentare cu apă și de canalizare </w:t>
      </w:r>
      <w:r w:rsidRPr="008376FC">
        <w:rPr>
          <w:rFonts w:asciiTheme="majorHAnsi" w:eastAsia="Times New Roman" w:hAnsiTheme="majorHAnsi" w:cstheme="majorHAnsi"/>
          <w:b w:val="0"/>
          <w:bCs w:val="0"/>
          <w:sz w:val="24"/>
          <w:szCs w:val="24"/>
        </w:rPr>
        <w:t>reprezintă o acțiune prin care o unitate administrativ-teritorială atribuie unuia sau mai multor operatori, în condițiile legi</w:t>
      </w:r>
      <w:r w:rsidR="00E36253">
        <w:rPr>
          <w:rFonts w:asciiTheme="majorHAnsi" w:eastAsia="Times New Roman" w:hAnsiTheme="majorHAnsi" w:cstheme="majorHAnsi"/>
          <w:b w:val="0"/>
          <w:bCs w:val="0"/>
          <w:sz w:val="24"/>
          <w:szCs w:val="24"/>
        </w:rPr>
        <w:t>i</w:t>
      </w:r>
      <w:r w:rsidRPr="008376FC">
        <w:rPr>
          <w:rFonts w:asciiTheme="majorHAnsi" w:eastAsia="Times New Roman" w:hAnsiTheme="majorHAnsi" w:cstheme="majorHAnsi"/>
          <w:b w:val="0"/>
          <w:bCs w:val="0"/>
          <w:sz w:val="24"/>
          <w:szCs w:val="24"/>
        </w:rPr>
        <w:t xml:space="preserve">, dreptul de furnizare/prestare a serviciului sau a unei componente a acestuia și pentru care își asumă responsabilitatea. Delegarea gestiunii serviciului implică operarea propriu-zisă a serviciului, </w:t>
      </w:r>
      <w:r w:rsidRPr="008376FC">
        <w:rPr>
          <w:rFonts w:asciiTheme="majorHAnsi" w:eastAsia="Times New Roman" w:hAnsiTheme="majorHAnsi" w:cstheme="majorHAnsi"/>
          <w:bCs w:val="0"/>
          <w:sz w:val="24"/>
          <w:szCs w:val="24"/>
        </w:rPr>
        <w:t xml:space="preserve">concesionarea </w:t>
      </w:r>
      <w:r w:rsidRPr="008376FC">
        <w:rPr>
          <w:rFonts w:asciiTheme="majorHAnsi" w:eastAsia="Times New Roman" w:hAnsiTheme="majorHAnsi" w:cstheme="majorHAnsi"/>
          <w:b w:val="0"/>
          <w:bCs w:val="0"/>
          <w:sz w:val="24"/>
          <w:szCs w:val="24"/>
        </w:rPr>
        <w:t xml:space="preserve">sistemului public aferent serviciului delegat, precum și dreptul și obligația operatorului </w:t>
      </w:r>
      <w:r w:rsidRPr="008376FC">
        <w:rPr>
          <w:rFonts w:asciiTheme="majorHAnsi" w:eastAsia="Times New Roman" w:hAnsiTheme="majorHAnsi" w:cstheme="majorHAnsi"/>
          <w:bCs w:val="0"/>
          <w:sz w:val="24"/>
          <w:szCs w:val="24"/>
        </w:rPr>
        <w:t>de a administra și de a exploata</w:t>
      </w:r>
      <w:r w:rsidRPr="008376FC">
        <w:rPr>
          <w:rFonts w:asciiTheme="majorHAnsi" w:eastAsia="Times New Roman" w:hAnsiTheme="majorHAnsi" w:cstheme="majorHAnsi"/>
          <w:b w:val="0"/>
          <w:bCs w:val="0"/>
          <w:sz w:val="24"/>
          <w:szCs w:val="24"/>
        </w:rPr>
        <w:t xml:space="preserve"> sistemul respectiv</w:t>
      </w:r>
      <w:r w:rsidR="00E36253">
        <w:rPr>
          <w:rFonts w:asciiTheme="majorHAnsi" w:eastAsia="Times New Roman" w:hAnsiTheme="majorHAnsi" w:cstheme="majorHAnsi"/>
          <w:b w:val="0"/>
          <w:bCs w:val="0"/>
          <w:sz w:val="24"/>
          <w:szCs w:val="24"/>
        </w:rPr>
        <w:t>.</w:t>
      </w:r>
    </w:p>
    <w:p w:rsidR="00EE132E" w:rsidRPr="008376FC" w:rsidRDefault="00E36253"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Pr>
          <w:rFonts w:asciiTheme="majorHAnsi" w:eastAsia="Times New Roman" w:hAnsiTheme="majorHAnsi" w:cstheme="majorHAnsi"/>
          <w:b w:val="0"/>
          <w:bCs w:val="0"/>
          <w:iCs/>
          <w:sz w:val="24"/>
          <w:szCs w:val="24"/>
        </w:rPr>
        <w:t>C</w:t>
      </w:r>
      <w:r w:rsidR="00EE132E" w:rsidRPr="008376FC">
        <w:rPr>
          <w:rFonts w:asciiTheme="majorHAnsi" w:eastAsia="Times New Roman" w:hAnsiTheme="majorHAnsi" w:cstheme="majorHAnsi"/>
          <w:b w:val="0"/>
          <w:bCs w:val="0"/>
          <w:iCs/>
          <w:sz w:val="24"/>
          <w:szCs w:val="24"/>
        </w:rPr>
        <w:t>onform Legii nr.121/2007</w:t>
      </w:r>
      <w:r w:rsidR="00EE132E" w:rsidRPr="008376FC">
        <w:rPr>
          <w:rFonts w:asciiTheme="majorHAnsi" w:eastAsia="Times New Roman" w:hAnsiTheme="majorHAnsi" w:cstheme="majorHAnsi"/>
          <w:b w:val="0"/>
          <w:bCs w:val="0"/>
          <w:i/>
          <w:iCs/>
          <w:sz w:val="24"/>
          <w:szCs w:val="24"/>
        </w:rPr>
        <w:t xml:space="preserve"> </w:t>
      </w:r>
      <w:r w:rsidR="00EE132E" w:rsidRPr="008376FC">
        <w:rPr>
          <w:rFonts w:asciiTheme="majorHAnsi" w:eastAsia="Times New Roman" w:hAnsiTheme="majorHAnsi" w:cstheme="majorHAnsi"/>
          <w:b w:val="0"/>
          <w:bCs w:val="0"/>
          <w:sz w:val="24"/>
          <w:szCs w:val="24"/>
        </w:rPr>
        <w:t xml:space="preserve">privind administrarea şi deetatizarea proprietăţii publice, </w:t>
      </w:r>
      <w:r w:rsidR="00EE132E" w:rsidRPr="008376FC">
        <w:rPr>
          <w:rFonts w:asciiTheme="majorHAnsi" w:eastAsia="Times New Roman" w:hAnsiTheme="majorHAnsi" w:cstheme="majorHAnsi"/>
          <w:b w:val="0"/>
          <w:bCs w:val="0"/>
          <w:i/>
          <w:iCs/>
          <w:sz w:val="24"/>
          <w:szCs w:val="24"/>
          <w:shd w:val="clear" w:color="auto" w:fill="FFFFFF"/>
        </w:rPr>
        <w:t>concesiunea </w:t>
      </w:r>
      <w:r w:rsidR="00EE132E" w:rsidRPr="008376FC">
        <w:rPr>
          <w:rFonts w:asciiTheme="majorHAnsi" w:eastAsia="Times New Roman" w:hAnsiTheme="majorHAnsi" w:cstheme="majorHAnsi"/>
          <w:b w:val="0"/>
          <w:bCs w:val="0"/>
          <w:sz w:val="24"/>
          <w:szCs w:val="24"/>
          <w:shd w:val="clear" w:color="auto" w:fill="FFFFFF"/>
        </w:rPr>
        <w:t>reprezintă contract</w:t>
      </w:r>
      <w:r>
        <w:rPr>
          <w:rFonts w:asciiTheme="majorHAnsi" w:eastAsia="Times New Roman" w:hAnsiTheme="majorHAnsi" w:cstheme="majorHAnsi"/>
          <w:b w:val="0"/>
          <w:bCs w:val="0"/>
          <w:sz w:val="24"/>
          <w:szCs w:val="24"/>
          <w:shd w:val="clear" w:color="auto" w:fill="FFFFFF"/>
        </w:rPr>
        <w:t>ul</w:t>
      </w:r>
      <w:r w:rsidR="00EE132E" w:rsidRPr="008376FC">
        <w:rPr>
          <w:rFonts w:asciiTheme="majorHAnsi" w:eastAsia="Times New Roman" w:hAnsiTheme="majorHAnsi" w:cstheme="majorHAnsi"/>
          <w:b w:val="0"/>
          <w:bCs w:val="0"/>
          <w:sz w:val="24"/>
          <w:szCs w:val="24"/>
          <w:shd w:val="clear" w:color="auto" w:fill="FFFFFF"/>
        </w:rPr>
        <w:t xml:space="preserve"> prin care statul cesionează (transmite) unui investitor (persoană fizică sau juridică, inclusiv străină), în schimbul unei redevenţe, dreptul de a desfăşura activitate de prospectare, explorare, valorificare sau restabilire a resurselor naturale pe teritoriul Republicii Moldova, </w:t>
      </w:r>
      <w:r w:rsidR="00EE132E" w:rsidRPr="008376FC">
        <w:rPr>
          <w:rFonts w:asciiTheme="majorHAnsi" w:eastAsia="Times New Roman" w:hAnsiTheme="majorHAnsi" w:cstheme="majorHAnsi"/>
          <w:bCs w:val="0"/>
          <w:sz w:val="24"/>
          <w:szCs w:val="24"/>
          <w:shd w:val="clear" w:color="auto" w:fill="FFFFFF"/>
        </w:rPr>
        <w:t>de a presta servicii publice, de a exploata</w:t>
      </w:r>
      <w:r w:rsidR="00EE132E" w:rsidRPr="008376FC">
        <w:rPr>
          <w:rFonts w:asciiTheme="majorHAnsi" w:eastAsia="Times New Roman" w:hAnsiTheme="majorHAnsi" w:cstheme="majorHAnsi"/>
          <w:b w:val="0"/>
          <w:bCs w:val="0"/>
          <w:sz w:val="24"/>
          <w:szCs w:val="24"/>
          <w:shd w:val="clear" w:color="auto" w:fill="FFFFFF"/>
        </w:rPr>
        <w:t xml:space="preserve"> bunuri proprietate de stat/municipală care, conform legislaţiei, s</w:t>
      </w:r>
      <w:r>
        <w:rPr>
          <w:rFonts w:asciiTheme="majorHAnsi" w:eastAsia="Times New Roman" w:hAnsiTheme="majorHAnsi" w:cstheme="majorHAnsi"/>
          <w:b w:val="0"/>
          <w:bCs w:val="0"/>
          <w:sz w:val="24"/>
          <w:szCs w:val="24"/>
          <w:shd w:val="clear" w:color="auto" w:fill="FFFFFF"/>
        </w:rPr>
        <w:t>u</w:t>
      </w:r>
      <w:r w:rsidR="00EE132E" w:rsidRPr="008376FC">
        <w:rPr>
          <w:rFonts w:asciiTheme="majorHAnsi" w:eastAsia="Times New Roman" w:hAnsiTheme="majorHAnsi" w:cstheme="majorHAnsi"/>
          <w:b w:val="0"/>
          <w:bCs w:val="0"/>
          <w:sz w:val="24"/>
          <w:szCs w:val="24"/>
          <w:shd w:val="clear" w:color="auto" w:fill="FFFFFF"/>
        </w:rPr>
        <w:t>nt scoase integral sau parţial din circuitul civil, precum şi dreptul de a desfăşura anumite genuri de activitate, inclusiv cele care constituie monopol al statului, investitorul prelu</w:t>
      </w:r>
      <w:r w:rsidR="00CF5519">
        <w:rPr>
          <w:rFonts w:asciiTheme="majorHAnsi" w:eastAsia="Times New Roman" w:hAnsiTheme="majorHAnsi" w:cstheme="majorHAnsi"/>
          <w:b w:val="0"/>
          <w:bCs w:val="0"/>
          <w:sz w:val="24"/>
          <w:szCs w:val="24"/>
          <w:shd w:val="clear" w:color="auto" w:fill="FFFFFF"/>
        </w:rPr>
        <w:t>â</w:t>
      </w:r>
      <w:r w:rsidR="00EE132E" w:rsidRPr="008376FC">
        <w:rPr>
          <w:rFonts w:asciiTheme="majorHAnsi" w:eastAsia="Times New Roman" w:hAnsiTheme="majorHAnsi" w:cstheme="majorHAnsi"/>
          <w:b w:val="0"/>
          <w:bCs w:val="0"/>
          <w:sz w:val="24"/>
          <w:szCs w:val="24"/>
          <w:shd w:val="clear" w:color="auto" w:fill="FFFFFF"/>
        </w:rPr>
        <w:t xml:space="preserve">nd gestiunea obiectului concesiunii, riscul prezumtiv şi răspunderea patrimonială. </w:t>
      </w:r>
      <w:r w:rsidR="00CF5519" w:rsidRPr="00A46483">
        <w:rPr>
          <w:rFonts w:asciiTheme="majorHAnsi" w:eastAsia="Times New Roman" w:hAnsiTheme="majorHAnsi" w:cstheme="majorHAnsi"/>
          <w:b w:val="0"/>
          <w:bCs w:val="0"/>
          <w:i/>
          <w:sz w:val="24"/>
          <w:szCs w:val="24"/>
          <w:shd w:val="clear" w:color="auto" w:fill="FFFFFF"/>
        </w:rPr>
        <w:t>A</w:t>
      </w:r>
      <w:r w:rsidR="00EE132E" w:rsidRPr="008376FC">
        <w:rPr>
          <w:rFonts w:asciiTheme="majorHAnsi" w:eastAsia="Times New Roman" w:hAnsiTheme="majorHAnsi" w:cstheme="majorHAnsi"/>
          <w:b w:val="0"/>
          <w:bCs w:val="0"/>
          <w:i/>
          <w:iCs/>
          <w:sz w:val="24"/>
          <w:szCs w:val="24"/>
          <w:shd w:val="clear" w:color="auto" w:fill="FFFFFF"/>
        </w:rPr>
        <w:t>dministrarea proprietăţii publice</w:t>
      </w:r>
      <w:r w:rsidR="00EE132E" w:rsidRPr="008376FC">
        <w:rPr>
          <w:rFonts w:asciiTheme="majorHAnsi" w:eastAsia="Times New Roman" w:hAnsiTheme="majorHAnsi" w:cstheme="majorHAnsi"/>
          <w:b w:val="0"/>
          <w:bCs w:val="0"/>
          <w:sz w:val="24"/>
          <w:szCs w:val="24"/>
          <w:shd w:val="clear" w:color="auto" w:fill="FFFFFF"/>
        </w:rPr>
        <w:t> presupune activitate</w:t>
      </w:r>
      <w:r w:rsidR="00CF5519">
        <w:rPr>
          <w:rFonts w:asciiTheme="majorHAnsi" w:eastAsia="Times New Roman" w:hAnsiTheme="majorHAnsi" w:cstheme="majorHAnsi"/>
          <w:b w:val="0"/>
          <w:bCs w:val="0"/>
          <w:sz w:val="24"/>
          <w:szCs w:val="24"/>
          <w:shd w:val="clear" w:color="auto" w:fill="FFFFFF"/>
        </w:rPr>
        <w:t>a</w:t>
      </w:r>
      <w:r w:rsidR="00EE132E" w:rsidRPr="008376FC">
        <w:rPr>
          <w:rFonts w:asciiTheme="majorHAnsi" w:eastAsia="Times New Roman" w:hAnsiTheme="majorHAnsi" w:cstheme="majorHAnsi"/>
          <w:b w:val="0"/>
          <w:bCs w:val="0"/>
          <w:sz w:val="24"/>
          <w:szCs w:val="24"/>
          <w:shd w:val="clear" w:color="auto" w:fill="FFFFFF"/>
        </w:rPr>
        <w:t xml:space="preserve"> ce ţine de exercitarea şi modificarea dreptului de proprietate al statului şi/sau al unităţilor administrativ-teritoriale.</w:t>
      </w:r>
    </w:p>
    <w:p w:rsidR="00EE132E" w:rsidRPr="008376FC" w:rsidRDefault="00EE132E"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Astfel, cele 2 acte normanive (Legea nr. 303/2013 și Legea nr. 121/2018) includ prevederi ambigue,  în Legea nr.121/2018,  serviciile publice de alimentare cu apă și </w:t>
      </w:r>
      <w:r w:rsidR="00CF5519">
        <w:rPr>
          <w:rFonts w:asciiTheme="majorHAnsi" w:eastAsia="Times New Roman" w:hAnsiTheme="majorHAnsi" w:cstheme="majorHAnsi"/>
          <w:b w:val="0"/>
          <w:bCs w:val="0"/>
          <w:sz w:val="24"/>
          <w:szCs w:val="24"/>
        </w:rPr>
        <w:t xml:space="preserve">de </w:t>
      </w:r>
      <w:r w:rsidRPr="008376FC">
        <w:rPr>
          <w:rFonts w:asciiTheme="majorHAnsi" w:eastAsia="Times New Roman" w:hAnsiTheme="majorHAnsi" w:cstheme="majorHAnsi"/>
          <w:b w:val="0"/>
          <w:bCs w:val="0"/>
          <w:sz w:val="24"/>
          <w:szCs w:val="24"/>
        </w:rPr>
        <w:t>canalizare sunt transmise operatorului în gestionare și exploatare, îar conform  Legii nr. 303/2013 – în administrare și exploatare. Concesiunea trebuie să fie delimitată de celelalte forme de gestionare a proprietății din domeniul public. Noțiunile de concesiune și dreptul de administr</w:t>
      </w:r>
      <w:r w:rsidR="00754BA9" w:rsidRPr="008376FC">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z w:val="24"/>
          <w:szCs w:val="24"/>
        </w:rPr>
        <w:t>re sunt asemănătoare prin faptul că ambele sunt drepturi reale asupra unui bun proprietate publică, reprezent</w:t>
      </w:r>
      <w:r w:rsidR="00CF5519">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nd în același timp și modalități de utilizare a proprietății din domeniul public. Totodată, aceste 2 definiții se diferențiază din punct</w:t>
      </w:r>
      <w:r w:rsidR="00CF5519">
        <w:rPr>
          <w:rFonts w:asciiTheme="majorHAnsi" w:eastAsia="Times New Roman" w:hAnsiTheme="majorHAnsi" w:cstheme="majorHAnsi"/>
          <w:b w:val="0"/>
          <w:bCs w:val="0"/>
          <w:sz w:val="24"/>
          <w:szCs w:val="24"/>
        </w:rPr>
        <w:t>ul</w:t>
      </w:r>
      <w:r w:rsidRPr="008376FC">
        <w:rPr>
          <w:rFonts w:asciiTheme="majorHAnsi" w:eastAsia="Times New Roman" w:hAnsiTheme="majorHAnsi" w:cstheme="majorHAnsi"/>
          <w:b w:val="0"/>
          <w:bCs w:val="0"/>
          <w:sz w:val="24"/>
          <w:szCs w:val="24"/>
        </w:rPr>
        <w:t xml:space="preserve"> de vedere a</w:t>
      </w:r>
      <w:r w:rsidR="00CF5519">
        <w:rPr>
          <w:rFonts w:asciiTheme="majorHAnsi" w:eastAsia="Times New Roman" w:hAnsiTheme="majorHAnsi" w:cstheme="majorHAnsi"/>
          <w:b w:val="0"/>
          <w:bCs w:val="0"/>
          <w:sz w:val="24"/>
          <w:szCs w:val="24"/>
        </w:rPr>
        <w:t>l</w:t>
      </w:r>
      <w:r w:rsidRPr="008376FC">
        <w:rPr>
          <w:rFonts w:asciiTheme="majorHAnsi" w:eastAsia="Times New Roman" w:hAnsiTheme="majorHAnsi" w:cstheme="majorHAnsi"/>
          <w:b w:val="0"/>
          <w:bCs w:val="0"/>
          <w:sz w:val="24"/>
          <w:szCs w:val="24"/>
        </w:rPr>
        <w:t xml:space="preserve"> titularilor. Drept</w:t>
      </w:r>
      <w:r w:rsidR="00CF5519">
        <w:rPr>
          <w:rFonts w:asciiTheme="majorHAnsi" w:eastAsia="Times New Roman" w:hAnsiTheme="majorHAnsi" w:cstheme="majorHAnsi"/>
          <w:b w:val="0"/>
          <w:bCs w:val="0"/>
          <w:sz w:val="24"/>
          <w:szCs w:val="24"/>
        </w:rPr>
        <w:t>ul</w:t>
      </w:r>
      <w:r w:rsidRPr="008376FC">
        <w:rPr>
          <w:rFonts w:asciiTheme="majorHAnsi" w:eastAsia="Times New Roman" w:hAnsiTheme="majorHAnsi" w:cstheme="majorHAnsi"/>
          <w:b w:val="0"/>
          <w:bCs w:val="0"/>
          <w:sz w:val="24"/>
          <w:szCs w:val="24"/>
        </w:rPr>
        <w:t xml:space="preserve"> de administrare aparține numai regiilor autonome, autorităților administrați</w:t>
      </w:r>
      <w:r w:rsidR="00CF5519">
        <w:rPr>
          <w:rFonts w:asciiTheme="majorHAnsi" w:eastAsia="Times New Roman" w:hAnsiTheme="majorHAnsi" w:cstheme="majorHAnsi"/>
          <w:b w:val="0"/>
          <w:bCs w:val="0"/>
          <w:sz w:val="24"/>
          <w:szCs w:val="24"/>
        </w:rPr>
        <w:t>e</w:t>
      </w:r>
      <w:r w:rsidRPr="008376FC">
        <w:rPr>
          <w:rFonts w:asciiTheme="majorHAnsi" w:eastAsia="Times New Roman" w:hAnsiTheme="majorHAnsi" w:cstheme="majorHAnsi"/>
          <w:b w:val="0"/>
          <w:bCs w:val="0"/>
          <w:sz w:val="24"/>
          <w:szCs w:val="24"/>
        </w:rPr>
        <w:t>i publice centrale și locale or</w:t>
      </w:r>
      <w:r w:rsidR="00CF5519">
        <w:rPr>
          <w:rFonts w:asciiTheme="majorHAnsi" w:eastAsia="Times New Roman" w:hAnsiTheme="majorHAnsi" w:cstheme="majorHAnsi"/>
          <w:b w:val="0"/>
          <w:bCs w:val="0"/>
          <w:sz w:val="24"/>
          <w:szCs w:val="24"/>
        </w:rPr>
        <w:t>i</w:t>
      </w:r>
      <w:r w:rsidRPr="008376FC">
        <w:rPr>
          <w:rFonts w:asciiTheme="majorHAnsi" w:eastAsia="Times New Roman" w:hAnsiTheme="majorHAnsi" w:cstheme="majorHAnsi"/>
          <w:b w:val="0"/>
          <w:bCs w:val="0"/>
          <w:sz w:val="24"/>
          <w:szCs w:val="24"/>
        </w:rPr>
        <w:t xml:space="preserve"> altor instituții de interes na</w:t>
      </w:r>
      <w:r w:rsidR="00A670C0" w:rsidRPr="008376FC">
        <w:rPr>
          <w:rFonts w:asciiTheme="majorHAnsi" w:eastAsia="Times New Roman" w:hAnsiTheme="majorHAnsi" w:cstheme="majorHAnsi"/>
          <w:b w:val="0"/>
          <w:bCs w:val="0"/>
          <w:sz w:val="24"/>
          <w:szCs w:val="24"/>
        </w:rPr>
        <w:t>ț</w:t>
      </w:r>
      <w:r w:rsidRPr="008376FC">
        <w:rPr>
          <w:rFonts w:asciiTheme="majorHAnsi" w:eastAsia="Times New Roman" w:hAnsiTheme="majorHAnsi" w:cstheme="majorHAnsi"/>
          <w:b w:val="0"/>
          <w:bCs w:val="0"/>
          <w:sz w:val="24"/>
          <w:szCs w:val="24"/>
        </w:rPr>
        <w:t>ional sau local, în timp ce calitatea de concesionar o po</w:t>
      </w:r>
      <w:r w:rsidR="00CF5519">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z w:val="24"/>
          <w:szCs w:val="24"/>
        </w:rPr>
        <w:t>t</w:t>
      </w:r>
      <w:r w:rsidR="00CF5519">
        <w:rPr>
          <w:rFonts w:asciiTheme="majorHAnsi" w:eastAsia="Times New Roman" w:hAnsiTheme="majorHAnsi" w:cstheme="majorHAnsi"/>
          <w:b w:val="0"/>
          <w:bCs w:val="0"/>
          <w:sz w:val="24"/>
          <w:szCs w:val="24"/>
        </w:rPr>
        <w:t>e</w:t>
      </w:r>
      <w:r w:rsidRPr="008376FC">
        <w:rPr>
          <w:rFonts w:asciiTheme="majorHAnsi" w:eastAsia="Times New Roman" w:hAnsiTheme="majorHAnsi" w:cstheme="majorHAnsi"/>
          <w:b w:val="0"/>
          <w:bCs w:val="0"/>
          <w:sz w:val="24"/>
          <w:szCs w:val="24"/>
        </w:rPr>
        <w:t xml:space="preserve"> avea numai persoanele fizice sau juridice de drept privat. A doua diferență este modalitatea de realizare, și anume, darea în administrare se realizează printr-un act administrariv (Hotăr</w:t>
      </w:r>
      <w:r w:rsidR="00CF5519">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re de Guvern, Decizie a Consiliului local</w:t>
      </w:r>
      <w:r w:rsidR="00CF5519">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iar concesiunea se realizează printr-un act administrativ de gestiune (contract), care împreună cu hot</w:t>
      </w:r>
      <w:r w:rsidR="00CF5519">
        <w:rPr>
          <w:rFonts w:asciiTheme="majorHAnsi" w:eastAsia="Times New Roman" w:hAnsiTheme="majorHAnsi" w:cstheme="majorHAnsi"/>
          <w:b w:val="0"/>
          <w:bCs w:val="0"/>
          <w:sz w:val="24"/>
          <w:szCs w:val="24"/>
        </w:rPr>
        <w:t>ă</w:t>
      </w:r>
      <w:r w:rsidRPr="008376FC">
        <w:rPr>
          <w:rFonts w:asciiTheme="majorHAnsi" w:eastAsia="Times New Roman" w:hAnsiTheme="majorHAnsi" w:cstheme="majorHAnsi"/>
          <w:b w:val="0"/>
          <w:bCs w:val="0"/>
          <w:sz w:val="24"/>
          <w:szCs w:val="24"/>
        </w:rPr>
        <w:t>r</w:t>
      </w:r>
      <w:r w:rsidR="00CF5519">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rea/decizia de a concesiona serviciul public cre</w:t>
      </w:r>
      <w:r w:rsidR="00CF5519">
        <w:rPr>
          <w:rFonts w:asciiTheme="majorHAnsi" w:eastAsia="Times New Roman" w:hAnsiTheme="majorHAnsi" w:cstheme="majorHAnsi"/>
          <w:b w:val="0"/>
          <w:bCs w:val="0"/>
          <w:sz w:val="24"/>
          <w:szCs w:val="24"/>
        </w:rPr>
        <w:t>e</w:t>
      </w:r>
      <w:r w:rsidRPr="008376FC">
        <w:rPr>
          <w:rFonts w:asciiTheme="majorHAnsi" w:eastAsia="Times New Roman" w:hAnsiTheme="majorHAnsi" w:cstheme="majorHAnsi"/>
          <w:b w:val="0"/>
          <w:bCs w:val="0"/>
          <w:sz w:val="24"/>
          <w:szCs w:val="24"/>
        </w:rPr>
        <w:t>ază caracterul mixt al concesiunii.</w:t>
      </w:r>
    </w:p>
    <w:p w:rsidR="00EE132E" w:rsidRDefault="00EE132E" w:rsidP="007D322F">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În acest sens, urmează să fie întreprins</w:t>
      </w:r>
      <w:r w:rsidR="00A670C0" w:rsidRPr="008376FC">
        <w:rPr>
          <w:rFonts w:asciiTheme="majorHAnsi" w:eastAsia="Times New Roman" w:hAnsiTheme="majorHAnsi" w:cstheme="majorHAnsi"/>
          <w:b w:val="0"/>
          <w:bCs w:val="0"/>
          <w:sz w:val="24"/>
          <w:szCs w:val="24"/>
        </w:rPr>
        <w:t>e</w:t>
      </w:r>
      <w:r w:rsidRPr="008376FC">
        <w:rPr>
          <w:rFonts w:asciiTheme="majorHAnsi" w:eastAsia="Times New Roman" w:hAnsiTheme="majorHAnsi" w:cstheme="majorHAnsi"/>
          <w:b w:val="0"/>
          <w:bCs w:val="0"/>
          <w:sz w:val="24"/>
          <w:szCs w:val="24"/>
        </w:rPr>
        <w:t xml:space="preserve"> măsuri pentru revizuirea și armonizarea prevederilor din ambele acte normative, pentru a exclude riscurile posibile le</w:t>
      </w:r>
      <w:r w:rsidR="00A670C0" w:rsidRPr="008376FC">
        <w:rPr>
          <w:rFonts w:asciiTheme="majorHAnsi" w:eastAsia="Times New Roman" w:hAnsiTheme="majorHAnsi" w:cstheme="majorHAnsi"/>
          <w:b w:val="0"/>
          <w:bCs w:val="0"/>
          <w:sz w:val="24"/>
          <w:szCs w:val="24"/>
        </w:rPr>
        <w:t>g</w:t>
      </w:r>
      <w:r w:rsidRPr="008376FC">
        <w:rPr>
          <w:rFonts w:asciiTheme="majorHAnsi" w:eastAsia="Times New Roman" w:hAnsiTheme="majorHAnsi" w:cstheme="majorHAnsi"/>
          <w:b w:val="0"/>
          <w:bCs w:val="0"/>
          <w:sz w:val="24"/>
          <w:szCs w:val="24"/>
        </w:rPr>
        <w:t xml:space="preserve">ate de utilizarea în acestea a cuvintelor „administrare”, care </w:t>
      </w:r>
      <w:r w:rsidR="00CF5519">
        <w:rPr>
          <w:rFonts w:asciiTheme="majorHAnsi" w:eastAsia="Times New Roman" w:hAnsiTheme="majorHAnsi" w:cstheme="majorHAnsi"/>
          <w:b w:val="0"/>
          <w:bCs w:val="0"/>
          <w:sz w:val="24"/>
          <w:szCs w:val="24"/>
        </w:rPr>
        <w:t>prin</w:t>
      </w:r>
      <w:r w:rsidRPr="008376FC">
        <w:rPr>
          <w:rFonts w:asciiTheme="majorHAnsi" w:eastAsia="Times New Roman" w:hAnsiTheme="majorHAnsi" w:cstheme="majorHAnsi"/>
          <w:b w:val="0"/>
          <w:bCs w:val="0"/>
          <w:sz w:val="24"/>
          <w:szCs w:val="24"/>
        </w:rPr>
        <w:t xml:space="preserve"> noțiun</w:t>
      </w:r>
      <w:r w:rsidR="00CF5519">
        <w:rPr>
          <w:rFonts w:asciiTheme="majorHAnsi" w:eastAsia="Times New Roman" w:hAnsiTheme="majorHAnsi" w:cstheme="majorHAnsi"/>
          <w:b w:val="0"/>
          <w:bCs w:val="0"/>
          <w:sz w:val="24"/>
          <w:szCs w:val="24"/>
        </w:rPr>
        <w:t>ea</w:t>
      </w:r>
      <w:r w:rsidRPr="008376FC">
        <w:rPr>
          <w:rFonts w:asciiTheme="majorHAnsi" w:eastAsia="Times New Roman" w:hAnsiTheme="majorHAnsi" w:cstheme="majorHAnsi"/>
          <w:b w:val="0"/>
          <w:bCs w:val="0"/>
          <w:sz w:val="24"/>
          <w:szCs w:val="24"/>
        </w:rPr>
        <w:t xml:space="preserve"> de administrare pot genera posibile riscuri de înstrăinare a proprietății statului și a UAT</w:t>
      </w:r>
      <w:r w:rsidR="00756A75">
        <w:rPr>
          <w:rFonts w:asciiTheme="majorHAnsi" w:eastAsia="Times New Roman" w:hAnsiTheme="majorHAnsi" w:cstheme="majorHAnsi"/>
          <w:b w:val="0"/>
          <w:bCs w:val="0"/>
          <w:sz w:val="24"/>
          <w:szCs w:val="24"/>
        </w:rPr>
        <w:t>.</w:t>
      </w:r>
    </w:p>
    <w:p w:rsidR="00EE132E" w:rsidRPr="008376FC" w:rsidRDefault="00EE132E" w:rsidP="007D322F">
      <w:pPr>
        <w:shd w:val="clear" w:color="auto" w:fill="FFFFFF"/>
        <w:spacing w:after="0" w:line="276" w:lineRule="auto"/>
        <w:ind w:firstLine="709"/>
        <w:jc w:val="both"/>
        <w:rPr>
          <w:rFonts w:asciiTheme="majorHAnsi" w:eastAsia="Times New Roman" w:hAnsiTheme="majorHAnsi" w:cstheme="majorHAnsi"/>
          <w:b w:val="0"/>
          <w:bCs w:val="0"/>
          <w:sz w:val="24"/>
          <w:szCs w:val="24"/>
        </w:rPr>
      </w:pPr>
    </w:p>
    <w:p w:rsidR="00EE132E" w:rsidRPr="008376FC" w:rsidRDefault="00CF5519" w:rsidP="007D322F">
      <w:pPr>
        <w:numPr>
          <w:ilvl w:val="0"/>
          <w:numId w:val="26"/>
        </w:numPr>
        <w:shd w:val="clear" w:color="auto" w:fill="FFFFFF"/>
        <w:tabs>
          <w:tab w:val="left" w:pos="426"/>
        </w:tabs>
        <w:spacing w:after="0" w:line="276" w:lineRule="auto"/>
        <w:ind w:left="0" w:firstLine="284"/>
        <w:jc w:val="both"/>
        <w:rPr>
          <w:rFonts w:asciiTheme="majorHAnsi" w:eastAsia="Times New Roman" w:hAnsiTheme="majorHAnsi" w:cstheme="majorHAnsi"/>
          <w:bCs w:val="0"/>
          <w:sz w:val="24"/>
          <w:szCs w:val="24"/>
        </w:rPr>
      </w:pPr>
      <w:r>
        <w:rPr>
          <w:rFonts w:asciiTheme="majorHAnsi" w:eastAsia="Times New Roman" w:hAnsiTheme="majorHAnsi" w:cstheme="majorHAnsi"/>
          <w:bCs w:val="0"/>
          <w:sz w:val="24"/>
          <w:szCs w:val="24"/>
        </w:rPr>
        <w:t>c</w:t>
      </w:r>
      <w:r w:rsidR="00EE132E" w:rsidRPr="008376FC">
        <w:rPr>
          <w:rFonts w:asciiTheme="majorHAnsi" w:eastAsia="Times New Roman" w:hAnsiTheme="majorHAnsi" w:cstheme="majorHAnsi"/>
          <w:bCs w:val="0"/>
          <w:sz w:val="24"/>
          <w:szCs w:val="24"/>
        </w:rPr>
        <w:t>ontractele de gestiune delega</w:t>
      </w:r>
      <w:r w:rsidR="00E41356">
        <w:rPr>
          <w:rFonts w:asciiTheme="majorHAnsi" w:eastAsia="Times New Roman" w:hAnsiTheme="majorHAnsi" w:cstheme="majorHAnsi"/>
          <w:bCs w:val="0"/>
          <w:sz w:val="24"/>
          <w:szCs w:val="24"/>
        </w:rPr>
        <w:t>t</w:t>
      </w:r>
      <w:r w:rsidR="00EE132E" w:rsidRPr="008376FC">
        <w:rPr>
          <w:rFonts w:asciiTheme="majorHAnsi" w:eastAsia="Times New Roman" w:hAnsiTheme="majorHAnsi" w:cstheme="majorHAnsi"/>
          <w:bCs w:val="0"/>
          <w:sz w:val="24"/>
          <w:szCs w:val="24"/>
        </w:rPr>
        <w:t xml:space="preserve">ă nu includ mărimea redevenței sau </w:t>
      </w:r>
      <w:r w:rsidR="00E41356">
        <w:rPr>
          <w:rFonts w:asciiTheme="majorHAnsi" w:eastAsia="Times New Roman" w:hAnsiTheme="majorHAnsi" w:cstheme="majorHAnsi"/>
          <w:bCs w:val="0"/>
          <w:sz w:val="24"/>
          <w:szCs w:val="24"/>
        </w:rPr>
        <w:t xml:space="preserve">a </w:t>
      </w:r>
      <w:r w:rsidR="00EE132E" w:rsidRPr="008376FC">
        <w:rPr>
          <w:rFonts w:asciiTheme="majorHAnsi" w:eastAsia="Times New Roman" w:hAnsiTheme="majorHAnsi" w:cstheme="majorHAnsi"/>
          <w:bCs w:val="0"/>
          <w:sz w:val="24"/>
          <w:szCs w:val="24"/>
        </w:rPr>
        <w:t>altor plăți și acestea nu sunt încasate la buget, răm</w:t>
      </w:r>
      <w:r w:rsidR="00E41356">
        <w:rPr>
          <w:rFonts w:asciiTheme="majorHAnsi" w:eastAsia="Times New Roman" w:hAnsiTheme="majorHAnsi" w:cstheme="majorHAnsi"/>
          <w:bCs w:val="0"/>
          <w:sz w:val="24"/>
          <w:szCs w:val="24"/>
        </w:rPr>
        <w:t>â</w:t>
      </w:r>
      <w:r w:rsidR="00EE132E" w:rsidRPr="008376FC">
        <w:rPr>
          <w:rFonts w:asciiTheme="majorHAnsi" w:eastAsia="Times New Roman" w:hAnsiTheme="majorHAnsi" w:cstheme="majorHAnsi"/>
          <w:bCs w:val="0"/>
          <w:sz w:val="24"/>
          <w:szCs w:val="24"/>
        </w:rPr>
        <w:t>n</w:t>
      </w:r>
      <w:r w:rsidR="00E41356">
        <w:rPr>
          <w:rFonts w:asciiTheme="majorHAnsi" w:eastAsia="Times New Roman" w:hAnsiTheme="majorHAnsi" w:cstheme="majorHAnsi"/>
          <w:bCs w:val="0"/>
          <w:sz w:val="24"/>
          <w:szCs w:val="24"/>
        </w:rPr>
        <w:t>â</w:t>
      </w:r>
      <w:r w:rsidR="00EE132E" w:rsidRPr="008376FC">
        <w:rPr>
          <w:rFonts w:asciiTheme="majorHAnsi" w:eastAsia="Times New Roman" w:hAnsiTheme="majorHAnsi" w:cstheme="majorHAnsi"/>
          <w:bCs w:val="0"/>
          <w:sz w:val="24"/>
          <w:szCs w:val="24"/>
        </w:rPr>
        <w:t>nd la dispoziția operatorilor</w:t>
      </w:r>
      <w:r w:rsidR="00E41356">
        <w:rPr>
          <w:rFonts w:asciiTheme="majorHAnsi" w:eastAsia="Times New Roman" w:hAnsiTheme="majorHAnsi" w:cstheme="majorHAnsi"/>
          <w:bCs w:val="0"/>
          <w:sz w:val="24"/>
          <w:szCs w:val="24"/>
        </w:rPr>
        <w:t>.</w:t>
      </w:r>
    </w:p>
    <w:p w:rsidR="00EE132E" w:rsidRPr="008376FC" w:rsidRDefault="00EE132E" w:rsidP="007D322F">
      <w:pPr>
        <w:shd w:val="clear" w:color="auto" w:fill="FFFFFF"/>
        <w:spacing w:after="0" w:line="276" w:lineRule="auto"/>
        <w:ind w:firstLine="709"/>
        <w:jc w:val="both"/>
        <w:rPr>
          <w:rFonts w:asciiTheme="majorHAnsi" w:eastAsia="Times New Roman" w:hAnsiTheme="majorHAnsi" w:cstheme="majorHAnsi"/>
          <w:b w:val="0"/>
          <w:bCs w:val="0"/>
          <w:sz w:val="24"/>
          <w:szCs w:val="24"/>
        </w:rPr>
      </w:pPr>
    </w:p>
    <w:p w:rsidR="00EE132E" w:rsidRPr="008376FC" w:rsidRDefault="00EE132E" w:rsidP="007D322F">
      <w:pPr>
        <w:shd w:val="clear" w:color="auto" w:fill="FFFFFF"/>
        <w:spacing w:after="0" w:line="276" w:lineRule="auto"/>
        <w:ind w:firstLine="709"/>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rPr>
        <w:t>Conform art.13 alin.(8) lit. j) din Legea nr.303/2013, Contractul de delegare a gestiunii, indiferent de tipul acestuia, cuprinde în mod obligatoriu clauze referitoare la  </w:t>
      </w:r>
      <w:r w:rsidRPr="008376FC">
        <w:rPr>
          <w:rFonts w:asciiTheme="majorHAnsi" w:eastAsia="Times New Roman" w:hAnsiTheme="majorHAnsi" w:cstheme="majorHAnsi"/>
          <w:b w:val="0"/>
          <w:bCs w:val="0"/>
          <w:sz w:val="24"/>
          <w:szCs w:val="24"/>
          <w:shd w:val="clear" w:color="auto" w:fill="FFFFFF"/>
        </w:rPr>
        <w:t xml:space="preserve">nivelul redevenţei sau al altor obligaţii. </w:t>
      </w:r>
    </w:p>
    <w:p w:rsidR="00EE132E" w:rsidRPr="008376FC" w:rsidRDefault="00EE132E"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shd w:val="clear" w:color="auto" w:fill="FFFFFF"/>
        </w:rPr>
        <w:t>Conform art.7 din Legea nr. 121/2018 cu privire la concesiunile de lucrări</w:t>
      </w:r>
      <w:r w:rsidRPr="008376FC">
        <w:rPr>
          <w:rFonts w:asciiTheme="majorHAnsi" w:eastAsia="Times New Roman" w:hAnsiTheme="majorHAnsi" w:cstheme="majorHAnsi"/>
          <w:b w:val="0"/>
          <w:bCs w:val="0"/>
          <w:sz w:val="24"/>
          <w:szCs w:val="24"/>
          <w:shd w:val="clear" w:color="auto" w:fill="FFFFFF"/>
        </w:rPr>
        <w:br/>
        <w:t xml:space="preserve">și concesiunile de servicii, </w:t>
      </w:r>
      <w:r w:rsidRPr="008376FC">
        <w:rPr>
          <w:rFonts w:asciiTheme="majorHAnsi" w:eastAsia="Times New Roman" w:hAnsiTheme="majorHAnsi" w:cstheme="majorHAnsi"/>
          <w:b w:val="0"/>
          <w:bCs w:val="0"/>
          <w:sz w:val="24"/>
          <w:szCs w:val="24"/>
        </w:rPr>
        <w:t>redevența concesiunii fie se stabilește în natură, în bani sau în ambele forme, cu modul de plată într-o singură tranșă sau în plăți periodice pe toată durata contractului de concesiune, fie reprezintă valoarea investițiilor necesare pentru realizarea îmbunătățirilor ce urmează a fi aduse obiectului concesiunii și bunurilor accesorii lucrărilor și serviciilor ce fac obiectul concesiunii. Redevența se stabilește pentru exploatarea tuturor obiectelor concesiunii în ansamblu sau pentru fiecare obiect în parte.  Cuantumul minim al redevenței pentru fiecare proiect de concesiune în parte se stabilește de către Guvern, în cazul proiectelor de interes public național, și de către autoritățile deliberative ale administrației publice locale, în cazul proiectelor de interes public local. Cuantumul, forma redevenței, modul și termenele de achitare a redevenței se stabilesc în contractul de concesiune.</w:t>
      </w:r>
    </w:p>
    <w:p w:rsidR="00EE132E" w:rsidRPr="008376FC" w:rsidRDefault="00EE132E"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Analiza a 4 contracte de gestiune </w:t>
      </w:r>
      <w:r w:rsidR="00A670C0" w:rsidRPr="008376FC">
        <w:rPr>
          <w:rFonts w:asciiTheme="majorHAnsi" w:eastAsia="Times New Roman" w:hAnsiTheme="majorHAnsi" w:cstheme="majorHAnsi"/>
          <w:b w:val="0"/>
          <w:bCs w:val="0"/>
          <w:sz w:val="24"/>
          <w:szCs w:val="24"/>
        </w:rPr>
        <w:t>d</w:t>
      </w:r>
      <w:r w:rsidRPr="008376FC">
        <w:rPr>
          <w:rFonts w:asciiTheme="majorHAnsi" w:eastAsia="Times New Roman" w:hAnsiTheme="majorHAnsi" w:cstheme="majorHAnsi"/>
          <w:b w:val="0"/>
          <w:bCs w:val="0"/>
          <w:sz w:val="24"/>
          <w:szCs w:val="24"/>
        </w:rPr>
        <w:t xml:space="preserve">elegată a </w:t>
      </w:r>
      <w:r w:rsidR="00E41356">
        <w:rPr>
          <w:rFonts w:asciiTheme="majorHAnsi" w:eastAsia="Times New Roman" w:hAnsiTheme="majorHAnsi" w:cstheme="majorHAnsi"/>
          <w:b w:val="0"/>
          <w:bCs w:val="0"/>
          <w:sz w:val="24"/>
          <w:szCs w:val="24"/>
        </w:rPr>
        <w:t>relevă</w:t>
      </w:r>
      <w:r w:rsidRPr="008376FC">
        <w:rPr>
          <w:rFonts w:asciiTheme="majorHAnsi" w:eastAsia="Times New Roman" w:hAnsiTheme="majorHAnsi" w:cstheme="majorHAnsi"/>
          <w:b w:val="0"/>
          <w:bCs w:val="0"/>
          <w:sz w:val="24"/>
          <w:szCs w:val="24"/>
        </w:rPr>
        <w:t xml:space="preserve"> următoarele. 3 contracte de gestiune delegat</w:t>
      </w:r>
      <w:r w:rsidR="00E41356">
        <w:rPr>
          <w:rFonts w:asciiTheme="majorHAnsi" w:eastAsia="Times New Roman" w:hAnsiTheme="majorHAnsi" w:cstheme="majorHAnsi"/>
          <w:b w:val="0"/>
          <w:bCs w:val="0"/>
          <w:sz w:val="24"/>
          <w:szCs w:val="24"/>
        </w:rPr>
        <w:t>ă</w:t>
      </w:r>
      <w:r w:rsidRPr="008376FC">
        <w:rPr>
          <w:rFonts w:asciiTheme="majorHAnsi" w:eastAsia="Times New Roman" w:hAnsiTheme="majorHAnsi" w:cstheme="majorHAnsi"/>
          <w:b w:val="0"/>
          <w:bCs w:val="0"/>
          <w:sz w:val="24"/>
          <w:szCs w:val="24"/>
        </w:rPr>
        <w:t xml:space="preserve"> (Orhei, H</w:t>
      </w:r>
      <w:r w:rsidR="00E41356">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nce</w:t>
      </w:r>
      <w:r w:rsidR="00E41356">
        <w:rPr>
          <w:rFonts w:asciiTheme="majorHAnsi" w:eastAsia="Times New Roman" w:hAnsiTheme="majorHAnsi" w:cstheme="majorHAnsi"/>
          <w:b w:val="0"/>
          <w:bCs w:val="0"/>
          <w:sz w:val="24"/>
          <w:szCs w:val="24"/>
        </w:rPr>
        <w:t>ș</w:t>
      </w:r>
      <w:r w:rsidRPr="008376FC">
        <w:rPr>
          <w:rFonts w:asciiTheme="majorHAnsi" w:eastAsia="Times New Roman" w:hAnsiTheme="majorHAnsi" w:cstheme="majorHAnsi"/>
          <w:b w:val="0"/>
          <w:bCs w:val="0"/>
          <w:sz w:val="24"/>
          <w:szCs w:val="24"/>
        </w:rPr>
        <w:t>ti</w:t>
      </w:r>
      <w:r w:rsidR="00E41356">
        <w:rPr>
          <w:rFonts w:asciiTheme="majorHAnsi" w:eastAsia="Times New Roman" w:hAnsiTheme="majorHAnsi" w:cstheme="majorHAnsi"/>
          <w:b w:val="0"/>
          <w:bCs w:val="0"/>
          <w:sz w:val="24"/>
          <w:szCs w:val="24"/>
        </w:rPr>
        <w:t xml:space="preserve"> și</w:t>
      </w:r>
      <w:r w:rsidRPr="008376FC">
        <w:rPr>
          <w:rFonts w:asciiTheme="majorHAnsi" w:eastAsia="Times New Roman" w:hAnsiTheme="majorHAnsi" w:cstheme="majorHAnsi"/>
          <w:b w:val="0"/>
          <w:bCs w:val="0"/>
          <w:sz w:val="24"/>
          <w:szCs w:val="24"/>
        </w:rPr>
        <w:t xml:space="preserve"> Soroca) nu in</w:t>
      </w:r>
      <w:r w:rsidR="00E41356">
        <w:rPr>
          <w:rFonts w:asciiTheme="majorHAnsi" w:eastAsia="Times New Roman" w:hAnsiTheme="majorHAnsi" w:cstheme="majorHAnsi"/>
          <w:b w:val="0"/>
          <w:bCs w:val="0"/>
          <w:sz w:val="24"/>
          <w:szCs w:val="24"/>
        </w:rPr>
        <w:t>c</w:t>
      </w:r>
      <w:r w:rsidRPr="008376FC">
        <w:rPr>
          <w:rFonts w:asciiTheme="majorHAnsi" w:eastAsia="Times New Roman" w:hAnsiTheme="majorHAnsi" w:cstheme="majorHAnsi"/>
          <w:b w:val="0"/>
          <w:bCs w:val="0"/>
          <w:sz w:val="24"/>
          <w:szCs w:val="24"/>
        </w:rPr>
        <w:t>lud prevederi privitor la redevență și mărimea acest</w:t>
      </w:r>
      <w:r w:rsidR="00A670C0" w:rsidRPr="008376FC">
        <w:rPr>
          <w:rFonts w:asciiTheme="majorHAnsi" w:eastAsia="Times New Roman" w:hAnsiTheme="majorHAnsi" w:cstheme="majorHAnsi"/>
          <w:b w:val="0"/>
          <w:bCs w:val="0"/>
          <w:sz w:val="24"/>
          <w:szCs w:val="24"/>
        </w:rPr>
        <w:t>e</w:t>
      </w:r>
      <w:r w:rsidR="00E41356">
        <w:rPr>
          <w:rFonts w:asciiTheme="majorHAnsi" w:eastAsia="Times New Roman" w:hAnsiTheme="majorHAnsi" w:cstheme="majorHAnsi"/>
          <w:b w:val="0"/>
          <w:bCs w:val="0"/>
          <w:sz w:val="24"/>
          <w:szCs w:val="24"/>
        </w:rPr>
        <w:t>i</w:t>
      </w:r>
      <w:r w:rsidRPr="008376FC">
        <w:rPr>
          <w:rFonts w:asciiTheme="majorHAnsi" w:eastAsia="Times New Roman" w:hAnsiTheme="majorHAnsi" w:cstheme="majorHAnsi"/>
          <w:b w:val="0"/>
          <w:bCs w:val="0"/>
          <w:sz w:val="24"/>
          <w:szCs w:val="24"/>
        </w:rPr>
        <w:t>a, iar la Nisporeni, deși contractul include un capitol separat (capitolul 6) „Nivelul și plata redevențri” cu 6 subcapitole, nu include sume fixe (nivelul) care urmează a fi achitat</w:t>
      </w:r>
      <w:r w:rsidR="00E41356">
        <w:rPr>
          <w:rFonts w:asciiTheme="majorHAnsi" w:eastAsia="Times New Roman" w:hAnsiTheme="majorHAnsi" w:cstheme="majorHAnsi"/>
          <w:b w:val="0"/>
          <w:bCs w:val="0"/>
          <w:sz w:val="24"/>
          <w:szCs w:val="24"/>
        </w:rPr>
        <w:t>e</w:t>
      </w:r>
      <w:r w:rsidRPr="008376FC">
        <w:rPr>
          <w:rFonts w:asciiTheme="majorHAnsi" w:eastAsia="Times New Roman" w:hAnsiTheme="majorHAnsi" w:cstheme="majorHAnsi"/>
          <w:b w:val="0"/>
          <w:bCs w:val="0"/>
          <w:sz w:val="24"/>
          <w:szCs w:val="24"/>
        </w:rPr>
        <w:t xml:space="preserve"> delegatarilor (contractul include 3 delegatari: or.Nisporeni, com.Vărzărești, s. Grozești). Conform prevederilor capitolulului respectiv</w:t>
      </w:r>
      <w:r w:rsidR="00E41356">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w:t>
      </w:r>
      <w:r w:rsidRPr="001B4A95">
        <w:rPr>
          <w:rFonts w:asciiTheme="majorHAnsi" w:eastAsia="Times New Roman" w:hAnsiTheme="majorHAnsi" w:cstheme="majorHAnsi"/>
          <w:b w:val="0"/>
          <w:bCs w:val="0"/>
          <w:sz w:val="24"/>
          <w:szCs w:val="24"/>
        </w:rPr>
        <w:t>Dele</w:t>
      </w:r>
      <w:r w:rsidR="00E41356" w:rsidRPr="001B4A95">
        <w:rPr>
          <w:rFonts w:asciiTheme="majorHAnsi" w:eastAsia="Times New Roman" w:hAnsiTheme="majorHAnsi" w:cstheme="majorHAnsi"/>
          <w:b w:val="0"/>
          <w:bCs w:val="0"/>
          <w:sz w:val="24"/>
          <w:szCs w:val="24"/>
        </w:rPr>
        <w:t>g</w:t>
      </w:r>
      <w:r w:rsidRPr="001B4A95">
        <w:rPr>
          <w:rFonts w:asciiTheme="majorHAnsi" w:eastAsia="Times New Roman" w:hAnsiTheme="majorHAnsi" w:cstheme="majorHAnsi"/>
          <w:b w:val="0"/>
          <w:bCs w:val="0"/>
          <w:sz w:val="24"/>
          <w:szCs w:val="24"/>
        </w:rPr>
        <w:t>atarul („Ap</w:t>
      </w:r>
      <w:r w:rsidR="00E41356" w:rsidRPr="001B4A95">
        <w:rPr>
          <w:rFonts w:asciiTheme="majorHAnsi" w:eastAsia="Times New Roman" w:hAnsiTheme="majorHAnsi" w:cstheme="majorHAnsi"/>
          <w:b w:val="0"/>
          <w:bCs w:val="0"/>
          <w:sz w:val="24"/>
          <w:szCs w:val="24"/>
        </w:rPr>
        <w:t>ă-</w:t>
      </w:r>
      <w:r w:rsidRPr="001B4A95">
        <w:rPr>
          <w:rFonts w:asciiTheme="majorHAnsi" w:eastAsia="Times New Roman" w:hAnsiTheme="majorHAnsi" w:cstheme="majorHAnsi"/>
          <w:b w:val="0"/>
          <w:bCs w:val="0"/>
          <w:sz w:val="24"/>
          <w:szCs w:val="24"/>
        </w:rPr>
        <w:t>Canal Nisporeni” S.A.) urmează să achite trimestrial</w:t>
      </w:r>
      <w:r w:rsidR="00E41356" w:rsidRPr="001B4A95">
        <w:rPr>
          <w:rFonts w:asciiTheme="majorHAnsi" w:eastAsia="Times New Roman" w:hAnsiTheme="majorHAnsi" w:cstheme="majorHAnsi"/>
          <w:b w:val="0"/>
          <w:bCs w:val="0"/>
          <w:sz w:val="24"/>
          <w:szCs w:val="24"/>
        </w:rPr>
        <w:t>,</w:t>
      </w:r>
      <w:r w:rsidRPr="001B4A95">
        <w:rPr>
          <w:rFonts w:asciiTheme="majorHAnsi" w:eastAsia="Times New Roman" w:hAnsiTheme="majorHAnsi" w:cstheme="majorHAnsi"/>
          <w:b w:val="0"/>
          <w:bCs w:val="0"/>
          <w:sz w:val="24"/>
          <w:szCs w:val="24"/>
        </w:rPr>
        <w:t xml:space="preserve"> fiecărui delegator</w:t>
      </w:r>
      <w:r w:rsidR="00E41356" w:rsidRPr="001B4A95">
        <w:rPr>
          <w:rFonts w:asciiTheme="majorHAnsi" w:eastAsia="Times New Roman" w:hAnsiTheme="majorHAnsi" w:cstheme="majorHAnsi"/>
          <w:b w:val="0"/>
          <w:bCs w:val="0"/>
          <w:sz w:val="24"/>
          <w:szCs w:val="24"/>
        </w:rPr>
        <w:t>,</w:t>
      </w:r>
      <w:r w:rsidRPr="001B4A95">
        <w:rPr>
          <w:rFonts w:asciiTheme="majorHAnsi" w:eastAsia="Times New Roman" w:hAnsiTheme="majorHAnsi" w:cstheme="majorHAnsi"/>
          <w:b w:val="0"/>
          <w:bCs w:val="0"/>
          <w:sz w:val="24"/>
          <w:szCs w:val="24"/>
        </w:rPr>
        <w:t xml:space="preserve"> o redevență. Totodată, conform pct. 6.2 din Contract, la momentul </w:t>
      </w:r>
      <w:r w:rsidR="00A670C0" w:rsidRPr="001B4A95">
        <w:rPr>
          <w:rFonts w:asciiTheme="majorHAnsi" w:eastAsia="Times New Roman" w:hAnsiTheme="majorHAnsi" w:cstheme="majorHAnsi"/>
          <w:b w:val="0"/>
          <w:bCs w:val="0"/>
          <w:sz w:val="24"/>
          <w:szCs w:val="24"/>
        </w:rPr>
        <w:t>i</w:t>
      </w:r>
      <w:r w:rsidRPr="001B4A95">
        <w:rPr>
          <w:rFonts w:asciiTheme="majorHAnsi" w:eastAsia="Times New Roman" w:hAnsiTheme="majorHAnsi" w:cstheme="majorHAnsi"/>
          <w:b w:val="0"/>
          <w:bCs w:val="0"/>
          <w:sz w:val="24"/>
          <w:szCs w:val="24"/>
        </w:rPr>
        <w:t>ntrării contractului în vigoare</w:t>
      </w:r>
      <w:r w:rsidR="00E41356" w:rsidRPr="001B4A95">
        <w:rPr>
          <w:rFonts w:asciiTheme="majorHAnsi" w:eastAsia="Times New Roman" w:hAnsiTheme="majorHAnsi" w:cstheme="majorHAnsi"/>
          <w:b w:val="0"/>
          <w:bCs w:val="0"/>
          <w:sz w:val="24"/>
          <w:szCs w:val="24"/>
        </w:rPr>
        <w:t>,</w:t>
      </w:r>
      <w:r w:rsidRPr="001B4A95">
        <w:rPr>
          <w:rFonts w:asciiTheme="majorHAnsi" w:eastAsia="Times New Roman" w:hAnsiTheme="majorHAnsi" w:cstheme="majorHAnsi"/>
          <w:b w:val="0"/>
          <w:bCs w:val="0"/>
          <w:sz w:val="24"/>
          <w:szCs w:val="24"/>
        </w:rPr>
        <w:t xml:space="preserve"> mărimea redevenț</w:t>
      </w:r>
      <w:r w:rsidR="00A670C0" w:rsidRPr="001B4A95">
        <w:rPr>
          <w:rFonts w:asciiTheme="majorHAnsi" w:eastAsia="Times New Roman" w:hAnsiTheme="majorHAnsi" w:cstheme="majorHAnsi"/>
          <w:b w:val="0"/>
          <w:bCs w:val="0"/>
          <w:sz w:val="24"/>
          <w:szCs w:val="24"/>
        </w:rPr>
        <w:t>e</w:t>
      </w:r>
      <w:r w:rsidRPr="001B4A95">
        <w:rPr>
          <w:rFonts w:asciiTheme="majorHAnsi" w:eastAsia="Times New Roman" w:hAnsiTheme="majorHAnsi" w:cstheme="majorHAnsi"/>
          <w:b w:val="0"/>
          <w:bCs w:val="0"/>
          <w:sz w:val="24"/>
          <w:szCs w:val="24"/>
        </w:rPr>
        <w:t xml:space="preserve">i constituie zero (0) lei, iar conform pct.6.3 din </w:t>
      </w:r>
      <w:r w:rsidR="00E41356" w:rsidRPr="001B4A95">
        <w:rPr>
          <w:rFonts w:asciiTheme="majorHAnsi" w:eastAsia="Times New Roman" w:hAnsiTheme="majorHAnsi" w:cstheme="majorHAnsi"/>
          <w:b w:val="0"/>
          <w:bCs w:val="0"/>
          <w:sz w:val="24"/>
          <w:szCs w:val="24"/>
        </w:rPr>
        <w:t>C</w:t>
      </w:r>
      <w:r w:rsidRPr="001B4A95">
        <w:rPr>
          <w:rFonts w:asciiTheme="majorHAnsi" w:eastAsia="Times New Roman" w:hAnsiTheme="majorHAnsi" w:cstheme="majorHAnsi"/>
          <w:b w:val="0"/>
          <w:bCs w:val="0"/>
          <w:sz w:val="24"/>
          <w:szCs w:val="24"/>
        </w:rPr>
        <w:t>ontract, investițiile capitale în sistemele publice finanțate de delegator</w:t>
      </w:r>
      <w:r w:rsidRPr="008376FC">
        <w:rPr>
          <w:rFonts w:asciiTheme="majorHAnsi" w:eastAsia="Times New Roman" w:hAnsiTheme="majorHAnsi" w:cstheme="majorHAnsi"/>
          <w:b w:val="0"/>
          <w:bCs w:val="0"/>
          <w:sz w:val="24"/>
          <w:szCs w:val="24"/>
        </w:rPr>
        <w:t xml:space="preserve"> din mijloacele proprii (altele dec</w:t>
      </w:r>
      <w:r w:rsidR="00E41356">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 xml:space="preserve">t granturi) sau </w:t>
      </w:r>
      <w:r w:rsidR="00E41356">
        <w:rPr>
          <w:rFonts w:asciiTheme="majorHAnsi" w:eastAsia="Times New Roman" w:hAnsiTheme="majorHAnsi" w:cstheme="majorHAnsi"/>
          <w:b w:val="0"/>
          <w:bCs w:val="0"/>
          <w:sz w:val="24"/>
          <w:szCs w:val="24"/>
        </w:rPr>
        <w:t xml:space="preserve">din </w:t>
      </w:r>
      <w:r w:rsidRPr="008376FC">
        <w:rPr>
          <w:rFonts w:asciiTheme="majorHAnsi" w:eastAsia="Times New Roman" w:hAnsiTheme="majorHAnsi" w:cstheme="majorHAnsi"/>
          <w:b w:val="0"/>
          <w:bCs w:val="0"/>
          <w:sz w:val="24"/>
          <w:szCs w:val="24"/>
        </w:rPr>
        <w:t>mijloacele împrumutate și incluse în tarif vor fi rambursate de delegat către delegatari în formă de redevență în valoarea uzurii/amortizării imobilizărilor corporale și necorporale construite/modernizate/extinse</w:t>
      </w:r>
      <w:r w:rsidR="00E41356">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respectiv, încasată în calitate de parte a tarifului pentru serviciul public avizat de către ANRE. Această prevedere se aplică doar imobilizărilor corporale și necorporale</w:t>
      </w:r>
      <w:r w:rsidR="00E41356">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transmise de către delegatari delegatarului în gestiune delegată în calitate de parte componentă a sistemelor publice. Sumele uzurii și rentabilității incluse în tarif și încasate de la consumatori urmează a fi transferat</w:t>
      </w:r>
      <w:r w:rsidR="00E41356">
        <w:rPr>
          <w:rFonts w:asciiTheme="majorHAnsi" w:eastAsia="Times New Roman" w:hAnsiTheme="majorHAnsi" w:cstheme="majorHAnsi"/>
          <w:b w:val="0"/>
          <w:bCs w:val="0"/>
          <w:sz w:val="24"/>
          <w:szCs w:val="24"/>
        </w:rPr>
        <w:t>e</w:t>
      </w:r>
      <w:r w:rsidRPr="008376FC">
        <w:rPr>
          <w:rFonts w:asciiTheme="majorHAnsi" w:eastAsia="Times New Roman" w:hAnsiTheme="majorHAnsi" w:cstheme="majorHAnsi"/>
          <w:b w:val="0"/>
          <w:bCs w:val="0"/>
          <w:sz w:val="24"/>
          <w:szCs w:val="24"/>
        </w:rPr>
        <w:t xml:space="preserve"> pe un cont de depozit separat al delegatului</w:t>
      </w:r>
      <w:r w:rsidR="00E41356">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pentru a fi ulterior utilizat</w:t>
      </w:r>
      <w:r w:rsidR="00730A73" w:rsidRPr="008376FC">
        <w:rPr>
          <w:rFonts w:asciiTheme="majorHAnsi" w:eastAsia="Times New Roman" w:hAnsiTheme="majorHAnsi" w:cstheme="majorHAnsi"/>
          <w:b w:val="0"/>
          <w:bCs w:val="0"/>
          <w:sz w:val="24"/>
          <w:szCs w:val="24"/>
        </w:rPr>
        <w:t>e</w:t>
      </w:r>
      <w:r w:rsidRPr="008376FC">
        <w:rPr>
          <w:rFonts w:asciiTheme="majorHAnsi" w:eastAsia="Times New Roman" w:hAnsiTheme="majorHAnsi" w:cstheme="majorHAnsi"/>
          <w:b w:val="0"/>
          <w:bCs w:val="0"/>
          <w:sz w:val="24"/>
          <w:szCs w:val="24"/>
        </w:rPr>
        <w:t xml:space="preserve"> </w:t>
      </w:r>
      <w:r w:rsidR="00730A73" w:rsidRPr="008376FC">
        <w:rPr>
          <w:rFonts w:asciiTheme="majorHAnsi" w:eastAsia="Times New Roman" w:hAnsiTheme="majorHAnsi" w:cstheme="majorHAnsi"/>
          <w:b w:val="0"/>
          <w:bCs w:val="0"/>
          <w:sz w:val="24"/>
          <w:szCs w:val="24"/>
        </w:rPr>
        <w:t xml:space="preserve">de către delegat </w:t>
      </w:r>
      <w:r w:rsidRPr="008376FC">
        <w:rPr>
          <w:rFonts w:asciiTheme="majorHAnsi" w:eastAsia="Times New Roman" w:hAnsiTheme="majorHAnsi" w:cstheme="majorHAnsi"/>
          <w:b w:val="0"/>
          <w:bCs w:val="0"/>
          <w:sz w:val="24"/>
          <w:szCs w:val="24"/>
        </w:rPr>
        <w:t xml:space="preserve">pentru finanțarea extinderii și reabilitării sistemelor publice. </w:t>
      </w:r>
    </w:p>
    <w:p w:rsidR="00EE132E" w:rsidRPr="008376FC" w:rsidRDefault="00EE132E"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Deși cadrul regulator prevede expres că, pentru concesionarea bunurilor aferente serviciului de alimentare cu apă şi de canalizare se stabilește în contractul de delegare a gestiunii, la nivelul calculat, similar amortizării acestor bunuri sau la alt nivel, dacă se justifică economic, precum și că acesta se stabilește pentru exploatarea </w:t>
      </w:r>
      <w:r w:rsidRPr="008376FC">
        <w:rPr>
          <w:rFonts w:asciiTheme="majorHAnsi" w:eastAsia="Times New Roman" w:hAnsiTheme="majorHAnsi" w:cstheme="majorHAnsi"/>
          <w:bCs w:val="0"/>
          <w:sz w:val="24"/>
          <w:szCs w:val="24"/>
        </w:rPr>
        <w:t>tuturor obiectelor concesiunii</w:t>
      </w:r>
      <w:r w:rsidRPr="008376FC">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Cs w:val="0"/>
          <w:sz w:val="24"/>
          <w:szCs w:val="24"/>
        </w:rPr>
        <w:t>în ansamblu</w:t>
      </w:r>
      <w:r w:rsidRPr="008376FC">
        <w:rPr>
          <w:rFonts w:asciiTheme="majorHAnsi" w:eastAsia="Times New Roman" w:hAnsiTheme="majorHAnsi" w:cstheme="majorHAnsi"/>
          <w:b w:val="0"/>
          <w:bCs w:val="0"/>
          <w:sz w:val="24"/>
          <w:szCs w:val="24"/>
        </w:rPr>
        <w:t xml:space="preserve"> sau pentru fiecare obiect în parte, analiza efectuată denotă că această prevedere nu este respectată de niciun APL, pentru bunurile transmise inițial în gestiune economică nefiind stabilită plata redevenței, uzura calculată pentru acestea nefiind recuperată prin tarif, iar bunurile care la data încheierii contractului de gestiune delegată aveau valoare contabilă zero (0) sau la care gradul de uzură pe parcursul exploatării a atins nivelul de 100%, dar care continuă să fie funcționale, nu au fost reevalua</w:t>
      </w:r>
      <w:r w:rsidR="00730A73" w:rsidRPr="008376FC">
        <w:rPr>
          <w:rFonts w:asciiTheme="majorHAnsi" w:eastAsia="Times New Roman" w:hAnsiTheme="majorHAnsi" w:cstheme="majorHAnsi"/>
          <w:b w:val="0"/>
          <w:bCs w:val="0"/>
          <w:sz w:val="24"/>
          <w:szCs w:val="24"/>
        </w:rPr>
        <w:t>t</w:t>
      </w:r>
      <w:r w:rsidRPr="008376FC">
        <w:rPr>
          <w:rFonts w:asciiTheme="majorHAnsi" w:eastAsia="Times New Roman" w:hAnsiTheme="majorHAnsi" w:cstheme="majorHAnsi"/>
          <w:b w:val="0"/>
          <w:bCs w:val="0"/>
          <w:sz w:val="24"/>
          <w:szCs w:val="24"/>
        </w:rPr>
        <w:t>e și</w:t>
      </w:r>
      <w:r w:rsidR="00E41356">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respectiv</w:t>
      </w:r>
      <w:r w:rsidR="00E41356">
        <w:rPr>
          <w:rFonts w:asciiTheme="majorHAnsi" w:eastAsia="Times New Roman" w:hAnsiTheme="majorHAnsi" w:cstheme="majorHAnsi"/>
          <w:b w:val="0"/>
          <w:bCs w:val="0"/>
          <w:sz w:val="24"/>
          <w:szCs w:val="24"/>
        </w:rPr>
        <w:t>,</w:t>
      </w:r>
      <w:r w:rsidR="00730A73" w:rsidRPr="008376FC">
        <w:rPr>
          <w:rFonts w:asciiTheme="majorHAnsi" w:eastAsia="Times New Roman" w:hAnsiTheme="majorHAnsi" w:cstheme="majorHAnsi"/>
          <w:b w:val="0"/>
          <w:bCs w:val="0"/>
          <w:sz w:val="24"/>
          <w:szCs w:val="24"/>
        </w:rPr>
        <w:t xml:space="preserve"> </w:t>
      </w:r>
      <w:r w:rsidRPr="008376FC">
        <w:rPr>
          <w:rFonts w:asciiTheme="majorHAnsi" w:eastAsia="Times New Roman" w:hAnsiTheme="majorHAnsi" w:cstheme="majorHAnsi"/>
          <w:b w:val="0"/>
          <w:bCs w:val="0"/>
          <w:sz w:val="24"/>
          <w:szCs w:val="24"/>
        </w:rPr>
        <w:t>pentru ele, de asemenea, nu a fost stabilită o redevență care se fie recuperată prin tarif și să fie destinată acoperirii costurilor de menținere în f</w:t>
      </w:r>
      <w:r w:rsidR="00730A73" w:rsidRPr="008376FC">
        <w:rPr>
          <w:rFonts w:asciiTheme="majorHAnsi" w:eastAsia="Times New Roman" w:hAnsiTheme="majorHAnsi" w:cstheme="majorHAnsi"/>
          <w:b w:val="0"/>
          <w:bCs w:val="0"/>
          <w:sz w:val="24"/>
          <w:szCs w:val="24"/>
        </w:rPr>
        <w:t>u</w:t>
      </w:r>
      <w:r w:rsidRPr="008376FC">
        <w:rPr>
          <w:rFonts w:asciiTheme="majorHAnsi" w:eastAsia="Times New Roman" w:hAnsiTheme="majorHAnsi" w:cstheme="majorHAnsi"/>
          <w:b w:val="0"/>
          <w:bCs w:val="0"/>
          <w:sz w:val="24"/>
          <w:szCs w:val="24"/>
        </w:rPr>
        <w:t xml:space="preserve">ncțiune a acestora. </w:t>
      </w:r>
    </w:p>
    <w:p w:rsidR="00EE132E" w:rsidRPr="008376FC" w:rsidRDefault="009E0897"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FB7942">
        <w:rPr>
          <w:rFonts w:asciiTheme="majorHAnsi" w:eastAsia="Times New Roman" w:hAnsiTheme="majorHAnsi" w:cstheme="majorHAnsi"/>
          <w:b w:val="0"/>
          <w:bCs w:val="0"/>
          <w:sz w:val="24"/>
          <w:szCs w:val="24"/>
        </w:rPr>
        <w:t>M</w:t>
      </w:r>
      <w:r w:rsidR="00EE132E" w:rsidRPr="00FB7942">
        <w:rPr>
          <w:rFonts w:asciiTheme="majorHAnsi" w:eastAsia="Times New Roman" w:hAnsiTheme="majorHAnsi" w:cstheme="majorHAnsi"/>
          <w:b w:val="0"/>
          <w:bCs w:val="0"/>
          <w:sz w:val="24"/>
          <w:szCs w:val="24"/>
        </w:rPr>
        <w:t>ai mult</w:t>
      </w:r>
      <w:r w:rsidRPr="00FB7942">
        <w:rPr>
          <w:rFonts w:asciiTheme="majorHAnsi" w:eastAsia="Times New Roman" w:hAnsiTheme="majorHAnsi" w:cstheme="majorHAnsi"/>
          <w:b w:val="0"/>
          <w:bCs w:val="0"/>
          <w:sz w:val="24"/>
          <w:szCs w:val="24"/>
        </w:rPr>
        <w:t xml:space="preserve"> decât </w:t>
      </w:r>
      <w:r w:rsidR="00A657E2" w:rsidRPr="00FB7942">
        <w:rPr>
          <w:rFonts w:asciiTheme="majorHAnsi" w:eastAsia="Times New Roman" w:hAnsiTheme="majorHAnsi" w:cstheme="majorHAnsi"/>
          <w:b w:val="0"/>
          <w:bCs w:val="0"/>
          <w:sz w:val="24"/>
          <w:szCs w:val="24"/>
        </w:rPr>
        <w:t>atât</w:t>
      </w:r>
      <w:r w:rsidR="00EE132E" w:rsidRPr="00FB7942">
        <w:rPr>
          <w:rFonts w:asciiTheme="majorHAnsi" w:eastAsia="Times New Roman" w:hAnsiTheme="majorHAnsi" w:cstheme="majorHAnsi"/>
          <w:b w:val="0"/>
          <w:bCs w:val="0"/>
          <w:sz w:val="24"/>
          <w:szCs w:val="24"/>
        </w:rPr>
        <w:t>, cad</w:t>
      </w:r>
      <w:r w:rsidR="00730A73" w:rsidRPr="00FB7942">
        <w:rPr>
          <w:rFonts w:asciiTheme="majorHAnsi" w:eastAsia="Times New Roman" w:hAnsiTheme="majorHAnsi" w:cstheme="majorHAnsi"/>
          <w:b w:val="0"/>
          <w:bCs w:val="0"/>
          <w:sz w:val="24"/>
          <w:szCs w:val="24"/>
        </w:rPr>
        <w:t>r</w:t>
      </w:r>
      <w:r w:rsidR="00EE132E" w:rsidRPr="00FB7942">
        <w:rPr>
          <w:rFonts w:asciiTheme="majorHAnsi" w:eastAsia="Times New Roman" w:hAnsiTheme="majorHAnsi" w:cstheme="majorHAnsi"/>
          <w:b w:val="0"/>
          <w:bCs w:val="0"/>
          <w:sz w:val="24"/>
          <w:szCs w:val="24"/>
        </w:rPr>
        <w:t>ul regulator aferent plăților de redevență pentru utilizarea/ gestionarea infrastructurii aferente alimentării cu apă și canalizare prevede că sumele de redevență se acumulează la un cont separat cu dob</w:t>
      </w:r>
      <w:r w:rsidRPr="00FB7942">
        <w:rPr>
          <w:rFonts w:asciiTheme="majorHAnsi" w:eastAsia="Times New Roman" w:hAnsiTheme="majorHAnsi" w:cstheme="majorHAnsi"/>
          <w:b w:val="0"/>
          <w:bCs w:val="0"/>
          <w:sz w:val="24"/>
          <w:szCs w:val="24"/>
        </w:rPr>
        <w:t>â</w:t>
      </w:r>
      <w:r w:rsidR="00EE132E" w:rsidRPr="00FB7942">
        <w:rPr>
          <w:rFonts w:asciiTheme="majorHAnsi" w:eastAsia="Times New Roman" w:hAnsiTheme="majorHAnsi" w:cstheme="majorHAnsi"/>
          <w:b w:val="0"/>
          <w:bCs w:val="0"/>
          <w:sz w:val="24"/>
          <w:szCs w:val="24"/>
        </w:rPr>
        <w:t xml:space="preserve">ndă </w:t>
      </w:r>
      <w:r w:rsidR="00095DFD" w:rsidRPr="00FB7942">
        <w:rPr>
          <w:rFonts w:asciiTheme="majorHAnsi" w:eastAsia="Times New Roman" w:hAnsiTheme="majorHAnsi" w:cstheme="majorHAnsi"/>
          <w:b w:val="0"/>
          <w:bCs w:val="0"/>
          <w:sz w:val="24"/>
          <w:szCs w:val="24"/>
        </w:rPr>
        <w:t xml:space="preserve">deschis de operator </w:t>
      </w:r>
      <w:r w:rsidR="00EE132E" w:rsidRPr="00FB7942">
        <w:rPr>
          <w:rFonts w:asciiTheme="majorHAnsi" w:eastAsia="Times New Roman" w:hAnsiTheme="majorHAnsi" w:cstheme="majorHAnsi"/>
          <w:b w:val="0"/>
          <w:bCs w:val="0"/>
          <w:sz w:val="24"/>
          <w:szCs w:val="24"/>
        </w:rPr>
        <w:t>și este destinat efectuării investițiilor în infrastructura de alimentare cu apă și canalizare. Aceste prevederi contravin regulilor generale de administrare a veniturilor</w:t>
      </w:r>
      <w:r w:rsidR="00095DFD" w:rsidRPr="00FB7942">
        <w:rPr>
          <w:rFonts w:asciiTheme="majorHAnsi" w:eastAsia="Times New Roman" w:hAnsiTheme="majorHAnsi" w:cstheme="majorHAnsi"/>
          <w:b w:val="0"/>
          <w:bCs w:val="0"/>
          <w:sz w:val="24"/>
          <w:szCs w:val="24"/>
        </w:rPr>
        <w:t>, c</w:t>
      </w:r>
      <w:r w:rsidR="00FD457C" w:rsidRPr="00FB7942">
        <w:rPr>
          <w:rFonts w:asciiTheme="majorHAnsi" w:eastAsia="Times New Roman" w:hAnsiTheme="majorHAnsi" w:cstheme="majorHAnsi"/>
          <w:b w:val="0"/>
          <w:bCs w:val="0"/>
          <w:sz w:val="24"/>
          <w:szCs w:val="24"/>
        </w:rPr>
        <w:t>o</w:t>
      </w:r>
      <w:r w:rsidR="00095DFD" w:rsidRPr="00FB7942">
        <w:rPr>
          <w:rFonts w:asciiTheme="majorHAnsi" w:eastAsia="Times New Roman" w:hAnsiTheme="majorHAnsi" w:cstheme="majorHAnsi"/>
          <w:b w:val="0"/>
          <w:bCs w:val="0"/>
          <w:sz w:val="24"/>
          <w:szCs w:val="24"/>
        </w:rPr>
        <w:t>nform cărora redevența face parte din veniturile BPN și obligatoriu se încaseaza la buget.</w:t>
      </w:r>
    </w:p>
    <w:p w:rsidR="00EE132E" w:rsidRPr="008376FC" w:rsidRDefault="00EE132E" w:rsidP="00F61756">
      <w:pPr>
        <w:shd w:val="clear" w:color="auto" w:fill="FFFFFF"/>
        <w:spacing w:after="0" w:line="276" w:lineRule="auto"/>
        <w:ind w:firstLine="70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 xml:space="preserve">Conform ordinului MF nr. 208/2015, redevența din concesionarea activelor şi terenurilor proprietate publică se încasează la bugetulul de stat în cazul </w:t>
      </w:r>
      <w:r w:rsidR="009E0897">
        <w:rPr>
          <w:rFonts w:asciiTheme="majorHAnsi" w:eastAsia="Times New Roman" w:hAnsiTheme="majorHAnsi" w:cstheme="majorHAnsi"/>
          <w:b w:val="0"/>
          <w:bCs w:val="0"/>
          <w:sz w:val="24"/>
          <w:szCs w:val="24"/>
        </w:rPr>
        <w:t>în care</w:t>
      </w:r>
      <w:r w:rsidRPr="008376FC">
        <w:rPr>
          <w:rFonts w:asciiTheme="majorHAnsi" w:eastAsia="Times New Roman" w:hAnsiTheme="majorHAnsi" w:cstheme="majorHAnsi"/>
          <w:b w:val="0"/>
          <w:bCs w:val="0"/>
          <w:sz w:val="24"/>
          <w:szCs w:val="24"/>
        </w:rPr>
        <w:t xml:space="preserve"> contract</w:t>
      </w:r>
      <w:r w:rsidR="0092179F" w:rsidRPr="008376FC">
        <w:rPr>
          <w:rFonts w:asciiTheme="majorHAnsi" w:eastAsia="Times New Roman" w:hAnsiTheme="majorHAnsi" w:cstheme="majorHAnsi"/>
          <w:b w:val="0"/>
          <w:bCs w:val="0"/>
          <w:sz w:val="24"/>
          <w:szCs w:val="24"/>
        </w:rPr>
        <w:t>e</w:t>
      </w:r>
      <w:r w:rsidRPr="008376FC">
        <w:rPr>
          <w:rFonts w:asciiTheme="majorHAnsi" w:eastAsia="Times New Roman" w:hAnsiTheme="majorHAnsi" w:cstheme="majorHAnsi"/>
          <w:b w:val="0"/>
          <w:bCs w:val="0"/>
          <w:sz w:val="24"/>
          <w:szCs w:val="24"/>
        </w:rPr>
        <w:t xml:space="preserve">le de gestiune delegată </w:t>
      </w:r>
      <w:r w:rsidR="0092179F" w:rsidRPr="008376FC">
        <w:rPr>
          <w:rFonts w:asciiTheme="majorHAnsi" w:eastAsia="Times New Roman" w:hAnsiTheme="majorHAnsi" w:cstheme="majorHAnsi"/>
          <w:b w:val="0"/>
          <w:bCs w:val="0"/>
          <w:sz w:val="24"/>
          <w:szCs w:val="24"/>
        </w:rPr>
        <w:t>s</w:t>
      </w:r>
      <w:r w:rsidRPr="008376FC">
        <w:rPr>
          <w:rFonts w:asciiTheme="majorHAnsi" w:eastAsia="Times New Roman" w:hAnsiTheme="majorHAnsi" w:cstheme="majorHAnsi"/>
          <w:b w:val="0"/>
          <w:bCs w:val="0"/>
          <w:sz w:val="24"/>
          <w:szCs w:val="24"/>
        </w:rPr>
        <w:t xml:space="preserve">unt încheiate de către APC (ECO  141541) și în bugetele de nivelul I și nivelul II (ECO 141542 și ECO 141543) în cazul </w:t>
      </w:r>
      <w:r w:rsidR="009E0897">
        <w:rPr>
          <w:rFonts w:asciiTheme="majorHAnsi" w:eastAsia="Times New Roman" w:hAnsiTheme="majorHAnsi" w:cstheme="majorHAnsi"/>
          <w:b w:val="0"/>
          <w:bCs w:val="0"/>
          <w:sz w:val="24"/>
          <w:szCs w:val="24"/>
        </w:rPr>
        <w:t>în care</w:t>
      </w:r>
      <w:r w:rsidRPr="008376FC">
        <w:rPr>
          <w:rFonts w:asciiTheme="majorHAnsi" w:eastAsia="Times New Roman" w:hAnsiTheme="majorHAnsi" w:cstheme="majorHAnsi"/>
          <w:b w:val="0"/>
          <w:bCs w:val="0"/>
          <w:sz w:val="24"/>
          <w:szCs w:val="24"/>
        </w:rPr>
        <w:t xml:space="preserve"> contract</w:t>
      </w:r>
      <w:r w:rsidR="0092179F" w:rsidRPr="008376FC">
        <w:rPr>
          <w:rFonts w:asciiTheme="majorHAnsi" w:eastAsia="Times New Roman" w:hAnsiTheme="majorHAnsi" w:cstheme="majorHAnsi"/>
          <w:b w:val="0"/>
          <w:bCs w:val="0"/>
          <w:sz w:val="24"/>
          <w:szCs w:val="24"/>
        </w:rPr>
        <w:t>e</w:t>
      </w:r>
      <w:r w:rsidRPr="008376FC">
        <w:rPr>
          <w:rFonts w:asciiTheme="majorHAnsi" w:eastAsia="Times New Roman" w:hAnsiTheme="majorHAnsi" w:cstheme="majorHAnsi"/>
          <w:b w:val="0"/>
          <w:bCs w:val="0"/>
          <w:sz w:val="24"/>
          <w:szCs w:val="24"/>
        </w:rPr>
        <w:t xml:space="preserve">le de gestiune delegată </w:t>
      </w:r>
      <w:r w:rsidR="0092179F" w:rsidRPr="008376FC">
        <w:rPr>
          <w:rFonts w:asciiTheme="majorHAnsi" w:eastAsia="Times New Roman" w:hAnsiTheme="majorHAnsi" w:cstheme="majorHAnsi"/>
          <w:b w:val="0"/>
          <w:bCs w:val="0"/>
          <w:sz w:val="24"/>
          <w:szCs w:val="24"/>
        </w:rPr>
        <w:t>s</w:t>
      </w:r>
      <w:r w:rsidRPr="008376FC">
        <w:rPr>
          <w:rFonts w:asciiTheme="majorHAnsi" w:eastAsia="Times New Roman" w:hAnsiTheme="majorHAnsi" w:cstheme="majorHAnsi"/>
          <w:b w:val="0"/>
          <w:bCs w:val="0"/>
          <w:sz w:val="24"/>
          <w:szCs w:val="24"/>
        </w:rPr>
        <w:t xml:space="preserve">unt încheiate de către APL. </w:t>
      </w:r>
    </w:p>
    <w:p w:rsidR="00EE132E" w:rsidRPr="008376FC" w:rsidRDefault="00EE132E" w:rsidP="00F61756">
      <w:pPr>
        <w:spacing w:after="0" w:line="276" w:lineRule="auto"/>
        <w:ind w:firstLine="70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De menționat că, conform descrierii la ECO 141540, concesiunea este privită doar ca parteneriat public-privat, la aceste coduri ECO urm</w:t>
      </w:r>
      <w:r w:rsidR="009E0897">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 xml:space="preserve">nd a fi încasate și redevența pentru superficie asupra terenurilor proprietate publică care aparţin autorităților publice centrale și locale de nivelul II și nivelul I. </w:t>
      </w:r>
    </w:p>
    <w:p w:rsidR="00EE132E" w:rsidRPr="008376FC" w:rsidRDefault="00EE132E" w:rsidP="00F61756">
      <w:pPr>
        <w:spacing w:after="0" w:line="276" w:lineRule="auto"/>
        <w:ind w:firstLine="70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În acest context, mecanismul de acumulare la un cont separt</w:t>
      </w:r>
      <w:r w:rsidR="00412D48">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gestionat de dele</w:t>
      </w:r>
      <w:r w:rsidR="0092179F" w:rsidRPr="008376FC">
        <w:rPr>
          <w:rFonts w:asciiTheme="majorHAnsi" w:eastAsia="Times New Roman" w:hAnsiTheme="majorHAnsi" w:cstheme="majorHAnsi"/>
          <w:b w:val="0"/>
          <w:bCs w:val="0"/>
          <w:sz w:val="24"/>
          <w:szCs w:val="24"/>
        </w:rPr>
        <w:t>g</w:t>
      </w:r>
      <w:r w:rsidRPr="008376FC">
        <w:rPr>
          <w:rFonts w:asciiTheme="majorHAnsi" w:eastAsia="Times New Roman" w:hAnsiTheme="majorHAnsi" w:cstheme="majorHAnsi"/>
          <w:b w:val="0"/>
          <w:bCs w:val="0"/>
          <w:sz w:val="24"/>
          <w:szCs w:val="24"/>
        </w:rPr>
        <w:t>at</w:t>
      </w:r>
      <w:r w:rsidR="00412D48">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urmează a fi revizuit. Mijloacele obținute din redevențe recuperate prin tarif urmează să fie transferate la bugete</w:t>
      </w:r>
      <w:r w:rsidR="00412D48">
        <w:rPr>
          <w:rFonts w:asciiTheme="majorHAnsi" w:eastAsia="Times New Roman" w:hAnsiTheme="majorHAnsi" w:cstheme="majorHAnsi"/>
          <w:b w:val="0"/>
          <w:bCs w:val="0"/>
          <w:sz w:val="24"/>
          <w:szCs w:val="24"/>
        </w:rPr>
        <w:t>le</w:t>
      </w:r>
      <w:r w:rsidRPr="008376FC">
        <w:rPr>
          <w:rFonts w:asciiTheme="majorHAnsi" w:eastAsia="Times New Roman" w:hAnsiTheme="majorHAnsi" w:cstheme="majorHAnsi"/>
          <w:b w:val="0"/>
          <w:bCs w:val="0"/>
          <w:sz w:val="24"/>
          <w:szCs w:val="24"/>
        </w:rPr>
        <w:t xml:space="preserve"> respective (BS, BL </w:t>
      </w:r>
      <w:r w:rsidR="00412D48">
        <w:rPr>
          <w:rFonts w:asciiTheme="majorHAnsi" w:eastAsia="Times New Roman" w:hAnsiTheme="majorHAnsi" w:cstheme="majorHAnsi"/>
          <w:b w:val="0"/>
          <w:bCs w:val="0"/>
          <w:sz w:val="24"/>
          <w:szCs w:val="24"/>
        </w:rPr>
        <w:t xml:space="preserve">de </w:t>
      </w:r>
      <w:r w:rsidRPr="008376FC">
        <w:rPr>
          <w:rFonts w:asciiTheme="majorHAnsi" w:eastAsia="Times New Roman" w:hAnsiTheme="majorHAnsi" w:cstheme="majorHAnsi"/>
          <w:b w:val="0"/>
          <w:bCs w:val="0"/>
          <w:sz w:val="24"/>
          <w:szCs w:val="24"/>
        </w:rPr>
        <w:t xml:space="preserve">nivelul I și BL </w:t>
      </w:r>
      <w:r w:rsidR="00412D48">
        <w:rPr>
          <w:rFonts w:asciiTheme="majorHAnsi" w:eastAsia="Times New Roman" w:hAnsiTheme="majorHAnsi" w:cstheme="majorHAnsi"/>
          <w:b w:val="0"/>
          <w:bCs w:val="0"/>
          <w:sz w:val="24"/>
          <w:szCs w:val="24"/>
        </w:rPr>
        <w:t xml:space="preserve">de </w:t>
      </w:r>
      <w:r w:rsidRPr="008376FC">
        <w:rPr>
          <w:rFonts w:asciiTheme="majorHAnsi" w:eastAsia="Times New Roman" w:hAnsiTheme="majorHAnsi" w:cstheme="majorHAnsi"/>
          <w:b w:val="0"/>
          <w:bCs w:val="0"/>
          <w:sz w:val="24"/>
          <w:szCs w:val="24"/>
        </w:rPr>
        <w:t>nivelul II), cu posibilitatea de a  le acumula la un cont bugetar separat deschis pentru delegatar (APL sau APC), cu utilizarea u</w:t>
      </w:r>
      <w:r w:rsidR="00905F05" w:rsidRPr="008376FC">
        <w:rPr>
          <w:rFonts w:asciiTheme="majorHAnsi" w:eastAsia="Times New Roman" w:hAnsiTheme="majorHAnsi" w:cstheme="majorHAnsi"/>
          <w:b w:val="0"/>
          <w:bCs w:val="0"/>
          <w:sz w:val="24"/>
          <w:szCs w:val="24"/>
        </w:rPr>
        <w:t>l</w:t>
      </w:r>
      <w:r w:rsidRPr="008376FC">
        <w:rPr>
          <w:rFonts w:asciiTheme="majorHAnsi" w:eastAsia="Times New Roman" w:hAnsiTheme="majorHAnsi" w:cstheme="majorHAnsi"/>
          <w:b w:val="0"/>
          <w:bCs w:val="0"/>
          <w:sz w:val="24"/>
          <w:szCs w:val="24"/>
        </w:rPr>
        <w:t>terioară a mijloacelor acumulate sub formă de subvenții/subsidii acordate deledatului pentru efectuarea investițiilor sau</w:t>
      </w:r>
      <w:r w:rsidR="00412D48">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pe m</w:t>
      </w:r>
      <w:r w:rsidR="00412D48">
        <w:rPr>
          <w:rFonts w:asciiTheme="majorHAnsi" w:eastAsia="Times New Roman" w:hAnsiTheme="majorHAnsi" w:cstheme="majorHAnsi"/>
          <w:b w:val="0"/>
          <w:bCs w:val="0"/>
          <w:sz w:val="24"/>
          <w:szCs w:val="24"/>
        </w:rPr>
        <w:t>ă</w:t>
      </w:r>
      <w:r w:rsidRPr="008376FC">
        <w:rPr>
          <w:rFonts w:asciiTheme="majorHAnsi" w:eastAsia="Times New Roman" w:hAnsiTheme="majorHAnsi" w:cstheme="majorHAnsi"/>
          <w:b w:val="0"/>
          <w:bCs w:val="0"/>
          <w:sz w:val="24"/>
          <w:szCs w:val="24"/>
        </w:rPr>
        <w:t>sura încasării redevenței, acestea sub formă de subsidii/subvenții să fie transferate delegatului, care poate să le acumuleze la un cont bancar cu dob</w:t>
      </w:r>
      <w:r w:rsidR="00412D48">
        <w:rPr>
          <w:rFonts w:asciiTheme="majorHAnsi" w:eastAsia="Times New Roman" w:hAnsiTheme="majorHAnsi" w:cstheme="majorHAnsi"/>
          <w:b w:val="0"/>
          <w:bCs w:val="0"/>
          <w:sz w:val="24"/>
          <w:szCs w:val="24"/>
        </w:rPr>
        <w:t>â</w:t>
      </w:r>
      <w:r w:rsidRPr="008376FC">
        <w:rPr>
          <w:rFonts w:asciiTheme="majorHAnsi" w:eastAsia="Times New Roman" w:hAnsiTheme="majorHAnsi" w:cstheme="majorHAnsi"/>
          <w:b w:val="0"/>
          <w:bCs w:val="0"/>
          <w:sz w:val="24"/>
          <w:szCs w:val="24"/>
        </w:rPr>
        <w:t>ndă și să le utilizeze în scopurile prevăzute de cadrul normativ, și anume</w:t>
      </w:r>
      <w:r w:rsidR="00905F05" w:rsidRPr="008376FC">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doar pentru finanțarea reparațiilor cu capitalizarea cheltuielilor, inclusiv reabilitarea, modernizarea și/sau dezvoltarea bunurilor domeniului public care au făcut obiectul concesionării și/sau al dezvoltării noilor imobilizări corporale.</w:t>
      </w:r>
    </w:p>
    <w:p w:rsidR="00F41859" w:rsidRDefault="00EE132E" w:rsidP="00BD559D">
      <w:pPr>
        <w:spacing w:after="0" w:line="276" w:lineRule="auto"/>
        <w:ind w:firstLine="709"/>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În acest sens, în scopul de remediere a neconcordanțelor și derogărilor de la regulile generale de administrare a veniturilor generale, în mod de urgență, urmează să fie efectuată inventarierea tuturor obiectivelor de infrastructură aferente alimentării cu apă și sanitație, pentru a identifica obiectivele pentru care este necesar de efectuat reevaluarea, de stabilit mărimea redevenței egală cu mărimea uzurii/amortizării bunurilor transmise în gestiune delegată, pentru ca ace</w:t>
      </w:r>
      <w:r w:rsidR="00905F05" w:rsidRPr="008376FC">
        <w:rPr>
          <w:rFonts w:asciiTheme="majorHAnsi" w:eastAsia="Times New Roman" w:hAnsiTheme="majorHAnsi" w:cstheme="majorHAnsi"/>
          <w:b w:val="0"/>
          <w:bCs w:val="0"/>
          <w:sz w:val="24"/>
          <w:szCs w:val="24"/>
        </w:rPr>
        <w:t>a</w:t>
      </w:r>
      <w:r w:rsidRPr="008376FC">
        <w:rPr>
          <w:rFonts w:asciiTheme="majorHAnsi" w:eastAsia="Times New Roman" w:hAnsiTheme="majorHAnsi" w:cstheme="majorHAnsi"/>
          <w:b w:val="0"/>
          <w:bCs w:val="0"/>
          <w:sz w:val="24"/>
          <w:szCs w:val="24"/>
        </w:rPr>
        <w:t>sta să fie recuperată prin tarif, precum și de revizuit cadrul normativ existent aferent redevenței aferente plăților pentru folosința/exploatarea obiectivelor de infrastructură aferente alimentării cu apă și sanitație, pentru ca acestea să fie încasate la bugetele de nivel</w:t>
      </w:r>
      <w:r w:rsidR="00412D48">
        <w:rPr>
          <w:rFonts w:asciiTheme="majorHAnsi" w:eastAsia="Times New Roman" w:hAnsiTheme="majorHAnsi" w:cstheme="majorHAnsi"/>
          <w:b w:val="0"/>
          <w:bCs w:val="0"/>
          <w:sz w:val="24"/>
          <w:szCs w:val="24"/>
        </w:rPr>
        <w:t>uri</w:t>
      </w:r>
      <w:r w:rsidRPr="008376FC">
        <w:rPr>
          <w:rFonts w:asciiTheme="majorHAnsi" w:eastAsia="Times New Roman" w:hAnsiTheme="majorHAnsi" w:cstheme="majorHAnsi"/>
          <w:b w:val="0"/>
          <w:bCs w:val="0"/>
          <w:sz w:val="24"/>
          <w:szCs w:val="24"/>
        </w:rPr>
        <w:t>le respective și apoi alocate delegatului sub formă de subvenție/subsidie. De asemenea, în contextul ajustării mecanismului de stabilire a mărim</w:t>
      </w:r>
      <w:r w:rsidR="00412D48">
        <w:rPr>
          <w:rFonts w:asciiTheme="majorHAnsi" w:eastAsia="Times New Roman" w:hAnsiTheme="majorHAnsi" w:cstheme="majorHAnsi"/>
          <w:b w:val="0"/>
          <w:bCs w:val="0"/>
          <w:sz w:val="24"/>
          <w:szCs w:val="24"/>
        </w:rPr>
        <w:t>i</w:t>
      </w:r>
      <w:r w:rsidRPr="008376FC">
        <w:rPr>
          <w:rFonts w:asciiTheme="majorHAnsi" w:eastAsia="Times New Roman" w:hAnsiTheme="majorHAnsi" w:cstheme="majorHAnsi"/>
          <w:b w:val="0"/>
          <w:bCs w:val="0"/>
          <w:sz w:val="24"/>
          <w:szCs w:val="24"/>
        </w:rPr>
        <w:t>i redevenței, precum și plății aceste</w:t>
      </w:r>
      <w:r w:rsidR="00412D48">
        <w:rPr>
          <w:rFonts w:asciiTheme="majorHAnsi" w:eastAsia="Times New Roman" w:hAnsiTheme="majorHAnsi" w:cstheme="majorHAnsi"/>
          <w:b w:val="0"/>
          <w:bCs w:val="0"/>
          <w:sz w:val="24"/>
          <w:szCs w:val="24"/>
        </w:rPr>
        <w:t>i</w:t>
      </w:r>
      <w:r w:rsidRPr="008376FC">
        <w:rPr>
          <w:rFonts w:asciiTheme="majorHAnsi" w:eastAsia="Times New Roman" w:hAnsiTheme="majorHAnsi" w:cstheme="majorHAnsi"/>
          <w:b w:val="0"/>
          <w:bCs w:val="0"/>
          <w:sz w:val="24"/>
          <w:szCs w:val="24"/>
        </w:rPr>
        <w:t>a, urmează a fi revizuite toate contracte</w:t>
      </w:r>
      <w:r w:rsidR="001F349E" w:rsidRPr="008376FC">
        <w:rPr>
          <w:rFonts w:asciiTheme="majorHAnsi" w:eastAsia="Times New Roman" w:hAnsiTheme="majorHAnsi" w:cstheme="majorHAnsi"/>
          <w:b w:val="0"/>
          <w:bCs w:val="0"/>
          <w:sz w:val="24"/>
          <w:szCs w:val="24"/>
        </w:rPr>
        <w:t>le</w:t>
      </w:r>
      <w:r w:rsidRPr="008376FC">
        <w:rPr>
          <w:rFonts w:asciiTheme="majorHAnsi" w:eastAsia="Times New Roman" w:hAnsiTheme="majorHAnsi" w:cstheme="majorHAnsi"/>
          <w:b w:val="0"/>
          <w:bCs w:val="0"/>
          <w:sz w:val="24"/>
          <w:szCs w:val="24"/>
        </w:rPr>
        <w:t xml:space="preserve"> de gestiune delegată încheiate anterior, cu includerea în acestea a rechizitelor bancare (IBAN) la care urmează a fi incasată redevența.</w:t>
      </w:r>
    </w:p>
    <w:p w:rsidR="00095DFD" w:rsidRDefault="00095DFD" w:rsidP="00BD559D">
      <w:pPr>
        <w:spacing w:after="0" w:line="276" w:lineRule="auto"/>
        <w:ind w:firstLine="709"/>
        <w:jc w:val="both"/>
        <w:rPr>
          <w:rFonts w:asciiTheme="majorHAnsi" w:eastAsia="Times New Roman" w:hAnsiTheme="majorHAnsi" w:cstheme="majorHAnsi"/>
          <w:b w:val="0"/>
          <w:bCs w:val="0"/>
          <w:sz w:val="24"/>
          <w:szCs w:val="24"/>
        </w:rPr>
      </w:pPr>
    </w:p>
    <w:p w:rsidR="00EE132E" w:rsidRPr="00CA7FEF" w:rsidRDefault="00BC28D6" w:rsidP="00BD559D">
      <w:pPr>
        <w:spacing w:after="0" w:line="276" w:lineRule="auto"/>
        <w:ind w:firstLine="709"/>
        <w:jc w:val="both"/>
        <w:rPr>
          <w:rFonts w:asciiTheme="majorHAnsi" w:eastAsia="Times New Roman" w:hAnsiTheme="majorHAnsi" w:cstheme="majorHAnsi"/>
          <w:b w:val="0"/>
          <w:bCs w:val="0"/>
          <w:sz w:val="24"/>
          <w:szCs w:val="24"/>
        </w:rPr>
      </w:pPr>
      <w:r w:rsidRPr="00FB7942">
        <w:rPr>
          <w:rFonts w:asciiTheme="majorHAnsi" w:eastAsia="Times New Roman" w:hAnsiTheme="majorHAnsi" w:cstheme="majorHAnsi"/>
          <w:b w:val="0"/>
          <w:sz w:val="24"/>
          <w:szCs w:val="24"/>
        </w:rPr>
        <w:t>O altă ambiguitate se referă la prevederile art.7 din Legea nr.121/2018 cu privire la concesiunile de lucrări și concesiunile de servicii, conform cărora redevența</w:t>
      </w:r>
      <w:r w:rsidR="00D461B8" w:rsidRPr="00FB7942">
        <w:rPr>
          <w:rFonts w:asciiTheme="majorHAnsi" w:eastAsia="Times New Roman" w:hAnsiTheme="majorHAnsi" w:cstheme="majorHAnsi"/>
          <w:bCs w:val="0"/>
          <w:sz w:val="24"/>
          <w:szCs w:val="24"/>
        </w:rPr>
        <w:t xml:space="preserve"> </w:t>
      </w:r>
      <w:r w:rsidRPr="00FB7942">
        <w:rPr>
          <w:rFonts w:asciiTheme="majorHAnsi" w:eastAsia="Times New Roman" w:hAnsiTheme="majorHAnsi" w:cstheme="majorHAnsi"/>
          <w:b w:val="0"/>
          <w:sz w:val="24"/>
          <w:szCs w:val="24"/>
        </w:rPr>
        <w:t>concesiunii</w:t>
      </w:r>
      <w:r w:rsidR="00D461B8" w:rsidRPr="00FB7942">
        <w:rPr>
          <w:rFonts w:asciiTheme="majorHAnsi" w:eastAsia="Times New Roman" w:hAnsiTheme="majorHAnsi" w:cstheme="majorHAnsi"/>
          <w:bCs w:val="0"/>
          <w:sz w:val="24"/>
          <w:szCs w:val="24"/>
        </w:rPr>
        <w:t xml:space="preserve"> </w:t>
      </w:r>
      <w:r w:rsidRPr="00FB7942">
        <w:rPr>
          <w:rFonts w:asciiTheme="majorHAnsi" w:eastAsia="Times New Roman" w:hAnsiTheme="majorHAnsi" w:cstheme="majorHAnsi"/>
          <w:b w:val="0"/>
          <w:sz w:val="24"/>
          <w:szCs w:val="24"/>
        </w:rPr>
        <w:t>se</w:t>
      </w:r>
      <w:r w:rsidR="00D461B8" w:rsidRPr="00FB7942">
        <w:rPr>
          <w:rFonts w:asciiTheme="majorHAnsi" w:eastAsia="Times New Roman" w:hAnsiTheme="majorHAnsi" w:cstheme="majorHAnsi"/>
          <w:bCs w:val="0"/>
          <w:sz w:val="24"/>
          <w:szCs w:val="24"/>
        </w:rPr>
        <w:t xml:space="preserve"> </w:t>
      </w:r>
      <w:r w:rsidRPr="00FB7942">
        <w:rPr>
          <w:rFonts w:asciiTheme="majorHAnsi" w:eastAsia="Times New Roman" w:hAnsiTheme="majorHAnsi" w:cstheme="majorHAnsi"/>
          <w:b w:val="0"/>
          <w:sz w:val="24"/>
          <w:szCs w:val="24"/>
        </w:rPr>
        <w:t>stabilește</w:t>
      </w:r>
      <w:r w:rsidR="00D461B8" w:rsidRPr="00FB7942">
        <w:rPr>
          <w:rFonts w:asciiTheme="majorHAnsi" w:eastAsia="Times New Roman" w:hAnsiTheme="majorHAnsi" w:cstheme="majorHAnsi"/>
          <w:bCs w:val="0"/>
          <w:sz w:val="24"/>
          <w:szCs w:val="24"/>
        </w:rPr>
        <w:t xml:space="preserve"> </w:t>
      </w:r>
      <w:r w:rsidRPr="00FB7942">
        <w:rPr>
          <w:rFonts w:asciiTheme="majorHAnsi" w:eastAsia="Times New Roman" w:hAnsiTheme="majorHAnsi" w:cstheme="majorHAnsi"/>
          <w:b w:val="0"/>
          <w:sz w:val="24"/>
          <w:szCs w:val="24"/>
        </w:rPr>
        <w:t>în</w:t>
      </w:r>
      <w:r w:rsidR="00D461B8" w:rsidRPr="00FB7942">
        <w:rPr>
          <w:rFonts w:asciiTheme="majorHAnsi" w:eastAsia="Times New Roman" w:hAnsiTheme="majorHAnsi" w:cstheme="majorHAnsi"/>
          <w:bCs w:val="0"/>
          <w:sz w:val="24"/>
          <w:szCs w:val="24"/>
        </w:rPr>
        <w:t xml:space="preserve"> </w:t>
      </w:r>
      <w:r w:rsidRPr="00FB7942">
        <w:rPr>
          <w:rFonts w:asciiTheme="majorHAnsi" w:eastAsia="Times New Roman" w:hAnsiTheme="majorHAnsi" w:cstheme="majorHAnsi"/>
          <w:b w:val="0"/>
          <w:sz w:val="24"/>
          <w:szCs w:val="24"/>
        </w:rPr>
        <w:t>natură,</w:t>
      </w:r>
      <w:r w:rsidR="00D461B8" w:rsidRPr="00FB7942">
        <w:rPr>
          <w:rFonts w:asciiTheme="majorHAnsi" w:eastAsia="Times New Roman" w:hAnsiTheme="majorHAnsi" w:cstheme="majorHAnsi"/>
          <w:bCs w:val="0"/>
          <w:sz w:val="24"/>
          <w:szCs w:val="24"/>
        </w:rPr>
        <w:t xml:space="preserve"> </w:t>
      </w:r>
      <w:r w:rsidRPr="00FB7942">
        <w:rPr>
          <w:rFonts w:asciiTheme="majorHAnsi" w:eastAsia="Times New Roman" w:hAnsiTheme="majorHAnsi" w:cstheme="majorHAnsi"/>
          <w:b w:val="0"/>
          <w:sz w:val="24"/>
          <w:szCs w:val="24"/>
        </w:rPr>
        <w:t>în</w:t>
      </w:r>
      <w:r w:rsidR="00D461B8" w:rsidRPr="00FB7942">
        <w:rPr>
          <w:rFonts w:asciiTheme="majorHAnsi" w:eastAsia="Times New Roman" w:hAnsiTheme="majorHAnsi" w:cstheme="majorHAnsi"/>
          <w:bCs w:val="0"/>
          <w:sz w:val="24"/>
          <w:szCs w:val="24"/>
        </w:rPr>
        <w:t xml:space="preserve"> </w:t>
      </w:r>
      <w:r w:rsidRPr="00FB7942">
        <w:rPr>
          <w:rFonts w:asciiTheme="majorHAnsi" w:eastAsia="Times New Roman" w:hAnsiTheme="majorHAnsi" w:cstheme="majorHAnsi"/>
          <w:b w:val="0"/>
          <w:sz w:val="24"/>
          <w:szCs w:val="24"/>
        </w:rPr>
        <w:t>bani</w:t>
      </w:r>
      <w:r w:rsidR="00D461B8" w:rsidRPr="00FB7942">
        <w:rPr>
          <w:rFonts w:asciiTheme="majorHAnsi" w:eastAsia="Times New Roman" w:hAnsiTheme="majorHAnsi" w:cstheme="majorHAnsi"/>
          <w:bCs w:val="0"/>
          <w:sz w:val="24"/>
          <w:szCs w:val="24"/>
        </w:rPr>
        <w:t xml:space="preserve"> </w:t>
      </w:r>
      <w:r w:rsidRPr="00FB7942">
        <w:rPr>
          <w:rFonts w:asciiTheme="majorHAnsi" w:eastAsia="Times New Roman" w:hAnsiTheme="majorHAnsi" w:cstheme="majorHAnsi"/>
          <w:b w:val="0"/>
          <w:sz w:val="24"/>
          <w:szCs w:val="24"/>
        </w:rPr>
        <w:t>sau</w:t>
      </w:r>
      <w:r w:rsidR="00D461B8" w:rsidRPr="00FB7942">
        <w:rPr>
          <w:rFonts w:asciiTheme="majorHAnsi" w:eastAsia="Times New Roman" w:hAnsiTheme="majorHAnsi" w:cstheme="majorHAnsi"/>
          <w:bCs w:val="0"/>
          <w:sz w:val="24"/>
          <w:szCs w:val="24"/>
        </w:rPr>
        <w:t xml:space="preserve"> </w:t>
      </w:r>
      <w:r w:rsidRPr="00FB7942">
        <w:rPr>
          <w:rFonts w:asciiTheme="majorHAnsi" w:eastAsia="Times New Roman" w:hAnsiTheme="majorHAnsi" w:cstheme="majorHAnsi"/>
          <w:b w:val="0"/>
          <w:sz w:val="24"/>
          <w:szCs w:val="24"/>
        </w:rPr>
        <w:t>în</w:t>
      </w:r>
      <w:r w:rsidR="00D461B8" w:rsidRPr="00FB7942">
        <w:rPr>
          <w:rFonts w:asciiTheme="majorHAnsi" w:eastAsia="Times New Roman" w:hAnsiTheme="majorHAnsi" w:cstheme="majorHAnsi"/>
          <w:bCs w:val="0"/>
          <w:sz w:val="24"/>
          <w:szCs w:val="24"/>
        </w:rPr>
        <w:t xml:space="preserve"> </w:t>
      </w:r>
      <w:r w:rsidRPr="00FB7942">
        <w:rPr>
          <w:rFonts w:asciiTheme="majorHAnsi" w:eastAsia="Times New Roman" w:hAnsiTheme="majorHAnsi" w:cstheme="majorHAnsi"/>
          <w:b w:val="0"/>
          <w:sz w:val="24"/>
          <w:szCs w:val="24"/>
        </w:rPr>
        <w:t>ambele</w:t>
      </w:r>
      <w:r w:rsidR="00D461B8" w:rsidRPr="00FB7942">
        <w:rPr>
          <w:rFonts w:asciiTheme="majorHAnsi" w:eastAsia="Times New Roman" w:hAnsiTheme="majorHAnsi" w:cstheme="majorHAnsi"/>
          <w:bCs w:val="0"/>
          <w:sz w:val="24"/>
          <w:szCs w:val="24"/>
        </w:rPr>
        <w:t xml:space="preserve"> </w:t>
      </w:r>
      <w:r w:rsidRPr="00FB7942">
        <w:rPr>
          <w:rFonts w:asciiTheme="majorHAnsi" w:eastAsia="Times New Roman" w:hAnsiTheme="majorHAnsi" w:cstheme="majorHAnsi"/>
          <w:b w:val="0"/>
          <w:sz w:val="24"/>
          <w:szCs w:val="24"/>
        </w:rPr>
        <w:t>forme,</w:t>
      </w:r>
      <w:r w:rsidR="00D461B8" w:rsidRPr="00FB7942">
        <w:rPr>
          <w:rFonts w:asciiTheme="majorHAnsi" w:eastAsia="Times New Roman" w:hAnsiTheme="majorHAnsi" w:cstheme="majorHAnsi"/>
          <w:bCs w:val="0"/>
          <w:sz w:val="24"/>
          <w:szCs w:val="24"/>
        </w:rPr>
        <w:t xml:space="preserve"> </w:t>
      </w:r>
      <w:r w:rsidRPr="00FB7942">
        <w:rPr>
          <w:rFonts w:asciiTheme="majorHAnsi" w:eastAsia="Times New Roman" w:hAnsiTheme="majorHAnsi" w:cstheme="majorHAnsi"/>
          <w:b w:val="0"/>
          <w:sz w:val="24"/>
          <w:szCs w:val="24"/>
        </w:rPr>
        <w:t>ceea ce contravene regulilor generale de administrare a veniturilor BPN, precum și la zi, nu este reglementat modul de achitare a redevenței în natură. În acest sens, MIDR, APP și MF urmează să întreprindă masuri pentru excluderea acestor ambiguități.</w:t>
      </w:r>
      <w:r w:rsidR="00EE132E" w:rsidRPr="00CA7FEF">
        <w:rPr>
          <w:rFonts w:asciiTheme="majorHAnsi" w:eastAsia="Times New Roman" w:hAnsiTheme="majorHAnsi" w:cstheme="majorHAnsi"/>
          <w:b w:val="0"/>
          <w:bCs w:val="0"/>
          <w:sz w:val="24"/>
          <w:szCs w:val="24"/>
        </w:rPr>
        <w:t xml:space="preserve"> </w:t>
      </w:r>
    </w:p>
    <w:p w:rsidR="00CB30D6" w:rsidRPr="00F94EBC" w:rsidRDefault="00CB30D6" w:rsidP="00F61756">
      <w:pPr>
        <w:spacing w:after="0" w:line="276" w:lineRule="auto"/>
        <w:ind w:firstLine="709"/>
        <w:jc w:val="both"/>
        <w:rPr>
          <w:rFonts w:asciiTheme="majorHAnsi" w:eastAsia="Times New Roman" w:hAnsiTheme="majorHAnsi" w:cstheme="majorHAnsi"/>
          <w:b w:val="0"/>
          <w:bCs w:val="0"/>
          <w:sz w:val="24"/>
          <w:szCs w:val="24"/>
        </w:rPr>
      </w:pPr>
    </w:p>
    <w:p w:rsidR="00E21A50" w:rsidRPr="001B4A95" w:rsidRDefault="000056B2" w:rsidP="00F61756">
      <w:pPr>
        <w:pStyle w:val="a3"/>
        <w:numPr>
          <w:ilvl w:val="1"/>
          <w:numId w:val="73"/>
        </w:numPr>
        <w:tabs>
          <w:tab w:val="left" w:pos="709"/>
        </w:tabs>
        <w:spacing w:line="276" w:lineRule="auto"/>
        <w:ind w:left="0" w:firstLine="0"/>
        <w:jc w:val="both"/>
        <w:outlineLvl w:val="0"/>
        <w:rPr>
          <w:rFonts w:asciiTheme="majorHAnsi" w:eastAsia="Calibri" w:hAnsiTheme="majorHAnsi"/>
          <w:b/>
          <w:color w:val="0070C0"/>
          <w:lang w:val="ro-RO"/>
        </w:rPr>
      </w:pPr>
      <w:bookmarkStart w:id="40" w:name="_Toc132042789"/>
      <w:bookmarkStart w:id="41" w:name="_Toc132320212"/>
      <w:r w:rsidRPr="001B4A95">
        <w:rPr>
          <w:rFonts w:asciiTheme="majorHAnsi" w:eastAsia="Calibri" w:hAnsiTheme="majorHAnsi"/>
          <w:b/>
          <w:color w:val="0070C0"/>
          <w:lang w:val="ro-RO"/>
        </w:rPr>
        <w:t>A</w:t>
      </w:r>
      <w:r w:rsidR="00C71A2A" w:rsidRPr="001B4A95">
        <w:rPr>
          <w:rFonts w:asciiTheme="majorHAnsi" w:eastAsia="Calibri" w:hAnsiTheme="majorHAnsi"/>
          <w:b/>
          <w:color w:val="0070C0"/>
          <w:lang w:val="ro-RO"/>
        </w:rPr>
        <w:t xml:space="preserve">menzile și prejudiciile aplicate de </w:t>
      </w:r>
      <w:r w:rsidR="00541B9F" w:rsidRPr="001B4A95">
        <w:rPr>
          <w:rFonts w:asciiTheme="majorHAnsi" w:eastAsia="Calibri" w:hAnsiTheme="majorHAnsi"/>
          <w:b/>
          <w:color w:val="0070C0"/>
          <w:lang w:val="ro-RO"/>
        </w:rPr>
        <w:t>IPM</w:t>
      </w:r>
      <w:r w:rsidR="00C71A2A" w:rsidRPr="001B4A95">
        <w:rPr>
          <w:rFonts w:asciiTheme="majorHAnsi" w:eastAsia="Calibri" w:hAnsiTheme="majorHAnsi"/>
          <w:b/>
          <w:color w:val="0070C0"/>
          <w:lang w:val="ro-RO"/>
        </w:rPr>
        <w:t xml:space="preserve"> contrib</w:t>
      </w:r>
      <w:r w:rsidR="00F64216">
        <w:rPr>
          <w:rFonts w:asciiTheme="majorHAnsi" w:eastAsia="Calibri" w:hAnsiTheme="majorHAnsi"/>
          <w:b/>
          <w:color w:val="0070C0"/>
          <w:lang w:val="ro-RO"/>
        </w:rPr>
        <w:t>u</w:t>
      </w:r>
      <w:r w:rsidR="00C71A2A" w:rsidRPr="001B4A95">
        <w:rPr>
          <w:rFonts w:asciiTheme="majorHAnsi" w:eastAsia="Calibri" w:hAnsiTheme="majorHAnsi"/>
          <w:b/>
          <w:color w:val="0070C0"/>
          <w:lang w:val="ro-RO"/>
        </w:rPr>
        <w:t>ie la prevenirea cazurilor de încălcare a legislației privind protecția mediului în domeniul alimentării cu apă și sanitație</w:t>
      </w:r>
      <w:r w:rsidR="00F64216">
        <w:rPr>
          <w:rFonts w:asciiTheme="majorHAnsi" w:eastAsia="Calibri" w:hAnsiTheme="majorHAnsi"/>
          <w:b/>
          <w:color w:val="0070C0"/>
          <w:lang w:val="ro-RO"/>
        </w:rPr>
        <w:t>i</w:t>
      </w:r>
      <w:r w:rsidRPr="001B4A95">
        <w:rPr>
          <w:rFonts w:asciiTheme="majorHAnsi" w:eastAsia="Calibri" w:hAnsiTheme="majorHAnsi"/>
          <w:b/>
          <w:color w:val="0070C0"/>
          <w:lang w:val="ro-RO"/>
        </w:rPr>
        <w:t>?</w:t>
      </w:r>
      <w:bookmarkEnd w:id="40"/>
      <w:bookmarkEnd w:id="41"/>
      <w:r w:rsidR="00D959C3" w:rsidRPr="001B4A95">
        <w:rPr>
          <w:rFonts w:asciiTheme="majorHAnsi" w:eastAsia="Calibri" w:hAnsiTheme="majorHAnsi"/>
          <w:b/>
          <w:color w:val="0070C0"/>
          <w:lang w:val="ro-RO"/>
        </w:rPr>
        <w:t xml:space="preserve"> </w:t>
      </w:r>
    </w:p>
    <w:p w:rsidR="00F41859" w:rsidRPr="008376FC" w:rsidRDefault="00F41859" w:rsidP="00F61756">
      <w:pPr>
        <w:pStyle w:val="a3"/>
        <w:tabs>
          <w:tab w:val="left" w:pos="851"/>
        </w:tabs>
        <w:spacing w:line="276" w:lineRule="auto"/>
        <w:ind w:left="540"/>
        <w:jc w:val="both"/>
        <w:rPr>
          <w:rFonts w:asciiTheme="majorHAnsi" w:eastAsia="Calibri" w:hAnsiTheme="majorHAnsi"/>
          <w:b/>
          <w:color w:val="0070C0"/>
          <w:lang w:val="ro-RO"/>
        </w:rPr>
      </w:pPr>
    </w:p>
    <w:tbl>
      <w:tblPr>
        <w:tblStyle w:val="af2"/>
        <w:tblW w:w="0" w:type="auto"/>
        <w:shd w:val="clear" w:color="auto" w:fill="DEEAF6" w:themeFill="accent1" w:themeFillTint="33"/>
        <w:tblLook w:val="04A0" w:firstRow="1" w:lastRow="0" w:firstColumn="1" w:lastColumn="0" w:noHBand="0" w:noVBand="1"/>
      </w:tblPr>
      <w:tblGrid>
        <w:gridCol w:w="9678"/>
      </w:tblGrid>
      <w:tr w:rsidR="00E21A50" w:rsidRPr="008376FC" w:rsidTr="00F41859">
        <w:tc>
          <w:tcPr>
            <w:tcW w:w="10103" w:type="dxa"/>
            <w:shd w:val="clear" w:color="auto" w:fill="DEEAF6" w:themeFill="accent1" w:themeFillTint="33"/>
          </w:tcPr>
          <w:p w:rsidR="00E21A50" w:rsidRPr="008376FC" w:rsidRDefault="000056B2" w:rsidP="00F61756">
            <w:pPr>
              <w:spacing w:before="100" w:beforeAutospacing="1" w:after="100" w:afterAutospacing="1" w:line="276" w:lineRule="auto"/>
              <w:jc w:val="both"/>
              <w:rPr>
                <w:rFonts w:asciiTheme="majorHAnsi" w:eastAsia="Times New Roman" w:hAnsiTheme="majorHAnsi" w:cstheme="majorHAnsi"/>
                <w:b w:val="0"/>
                <w:i/>
                <w:iCs/>
                <w:sz w:val="24"/>
                <w:szCs w:val="24"/>
              </w:rPr>
            </w:pPr>
            <w:r w:rsidRPr="008376FC">
              <w:rPr>
                <w:rFonts w:asciiTheme="majorHAnsi" w:eastAsia="Times New Roman" w:hAnsiTheme="majorHAnsi" w:cstheme="majorHAnsi"/>
                <w:b w:val="0"/>
                <w:i/>
                <w:iCs/>
                <w:sz w:val="24"/>
                <w:szCs w:val="24"/>
              </w:rPr>
              <w:t>Cu toate că numărul controalelor efectuate de IPM este în creştere, instituţia nu deține o informație amplă privitor la valoarea obligațiunilor față de bugetul de stat pentru plata amenzilor și prejudiciilor cauzate mediului</w:t>
            </w:r>
            <w:r w:rsidR="00FB511E" w:rsidRPr="008376FC">
              <w:rPr>
                <w:rFonts w:asciiTheme="majorHAnsi" w:eastAsia="Times New Roman" w:hAnsiTheme="majorHAnsi" w:cstheme="majorHAnsi"/>
                <w:b w:val="0"/>
                <w:i/>
                <w:iCs/>
                <w:sz w:val="24"/>
                <w:szCs w:val="24"/>
              </w:rPr>
              <w:t>, urm</w:t>
            </w:r>
            <w:r w:rsidR="00F64216">
              <w:rPr>
                <w:rFonts w:asciiTheme="majorHAnsi" w:eastAsia="Times New Roman" w:hAnsiTheme="majorHAnsi" w:cstheme="majorHAnsi"/>
                <w:b w:val="0"/>
                <w:i/>
                <w:iCs/>
                <w:sz w:val="24"/>
                <w:szCs w:val="24"/>
              </w:rPr>
              <w:t>â</w:t>
            </w:r>
            <w:r w:rsidR="00FB511E" w:rsidRPr="008376FC">
              <w:rPr>
                <w:rFonts w:asciiTheme="majorHAnsi" w:eastAsia="Times New Roman" w:hAnsiTheme="majorHAnsi" w:cstheme="majorHAnsi"/>
                <w:b w:val="0"/>
                <w:i/>
                <w:iCs/>
                <w:sz w:val="24"/>
                <w:szCs w:val="24"/>
              </w:rPr>
              <w:t xml:space="preserve">nd a fi dezvoltată lista indicatorilor privind activitatea IPM cu indicatori monetari, care să asigure evidența corespunzătoare a amenzilor și prejudiciilor cauzate mediului, inclusiv a obligațiunilor față de buget pentru plata acestora. </w:t>
            </w:r>
            <w:r w:rsidRPr="008376FC">
              <w:rPr>
                <w:rFonts w:asciiTheme="majorHAnsi" w:eastAsia="Times New Roman" w:hAnsiTheme="majorHAnsi" w:cstheme="majorHAnsi"/>
                <w:b w:val="0"/>
                <w:i/>
                <w:iCs/>
                <w:sz w:val="24"/>
                <w:szCs w:val="24"/>
              </w:rPr>
              <w:t xml:space="preserve"> </w:t>
            </w:r>
          </w:p>
        </w:tc>
      </w:tr>
    </w:tbl>
    <w:p w:rsidR="00F41859" w:rsidRPr="008376FC" w:rsidRDefault="00F41859" w:rsidP="00F61756">
      <w:pPr>
        <w:shd w:val="clear" w:color="auto" w:fill="FFFFFF" w:themeFill="background1"/>
        <w:spacing w:after="0" w:line="276" w:lineRule="auto"/>
        <w:jc w:val="both"/>
        <w:rPr>
          <w:rFonts w:asciiTheme="majorHAnsi" w:eastAsia="Calibri" w:hAnsiTheme="majorHAnsi" w:cstheme="majorHAnsi"/>
          <w:bCs w:val="0"/>
          <w:sz w:val="24"/>
          <w:szCs w:val="24"/>
        </w:rPr>
      </w:pPr>
    </w:p>
    <w:p w:rsidR="004B6B06" w:rsidRPr="008376FC" w:rsidRDefault="00F41859" w:rsidP="00F61756">
      <w:pPr>
        <w:spacing w:line="276" w:lineRule="auto"/>
        <w:jc w:val="both"/>
        <w:rPr>
          <w:rFonts w:asciiTheme="majorHAnsi" w:eastAsia="Calibri" w:hAnsiTheme="majorHAnsi" w:cstheme="majorHAnsi"/>
          <w:bCs w:val="0"/>
          <w:color w:val="0070C0"/>
          <w:sz w:val="24"/>
          <w:szCs w:val="24"/>
        </w:rPr>
      </w:pPr>
      <w:r w:rsidRPr="008376FC">
        <w:rPr>
          <w:rFonts w:asciiTheme="majorHAnsi" w:eastAsia="Calibri" w:hAnsiTheme="majorHAnsi" w:cstheme="majorHAnsi"/>
          <w:bCs w:val="0"/>
          <w:color w:val="0070C0"/>
          <w:sz w:val="24"/>
          <w:szCs w:val="24"/>
        </w:rPr>
        <w:t>4.</w:t>
      </w:r>
      <w:r w:rsidR="001F462C" w:rsidRPr="008376FC">
        <w:rPr>
          <w:rFonts w:asciiTheme="majorHAnsi" w:eastAsia="Calibri" w:hAnsiTheme="majorHAnsi" w:cstheme="majorHAnsi"/>
          <w:bCs w:val="0"/>
          <w:color w:val="0070C0"/>
          <w:sz w:val="24"/>
          <w:szCs w:val="24"/>
        </w:rPr>
        <w:t>6</w:t>
      </w:r>
      <w:r w:rsidRPr="008376FC">
        <w:rPr>
          <w:rFonts w:asciiTheme="majorHAnsi" w:eastAsia="Calibri" w:hAnsiTheme="majorHAnsi" w:cstheme="majorHAnsi"/>
          <w:bCs w:val="0"/>
          <w:color w:val="0070C0"/>
          <w:sz w:val="24"/>
          <w:szCs w:val="24"/>
        </w:rPr>
        <w:t xml:space="preserve">.1. </w:t>
      </w:r>
      <w:r w:rsidR="004B6B06" w:rsidRPr="008376FC">
        <w:rPr>
          <w:rFonts w:asciiTheme="majorHAnsi" w:eastAsia="Calibri" w:hAnsiTheme="majorHAnsi" w:cstheme="majorHAnsi"/>
          <w:bCs w:val="0"/>
          <w:color w:val="0070C0"/>
          <w:sz w:val="24"/>
          <w:szCs w:val="24"/>
        </w:rPr>
        <w:t xml:space="preserve">Numărul controalelor efectuate de IPM este în creștere, iar a </w:t>
      </w:r>
      <w:r w:rsidR="00F64216">
        <w:rPr>
          <w:rFonts w:asciiTheme="majorHAnsi" w:eastAsia="Calibri" w:hAnsiTheme="majorHAnsi" w:cstheme="majorHAnsi"/>
          <w:bCs w:val="0"/>
          <w:color w:val="0070C0"/>
          <w:sz w:val="24"/>
          <w:szCs w:val="24"/>
        </w:rPr>
        <w:t>p</w:t>
      </w:r>
      <w:r w:rsidR="004B6B06" w:rsidRPr="008376FC">
        <w:rPr>
          <w:rFonts w:asciiTheme="majorHAnsi" w:eastAsia="Calibri" w:hAnsiTheme="majorHAnsi" w:cstheme="majorHAnsi"/>
          <w:bCs w:val="0"/>
          <w:color w:val="0070C0"/>
          <w:sz w:val="24"/>
          <w:szCs w:val="24"/>
        </w:rPr>
        <w:t>roceselor</w:t>
      </w:r>
      <w:r w:rsidR="00F64216">
        <w:rPr>
          <w:rFonts w:asciiTheme="majorHAnsi" w:eastAsia="Calibri" w:hAnsiTheme="majorHAnsi" w:cstheme="majorHAnsi"/>
          <w:bCs w:val="0"/>
          <w:color w:val="0070C0"/>
          <w:sz w:val="24"/>
          <w:szCs w:val="24"/>
        </w:rPr>
        <w:t>-</w:t>
      </w:r>
      <w:r w:rsidR="004B6B06" w:rsidRPr="008376FC">
        <w:rPr>
          <w:rFonts w:asciiTheme="majorHAnsi" w:eastAsia="Calibri" w:hAnsiTheme="majorHAnsi" w:cstheme="majorHAnsi"/>
          <w:bCs w:val="0"/>
          <w:color w:val="0070C0"/>
          <w:sz w:val="24"/>
          <w:szCs w:val="24"/>
        </w:rPr>
        <w:t xml:space="preserve">verbale </w:t>
      </w:r>
      <w:r w:rsidR="000D442F">
        <w:rPr>
          <w:rFonts w:asciiTheme="majorHAnsi" w:eastAsia="Calibri" w:hAnsiTheme="majorHAnsi" w:cstheme="majorHAnsi"/>
          <w:bCs w:val="0"/>
          <w:color w:val="0070C0"/>
          <w:sz w:val="24"/>
          <w:szCs w:val="24"/>
        </w:rPr>
        <w:t>privind</w:t>
      </w:r>
      <w:r w:rsidR="004B6B06" w:rsidRPr="008376FC">
        <w:rPr>
          <w:rFonts w:asciiTheme="majorHAnsi" w:eastAsia="Calibri" w:hAnsiTheme="majorHAnsi" w:cstheme="majorHAnsi"/>
          <w:bCs w:val="0"/>
          <w:color w:val="0070C0"/>
          <w:sz w:val="24"/>
          <w:szCs w:val="24"/>
        </w:rPr>
        <w:t xml:space="preserve"> contravenții</w:t>
      </w:r>
      <w:r w:rsidR="000D442F">
        <w:rPr>
          <w:rFonts w:asciiTheme="majorHAnsi" w:eastAsia="Calibri" w:hAnsiTheme="majorHAnsi" w:cstheme="majorHAnsi"/>
          <w:bCs w:val="0"/>
          <w:color w:val="0070C0"/>
          <w:sz w:val="24"/>
          <w:szCs w:val="24"/>
        </w:rPr>
        <w:t>le este</w:t>
      </w:r>
      <w:r w:rsidR="004B6B06" w:rsidRPr="008376FC">
        <w:rPr>
          <w:rFonts w:asciiTheme="majorHAnsi" w:eastAsia="Calibri" w:hAnsiTheme="majorHAnsi" w:cstheme="majorHAnsi"/>
          <w:bCs w:val="0"/>
          <w:color w:val="0070C0"/>
          <w:sz w:val="24"/>
          <w:szCs w:val="24"/>
        </w:rPr>
        <w:t xml:space="preserve"> în diminuare</w:t>
      </w:r>
      <w:r w:rsidR="000D442F">
        <w:rPr>
          <w:rFonts w:asciiTheme="majorHAnsi" w:eastAsia="Calibri" w:hAnsiTheme="majorHAnsi" w:cstheme="majorHAnsi"/>
          <w:bCs w:val="0"/>
          <w:color w:val="0070C0"/>
          <w:sz w:val="24"/>
          <w:szCs w:val="24"/>
        </w:rPr>
        <w:t>,</w:t>
      </w:r>
      <w:r w:rsidR="004B6B06" w:rsidRPr="008376FC">
        <w:rPr>
          <w:rFonts w:asciiTheme="majorHAnsi" w:eastAsia="Calibri" w:hAnsiTheme="majorHAnsi" w:cstheme="majorHAnsi"/>
          <w:bCs w:val="0"/>
          <w:color w:val="0070C0"/>
          <w:sz w:val="24"/>
          <w:szCs w:val="24"/>
        </w:rPr>
        <w:t xml:space="preserve"> ca urmare a introducerii din anul 2021 a mecanismului de prescripții</w:t>
      </w:r>
      <w:r w:rsidR="000D442F">
        <w:rPr>
          <w:rFonts w:asciiTheme="majorHAnsi" w:eastAsia="Calibri" w:hAnsiTheme="majorHAnsi" w:cstheme="majorHAnsi"/>
          <w:bCs w:val="0"/>
          <w:color w:val="0070C0"/>
          <w:sz w:val="24"/>
          <w:szCs w:val="24"/>
        </w:rPr>
        <w:t>.</w:t>
      </w:r>
      <w:r w:rsidR="004B6B06" w:rsidRPr="008376FC">
        <w:rPr>
          <w:rFonts w:asciiTheme="majorHAnsi" w:eastAsia="Calibri" w:hAnsiTheme="majorHAnsi" w:cstheme="majorHAnsi"/>
          <w:bCs w:val="0"/>
          <w:color w:val="0070C0"/>
          <w:sz w:val="24"/>
          <w:szCs w:val="24"/>
        </w:rPr>
        <w:t xml:space="preserve"> </w:t>
      </w:r>
    </w:p>
    <w:p w:rsidR="004B6B06" w:rsidRPr="008376FC" w:rsidRDefault="004B6B06"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 xml:space="preserve">Conform procedurilor de efectuare a controalelor, IPM desfășoară controale planificate și inopinate în conformitate cu Legea nr. 131/2012 privind controlul de stat asupra activității de întreprinzător și </w:t>
      </w:r>
      <w:r w:rsidR="00C12B91">
        <w:rPr>
          <w:rFonts w:asciiTheme="majorHAnsi" w:eastAsia="Times New Roman" w:hAnsiTheme="majorHAnsi" w:cstheme="majorHAnsi"/>
          <w:b w:val="0"/>
          <w:bCs w:val="0"/>
          <w:sz w:val="24"/>
          <w:szCs w:val="24"/>
          <w:shd w:val="clear" w:color="auto" w:fill="FFFFFF"/>
        </w:rPr>
        <w:t xml:space="preserve">cu </w:t>
      </w:r>
      <w:r w:rsidRPr="008376FC">
        <w:rPr>
          <w:rFonts w:asciiTheme="majorHAnsi" w:eastAsia="Times New Roman" w:hAnsiTheme="majorHAnsi" w:cstheme="majorHAnsi"/>
          <w:b w:val="0"/>
          <w:bCs w:val="0"/>
          <w:sz w:val="24"/>
          <w:szCs w:val="24"/>
          <w:shd w:val="clear" w:color="auto" w:fill="FFFFFF"/>
        </w:rPr>
        <w:t xml:space="preserve">Regulamentul intern privind efectuarea controlului de stat asupra activității de întreprinzător în domeniile de competență ale IPM.  </w:t>
      </w:r>
    </w:p>
    <w:p w:rsidR="004B6B06" w:rsidRPr="008376FC" w:rsidRDefault="004B6B06"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Controlul în domeniile de competență ale IPM are ca scop asigurarea nivelului corespunzător de supraveghere și protecție a mediului, a intereselor publice, siguranța ecologică a statului și altor valori ocrotite de legislație, prin verificarea respectării de către persoanele supuse controlului a prevederilor legislației în domeniul protecției mediului și a folosirii raționale a resurselor naturale.</w:t>
      </w:r>
    </w:p>
    <w:p w:rsidR="004B6B06" w:rsidRPr="008376FC" w:rsidRDefault="004B6B06"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Controalele de stat efectuate în temeiul Legii nr.131/2012 sunt incluse obligatoriu în Registrul de Stat a</w:t>
      </w:r>
      <w:r w:rsidR="00C12B91">
        <w:rPr>
          <w:rFonts w:asciiTheme="majorHAnsi" w:eastAsia="Times New Roman" w:hAnsiTheme="majorHAnsi" w:cstheme="majorHAnsi"/>
          <w:b w:val="0"/>
          <w:bCs w:val="0"/>
          <w:sz w:val="24"/>
          <w:szCs w:val="24"/>
          <w:shd w:val="clear" w:color="auto" w:fill="FFFFFF"/>
        </w:rPr>
        <w:t>l</w:t>
      </w:r>
      <w:r w:rsidRPr="008376FC">
        <w:rPr>
          <w:rFonts w:asciiTheme="majorHAnsi" w:eastAsia="Times New Roman" w:hAnsiTheme="majorHAnsi" w:cstheme="majorHAnsi"/>
          <w:b w:val="0"/>
          <w:bCs w:val="0"/>
          <w:sz w:val="24"/>
          <w:szCs w:val="24"/>
          <w:shd w:val="clear" w:color="auto" w:fill="FFFFFF"/>
        </w:rPr>
        <w:t xml:space="preserve"> Controalelor (RSC).</w:t>
      </w:r>
    </w:p>
    <w:p w:rsidR="004B6B06" w:rsidRPr="008376FC" w:rsidRDefault="004B6B06"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Pentru efectuarea controalelor de domeniu, sunt aprobate Listele de verificare distincte, la care se face referință în cadrul efectuării controalelor. Listele de verificare au ca scop să optimizeze timpul și efortul necesare pentru desfășurarea controlului, asigurând orientarea procesului de control spre aspecte legate de riscurile cele mai semnificative.</w:t>
      </w:r>
    </w:p>
    <w:p w:rsidR="004B6B06" w:rsidRPr="008376FC" w:rsidRDefault="004B6B06"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 xml:space="preserve">În cazul în care, în cadrul controlului efectuat se constată încălcări ale legislației ce nu constituie infracțiuni, în </w:t>
      </w:r>
      <w:r w:rsidR="00005C8C">
        <w:rPr>
          <w:rFonts w:asciiTheme="majorHAnsi" w:eastAsia="Times New Roman" w:hAnsiTheme="majorHAnsi" w:cstheme="majorHAnsi"/>
          <w:b w:val="0"/>
          <w:bCs w:val="0"/>
          <w:sz w:val="24"/>
          <w:szCs w:val="24"/>
          <w:shd w:val="clear" w:color="auto" w:fill="FFFFFF"/>
        </w:rPr>
        <w:t>procesul-verbal</w:t>
      </w:r>
      <w:r w:rsidR="00005C8C" w:rsidRPr="008376FC">
        <w:rPr>
          <w:rFonts w:asciiTheme="majorHAnsi" w:eastAsia="Times New Roman" w:hAnsiTheme="majorHAnsi" w:cstheme="majorHAnsi"/>
          <w:b w:val="0"/>
          <w:bCs w:val="0"/>
          <w:sz w:val="24"/>
          <w:szCs w:val="24"/>
          <w:shd w:val="clear" w:color="auto" w:fill="FFFFFF"/>
        </w:rPr>
        <w:t xml:space="preserve"> </w:t>
      </w:r>
      <w:r w:rsidRPr="008376FC">
        <w:rPr>
          <w:rFonts w:asciiTheme="majorHAnsi" w:eastAsia="Times New Roman" w:hAnsiTheme="majorHAnsi" w:cstheme="majorHAnsi"/>
          <w:b w:val="0"/>
          <w:bCs w:val="0"/>
          <w:sz w:val="24"/>
          <w:szCs w:val="24"/>
          <w:shd w:val="clear" w:color="auto" w:fill="FFFFFF"/>
        </w:rPr>
        <w:t>de control se includ prescripții privind înlăturarea acestor încălcări, conform limitelor stabilite la atr.5</w:t>
      </w:r>
      <w:r w:rsidRPr="008376FC">
        <w:rPr>
          <w:rFonts w:asciiTheme="majorHAnsi" w:eastAsia="Times New Roman" w:hAnsiTheme="majorHAnsi" w:cstheme="majorHAnsi"/>
          <w:b w:val="0"/>
          <w:bCs w:val="0"/>
          <w:sz w:val="24"/>
          <w:szCs w:val="24"/>
          <w:shd w:val="clear" w:color="auto" w:fill="FFFFFF"/>
          <w:vertAlign w:val="superscript"/>
        </w:rPr>
        <w:t xml:space="preserve">1 </w:t>
      </w:r>
      <w:r w:rsidRPr="008376FC">
        <w:rPr>
          <w:rFonts w:asciiTheme="majorHAnsi" w:eastAsia="Times New Roman" w:hAnsiTheme="majorHAnsi" w:cstheme="majorHAnsi"/>
          <w:b w:val="0"/>
          <w:bCs w:val="0"/>
          <w:sz w:val="24"/>
          <w:szCs w:val="24"/>
          <w:shd w:val="clear" w:color="auto" w:fill="FFFFFF"/>
        </w:rPr>
        <w:t>al Legii nr. 131/2012.</w:t>
      </w:r>
    </w:p>
    <w:p w:rsidR="004B6B06" w:rsidRPr="008376FC" w:rsidRDefault="004B6B06"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Numărul de controale efectuate în perioada 2014-2021 de către IPM în domeniul apelor a înregistrat o tendință de creștere. Totodată, se atestă că, pe parcursul anilor 2016-2022</w:t>
      </w:r>
      <w:r w:rsidR="00005C8C">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nivelul de realizare a Planului de controale este sub nivelul prognozat, acesta variind de la 54,2% în anul 2017 până la 82,8% în anul 2021.</w:t>
      </w:r>
    </w:p>
    <w:p w:rsidR="004B6B06" w:rsidRPr="008376FC" w:rsidRDefault="00F41859" w:rsidP="007D322F">
      <w:pPr>
        <w:shd w:val="clear" w:color="auto" w:fill="FFFFFF"/>
        <w:spacing w:after="0" w:line="240" w:lineRule="auto"/>
        <w:jc w:val="right"/>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Cs w:val="0"/>
          <w:sz w:val="20"/>
          <w:szCs w:val="20"/>
          <w:shd w:val="clear" w:color="auto" w:fill="FFFFFF"/>
        </w:rPr>
        <w:t>Tabelul nr. 3</w:t>
      </w:r>
      <w:r w:rsidR="00D91526" w:rsidRPr="008376FC">
        <w:rPr>
          <w:rFonts w:asciiTheme="majorHAnsi" w:eastAsia="Times New Roman" w:hAnsiTheme="majorHAnsi" w:cstheme="majorHAnsi"/>
          <w:bCs w:val="0"/>
          <w:sz w:val="20"/>
          <w:szCs w:val="20"/>
          <w:shd w:val="clear" w:color="auto" w:fill="FFFFFF"/>
        </w:rPr>
        <w:t>4</w:t>
      </w:r>
    </w:p>
    <w:tbl>
      <w:tblPr>
        <w:tblStyle w:val="TableGrid8"/>
        <w:tblW w:w="9776" w:type="dxa"/>
        <w:tblLook w:val="04A0" w:firstRow="1" w:lastRow="0" w:firstColumn="1" w:lastColumn="0" w:noHBand="0" w:noVBand="1"/>
      </w:tblPr>
      <w:tblGrid>
        <w:gridCol w:w="535"/>
        <w:gridCol w:w="2051"/>
        <w:gridCol w:w="1318"/>
        <w:gridCol w:w="1318"/>
        <w:gridCol w:w="800"/>
        <w:gridCol w:w="800"/>
        <w:gridCol w:w="675"/>
        <w:gridCol w:w="675"/>
        <w:gridCol w:w="800"/>
        <w:gridCol w:w="804"/>
      </w:tblGrid>
      <w:tr w:rsidR="00072432" w:rsidRPr="00CB30D6" w:rsidTr="00222322">
        <w:trPr>
          <w:trHeight w:val="331"/>
        </w:trPr>
        <w:tc>
          <w:tcPr>
            <w:tcW w:w="9773" w:type="dxa"/>
            <w:gridSpan w:val="10"/>
            <w:tcBorders>
              <w:top w:val="nil"/>
              <w:left w:val="nil"/>
              <w:bottom w:val="single" w:sz="4" w:space="0" w:color="auto"/>
              <w:right w:val="nil"/>
            </w:tcBorders>
            <w:shd w:val="clear" w:color="auto" w:fill="auto"/>
          </w:tcPr>
          <w:p w:rsidR="00072432" w:rsidRPr="00CB30D6" w:rsidRDefault="00005C8C" w:rsidP="00BD559D">
            <w:pPr>
              <w:shd w:val="clear" w:color="auto" w:fill="FFFFFF"/>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Cs w:val="0"/>
                <w:sz w:val="20"/>
                <w:szCs w:val="20"/>
                <w:shd w:val="clear" w:color="auto" w:fill="FFFFFF"/>
              </w:rPr>
              <w:t>C</w:t>
            </w:r>
            <w:r w:rsidR="00072432" w:rsidRPr="00CB30D6">
              <w:rPr>
                <w:rFonts w:asciiTheme="majorHAnsi" w:eastAsia="Times New Roman" w:hAnsiTheme="majorHAnsi" w:cstheme="majorHAnsi"/>
                <w:bCs w:val="0"/>
                <w:sz w:val="20"/>
                <w:szCs w:val="20"/>
                <w:shd w:val="clear" w:color="auto" w:fill="FFFFFF"/>
              </w:rPr>
              <w:t>ontroale</w:t>
            </w:r>
            <w:r w:rsidR="005A2381" w:rsidRPr="00CB30D6">
              <w:rPr>
                <w:rFonts w:asciiTheme="majorHAnsi" w:eastAsia="Times New Roman" w:hAnsiTheme="majorHAnsi" w:cstheme="majorHAnsi"/>
                <w:bCs w:val="0"/>
                <w:sz w:val="20"/>
                <w:szCs w:val="20"/>
                <w:shd w:val="clear" w:color="auto" w:fill="FFFFFF"/>
              </w:rPr>
              <w:t>le</w:t>
            </w:r>
            <w:r w:rsidR="00072432" w:rsidRPr="00CB30D6">
              <w:rPr>
                <w:rFonts w:asciiTheme="majorHAnsi" w:eastAsia="Times New Roman" w:hAnsiTheme="majorHAnsi" w:cstheme="majorHAnsi"/>
                <w:bCs w:val="0"/>
                <w:sz w:val="20"/>
                <w:szCs w:val="20"/>
                <w:shd w:val="clear" w:color="auto" w:fill="FFFFFF"/>
              </w:rPr>
              <w:t xml:space="preserve"> efectuate în domeniul apelor în anii 2014-2022</w:t>
            </w:r>
          </w:p>
        </w:tc>
      </w:tr>
      <w:tr w:rsidR="004B6B06" w:rsidRPr="00CB30D6" w:rsidTr="00CB30D6">
        <w:trPr>
          <w:trHeight w:val="331"/>
        </w:trPr>
        <w:tc>
          <w:tcPr>
            <w:tcW w:w="53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6B06" w:rsidRPr="00CB30D6" w:rsidRDefault="004B6B06" w:rsidP="00BD559D">
            <w:pPr>
              <w:jc w:val="both"/>
              <w:rPr>
                <w:rFonts w:asciiTheme="majorHAnsi" w:eastAsia="Times New Roman" w:hAnsiTheme="majorHAnsi" w:cstheme="majorHAnsi"/>
                <w:bCs w:val="0"/>
                <w:sz w:val="20"/>
                <w:szCs w:val="20"/>
                <w:shd w:val="clear" w:color="auto" w:fill="FFFFFF"/>
              </w:rPr>
            </w:pPr>
            <w:r w:rsidRPr="00CB30D6">
              <w:rPr>
                <w:rFonts w:asciiTheme="majorHAnsi" w:eastAsia="Times New Roman" w:hAnsiTheme="majorHAnsi" w:cstheme="majorHAnsi"/>
                <w:bCs w:val="0"/>
                <w:sz w:val="20"/>
                <w:szCs w:val="20"/>
                <w:shd w:val="clear" w:color="auto" w:fill="FFFFFF"/>
              </w:rPr>
              <w:t>Nr.  d/o</w:t>
            </w:r>
          </w:p>
        </w:tc>
        <w:tc>
          <w:tcPr>
            <w:tcW w:w="20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6B06" w:rsidRPr="00CB30D6" w:rsidRDefault="004B6B06" w:rsidP="00BD559D">
            <w:pPr>
              <w:jc w:val="both"/>
              <w:rPr>
                <w:rFonts w:asciiTheme="majorHAnsi" w:eastAsia="Times New Roman" w:hAnsiTheme="majorHAnsi" w:cstheme="majorHAnsi"/>
                <w:bCs w:val="0"/>
                <w:sz w:val="20"/>
                <w:szCs w:val="20"/>
                <w:shd w:val="clear" w:color="auto" w:fill="FFFFFF"/>
              </w:rPr>
            </w:pPr>
            <w:r w:rsidRPr="00CB30D6">
              <w:rPr>
                <w:rFonts w:asciiTheme="majorHAnsi" w:eastAsia="Times New Roman" w:hAnsiTheme="majorHAnsi" w:cstheme="majorHAnsi"/>
                <w:bCs w:val="0"/>
                <w:sz w:val="20"/>
                <w:szCs w:val="20"/>
                <w:shd w:val="clear" w:color="auto" w:fill="FFFFFF"/>
              </w:rPr>
              <w:t>Indicatorii</w:t>
            </w:r>
          </w:p>
        </w:tc>
        <w:tc>
          <w:tcPr>
            <w:tcW w:w="13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6B06" w:rsidRPr="00CB30D6" w:rsidRDefault="004B6B06" w:rsidP="00BD559D">
            <w:pPr>
              <w:jc w:val="both"/>
              <w:rPr>
                <w:rFonts w:asciiTheme="majorHAnsi" w:eastAsia="Times New Roman" w:hAnsiTheme="majorHAnsi" w:cstheme="majorHAnsi"/>
                <w:bCs w:val="0"/>
                <w:sz w:val="20"/>
                <w:szCs w:val="20"/>
                <w:shd w:val="clear" w:color="auto" w:fill="FFFFFF"/>
              </w:rPr>
            </w:pPr>
            <w:r w:rsidRPr="00CB30D6">
              <w:rPr>
                <w:rFonts w:asciiTheme="majorHAnsi" w:eastAsia="Times New Roman" w:hAnsiTheme="majorHAnsi" w:cstheme="majorHAnsi"/>
                <w:bCs w:val="0"/>
                <w:sz w:val="20"/>
                <w:szCs w:val="20"/>
                <w:shd w:val="clear" w:color="auto" w:fill="FFFFFF"/>
              </w:rPr>
              <w:t>2014</w:t>
            </w:r>
          </w:p>
        </w:tc>
        <w:tc>
          <w:tcPr>
            <w:tcW w:w="131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6B06" w:rsidRPr="00CB30D6" w:rsidRDefault="004B6B06" w:rsidP="00BD559D">
            <w:pPr>
              <w:jc w:val="both"/>
              <w:rPr>
                <w:rFonts w:asciiTheme="majorHAnsi" w:eastAsia="Times New Roman" w:hAnsiTheme="majorHAnsi" w:cstheme="majorHAnsi"/>
                <w:bCs w:val="0"/>
                <w:sz w:val="20"/>
                <w:szCs w:val="20"/>
                <w:shd w:val="clear" w:color="auto" w:fill="FFFFFF"/>
              </w:rPr>
            </w:pPr>
            <w:r w:rsidRPr="00CB30D6">
              <w:rPr>
                <w:rFonts w:asciiTheme="majorHAnsi" w:eastAsia="Times New Roman" w:hAnsiTheme="majorHAnsi" w:cstheme="majorHAnsi"/>
                <w:bCs w:val="0"/>
                <w:sz w:val="20"/>
                <w:szCs w:val="20"/>
                <w:shd w:val="clear" w:color="auto" w:fill="FFFFFF"/>
              </w:rPr>
              <w:t>2015</w:t>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6B06" w:rsidRPr="00CB30D6" w:rsidRDefault="004B6B06" w:rsidP="00BD559D">
            <w:pPr>
              <w:jc w:val="both"/>
              <w:rPr>
                <w:rFonts w:asciiTheme="majorHAnsi" w:eastAsia="Times New Roman" w:hAnsiTheme="majorHAnsi" w:cstheme="majorHAnsi"/>
                <w:bCs w:val="0"/>
                <w:sz w:val="20"/>
                <w:szCs w:val="20"/>
                <w:shd w:val="clear" w:color="auto" w:fill="FFFFFF"/>
              </w:rPr>
            </w:pPr>
            <w:r w:rsidRPr="00CB30D6">
              <w:rPr>
                <w:rFonts w:asciiTheme="majorHAnsi" w:eastAsia="Times New Roman" w:hAnsiTheme="majorHAnsi" w:cstheme="majorHAnsi"/>
                <w:bCs w:val="0"/>
                <w:sz w:val="20"/>
                <w:szCs w:val="20"/>
                <w:shd w:val="clear" w:color="auto" w:fill="FFFFFF"/>
              </w:rPr>
              <w:t>2016</w:t>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6B06" w:rsidRPr="00CB30D6" w:rsidRDefault="004B6B06" w:rsidP="00BD559D">
            <w:pPr>
              <w:jc w:val="both"/>
              <w:rPr>
                <w:rFonts w:asciiTheme="majorHAnsi" w:eastAsia="Times New Roman" w:hAnsiTheme="majorHAnsi" w:cstheme="majorHAnsi"/>
                <w:bCs w:val="0"/>
                <w:sz w:val="20"/>
                <w:szCs w:val="20"/>
                <w:shd w:val="clear" w:color="auto" w:fill="FFFFFF"/>
              </w:rPr>
            </w:pPr>
            <w:r w:rsidRPr="00CB30D6">
              <w:rPr>
                <w:rFonts w:asciiTheme="majorHAnsi" w:eastAsia="Times New Roman" w:hAnsiTheme="majorHAnsi" w:cstheme="majorHAnsi"/>
                <w:bCs w:val="0"/>
                <w:sz w:val="20"/>
                <w:szCs w:val="20"/>
                <w:shd w:val="clear" w:color="auto" w:fill="FFFFFF"/>
              </w:rPr>
              <w:t>2017</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6B06" w:rsidRPr="00CB30D6" w:rsidRDefault="004B6B06" w:rsidP="00BD559D">
            <w:pPr>
              <w:jc w:val="both"/>
              <w:rPr>
                <w:rFonts w:asciiTheme="majorHAnsi" w:eastAsia="Times New Roman" w:hAnsiTheme="majorHAnsi" w:cstheme="majorHAnsi"/>
                <w:bCs w:val="0"/>
                <w:sz w:val="20"/>
                <w:szCs w:val="20"/>
                <w:shd w:val="clear" w:color="auto" w:fill="FFFFFF"/>
              </w:rPr>
            </w:pPr>
            <w:r w:rsidRPr="00CB30D6">
              <w:rPr>
                <w:rFonts w:asciiTheme="majorHAnsi" w:eastAsia="Times New Roman" w:hAnsiTheme="majorHAnsi" w:cstheme="majorHAnsi"/>
                <w:bCs w:val="0"/>
                <w:sz w:val="20"/>
                <w:szCs w:val="20"/>
                <w:shd w:val="clear" w:color="auto" w:fill="FFFFFF"/>
              </w:rPr>
              <w:t>2018</w:t>
            </w:r>
          </w:p>
        </w:tc>
        <w:tc>
          <w:tcPr>
            <w:tcW w:w="67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6B06" w:rsidRPr="00CB30D6" w:rsidRDefault="004B6B06" w:rsidP="00BD559D">
            <w:pPr>
              <w:jc w:val="both"/>
              <w:rPr>
                <w:rFonts w:asciiTheme="majorHAnsi" w:eastAsia="Times New Roman" w:hAnsiTheme="majorHAnsi" w:cstheme="majorHAnsi"/>
                <w:bCs w:val="0"/>
                <w:sz w:val="20"/>
                <w:szCs w:val="20"/>
                <w:shd w:val="clear" w:color="auto" w:fill="FFFFFF"/>
              </w:rPr>
            </w:pPr>
            <w:r w:rsidRPr="00CB30D6">
              <w:rPr>
                <w:rFonts w:asciiTheme="majorHAnsi" w:eastAsia="Times New Roman" w:hAnsiTheme="majorHAnsi" w:cstheme="majorHAnsi"/>
                <w:bCs w:val="0"/>
                <w:sz w:val="20"/>
                <w:szCs w:val="20"/>
                <w:shd w:val="clear" w:color="auto" w:fill="FFFFFF"/>
              </w:rPr>
              <w:t>2019</w:t>
            </w:r>
          </w:p>
        </w:tc>
        <w:tc>
          <w:tcPr>
            <w:tcW w:w="800"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6B06" w:rsidRPr="00CB30D6" w:rsidRDefault="004B6B06" w:rsidP="00BD559D">
            <w:pPr>
              <w:jc w:val="both"/>
              <w:rPr>
                <w:rFonts w:asciiTheme="majorHAnsi" w:eastAsia="Times New Roman" w:hAnsiTheme="majorHAnsi" w:cstheme="majorHAnsi"/>
                <w:bCs w:val="0"/>
                <w:sz w:val="20"/>
                <w:szCs w:val="20"/>
                <w:shd w:val="clear" w:color="auto" w:fill="FFFFFF"/>
              </w:rPr>
            </w:pPr>
            <w:r w:rsidRPr="00CB30D6">
              <w:rPr>
                <w:rFonts w:asciiTheme="majorHAnsi" w:eastAsia="Times New Roman" w:hAnsiTheme="majorHAnsi" w:cstheme="majorHAnsi"/>
                <w:bCs w:val="0"/>
                <w:sz w:val="20"/>
                <w:szCs w:val="20"/>
                <w:shd w:val="clear" w:color="auto" w:fill="FFFFFF"/>
              </w:rPr>
              <w:t>2020</w:t>
            </w:r>
          </w:p>
        </w:tc>
        <w:tc>
          <w:tcPr>
            <w:tcW w:w="80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4B6B06" w:rsidRPr="00CB30D6" w:rsidRDefault="004B6B06" w:rsidP="00BD559D">
            <w:pPr>
              <w:jc w:val="both"/>
              <w:rPr>
                <w:rFonts w:asciiTheme="majorHAnsi" w:eastAsia="Times New Roman" w:hAnsiTheme="majorHAnsi" w:cstheme="majorHAnsi"/>
                <w:bCs w:val="0"/>
                <w:sz w:val="20"/>
                <w:szCs w:val="20"/>
                <w:shd w:val="clear" w:color="auto" w:fill="FFFFFF"/>
              </w:rPr>
            </w:pPr>
            <w:r w:rsidRPr="00CB30D6">
              <w:rPr>
                <w:rFonts w:asciiTheme="majorHAnsi" w:eastAsia="Times New Roman" w:hAnsiTheme="majorHAnsi" w:cstheme="majorHAnsi"/>
                <w:bCs w:val="0"/>
                <w:sz w:val="20"/>
                <w:szCs w:val="20"/>
                <w:shd w:val="clear" w:color="auto" w:fill="FFFFFF"/>
              </w:rPr>
              <w:t>2021</w:t>
            </w:r>
          </w:p>
        </w:tc>
      </w:tr>
      <w:tr w:rsidR="004B6B06" w:rsidRPr="00CB30D6" w:rsidTr="00222322">
        <w:trPr>
          <w:trHeight w:val="246"/>
        </w:trPr>
        <w:tc>
          <w:tcPr>
            <w:tcW w:w="53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w:t>
            </w:r>
          </w:p>
        </w:tc>
        <w:tc>
          <w:tcPr>
            <w:tcW w:w="2051"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 xml:space="preserve">Controale planificate </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n/a</w:t>
            </w:r>
            <w:r w:rsidRPr="00CB30D6">
              <w:rPr>
                <w:rFonts w:asciiTheme="majorHAnsi" w:eastAsia="Times New Roman" w:hAnsiTheme="majorHAnsi" w:cstheme="majorHAnsi"/>
                <w:b w:val="0"/>
                <w:bCs w:val="0"/>
                <w:sz w:val="20"/>
                <w:szCs w:val="20"/>
                <w:shd w:val="clear" w:color="auto" w:fill="FFFFFF"/>
                <w:vertAlign w:val="superscript"/>
              </w:rPr>
              <w:footnoteReference w:id="148"/>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n/a</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22</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59</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 xml:space="preserve">0 </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155</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177</w:t>
            </w:r>
          </w:p>
        </w:tc>
        <w:tc>
          <w:tcPr>
            <w:tcW w:w="804"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437</w:t>
            </w:r>
          </w:p>
        </w:tc>
      </w:tr>
      <w:tr w:rsidR="004B6B06" w:rsidRPr="00CB30D6" w:rsidTr="00222322">
        <w:trPr>
          <w:trHeight w:val="133"/>
        </w:trPr>
        <w:tc>
          <w:tcPr>
            <w:tcW w:w="53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2</w:t>
            </w:r>
          </w:p>
        </w:tc>
        <w:tc>
          <w:tcPr>
            <w:tcW w:w="2051"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Controale realizate</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trike/>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 xml:space="preserve">n/a  </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n/a</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18</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32</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0</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124</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142</w:t>
            </w:r>
          </w:p>
        </w:tc>
        <w:tc>
          <w:tcPr>
            <w:tcW w:w="804"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360</w:t>
            </w:r>
          </w:p>
        </w:tc>
      </w:tr>
      <w:tr w:rsidR="004B6B06" w:rsidRPr="00CB30D6" w:rsidTr="00222322">
        <w:trPr>
          <w:trHeight w:val="53"/>
        </w:trPr>
        <w:tc>
          <w:tcPr>
            <w:tcW w:w="53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3</w:t>
            </w:r>
          </w:p>
        </w:tc>
        <w:tc>
          <w:tcPr>
            <w:tcW w:w="2051"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 xml:space="preserve">Controale inopinate </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 xml:space="preserve"> n/a</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n/a</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473</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181</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112</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93</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115</w:t>
            </w:r>
          </w:p>
        </w:tc>
        <w:tc>
          <w:tcPr>
            <w:tcW w:w="804"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172</w:t>
            </w:r>
          </w:p>
        </w:tc>
      </w:tr>
      <w:tr w:rsidR="004B6B06" w:rsidRPr="00CB30D6" w:rsidTr="00CB30D6">
        <w:trPr>
          <w:trHeight w:val="207"/>
        </w:trPr>
        <w:tc>
          <w:tcPr>
            <w:tcW w:w="53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5</w:t>
            </w:r>
          </w:p>
        </w:tc>
        <w:tc>
          <w:tcPr>
            <w:tcW w:w="2051"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 xml:space="preserve">Total controale </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683</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707</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trike/>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491</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213</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112</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217</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257</w:t>
            </w:r>
          </w:p>
        </w:tc>
        <w:tc>
          <w:tcPr>
            <w:tcW w:w="804"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532</w:t>
            </w:r>
          </w:p>
        </w:tc>
      </w:tr>
      <w:tr w:rsidR="004B6B06" w:rsidRPr="00CB30D6" w:rsidTr="00222322">
        <w:trPr>
          <w:trHeight w:val="331"/>
        </w:trPr>
        <w:tc>
          <w:tcPr>
            <w:tcW w:w="53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6</w:t>
            </w:r>
          </w:p>
        </w:tc>
        <w:tc>
          <w:tcPr>
            <w:tcW w:w="2051"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Nivelul de realizare a planului de controale (rd.2/rd.1)</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n/a</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n/a</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81,8%</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54,2%</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x</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80%</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80,2%</w:t>
            </w:r>
          </w:p>
        </w:tc>
        <w:tc>
          <w:tcPr>
            <w:tcW w:w="804"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82,4%</w:t>
            </w:r>
          </w:p>
        </w:tc>
      </w:tr>
      <w:tr w:rsidR="004B6B06" w:rsidRPr="00CB30D6" w:rsidTr="00222322">
        <w:trPr>
          <w:trHeight w:val="331"/>
        </w:trPr>
        <w:tc>
          <w:tcPr>
            <w:tcW w:w="53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7</w:t>
            </w:r>
          </w:p>
        </w:tc>
        <w:tc>
          <w:tcPr>
            <w:tcW w:w="2051"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Ponderea în totalul controalelor a controalelor inopinate (%)</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x</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x</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x</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x</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x</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x</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35,6%</w:t>
            </w:r>
          </w:p>
        </w:tc>
        <w:tc>
          <w:tcPr>
            <w:tcW w:w="804"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32,1%</w:t>
            </w:r>
          </w:p>
        </w:tc>
      </w:tr>
      <w:tr w:rsidR="004B6B06" w:rsidRPr="00CB30D6" w:rsidTr="00222322">
        <w:trPr>
          <w:trHeight w:val="76"/>
        </w:trPr>
        <w:tc>
          <w:tcPr>
            <w:tcW w:w="53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8</w:t>
            </w:r>
          </w:p>
        </w:tc>
        <w:tc>
          <w:tcPr>
            <w:tcW w:w="2051"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Procese</w:t>
            </w:r>
            <w:r w:rsidR="00005C8C" w:rsidRPr="00CB30D6">
              <w:rPr>
                <w:rFonts w:asciiTheme="majorHAnsi" w:eastAsia="Times New Roman" w:hAnsiTheme="majorHAnsi" w:cstheme="majorHAnsi"/>
                <w:b w:val="0"/>
                <w:bCs w:val="0"/>
                <w:sz w:val="20"/>
                <w:szCs w:val="20"/>
                <w:shd w:val="clear" w:color="auto" w:fill="FFFFFF"/>
              </w:rPr>
              <w:t>-</w:t>
            </w:r>
            <w:r w:rsidRPr="00CB30D6">
              <w:rPr>
                <w:rFonts w:asciiTheme="majorHAnsi" w:eastAsia="Times New Roman" w:hAnsiTheme="majorHAnsi" w:cstheme="majorHAnsi"/>
                <w:b w:val="0"/>
                <w:bCs w:val="0"/>
                <w:sz w:val="20"/>
                <w:szCs w:val="20"/>
                <w:shd w:val="clear" w:color="auto" w:fill="FFFFFF"/>
              </w:rPr>
              <w:t>verbale cu privire la contravenți</w:t>
            </w:r>
            <w:r w:rsidR="00005C8C" w:rsidRPr="00CB30D6">
              <w:rPr>
                <w:rFonts w:asciiTheme="majorHAnsi" w:eastAsia="Times New Roman" w:hAnsiTheme="majorHAnsi" w:cstheme="majorHAnsi"/>
                <w:b w:val="0"/>
                <w:bCs w:val="0"/>
                <w:sz w:val="20"/>
                <w:szCs w:val="20"/>
                <w:shd w:val="clear" w:color="auto" w:fill="FFFFFF"/>
              </w:rPr>
              <w:t>il</w:t>
            </w:r>
            <w:r w:rsidRPr="00CB30D6">
              <w:rPr>
                <w:rFonts w:asciiTheme="majorHAnsi" w:eastAsia="Times New Roman" w:hAnsiTheme="majorHAnsi" w:cstheme="majorHAnsi"/>
                <w:b w:val="0"/>
                <w:bCs w:val="0"/>
                <w:sz w:val="20"/>
                <w:szCs w:val="20"/>
                <w:shd w:val="clear" w:color="auto" w:fill="FFFFFF"/>
              </w:rPr>
              <w:t>e încheiate  (nr.)</w:t>
            </w:r>
            <w:r w:rsidRPr="00CB30D6">
              <w:rPr>
                <w:rFonts w:asciiTheme="majorHAnsi" w:eastAsia="Times New Roman" w:hAnsiTheme="majorHAnsi" w:cstheme="majorHAnsi"/>
                <w:b w:val="0"/>
                <w:bCs w:val="0"/>
                <w:sz w:val="20"/>
                <w:szCs w:val="20"/>
                <w:shd w:val="clear" w:color="auto" w:fill="FFFFFF"/>
                <w:vertAlign w:val="superscript"/>
              </w:rPr>
              <w:footnoteReference w:id="149"/>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 xml:space="preserve">1542 </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 xml:space="preserve">1927 </w:t>
            </w:r>
          </w:p>
        </w:tc>
        <w:tc>
          <w:tcPr>
            <w:tcW w:w="800" w:type="dxa"/>
            <w:tcBorders>
              <w:top w:val="single" w:sz="4" w:space="0" w:color="auto"/>
              <w:left w:val="single" w:sz="4" w:space="0" w:color="auto"/>
              <w:bottom w:val="single" w:sz="4" w:space="0" w:color="auto"/>
              <w:right w:val="single" w:sz="4" w:space="0" w:color="auto"/>
            </w:tcBorders>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1368</w:t>
            </w:r>
          </w:p>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885</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467</w:t>
            </w:r>
          </w:p>
        </w:tc>
        <w:tc>
          <w:tcPr>
            <w:tcW w:w="675" w:type="dxa"/>
            <w:tcBorders>
              <w:top w:val="single" w:sz="4" w:space="0" w:color="auto"/>
              <w:left w:val="single" w:sz="4" w:space="0" w:color="auto"/>
              <w:bottom w:val="single" w:sz="4" w:space="0" w:color="auto"/>
              <w:right w:val="single" w:sz="4" w:space="0" w:color="auto"/>
            </w:tcBorders>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553</w:t>
            </w:r>
          </w:p>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476</w:t>
            </w:r>
          </w:p>
        </w:tc>
        <w:tc>
          <w:tcPr>
            <w:tcW w:w="804"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471</w:t>
            </w:r>
          </w:p>
        </w:tc>
      </w:tr>
      <w:tr w:rsidR="004B6B06" w:rsidRPr="00CB30D6" w:rsidTr="00222322">
        <w:trPr>
          <w:trHeight w:val="321"/>
        </w:trPr>
        <w:tc>
          <w:tcPr>
            <w:tcW w:w="53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9</w:t>
            </w:r>
          </w:p>
        </w:tc>
        <w:tc>
          <w:tcPr>
            <w:tcW w:w="2051"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 xml:space="preserve">Prescripțiile înaintate în </w:t>
            </w:r>
            <w:r w:rsidR="00005C8C" w:rsidRPr="00CB30D6">
              <w:rPr>
                <w:rFonts w:asciiTheme="majorHAnsi" w:eastAsia="Times New Roman" w:hAnsiTheme="majorHAnsi" w:cstheme="majorHAnsi"/>
                <w:b w:val="0"/>
                <w:bCs w:val="0"/>
                <w:sz w:val="20"/>
                <w:szCs w:val="20"/>
                <w:shd w:val="clear" w:color="auto" w:fill="FFFFFF"/>
              </w:rPr>
              <w:t xml:space="preserve">urma </w:t>
            </w:r>
            <w:r w:rsidRPr="00CB30D6">
              <w:rPr>
                <w:rFonts w:asciiTheme="majorHAnsi" w:eastAsia="Times New Roman" w:hAnsiTheme="majorHAnsi" w:cstheme="majorHAnsi"/>
                <w:b w:val="0"/>
                <w:bCs w:val="0"/>
                <w:sz w:val="20"/>
                <w:szCs w:val="20"/>
                <w:shd w:val="clear" w:color="auto" w:fill="FFFFFF"/>
              </w:rPr>
              <w:t>controalelor planificate/inopinate (nr.)</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n/a</w:t>
            </w:r>
          </w:p>
        </w:tc>
        <w:tc>
          <w:tcPr>
            <w:tcW w:w="1318"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n/a</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2504</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758</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596</w:t>
            </w:r>
          </w:p>
        </w:tc>
        <w:tc>
          <w:tcPr>
            <w:tcW w:w="675"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719</w:t>
            </w:r>
          </w:p>
        </w:tc>
        <w:tc>
          <w:tcPr>
            <w:tcW w:w="800"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362</w:t>
            </w:r>
          </w:p>
        </w:tc>
        <w:tc>
          <w:tcPr>
            <w:tcW w:w="804" w:type="dxa"/>
            <w:tcBorders>
              <w:top w:val="single" w:sz="4" w:space="0" w:color="auto"/>
              <w:left w:val="single" w:sz="4" w:space="0" w:color="auto"/>
              <w:bottom w:val="single" w:sz="4" w:space="0" w:color="auto"/>
              <w:right w:val="single" w:sz="4" w:space="0" w:color="auto"/>
            </w:tcBorders>
            <w:hideMark/>
          </w:tcPr>
          <w:p w:rsidR="004B6B06" w:rsidRPr="00CB30D6" w:rsidRDefault="004B6B06" w:rsidP="00BD559D">
            <w:pPr>
              <w:jc w:val="both"/>
              <w:rPr>
                <w:rFonts w:asciiTheme="majorHAnsi" w:eastAsia="Times New Roman" w:hAnsiTheme="majorHAnsi" w:cstheme="majorHAnsi"/>
                <w:b w:val="0"/>
                <w:bCs w:val="0"/>
                <w:sz w:val="20"/>
                <w:szCs w:val="20"/>
                <w:shd w:val="clear" w:color="auto" w:fill="FFFFFF"/>
              </w:rPr>
            </w:pPr>
            <w:r w:rsidRPr="00CB30D6">
              <w:rPr>
                <w:rFonts w:asciiTheme="majorHAnsi" w:eastAsia="Times New Roman" w:hAnsiTheme="majorHAnsi" w:cstheme="majorHAnsi"/>
                <w:b w:val="0"/>
                <w:bCs w:val="0"/>
                <w:sz w:val="20"/>
                <w:szCs w:val="20"/>
                <w:shd w:val="clear" w:color="auto" w:fill="FFFFFF"/>
              </w:rPr>
              <w:t>583</w:t>
            </w:r>
          </w:p>
        </w:tc>
      </w:tr>
      <w:tr w:rsidR="00072432" w:rsidRPr="00CB30D6" w:rsidTr="00222322">
        <w:trPr>
          <w:trHeight w:val="321"/>
        </w:trPr>
        <w:tc>
          <w:tcPr>
            <w:tcW w:w="9773" w:type="dxa"/>
            <w:gridSpan w:val="10"/>
            <w:tcBorders>
              <w:top w:val="single" w:sz="4" w:space="0" w:color="auto"/>
              <w:left w:val="nil"/>
              <w:bottom w:val="nil"/>
              <w:right w:val="nil"/>
            </w:tcBorders>
          </w:tcPr>
          <w:p w:rsidR="00072432" w:rsidRPr="00CB30D6" w:rsidRDefault="00072432" w:rsidP="00BD559D">
            <w:pPr>
              <w:shd w:val="clear" w:color="auto" w:fill="FFFFFF"/>
              <w:jc w:val="both"/>
              <w:rPr>
                <w:rFonts w:asciiTheme="majorHAnsi" w:eastAsia="Times New Roman" w:hAnsiTheme="majorHAnsi" w:cstheme="majorHAnsi"/>
                <w:b w:val="0"/>
                <w:bCs w:val="0"/>
                <w:i/>
                <w:sz w:val="20"/>
                <w:szCs w:val="20"/>
                <w:shd w:val="clear" w:color="auto" w:fill="FFFFFF"/>
              </w:rPr>
            </w:pPr>
            <w:r w:rsidRPr="00CB30D6">
              <w:rPr>
                <w:rFonts w:asciiTheme="majorHAnsi" w:eastAsia="Times New Roman" w:hAnsiTheme="majorHAnsi" w:cstheme="majorHAnsi"/>
                <w:i/>
                <w:sz w:val="20"/>
                <w:szCs w:val="20"/>
                <w:shd w:val="clear" w:color="auto" w:fill="FFFFFF"/>
              </w:rPr>
              <w:t>Sursa:</w:t>
            </w:r>
            <w:r w:rsidRPr="00CB30D6">
              <w:rPr>
                <w:rFonts w:asciiTheme="majorHAnsi" w:eastAsia="Times New Roman" w:hAnsiTheme="majorHAnsi" w:cstheme="majorHAnsi"/>
                <w:b w:val="0"/>
                <w:bCs w:val="0"/>
                <w:i/>
                <w:sz w:val="20"/>
                <w:szCs w:val="20"/>
                <w:shd w:val="clear" w:color="auto" w:fill="FFFFFF"/>
              </w:rPr>
              <w:t xml:space="preserve"> Date</w:t>
            </w:r>
            <w:r w:rsidR="00005C8C" w:rsidRPr="00CB30D6">
              <w:rPr>
                <w:rFonts w:asciiTheme="majorHAnsi" w:eastAsia="Times New Roman" w:hAnsiTheme="majorHAnsi" w:cstheme="majorHAnsi"/>
                <w:b w:val="0"/>
                <w:bCs w:val="0"/>
                <w:i/>
                <w:sz w:val="20"/>
                <w:szCs w:val="20"/>
                <w:shd w:val="clear" w:color="auto" w:fill="FFFFFF"/>
              </w:rPr>
              <w:t xml:space="preserve"> oferite d</w:t>
            </w:r>
            <w:r w:rsidRPr="00CB30D6">
              <w:rPr>
                <w:rFonts w:asciiTheme="majorHAnsi" w:eastAsia="Times New Roman" w:hAnsiTheme="majorHAnsi" w:cstheme="majorHAnsi"/>
                <w:b w:val="0"/>
                <w:bCs w:val="0"/>
                <w:i/>
                <w:sz w:val="20"/>
                <w:szCs w:val="20"/>
                <w:shd w:val="clear" w:color="auto" w:fill="FFFFFF"/>
              </w:rPr>
              <w:t>e IPM.</w:t>
            </w:r>
          </w:p>
        </w:tc>
      </w:tr>
    </w:tbl>
    <w:p w:rsidR="004B6B06" w:rsidRPr="008376FC" w:rsidRDefault="004B6B06"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 xml:space="preserve">Totodată, contrapunerea datelor privind numărul </w:t>
      </w:r>
      <w:r w:rsidR="00005C8C">
        <w:rPr>
          <w:rFonts w:asciiTheme="majorHAnsi" w:eastAsia="Times New Roman" w:hAnsiTheme="majorHAnsi" w:cstheme="majorHAnsi"/>
          <w:b w:val="0"/>
          <w:bCs w:val="0"/>
          <w:sz w:val="24"/>
          <w:szCs w:val="24"/>
          <w:shd w:val="clear" w:color="auto" w:fill="FFFFFF"/>
        </w:rPr>
        <w:t>proceselor-verbale</w:t>
      </w:r>
      <w:r w:rsidR="00005C8C" w:rsidRPr="008376FC">
        <w:rPr>
          <w:rFonts w:asciiTheme="majorHAnsi" w:eastAsia="Times New Roman" w:hAnsiTheme="majorHAnsi" w:cstheme="majorHAnsi"/>
          <w:b w:val="0"/>
          <w:bCs w:val="0"/>
          <w:sz w:val="24"/>
          <w:szCs w:val="24"/>
          <w:shd w:val="clear" w:color="auto" w:fill="FFFFFF"/>
        </w:rPr>
        <w:t xml:space="preserve"> </w:t>
      </w:r>
      <w:r w:rsidRPr="008376FC">
        <w:rPr>
          <w:rFonts w:asciiTheme="majorHAnsi" w:eastAsia="Times New Roman" w:hAnsiTheme="majorHAnsi" w:cstheme="majorHAnsi"/>
          <w:b w:val="0"/>
          <w:bCs w:val="0"/>
          <w:sz w:val="24"/>
          <w:szCs w:val="24"/>
          <w:shd w:val="clear" w:color="auto" w:fill="FFFFFF"/>
        </w:rPr>
        <w:t>privind contravențiile, aferente domeniului apelor, din anuarul IPM (pe articole separat) cu cele prezentate de IPM prin solicitare (date generale aferente domeniului ap</w:t>
      </w:r>
      <w:r w:rsidR="00357714">
        <w:rPr>
          <w:rFonts w:asciiTheme="majorHAnsi" w:eastAsia="Times New Roman" w:hAnsiTheme="majorHAnsi" w:cstheme="majorHAnsi"/>
          <w:b w:val="0"/>
          <w:bCs w:val="0"/>
          <w:sz w:val="24"/>
          <w:szCs w:val="24"/>
          <w:shd w:val="clear" w:color="auto" w:fill="FFFFFF"/>
        </w:rPr>
        <w:t>elor</w:t>
      </w:r>
      <w:r w:rsidRPr="008376FC">
        <w:rPr>
          <w:rFonts w:asciiTheme="majorHAnsi" w:eastAsia="Times New Roman" w:hAnsiTheme="majorHAnsi" w:cstheme="majorHAnsi"/>
          <w:b w:val="0"/>
          <w:bCs w:val="0"/>
          <w:sz w:val="24"/>
          <w:szCs w:val="24"/>
          <w:shd w:val="clear" w:color="auto" w:fill="FFFFFF"/>
        </w:rPr>
        <w:t>)</w:t>
      </w:r>
      <w:r w:rsidR="00357714">
        <w:rPr>
          <w:rFonts w:asciiTheme="majorHAnsi" w:eastAsia="Times New Roman" w:hAnsiTheme="majorHAnsi" w:cstheme="majorHAnsi"/>
          <w:b w:val="0"/>
          <w:bCs w:val="0"/>
          <w:sz w:val="24"/>
          <w:szCs w:val="24"/>
          <w:shd w:val="clear" w:color="auto" w:fill="FFFFFF"/>
        </w:rPr>
        <w:t xml:space="preserve"> denotă</w:t>
      </w:r>
      <w:r w:rsidRPr="008376FC">
        <w:rPr>
          <w:rFonts w:asciiTheme="majorHAnsi" w:eastAsia="Times New Roman" w:hAnsiTheme="majorHAnsi" w:cstheme="majorHAnsi"/>
          <w:b w:val="0"/>
          <w:bCs w:val="0"/>
          <w:sz w:val="24"/>
          <w:szCs w:val="24"/>
          <w:shd w:val="clear" w:color="auto" w:fill="FFFFFF"/>
        </w:rPr>
        <w:t xml:space="preserve"> că numărul </w:t>
      </w:r>
      <w:r w:rsidR="00357714">
        <w:rPr>
          <w:rFonts w:asciiTheme="majorHAnsi" w:eastAsia="Times New Roman" w:hAnsiTheme="majorHAnsi" w:cstheme="majorHAnsi"/>
          <w:b w:val="0"/>
          <w:bCs w:val="0"/>
          <w:sz w:val="24"/>
          <w:szCs w:val="24"/>
          <w:shd w:val="clear" w:color="auto" w:fill="FFFFFF"/>
        </w:rPr>
        <w:t>proceselor-verbale</w:t>
      </w:r>
      <w:r w:rsidRPr="008376FC">
        <w:rPr>
          <w:rFonts w:asciiTheme="majorHAnsi" w:eastAsia="Times New Roman" w:hAnsiTheme="majorHAnsi" w:cstheme="majorHAnsi"/>
          <w:b w:val="0"/>
          <w:bCs w:val="0"/>
          <w:sz w:val="24"/>
          <w:szCs w:val="24"/>
          <w:shd w:val="clear" w:color="auto" w:fill="FFFFFF"/>
        </w:rPr>
        <w:t xml:space="preserve"> privind contravențiile</w:t>
      </w:r>
      <w:r w:rsidR="00357714">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prezentat pe anii 2019-2020 pentru articolele 109, 110, 111, 112, 113</w:t>
      </w:r>
      <w:r w:rsidR="00357714">
        <w:rPr>
          <w:rFonts w:asciiTheme="majorHAnsi" w:eastAsia="Times New Roman" w:hAnsiTheme="majorHAnsi" w:cstheme="majorHAnsi"/>
          <w:b w:val="0"/>
          <w:bCs w:val="0"/>
          <w:sz w:val="24"/>
          <w:szCs w:val="24"/>
          <w:shd w:val="clear" w:color="auto" w:fill="FFFFFF"/>
        </w:rPr>
        <w:t xml:space="preserve"> și</w:t>
      </w:r>
      <w:r w:rsidRPr="008376FC">
        <w:rPr>
          <w:rFonts w:asciiTheme="majorHAnsi" w:eastAsia="Times New Roman" w:hAnsiTheme="majorHAnsi" w:cstheme="majorHAnsi"/>
          <w:b w:val="0"/>
          <w:bCs w:val="0"/>
          <w:sz w:val="24"/>
          <w:szCs w:val="24"/>
          <w:shd w:val="clear" w:color="auto" w:fill="FFFFFF"/>
        </w:rPr>
        <w:t xml:space="preserve"> 146 din Cod</w:t>
      </w:r>
      <w:r w:rsidR="00357714">
        <w:rPr>
          <w:rFonts w:asciiTheme="majorHAnsi" w:eastAsia="Times New Roman" w:hAnsiTheme="majorHAnsi" w:cstheme="majorHAnsi"/>
          <w:b w:val="0"/>
          <w:bCs w:val="0"/>
          <w:sz w:val="24"/>
          <w:szCs w:val="24"/>
          <w:shd w:val="clear" w:color="auto" w:fill="FFFFFF"/>
        </w:rPr>
        <w:t>ul</w:t>
      </w:r>
      <w:r w:rsidRPr="008376FC">
        <w:rPr>
          <w:rFonts w:asciiTheme="majorHAnsi" w:eastAsia="Times New Roman" w:hAnsiTheme="majorHAnsi" w:cstheme="majorHAnsi"/>
          <w:b w:val="0"/>
          <w:bCs w:val="0"/>
          <w:sz w:val="24"/>
          <w:szCs w:val="24"/>
          <w:shd w:val="clear" w:color="auto" w:fill="FFFFFF"/>
        </w:rPr>
        <w:t xml:space="preserve"> </w:t>
      </w:r>
      <w:r w:rsidR="00357714">
        <w:rPr>
          <w:rFonts w:asciiTheme="majorHAnsi" w:eastAsia="Times New Roman" w:hAnsiTheme="majorHAnsi" w:cstheme="majorHAnsi"/>
          <w:b w:val="0"/>
          <w:bCs w:val="0"/>
          <w:sz w:val="24"/>
          <w:szCs w:val="24"/>
          <w:shd w:val="clear" w:color="auto" w:fill="FFFFFF"/>
        </w:rPr>
        <w:t>c</w:t>
      </w:r>
      <w:r w:rsidRPr="008376FC">
        <w:rPr>
          <w:rFonts w:asciiTheme="majorHAnsi" w:eastAsia="Times New Roman" w:hAnsiTheme="majorHAnsi" w:cstheme="majorHAnsi"/>
          <w:b w:val="0"/>
          <w:bCs w:val="0"/>
          <w:sz w:val="24"/>
          <w:szCs w:val="24"/>
          <w:shd w:val="clear" w:color="auto" w:fill="FFFFFF"/>
        </w:rPr>
        <w:t>ontravențional</w:t>
      </w:r>
      <w:r w:rsidR="00357714">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este mai mare cu 52 și</w:t>
      </w:r>
      <w:r w:rsidR="00357714">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respectiv</w:t>
      </w:r>
      <w:r w:rsidR="00357714">
        <w:rPr>
          <w:rFonts w:asciiTheme="majorHAnsi" w:eastAsia="Times New Roman" w:hAnsiTheme="majorHAnsi" w:cstheme="majorHAnsi"/>
          <w:b w:val="0"/>
          <w:bCs w:val="0"/>
          <w:sz w:val="24"/>
          <w:szCs w:val="24"/>
          <w:shd w:val="clear" w:color="auto" w:fill="FFFFFF"/>
        </w:rPr>
        <w:t>, cu</w:t>
      </w:r>
      <w:r w:rsidRPr="008376FC">
        <w:rPr>
          <w:rFonts w:asciiTheme="majorHAnsi" w:eastAsia="Times New Roman" w:hAnsiTheme="majorHAnsi" w:cstheme="majorHAnsi"/>
          <w:b w:val="0"/>
          <w:bCs w:val="0"/>
          <w:sz w:val="24"/>
          <w:szCs w:val="24"/>
          <w:shd w:val="clear" w:color="auto" w:fill="FFFFFF"/>
        </w:rPr>
        <w:t xml:space="preserve"> 72 de </w:t>
      </w:r>
      <w:r w:rsidR="00357714">
        <w:rPr>
          <w:rFonts w:asciiTheme="majorHAnsi" w:eastAsia="Times New Roman" w:hAnsiTheme="majorHAnsi" w:cstheme="majorHAnsi"/>
          <w:b w:val="0"/>
          <w:bCs w:val="0"/>
          <w:sz w:val="24"/>
          <w:szCs w:val="24"/>
          <w:shd w:val="clear" w:color="auto" w:fill="FFFFFF"/>
        </w:rPr>
        <w:t>procese-verbale</w:t>
      </w:r>
      <w:r w:rsidRPr="008376FC">
        <w:rPr>
          <w:rFonts w:asciiTheme="majorHAnsi" w:eastAsia="Times New Roman" w:hAnsiTheme="majorHAnsi" w:cstheme="majorHAnsi"/>
          <w:b w:val="0"/>
          <w:bCs w:val="0"/>
          <w:sz w:val="24"/>
          <w:szCs w:val="24"/>
          <w:shd w:val="clear" w:color="auto" w:fill="FFFFFF"/>
        </w:rPr>
        <w:t xml:space="preserve"> decât cel sintetizat din anuare pentru articolele de contravenții 109, 110, 111, 112, 113, 146, 149 </w:t>
      </w:r>
      <w:r w:rsidR="00357714">
        <w:rPr>
          <w:rFonts w:asciiTheme="majorHAnsi" w:eastAsia="Times New Roman" w:hAnsiTheme="majorHAnsi" w:cstheme="majorHAnsi"/>
          <w:b w:val="0"/>
          <w:bCs w:val="0"/>
          <w:sz w:val="24"/>
          <w:szCs w:val="24"/>
          <w:shd w:val="clear" w:color="auto" w:fill="FFFFFF"/>
        </w:rPr>
        <w:t>ș</w:t>
      </w:r>
      <w:r w:rsidRPr="008376FC">
        <w:rPr>
          <w:rFonts w:asciiTheme="majorHAnsi" w:eastAsia="Times New Roman" w:hAnsiTheme="majorHAnsi" w:cstheme="majorHAnsi"/>
          <w:b w:val="0"/>
          <w:bCs w:val="0"/>
          <w:sz w:val="24"/>
          <w:szCs w:val="24"/>
          <w:shd w:val="clear" w:color="auto" w:fill="FFFFFF"/>
        </w:rPr>
        <w:t>i 156. Informați</w:t>
      </w:r>
      <w:r w:rsidR="00357714">
        <w:rPr>
          <w:rFonts w:asciiTheme="majorHAnsi" w:eastAsia="Times New Roman" w:hAnsiTheme="majorHAnsi" w:cstheme="majorHAnsi"/>
          <w:b w:val="0"/>
          <w:bCs w:val="0"/>
          <w:sz w:val="24"/>
          <w:szCs w:val="24"/>
          <w:shd w:val="clear" w:color="auto" w:fill="FFFFFF"/>
        </w:rPr>
        <w:t>i</w:t>
      </w:r>
      <w:r w:rsidRPr="008376FC">
        <w:rPr>
          <w:rFonts w:asciiTheme="majorHAnsi" w:eastAsia="Times New Roman" w:hAnsiTheme="majorHAnsi" w:cstheme="majorHAnsi"/>
          <w:b w:val="0"/>
          <w:bCs w:val="0"/>
          <w:sz w:val="24"/>
          <w:szCs w:val="24"/>
          <w:shd w:val="clear" w:color="auto" w:fill="FFFFFF"/>
        </w:rPr>
        <w:t xml:space="preserve"> privind numărul </w:t>
      </w:r>
      <w:r w:rsidR="00357714">
        <w:rPr>
          <w:rFonts w:asciiTheme="majorHAnsi" w:eastAsia="Times New Roman" w:hAnsiTheme="majorHAnsi" w:cstheme="majorHAnsi"/>
          <w:b w:val="0"/>
          <w:bCs w:val="0"/>
          <w:sz w:val="24"/>
          <w:szCs w:val="24"/>
          <w:shd w:val="clear" w:color="auto" w:fill="FFFFFF"/>
        </w:rPr>
        <w:t>proceselor-verbale</w:t>
      </w:r>
      <w:r w:rsidRPr="008376FC">
        <w:rPr>
          <w:rFonts w:asciiTheme="majorHAnsi" w:eastAsia="Times New Roman" w:hAnsiTheme="majorHAnsi" w:cstheme="majorHAnsi"/>
          <w:b w:val="0"/>
          <w:bCs w:val="0"/>
          <w:sz w:val="24"/>
          <w:szCs w:val="24"/>
          <w:shd w:val="clear" w:color="auto" w:fill="FFFFFF"/>
        </w:rPr>
        <w:t xml:space="preserve"> întocmite în cadrul controalelor efectuate de IPM în domeniul apelor, la nivel de articole din Cod</w:t>
      </w:r>
      <w:r w:rsidR="00357714">
        <w:rPr>
          <w:rFonts w:asciiTheme="majorHAnsi" w:eastAsia="Times New Roman" w:hAnsiTheme="majorHAnsi" w:cstheme="majorHAnsi"/>
          <w:b w:val="0"/>
          <w:bCs w:val="0"/>
          <w:sz w:val="24"/>
          <w:szCs w:val="24"/>
          <w:shd w:val="clear" w:color="auto" w:fill="FFFFFF"/>
        </w:rPr>
        <w:t>ul</w:t>
      </w:r>
      <w:r w:rsidRPr="008376FC">
        <w:rPr>
          <w:rFonts w:asciiTheme="majorHAnsi" w:eastAsia="Times New Roman" w:hAnsiTheme="majorHAnsi" w:cstheme="majorHAnsi"/>
          <w:b w:val="0"/>
          <w:bCs w:val="0"/>
          <w:sz w:val="24"/>
          <w:szCs w:val="24"/>
          <w:shd w:val="clear" w:color="auto" w:fill="FFFFFF"/>
        </w:rPr>
        <w:t xml:space="preserve"> contravențional</w:t>
      </w:r>
      <w:r w:rsidR="00357714">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se prezintă în Anex</w:t>
      </w:r>
      <w:r w:rsidR="00357714">
        <w:rPr>
          <w:rFonts w:asciiTheme="majorHAnsi" w:eastAsia="Times New Roman" w:hAnsiTheme="majorHAnsi" w:cstheme="majorHAnsi"/>
          <w:b w:val="0"/>
          <w:bCs w:val="0"/>
          <w:sz w:val="24"/>
          <w:szCs w:val="24"/>
          <w:shd w:val="clear" w:color="auto" w:fill="FFFFFF"/>
        </w:rPr>
        <w:t>a</w:t>
      </w:r>
      <w:r w:rsidRPr="008376FC">
        <w:rPr>
          <w:rFonts w:asciiTheme="majorHAnsi" w:eastAsia="Times New Roman" w:hAnsiTheme="majorHAnsi" w:cstheme="majorHAnsi"/>
          <w:b w:val="0"/>
          <w:bCs w:val="0"/>
          <w:sz w:val="24"/>
          <w:szCs w:val="24"/>
          <w:shd w:val="clear" w:color="auto" w:fill="FFFFFF"/>
        </w:rPr>
        <w:t xml:space="preserve"> nr. </w:t>
      </w:r>
      <w:r w:rsidR="00426904" w:rsidRPr="008376FC">
        <w:rPr>
          <w:rFonts w:asciiTheme="majorHAnsi" w:eastAsia="Times New Roman" w:hAnsiTheme="majorHAnsi" w:cstheme="majorHAnsi"/>
          <w:b w:val="0"/>
          <w:bCs w:val="0"/>
          <w:sz w:val="24"/>
          <w:szCs w:val="24"/>
          <w:shd w:val="clear" w:color="auto" w:fill="FFFFFF"/>
        </w:rPr>
        <w:t>1</w:t>
      </w:r>
      <w:r w:rsidR="000055B2" w:rsidRPr="008376FC">
        <w:rPr>
          <w:rFonts w:asciiTheme="majorHAnsi" w:eastAsia="Times New Roman" w:hAnsiTheme="majorHAnsi" w:cstheme="majorHAnsi"/>
          <w:b w:val="0"/>
          <w:bCs w:val="0"/>
          <w:sz w:val="24"/>
          <w:szCs w:val="24"/>
          <w:shd w:val="clear" w:color="auto" w:fill="FFFFFF"/>
        </w:rPr>
        <w:t>2</w:t>
      </w:r>
      <w:r w:rsidRPr="008376FC">
        <w:rPr>
          <w:rFonts w:asciiTheme="majorHAnsi" w:eastAsia="Times New Roman" w:hAnsiTheme="majorHAnsi" w:cstheme="majorHAnsi"/>
          <w:b w:val="0"/>
          <w:bCs w:val="0"/>
          <w:sz w:val="24"/>
          <w:szCs w:val="24"/>
          <w:shd w:val="clear" w:color="auto" w:fill="FFFFFF"/>
        </w:rPr>
        <w:t xml:space="preserve"> la prezentul Raport de audit.</w:t>
      </w:r>
    </w:p>
    <w:p w:rsidR="004B6B06" w:rsidRDefault="004B6B06"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Pentru a exclude pe viitor astfel de divergențe, este necesar de sporit controalele</w:t>
      </w:r>
      <w:r w:rsidR="00357714">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cheie interne asupra datelor prezentate de subdiviziuni</w:t>
      </w:r>
      <w:r w:rsidR="00357714">
        <w:rPr>
          <w:rFonts w:asciiTheme="majorHAnsi" w:eastAsia="Times New Roman" w:hAnsiTheme="majorHAnsi" w:cstheme="majorHAnsi"/>
          <w:b w:val="0"/>
          <w:bCs w:val="0"/>
          <w:sz w:val="24"/>
          <w:szCs w:val="24"/>
          <w:shd w:val="clear" w:color="auto" w:fill="FFFFFF"/>
        </w:rPr>
        <w:t>le</w:t>
      </w:r>
      <w:r w:rsidRPr="008376FC">
        <w:rPr>
          <w:rFonts w:asciiTheme="majorHAnsi" w:eastAsia="Times New Roman" w:hAnsiTheme="majorHAnsi" w:cstheme="majorHAnsi"/>
          <w:b w:val="0"/>
          <w:bCs w:val="0"/>
          <w:sz w:val="24"/>
          <w:szCs w:val="24"/>
          <w:shd w:val="clear" w:color="auto" w:fill="FFFFFF"/>
        </w:rPr>
        <w:t xml:space="preserve"> structurale din cadrul IPM</w:t>
      </w:r>
      <w:r w:rsidR="00357714">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w:t>
      </w:r>
      <w:r w:rsidR="005A2381">
        <w:rPr>
          <w:rFonts w:asciiTheme="majorHAnsi" w:eastAsia="Times New Roman" w:hAnsiTheme="majorHAnsi" w:cstheme="majorHAnsi"/>
          <w:b w:val="0"/>
          <w:bCs w:val="0"/>
          <w:sz w:val="24"/>
          <w:szCs w:val="24"/>
          <w:shd w:val="clear" w:color="auto" w:fill="FFFFFF"/>
        </w:rPr>
        <w:t>precum</w:t>
      </w:r>
      <w:r w:rsidRPr="008376FC">
        <w:rPr>
          <w:rFonts w:asciiTheme="majorHAnsi" w:eastAsia="Times New Roman" w:hAnsiTheme="majorHAnsi" w:cstheme="majorHAnsi"/>
          <w:b w:val="0"/>
          <w:bCs w:val="0"/>
          <w:sz w:val="24"/>
          <w:szCs w:val="24"/>
          <w:shd w:val="clear" w:color="auto" w:fill="FFFFFF"/>
        </w:rPr>
        <w:t xml:space="preserve"> și organizarea unui control mai riguros în cadrul IPM asupra acestor indicatori.</w:t>
      </w:r>
    </w:p>
    <w:p w:rsidR="00BD559D" w:rsidRPr="008376FC" w:rsidRDefault="00BD559D"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p>
    <w:p w:rsidR="00072432" w:rsidRPr="008376FC" w:rsidRDefault="004B6B06" w:rsidP="00F61756">
      <w:pPr>
        <w:pStyle w:val="a3"/>
        <w:numPr>
          <w:ilvl w:val="2"/>
          <w:numId w:val="45"/>
        </w:numPr>
        <w:shd w:val="clear" w:color="auto" w:fill="FFFFFF"/>
        <w:spacing w:before="120" w:line="276" w:lineRule="auto"/>
        <w:ind w:left="0" w:firstLine="0"/>
        <w:jc w:val="both"/>
        <w:rPr>
          <w:rFonts w:asciiTheme="majorHAnsi" w:hAnsiTheme="majorHAnsi" w:cstheme="majorHAnsi"/>
          <w:b/>
          <w:color w:val="0070C0"/>
          <w:shd w:val="clear" w:color="auto" w:fill="FFFFFF"/>
          <w:lang w:val="en-US"/>
        </w:rPr>
      </w:pPr>
      <w:r w:rsidRPr="008376FC">
        <w:rPr>
          <w:rFonts w:asciiTheme="majorHAnsi" w:hAnsiTheme="majorHAnsi" w:cstheme="majorHAnsi"/>
          <w:b/>
          <w:color w:val="0070C0"/>
          <w:shd w:val="clear" w:color="auto" w:fill="FFFFFF"/>
          <w:lang w:val="en-US"/>
        </w:rPr>
        <w:t>IPM nu deține informați</w:t>
      </w:r>
      <w:r w:rsidR="005A2381">
        <w:rPr>
          <w:rFonts w:asciiTheme="majorHAnsi" w:hAnsiTheme="majorHAnsi" w:cstheme="majorHAnsi"/>
          <w:b/>
          <w:color w:val="0070C0"/>
          <w:shd w:val="clear" w:color="auto" w:fill="FFFFFF"/>
          <w:lang w:val="en-US"/>
        </w:rPr>
        <w:t>i</w:t>
      </w:r>
      <w:r w:rsidRPr="008376FC">
        <w:rPr>
          <w:rFonts w:asciiTheme="majorHAnsi" w:hAnsiTheme="majorHAnsi" w:cstheme="majorHAnsi"/>
          <w:b/>
          <w:color w:val="0070C0"/>
          <w:shd w:val="clear" w:color="auto" w:fill="FFFFFF"/>
          <w:lang w:val="en-US"/>
        </w:rPr>
        <w:t xml:space="preserve"> ampl</w:t>
      </w:r>
      <w:r w:rsidR="005A2381">
        <w:rPr>
          <w:rFonts w:asciiTheme="majorHAnsi" w:hAnsiTheme="majorHAnsi" w:cstheme="majorHAnsi"/>
          <w:b/>
          <w:color w:val="0070C0"/>
          <w:shd w:val="clear" w:color="auto" w:fill="FFFFFF"/>
          <w:lang w:val="en-US"/>
        </w:rPr>
        <w:t>e</w:t>
      </w:r>
      <w:r w:rsidRPr="008376FC">
        <w:rPr>
          <w:rFonts w:asciiTheme="majorHAnsi" w:hAnsiTheme="majorHAnsi" w:cstheme="majorHAnsi"/>
          <w:b/>
          <w:color w:val="0070C0"/>
          <w:shd w:val="clear" w:color="auto" w:fill="FFFFFF"/>
          <w:lang w:val="en-US"/>
        </w:rPr>
        <w:t xml:space="preserve"> privi</w:t>
      </w:r>
      <w:r w:rsidR="005A2381">
        <w:rPr>
          <w:rFonts w:asciiTheme="majorHAnsi" w:hAnsiTheme="majorHAnsi" w:cstheme="majorHAnsi"/>
          <w:b/>
          <w:color w:val="0070C0"/>
          <w:shd w:val="clear" w:color="auto" w:fill="FFFFFF"/>
          <w:lang w:val="en-US"/>
        </w:rPr>
        <w:t>nd</w:t>
      </w:r>
      <w:r w:rsidRPr="008376FC">
        <w:rPr>
          <w:rFonts w:asciiTheme="majorHAnsi" w:hAnsiTheme="majorHAnsi" w:cstheme="majorHAnsi"/>
          <w:b/>
          <w:color w:val="0070C0"/>
          <w:shd w:val="clear" w:color="auto" w:fill="FFFFFF"/>
          <w:lang w:val="en-US"/>
        </w:rPr>
        <w:t xml:space="preserve"> valoarea obligațiunilor față de BS pentru plata amenzilor și prejudiciilor cauzate mediului</w:t>
      </w:r>
      <w:r w:rsidR="005A2381">
        <w:rPr>
          <w:rFonts w:asciiTheme="majorHAnsi" w:hAnsiTheme="majorHAnsi" w:cstheme="majorHAnsi"/>
          <w:b/>
          <w:color w:val="0070C0"/>
          <w:shd w:val="clear" w:color="auto" w:fill="FFFFFF"/>
          <w:lang w:val="en-US"/>
        </w:rPr>
        <w:t>.</w:t>
      </w:r>
    </w:p>
    <w:p w:rsidR="004B6B06" w:rsidRPr="008376FC" w:rsidRDefault="004B6B06"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 xml:space="preserve">În conformitate cu domeniile și funcțiile stabilite în cadrul regulator, în  </w:t>
      </w:r>
      <w:r w:rsidRPr="008376FC">
        <w:rPr>
          <w:rFonts w:asciiTheme="majorHAnsi" w:eastAsia="Times New Roman" w:hAnsiTheme="majorHAnsi" w:cstheme="majorHAnsi"/>
          <w:b w:val="0"/>
          <w:bCs w:val="0"/>
          <w:iCs/>
          <w:sz w:val="24"/>
          <w:szCs w:val="24"/>
        </w:rPr>
        <w:t>domeniul</w:t>
      </w:r>
      <w:r w:rsidRPr="008376FC">
        <w:rPr>
          <w:rFonts w:asciiTheme="majorHAnsi" w:eastAsia="Times New Roman" w:hAnsiTheme="majorHAnsi" w:cstheme="majorHAnsi"/>
          <w:b w:val="0"/>
          <w:bCs w:val="0"/>
          <w:sz w:val="24"/>
          <w:szCs w:val="24"/>
          <w:shd w:val="clear" w:color="auto" w:fill="FFFFFF"/>
        </w:rPr>
        <w:t xml:space="preserve"> </w:t>
      </w:r>
      <w:r w:rsidRPr="008376FC">
        <w:rPr>
          <w:rFonts w:asciiTheme="majorHAnsi" w:eastAsia="Times New Roman" w:hAnsiTheme="majorHAnsi" w:cstheme="majorHAnsi"/>
          <w:b w:val="0"/>
          <w:bCs w:val="0"/>
          <w:iCs/>
          <w:sz w:val="24"/>
          <w:szCs w:val="24"/>
        </w:rPr>
        <w:t xml:space="preserve">protecției resurselor acvatice, </w:t>
      </w:r>
      <w:r w:rsidRPr="008376FC">
        <w:rPr>
          <w:rFonts w:asciiTheme="majorHAnsi" w:eastAsia="Times New Roman" w:hAnsiTheme="majorHAnsi" w:cstheme="majorHAnsi"/>
          <w:b w:val="0"/>
          <w:bCs w:val="0"/>
          <w:sz w:val="24"/>
          <w:szCs w:val="24"/>
          <w:shd w:val="clear" w:color="auto" w:fill="FFFFFF"/>
        </w:rPr>
        <w:t>IPM realizează următoarele atribuții: (i) efectuează controlul privind conformitatea utilizării resurselor de apă, respectarea normelor de consum, utilizarea rațională și deținerea actelor permisive în domeniul gestionării apelor, (ii)  exercită controlul și monitorizează respectarea regimului special de gestionare a zonelor de protecție a corpurilor de apă, a construcțiilor hidrotehnice și de acumulare a resurselor de apă în vederea neadmiterii activităților ce vin în contradicție cu regimul zonelor respective, (iii) exercită controlul în vederea contracarării acțiunilor de introducere a poluanților de orice proveniență și caracteristici în corpurile de apă (în ansamblu), în terenurile fondului apelor sau în terenurile din care este posibilă scurgerea într-un corp de apă de suprafaţă sau corp de apă subterană, (iv) controlează modul de funcționare a stațiilor de epurare şi respectarea condiţiilor de calitate a apelor uzate evacuate, potrivit reglementărilor în vigoare, (v) exercită controlul privind respectarea condiţiilor de utilizare a resurselor de apă și de deversare a apelor uzate potrivit actelor permisive deținut</w:t>
      </w:r>
      <w:r w:rsidR="005A2381">
        <w:rPr>
          <w:rFonts w:asciiTheme="majorHAnsi" w:eastAsia="Times New Roman" w:hAnsiTheme="majorHAnsi" w:cstheme="majorHAnsi"/>
          <w:b w:val="0"/>
          <w:bCs w:val="0"/>
          <w:sz w:val="24"/>
          <w:szCs w:val="24"/>
          <w:shd w:val="clear" w:color="auto" w:fill="FFFFFF"/>
        </w:rPr>
        <w:t>e</w:t>
      </w:r>
      <w:r w:rsidRPr="008376FC">
        <w:rPr>
          <w:rFonts w:asciiTheme="majorHAnsi" w:eastAsia="Times New Roman" w:hAnsiTheme="majorHAnsi" w:cstheme="majorHAnsi"/>
          <w:b w:val="0"/>
          <w:bCs w:val="0"/>
          <w:sz w:val="24"/>
          <w:szCs w:val="24"/>
          <w:shd w:val="clear" w:color="auto" w:fill="FFFFFF"/>
        </w:rPr>
        <w:t>, (vi) în contextul supravegherii proprietății publice și a altor valori ocrotite de legislație, efectuează controale inopinate, în modul și limita prevăzut</w:t>
      </w:r>
      <w:r w:rsidR="005A2381">
        <w:rPr>
          <w:rFonts w:asciiTheme="majorHAnsi" w:eastAsia="Times New Roman" w:hAnsiTheme="majorHAnsi" w:cstheme="majorHAnsi"/>
          <w:b w:val="0"/>
          <w:bCs w:val="0"/>
          <w:sz w:val="24"/>
          <w:szCs w:val="24"/>
          <w:shd w:val="clear" w:color="auto" w:fill="FFFFFF"/>
        </w:rPr>
        <w:t>e</w:t>
      </w:r>
      <w:r w:rsidRPr="008376FC">
        <w:rPr>
          <w:rFonts w:asciiTheme="majorHAnsi" w:eastAsia="Times New Roman" w:hAnsiTheme="majorHAnsi" w:cstheme="majorHAnsi"/>
          <w:b w:val="0"/>
          <w:bCs w:val="0"/>
          <w:sz w:val="24"/>
          <w:szCs w:val="24"/>
          <w:shd w:val="clear" w:color="auto" w:fill="FFFFFF"/>
        </w:rPr>
        <w:t xml:space="preserve"> de lege, în vederea depistării și contracarării cazurilor de folosire inadecvată/neautorizată a resurselor de apă, deversărilor neautorizate a apelor uzate.</w:t>
      </w:r>
    </w:p>
    <w:p w:rsidR="004B6B06" w:rsidRPr="008376FC" w:rsidRDefault="004B6B06" w:rsidP="00F61756">
      <w:pPr>
        <w:shd w:val="clear" w:color="auto" w:fill="FFFFFF" w:themeFill="background1"/>
        <w:spacing w:before="120"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 xml:space="preserve">Reieșind din atribuțiile și competențele delegate, IPM a elaborat </w:t>
      </w:r>
      <w:r w:rsidR="0088398D" w:rsidRPr="008376FC">
        <w:rPr>
          <w:rFonts w:asciiTheme="majorHAnsi" w:eastAsia="Times New Roman" w:hAnsiTheme="majorHAnsi" w:cstheme="majorHAnsi"/>
          <w:b w:val="0"/>
          <w:bCs w:val="0"/>
          <w:sz w:val="24"/>
          <w:szCs w:val="24"/>
          <w:shd w:val="clear" w:color="auto" w:fill="FFFFFF"/>
        </w:rPr>
        <w:t xml:space="preserve">şi </w:t>
      </w:r>
      <w:r w:rsidR="005A2381">
        <w:rPr>
          <w:rFonts w:asciiTheme="majorHAnsi" w:eastAsia="Times New Roman" w:hAnsiTheme="majorHAnsi" w:cstheme="majorHAnsi"/>
          <w:b w:val="0"/>
          <w:bCs w:val="0"/>
          <w:sz w:val="24"/>
          <w:szCs w:val="24"/>
          <w:shd w:val="clear" w:color="auto" w:fill="FFFFFF"/>
        </w:rPr>
        <w:t xml:space="preserve">a </w:t>
      </w:r>
      <w:r w:rsidR="0088398D" w:rsidRPr="008376FC">
        <w:rPr>
          <w:rFonts w:asciiTheme="majorHAnsi" w:eastAsia="Times New Roman" w:hAnsiTheme="majorHAnsi" w:cstheme="majorHAnsi"/>
          <w:b w:val="0"/>
          <w:bCs w:val="0"/>
          <w:sz w:val="24"/>
          <w:szCs w:val="24"/>
          <w:shd w:val="clear" w:color="auto" w:fill="FFFFFF"/>
        </w:rPr>
        <w:t xml:space="preserve">aprobat, prin ordine interne, </w:t>
      </w:r>
      <w:r w:rsidRPr="008376FC">
        <w:rPr>
          <w:rFonts w:asciiTheme="majorHAnsi" w:eastAsia="Times New Roman" w:hAnsiTheme="majorHAnsi" w:cstheme="majorHAnsi"/>
          <w:b w:val="0"/>
          <w:bCs w:val="0"/>
          <w:sz w:val="24"/>
          <w:szCs w:val="24"/>
          <w:shd w:val="clear" w:color="auto" w:fill="FFFFFF"/>
        </w:rPr>
        <w:t>un sistem de indicatori de performanță în activitatea sa de control, care sunt revizuite anual. Colectarea și sistematizarea informaților în baza Listei de indicatori de performanță se efectuează lunar, trimestrial și anual de către Serviciul pentru procesare și sistematizare, ulterior fiind utilizate în cadrul întocmirii Anuarului IPM</w:t>
      </w:r>
      <w:r w:rsidRPr="008376FC">
        <w:rPr>
          <w:rFonts w:asciiTheme="majorHAnsi" w:eastAsia="Times New Roman" w:hAnsiTheme="majorHAnsi" w:cstheme="majorHAnsi"/>
          <w:b w:val="0"/>
          <w:bCs w:val="0"/>
          <w:sz w:val="24"/>
          <w:szCs w:val="24"/>
          <w:shd w:val="clear" w:color="auto" w:fill="FFFFFF"/>
          <w:vertAlign w:val="superscript"/>
        </w:rPr>
        <w:footnoteReference w:id="150"/>
      </w:r>
      <w:r w:rsidRPr="008376FC">
        <w:rPr>
          <w:rFonts w:asciiTheme="majorHAnsi" w:eastAsia="Times New Roman" w:hAnsiTheme="majorHAnsi" w:cstheme="majorHAnsi"/>
          <w:b w:val="0"/>
          <w:bCs w:val="0"/>
          <w:sz w:val="24"/>
          <w:szCs w:val="24"/>
          <w:shd w:val="clear" w:color="auto" w:fill="FFFFFF"/>
        </w:rPr>
        <w:t xml:space="preserve"> pentru fiecare an de gestiune. </w:t>
      </w:r>
    </w:p>
    <w:p w:rsidR="004B6B06" w:rsidRPr="008376FC" w:rsidRDefault="004B6B06" w:rsidP="00F61756">
      <w:pPr>
        <w:shd w:val="clear" w:color="auto" w:fill="FFFFFF" w:themeFill="background1"/>
        <w:spacing w:before="120"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 xml:space="preserve">Evidența analitică a sumelor calculate și achitate a amenzilor și prejudiciilor este ținută de subdiviziunile teritoriale, care au aplicat amenzile </w:t>
      </w:r>
      <w:r w:rsidR="005A2381">
        <w:rPr>
          <w:rFonts w:asciiTheme="majorHAnsi" w:eastAsia="Times New Roman" w:hAnsiTheme="majorHAnsi" w:cstheme="majorHAnsi"/>
          <w:b w:val="0"/>
          <w:bCs w:val="0"/>
          <w:sz w:val="24"/>
          <w:szCs w:val="24"/>
          <w:shd w:val="clear" w:color="auto" w:fill="FFFFFF"/>
        </w:rPr>
        <w:t>ș</w:t>
      </w:r>
      <w:r w:rsidRPr="008376FC">
        <w:rPr>
          <w:rFonts w:asciiTheme="majorHAnsi" w:eastAsia="Times New Roman" w:hAnsiTheme="majorHAnsi" w:cstheme="majorHAnsi"/>
          <w:b w:val="0"/>
          <w:bCs w:val="0"/>
          <w:sz w:val="24"/>
          <w:szCs w:val="24"/>
          <w:shd w:val="clear" w:color="auto" w:fill="FFFFFF"/>
        </w:rPr>
        <w:t xml:space="preserve">i au calculat prejudiciile respective. </w:t>
      </w:r>
    </w:p>
    <w:p w:rsidR="004B6B06" w:rsidRPr="008376FC" w:rsidRDefault="004B6B06" w:rsidP="00F61756">
      <w:pPr>
        <w:shd w:val="clear" w:color="auto" w:fill="FFFFFF" w:themeFill="background1"/>
        <w:spacing w:before="120"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Achitarea amenzii se confirmă prin prezentarea de către contravenient a dovezii privind achitarea  sancțiunii aplicate</w:t>
      </w:r>
      <w:r w:rsidR="005A2381">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w:t>
      </w:r>
      <w:r w:rsidR="005A2381">
        <w:rPr>
          <w:rFonts w:asciiTheme="majorHAnsi" w:eastAsia="Times New Roman" w:hAnsiTheme="majorHAnsi" w:cstheme="majorHAnsi"/>
          <w:b w:val="0"/>
          <w:bCs w:val="0"/>
          <w:sz w:val="24"/>
          <w:szCs w:val="24"/>
          <w:shd w:val="clear" w:color="auto" w:fill="FFFFFF"/>
        </w:rPr>
        <w:t>D</w:t>
      </w:r>
      <w:r w:rsidRPr="008376FC">
        <w:rPr>
          <w:rFonts w:asciiTheme="majorHAnsi" w:eastAsia="Times New Roman" w:hAnsiTheme="majorHAnsi" w:cstheme="majorHAnsi"/>
          <w:b w:val="0"/>
          <w:bCs w:val="0"/>
          <w:sz w:val="24"/>
          <w:szCs w:val="24"/>
          <w:shd w:val="clear" w:color="auto" w:fill="FFFFFF"/>
        </w:rPr>
        <w:t>upă achitarea amenzii</w:t>
      </w:r>
      <w:r w:rsidR="005A2381">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dosarul contravențional se consideră executat. În </w:t>
      </w:r>
      <w:r w:rsidR="005A2381">
        <w:rPr>
          <w:rFonts w:asciiTheme="majorHAnsi" w:eastAsia="Times New Roman" w:hAnsiTheme="majorHAnsi" w:cstheme="majorHAnsi"/>
          <w:b w:val="0"/>
          <w:bCs w:val="0"/>
          <w:sz w:val="24"/>
          <w:szCs w:val="24"/>
          <w:shd w:val="clear" w:color="auto" w:fill="FFFFFF"/>
        </w:rPr>
        <w:t>funcție</w:t>
      </w:r>
      <w:r w:rsidR="005A2381" w:rsidRPr="008376FC">
        <w:rPr>
          <w:rFonts w:asciiTheme="majorHAnsi" w:eastAsia="Times New Roman" w:hAnsiTheme="majorHAnsi" w:cstheme="majorHAnsi"/>
          <w:b w:val="0"/>
          <w:bCs w:val="0"/>
          <w:sz w:val="24"/>
          <w:szCs w:val="24"/>
          <w:shd w:val="clear" w:color="auto" w:fill="FFFFFF"/>
        </w:rPr>
        <w:t xml:space="preserve"> </w:t>
      </w:r>
      <w:r w:rsidRPr="008376FC">
        <w:rPr>
          <w:rFonts w:asciiTheme="majorHAnsi" w:eastAsia="Times New Roman" w:hAnsiTheme="majorHAnsi" w:cstheme="majorHAnsi"/>
          <w:b w:val="0"/>
          <w:bCs w:val="0"/>
          <w:sz w:val="24"/>
          <w:szCs w:val="24"/>
          <w:shd w:val="clear" w:color="auto" w:fill="FFFFFF"/>
        </w:rPr>
        <w:t xml:space="preserve">de modul și termenul de achitare (3 zile sau 30 de zile), suma amenzii neachitate se transmite spre executare silită executorilor judecătorești, iar monitorizarea este efectuată de fiecare agent constatator al subdiviziunii teritoriale respective.  </w:t>
      </w:r>
    </w:p>
    <w:p w:rsidR="004B6B06" w:rsidRPr="008376FC" w:rsidRDefault="004B6B06" w:rsidP="00F61756">
      <w:pPr>
        <w:shd w:val="clear" w:color="auto" w:fill="FFFFFF" w:themeFill="background1"/>
        <w:spacing w:before="12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 xml:space="preserve">Astfel, conform practicilor aplicate de IPM, responsabilitatea pentru monitorizarea încasării la buget a amenzilor și </w:t>
      </w:r>
      <w:r w:rsidR="005A2381">
        <w:rPr>
          <w:rFonts w:asciiTheme="majorHAnsi" w:eastAsia="Times New Roman" w:hAnsiTheme="majorHAnsi" w:cstheme="majorHAnsi"/>
          <w:b w:val="0"/>
          <w:bCs w:val="0"/>
          <w:sz w:val="24"/>
          <w:szCs w:val="24"/>
          <w:shd w:val="clear" w:color="auto" w:fill="FFFFFF"/>
        </w:rPr>
        <w:t xml:space="preserve">a </w:t>
      </w:r>
      <w:r w:rsidRPr="008376FC">
        <w:rPr>
          <w:rFonts w:asciiTheme="majorHAnsi" w:eastAsia="Times New Roman" w:hAnsiTheme="majorHAnsi" w:cstheme="majorHAnsi"/>
          <w:b w:val="0"/>
          <w:bCs w:val="0"/>
          <w:sz w:val="24"/>
          <w:szCs w:val="24"/>
          <w:shd w:val="clear" w:color="auto" w:fill="FFFFFF"/>
        </w:rPr>
        <w:t xml:space="preserve">prejudiciilor aplicare este pusă în sarcina angajaților cu drept de aplicare a sancțiunilor. </w:t>
      </w:r>
    </w:p>
    <w:p w:rsidR="004B6B06" w:rsidRPr="008376FC" w:rsidRDefault="00C51A6F" w:rsidP="00F61756">
      <w:pPr>
        <w:numPr>
          <w:ilvl w:val="0"/>
          <w:numId w:val="20"/>
        </w:numPr>
        <w:shd w:val="clear" w:color="auto" w:fill="FFFFFF"/>
        <w:spacing w:before="120" w:after="0" w:line="276" w:lineRule="auto"/>
        <w:ind w:left="0" w:firstLine="426"/>
        <w:jc w:val="both"/>
        <w:rPr>
          <w:rFonts w:asciiTheme="majorHAnsi" w:eastAsia="Times New Roman" w:hAnsiTheme="majorHAnsi" w:cstheme="majorHAnsi"/>
          <w:bCs w:val="0"/>
          <w:sz w:val="24"/>
          <w:szCs w:val="24"/>
          <w:shd w:val="clear" w:color="auto" w:fill="FFFFFF"/>
        </w:rPr>
      </w:pPr>
      <w:r w:rsidRPr="008376FC">
        <w:rPr>
          <w:rFonts w:asciiTheme="majorHAnsi" w:eastAsia="Times New Roman" w:hAnsiTheme="majorHAnsi" w:cstheme="majorHAnsi"/>
          <w:bCs w:val="0"/>
          <w:sz w:val="24"/>
          <w:szCs w:val="24"/>
          <w:shd w:val="clear" w:color="auto" w:fill="FFFFFF"/>
        </w:rPr>
        <w:t>Mecanismele de  evidenț</w:t>
      </w:r>
      <w:r w:rsidR="005A2381">
        <w:rPr>
          <w:rFonts w:asciiTheme="majorHAnsi" w:eastAsia="Times New Roman" w:hAnsiTheme="majorHAnsi" w:cstheme="majorHAnsi"/>
          <w:bCs w:val="0"/>
          <w:sz w:val="24"/>
          <w:szCs w:val="24"/>
          <w:shd w:val="clear" w:color="auto" w:fill="FFFFFF"/>
        </w:rPr>
        <w:t>ă</w:t>
      </w:r>
      <w:r w:rsidRPr="008376FC">
        <w:rPr>
          <w:rFonts w:asciiTheme="majorHAnsi" w:eastAsia="Times New Roman" w:hAnsiTheme="majorHAnsi" w:cstheme="majorHAnsi"/>
          <w:bCs w:val="0"/>
          <w:sz w:val="24"/>
          <w:szCs w:val="24"/>
          <w:shd w:val="clear" w:color="auto" w:fill="FFFFFF"/>
        </w:rPr>
        <w:t xml:space="preserve">, </w:t>
      </w:r>
      <w:r w:rsidR="004B6B06" w:rsidRPr="008376FC">
        <w:rPr>
          <w:rFonts w:asciiTheme="majorHAnsi" w:eastAsia="Times New Roman" w:hAnsiTheme="majorHAnsi" w:cstheme="majorHAnsi"/>
          <w:bCs w:val="0"/>
          <w:sz w:val="24"/>
          <w:szCs w:val="24"/>
          <w:shd w:val="clear" w:color="auto" w:fill="FFFFFF"/>
        </w:rPr>
        <w:t xml:space="preserve">monitorizare și raportare </w:t>
      </w:r>
      <w:r w:rsidR="005A2381">
        <w:rPr>
          <w:rFonts w:asciiTheme="majorHAnsi" w:eastAsia="Times New Roman" w:hAnsiTheme="majorHAnsi" w:cstheme="majorHAnsi"/>
          <w:bCs w:val="0"/>
          <w:sz w:val="24"/>
          <w:szCs w:val="24"/>
          <w:shd w:val="clear" w:color="auto" w:fill="FFFFFF"/>
        </w:rPr>
        <w:t xml:space="preserve">a </w:t>
      </w:r>
      <w:r w:rsidR="004B6B06" w:rsidRPr="008376FC">
        <w:rPr>
          <w:rFonts w:asciiTheme="majorHAnsi" w:eastAsia="Times New Roman" w:hAnsiTheme="majorHAnsi" w:cstheme="majorHAnsi"/>
          <w:bCs w:val="0"/>
          <w:sz w:val="24"/>
          <w:szCs w:val="24"/>
          <w:shd w:val="clear" w:color="auto" w:fill="FFFFFF"/>
        </w:rPr>
        <w:t xml:space="preserve">amenzilor și </w:t>
      </w:r>
      <w:r w:rsidR="005A2381">
        <w:rPr>
          <w:rFonts w:asciiTheme="majorHAnsi" w:eastAsia="Times New Roman" w:hAnsiTheme="majorHAnsi" w:cstheme="majorHAnsi"/>
          <w:bCs w:val="0"/>
          <w:sz w:val="24"/>
          <w:szCs w:val="24"/>
          <w:shd w:val="clear" w:color="auto" w:fill="FFFFFF"/>
        </w:rPr>
        <w:t xml:space="preserve">a </w:t>
      </w:r>
      <w:r w:rsidR="004B6B06" w:rsidRPr="008376FC">
        <w:rPr>
          <w:rFonts w:asciiTheme="majorHAnsi" w:eastAsia="Times New Roman" w:hAnsiTheme="majorHAnsi" w:cstheme="majorHAnsi"/>
          <w:bCs w:val="0"/>
          <w:sz w:val="24"/>
          <w:szCs w:val="24"/>
          <w:shd w:val="clear" w:color="auto" w:fill="FFFFFF"/>
        </w:rPr>
        <w:t>prejudiciilor cauzate mediului</w:t>
      </w:r>
      <w:r w:rsidR="006F701B">
        <w:rPr>
          <w:rFonts w:asciiTheme="majorHAnsi" w:eastAsia="Times New Roman" w:hAnsiTheme="majorHAnsi" w:cstheme="majorHAnsi"/>
          <w:bCs w:val="0"/>
          <w:sz w:val="24"/>
          <w:szCs w:val="24"/>
          <w:shd w:val="clear" w:color="auto" w:fill="FFFFFF"/>
        </w:rPr>
        <w:t>,</w:t>
      </w:r>
      <w:r w:rsidR="004B6B06" w:rsidRPr="008376FC">
        <w:rPr>
          <w:rFonts w:asciiTheme="majorHAnsi" w:eastAsia="Times New Roman" w:hAnsiTheme="majorHAnsi" w:cstheme="majorHAnsi"/>
          <w:bCs w:val="0"/>
          <w:sz w:val="24"/>
          <w:szCs w:val="24"/>
          <w:shd w:val="clear" w:color="auto" w:fill="FFFFFF"/>
        </w:rPr>
        <w:t xml:space="preserve"> institui</w:t>
      </w:r>
      <w:r w:rsidR="005A2381">
        <w:rPr>
          <w:rFonts w:asciiTheme="majorHAnsi" w:eastAsia="Times New Roman" w:hAnsiTheme="majorHAnsi" w:cstheme="majorHAnsi"/>
          <w:bCs w:val="0"/>
          <w:sz w:val="24"/>
          <w:szCs w:val="24"/>
          <w:shd w:val="clear" w:color="auto" w:fill="FFFFFF"/>
        </w:rPr>
        <w:t>t</w:t>
      </w:r>
      <w:r w:rsidR="004B6B06" w:rsidRPr="008376FC">
        <w:rPr>
          <w:rFonts w:asciiTheme="majorHAnsi" w:eastAsia="Times New Roman" w:hAnsiTheme="majorHAnsi" w:cstheme="majorHAnsi"/>
          <w:bCs w:val="0"/>
          <w:sz w:val="24"/>
          <w:szCs w:val="24"/>
          <w:shd w:val="clear" w:color="auto" w:fill="FFFFFF"/>
        </w:rPr>
        <w:t>e în cadrul IPM</w:t>
      </w:r>
      <w:r w:rsidR="006F701B">
        <w:rPr>
          <w:rFonts w:asciiTheme="majorHAnsi" w:eastAsia="Times New Roman" w:hAnsiTheme="majorHAnsi" w:cstheme="majorHAnsi"/>
          <w:bCs w:val="0"/>
          <w:sz w:val="24"/>
          <w:szCs w:val="24"/>
          <w:shd w:val="clear" w:color="auto" w:fill="FFFFFF"/>
        </w:rPr>
        <w:t>,</w:t>
      </w:r>
      <w:r w:rsidR="004B6B06" w:rsidRPr="008376FC">
        <w:rPr>
          <w:rFonts w:asciiTheme="majorHAnsi" w:eastAsia="Times New Roman" w:hAnsiTheme="majorHAnsi" w:cstheme="majorHAnsi"/>
          <w:bCs w:val="0"/>
          <w:sz w:val="24"/>
          <w:szCs w:val="24"/>
          <w:shd w:val="clear" w:color="auto" w:fill="FFFFFF"/>
        </w:rPr>
        <w:t xml:space="preserve"> nu permit evaluarea valorii obligațiunilor față de BS</w:t>
      </w:r>
      <w:r w:rsidR="005A2381">
        <w:rPr>
          <w:rFonts w:asciiTheme="majorHAnsi" w:eastAsia="Times New Roman" w:hAnsiTheme="majorHAnsi" w:cstheme="majorHAnsi"/>
          <w:bCs w:val="0"/>
          <w:sz w:val="24"/>
          <w:szCs w:val="24"/>
          <w:shd w:val="clear" w:color="auto" w:fill="FFFFFF"/>
        </w:rPr>
        <w:t>.</w:t>
      </w:r>
    </w:p>
    <w:p w:rsidR="00CB30D6" w:rsidRDefault="004B6B06" w:rsidP="00F61756">
      <w:pPr>
        <w:shd w:val="clear" w:color="auto" w:fill="FFFFFF"/>
        <w:spacing w:before="120" w:after="0"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 w:val="0"/>
          <w:bCs w:val="0"/>
          <w:sz w:val="24"/>
          <w:szCs w:val="24"/>
          <w:shd w:val="clear" w:color="auto" w:fill="FFFFFF"/>
        </w:rPr>
        <w:t>Analiza datelor prezentate de IPM denotă că, în perioada 2014-2021</w:t>
      </w:r>
      <w:r w:rsidR="006F701B">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inspectorii IPM au  calculat per total amenzi în sumă totală de 9,7 mil.lei, din care achitate în 72 de ore </w:t>
      </w:r>
      <w:r w:rsidR="006F701B">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4,3 mil.lei, după 72 de ore – 0,2 mil.lei. Situația se prezintă în tabelul de mai jos.</w:t>
      </w:r>
    </w:p>
    <w:p w:rsidR="00942BD4" w:rsidRPr="008376FC" w:rsidRDefault="00942BD4" w:rsidP="00F61756">
      <w:pPr>
        <w:shd w:val="clear" w:color="auto" w:fill="FFFFFF"/>
        <w:spacing w:before="120" w:after="0" w:line="276" w:lineRule="auto"/>
        <w:jc w:val="right"/>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Tabelul nr. 3</w:t>
      </w:r>
      <w:r w:rsidR="00D91526" w:rsidRPr="008376FC">
        <w:rPr>
          <w:rFonts w:asciiTheme="majorHAnsi" w:eastAsia="Times New Roman" w:hAnsiTheme="majorHAnsi" w:cstheme="majorHAnsi"/>
          <w:bCs w:val="0"/>
          <w:sz w:val="20"/>
          <w:szCs w:val="20"/>
          <w:shd w:val="clear" w:color="auto" w:fill="FFFFFF"/>
        </w:rPr>
        <w:t>5</w:t>
      </w:r>
    </w:p>
    <w:tbl>
      <w:tblPr>
        <w:tblStyle w:val="TableGrid8"/>
        <w:tblW w:w="0" w:type="auto"/>
        <w:tblLook w:val="04A0" w:firstRow="1" w:lastRow="0" w:firstColumn="1" w:lastColumn="0" w:noHBand="0" w:noVBand="1"/>
      </w:tblPr>
      <w:tblGrid>
        <w:gridCol w:w="571"/>
        <w:gridCol w:w="1606"/>
        <w:gridCol w:w="859"/>
        <w:gridCol w:w="859"/>
        <w:gridCol w:w="755"/>
        <w:gridCol w:w="859"/>
        <w:gridCol w:w="743"/>
        <w:gridCol w:w="859"/>
        <w:gridCol w:w="859"/>
        <w:gridCol w:w="859"/>
        <w:gridCol w:w="859"/>
      </w:tblGrid>
      <w:tr w:rsidR="00072432" w:rsidRPr="008376FC" w:rsidTr="00CB30D6">
        <w:trPr>
          <w:trHeight w:val="259"/>
        </w:trPr>
        <w:tc>
          <w:tcPr>
            <w:tcW w:w="9813" w:type="dxa"/>
            <w:gridSpan w:val="11"/>
            <w:tcBorders>
              <w:top w:val="nil"/>
              <w:left w:val="nil"/>
              <w:bottom w:val="single" w:sz="4" w:space="0" w:color="auto"/>
              <w:right w:val="nil"/>
            </w:tcBorders>
            <w:vAlign w:val="center"/>
          </w:tcPr>
          <w:p w:rsidR="00BE3B68" w:rsidRPr="008376FC" w:rsidRDefault="006F701B" w:rsidP="00F61756">
            <w:pPr>
              <w:spacing w:line="276" w:lineRule="auto"/>
              <w:jc w:val="center"/>
              <w:rPr>
                <w:rFonts w:asciiTheme="majorHAnsi" w:eastAsia="Times New Roman" w:hAnsiTheme="majorHAnsi" w:cstheme="majorHAnsi"/>
                <w:bCs w:val="0"/>
                <w:sz w:val="20"/>
                <w:szCs w:val="20"/>
                <w:shd w:val="clear" w:color="auto" w:fill="FFFFFF"/>
              </w:rPr>
            </w:pPr>
            <w:r>
              <w:rPr>
                <w:rFonts w:asciiTheme="majorHAnsi" w:eastAsia="Times New Roman" w:hAnsiTheme="majorHAnsi" w:cstheme="majorHAnsi"/>
                <w:bCs w:val="0"/>
                <w:sz w:val="20"/>
                <w:szCs w:val="20"/>
                <w:shd w:val="clear" w:color="auto" w:fill="FFFFFF"/>
              </w:rPr>
              <w:t>A</w:t>
            </w:r>
            <w:r w:rsidR="00072432" w:rsidRPr="008376FC">
              <w:rPr>
                <w:rFonts w:asciiTheme="majorHAnsi" w:eastAsia="Times New Roman" w:hAnsiTheme="majorHAnsi" w:cstheme="majorHAnsi"/>
                <w:bCs w:val="0"/>
                <w:sz w:val="20"/>
                <w:szCs w:val="20"/>
                <w:shd w:val="clear" w:color="auto" w:fill="FFFFFF"/>
              </w:rPr>
              <w:t>menzile calculate și achitate în domeniul resurselor de apă, în anii 2014-2021, mii lei</w:t>
            </w:r>
          </w:p>
        </w:tc>
      </w:tr>
      <w:tr w:rsidR="004B6B06" w:rsidRPr="008376FC" w:rsidTr="00CB30D6">
        <w:trPr>
          <w:trHeight w:val="501"/>
        </w:trPr>
        <w:tc>
          <w:tcPr>
            <w:tcW w:w="5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 xml:space="preserve">Nr.  </w:t>
            </w:r>
            <w:r w:rsidR="006F701B">
              <w:rPr>
                <w:rFonts w:asciiTheme="majorHAnsi" w:eastAsia="Times New Roman" w:hAnsiTheme="majorHAnsi" w:cstheme="majorHAnsi"/>
                <w:bCs w:val="0"/>
                <w:sz w:val="20"/>
                <w:szCs w:val="20"/>
                <w:shd w:val="clear" w:color="auto" w:fill="FFFFFF"/>
              </w:rPr>
              <w:t>crt.</w:t>
            </w:r>
          </w:p>
        </w:tc>
        <w:tc>
          <w:tcPr>
            <w:tcW w:w="165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Indicatorii</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2014</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2015</w:t>
            </w:r>
          </w:p>
        </w:tc>
        <w:tc>
          <w:tcPr>
            <w:tcW w:w="76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2016</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2017</w:t>
            </w:r>
          </w:p>
        </w:tc>
        <w:tc>
          <w:tcPr>
            <w:tcW w:w="7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2018</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2019</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2020</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2021</w:t>
            </w:r>
          </w:p>
        </w:tc>
        <w:tc>
          <w:tcPr>
            <w:tcW w:w="8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Total</w:t>
            </w:r>
          </w:p>
        </w:tc>
      </w:tr>
      <w:tr w:rsidR="004B6B06" w:rsidRPr="008376FC" w:rsidTr="00CB30D6">
        <w:trPr>
          <w:trHeight w:val="244"/>
        </w:trPr>
        <w:tc>
          <w:tcPr>
            <w:tcW w:w="578"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1654"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Calculat</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1200,2</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1550,5</w:t>
            </w:r>
          </w:p>
        </w:tc>
        <w:tc>
          <w:tcPr>
            <w:tcW w:w="76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925,4</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1659,2</w:t>
            </w:r>
          </w:p>
        </w:tc>
        <w:tc>
          <w:tcPr>
            <w:tcW w:w="750"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779,0</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1114,0</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1274,3</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1214,8</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9717,3</w:t>
            </w:r>
          </w:p>
        </w:tc>
      </w:tr>
      <w:tr w:rsidR="004B6B06" w:rsidRPr="008376FC" w:rsidTr="00CB30D6">
        <w:trPr>
          <w:trHeight w:val="244"/>
        </w:trPr>
        <w:tc>
          <w:tcPr>
            <w:tcW w:w="578"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1654"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Achitat</w:t>
            </w:r>
            <w:r w:rsidR="006F701B">
              <w:rPr>
                <w:rFonts w:asciiTheme="majorHAnsi" w:eastAsia="Times New Roman" w:hAnsiTheme="majorHAnsi" w:cstheme="majorHAnsi"/>
                <w:b w:val="0"/>
                <w:bCs w:val="0"/>
                <w:sz w:val="20"/>
                <w:szCs w:val="20"/>
                <w:shd w:val="clear" w:color="auto" w:fill="FFFFFF"/>
              </w:rPr>
              <w:t>,</w:t>
            </w:r>
            <w:r w:rsidRPr="008376FC">
              <w:rPr>
                <w:rFonts w:asciiTheme="majorHAnsi" w:eastAsia="Times New Roman" w:hAnsiTheme="majorHAnsi" w:cstheme="majorHAnsi"/>
                <w:b w:val="0"/>
                <w:bCs w:val="0"/>
                <w:sz w:val="20"/>
                <w:szCs w:val="20"/>
                <w:shd w:val="clear" w:color="auto" w:fill="FFFFFF"/>
              </w:rPr>
              <w:t xml:space="preserve"> total</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570,0</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735,9</w:t>
            </w:r>
          </w:p>
        </w:tc>
        <w:tc>
          <w:tcPr>
            <w:tcW w:w="76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428,1</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712,1</w:t>
            </w:r>
          </w:p>
        </w:tc>
        <w:tc>
          <w:tcPr>
            <w:tcW w:w="750"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348,3</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547,4</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582,6</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580,5</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4505,0</w:t>
            </w:r>
          </w:p>
        </w:tc>
      </w:tr>
      <w:tr w:rsidR="004B6B06" w:rsidRPr="008376FC" w:rsidTr="00CB30D6">
        <w:trPr>
          <w:trHeight w:val="244"/>
        </w:trPr>
        <w:tc>
          <w:tcPr>
            <w:tcW w:w="578" w:type="dxa"/>
            <w:tcBorders>
              <w:top w:val="single" w:sz="4" w:space="0" w:color="auto"/>
              <w:left w:val="single" w:sz="4" w:space="0" w:color="auto"/>
              <w:bottom w:val="single" w:sz="4" w:space="0" w:color="auto"/>
              <w:right w:val="single" w:sz="4" w:space="0" w:color="auto"/>
            </w:tcBorders>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p>
        </w:tc>
        <w:tc>
          <w:tcPr>
            <w:tcW w:w="1654"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inclusiv:</w:t>
            </w:r>
          </w:p>
        </w:tc>
        <w:tc>
          <w:tcPr>
            <w:tcW w:w="867" w:type="dxa"/>
            <w:tcBorders>
              <w:top w:val="single" w:sz="4" w:space="0" w:color="auto"/>
              <w:left w:val="single" w:sz="4" w:space="0" w:color="auto"/>
              <w:bottom w:val="single" w:sz="4" w:space="0" w:color="auto"/>
              <w:right w:val="single" w:sz="4" w:space="0" w:color="auto"/>
            </w:tcBorders>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p>
        </w:tc>
        <w:tc>
          <w:tcPr>
            <w:tcW w:w="867" w:type="dxa"/>
            <w:tcBorders>
              <w:top w:val="single" w:sz="4" w:space="0" w:color="auto"/>
              <w:left w:val="single" w:sz="4" w:space="0" w:color="auto"/>
              <w:bottom w:val="single" w:sz="4" w:space="0" w:color="auto"/>
              <w:right w:val="single" w:sz="4" w:space="0" w:color="auto"/>
            </w:tcBorders>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p>
        </w:tc>
        <w:tc>
          <w:tcPr>
            <w:tcW w:w="763" w:type="dxa"/>
            <w:tcBorders>
              <w:top w:val="single" w:sz="4" w:space="0" w:color="auto"/>
              <w:left w:val="single" w:sz="4" w:space="0" w:color="auto"/>
              <w:bottom w:val="single" w:sz="4" w:space="0" w:color="auto"/>
              <w:right w:val="single" w:sz="4" w:space="0" w:color="auto"/>
            </w:tcBorders>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p>
        </w:tc>
        <w:tc>
          <w:tcPr>
            <w:tcW w:w="867" w:type="dxa"/>
            <w:tcBorders>
              <w:top w:val="single" w:sz="4" w:space="0" w:color="auto"/>
              <w:left w:val="single" w:sz="4" w:space="0" w:color="auto"/>
              <w:bottom w:val="single" w:sz="4" w:space="0" w:color="auto"/>
              <w:right w:val="single" w:sz="4" w:space="0" w:color="auto"/>
            </w:tcBorders>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p>
        </w:tc>
        <w:tc>
          <w:tcPr>
            <w:tcW w:w="750" w:type="dxa"/>
            <w:tcBorders>
              <w:top w:val="single" w:sz="4" w:space="0" w:color="auto"/>
              <w:left w:val="single" w:sz="4" w:space="0" w:color="auto"/>
              <w:bottom w:val="single" w:sz="4" w:space="0" w:color="auto"/>
              <w:right w:val="single" w:sz="4" w:space="0" w:color="auto"/>
            </w:tcBorders>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p>
        </w:tc>
        <w:tc>
          <w:tcPr>
            <w:tcW w:w="867" w:type="dxa"/>
            <w:tcBorders>
              <w:top w:val="single" w:sz="4" w:space="0" w:color="auto"/>
              <w:left w:val="single" w:sz="4" w:space="0" w:color="auto"/>
              <w:bottom w:val="single" w:sz="4" w:space="0" w:color="auto"/>
              <w:right w:val="single" w:sz="4" w:space="0" w:color="auto"/>
            </w:tcBorders>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p>
        </w:tc>
        <w:tc>
          <w:tcPr>
            <w:tcW w:w="867" w:type="dxa"/>
            <w:tcBorders>
              <w:top w:val="single" w:sz="4" w:space="0" w:color="auto"/>
              <w:left w:val="single" w:sz="4" w:space="0" w:color="auto"/>
              <w:bottom w:val="single" w:sz="4" w:space="0" w:color="auto"/>
              <w:right w:val="single" w:sz="4" w:space="0" w:color="auto"/>
            </w:tcBorders>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p>
        </w:tc>
        <w:tc>
          <w:tcPr>
            <w:tcW w:w="867" w:type="dxa"/>
            <w:tcBorders>
              <w:top w:val="single" w:sz="4" w:space="0" w:color="auto"/>
              <w:left w:val="single" w:sz="4" w:space="0" w:color="auto"/>
              <w:bottom w:val="single" w:sz="4" w:space="0" w:color="auto"/>
              <w:right w:val="single" w:sz="4" w:space="0" w:color="auto"/>
            </w:tcBorders>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p>
        </w:tc>
        <w:tc>
          <w:tcPr>
            <w:tcW w:w="867" w:type="dxa"/>
            <w:tcBorders>
              <w:top w:val="single" w:sz="4" w:space="0" w:color="auto"/>
              <w:left w:val="single" w:sz="4" w:space="0" w:color="auto"/>
              <w:bottom w:val="single" w:sz="4" w:space="0" w:color="auto"/>
              <w:right w:val="single" w:sz="4" w:space="0" w:color="auto"/>
            </w:tcBorders>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p>
        </w:tc>
      </w:tr>
      <w:tr w:rsidR="004B6B06" w:rsidRPr="008376FC" w:rsidTr="00CB30D6">
        <w:trPr>
          <w:trHeight w:val="235"/>
        </w:trPr>
        <w:tc>
          <w:tcPr>
            <w:tcW w:w="578"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2.1</w:t>
            </w:r>
          </w:p>
        </w:tc>
        <w:tc>
          <w:tcPr>
            <w:tcW w:w="1654"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în 72 de ore</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510,8</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714,8</w:t>
            </w:r>
          </w:p>
        </w:tc>
        <w:tc>
          <w:tcPr>
            <w:tcW w:w="76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384,2</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682,2</w:t>
            </w:r>
          </w:p>
        </w:tc>
        <w:tc>
          <w:tcPr>
            <w:tcW w:w="750"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332,4</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530,6</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560,3</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564,9</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4280,2</w:t>
            </w:r>
          </w:p>
        </w:tc>
      </w:tr>
      <w:tr w:rsidR="004B6B06" w:rsidRPr="008376FC" w:rsidTr="00CB30D6">
        <w:trPr>
          <w:trHeight w:val="244"/>
        </w:trPr>
        <w:tc>
          <w:tcPr>
            <w:tcW w:w="578"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2.1</w:t>
            </w:r>
          </w:p>
        </w:tc>
        <w:tc>
          <w:tcPr>
            <w:tcW w:w="1654"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după 72 de ore</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59,2</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21,1</w:t>
            </w:r>
          </w:p>
        </w:tc>
        <w:tc>
          <w:tcPr>
            <w:tcW w:w="76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44,1</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29,9</w:t>
            </w:r>
          </w:p>
        </w:tc>
        <w:tc>
          <w:tcPr>
            <w:tcW w:w="750"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15,8</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16,8</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22,3</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15,6</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224,8</w:t>
            </w:r>
          </w:p>
        </w:tc>
      </w:tr>
      <w:tr w:rsidR="004B6B06" w:rsidRPr="008376FC" w:rsidTr="00CB30D6">
        <w:trPr>
          <w:trHeight w:val="745"/>
        </w:trPr>
        <w:tc>
          <w:tcPr>
            <w:tcW w:w="578"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w:t>
            </w:r>
          </w:p>
        </w:tc>
        <w:tc>
          <w:tcPr>
            <w:tcW w:w="1654"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Anulat ca urmare a achitării în 72 de ore (rd.2.1)</w:t>
            </w:r>
          </w:p>
        </w:tc>
        <w:tc>
          <w:tcPr>
            <w:tcW w:w="867" w:type="dxa"/>
            <w:tcBorders>
              <w:top w:val="single" w:sz="4" w:space="0" w:color="auto"/>
              <w:left w:val="single" w:sz="4" w:space="0" w:color="auto"/>
              <w:bottom w:val="single" w:sz="4" w:space="0" w:color="auto"/>
              <w:right w:val="single" w:sz="4" w:space="0" w:color="auto"/>
            </w:tcBorders>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510,8</w:t>
            </w:r>
          </w:p>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714,8</w:t>
            </w:r>
          </w:p>
        </w:tc>
        <w:tc>
          <w:tcPr>
            <w:tcW w:w="76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384,2</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682,2</w:t>
            </w:r>
          </w:p>
        </w:tc>
        <w:tc>
          <w:tcPr>
            <w:tcW w:w="750"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332,4</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530,6</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560,3</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564,9</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i/>
                <w:sz w:val="20"/>
                <w:szCs w:val="20"/>
                <w:shd w:val="clear" w:color="auto" w:fill="FFFFFF"/>
              </w:rPr>
            </w:pPr>
            <w:r w:rsidRPr="008376FC">
              <w:rPr>
                <w:rFonts w:asciiTheme="majorHAnsi" w:eastAsia="Times New Roman" w:hAnsiTheme="majorHAnsi" w:cstheme="majorHAnsi"/>
                <w:b w:val="0"/>
                <w:bCs w:val="0"/>
                <w:i/>
                <w:sz w:val="20"/>
                <w:szCs w:val="20"/>
                <w:shd w:val="clear" w:color="auto" w:fill="FFFFFF"/>
              </w:rPr>
              <w:t>4280,2</w:t>
            </w:r>
          </w:p>
        </w:tc>
      </w:tr>
      <w:tr w:rsidR="004B6B06" w:rsidRPr="008376FC" w:rsidTr="00CB30D6">
        <w:trPr>
          <w:trHeight w:val="745"/>
        </w:trPr>
        <w:tc>
          <w:tcPr>
            <w:tcW w:w="578"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w:t>
            </w:r>
          </w:p>
        </w:tc>
        <w:tc>
          <w:tcPr>
            <w:tcW w:w="1654"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Obligațiuni fa</w:t>
            </w:r>
            <w:r w:rsidR="006F701B">
              <w:rPr>
                <w:rFonts w:asciiTheme="majorHAnsi" w:eastAsia="Times New Roman" w:hAnsiTheme="majorHAnsi" w:cstheme="majorHAnsi"/>
                <w:b w:val="0"/>
                <w:bCs w:val="0"/>
                <w:sz w:val="20"/>
                <w:szCs w:val="20"/>
                <w:shd w:val="clear" w:color="auto" w:fill="FFFFFF"/>
              </w:rPr>
              <w:t>ță</w:t>
            </w:r>
            <w:r w:rsidRPr="008376FC">
              <w:rPr>
                <w:rFonts w:asciiTheme="majorHAnsi" w:eastAsia="Times New Roman" w:hAnsiTheme="majorHAnsi" w:cstheme="majorHAnsi"/>
                <w:b w:val="0"/>
                <w:bCs w:val="0"/>
                <w:sz w:val="20"/>
                <w:szCs w:val="20"/>
                <w:shd w:val="clear" w:color="auto" w:fill="FFFFFF"/>
              </w:rPr>
              <w:t xml:space="preserve"> de BS  estimate (rd.1-rd.2-rd.3)</w:t>
            </w:r>
            <w:r w:rsidRPr="008376FC">
              <w:rPr>
                <w:rFonts w:asciiTheme="majorHAnsi" w:eastAsia="Times New Roman" w:hAnsiTheme="majorHAnsi" w:cstheme="majorHAnsi"/>
                <w:b w:val="0"/>
                <w:bCs w:val="0"/>
                <w:sz w:val="20"/>
                <w:szCs w:val="20"/>
                <w:shd w:val="clear" w:color="auto" w:fill="FFFFFF"/>
                <w:vertAlign w:val="superscript"/>
              </w:rPr>
              <w:footnoteReference w:id="151"/>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119,4</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99,7</w:t>
            </w:r>
          </w:p>
        </w:tc>
        <w:tc>
          <w:tcPr>
            <w:tcW w:w="76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112,9</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264,9</w:t>
            </w:r>
          </w:p>
        </w:tc>
        <w:tc>
          <w:tcPr>
            <w:tcW w:w="750"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98,4</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36,0</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131,4</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69,4</w:t>
            </w:r>
          </w:p>
        </w:tc>
        <w:tc>
          <w:tcPr>
            <w:tcW w:w="867"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932,1</w:t>
            </w:r>
          </w:p>
        </w:tc>
      </w:tr>
      <w:tr w:rsidR="001F1A82" w:rsidRPr="008376FC" w:rsidTr="00CB30D6">
        <w:trPr>
          <w:trHeight w:val="987"/>
        </w:trPr>
        <w:tc>
          <w:tcPr>
            <w:tcW w:w="578" w:type="dxa"/>
            <w:tcBorders>
              <w:top w:val="single" w:sz="4" w:space="0" w:color="auto"/>
              <w:left w:val="single" w:sz="4" w:space="0" w:color="auto"/>
              <w:bottom w:val="single" w:sz="4" w:space="0" w:color="auto"/>
              <w:right w:val="single" w:sz="4" w:space="0" w:color="auto"/>
            </w:tcBorders>
            <w:hideMark/>
          </w:tcPr>
          <w:p w:rsidR="001F1A82" w:rsidRPr="008376FC" w:rsidRDefault="001F1A82"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w:t>
            </w:r>
          </w:p>
        </w:tc>
        <w:tc>
          <w:tcPr>
            <w:tcW w:w="1654" w:type="dxa"/>
            <w:tcBorders>
              <w:top w:val="single" w:sz="4" w:space="0" w:color="auto"/>
              <w:left w:val="single" w:sz="4" w:space="0" w:color="auto"/>
              <w:bottom w:val="single" w:sz="4" w:space="0" w:color="auto"/>
              <w:right w:val="single" w:sz="4" w:space="0" w:color="auto"/>
            </w:tcBorders>
            <w:hideMark/>
          </w:tcPr>
          <w:p w:rsidR="001F1A82" w:rsidRPr="008376FC" w:rsidRDefault="001F1A82"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Obligațiuni fa</w:t>
            </w:r>
            <w:r>
              <w:rPr>
                <w:rFonts w:asciiTheme="majorHAnsi" w:eastAsia="Times New Roman" w:hAnsiTheme="majorHAnsi" w:cstheme="majorHAnsi"/>
                <w:b w:val="0"/>
                <w:bCs w:val="0"/>
                <w:sz w:val="20"/>
                <w:szCs w:val="20"/>
                <w:shd w:val="clear" w:color="auto" w:fill="FFFFFF"/>
              </w:rPr>
              <w:t>ță</w:t>
            </w:r>
            <w:r w:rsidRPr="008376FC">
              <w:rPr>
                <w:rFonts w:asciiTheme="majorHAnsi" w:eastAsia="Times New Roman" w:hAnsiTheme="majorHAnsi" w:cstheme="majorHAnsi"/>
                <w:b w:val="0"/>
                <w:bCs w:val="0"/>
                <w:sz w:val="20"/>
                <w:szCs w:val="20"/>
                <w:shd w:val="clear" w:color="auto" w:fill="FFFFFF"/>
              </w:rPr>
              <w:t xml:space="preserve"> de BS  expirate (ma</w:t>
            </w:r>
            <w:r>
              <w:rPr>
                <w:rFonts w:asciiTheme="majorHAnsi" w:eastAsia="Times New Roman" w:hAnsiTheme="majorHAnsi" w:cstheme="majorHAnsi"/>
                <w:b w:val="0"/>
                <w:bCs w:val="0"/>
                <w:sz w:val="20"/>
                <w:szCs w:val="20"/>
                <w:shd w:val="clear" w:color="auto" w:fill="FFFFFF"/>
              </w:rPr>
              <w:t>i</w:t>
            </w:r>
            <w:r w:rsidRPr="008376FC">
              <w:rPr>
                <w:rFonts w:asciiTheme="majorHAnsi" w:eastAsia="Times New Roman" w:hAnsiTheme="majorHAnsi" w:cstheme="majorHAnsi"/>
                <w:b w:val="0"/>
                <w:bCs w:val="0"/>
                <w:sz w:val="20"/>
                <w:szCs w:val="20"/>
                <w:shd w:val="clear" w:color="auto" w:fill="FFFFFF"/>
              </w:rPr>
              <w:t xml:space="preserve"> mare de </w:t>
            </w:r>
            <w:r>
              <w:rPr>
                <w:rFonts w:asciiTheme="majorHAnsi" w:eastAsia="Times New Roman" w:hAnsiTheme="majorHAnsi" w:cstheme="majorHAnsi"/>
                <w:b w:val="0"/>
                <w:bCs w:val="0"/>
                <w:sz w:val="20"/>
                <w:szCs w:val="20"/>
                <w:shd w:val="clear" w:color="auto" w:fill="FFFFFF"/>
              </w:rPr>
              <w:t>3</w:t>
            </w:r>
            <w:r w:rsidRPr="008376FC">
              <w:rPr>
                <w:rFonts w:asciiTheme="majorHAnsi" w:eastAsia="Times New Roman" w:hAnsiTheme="majorHAnsi" w:cstheme="majorHAnsi"/>
                <w:b w:val="0"/>
                <w:bCs w:val="0"/>
                <w:sz w:val="20"/>
                <w:szCs w:val="20"/>
                <w:shd w:val="clear" w:color="auto" w:fill="FFFFFF"/>
              </w:rPr>
              <w:t xml:space="preserve"> an)</w:t>
            </w:r>
          </w:p>
        </w:tc>
        <w:tc>
          <w:tcPr>
            <w:tcW w:w="867" w:type="dxa"/>
            <w:tcBorders>
              <w:top w:val="single" w:sz="4" w:space="0" w:color="auto"/>
              <w:left w:val="single" w:sz="4" w:space="0" w:color="auto"/>
              <w:bottom w:val="single" w:sz="4" w:space="0" w:color="auto"/>
              <w:right w:val="single" w:sz="4" w:space="0" w:color="auto"/>
            </w:tcBorders>
            <w:hideMark/>
          </w:tcPr>
          <w:p w:rsidR="001F1A82" w:rsidRPr="008376FC" w:rsidRDefault="001F1A82" w:rsidP="00F61756">
            <w:pPr>
              <w:spacing w:line="276" w:lineRule="auto"/>
              <w:jc w:val="both"/>
              <w:rPr>
                <w:rFonts w:asciiTheme="majorHAnsi" w:eastAsia="Times New Roman" w:hAnsiTheme="majorHAnsi" w:cstheme="majorHAnsi"/>
                <w:b w:val="0"/>
                <w:bCs w:val="0"/>
                <w:sz w:val="20"/>
                <w:szCs w:val="20"/>
                <w:shd w:val="clear" w:color="auto" w:fill="FFFFFF"/>
              </w:rPr>
            </w:pPr>
            <w:r>
              <w:rPr>
                <w:rFonts w:asciiTheme="majorHAnsi" w:eastAsia="Times New Roman" w:hAnsiTheme="majorHAnsi" w:cstheme="majorHAnsi"/>
                <w:b w:val="0"/>
                <w:bCs w:val="0"/>
                <w:sz w:val="20"/>
                <w:szCs w:val="20"/>
                <w:shd w:val="clear" w:color="auto" w:fill="FFFFFF"/>
              </w:rPr>
              <w:t>119,4</w:t>
            </w:r>
          </w:p>
        </w:tc>
        <w:tc>
          <w:tcPr>
            <w:tcW w:w="867" w:type="dxa"/>
            <w:tcBorders>
              <w:top w:val="single" w:sz="4" w:space="0" w:color="auto"/>
              <w:left w:val="single" w:sz="4" w:space="0" w:color="auto"/>
              <w:bottom w:val="single" w:sz="4" w:space="0" w:color="auto"/>
              <w:right w:val="single" w:sz="4" w:space="0" w:color="auto"/>
            </w:tcBorders>
            <w:hideMark/>
          </w:tcPr>
          <w:p w:rsidR="001F1A82" w:rsidRPr="008376FC" w:rsidRDefault="001F1A82" w:rsidP="00F61756">
            <w:pPr>
              <w:spacing w:line="276" w:lineRule="auto"/>
              <w:jc w:val="both"/>
              <w:rPr>
                <w:rFonts w:asciiTheme="majorHAnsi" w:eastAsia="Times New Roman" w:hAnsiTheme="majorHAnsi" w:cstheme="majorHAnsi"/>
                <w:b w:val="0"/>
                <w:bCs w:val="0"/>
                <w:sz w:val="20"/>
                <w:szCs w:val="20"/>
                <w:shd w:val="clear" w:color="auto" w:fill="FFFFFF"/>
              </w:rPr>
            </w:pPr>
            <w:r>
              <w:rPr>
                <w:rFonts w:asciiTheme="majorHAnsi" w:eastAsia="Times New Roman" w:hAnsiTheme="majorHAnsi" w:cstheme="majorHAnsi"/>
                <w:b w:val="0"/>
                <w:bCs w:val="0"/>
                <w:sz w:val="20"/>
                <w:szCs w:val="20"/>
                <w:shd w:val="clear" w:color="auto" w:fill="FFFFFF"/>
              </w:rPr>
              <w:t>99,7</w:t>
            </w:r>
          </w:p>
        </w:tc>
        <w:tc>
          <w:tcPr>
            <w:tcW w:w="763" w:type="dxa"/>
            <w:tcBorders>
              <w:top w:val="single" w:sz="4" w:space="0" w:color="auto"/>
              <w:left w:val="single" w:sz="4" w:space="0" w:color="auto"/>
              <w:bottom w:val="single" w:sz="4" w:space="0" w:color="auto"/>
              <w:right w:val="single" w:sz="4" w:space="0" w:color="auto"/>
            </w:tcBorders>
            <w:hideMark/>
          </w:tcPr>
          <w:p w:rsidR="001F1A82" w:rsidRPr="008376FC" w:rsidRDefault="001F1A82" w:rsidP="00F61756">
            <w:pPr>
              <w:spacing w:line="276" w:lineRule="auto"/>
              <w:jc w:val="both"/>
              <w:rPr>
                <w:rFonts w:asciiTheme="majorHAnsi" w:eastAsia="Times New Roman" w:hAnsiTheme="majorHAnsi" w:cstheme="majorHAnsi"/>
                <w:b w:val="0"/>
                <w:bCs w:val="0"/>
                <w:sz w:val="20"/>
                <w:szCs w:val="20"/>
                <w:shd w:val="clear" w:color="auto" w:fill="FFFFFF"/>
              </w:rPr>
            </w:pPr>
            <w:r>
              <w:rPr>
                <w:rFonts w:asciiTheme="majorHAnsi" w:eastAsia="Times New Roman" w:hAnsiTheme="majorHAnsi" w:cstheme="majorHAnsi"/>
                <w:b w:val="0"/>
                <w:bCs w:val="0"/>
                <w:sz w:val="20"/>
                <w:szCs w:val="20"/>
                <w:shd w:val="clear" w:color="auto" w:fill="FFFFFF"/>
              </w:rPr>
              <w:t>112,9</w:t>
            </w:r>
          </w:p>
        </w:tc>
        <w:tc>
          <w:tcPr>
            <w:tcW w:w="867" w:type="dxa"/>
            <w:tcBorders>
              <w:top w:val="single" w:sz="4" w:space="0" w:color="auto"/>
              <w:left w:val="single" w:sz="4" w:space="0" w:color="auto"/>
              <w:bottom w:val="single" w:sz="4" w:space="0" w:color="auto"/>
              <w:right w:val="single" w:sz="4" w:space="0" w:color="auto"/>
            </w:tcBorders>
            <w:hideMark/>
          </w:tcPr>
          <w:p w:rsidR="001F1A82" w:rsidRPr="008376FC" w:rsidRDefault="001F1A82" w:rsidP="00F61756">
            <w:pPr>
              <w:spacing w:line="276" w:lineRule="auto"/>
              <w:jc w:val="both"/>
              <w:rPr>
                <w:rFonts w:asciiTheme="majorHAnsi" w:eastAsia="Times New Roman" w:hAnsiTheme="majorHAnsi" w:cstheme="majorHAnsi"/>
                <w:b w:val="0"/>
                <w:bCs w:val="0"/>
                <w:sz w:val="20"/>
                <w:szCs w:val="20"/>
                <w:shd w:val="clear" w:color="auto" w:fill="FFFFFF"/>
              </w:rPr>
            </w:pPr>
            <w:r>
              <w:rPr>
                <w:rFonts w:asciiTheme="majorHAnsi" w:eastAsia="Times New Roman" w:hAnsiTheme="majorHAnsi" w:cstheme="majorHAnsi"/>
                <w:b w:val="0"/>
                <w:bCs w:val="0"/>
                <w:sz w:val="20"/>
                <w:szCs w:val="20"/>
                <w:shd w:val="clear" w:color="auto" w:fill="FFFFFF"/>
              </w:rPr>
              <w:t>264,9</w:t>
            </w:r>
          </w:p>
        </w:tc>
        <w:tc>
          <w:tcPr>
            <w:tcW w:w="750" w:type="dxa"/>
            <w:tcBorders>
              <w:top w:val="single" w:sz="4" w:space="0" w:color="auto"/>
              <w:left w:val="single" w:sz="4" w:space="0" w:color="auto"/>
              <w:bottom w:val="single" w:sz="4" w:space="0" w:color="auto"/>
              <w:right w:val="single" w:sz="4" w:space="0" w:color="auto"/>
            </w:tcBorders>
            <w:hideMark/>
          </w:tcPr>
          <w:p w:rsidR="001F1A82" w:rsidRPr="008376FC" w:rsidRDefault="001F1A82" w:rsidP="00F61756">
            <w:pPr>
              <w:spacing w:line="276" w:lineRule="auto"/>
              <w:jc w:val="both"/>
              <w:rPr>
                <w:rFonts w:asciiTheme="majorHAnsi" w:eastAsia="Times New Roman" w:hAnsiTheme="majorHAnsi" w:cstheme="majorHAnsi"/>
                <w:b w:val="0"/>
                <w:bCs w:val="0"/>
                <w:sz w:val="20"/>
                <w:szCs w:val="20"/>
                <w:shd w:val="clear" w:color="auto" w:fill="FFFFFF"/>
              </w:rPr>
            </w:pPr>
            <w:r>
              <w:rPr>
                <w:rFonts w:asciiTheme="majorHAnsi" w:eastAsia="Times New Roman" w:hAnsiTheme="majorHAnsi" w:cstheme="majorHAnsi"/>
                <w:b w:val="0"/>
                <w:bCs w:val="0"/>
                <w:sz w:val="20"/>
                <w:szCs w:val="20"/>
                <w:shd w:val="clear" w:color="auto" w:fill="FFFFFF"/>
              </w:rPr>
              <w:t>98,4</w:t>
            </w:r>
          </w:p>
        </w:tc>
        <w:tc>
          <w:tcPr>
            <w:tcW w:w="867" w:type="dxa"/>
            <w:tcBorders>
              <w:top w:val="single" w:sz="4" w:space="0" w:color="auto"/>
              <w:left w:val="single" w:sz="4" w:space="0" w:color="auto"/>
              <w:bottom w:val="single" w:sz="4" w:space="0" w:color="auto"/>
              <w:right w:val="single" w:sz="4" w:space="0" w:color="auto"/>
            </w:tcBorders>
            <w:hideMark/>
          </w:tcPr>
          <w:p w:rsidR="001F1A82" w:rsidRPr="008376FC" w:rsidRDefault="001F1A82"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x</w:t>
            </w:r>
          </w:p>
        </w:tc>
        <w:tc>
          <w:tcPr>
            <w:tcW w:w="867" w:type="dxa"/>
            <w:tcBorders>
              <w:top w:val="single" w:sz="4" w:space="0" w:color="auto"/>
              <w:left w:val="single" w:sz="4" w:space="0" w:color="auto"/>
              <w:bottom w:val="single" w:sz="4" w:space="0" w:color="auto"/>
              <w:right w:val="single" w:sz="4" w:space="0" w:color="auto"/>
            </w:tcBorders>
            <w:hideMark/>
          </w:tcPr>
          <w:p w:rsidR="001F1A82" w:rsidRPr="008376FC" w:rsidRDefault="001F1A82"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x</w:t>
            </w:r>
          </w:p>
        </w:tc>
        <w:tc>
          <w:tcPr>
            <w:tcW w:w="867" w:type="dxa"/>
            <w:tcBorders>
              <w:top w:val="single" w:sz="4" w:space="0" w:color="auto"/>
              <w:left w:val="single" w:sz="4" w:space="0" w:color="auto"/>
              <w:bottom w:val="single" w:sz="4" w:space="0" w:color="auto"/>
              <w:right w:val="single" w:sz="4" w:space="0" w:color="auto"/>
            </w:tcBorders>
            <w:hideMark/>
          </w:tcPr>
          <w:p w:rsidR="001F1A82" w:rsidRPr="008376FC" w:rsidRDefault="001F1A82"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x</w:t>
            </w:r>
          </w:p>
        </w:tc>
        <w:tc>
          <w:tcPr>
            <w:tcW w:w="867" w:type="dxa"/>
            <w:tcBorders>
              <w:top w:val="single" w:sz="4" w:space="0" w:color="auto"/>
              <w:left w:val="single" w:sz="4" w:space="0" w:color="auto"/>
              <w:bottom w:val="single" w:sz="4" w:space="0" w:color="auto"/>
              <w:right w:val="single" w:sz="4" w:space="0" w:color="auto"/>
            </w:tcBorders>
            <w:hideMark/>
          </w:tcPr>
          <w:p w:rsidR="001F1A82" w:rsidRPr="008376FC" w:rsidRDefault="001F1A82" w:rsidP="00F61756">
            <w:pPr>
              <w:spacing w:line="276" w:lineRule="auto"/>
              <w:jc w:val="both"/>
              <w:rPr>
                <w:rFonts w:asciiTheme="majorHAnsi" w:eastAsia="Times New Roman" w:hAnsiTheme="majorHAnsi" w:cstheme="majorHAnsi"/>
                <w:bCs w:val="0"/>
                <w:sz w:val="20"/>
                <w:szCs w:val="20"/>
                <w:shd w:val="clear" w:color="auto" w:fill="FFFFFF"/>
              </w:rPr>
            </w:pPr>
            <w:r>
              <w:rPr>
                <w:rFonts w:asciiTheme="majorHAnsi" w:eastAsia="Times New Roman" w:hAnsiTheme="majorHAnsi" w:cstheme="majorHAnsi"/>
                <w:bCs w:val="0"/>
                <w:sz w:val="20"/>
                <w:szCs w:val="20"/>
                <w:shd w:val="clear" w:color="auto" w:fill="FFFFFF"/>
              </w:rPr>
              <w:t xml:space="preserve">  695,3 </w:t>
            </w:r>
          </w:p>
        </w:tc>
      </w:tr>
      <w:tr w:rsidR="00072432" w:rsidRPr="008376FC" w:rsidTr="00CB30D6">
        <w:trPr>
          <w:trHeight w:val="244"/>
        </w:trPr>
        <w:tc>
          <w:tcPr>
            <w:tcW w:w="9813" w:type="dxa"/>
            <w:gridSpan w:val="11"/>
            <w:tcBorders>
              <w:top w:val="single" w:sz="4" w:space="0" w:color="auto"/>
              <w:left w:val="nil"/>
              <w:bottom w:val="nil"/>
              <w:right w:val="nil"/>
            </w:tcBorders>
          </w:tcPr>
          <w:p w:rsidR="00072432" w:rsidRPr="001B4A95" w:rsidRDefault="00072432" w:rsidP="00F61756">
            <w:pPr>
              <w:shd w:val="clear" w:color="auto" w:fill="FFFFFF"/>
              <w:spacing w:line="276" w:lineRule="auto"/>
              <w:jc w:val="both"/>
              <w:rPr>
                <w:rFonts w:asciiTheme="majorHAnsi" w:eastAsia="Times New Roman" w:hAnsiTheme="majorHAnsi" w:cstheme="majorHAnsi"/>
                <w:bCs w:val="0"/>
                <w:i/>
                <w:sz w:val="20"/>
                <w:szCs w:val="20"/>
                <w:shd w:val="clear" w:color="auto" w:fill="FFFFFF"/>
              </w:rPr>
            </w:pPr>
            <w:r w:rsidRPr="001B4A95">
              <w:rPr>
                <w:rFonts w:asciiTheme="majorHAnsi" w:eastAsia="Times New Roman" w:hAnsiTheme="majorHAnsi" w:cstheme="majorHAnsi"/>
                <w:i/>
                <w:sz w:val="20"/>
                <w:szCs w:val="20"/>
                <w:shd w:val="clear" w:color="auto" w:fill="FFFFFF"/>
              </w:rPr>
              <w:t>Sursa:</w:t>
            </w:r>
            <w:r w:rsidRPr="001B4A95">
              <w:rPr>
                <w:rFonts w:asciiTheme="majorHAnsi" w:eastAsia="Times New Roman" w:hAnsiTheme="majorHAnsi" w:cstheme="majorHAnsi"/>
                <w:b w:val="0"/>
                <w:bCs w:val="0"/>
                <w:i/>
                <w:sz w:val="20"/>
                <w:szCs w:val="20"/>
                <w:shd w:val="clear" w:color="auto" w:fill="FFFFFF"/>
              </w:rPr>
              <w:t xml:space="preserve"> Date</w:t>
            </w:r>
            <w:r w:rsidR="006F701B">
              <w:rPr>
                <w:rFonts w:asciiTheme="majorHAnsi" w:eastAsia="Times New Roman" w:hAnsiTheme="majorHAnsi" w:cstheme="majorHAnsi"/>
                <w:b w:val="0"/>
                <w:bCs w:val="0"/>
                <w:i/>
                <w:sz w:val="20"/>
                <w:szCs w:val="20"/>
                <w:shd w:val="clear" w:color="auto" w:fill="FFFFFF"/>
              </w:rPr>
              <w:t xml:space="preserve"> oferite d</w:t>
            </w:r>
            <w:r w:rsidRPr="001B4A95">
              <w:rPr>
                <w:rFonts w:asciiTheme="majorHAnsi" w:eastAsia="Times New Roman" w:hAnsiTheme="majorHAnsi" w:cstheme="majorHAnsi"/>
                <w:b w:val="0"/>
                <w:bCs w:val="0"/>
                <w:i/>
                <w:sz w:val="20"/>
                <w:szCs w:val="20"/>
                <w:shd w:val="clear" w:color="auto" w:fill="FFFFFF"/>
              </w:rPr>
              <w:t>e IPM.</w:t>
            </w:r>
          </w:p>
        </w:tc>
      </w:tr>
    </w:tbl>
    <w:p w:rsidR="00942BD4" w:rsidRPr="008376FC" w:rsidRDefault="00942BD4" w:rsidP="00F61756">
      <w:pPr>
        <w:shd w:val="clear" w:color="auto" w:fill="FFFFFF"/>
        <w:spacing w:after="0" w:line="276" w:lineRule="auto"/>
        <w:jc w:val="both"/>
        <w:rPr>
          <w:rFonts w:asciiTheme="majorHAnsi" w:eastAsia="Times New Roman" w:hAnsiTheme="majorHAnsi" w:cstheme="majorHAnsi"/>
          <w:b w:val="0"/>
          <w:bCs w:val="0"/>
          <w:sz w:val="24"/>
          <w:szCs w:val="24"/>
          <w:shd w:val="clear" w:color="auto" w:fill="FFFFFF"/>
        </w:rPr>
      </w:pPr>
    </w:p>
    <w:p w:rsidR="004B6B06" w:rsidRPr="008376FC" w:rsidRDefault="004B6B06" w:rsidP="00F61756">
      <w:pPr>
        <w:shd w:val="clear" w:color="auto" w:fill="FFFFFF"/>
        <w:spacing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Datele din Tabel relevă că, în perioada auditată</w:t>
      </w:r>
      <w:r w:rsidR="006F701B">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sumele de amenzi calculate în domeniul apei au înregistrat un trend neuniform. Per total</w:t>
      </w:r>
      <w:r w:rsidR="006F701B">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w:t>
      </w:r>
      <w:r w:rsidR="006F701B">
        <w:rPr>
          <w:rFonts w:asciiTheme="majorHAnsi" w:eastAsia="Times New Roman" w:hAnsiTheme="majorHAnsi" w:cstheme="majorHAnsi"/>
          <w:b w:val="0"/>
          <w:bCs w:val="0"/>
          <w:sz w:val="24"/>
          <w:szCs w:val="24"/>
          <w:shd w:val="clear" w:color="auto" w:fill="FFFFFF"/>
        </w:rPr>
        <w:t>î</w:t>
      </w:r>
      <w:r w:rsidRPr="008376FC">
        <w:rPr>
          <w:rFonts w:asciiTheme="majorHAnsi" w:eastAsia="Times New Roman" w:hAnsiTheme="majorHAnsi" w:cstheme="majorHAnsi"/>
          <w:b w:val="0"/>
          <w:bCs w:val="0"/>
          <w:sz w:val="24"/>
          <w:szCs w:val="24"/>
          <w:shd w:val="clear" w:color="auto" w:fill="FFFFFF"/>
        </w:rPr>
        <w:t xml:space="preserve">n anii 2014-2021 </w:t>
      </w:r>
      <w:r w:rsidR="006F701B">
        <w:rPr>
          <w:rFonts w:asciiTheme="majorHAnsi" w:eastAsia="Times New Roman" w:hAnsiTheme="majorHAnsi" w:cstheme="majorHAnsi"/>
          <w:b w:val="0"/>
          <w:bCs w:val="0"/>
          <w:sz w:val="24"/>
          <w:szCs w:val="24"/>
          <w:shd w:val="clear" w:color="auto" w:fill="FFFFFF"/>
        </w:rPr>
        <w:t>au fost</w:t>
      </w:r>
      <w:r w:rsidRPr="008376FC">
        <w:rPr>
          <w:rFonts w:asciiTheme="majorHAnsi" w:eastAsia="Times New Roman" w:hAnsiTheme="majorHAnsi" w:cstheme="majorHAnsi"/>
          <w:b w:val="0"/>
          <w:bCs w:val="0"/>
          <w:sz w:val="24"/>
          <w:szCs w:val="24"/>
          <w:shd w:val="clear" w:color="auto" w:fill="FFFFFF"/>
        </w:rPr>
        <w:t xml:space="preserve"> calculate 9</w:t>
      </w:r>
      <w:r w:rsidR="006F701B">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717,3 mii lei, achitate </w:t>
      </w:r>
      <w:r w:rsidR="006F701B">
        <w:rPr>
          <w:rFonts w:asciiTheme="majorHAnsi" w:eastAsia="Times New Roman" w:hAnsiTheme="majorHAnsi" w:cstheme="majorHAnsi"/>
          <w:b w:val="0"/>
          <w:bCs w:val="0"/>
          <w:sz w:val="24"/>
          <w:szCs w:val="24"/>
          <w:shd w:val="clear" w:color="auto" w:fill="FFFFFF"/>
        </w:rPr>
        <w:t xml:space="preserve">– </w:t>
      </w:r>
      <w:r w:rsidRPr="008376FC">
        <w:rPr>
          <w:rFonts w:asciiTheme="majorHAnsi" w:eastAsia="Times New Roman" w:hAnsiTheme="majorHAnsi" w:cstheme="majorHAnsi"/>
          <w:b w:val="0"/>
          <w:bCs w:val="0"/>
          <w:sz w:val="24"/>
          <w:szCs w:val="24"/>
          <w:shd w:val="clear" w:color="auto" w:fill="FFFFFF"/>
        </w:rPr>
        <w:t>4</w:t>
      </w:r>
      <w:r w:rsidR="006F701B">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505,0 mii lei, din care</w:t>
      </w:r>
      <w:r w:rsidR="006F701B">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achitate </w:t>
      </w:r>
      <w:r w:rsidR="006F701B">
        <w:rPr>
          <w:rFonts w:asciiTheme="majorHAnsi" w:eastAsia="Times New Roman" w:hAnsiTheme="majorHAnsi" w:cstheme="majorHAnsi"/>
          <w:b w:val="0"/>
          <w:bCs w:val="0"/>
          <w:sz w:val="24"/>
          <w:szCs w:val="24"/>
          <w:shd w:val="clear" w:color="auto" w:fill="FFFFFF"/>
        </w:rPr>
        <w:t>î</w:t>
      </w:r>
      <w:r w:rsidRPr="008376FC">
        <w:rPr>
          <w:rFonts w:asciiTheme="majorHAnsi" w:eastAsia="Times New Roman" w:hAnsiTheme="majorHAnsi" w:cstheme="majorHAnsi"/>
          <w:b w:val="0"/>
          <w:bCs w:val="0"/>
          <w:sz w:val="24"/>
          <w:szCs w:val="24"/>
          <w:shd w:val="clear" w:color="auto" w:fill="FFFFFF"/>
        </w:rPr>
        <w:t>n primele 72 de ore – 4</w:t>
      </w:r>
      <w:r w:rsidR="006F701B">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280,2 mii lei</w:t>
      </w:r>
      <w:r w:rsidR="006F701B">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sau 95%, respectiv anulate ca urmare a achitării amenzilor în primele 72 de ore </w:t>
      </w:r>
      <w:r w:rsidR="006F701B">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4</w:t>
      </w:r>
      <w:r w:rsidR="006F701B">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280,2 mii lei. </w:t>
      </w:r>
    </w:p>
    <w:p w:rsidR="00BA3BE5" w:rsidRDefault="004B6B06"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Deși IPM a aprobat Lista cu 69 de indicatori de performanță, aceasta nu permite evaluarea valorii obligațiunilor reale pentru plata amenzilor per total la finele unei perioade determinate, inclusiv pe domeniul resurselor de apă. În lista respectivă nu sunt inclu</w:t>
      </w:r>
      <w:r w:rsidR="00BA3BE5">
        <w:rPr>
          <w:rFonts w:asciiTheme="majorHAnsi" w:eastAsia="Times New Roman" w:hAnsiTheme="majorHAnsi" w:cstheme="majorHAnsi"/>
          <w:b w:val="0"/>
          <w:bCs w:val="0"/>
          <w:sz w:val="24"/>
          <w:szCs w:val="24"/>
          <w:shd w:val="clear" w:color="auto" w:fill="FFFFFF"/>
        </w:rPr>
        <w:t>și</w:t>
      </w:r>
      <w:r w:rsidRPr="008376FC">
        <w:rPr>
          <w:rFonts w:asciiTheme="majorHAnsi" w:eastAsia="Times New Roman" w:hAnsiTheme="majorHAnsi" w:cstheme="majorHAnsi"/>
          <w:b w:val="0"/>
          <w:bCs w:val="0"/>
          <w:sz w:val="24"/>
          <w:szCs w:val="24"/>
          <w:shd w:val="clear" w:color="auto" w:fill="FFFFFF"/>
        </w:rPr>
        <w:t xml:space="preserve"> indicatorii care participă la calcularea obligațiunilor reale față de buget: sumele de amenzi anulate ca urmare a survenirii termenului de prescripție de un an, sumele de amenzi substituite cu munca neremunerată, sumele anulate prin deciziile instanțelor de judecată etc. În lipsa acestor indicatori</w:t>
      </w:r>
      <w:r w:rsidR="00BA3BE5">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nu este posibilă calcularea valorii obligațiunilor reale față de BS la o dată determinată. </w:t>
      </w:r>
    </w:p>
    <w:p w:rsidR="004B6B06" w:rsidRPr="008376FC" w:rsidRDefault="004B6B06"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 xml:space="preserve">Presupunând că toate obligațiunile din </w:t>
      </w:r>
      <w:r w:rsidR="006902FD" w:rsidRPr="008376FC">
        <w:rPr>
          <w:rFonts w:asciiTheme="majorHAnsi" w:eastAsia="Times New Roman" w:hAnsiTheme="majorHAnsi" w:cstheme="majorHAnsi"/>
          <w:b w:val="0"/>
          <w:bCs w:val="0"/>
          <w:sz w:val="24"/>
          <w:szCs w:val="24"/>
          <w:shd w:val="clear" w:color="auto" w:fill="FFFFFF"/>
        </w:rPr>
        <w:t>an</w:t>
      </w:r>
      <w:r w:rsidR="006902FD">
        <w:rPr>
          <w:rFonts w:asciiTheme="majorHAnsi" w:eastAsia="Times New Roman" w:hAnsiTheme="majorHAnsi" w:cstheme="majorHAnsi"/>
          <w:b w:val="0"/>
          <w:bCs w:val="0"/>
          <w:sz w:val="24"/>
          <w:szCs w:val="24"/>
          <w:shd w:val="clear" w:color="auto" w:fill="FFFFFF"/>
        </w:rPr>
        <w:t>ii 2019-</w:t>
      </w:r>
      <w:r w:rsidR="006902FD" w:rsidRPr="008376FC">
        <w:rPr>
          <w:rFonts w:asciiTheme="majorHAnsi" w:eastAsia="Times New Roman" w:hAnsiTheme="majorHAnsi" w:cstheme="majorHAnsi"/>
          <w:b w:val="0"/>
          <w:bCs w:val="0"/>
          <w:sz w:val="24"/>
          <w:szCs w:val="24"/>
          <w:shd w:val="clear" w:color="auto" w:fill="FFFFFF"/>
        </w:rPr>
        <w:t xml:space="preserve"> </w:t>
      </w:r>
      <w:r w:rsidRPr="008376FC">
        <w:rPr>
          <w:rFonts w:asciiTheme="majorHAnsi" w:eastAsia="Times New Roman" w:hAnsiTheme="majorHAnsi" w:cstheme="majorHAnsi"/>
          <w:b w:val="0"/>
          <w:bCs w:val="0"/>
          <w:sz w:val="24"/>
          <w:szCs w:val="24"/>
          <w:shd w:val="clear" w:color="auto" w:fill="FFFFFF"/>
        </w:rPr>
        <w:t xml:space="preserve">2021 sunt în limitele unui an calendaristic, </w:t>
      </w:r>
      <w:r w:rsidR="00BA3BE5">
        <w:rPr>
          <w:rFonts w:asciiTheme="majorHAnsi" w:eastAsia="Times New Roman" w:hAnsiTheme="majorHAnsi" w:cstheme="majorHAnsi"/>
          <w:b w:val="0"/>
          <w:bCs w:val="0"/>
          <w:sz w:val="24"/>
          <w:szCs w:val="24"/>
          <w:shd w:val="clear" w:color="auto" w:fill="FFFFFF"/>
        </w:rPr>
        <w:t>iar</w:t>
      </w:r>
      <w:r w:rsidRPr="008376FC">
        <w:rPr>
          <w:rFonts w:asciiTheme="majorHAnsi" w:eastAsia="Times New Roman" w:hAnsiTheme="majorHAnsi" w:cstheme="majorHAnsi"/>
          <w:b w:val="0"/>
          <w:bCs w:val="0"/>
          <w:sz w:val="24"/>
          <w:szCs w:val="24"/>
          <w:shd w:val="clear" w:color="auto" w:fill="FFFFFF"/>
        </w:rPr>
        <w:t xml:space="preserve"> la începutul anului 2014 nu au existat obligațiuni față de BS pentru plata amenzilor</w:t>
      </w:r>
      <w:r w:rsidRPr="008376FC">
        <w:rPr>
          <w:rFonts w:asciiTheme="majorHAnsi" w:eastAsia="Times New Roman" w:hAnsiTheme="majorHAnsi" w:cstheme="majorHAnsi"/>
          <w:b w:val="0"/>
          <w:bCs w:val="0"/>
          <w:sz w:val="24"/>
          <w:szCs w:val="24"/>
          <w:shd w:val="clear" w:color="auto" w:fill="FFFFFF"/>
          <w:vertAlign w:val="superscript"/>
        </w:rPr>
        <w:footnoteReference w:id="152"/>
      </w:r>
      <w:r w:rsidRPr="008376FC">
        <w:rPr>
          <w:rFonts w:asciiTheme="majorHAnsi" w:eastAsia="Times New Roman" w:hAnsiTheme="majorHAnsi" w:cstheme="majorHAnsi"/>
          <w:b w:val="0"/>
          <w:bCs w:val="0"/>
          <w:sz w:val="24"/>
          <w:szCs w:val="24"/>
          <w:shd w:val="clear" w:color="auto" w:fill="FFFFFF"/>
        </w:rPr>
        <w:t>,  în anii 2014-</w:t>
      </w:r>
      <w:r w:rsidR="006902FD" w:rsidRPr="008376FC">
        <w:rPr>
          <w:rFonts w:asciiTheme="majorHAnsi" w:eastAsia="Times New Roman" w:hAnsiTheme="majorHAnsi" w:cstheme="majorHAnsi"/>
          <w:b w:val="0"/>
          <w:bCs w:val="0"/>
          <w:sz w:val="24"/>
          <w:szCs w:val="24"/>
          <w:shd w:val="clear" w:color="auto" w:fill="FFFFFF"/>
        </w:rPr>
        <w:t>20</w:t>
      </w:r>
      <w:r w:rsidR="006902FD">
        <w:rPr>
          <w:rFonts w:asciiTheme="majorHAnsi" w:eastAsia="Times New Roman" w:hAnsiTheme="majorHAnsi" w:cstheme="majorHAnsi"/>
          <w:b w:val="0"/>
          <w:bCs w:val="0"/>
          <w:sz w:val="24"/>
          <w:szCs w:val="24"/>
          <w:shd w:val="clear" w:color="auto" w:fill="FFFFFF"/>
        </w:rPr>
        <w:t>18</w:t>
      </w:r>
      <w:r w:rsidR="006902FD" w:rsidRPr="008376FC">
        <w:rPr>
          <w:rFonts w:asciiTheme="majorHAnsi" w:eastAsia="Times New Roman" w:hAnsiTheme="majorHAnsi" w:cstheme="majorHAnsi"/>
          <w:b w:val="0"/>
          <w:bCs w:val="0"/>
          <w:sz w:val="24"/>
          <w:szCs w:val="24"/>
          <w:shd w:val="clear" w:color="auto" w:fill="FFFFFF"/>
        </w:rPr>
        <w:t xml:space="preserve"> </w:t>
      </w:r>
      <w:r w:rsidRPr="008376FC">
        <w:rPr>
          <w:rFonts w:asciiTheme="majorHAnsi" w:eastAsia="Times New Roman" w:hAnsiTheme="majorHAnsi" w:cstheme="majorHAnsi"/>
          <w:b w:val="0"/>
          <w:bCs w:val="0"/>
          <w:sz w:val="24"/>
          <w:szCs w:val="24"/>
          <w:shd w:val="clear" w:color="auto" w:fill="FFFFFF"/>
        </w:rPr>
        <w:t xml:space="preserve">la BS, doar din amenzile aferente resurselor de apă, nu au fost încasate estimativ </w:t>
      </w:r>
      <w:r w:rsidR="006902FD">
        <w:rPr>
          <w:rFonts w:asciiTheme="majorHAnsi" w:eastAsia="Times New Roman" w:hAnsiTheme="majorHAnsi" w:cstheme="majorHAnsi"/>
          <w:b w:val="0"/>
          <w:bCs w:val="0"/>
          <w:sz w:val="24"/>
          <w:szCs w:val="24"/>
          <w:shd w:val="clear" w:color="auto" w:fill="FFFFFF"/>
        </w:rPr>
        <w:t>695,3</w:t>
      </w:r>
      <w:r w:rsidRPr="008376FC">
        <w:rPr>
          <w:rFonts w:asciiTheme="majorHAnsi" w:eastAsia="Times New Roman" w:hAnsiTheme="majorHAnsi" w:cstheme="majorHAnsi"/>
          <w:b w:val="0"/>
          <w:bCs w:val="0"/>
          <w:sz w:val="24"/>
          <w:szCs w:val="24"/>
          <w:shd w:val="clear" w:color="auto" w:fill="FFFFFF"/>
        </w:rPr>
        <w:t xml:space="preserve"> mii lei (932,1 mii lei</w:t>
      </w:r>
      <w:r w:rsidRPr="008376FC">
        <w:rPr>
          <w:rFonts w:asciiTheme="majorHAnsi" w:eastAsia="Times New Roman" w:hAnsiTheme="majorHAnsi" w:cstheme="majorHAnsi"/>
          <w:b w:val="0"/>
          <w:bCs w:val="0"/>
          <w:sz w:val="24"/>
          <w:szCs w:val="24"/>
          <w:shd w:val="clear" w:color="auto" w:fill="FFFFFF"/>
          <w:vertAlign w:val="superscript"/>
        </w:rPr>
        <w:footnoteReference w:id="153"/>
      </w:r>
      <w:r w:rsidRPr="008376FC">
        <w:rPr>
          <w:rFonts w:asciiTheme="majorHAnsi" w:eastAsia="Times New Roman" w:hAnsiTheme="majorHAnsi" w:cstheme="majorHAnsi"/>
          <w:b w:val="0"/>
          <w:bCs w:val="0"/>
          <w:sz w:val="24"/>
          <w:szCs w:val="24"/>
          <w:shd w:val="clear" w:color="auto" w:fill="FFFFFF"/>
        </w:rPr>
        <w:t xml:space="preserve"> – 69,4 mii lei</w:t>
      </w:r>
      <w:r w:rsidRPr="008376FC">
        <w:rPr>
          <w:rFonts w:asciiTheme="majorHAnsi" w:eastAsia="Times New Roman" w:hAnsiTheme="majorHAnsi" w:cstheme="majorHAnsi"/>
          <w:b w:val="0"/>
          <w:bCs w:val="0"/>
          <w:sz w:val="24"/>
          <w:szCs w:val="24"/>
          <w:shd w:val="clear" w:color="auto" w:fill="FFFFFF"/>
          <w:vertAlign w:val="superscript"/>
        </w:rPr>
        <w:footnoteReference w:id="154"/>
      </w:r>
      <w:r w:rsidR="006902FD">
        <w:rPr>
          <w:rFonts w:asciiTheme="majorHAnsi" w:eastAsia="Times New Roman" w:hAnsiTheme="majorHAnsi" w:cstheme="majorHAnsi"/>
          <w:b w:val="0"/>
          <w:bCs w:val="0"/>
          <w:sz w:val="24"/>
          <w:szCs w:val="24"/>
          <w:shd w:val="clear" w:color="auto" w:fill="FFFFFF"/>
        </w:rPr>
        <w:t xml:space="preserve"> -131,4 mii lei -36,0 mii lei</w:t>
      </w:r>
      <w:r w:rsidRPr="008376FC">
        <w:rPr>
          <w:rFonts w:asciiTheme="majorHAnsi" w:eastAsia="Times New Roman" w:hAnsiTheme="majorHAnsi" w:cstheme="majorHAnsi"/>
          <w:b w:val="0"/>
          <w:bCs w:val="0"/>
          <w:sz w:val="24"/>
          <w:szCs w:val="24"/>
          <w:shd w:val="clear" w:color="auto" w:fill="FFFFFF"/>
        </w:rPr>
        <w:t>), care</w:t>
      </w:r>
      <w:r w:rsidR="00BA3BE5">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în condițiile cadrului regulator</w:t>
      </w:r>
      <w:r w:rsidR="00BA3BE5">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urmau a fi anulate/casate ca obligațiuni cu termen de prescripție expirat (</w:t>
      </w:r>
      <w:r w:rsidR="006902FD">
        <w:rPr>
          <w:rFonts w:asciiTheme="majorHAnsi" w:eastAsia="Times New Roman" w:hAnsiTheme="majorHAnsi" w:cstheme="majorHAnsi"/>
          <w:b w:val="0"/>
          <w:bCs w:val="0"/>
          <w:sz w:val="24"/>
          <w:szCs w:val="24"/>
          <w:shd w:val="clear" w:color="auto" w:fill="FFFFFF"/>
        </w:rPr>
        <w:t>3</w:t>
      </w:r>
      <w:r w:rsidR="006902FD" w:rsidRPr="008376FC">
        <w:rPr>
          <w:rFonts w:asciiTheme="majorHAnsi" w:eastAsia="Times New Roman" w:hAnsiTheme="majorHAnsi" w:cstheme="majorHAnsi"/>
          <w:b w:val="0"/>
          <w:bCs w:val="0"/>
          <w:sz w:val="24"/>
          <w:szCs w:val="24"/>
          <w:shd w:val="clear" w:color="auto" w:fill="FFFFFF"/>
        </w:rPr>
        <w:t xml:space="preserve"> </w:t>
      </w:r>
      <w:r w:rsidRPr="008376FC">
        <w:rPr>
          <w:rFonts w:asciiTheme="majorHAnsi" w:eastAsia="Times New Roman" w:hAnsiTheme="majorHAnsi" w:cstheme="majorHAnsi"/>
          <w:b w:val="0"/>
          <w:bCs w:val="0"/>
          <w:sz w:val="24"/>
          <w:szCs w:val="24"/>
          <w:shd w:val="clear" w:color="auto" w:fill="FFFFFF"/>
        </w:rPr>
        <w:t>an</w:t>
      </w:r>
      <w:r w:rsidR="006902FD">
        <w:rPr>
          <w:rFonts w:asciiTheme="majorHAnsi" w:eastAsia="Times New Roman" w:hAnsiTheme="majorHAnsi" w:cstheme="majorHAnsi"/>
          <w:b w:val="0"/>
          <w:bCs w:val="0"/>
          <w:sz w:val="24"/>
          <w:szCs w:val="24"/>
          <w:shd w:val="clear" w:color="auto" w:fill="FFFFFF"/>
        </w:rPr>
        <w:t>i</w:t>
      </w:r>
      <w:r w:rsidRPr="008376FC">
        <w:rPr>
          <w:rFonts w:asciiTheme="majorHAnsi" w:eastAsia="Times New Roman" w:hAnsiTheme="majorHAnsi" w:cstheme="majorHAnsi"/>
          <w:b w:val="0"/>
          <w:bCs w:val="0"/>
          <w:sz w:val="24"/>
          <w:szCs w:val="24"/>
          <w:shd w:val="clear" w:color="auto" w:fill="FFFFFF"/>
        </w:rPr>
        <w:t>) și ținute în evidență contabil</w:t>
      </w:r>
      <w:r w:rsidR="00BA3BE5">
        <w:rPr>
          <w:rFonts w:asciiTheme="majorHAnsi" w:eastAsia="Times New Roman" w:hAnsiTheme="majorHAnsi" w:cstheme="majorHAnsi"/>
          <w:b w:val="0"/>
          <w:bCs w:val="0"/>
          <w:sz w:val="24"/>
          <w:szCs w:val="24"/>
          <w:shd w:val="clear" w:color="auto" w:fill="FFFFFF"/>
        </w:rPr>
        <w:t>ă</w:t>
      </w:r>
      <w:r w:rsidRPr="008376FC">
        <w:rPr>
          <w:rFonts w:asciiTheme="majorHAnsi" w:eastAsia="Times New Roman" w:hAnsiTheme="majorHAnsi" w:cstheme="majorHAnsi"/>
          <w:b w:val="0"/>
          <w:bCs w:val="0"/>
          <w:sz w:val="24"/>
          <w:szCs w:val="24"/>
          <w:shd w:val="clear" w:color="auto" w:fill="FFFFFF"/>
        </w:rPr>
        <w:t xml:space="preserve"> la un cont distinct</w:t>
      </w:r>
      <w:r w:rsidR="006902FD">
        <w:rPr>
          <w:rFonts w:asciiTheme="majorHAnsi" w:eastAsia="Times New Roman" w:hAnsiTheme="majorHAnsi" w:cstheme="majorHAnsi"/>
          <w:b w:val="0"/>
          <w:bCs w:val="0"/>
          <w:sz w:val="24"/>
          <w:szCs w:val="24"/>
          <w:shd w:val="clear" w:color="auto" w:fill="FFFFFF"/>
        </w:rPr>
        <w:t xml:space="preserve"> aferent obligațiunilor compromise</w:t>
      </w:r>
      <w:r w:rsidRPr="008376FC">
        <w:rPr>
          <w:rFonts w:asciiTheme="majorHAnsi" w:eastAsia="Times New Roman" w:hAnsiTheme="majorHAnsi" w:cstheme="majorHAnsi"/>
          <w:b w:val="0"/>
          <w:bCs w:val="0"/>
          <w:sz w:val="24"/>
          <w:szCs w:val="24"/>
          <w:shd w:val="clear" w:color="auto" w:fill="FFFFFF"/>
        </w:rPr>
        <w:t>.</w:t>
      </w:r>
    </w:p>
    <w:p w:rsidR="004B6B06" w:rsidRPr="008376FC" w:rsidRDefault="00BA3BE5" w:rsidP="00F61756">
      <w:pPr>
        <w:numPr>
          <w:ilvl w:val="0"/>
          <w:numId w:val="20"/>
        </w:numPr>
        <w:autoSpaceDE w:val="0"/>
        <w:autoSpaceDN w:val="0"/>
        <w:adjustRightInd w:val="0"/>
        <w:spacing w:before="120" w:after="0" w:line="276" w:lineRule="auto"/>
        <w:ind w:left="0" w:firstLine="360"/>
        <w:jc w:val="both"/>
        <w:rPr>
          <w:rFonts w:asciiTheme="majorHAnsi" w:eastAsia="Calibri" w:hAnsiTheme="majorHAnsi" w:cstheme="majorHAnsi"/>
          <w:b w:val="0"/>
          <w:bCs w:val="0"/>
          <w:sz w:val="24"/>
          <w:szCs w:val="24"/>
        </w:rPr>
      </w:pPr>
      <w:r>
        <w:rPr>
          <w:rFonts w:asciiTheme="majorHAnsi" w:eastAsia="Calibri" w:hAnsiTheme="majorHAnsi" w:cstheme="majorHAnsi"/>
          <w:b w:val="0"/>
          <w:bCs w:val="0"/>
          <w:sz w:val="24"/>
          <w:szCs w:val="24"/>
          <w:shd w:val="clear" w:color="auto" w:fill="FFFFFF"/>
        </w:rPr>
        <w:t>O s</w:t>
      </w:r>
      <w:r w:rsidR="004B6B06" w:rsidRPr="008376FC">
        <w:rPr>
          <w:rFonts w:asciiTheme="majorHAnsi" w:eastAsia="Calibri" w:hAnsiTheme="majorHAnsi" w:cstheme="majorHAnsi"/>
          <w:b w:val="0"/>
          <w:bCs w:val="0"/>
          <w:sz w:val="24"/>
          <w:szCs w:val="24"/>
          <w:shd w:val="clear" w:color="auto" w:fill="FFFFFF"/>
        </w:rPr>
        <w:t>ituați</w:t>
      </w:r>
      <w:r>
        <w:rPr>
          <w:rFonts w:asciiTheme="majorHAnsi" w:eastAsia="Calibri" w:hAnsiTheme="majorHAnsi" w:cstheme="majorHAnsi"/>
          <w:b w:val="0"/>
          <w:bCs w:val="0"/>
          <w:sz w:val="24"/>
          <w:szCs w:val="24"/>
          <w:shd w:val="clear" w:color="auto" w:fill="FFFFFF"/>
        </w:rPr>
        <w:t>e</w:t>
      </w:r>
      <w:r w:rsidR="004B6B06" w:rsidRPr="008376FC">
        <w:rPr>
          <w:rFonts w:asciiTheme="majorHAnsi" w:eastAsia="Calibri" w:hAnsiTheme="majorHAnsi" w:cstheme="majorHAnsi"/>
          <w:b w:val="0"/>
          <w:bCs w:val="0"/>
          <w:sz w:val="24"/>
          <w:szCs w:val="24"/>
          <w:shd w:val="clear" w:color="auto" w:fill="FFFFFF"/>
        </w:rPr>
        <w:t xml:space="preserve"> similară se atestă și la încasarea prejudicii</w:t>
      </w:r>
      <w:r>
        <w:rPr>
          <w:rFonts w:asciiTheme="majorHAnsi" w:eastAsia="Calibri" w:hAnsiTheme="majorHAnsi" w:cstheme="majorHAnsi"/>
          <w:b w:val="0"/>
          <w:bCs w:val="0"/>
          <w:sz w:val="24"/>
          <w:szCs w:val="24"/>
          <w:shd w:val="clear" w:color="auto" w:fill="FFFFFF"/>
        </w:rPr>
        <w:t>lor</w:t>
      </w:r>
      <w:r w:rsidR="004B6B06" w:rsidRPr="008376FC">
        <w:rPr>
          <w:rFonts w:asciiTheme="majorHAnsi" w:eastAsia="Calibri" w:hAnsiTheme="majorHAnsi" w:cstheme="majorHAnsi"/>
          <w:b w:val="0"/>
          <w:bCs w:val="0"/>
          <w:sz w:val="24"/>
          <w:szCs w:val="24"/>
          <w:shd w:val="clear" w:color="auto" w:fill="FFFFFF"/>
        </w:rPr>
        <w:t xml:space="preserve"> cauzate mediului. </w:t>
      </w:r>
      <w:r w:rsidR="004B6B06" w:rsidRPr="008376FC">
        <w:rPr>
          <w:rFonts w:asciiTheme="majorHAnsi" w:eastAsia="Calibri" w:hAnsiTheme="majorHAnsi" w:cstheme="majorHAnsi"/>
          <w:b w:val="0"/>
          <w:bCs w:val="0"/>
          <w:sz w:val="24"/>
          <w:szCs w:val="24"/>
        </w:rPr>
        <w:t>De regulă, în domeniul protecției mediului, fiecare activitate ilicită îndreptată contra valorilor ocrotite de lege</w:t>
      </w:r>
      <w:r>
        <w:rPr>
          <w:rFonts w:asciiTheme="majorHAnsi" w:eastAsia="Calibri" w:hAnsiTheme="majorHAnsi" w:cstheme="majorHAnsi"/>
          <w:b w:val="0"/>
          <w:bCs w:val="0"/>
          <w:sz w:val="24"/>
          <w:szCs w:val="24"/>
        </w:rPr>
        <w:t>,</w:t>
      </w:r>
      <w:r w:rsidR="004B6B06" w:rsidRPr="008376FC">
        <w:rPr>
          <w:rFonts w:asciiTheme="majorHAnsi" w:eastAsia="Calibri" w:hAnsiTheme="majorHAnsi" w:cstheme="majorHAnsi"/>
          <w:b w:val="0"/>
          <w:bCs w:val="0"/>
          <w:sz w:val="24"/>
          <w:szCs w:val="24"/>
        </w:rPr>
        <w:t xml:space="preserve"> precum resursele naturale, sunt precedate de prejudicii cauzate componentelor de mediu, uneori irecuperabile în raport cu care acțiuni</w:t>
      </w:r>
      <w:r w:rsidR="0049536F">
        <w:rPr>
          <w:rFonts w:asciiTheme="majorHAnsi" w:eastAsia="Calibri" w:hAnsiTheme="majorHAnsi" w:cstheme="majorHAnsi"/>
          <w:b w:val="0"/>
          <w:bCs w:val="0"/>
          <w:sz w:val="24"/>
          <w:szCs w:val="24"/>
        </w:rPr>
        <w:t>le</w:t>
      </w:r>
      <w:r w:rsidR="004B6B06" w:rsidRPr="008376FC">
        <w:rPr>
          <w:rFonts w:asciiTheme="majorHAnsi" w:eastAsia="Calibri" w:hAnsiTheme="majorHAnsi" w:cstheme="majorHAnsi"/>
          <w:b w:val="0"/>
          <w:bCs w:val="0"/>
          <w:sz w:val="24"/>
          <w:szCs w:val="24"/>
        </w:rPr>
        <w:t xml:space="preserve"> statul</w:t>
      </w:r>
      <w:r w:rsidR="0049536F">
        <w:rPr>
          <w:rFonts w:asciiTheme="majorHAnsi" w:eastAsia="Calibri" w:hAnsiTheme="majorHAnsi" w:cstheme="majorHAnsi"/>
          <w:b w:val="0"/>
          <w:bCs w:val="0"/>
          <w:sz w:val="24"/>
          <w:szCs w:val="24"/>
        </w:rPr>
        <w:t>ui,</w:t>
      </w:r>
      <w:r w:rsidR="004B6B06" w:rsidRPr="008376FC">
        <w:rPr>
          <w:rFonts w:asciiTheme="majorHAnsi" w:eastAsia="Calibri" w:hAnsiTheme="majorHAnsi" w:cstheme="majorHAnsi"/>
          <w:b w:val="0"/>
          <w:bCs w:val="0"/>
          <w:sz w:val="24"/>
          <w:szCs w:val="24"/>
        </w:rPr>
        <w:t xml:space="preserve"> prin intermediul actelor normative</w:t>
      </w:r>
      <w:r w:rsidR="0049536F">
        <w:rPr>
          <w:rFonts w:asciiTheme="majorHAnsi" w:eastAsia="Calibri" w:hAnsiTheme="majorHAnsi" w:cstheme="majorHAnsi"/>
          <w:b w:val="0"/>
          <w:bCs w:val="0"/>
          <w:sz w:val="24"/>
          <w:szCs w:val="24"/>
        </w:rPr>
        <w:t>,</w:t>
      </w:r>
      <w:r w:rsidR="004B6B06" w:rsidRPr="008376FC">
        <w:rPr>
          <w:rFonts w:asciiTheme="majorHAnsi" w:eastAsia="Calibri" w:hAnsiTheme="majorHAnsi" w:cstheme="majorHAnsi"/>
          <w:b w:val="0"/>
          <w:bCs w:val="0"/>
          <w:sz w:val="24"/>
          <w:szCs w:val="24"/>
        </w:rPr>
        <w:t xml:space="preserve">  stabil</w:t>
      </w:r>
      <w:r w:rsidR="0049536F">
        <w:rPr>
          <w:rFonts w:asciiTheme="majorHAnsi" w:eastAsia="Calibri" w:hAnsiTheme="majorHAnsi" w:cstheme="majorHAnsi"/>
          <w:b w:val="0"/>
          <w:bCs w:val="0"/>
          <w:sz w:val="24"/>
          <w:szCs w:val="24"/>
        </w:rPr>
        <w:t>esc</w:t>
      </w:r>
      <w:r w:rsidR="004B6B06" w:rsidRPr="008376FC">
        <w:rPr>
          <w:rFonts w:asciiTheme="majorHAnsi" w:eastAsia="Calibri" w:hAnsiTheme="majorHAnsi" w:cstheme="majorHAnsi"/>
          <w:b w:val="0"/>
          <w:bCs w:val="0"/>
          <w:sz w:val="24"/>
          <w:szCs w:val="24"/>
        </w:rPr>
        <w:t xml:space="preserve"> cuantumul prejudiciilor pentru utilizarea irațională a resurselor naturale, poluare etc. </w:t>
      </w:r>
    </w:p>
    <w:p w:rsidR="004B6B06" w:rsidRPr="008376FC" w:rsidRDefault="004B6B06" w:rsidP="00F61756">
      <w:pPr>
        <w:autoSpaceDE w:val="0"/>
        <w:autoSpaceDN w:val="0"/>
        <w:adjustRightInd w:val="0"/>
        <w:spacing w:before="120" w:after="0" w:line="276" w:lineRule="auto"/>
        <w:jc w:val="both"/>
        <w:rPr>
          <w:rFonts w:asciiTheme="majorHAnsi" w:eastAsia="Calibri" w:hAnsiTheme="majorHAnsi" w:cstheme="majorHAnsi"/>
          <w:b w:val="0"/>
          <w:bCs w:val="0"/>
          <w:sz w:val="24"/>
          <w:szCs w:val="24"/>
        </w:rPr>
      </w:pPr>
      <w:r w:rsidRPr="008376FC">
        <w:rPr>
          <w:rFonts w:asciiTheme="majorHAnsi" w:eastAsia="Calibri" w:hAnsiTheme="majorHAnsi" w:cstheme="majorHAnsi"/>
          <w:b w:val="0"/>
          <w:bCs w:val="0"/>
          <w:sz w:val="24"/>
          <w:szCs w:val="24"/>
        </w:rPr>
        <w:t>Mecanismul de executare a hotărârilor judecătorești implică apariția cheltuielilor suplimentare în legătură cu cauzele civile intentate în vederea recuperării în mod forțat a prejudiciilor cauzate mediului prin intermediul instanțelor de judecată</w:t>
      </w:r>
      <w:r w:rsidR="0049536F">
        <w:rPr>
          <w:rFonts w:asciiTheme="majorHAnsi" w:eastAsia="Calibri" w:hAnsiTheme="majorHAnsi" w:cstheme="majorHAnsi"/>
          <w:b w:val="0"/>
          <w:bCs w:val="0"/>
          <w:sz w:val="24"/>
          <w:szCs w:val="24"/>
        </w:rPr>
        <w:t>.</w:t>
      </w:r>
      <w:r w:rsidRPr="008376FC">
        <w:rPr>
          <w:rFonts w:asciiTheme="majorHAnsi" w:eastAsia="Calibri" w:hAnsiTheme="majorHAnsi" w:cstheme="majorHAnsi"/>
          <w:b w:val="0"/>
          <w:bCs w:val="0"/>
          <w:sz w:val="24"/>
          <w:szCs w:val="24"/>
        </w:rPr>
        <w:t xml:space="preserve"> </w:t>
      </w:r>
      <w:r w:rsidR="0049536F">
        <w:rPr>
          <w:rFonts w:asciiTheme="majorHAnsi" w:eastAsia="Calibri" w:hAnsiTheme="majorHAnsi" w:cstheme="majorHAnsi"/>
          <w:b w:val="0"/>
          <w:bCs w:val="0"/>
          <w:sz w:val="24"/>
          <w:szCs w:val="24"/>
        </w:rPr>
        <w:t>A</w:t>
      </w:r>
      <w:r w:rsidRPr="008376FC">
        <w:rPr>
          <w:rFonts w:asciiTheme="majorHAnsi" w:eastAsia="Calibri" w:hAnsiTheme="majorHAnsi" w:cstheme="majorHAnsi"/>
          <w:b w:val="0"/>
          <w:bCs w:val="0"/>
          <w:sz w:val="24"/>
          <w:szCs w:val="24"/>
        </w:rPr>
        <w:t>stfel, majoritatea cazurilor contravenționale în care au fost prejudiciate componentele mediului, persoanele culpabile în mod benevol recuperează prejudiciile cauzate</w:t>
      </w:r>
      <w:r w:rsidR="0049536F">
        <w:rPr>
          <w:rFonts w:asciiTheme="majorHAnsi" w:eastAsia="Calibri" w:hAnsiTheme="majorHAnsi" w:cstheme="majorHAnsi"/>
          <w:b w:val="0"/>
          <w:bCs w:val="0"/>
          <w:sz w:val="24"/>
          <w:szCs w:val="24"/>
        </w:rPr>
        <w:t>,</w:t>
      </w:r>
      <w:r w:rsidRPr="008376FC">
        <w:rPr>
          <w:rFonts w:asciiTheme="majorHAnsi" w:eastAsia="Calibri" w:hAnsiTheme="majorHAnsi" w:cstheme="majorHAnsi"/>
          <w:b w:val="0"/>
          <w:bCs w:val="0"/>
          <w:sz w:val="24"/>
          <w:szCs w:val="24"/>
        </w:rPr>
        <w:t xml:space="preserve"> astfel exceptând necesitatea de a recurge la procedura judicioasă. </w:t>
      </w:r>
    </w:p>
    <w:p w:rsidR="00942BD4" w:rsidRPr="008376FC" w:rsidRDefault="004B6B06" w:rsidP="00F61756">
      <w:pPr>
        <w:shd w:val="clear" w:color="auto" w:fill="FFFFFF"/>
        <w:spacing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rPr>
        <w:t>Totuși, există cazuri de neconformare și refuzul recuperării prejudiciului cauzat, iar IPM</w:t>
      </w:r>
      <w:r w:rsidR="0049536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în aceste situații</w:t>
      </w:r>
      <w:r w:rsidR="0049536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înaintează cauze civile în instanțele de judecată</w:t>
      </w:r>
      <w:r w:rsidR="0049536F">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cu solicitarea de a încasa din contul pârâților cuantumul prejudiciilor cauzate de aceștia mediului înconjurător. </w:t>
      </w:r>
      <w:r w:rsidRPr="008376FC">
        <w:rPr>
          <w:rFonts w:asciiTheme="majorHAnsi" w:eastAsia="Times New Roman" w:hAnsiTheme="majorHAnsi" w:cstheme="majorHAnsi"/>
          <w:b w:val="0"/>
          <w:bCs w:val="0"/>
          <w:sz w:val="24"/>
          <w:szCs w:val="24"/>
          <w:shd w:val="clear" w:color="auto" w:fill="FFFFFF"/>
        </w:rPr>
        <w:t xml:space="preserve">Astfel, în perioada 2014-2021 au fost calculate prejudicii în sumă totală de 60,7 mil.lei, </w:t>
      </w:r>
      <w:r w:rsidR="0049536F">
        <w:rPr>
          <w:rFonts w:asciiTheme="majorHAnsi" w:eastAsia="Times New Roman" w:hAnsiTheme="majorHAnsi" w:cstheme="majorHAnsi"/>
          <w:b w:val="0"/>
          <w:bCs w:val="0"/>
          <w:sz w:val="24"/>
          <w:szCs w:val="24"/>
          <w:shd w:val="clear" w:color="auto" w:fill="FFFFFF"/>
        </w:rPr>
        <w:t>din care au fost</w:t>
      </w:r>
      <w:r w:rsidRPr="008376FC">
        <w:rPr>
          <w:rFonts w:asciiTheme="majorHAnsi" w:eastAsia="Times New Roman" w:hAnsiTheme="majorHAnsi" w:cstheme="majorHAnsi"/>
          <w:b w:val="0"/>
          <w:bCs w:val="0"/>
          <w:sz w:val="24"/>
          <w:szCs w:val="24"/>
          <w:shd w:val="clear" w:color="auto" w:fill="FFFFFF"/>
        </w:rPr>
        <w:t xml:space="preserve"> achitate doar 0,4</w:t>
      </w:r>
      <w:r w:rsidR="00FB168A" w:rsidRPr="008376FC">
        <w:rPr>
          <w:rFonts w:asciiTheme="majorHAnsi" w:eastAsia="Times New Roman" w:hAnsiTheme="majorHAnsi" w:cstheme="majorHAnsi"/>
          <w:b w:val="0"/>
          <w:bCs w:val="0"/>
          <w:sz w:val="24"/>
          <w:szCs w:val="24"/>
          <w:shd w:val="clear" w:color="auto" w:fill="FFFFFF"/>
        </w:rPr>
        <w:t xml:space="preserve"> </w:t>
      </w:r>
      <w:r w:rsidRPr="008376FC">
        <w:rPr>
          <w:rFonts w:asciiTheme="majorHAnsi" w:eastAsia="Times New Roman" w:hAnsiTheme="majorHAnsi" w:cstheme="majorHAnsi"/>
          <w:b w:val="0"/>
          <w:bCs w:val="0"/>
          <w:sz w:val="24"/>
          <w:szCs w:val="24"/>
          <w:shd w:val="clear" w:color="auto" w:fill="FFFFFF"/>
        </w:rPr>
        <w:t>mil.lei</w:t>
      </w:r>
      <w:r w:rsidR="0049536F">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sau 0,7% din valoarea lor calculată. </w:t>
      </w:r>
    </w:p>
    <w:p w:rsidR="004B6B06" w:rsidRPr="008376FC" w:rsidRDefault="004B6B06" w:rsidP="00F61756">
      <w:pPr>
        <w:shd w:val="clear" w:color="auto" w:fill="FFFFFF"/>
        <w:spacing w:after="0" w:line="276" w:lineRule="auto"/>
        <w:jc w:val="right"/>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4"/>
          <w:szCs w:val="24"/>
          <w:shd w:val="clear" w:color="auto" w:fill="FFFFFF"/>
        </w:rPr>
        <w:t xml:space="preserve"> </w:t>
      </w:r>
      <w:r w:rsidR="00942BD4" w:rsidRPr="008376FC">
        <w:rPr>
          <w:rFonts w:asciiTheme="majorHAnsi" w:eastAsia="Times New Roman" w:hAnsiTheme="majorHAnsi" w:cstheme="majorHAnsi"/>
          <w:bCs w:val="0"/>
          <w:sz w:val="20"/>
          <w:szCs w:val="20"/>
          <w:shd w:val="clear" w:color="auto" w:fill="FFFFFF"/>
        </w:rPr>
        <w:t>Tabelul nr. 3</w:t>
      </w:r>
      <w:r w:rsidR="00230129" w:rsidRPr="008376FC">
        <w:rPr>
          <w:rFonts w:asciiTheme="majorHAnsi" w:eastAsia="Times New Roman" w:hAnsiTheme="majorHAnsi" w:cstheme="majorHAnsi"/>
          <w:bCs w:val="0"/>
          <w:sz w:val="20"/>
          <w:szCs w:val="20"/>
          <w:shd w:val="clear" w:color="auto" w:fill="FFFFFF"/>
        </w:rPr>
        <w:t>6</w:t>
      </w:r>
    </w:p>
    <w:tbl>
      <w:tblPr>
        <w:tblStyle w:val="TableGrid8"/>
        <w:tblW w:w="0" w:type="auto"/>
        <w:tblLook w:val="04A0" w:firstRow="1" w:lastRow="0" w:firstColumn="1" w:lastColumn="0" w:noHBand="0" w:noVBand="1"/>
      </w:tblPr>
      <w:tblGrid>
        <w:gridCol w:w="557"/>
        <w:gridCol w:w="1485"/>
        <w:gridCol w:w="855"/>
        <w:gridCol w:w="787"/>
        <w:gridCol w:w="739"/>
        <w:gridCol w:w="709"/>
        <w:gridCol w:w="785"/>
        <w:gridCol w:w="972"/>
        <w:gridCol w:w="855"/>
        <w:gridCol w:w="972"/>
        <w:gridCol w:w="972"/>
      </w:tblGrid>
      <w:tr w:rsidR="00A7236B" w:rsidRPr="008376FC" w:rsidTr="00942BD4">
        <w:tc>
          <w:tcPr>
            <w:tcW w:w="10103" w:type="dxa"/>
            <w:gridSpan w:val="11"/>
            <w:tcBorders>
              <w:top w:val="nil"/>
              <w:left w:val="nil"/>
              <w:bottom w:val="single" w:sz="4" w:space="0" w:color="auto"/>
              <w:right w:val="nil"/>
            </w:tcBorders>
            <w:vAlign w:val="center"/>
          </w:tcPr>
          <w:p w:rsidR="00A7236B" w:rsidRPr="008376FC" w:rsidRDefault="00A7236B"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Informați</w:t>
            </w:r>
            <w:r w:rsidR="0049536F">
              <w:rPr>
                <w:rFonts w:asciiTheme="majorHAnsi" w:eastAsia="Times New Roman" w:hAnsiTheme="majorHAnsi" w:cstheme="majorHAnsi"/>
                <w:bCs w:val="0"/>
                <w:sz w:val="20"/>
                <w:szCs w:val="20"/>
                <w:shd w:val="clear" w:color="auto" w:fill="FFFFFF"/>
              </w:rPr>
              <w:t>i</w:t>
            </w:r>
            <w:r w:rsidRPr="008376FC">
              <w:rPr>
                <w:rFonts w:asciiTheme="majorHAnsi" w:eastAsia="Times New Roman" w:hAnsiTheme="majorHAnsi" w:cstheme="majorHAnsi"/>
                <w:bCs w:val="0"/>
                <w:sz w:val="20"/>
                <w:szCs w:val="20"/>
                <w:shd w:val="clear" w:color="auto" w:fill="FFFFFF"/>
              </w:rPr>
              <w:t xml:space="preserve"> privind prejudiciile calculate și achitate în domeniul resurselor de apă în anii 2014-2021, mii lei</w:t>
            </w:r>
          </w:p>
        </w:tc>
      </w:tr>
      <w:tr w:rsidR="004B6B06" w:rsidRPr="008376FC" w:rsidTr="00CB30D6">
        <w:tc>
          <w:tcPr>
            <w:tcW w:w="58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 xml:space="preserve">Nr.  </w:t>
            </w:r>
            <w:r w:rsidR="0049536F">
              <w:rPr>
                <w:rFonts w:asciiTheme="majorHAnsi" w:eastAsia="Times New Roman" w:hAnsiTheme="majorHAnsi" w:cstheme="majorHAnsi"/>
                <w:bCs w:val="0"/>
                <w:sz w:val="20"/>
                <w:szCs w:val="20"/>
                <w:shd w:val="clear" w:color="auto" w:fill="FFFFFF"/>
              </w:rPr>
              <w:t>crt.</w:t>
            </w:r>
          </w:p>
        </w:tc>
        <w:tc>
          <w:tcPr>
            <w:tcW w:w="161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Indicatorii</w:t>
            </w:r>
          </w:p>
        </w:tc>
        <w:tc>
          <w:tcPr>
            <w:tcW w:w="8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2014</w:t>
            </w:r>
          </w:p>
        </w:tc>
        <w:tc>
          <w:tcPr>
            <w:tcW w:w="81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2015</w:t>
            </w:r>
          </w:p>
        </w:tc>
        <w:tc>
          <w:tcPr>
            <w:tcW w:w="76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2016</w:t>
            </w:r>
          </w:p>
        </w:tc>
        <w:tc>
          <w:tcPr>
            <w:tcW w:w="73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2017</w:t>
            </w:r>
          </w:p>
        </w:tc>
        <w:tc>
          <w:tcPr>
            <w:tcW w:w="8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2018</w:t>
            </w:r>
          </w:p>
        </w:tc>
        <w:tc>
          <w:tcPr>
            <w:tcW w:w="10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2019</w:t>
            </w:r>
          </w:p>
        </w:tc>
        <w:tc>
          <w:tcPr>
            <w:tcW w:w="88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2020</w:t>
            </w:r>
          </w:p>
        </w:tc>
        <w:tc>
          <w:tcPr>
            <w:tcW w:w="10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2021</w:t>
            </w:r>
          </w:p>
        </w:tc>
        <w:tc>
          <w:tcPr>
            <w:tcW w:w="1005"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B6B06" w:rsidRPr="008376FC" w:rsidRDefault="004B6B06" w:rsidP="00F61756">
            <w:pPr>
              <w:spacing w:line="276" w:lineRule="auto"/>
              <w:jc w:val="both"/>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Total</w:t>
            </w:r>
          </w:p>
        </w:tc>
      </w:tr>
      <w:tr w:rsidR="004B6B06" w:rsidRPr="008376FC" w:rsidTr="00A7236B">
        <w:tc>
          <w:tcPr>
            <w:tcW w:w="581"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1619"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Calculat</w:t>
            </w:r>
          </w:p>
        </w:tc>
        <w:tc>
          <w:tcPr>
            <w:tcW w:w="88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1254,2</w:t>
            </w:r>
          </w:p>
        </w:tc>
        <w:tc>
          <w:tcPr>
            <w:tcW w:w="812"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98,3</w:t>
            </w:r>
          </w:p>
        </w:tc>
        <w:tc>
          <w:tcPr>
            <w:tcW w:w="762"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203,1</w:t>
            </w:r>
          </w:p>
        </w:tc>
        <w:tc>
          <w:tcPr>
            <w:tcW w:w="738"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70,5</w:t>
            </w:r>
          </w:p>
        </w:tc>
        <w:tc>
          <w:tcPr>
            <w:tcW w:w="810"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47,9</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41174,7</w:t>
            </w:r>
          </w:p>
        </w:tc>
        <w:tc>
          <w:tcPr>
            <w:tcW w:w="88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4269,3</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13571,1</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60689,1</w:t>
            </w:r>
          </w:p>
        </w:tc>
      </w:tr>
      <w:tr w:rsidR="004B6B06" w:rsidRPr="008376FC" w:rsidTr="00A7236B">
        <w:tc>
          <w:tcPr>
            <w:tcW w:w="581"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1619"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Achitat total</w:t>
            </w:r>
          </w:p>
        </w:tc>
        <w:tc>
          <w:tcPr>
            <w:tcW w:w="88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34,3</w:t>
            </w:r>
          </w:p>
        </w:tc>
        <w:tc>
          <w:tcPr>
            <w:tcW w:w="812"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79,7</w:t>
            </w:r>
          </w:p>
        </w:tc>
        <w:tc>
          <w:tcPr>
            <w:tcW w:w="762"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8,2</w:t>
            </w:r>
          </w:p>
        </w:tc>
        <w:tc>
          <w:tcPr>
            <w:tcW w:w="738"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4,5</w:t>
            </w:r>
          </w:p>
        </w:tc>
        <w:tc>
          <w:tcPr>
            <w:tcW w:w="810"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31,5</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34,4</w:t>
            </w:r>
          </w:p>
        </w:tc>
        <w:tc>
          <w:tcPr>
            <w:tcW w:w="88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104,8</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106,7</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404,1</w:t>
            </w:r>
          </w:p>
        </w:tc>
      </w:tr>
      <w:tr w:rsidR="004B6B06" w:rsidRPr="008376FC" w:rsidTr="00942BD4">
        <w:tc>
          <w:tcPr>
            <w:tcW w:w="581"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w:t>
            </w:r>
          </w:p>
        </w:tc>
        <w:tc>
          <w:tcPr>
            <w:tcW w:w="1619" w:type="dxa"/>
            <w:tcBorders>
              <w:top w:val="single" w:sz="4" w:space="0" w:color="auto"/>
              <w:left w:val="single" w:sz="4" w:space="0" w:color="auto"/>
              <w:bottom w:val="single" w:sz="4" w:space="0" w:color="auto"/>
              <w:right w:val="single" w:sz="4" w:space="0" w:color="auto"/>
            </w:tcBorders>
            <w:hideMark/>
          </w:tcPr>
          <w:p w:rsidR="00942BD4"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Obligațiuni estimate</w:t>
            </w:r>
          </w:p>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 xml:space="preserve"> (rd.1-rd.2)</w:t>
            </w:r>
            <w:r w:rsidRPr="008376FC">
              <w:rPr>
                <w:rFonts w:asciiTheme="majorHAnsi" w:eastAsia="Times New Roman" w:hAnsiTheme="majorHAnsi" w:cstheme="majorHAnsi"/>
                <w:b w:val="0"/>
                <w:bCs w:val="0"/>
                <w:sz w:val="20"/>
                <w:szCs w:val="20"/>
                <w:shd w:val="clear" w:color="auto" w:fill="FFFFFF"/>
                <w:vertAlign w:val="superscript"/>
              </w:rPr>
              <w:footnoteReference w:id="155"/>
            </w:r>
          </w:p>
        </w:tc>
        <w:tc>
          <w:tcPr>
            <w:tcW w:w="88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1219,9</w:t>
            </w:r>
          </w:p>
        </w:tc>
        <w:tc>
          <w:tcPr>
            <w:tcW w:w="812"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18,6</w:t>
            </w:r>
          </w:p>
        </w:tc>
        <w:tc>
          <w:tcPr>
            <w:tcW w:w="762"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194,6</w:t>
            </w:r>
          </w:p>
        </w:tc>
        <w:tc>
          <w:tcPr>
            <w:tcW w:w="738"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66,0</w:t>
            </w:r>
          </w:p>
        </w:tc>
        <w:tc>
          <w:tcPr>
            <w:tcW w:w="810"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16,4</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306739"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41</w:t>
            </w:r>
            <w:r w:rsidR="004B6B06" w:rsidRPr="008376FC">
              <w:rPr>
                <w:rFonts w:asciiTheme="majorHAnsi" w:eastAsia="Times New Roman" w:hAnsiTheme="majorHAnsi" w:cstheme="majorHAnsi"/>
                <w:b w:val="0"/>
                <w:bCs w:val="0"/>
                <w:sz w:val="20"/>
                <w:szCs w:val="20"/>
                <w:shd w:val="clear" w:color="auto" w:fill="FFFFFF"/>
              </w:rPr>
              <w:t>140,3</w:t>
            </w:r>
          </w:p>
        </w:tc>
        <w:tc>
          <w:tcPr>
            <w:tcW w:w="88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4164,5</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13464,4</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60285,0</w:t>
            </w:r>
          </w:p>
        </w:tc>
      </w:tr>
      <w:tr w:rsidR="004B6B06" w:rsidRPr="008376FC" w:rsidTr="00942BD4">
        <w:tc>
          <w:tcPr>
            <w:tcW w:w="581"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w:t>
            </w:r>
          </w:p>
        </w:tc>
        <w:tc>
          <w:tcPr>
            <w:tcW w:w="1619"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 încasării</w:t>
            </w:r>
          </w:p>
        </w:tc>
        <w:tc>
          <w:tcPr>
            <w:tcW w:w="88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2,7%</w:t>
            </w:r>
          </w:p>
        </w:tc>
        <w:tc>
          <w:tcPr>
            <w:tcW w:w="812"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81,1%</w:t>
            </w:r>
          </w:p>
        </w:tc>
        <w:tc>
          <w:tcPr>
            <w:tcW w:w="762"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4,0%</w:t>
            </w:r>
          </w:p>
        </w:tc>
        <w:tc>
          <w:tcPr>
            <w:tcW w:w="738"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6,4%</w:t>
            </w:r>
          </w:p>
        </w:tc>
        <w:tc>
          <w:tcPr>
            <w:tcW w:w="810"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65,8%</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0,1%</w:t>
            </w:r>
          </w:p>
        </w:tc>
        <w:tc>
          <w:tcPr>
            <w:tcW w:w="883"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2,5%</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0,8%</w:t>
            </w:r>
          </w:p>
        </w:tc>
        <w:tc>
          <w:tcPr>
            <w:tcW w:w="1005" w:type="dxa"/>
            <w:tcBorders>
              <w:top w:val="single" w:sz="4" w:space="0" w:color="auto"/>
              <w:left w:val="single" w:sz="4" w:space="0" w:color="auto"/>
              <w:bottom w:val="single" w:sz="4" w:space="0" w:color="auto"/>
              <w:right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0,7%</w:t>
            </w:r>
          </w:p>
        </w:tc>
      </w:tr>
      <w:tr w:rsidR="00A7236B" w:rsidRPr="008376FC" w:rsidTr="00942BD4">
        <w:tc>
          <w:tcPr>
            <w:tcW w:w="10103" w:type="dxa"/>
            <w:gridSpan w:val="11"/>
            <w:tcBorders>
              <w:top w:val="single" w:sz="4" w:space="0" w:color="auto"/>
              <w:left w:val="nil"/>
              <w:bottom w:val="nil"/>
              <w:right w:val="nil"/>
            </w:tcBorders>
          </w:tcPr>
          <w:p w:rsidR="00A7236B" w:rsidRPr="001B4A95" w:rsidRDefault="00A7236B" w:rsidP="00F61756">
            <w:pPr>
              <w:shd w:val="clear" w:color="auto" w:fill="FFFFFF"/>
              <w:spacing w:line="276" w:lineRule="auto"/>
              <w:jc w:val="both"/>
              <w:rPr>
                <w:rFonts w:asciiTheme="majorHAnsi" w:eastAsia="Times New Roman" w:hAnsiTheme="majorHAnsi" w:cstheme="majorHAnsi"/>
                <w:b w:val="0"/>
                <w:bCs w:val="0"/>
                <w:i/>
                <w:sz w:val="20"/>
                <w:szCs w:val="20"/>
                <w:shd w:val="clear" w:color="auto" w:fill="FFFFFF"/>
              </w:rPr>
            </w:pPr>
            <w:r w:rsidRPr="001B4A95">
              <w:rPr>
                <w:rFonts w:asciiTheme="majorHAnsi" w:eastAsia="Times New Roman" w:hAnsiTheme="majorHAnsi" w:cstheme="majorHAnsi"/>
                <w:i/>
                <w:sz w:val="20"/>
                <w:szCs w:val="20"/>
                <w:shd w:val="clear" w:color="auto" w:fill="FFFFFF"/>
              </w:rPr>
              <w:t xml:space="preserve">Sursa: </w:t>
            </w:r>
            <w:r w:rsidRPr="001B4A95">
              <w:rPr>
                <w:rFonts w:asciiTheme="majorHAnsi" w:eastAsia="Times New Roman" w:hAnsiTheme="majorHAnsi" w:cstheme="majorHAnsi"/>
                <w:b w:val="0"/>
                <w:bCs w:val="0"/>
                <w:i/>
                <w:sz w:val="20"/>
                <w:szCs w:val="20"/>
                <w:shd w:val="clear" w:color="auto" w:fill="FFFFFF"/>
              </w:rPr>
              <w:t>Date</w:t>
            </w:r>
            <w:r w:rsidR="0049536F">
              <w:rPr>
                <w:rFonts w:asciiTheme="majorHAnsi" w:eastAsia="Times New Roman" w:hAnsiTheme="majorHAnsi" w:cstheme="majorHAnsi"/>
                <w:b w:val="0"/>
                <w:bCs w:val="0"/>
                <w:i/>
                <w:sz w:val="20"/>
                <w:szCs w:val="20"/>
                <w:shd w:val="clear" w:color="auto" w:fill="FFFFFF"/>
              </w:rPr>
              <w:t xml:space="preserve"> oferite d</w:t>
            </w:r>
            <w:r w:rsidRPr="001B4A95">
              <w:rPr>
                <w:rFonts w:asciiTheme="majorHAnsi" w:eastAsia="Times New Roman" w:hAnsiTheme="majorHAnsi" w:cstheme="majorHAnsi"/>
                <w:b w:val="0"/>
                <w:bCs w:val="0"/>
                <w:i/>
                <w:sz w:val="20"/>
                <w:szCs w:val="20"/>
                <w:shd w:val="clear" w:color="auto" w:fill="FFFFFF"/>
              </w:rPr>
              <w:t>e IPM.</w:t>
            </w:r>
          </w:p>
        </w:tc>
      </w:tr>
    </w:tbl>
    <w:p w:rsidR="00B964D8" w:rsidRPr="008376FC" w:rsidRDefault="00B964D8" w:rsidP="00F61756">
      <w:pPr>
        <w:shd w:val="clear" w:color="auto" w:fill="FFFFFF"/>
        <w:spacing w:after="0" w:line="276" w:lineRule="auto"/>
        <w:jc w:val="both"/>
        <w:rPr>
          <w:rFonts w:asciiTheme="majorHAnsi" w:eastAsia="Times New Roman" w:hAnsiTheme="majorHAnsi" w:cstheme="majorHAnsi"/>
          <w:b w:val="0"/>
          <w:bCs w:val="0"/>
          <w:sz w:val="24"/>
          <w:szCs w:val="24"/>
          <w:shd w:val="clear" w:color="auto" w:fill="FFFFFF"/>
        </w:rPr>
      </w:pPr>
    </w:p>
    <w:p w:rsidR="004B6B06" w:rsidRPr="008376FC" w:rsidRDefault="004B6B06" w:rsidP="00F61756">
      <w:pPr>
        <w:shd w:val="clear" w:color="auto" w:fill="FFFFFF"/>
        <w:spacing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 xml:space="preserve">Datele din tabel denotă că nivelul de încasare a prejudiciului cauzat mediului în domeniul resurselor de apă a variat de la 0,1% până la 81,1% din valoarea lor calculată. </w:t>
      </w:r>
    </w:p>
    <w:p w:rsidR="004B6B06" w:rsidRPr="008376FC" w:rsidRDefault="004B6B06"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De menționat că</w:t>
      </w:r>
      <w:r w:rsidR="002D29A8">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p</w:t>
      </w:r>
      <w:r w:rsidR="002D29A8">
        <w:rPr>
          <w:rFonts w:asciiTheme="majorHAnsi" w:eastAsia="Times New Roman" w:hAnsiTheme="majorHAnsi" w:cstheme="majorHAnsi"/>
          <w:b w:val="0"/>
          <w:bCs w:val="0"/>
          <w:sz w:val="24"/>
          <w:szCs w:val="24"/>
          <w:shd w:val="clear" w:color="auto" w:fill="FFFFFF"/>
        </w:rPr>
        <w:t>â</w:t>
      </w:r>
      <w:r w:rsidRPr="008376FC">
        <w:rPr>
          <w:rFonts w:asciiTheme="majorHAnsi" w:eastAsia="Times New Roman" w:hAnsiTheme="majorHAnsi" w:cstheme="majorHAnsi"/>
          <w:b w:val="0"/>
          <w:bCs w:val="0"/>
          <w:sz w:val="24"/>
          <w:szCs w:val="24"/>
          <w:shd w:val="clear" w:color="auto" w:fill="FFFFFF"/>
        </w:rPr>
        <w:t>nă în anul 20</w:t>
      </w:r>
      <w:r w:rsidR="00FA7EED" w:rsidRPr="008376FC">
        <w:rPr>
          <w:rFonts w:asciiTheme="majorHAnsi" w:eastAsia="Times New Roman" w:hAnsiTheme="majorHAnsi" w:cstheme="majorHAnsi"/>
          <w:b w:val="0"/>
          <w:bCs w:val="0"/>
          <w:sz w:val="24"/>
          <w:szCs w:val="24"/>
          <w:shd w:val="clear" w:color="auto" w:fill="FFFFFF"/>
        </w:rPr>
        <w:t xml:space="preserve">19, </w:t>
      </w:r>
      <w:r w:rsidRPr="008376FC">
        <w:rPr>
          <w:rFonts w:asciiTheme="majorHAnsi" w:eastAsia="Times New Roman" w:hAnsiTheme="majorHAnsi" w:cstheme="majorHAnsi"/>
          <w:b w:val="0"/>
          <w:bCs w:val="0"/>
          <w:sz w:val="24"/>
          <w:szCs w:val="24"/>
          <w:shd w:val="clear" w:color="auto" w:fill="FFFFFF"/>
        </w:rPr>
        <w:t>termenul de prescripție pentru prejudicii</w:t>
      </w:r>
      <w:r w:rsidR="002D29A8">
        <w:rPr>
          <w:rFonts w:asciiTheme="majorHAnsi" w:eastAsia="Times New Roman" w:hAnsiTheme="majorHAnsi" w:cstheme="majorHAnsi"/>
          <w:b w:val="0"/>
          <w:bCs w:val="0"/>
          <w:sz w:val="24"/>
          <w:szCs w:val="24"/>
          <w:shd w:val="clear" w:color="auto" w:fill="FFFFFF"/>
        </w:rPr>
        <w:t>le</w:t>
      </w:r>
      <w:r w:rsidRPr="008376FC">
        <w:rPr>
          <w:rFonts w:asciiTheme="majorHAnsi" w:eastAsia="Times New Roman" w:hAnsiTheme="majorHAnsi" w:cstheme="majorHAnsi"/>
          <w:b w:val="0"/>
          <w:bCs w:val="0"/>
          <w:sz w:val="24"/>
          <w:szCs w:val="24"/>
          <w:shd w:val="clear" w:color="auto" w:fill="FFFFFF"/>
        </w:rPr>
        <w:t xml:space="preserve"> cauzate mediului era </w:t>
      </w:r>
      <w:r w:rsidR="002D29A8">
        <w:rPr>
          <w:rFonts w:asciiTheme="majorHAnsi" w:eastAsia="Times New Roman" w:hAnsiTheme="majorHAnsi" w:cstheme="majorHAnsi"/>
          <w:b w:val="0"/>
          <w:bCs w:val="0"/>
          <w:sz w:val="24"/>
          <w:szCs w:val="24"/>
          <w:shd w:val="clear" w:color="auto" w:fill="FFFFFF"/>
        </w:rPr>
        <w:t xml:space="preserve">de </w:t>
      </w:r>
      <w:r w:rsidRPr="008376FC">
        <w:rPr>
          <w:rFonts w:asciiTheme="majorHAnsi" w:eastAsia="Times New Roman" w:hAnsiTheme="majorHAnsi" w:cstheme="majorHAnsi"/>
          <w:b w:val="0"/>
          <w:bCs w:val="0"/>
          <w:sz w:val="24"/>
          <w:szCs w:val="24"/>
          <w:shd w:val="clear" w:color="auto" w:fill="FFFFFF"/>
        </w:rPr>
        <w:t xml:space="preserve">3 ani, iar </w:t>
      </w:r>
      <w:r w:rsidR="002D29A8">
        <w:rPr>
          <w:rFonts w:asciiTheme="majorHAnsi" w:eastAsia="Times New Roman" w:hAnsiTheme="majorHAnsi" w:cstheme="majorHAnsi"/>
          <w:b w:val="0"/>
          <w:bCs w:val="0"/>
          <w:sz w:val="24"/>
          <w:szCs w:val="24"/>
          <w:shd w:val="clear" w:color="auto" w:fill="FFFFFF"/>
        </w:rPr>
        <w:t xml:space="preserve">ca </w:t>
      </w:r>
      <w:r w:rsidRPr="008376FC">
        <w:rPr>
          <w:rFonts w:asciiTheme="majorHAnsi" w:eastAsia="Times New Roman" w:hAnsiTheme="majorHAnsi" w:cstheme="majorHAnsi"/>
          <w:b w:val="0"/>
          <w:bCs w:val="0"/>
          <w:sz w:val="24"/>
          <w:szCs w:val="24"/>
          <w:shd w:val="clear" w:color="auto" w:fill="FFFFFF"/>
        </w:rPr>
        <w:t xml:space="preserve">urmare a </w:t>
      </w:r>
      <w:r w:rsidR="00FA7EED" w:rsidRPr="008376FC">
        <w:rPr>
          <w:rFonts w:asciiTheme="majorHAnsi" w:eastAsia="Times New Roman" w:hAnsiTheme="majorHAnsi" w:cstheme="majorHAnsi"/>
          <w:b w:val="0"/>
          <w:bCs w:val="0"/>
          <w:sz w:val="24"/>
          <w:szCs w:val="24"/>
          <w:shd w:val="clear" w:color="auto" w:fill="FFFFFF"/>
        </w:rPr>
        <w:t>republicării Codului civil în redacţie nouă din 01.03.2019</w:t>
      </w:r>
      <w:r w:rsidRPr="008376FC">
        <w:rPr>
          <w:rFonts w:asciiTheme="majorHAnsi" w:eastAsia="Times New Roman" w:hAnsiTheme="majorHAnsi" w:cstheme="majorHAnsi"/>
          <w:b w:val="0"/>
          <w:bCs w:val="0"/>
          <w:sz w:val="24"/>
          <w:szCs w:val="24"/>
          <w:shd w:val="clear" w:color="auto" w:fill="FFFFFF"/>
        </w:rPr>
        <w:t>, acesta a fost extins p</w:t>
      </w:r>
      <w:r w:rsidR="002D29A8">
        <w:rPr>
          <w:rFonts w:asciiTheme="majorHAnsi" w:eastAsia="Times New Roman" w:hAnsiTheme="majorHAnsi" w:cstheme="majorHAnsi"/>
          <w:b w:val="0"/>
          <w:bCs w:val="0"/>
          <w:sz w:val="24"/>
          <w:szCs w:val="24"/>
          <w:shd w:val="clear" w:color="auto" w:fill="FFFFFF"/>
        </w:rPr>
        <w:t>â</w:t>
      </w:r>
      <w:r w:rsidRPr="008376FC">
        <w:rPr>
          <w:rFonts w:asciiTheme="majorHAnsi" w:eastAsia="Times New Roman" w:hAnsiTheme="majorHAnsi" w:cstheme="majorHAnsi"/>
          <w:b w:val="0"/>
          <w:bCs w:val="0"/>
          <w:sz w:val="24"/>
          <w:szCs w:val="24"/>
          <w:shd w:val="clear" w:color="auto" w:fill="FFFFFF"/>
        </w:rPr>
        <w:t xml:space="preserve">nă la 10 ani. Analiza obligațiunilor prin prisma termenului de prescripție expirat </w:t>
      </w:r>
      <w:r w:rsidR="002D29A8">
        <w:rPr>
          <w:rFonts w:asciiTheme="majorHAnsi" w:eastAsia="Times New Roman" w:hAnsiTheme="majorHAnsi" w:cstheme="majorHAnsi"/>
          <w:b w:val="0"/>
          <w:bCs w:val="0"/>
          <w:sz w:val="24"/>
          <w:szCs w:val="24"/>
          <w:shd w:val="clear" w:color="auto" w:fill="FFFFFF"/>
        </w:rPr>
        <w:t>denotă</w:t>
      </w:r>
      <w:r w:rsidR="00371539" w:rsidRPr="008376FC">
        <w:rPr>
          <w:rFonts w:asciiTheme="majorHAnsi" w:eastAsia="Times New Roman" w:hAnsiTheme="majorHAnsi" w:cstheme="majorHAnsi"/>
          <w:b w:val="0"/>
          <w:bCs w:val="0"/>
          <w:sz w:val="24"/>
          <w:szCs w:val="24"/>
          <w:shd w:val="clear" w:color="auto" w:fill="FFFFFF"/>
        </w:rPr>
        <w:t xml:space="preserve"> că statul a ratat cel puțin </w:t>
      </w:r>
      <w:r w:rsidR="00B964D8" w:rsidRPr="008376FC">
        <w:rPr>
          <w:rFonts w:asciiTheme="majorHAnsi" w:eastAsia="Times New Roman" w:hAnsiTheme="majorHAnsi" w:cstheme="majorHAnsi"/>
          <w:b w:val="0"/>
          <w:bCs w:val="0"/>
          <w:sz w:val="24"/>
          <w:szCs w:val="24"/>
          <w:shd w:val="clear" w:color="auto" w:fill="FFFFFF"/>
        </w:rPr>
        <w:t>1,4</w:t>
      </w:r>
      <w:r w:rsidRPr="008376FC">
        <w:rPr>
          <w:rFonts w:asciiTheme="majorHAnsi" w:eastAsia="Times New Roman" w:hAnsiTheme="majorHAnsi" w:cstheme="majorHAnsi"/>
          <w:b w:val="0"/>
          <w:bCs w:val="0"/>
          <w:sz w:val="24"/>
          <w:szCs w:val="24"/>
          <w:shd w:val="clear" w:color="auto" w:fill="FFFFFF"/>
        </w:rPr>
        <w:t xml:space="preserve"> mil.lei</w:t>
      </w:r>
      <w:r w:rsidR="00B964D8" w:rsidRPr="008376FC">
        <w:rPr>
          <w:rStyle w:val="ab"/>
          <w:rFonts w:asciiTheme="majorHAnsi" w:eastAsia="Times New Roman" w:hAnsiTheme="majorHAnsi" w:cstheme="majorHAnsi"/>
          <w:b w:val="0"/>
          <w:bCs w:val="0"/>
          <w:sz w:val="24"/>
          <w:szCs w:val="24"/>
          <w:shd w:val="clear" w:color="auto" w:fill="FFFFFF"/>
        </w:rPr>
        <w:footnoteReference w:id="156"/>
      </w:r>
      <w:r w:rsidRPr="008376FC">
        <w:rPr>
          <w:rFonts w:asciiTheme="majorHAnsi" w:eastAsia="Times New Roman" w:hAnsiTheme="majorHAnsi" w:cstheme="majorHAnsi"/>
          <w:b w:val="0"/>
          <w:bCs w:val="0"/>
          <w:sz w:val="24"/>
          <w:szCs w:val="24"/>
          <w:shd w:val="clear" w:color="auto" w:fill="FFFFFF"/>
        </w:rPr>
        <w:t xml:space="preserve"> </w:t>
      </w:r>
      <w:r w:rsidR="002D29A8">
        <w:rPr>
          <w:rFonts w:asciiTheme="majorHAnsi" w:eastAsia="Times New Roman" w:hAnsiTheme="majorHAnsi" w:cstheme="majorHAnsi"/>
          <w:b w:val="0"/>
          <w:bCs w:val="0"/>
          <w:sz w:val="24"/>
          <w:szCs w:val="24"/>
          <w:shd w:val="clear" w:color="auto" w:fill="FFFFFF"/>
        </w:rPr>
        <w:t>c</w:t>
      </w:r>
      <w:r w:rsidRPr="008376FC">
        <w:rPr>
          <w:rFonts w:asciiTheme="majorHAnsi" w:eastAsia="Times New Roman" w:hAnsiTheme="majorHAnsi" w:cstheme="majorHAnsi"/>
          <w:b w:val="0"/>
          <w:bCs w:val="0"/>
          <w:sz w:val="24"/>
          <w:szCs w:val="24"/>
          <w:shd w:val="clear" w:color="auto" w:fill="FFFFFF"/>
        </w:rPr>
        <w:t>a urmare a survenirii termenu</w:t>
      </w:r>
      <w:r w:rsidR="00FA7EED" w:rsidRPr="008376FC">
        <w:rPr>
          <w:rFonts w:asciiTheme="majorHAnsi" w:eastAsia="Times New Roman" w:hAnsiTheme="majorHAnsi" w:cstheme="majorHAnsi"/>
          <w:b w:val="0"/>
          <w:bCs w:val="0"/>
          <w:sz w:val="24"/>
          <w:szCs w:val="24"/>
          <w:shd w:val="clear" w:color="auto" w:fill="FFFFFF"/>
        </w:rPr>
        <w:t xml:space="preserve">lui de prescripție a acestuia. </w:t>
      </w:r>
      <w:r w:rsidRPr="008376FC">
        <w:rPr>
          <w:rFonts w:asciiTheme="majorHAnsi" w:eastAsia="Times New Roman" w:hAnsiTheme="majorHAnsi" w:cstheme="majorHAnsi"/>
          <w:b w:val="0"/>
          <w:bCs w:val="0"/>
          <w:sz w:val="24"/>
          <w:szCs w:val="24"/>
          <w:shd w:val="clear" w:color="auto" w:fill="FFFFFF"/>
        </w:rPr>
        <w:t>De menționat că la zi nu există nici mecanism scris (procedural) privitor la modul de casare/decontare a obligațiunilor pentru plata amenzilor și prejudiciilor pentru care a survenit termenul de prescripție.</w:t>
      </w:r>
    </w:p>
    <w:p w:rsidR="004B6B06" w:rsidRPr="008376FC" w:rsidRDefault="004B6B06"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 xml:space="preserve">Cu referire la sumele mari de prejudicii calculate </w:t>
      </w:r>
      <w:r w:rsidR="002D29A8">
        <w:rPr>
          <w:rFonts w:asciiTheme="majorHAnsi" w:eastAsia="Times New Roman" w:hAnsiTheme="majorHAnsi" w:cstheme="majorHAnsi"/>
          <w:b w:val="0"/>
          <w:bCs w:val="0"/>
          <w:sz w:val="24"/>
          <w:szCs w:val="24"/>
          <w:shd w:val="clear" w:color="auto" w:fill="FFFFFF"/>
        </w:rPr>
        <w:t>î</w:t>
      </w:r>
      <w:r w:rsidRPr="008376FC">
        <w:rPr>
          <w:rFonts w:asciiTheme="majorHAnsi" w:eastAsia="Times New Roman" w:hAnsiTheme="majorHAnsi" w:cstheme="majorHAnsi"/>
          <w:b w:val="0"/>
          <w:bCs w:val="0"/>
          <w:sz w:val="24"/>
          <w:szCs w:val="24"/>
          <w:shd w:val="clear" w:color="auto" w:fill="FFFFFF"/>
        </w:rPr>
        <w:t>n anii 2020</w:t>
      </w:r>
      <w:r w:rsidR="002D29A8">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2021, se atest</w:t>
      </w:r>
      <w:r w:rsidR="002D29A8">
        <w:rPr>
          <w:rFonts w:asciiTheme="majorHAnsi" w:eastAsia="Times New Roman" w:hAnsiTheme="majorHAnsi" w:cstheme="majorHAnsi"/>
          <w:b w:val="0"/>
          <w:bCs w:val="0"/>
          <w:sz w:val="24"/>
          <w:szCs w:val="24"/>
          <w:shd w:val="clear" w:color="auto" w:fill="FFFFFF"/>
        </w:rPr>
        <w:t>ă</w:t>
      </w:r>
      <w:r w:rsidRPr="008376FC">
        <w:rPr>
          <w:rFonts w:asciiTheme="majorHAnsi" w:eastAsia="Times New Roman" w:hAnsiTheme="majorHAnsi" w:cstheme="majorHAnsi"/>
          <w:b w:val="0"/>
          <w:bCs w:val="0"/>
          <w:sz w:val="24"/>
          <w:szCs w:val="24"/>
          <w:shd w:val="clear" w:color="auto" w:fill="FFFFFF"/>
        </w:rPr>
        <w:t xml:space="preserve"> că</w:t>
      </w:r>
      <w:r w:rsidR="002D29A8">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în anul 2021, </w:t>
      </w:r>
      <w:r w:rsidR="002D29A8">
        <w:rPr>
          <w:rFonts w:asciiTheme="majorHAnsi" w:eastAsia="Times New Roman" w:hAnsiTheme="majorHAnsi" w:cstheme="majorHAnsi"/>
          <w:b w:val="0"/>
          <w:bCs w:val="0"/>
          <w:sz w:val="24"/>
          <w:szCs w:val="24"/>
          <w:shd w:val="clear" w:color="auto" w:fill="FFFFFF"/>
        </w:rPr>
        <w:t xml:space="preserve">ca </w:t>
      </w:r>
      <w:r w:rsidRPr="008376FC">
        <w:rPr>
          <w:rFonts w:asciiTheme="majorHAnsi" w:eastAsia="Times New Roman" w:hAnsiTheme="majorHAnsi" w:cstheme="majorHAnsi"/>
          <w:b w:val="0"/>
          <w:bCs w:val="0"/>
          <w:sz w:val="24"/>
          <w:szCs w:val="24"/>
          <w:shd w:val="clear" w:color="auto" w:fill="FFFFFF"/>
        </w:rPr>
        <w:t>urmare a controlului efectuat la Î.M. „Apă</w:t>
      </w:r>
      <w:r w:rsidR="002D29A8">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Canal Chișinău” privind verificarea funcționalității stației de epurare a apelor reziduale și</w:t>
      </w:r>
      <w:r w:rsidR="002D29A8">
        <w:rPr>
          <w:rFonts w:asciiTheme="majorHAnsi" w:eastAsia="Times New Roman" w:hAnsiTheme="majorHAnsi" w:cstheme="majorHAnsi"/>
          <w:b w:val="0"/>
          <w:bCs w:val="0"/>
          <w:sz w:val="24"/>
          <w:szCs w:val="24"/>
          <w:shd w:val="clear" w:color="auto" w:fill="FFFFFF"/>
        </w:rPr>
        <w:t xml:space="preserve"> a</w:t>
      </w:r>
      <w:r w:rsidRPr="008376FC">
        <w:rPr>
          <w:rFonts w:asciiTheme="majorHAnsi" w:eastAsia="Times New Roman" w:hAnsiTheme="majorHAnsi" w:cstheme="majorHAnsi"/>
          <w:b w:val="0"/>
          <w:bCs w:val="0"/>
          <w:sz w:val="24"/>
          <w:szCs w:val="24"/>
          <w:shd w:val="clear" w:color="auto" w:fill="FFFFFF"/>
        </w:rPr>
        <w:t xml:space="preserve"> modalit</w:t>
      </w:r>
      <w:r w:rsidR="002D29A8">
        <w:rPr>
          <w:rFonts w:asciiTheme="majorHAnsi" w:eastAsia="Times New Roman" w:hAnsiTheme="majorHAnsi" w:cstheme="majorHAnsi"/>
          <w:b w:val="0"/>
          <w:bCs w:val="0"/>
          <w:sz w:val="24"/>
          <w:szCs w:val="24"/>
          <w:shd w:val="clear" w:color="auto" w:fill="FFFFFF"/>
        </w:rPr>
        <w:t>ății</w:t>
      </w:r>
      <w:r w:rsidRPr="008376FC">
        <w:rPr>
          <w:rFonts w:asciiTheme="majorHAnsi" w:eastAsia="Times New Roman" w:hAnsiTheme="majorHAnsi" w:cstheme="majorHAnsi"/>
          <w:b w:val="0"/>
          <w:bCs w:val="0"/>
          <w:sz w:val="24"/>
          <w:szCs w:val="24"/>
          <w:shd w:val="clear" w:color="auto" w:fill="FFFFFF"/>
        </w:rPr>
        <w:t xml:space="preserve"> de colectare a acestora, s-a constatat că deversarea apelor uzate insuficient epurate de la stație a</w:t>
      </w:r>
      <w:r w:rsidR="002D29A8">
        <w:rPr>
          <w:rFonts w:asciiTheme="majorHAnsi" w:eastAsia="Times New Roman" w:hAnsiTheme="majorHAnsi" w:cstheme="majorHAnsi"/>
          <w:b w:val="0"/>
          <w:bCs w:val="0"/>
          <w:sz w:val="24"/>
          <w:szCs w:val="24"/>
          <w:shd w:val="clear" w:color="auto" w:fill="FFFFFF"/>
        </w:rPr>
        <w:t>re</w:t>
      </w:r>
      <w:r w:rsidRPr="008376FC">
        <w:rPr>
          <w:rFonts w:asciiTheme="majorHAnsi" w:eastAsia="Times New Roman" w:hAnsiTheme="majorHAnsi" w:cstheme="majorHAnsi"/>
          <w:b w:val="0"/>
          <w:bCs w:val="0"/>
          <w:sz w:val="24"/>
          <w:szCs w:val="24"/>
          <w:shd w:val="clear" w:color="auto" w:fill="FFFFFF"/>
        </w:rPr>
        <w:t xml:space="preserve"> un impact negativ asupra calității apelor r. Bâc, manifestată prin majorarea concentrațiilor de poluanți, fapt pentru care a fost evaluat și calculat prejudiciul cauzat mediului înconjurător, în  sumă de 12</w:t>
      </w:r>
      <w:r w:rsidR="002D29A8">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697,9 mii lei. </w:t>
      </w:r>
      <w:r w:rsidR="002D29A8">
        <w:rPr>
          <w:rFonts w:asciiTheme="majorHAnsi" w:eastAsia="Times New Roman" w:hAnsiTheme="majorHAnsi" w:cstheme="majorHAnsi"/>
          <w:b w:val="0"/>
          <w:bCs w:val="0"/>
          <w:sz w:val="24"/>
          <w:szCs w:val="24"/>
          <w:shd w:val="clear" w:color="auto" w:fill="FFFFFF"/>
        </w:rPr>
        <w:t>La fel</w:t>
      </w:r>
      <w:r w:rsidRPr="008376FC">
        <w:rPr>
          <w:rFonts w:asciiTheme="majorHAnsi" w:eastAsia="Times New Roman" w:hAnsiTheme="majorHAnsi" w:cstheme="majorHAnsi"/>
          <w:b w:val="0"/>
          <w:bCs w:val="0"/>
          <w:sz w:val="24"/>
          <w:szCs w:val="24"/>
          <w:shd w:val="clear" w:color="auto" w:fill="FFFFFF"/>
        </w:rPr>
        <w:t xml:space="preserve">, în anul 2020, </w:t>
      </w:r>
      <w:r w:rsidR="002D29A8">
        <w:rPr>
          <w:rFonts w:asciiTheme="majorHAnsi" w:eastAsia="Times New Roman" w:hAnsiTheme="majorHAnsi" w:cstheme="majorHAnsi"/>
          <w:b w:val="0"/>
          <w:bCs w:val="0"/>
          <w:sz w:val="24"/>
          <w:szCs w:val="24"/>
          <w:shd w:val="clear" w:color="auto" w:fill="FFFFFF"/>
        </w:rPr>
        <w:t xml:space="preserve">ca </w:t>
      </w:r>
      <w:r w:rsidRPr="008376FC">
        <w:rPr>
          <w:rFonts w:asciiTheme="majorHAnsi" w:eastAsia="Times New Roman" w:hAnsiTheme="majorHAnsi" w:cstheme="majorHAnsi"/>
          <w:b w:val="0"/>
          <w:bCs w:val="0"/>
          <w:sz w:val="24"/>
          <w:szCs w:val="24"/>
          <w:shd w:val="clear" w:color="auto" w:fill="FFFFFF"/>
        </w:rPr>
        <w:t>urmare a controlului efectuat la Î.M. „Apă</w:t>
      </w:r>
      <w:r w:rsidR="002D29A8">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Canal Strășeni” privind verificarea funcționalității stației de pompare a apelor reziduale a orașului și </w:t>
      </w:r>
      <w:r w:rsidR="002D29A8">
        <w:rPr>
          <w:rFonts w:asciiTheme="majorHAnsi" w:eastAsia="Times New Roman" w:hAnsiTheme="majorHAnsi" w:cstheme="majorHAnsi"/>
          <w:b w:val="0"/>
          <w:bCs w:val="0"/>
          <w:sz w:val="24"/>
          <w:szCs w:val="24"/>
          <w:shd w:val="clear" w:color="auto" w:fill="FFFFFF"/>
        </w:rPr>
        <w:t xml:space="preserve">a </w:t>
      </w:r>
      <w:r w:rsidRPr="008376FC">
        <w:rPr>
          <w:rFonts w:asciiTheme="majorHAnsi" w:eastAsia="Times New Roman" w:hAnsiTheme="majorHAnsi" w:cstheme="majorHAnsi"/>
          <w:b w:val="0"/>
          <w:bCs w:val="0"/>
          <w:sz w:val="24"/>
          <w:szCs w:val="24"/>
          <w:shd w:val="clear" w:color="auto" w:fill="FFFFFF"/>
        </w:rPr>
        <w:t>modalit</w:t>
      </w:r>
      <w:r w:rsidR="002D29A8">
        <w:rPr>
          <w:rFonts w:asciiTheme="majorHAnsi" w:eastAsia="Times New Roman" w:hAnsiTheme="majorHAnsi" w:cstheme="majorHAnsi"/>
          <w:b w:val="0"/>
          <w:bCs w:val="0"/>
          <w:sz w:val="24"/>
          <w:szCs w:val="24"/>
          <w:shd w:val="clear" w:color="auto" w:fill="FFFFFF"/>
        </w:rPr>
        <w:t>ății</w:t>
      </w:r>
      <w:r w:rsidRPr="008376FC">
        <w:rPr>
          <w:rFonts w:asciiTheme="majorHAnsi" w:eastAsia="Times New Roman" w:hAnsiTheme="majorHAnsi" w:cstheme="majorHAnsi"/>
          <w:b w:val="0"/>
          <w:bCs w:val="0"/>
          <w:sz w:val="24"/>
          <w:szCs w:val="24"/>
          <w:shd w:val="clear" w:color="auto" w:fill="FFFFFF"/>
        </w:rPr>
        <w:t xml:space="preserve"> de colectare a acestora, s-a constatat că apele uzate sunt pompate în canalul din preajma stației, care ulterior se deversează direct în receptorul natural, albia râului Bâc, în volum de 868 m</w:t>
      </w:r>
      <w:r w:rsidRPr="001B4A95">
        <w:rPr>
          <w:rFonts w:asciiTheme="majorHAnsi" w:eastAsia="Times New Roman" w:hAnsiTheme="majorHAnsi" w:cstheme="majorHAnsi"/>
          <w:b w:val="0"/>
          <w:bCs w:val="0"/>
          <w:sz w:val="24"/>
          <w:szCs w:val="24"/>
          <w:shd w:val="clear" w:color="auto" w:fill="FFFFFF"/>
          <w:vertAlign w:val="superscript"/>
        </w:rPr>
        <w:t>3</w:t>
      </w:r>
      <w:r w:rsidRPr="008376FC">
        <w:rPr>
          <w:rFonts w:asciiTheme="majorHAnsi" w:eastAsia="Times New Roman" w:hAnsiTheme="majorHAnsi" w:cstheme="majorHAnsi"/>
          <w:b w:val="0"/>
          <w:bCs w:val="0"/>
          <w:sz w:val="24"/>
          <w:szCs w:val="24"/>
          <w:shd w:val="clear" w:color="auto" w:fill="FFFFFF"/>
        </w:rPr>
        <w:t>/zi</w:t>
      </w:r>
      <w:r w:rsidR="002D29A8">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pe o suprafață de cca 8 – 10 ha, colectorul Strășeni – Vatra fiind defect. Deversarea apelor uzate neepurate de la stație a</w:t>
      </w:r>
      <w:r w:rsidR="002D29A8">
        <w:rPr>
          <w:rFonts w:asciiTheme="majorHAnsi" w:eastAsia="Times New Roman" w:hAnsiTheme="majorHAnsi" w:cstheme="majorHAnsi"/>
          <w:b w:val="0"/>
          <w:bCs w:val="0"/>
          <w:sz w:val="24"/>
          <w:szCs w:val="24"/>
          <w:shd w:val="clear" w:color="auto" w:fill="FFFFFF"/>
        </w:rPr>
        <w:t>re</w:t>
      </w:r>
      <w:r w:rsidRPr="008376FC">
        <w:rPr>
          <w:rFonts w:asciiTheme="majorHAnsi" w:eastAsia="Times New Roman" w:hAnsiTheme="majorHAnsi" w:cstheme="majorHAnsi"/>
          <w:b w:val="0"/>
          <w:bCs w:val="0"/>
          <w:sz w:val="24"/>
          <w:szCs w:val="24"/>
          <w:shd w:val="clear" w:color="auto" w:fill="FFFFFF"/>
        </w:rPr>
        <w:t xml:space="preserve"> un impact negativ asupra calității apelor râului Bâc, manifestat prin majorarea concentrațiilor de poluanți, fapt pentru care a fost evaluat și calculat prejudiciul cauzat mediului înconjurător în sumă de 4</w:t>
      </w:r>
      <w:r w:rsidR="002D29A8">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006,0 mii lei.</w:t>
      </w:r>
    </w:p>
    <w:p w:rsidR="00CB30D6" w:rsidRDefault="004B6B06" w:rsidP="007D322F">
      <w:pPr>
        <w:shd w:val="clear" w:color="auto" w:fill="FFFFFF"/>
        <w:spacing w:after="0" w:line="276" w:lineRule="auto"/>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b w:val="0"/>
          <w:bCs w:val="0"/>
          <w:sz w:val="24"/>
          <w:szCs w:val="24"/>
          <w:shd w:val="clear" w:color="auto" w:fill="FFFFFF"/>
        </w:rPr>
        <w:t>Cu referire la acțiunile civile privind recuperarea prejudiciului cauzat mediului</w:t>
      </w:r>
      <w:r w:rsidR="002D29A8">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înaintate instanțelor judecătorești</w:t>
      </w:r>
      <w:r w:rsidR="002D29A8">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și </w:t>
      </w:r>
      <w:r w:rsidR="002D29A8">
        <w:rPr>
          <w:rFonts w:asciiTheme="majorHAnsi" w:eastAsia="Times New Roman" w:hAnsiTheme="majorHAnsi" w:cstheme="majorHAnsi"/>
          <w:b w:val="0"/>
          <w:bCs w:val="0"/>
          <w:sz w:val="24"/>
          <w:szCs w:val="24"/>
          <w:shd w:val="clear" w:color="auto" w:fill="FFFFFF"/>
        </w:rPr>
        <w:t xml:space="preserve">la </w:t>
      </w:r>
      <w:r w:rsidRPr="008376FC">
        <w:rPr>
          <w:rFonts w:asciiTheme="majorHAnsi" w:eastAsia="Times New Roman" w:hAnsiTheme="majorHAnsi" w:cstheme="majorHAnsi"/>
          <w:b w:val="0"/>
          <w:bCs w:val="0"/>
          <w:sz w:val="24"/>
          <w:szCs w:val="24"/>
          <w:shd w:val="clear" w:color="auto" w:fill="FFFFFF"/>
        </w:rPr>
        <w:t>rezultatele examinării acestora în anii 2014-2019</w:t>
      </w:r>
      <w:r w:rsidRPr="008376FC">
        <w:rPr>
          <w:rFonts w:asciiTheme="majorHAnsi" w:eastAsia="Times New Roman" w:hAnsiTheme="majorHAnsi" w:cstheme="majorHAnsi"/>
          <w:b w:val="0"/>
          <w:bCs w:val="0"/>
          <w:sz w:val="24"/>
          <w:szCs w:val="24"/>
          <w:shd w:val="clear" w:color="auto" w:fill="FFFFFF"/>
          <w:vertAlign w:val="superscript"/>
        </w:rPr>
        <w:footnoteReference w:id="157"/>
      </w:r>
      <w:r w:rsidR="002D29A8">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se atestă că, per total</w:t>
      </w:r>
      <w:r w:rsidR="002D29A8">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în perioada respectivă au fost înaintate instanțelor de judecată 146 de cauze în sumă totală de 4,7 mil.lei, </w:t>
      </w:r>
      <w:r w:rsidR="002D29A8">
        <w:rPr>
          <w:rFonts w:asciiTheme="majorHAnsi" w:eastAsia="Times New Roman" w:hAnsiTheme="majorHAnsi" w:cstheme="majorHAnsi"/>
          <w:b w:val="0"/>
          <w:bCs w:val="0"/>
          <w:sz w:val="24"/>
          <w:szCs w:val="24"/>
          <w:shd w:val="clear" w:color="auto" w:fill="FFFFFF"/>
        </w:rPr>
        <w:t xml:space="preserve">fiind </w:t>
      </w:r>
      <w:r w:rsidRPr="008376FC">
        <w:rPr>
          <w:rFonts w:asciiTheme="majorHAnsi" w:eastAsia="Times New Roman" w:hAnsiTheme="majorHAnsi" w:cstheme="majorHAnsi"/>
          <w:b w:val="0"/>
          <w:bCs w:val="0"/>
          <w:sz w:val="24"/>
          <w:szCs w:val="24"/>
          <w:shd w:val="clear" w:color="auto" w:fill="FFFFFF"/>
        </w:rPr>
        <w:t xml:space="preserve">admise 109 cauze în sumă totală de 2,5 mil.lei, respinse </w:t>
      </w:r>
      <w:r w:rsidR="002D29A8">
        <w:rPr>
          <w:rFonts w:asciiTheme="majorHAnsi" w:eastAsia="Times New Roman" w:hAnsiTheme="majorHAnsi" w:cstheme="majorHAnsi"/>
          <w:b w:val="0"/>
          <w:bCs w:val="0"/>
          <w:sz w:val="24"/>
          <w:szCs w:val="24"/>
          <w:shd w:val="clear" w:color="auto" w:fill="FFFFFF"/>
        </w:rPr>
        <w:t xml:space="preserve">– </w:t>
      </w:r>
      <w:r w:rsidRPr="008376FC">
        <w:rPr>
          <w:rFonts w:asciiTheme="majorHAnsi" w:eastAsia="Times New Roman" w:hAnsiTheme="majorHAnsi" w:cstheme="majorHAnsi"/>
          <w:b w:val="0"/>
          <w:bCs w:val="0"/>
          <w:sz w:val="24"/>
          <w:szCs w:val="24"/>
          <w:shd w:val="clear" w:color="auto" w:fill="FFFFFF"/>
        </w:rPr>
        <w:t>5 cauz</w:t>
      </w:r>
      <w:r w:rsidR="002D29A8">
        <w:rPr>
          <w:rFonts w:asciiTheme="majorHAnsi" w:eastAsia="Times New Roman" w:hAnsiTheme="majorHAnsi" w:cstheme="majorHAnsi"/>
          <w:b w:val="0"/>
          <w:bCs w:val="0"/>
          <w:sz w:val="24"/>
          <w:szCs w:val="24"/>
          <w:shd w:val="clear" w:color="auto" w:fill="FFFFFF"/>
        </w:rPr>
        <w:t>e</w:t>
      </w:r>
      <w:r w:rsidRPr="008376FC">
        <w:rPr>
          <w:rFonts w:asciiTheme="majorHAnsi" w:eastAsia="Times New Roman" w:hAnsiTheme="majorHAnsi" w:cstheme="majorHAnsi"/>
          <w:b w:val="0"/>
          <w:bCs w:val="0"/>
          <w:sz w:val="24"/>
          <w:szCs w:val="24"/>
          <w:shd w:val="clear" w:color="auto" w:fill="FFFFFF"/>
        </w:rPr>
        <w:t xml:space="preserve"> în sumă de 1,8 mil.lei</w:t>
      </w:r>
      <w:r w:rsidR="002D29A8">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Situația pe ani se prezintă în </w:t>
      </w:r>
      <w:r w:rsidR="002D29A8">
        <w:rPr>
          <w:rFonts w:asciiTheme="majorHAnsi" w:eastAsia="Times New Roman" w:hAnsiTheme="majorHAnsi" w:cstheme="majorHAnsi"/>
          <w:b w:val="0"/>
          <w:bCs w:val="0"/>
          <w:sz w:val="24"/>
          <w:szCs w:val="24"/>
          <w:shd w:val="clear" w:color="auto" w:fill="FFFFFF"/>
        </w:rPr>
        <w:t>t</w:t>
      </w:r>
      <w:r w:rsidRPr="008376FC">
        <w:rPr>
          <w:rFonts w:asciiTheme="majorHAnsi" w:eastAsia="Times New Roman" w:hAnsiTheme="majorHAnsi" w:cstheme="majorHAnsi"/>
          <w:b w:val="0"/>
          <w:bCs w:val="0"/>
          <w:sz w:val="24"/>
          <w:szCs w:val="24"/>
          <w:shd w:val="clear" w:color="auto" w:fill="FFFFFF"/>
        </w:rPr>
        <w:t>abelul de mai jos.</w:t>
      </w:r>
    </w:p>
    <w:p w:rsidR="001760F8" w:rsidRPr="008376FC" w:rsidRDefault="001760F8" w:rsidP="007D322F">
      <w:pPr>
        <w:shd w:val="clear" w:color="auto" w:fill="FFFFFF"/>
        <w:spacing w:after="0" w:line="240" w:lineRule="auto"/>
        <w:ind w:firstLine="360"/>
        <w:jc w:val="right"/>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Tabelul nr. 3</w:t>
      </w:r>
      <w:r w:rsidR="00230129" w:rsidRPr="008376FC">
        <w:rPr>
          <w:rFonts w:asciiTheme="majorHAnsi" w:eastAsia="Times New Roman" w:hAnsiTheme="majorHAnsi" w:cstheme="majorHAnsi"/>
          <w:sz w:val="20"/>
          <w:szCs w:val="20"/>
          <w:shd w:val="clear" w:color="auto" w:fill="FFFFFF"/>
        </w:rPr>
        <w:t>7</w:t>
      </w:r>
    </w:p>
    <w:tbl>
      <w:tblPr>
        <w:tblStyle w:val="GridTable1Light-Accent51"/>
        <w:tblW w:w="9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1"/>
        <w:gridCol w:w="846"/>
        <w:gridCol w:w="916"/>
        <w:gridCol w:w="846"/>
        <w:gridCol w:w="916"/>
        <w:gridCol w:w="840"/>
        <w:gridCol w:w="919"/>
        <w:gridCol w:w="839"/>
        <w:gridCol w:w="919"/>
        <w:gridCol w:w="839"/>
        <w:gridCol w:w="868"/>
      </w:tblGrid>
      <w:tr w:rsidR="00A7236B" w:rsidRPr="008376FC" w:rsidTr="00222322">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9797" w:type="dxa"/>
            <w:gridSpan w:val="11"/>
            <w:tcBorders>
              <w:top w:val="nil"/>
              <w:left w:val="nil"/>
              <w:bottom w:val="single" w:sz="4" w:space="0" w:color="auto"/>
              <w:right w:val="nil"/>
            </w:tcBorders>
          </w:tcPr>
          <w:p w:rsidR="00A7236B" w:rsidRPr="008376FC" w:rsidRDefault="002D29A8" w:rsidP="007D322F">
            <w:pPr>
              <w:jc w:val="both"/>
              <w:rPr>
                <w:rFonts w:asciiTheme="majorHAnsi" w:eastAsia="Times New Roman" w:hAnsiTheme="majorHAnsi" w:cstheme="majorHAnsi"/>
                <w:sz w:val="20"/>
                <w:szCs w:val="20"/>
                <w:shd w:val="clear" w:color="auto" w:fill="FFFFFF"/>
              </w:rPr>
            </w:pPr>
            <w:r>
              <w:rPr>
                <w:rFonts w:asciiTheme="majorHAnsi" w:eastAsia="Times New Roman" w:hAnsiTheme="majorHAnsi" w:cstheme="majorHAnsi"/>
                <w:sz w:val="20"/>
                <w:szCs w:val="20"/>
                <w:shd w:val="clear" w:color="auto" w:fill="FFFFFF"/>
              </w:rPr>
              <w:t>A</w:t>
            </w:r>
            <w:r w:rsidR="00A7236B" w:rsidRPr="008376FC">
              <w:rPr>
                <w:rFonts w:asciiTheme="majorHAnsi" w:eastAsia="Times New Roman" w:hAnsiTheme="majorHAnsi" w:cstheme="majorHAnsi"/>
                <w:sz w:val="20"/>
                <w:szCs w:val="20"/>
                <w:shd w:val="clear" w:color="auto" w:fill="FFFFFF"/>
              </w:rPr>
              <w:t>cțiunile civile privind recuperarea prejudiciului cauzat mediului înaintate instanțelor judecătorești și rezultatele examinării acestora în anii 2014-</w:t>
            </w:r>
            <w:r w:rsidR="00723AEF" w:rsidRPr="008376FC">
              <w:rPr>
                <w:rFonts w:asciiTheme="majorHAnsi" w:eastAsia="Times New Roman" w:hAnsiTheme="majorHAnsi" w:cstheme="majorHAnsi"/>
                <w:sz w:val="20"/>
                <w:szCs w:val="20"/>
                <w:shd w:val="clear" w:color="auto" w:fill="FFFFFF"/>
              </w:rPr>
              <w:t>20</w:t>
            </w:r>
            <w:r w:rsidR="00723AEF">
              <w:rPr>
                <w:rFonts w:asciiTheme="majorHAnsi" w:eastAsia="Times New Roman" w:hAnsiTheme="majorHAnsi" w:cstheme="majorHAnsi"/>
                <w:sz w:val="20"/>
                <w:szCs w:val="20"/>
                <w:shd w:val="clear" w:color="auto" w:fill="FFFFFF"/>
              </w:rPr>
              <w:t>19</w:t>
            </w:r>
          </w:p>
        </w:tc>
      </w:tr>
      <w:tr w:rsidR="004B6B06" w:rsidRPr="008376FC" w:rsidTr="00222322">
        <w:trPr>
          <w:trHeight w:val="85"/>
        </w:trPr>
        <w:tc>
          <w:tcPr>
            <w:cnfStyle w:val="001000000000" w:firstRow="0" w:lastRow="0" w:firstColumn="1" w:lastColumn="0" w:oddVBand="0" w:evenVBand="0" w:oddHBand="0" w:evenHBand="0" w:firstRowFirstColumn="0" w:firstRowLastColumn="0" w:lastRowFirstColumn="0" w:lastRowLastColumn="0"/>
            <w:tcW w:w="1051" w:type="dxa"/>
            <w:vMerge w:val="restart"/>
            <w:tcBorders>
              <w:top w:val="single" w:sz="4" w:space="0" w:color="auto"/>
            </w:tcBorders>
            <w:shd w:val="clear" w:color="auto" w:fill="FFFFFF" w:themeFill="background1"/>
            <w:vAlign w:val="center"/>
            <w:hideMark/>
          </w:tcPr>
          <w:p w:rsidR="00BE3B68" w:rsidRPr="008376FC" w:rsidRDefault="00EF0A56" w:rsidP="007D322F">
            <w:pPr>
              <w:spacing w:line="276" w:lineRule="auto"/>
              <w:jc w:val="center"/>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A</w:t>
            </w:r>
            <w:r w:rsidR="004B6B06" w:rsidRPr="008376FC">
              <w:rPr>
                <w:rFonts w:asciiTheme="majorHAnsi" w:eastAsia="Times New Roman" w:hAnsiTheme="majorHAnsi" w:cstheme="majorHAnsi"/>
                <w:sz w:val="20"/>
                <w:szCs w:val="20"/>
                <w:shd w:val="clear" w:color="auto" w:fill="FFFFFF"/>
              </w:rPr>
              <w:t>nii</w:t>
            </w:r>
          </w:p>
        </w:tc>
        <w:tc>
          <w:tcPr>
            <w:tcW w:w="8747" w:type="dxa"/>
            <w:gridSpan w:val="10"/>
            <w:tcBorders>
              <w:top w:val="single" w:sz="4" w:space="0" w:color="auto"/>
            </w:tcBorders>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Acțiuni civile</w:t>
            </w:r>
          </w:p>
        </w:tc>
      </w:tr>
      <w:tr w:rsidR="004B6B06" w:rsidRPr="008376FC" w:rsidTr="00222322">
        <w:trPr>
          <w:trHeight w:val="385"/>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rsidR="00BE3B68" w:rsidRPr="008376FC" w:rsidRDefault="00BE3B68" w:rsidP="00F61756">
            <w:pPr>
              <w:spacing w:line="276" w:lineRule="auto"/>
              <w:jc w:val="center"/>
              <w:rPr>
                <w:rFonts w:asciiTheme="majorHAnsi" w:eastAsia="Times New Roman" w:hAnsiTheme="majorHAnsi" w:cstheme="majorHAnsi"/>
                <w:sz w:val="20"/>
                <w:szCs w:val="20"/>
                <w:shd w:val="clear" w:color="auto" w:fill="FFFFFF"/>
              </w:rPr>
            </w:pPr>
          </w:p>
        </w:tc>
        <w:tc>
          <w:tcPr>
            <w:tcW w:w="1762" w:type="dxa"/>
            <w:gridSpan w:val="2"/>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înaintate</w:t>
            </w:r>
          </w:p>
        </w:tc>
        <w:tc>
          <w:tcPr>
            <w:tcW w:w="1762" w:type="dxa"/>
            <w:gridSpan w:val="2"/>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admise</w:t>
            </w:r>
          </w:p>
        </w:tc>
        <w:tc>
          <w:tcPr>
            <w:tcW w:w="1758" w:type="dxa"/>
            <w:gridSpan w:val="2"/>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respinse</w:t>
            </w:r>
          </w:p>
        </w:tc>
        <w:tc>
          <w:tcPr>
            <w:tcW w:w="1757" w:type="dxa"/>
            <w:gridSpan w:val="2"/>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În curs de examinare</w:t>
            </w:r>
          </w:p>
        </w:tc>
        <w:tc>
          <w:tcPr>
            <w:tcW w:w="1707" w:type="dxa"/>
            <w:gridSpan w:val="2"/>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Încasate prejudicii</w:t>
            </w:r>
          </w:p>
        </w:tc>
      </w:tr>
      <w:tr w:rsidR="00BB6D20" w:rsidRPr="008376FC" w:rsidTr="00222322">
        <w:trPr>
          <w:trHeight w:val="377"/>
        </w:trPr>
        <w:tc>
          <w:tcPr>
            <w:cnfStyle w:val="001000000000" w:firstRow="0" w:lastRow="0" w:firstColumn="1" w:lastColumn="0" w:oddVBand="0" w:evenVBand="0" w:oddHBand="0" w:evenHBand="0" w:firstRowFirstColumn="0" w:firstRowLastColumn="0" w:lastRowFirstColumn="0" w:lastRowLastColumn="0"/>
            <w:tcW w:w="0" w:type="auto"/>
            <w:vMerge/>
            <w:shd w:val="clear" w:color="auto" w:fill="FFFFFF" w:themeFill="background1"/>
            <w:vAlign w:val="center"/>
            <w:hideMark/>
          </w:tcPr>
          <w:p w:rsidR="00BE3B68" w:rsidRPr="008376FC" w:rsidRDefault="00BE3B68" w:rsidP="00F61756">
            <w:pPr>
              <w:spacing w:line="276" w:lineRule="auto"/>
              <w:jc w:val="center"/>
              <w:rPr>
                <w:rFonts w:asciiTheme="majorHAnsi" w:eastAsia="Times New Roman" w:hAnsiTheme="majorHAnsi" w:cstheme="majorHAnsi"/>
                <w:sz w:val="20"/>
                <w:szCs w:val="20"/>
                <w:shd w:val="clear" w:color="auto" w:fill="FFFFFF"/>
              </w:rPr>
            </w:pPr>
          </w:p>
        </w:tc>
        <w:tc>
          <w:tcPr>
            <w:tcW w:w="846" w:type="dxa"/>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Nr.</w:t>
            </w:r>
          </w:p>
        </w:tc>
        <w:tc>
          <w:tcPr>
            <w:tcW w:w="916" w:type="dxa"/>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Mii lei</w:t>
            </w:r>
          </w:p>
        </w:tc>
        <w:tc>
          <w:tcPr>
            <w:tcW w:w="846" w:type="dxa"/>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Nr.</w:t>
            </w:r>
          </w:p>
        </w:tc>
        <w:tc>
          <w:tcPr>
            <w:tcW w:w="916" w:type="dxa"/>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Mii lei</w:t>
            </w:r>
          </w:p>
        </w:tc>
        <w:tc>
          <w:tcPr>
            <w:tcW w:w="840" w:type="dxa"/>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Nr.</w:t>
            </w:r>
          </w:p>
        </w:tc>
        <w:tc>
          <w:tcPr>
            <w:tcW w:w="919" w:type="dxa"/>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Mii lei</w:t>
            </w:r>
          </w:p>
        </w:tc>
        <w:tc>
          <w:tcPr>
            <w:tcW w:w="839" w:type="dxa"/>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Nr.</w:t>
            </w:r>
          </w:p>
        </w:tc>
        <w:tc>
          <w:tcPr>
            <w:tcW w:w="919" w:type="dxa"/>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Mii lei</w:t>
            </w:r>
          </w:p>
        </w:tc>
        <w:tc>
          <w:tcPr>
            <w:tcW w:w="839" w:type="dxa"/>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Nr.</w:t>
            </w:r>
          </w:p>
        </w:tc>
        <w:tc>
          <w:tcPr>
            <w:tcW w:w="868" w:type="dxa"/>
            <w:shd w:val="clear" w:color="auto" w:fill="FFFFFF" w:themeFill="background1"/>
            <w:vAlign w:val="center"/>
            <w:hideMark/>
          </w:tcPr>
          <w:p w:rsidR="00BE3B68" w:rsidRPr="008376FC" w:rsidRDefault="004B6B06" w:rsidP="00F61756">
            <w:pPr>
              <w:spacing w:line="276" w:lineRule="auto"/>
              <w:jc w:val="center"/>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Cs w:val="0"/>
                <w:sz w:val="20"/>
                <w:szCs w:val="20"/>
                <w:shd w:val="clear" w:color="auto" w:fill="FFFFFF"/>
              </w:rPr>
            </w:pPr>
            <w:r w:rsidRPr="008376FC">
              <w:rPr>
                <w:rFonts w:asciiTheme="majorHAnsi" w:eastAsia="Times New Roman" w:hAnsiTheme="majorHAnsi" w:cstheme="majorHAnsi"/>
                <w:bCs w:val="0"/>
                <w:sz w:val="20"/>
                <w:szCs w:val="20"/>
                <w:shd w:val="clear" w:color="auto" w:fill="FFFFFF"/>
              </w:rPr>
              <w:t>Mii lei</w:t>
            </w:r>
          </w:p>
        </w:tc>
      </w:tr>
      <w:tr w:rsidR="004B6B06" w:rsidRPr="008376FC" w:rsidTr="00222322">
        <w:trPr>
          <w:trHeight w:val="192"/>
        </w:trPr>
        <w:tc>
          <w:tcPr>
            <w:cnfStyle w:val="001000000000" w:firstRow="0" w:lastRow="0" w:firstColumn="1" w:lastColumn="0" w:oddVBand="0" w:evenVBand="0" w:oddHBand="0" w:evenHBand="0" w:firstRowFirstColumn="0" w:firstRowLastColumn="0" w:lastRowFirstColumn="0" w:lastRowLastColumn="0"/>
            <w:tcW w:w="1051" w:type="dxa"/>
            <w:hideMark/>
          </w:tcPr>
          <w:p w:rsidR="004B6B06" w:rsidRPr="008376FC" w:rsidRDefault="004B6B06" w:rsidP="00F61756">
            <w:pPr>
              <w:spacing w:line="276" w:lineRule="auto"/>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2014</w:t>
            </w:r>
          </w:p>
        </w:tc>
        <w:tc>
          <w:tcPr>
            <w:tcW w:w="84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22</w:t>
            </w:r>
          </w:p>
        </w:tc>
        <w:tc>
          <w:tcPr>
            <w:tcW w:w="91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1578,5</w:t>
            </w:r>
          </w:p>
        </w:tc>
        <w:tc>
          <w:tcPr>
            <w:tcW w:w="84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17</w:t>
            </w:r>
          </w:p>
        </w:tc>
        <w:tc>
          <w:tcPr>
            <w:tcW w:w="91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74,0</w:t>
            </w:r>
          </w:p>
        </w:tc>
        <w:tc>
          <w:tcPr>
            <w:tcW w:w="840"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w:t>
            </w:r>
          </w:p>
        </w:tc>
        <w:tc>
          <w:tcPr>
            <w:tcW w:w="91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w:t>
            </w:r>
          </w:p>
        </w:tc>
        <w:tc>
          <w:tcPr>
            <w:tcW w:w="83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w:t>
            </w:r>
          </w:p>
        </w:tc>
        <w:tc>
          <w:tcPr>
            <w:tcW w:w="91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1497,3</w:t>
            </w:r>
          </w:p>
        </w:tc>
        <w:tc>
          <w:tcPr>
            <w:tcW w:w="83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13</w:t>
            </w:r>
          </w:p>
        </w:tc>
        <w:tc>
          <w:tcPr>
            <w:tcW w:w="868"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21,2</w:t>
            </w:r>
          </w:p>
        </w:tc>
      </w:tr>
      <w:tr w:rsidR="004B6B06" w:rsidRPr="008376FC" w:rsidTr="00222322">
        <w:trPr>
          <w:trHeight w:val="192"/>
        </w:trPr>
        <w:tc>
          <w:tcPr>
            <w:cnfStyle w:val="001000000000" w:firstRow="0" w:lastRow="0" w:firstColumn="1" w:lastColumn="0" w:oddVBand="0" w:evenVBand="0" w:oddHBand="0" w:evenHBand="0" w:firstRowFirstColumn="0" w:firstRowLastColumn="0" w:lastRowFirstColumn="0" w:lastRowLastColumn="0"/>
            <w:tcW w:w="1051" w:type="dxa"/>
            <w:hideMark/>
          </w:tcPr>
          <w:p w:rsidR="004B6B06" w:rsidRPr="008376FC" w:rsidRDefault="004B6B06" w:rsidP="00F61756">
            <w:pPr>
              <w:spacing w:line="276" w:lineRule="auto"/>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2015</w:t>
            </w:r>
          </w:p>
        </w:tc>
        <w:tc>
          <w:tcPr>
            <w:tcW w:w="84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29</w:t>
            </w:r>
          </w:p>
        </w:tc>
        <w:tc>
          <w:tcPr>
            <w:tcW w:w="91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1102,7</w:t>
            </w:r>
          </w:p>
        </w:tc>
        <w:tc>
          <w:tcPr>
            <w:tcW w:w="84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21</w:t>
            </w:r>
          </w:p>
        </w:tc>
        <w:tc>
          <w:tcPr>
            <w:tcW w:w="91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911,5</w:t>
            </w:r>
          </w:p>
        </w:tc>
        <w:tc>
          <w:tcPr>
            <w:tcW w:w="840"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91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10,4</w:t>
            </w:r>
          </w:p>
        </w:tc>
        <w:tc>
          <w:tcPr>
            <w:tcW w:w="83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14</w:t>
            </w:r>
          </w:p>
        </w:tc>
        <w:tc>
          <w:tcPr>
            <w:tcW w:w="91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1101,4</w:t>
            </w:r>
          </w:p>
        </w:tc>
        <w:tc>
          <w:tcPr>
            <w:tcW w:w="83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w:t>
            </w:r>
          </w:p>
        </w:tc>
        <w:tc>
          <w:tcPr>
            <w:tcW w:w="868"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10,3</w:t>
            </w:r>
          </w:p>
        </w:tc>
      </w:tr>
      <w:tr w:rsidR="004B6B06" w:rsidRPr="008376FC" w:rsidTr="00222322">
        <w:trPr>
          <w:trHeight w:val="192"/>
        </w:trPr>
        <w:tc>
          <w:tcPr>
            <w:cnfStyle w:val="001000000000" w:firstRow="0" w:lastRow="0" w:firstColumn="1" w:lastColumn="0" w:oddVBand="0" w:evenVBand="0" w:oddHBand="0" w:evenHBand="0" w:firstRowFirstColumn="0" w:firstRowLastColumn="0" w:lastRowFirstColumn="0" w:lastRowLastColumn="0"/>
            <w:tcW w:w="1051" w:type="dxa"/>
            <w:hideMark/>
          </w:tcPr>
          <w:p w:rsidR="004B6B06" w:rsidRPr="008376FC" w:rsidRDefault="004B6B06" w:rsidP="00F61756">
            <w:pPr>
              <w:spacing w:line="276" w:lineRule="auto"/>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2016</w:t>
            </w:r>
          </w:p>
        </w:tc>
        <w:tc>
          <w:tcPr>
            <w:tcW w:w="84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28</w:t>
            </w:r>
          </w:p>
        </w:tc>
        <w:tc>
          <w:tcPr>
            <w:tcW w:w="91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580,9</w:t>
            </w:r>
          </w:p>
        </w:tc>
        <w:tc>
          <w:tcPr>
            <w:tcW w:w="84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18</w:t>
            </w:r>
          </w:p>
        </w:tc>
        <w:tc>
          <w:tcPr>
            <w:tcW w:w="91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559,7</w:t>
            </w:r>
          </w:p>
        </w:tc>
        <w:tc>
          <w:tcPr>
            <w:tcW w:w="840"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91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1773</w:t>
            </w:r>
          </w:p>
        </w:tc>
        <w:tc>
          <w:tcPr>
            <w:tcW w:w="83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8</w:t>
            </w:r>
          </w:p>
        </w:tc>
        <w:tc>
          <w:tcPr>
            <w:tcW w:w="91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473,0</w:t>
            </w:r>
          </w:p>
        </w:tc>
        <w:tc>
          <w:tcPr>
            <w:tcW w:w="83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w:t>
            </w:r>
          </w:p>
        </w:tc>
        <w:tc>
          <w:tcPr>
            <w:tcW w:w="868"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48,6</w:t>
            </w:r>
          </w:p>
        </w:tc>
      </w:tr>
      <w:tr w:rsidR="004B6B06" w:rsidRPr="008376FC" w:rsidTr="00222322">
        <w:trPr>
          <w:trHeight w:val="192"/>
        </w:trPr>
        <w:tc>
          <w:tcPr>
            <w:cnfStyle w:val="001000000000" w:firstRow="0" w:lastRow="0" w:firstColumn="1" w:lastColumn="0" w:oddVBand="0" w:evenVBand="0" w:oddHBand="0" w:evenHBand="0" w:firstRowFirstColumn="0" w:firstRowLastColumn="0" w:lastRowFirstColumn="0" w:lastRowLastColumn="0"/>
            <w:tcW w:w="1051" w:type="dxa"/>
            <w:hideMark/>
          </w:tcPr>
          <w:p w:rsidR="004B6B06" w:rsidRPr="008376FC" w:rsidRDefault="004B6B06" w:rsidP="00F61756">
            <w:pPr>
              <w:spacing w:line="276" w:lineRule="auto"/>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2017</w:t>
            </w:r>
          </w:p>
        </w:tc>
        <w:tc>
          <w:tcPr>
            <w:tcW w:w="84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20</w:t>
            </w:r>
          </w:p>
        </w:tc>
        <w:tc>
          <w:tcPr>
            <w:tcW w:w="91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305,5</w:t>
            </w:r>
          </w:p>
        </w:tc>
        <w:tc>
          <w:tcPr>
            <w:tcW w:w="84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w:t>
            </w:r>
          </w:p>
        </w:tc>
        <w:tc>
          <w:tcPr>
            <w:tcW w:w="91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261,0</w:t>
            </w:r>
          </w:p>
        </w:tc>
        <w:tc>
          <w:tcPr>
            <w:tcW w:w="840"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91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2,3</w:t>
            </w:r>
          </w:p>
        </w:tc>
        <w:tc>
          <w:tcPr>
            <w:tcW w:w="83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14</w:t>
            </w:r>
          </w:p>
        </w:tc>
        <w:tc>
          <w:tcPr>
            <w:tcW w:w="91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286,0</w:t>
            </w:r>
          </w:p>
        </w:tc>
        <w:tc>
          <w:tcPr>
            <w:tcW w:w="83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w:t>
            </w:r>
          </w:p>
        </w:tc>
        <w:tc>
          <w:tcPr>
            <w:tcW w:w="868"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15,5</w:t>
            </w:r>
          </w:p>
        </w:tc>
      </w:tr>
      <w:tr w:rsidR="004B6B06" w:rsidRPr="008376FC" w:rsidTr="00222322">
        <w:trPr>
          <w:trHeight w:val="192"/>
        </w:trPr>
        <w:tc>
          <w:tcPr>
            <w:cnfStyle w:val="001000000000" w:firstRow="0" w:lastRow="0" w:firstColumn="1" w:lastColumn="0" w:oddVBand="0" w:evenVBand="0" w:oddHBand="0" w:evenHBand="0" w:firstRowFirstColumn="0" w:firstRowLastColumn="0" w:lastRowFirstColumn="0" w:lastRowLastColumn="0"/>
            <w:tcW w:w="1051" w:type="dxa"/>
            <w:hideMark/>
          </w:tcPr>
          <w:p w:rsidR="004B6B06" w:rsidRPr="008376FC" w:rsidRDefault="004B6B06" w:rsidP="00F61756">
            <w:pPr>
              <w:spacing w:line="276" w:lineRule="auto"/>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2018</w:t>
            </w:r>
          </w:p>
        </w:tc>
        <w:tc>
          <w:tcPr>
            <w:tcW w:w="84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20</w:t>
            </w:r>
          </w:p>
        </w:tc>
        <w:tc>
          <w:tcPr>
            <w:tcW w:w="91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744,7</w:t>
            </w:r>
          </w:p>
        </w:tc>
        <w:tc>
          <w:tcPr>
            <w:tcW w:w="84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18</w:t>
            </w:r>
          </w:p>
        </w:tc>
        <w:tc>
          <w:tcPr>
            <w:tcW w:w="916"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567,3</w:t>
            </w:r>
          </w:p>
        </w:tc>
        <w:tc>
          <w:tcPr>
            <w:tcW w:w="840"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w:t>
            </w:r>
          </w:p>
        </w:tc>
        <w:tc>
          <w:tcPr>
            <w:tcW w:w="91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w:t>
            </w:r>
          </w:p>
        </w:tc>
        <w:tc>
          <w:tcPr>
            <w:tcW w:w="83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w:t>
            </w:r>
          </w:p>
        </w:tc>
        <w:tc>
          <w:tcPr>
            <w:tcW w:w="91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240,1</w:t>
            </w:r>
          </w:p>
        </w:tc>
        <w:tc>
          <w:tcPr>
            <w:tcW w:w="839"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14</w:t>
            </w:r>
          </w:p>
        </w:tc>
        <w:tc>
          <w:tcPr>
            <w:tcW w:w="868" w:type="dxa"/>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504,6</w:t>
            </w:r>
          </w:p>
        </w:tc>
      </w:tr>
      <w:tr w:rsidR="004B6B06" w:rsidRPr="008376FC" w:rsidTr="00222322">
        <w:trPr>
          <w:trHeight w:val="192"/>
        </w:trPr>
        <w:tc>
          <w:tcPr>
            <w:cnfStyle w:val="001000000000" w:firstRow="0" w:lastRow="0" w:firstColumn="1" w:lastColumn="0" w:oddVBand="0" w:evenVBand="0" w:oddHBand="0" w:evenHBand="0" w:firstRowFirstColumn="0" w:firstRowLastColumn="0" w:lastRowFirstColumn="0" w:lastRowLastColumn="0"/>
            <w:tcW w:w="1051" w:type="dxa"/>
            <w:tcBorders>
              <w:bottom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2019</w:t>
            </w:r>
          </w:p>
        </w:tc>
        <w:tc>
          <w:tcPr>
            <w:tcW w:w="846" w:type="dxa"/>
            <w:tcBorders>
              <w:bottom w:val="single" w:sz="4" w:space="0" w:color="auto"/>
            </w:tcBorders>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27</w:t>
            </w:r>
          </w:p>
        </w:tc>
        <w:tc>
          <w:tcPr>
            <w:tcW w:w="916" w:type="dxa"/>
            <w:tcBorders>
              <w:bottom w:val="single" w:sz="4" w:space="0" w:color="auto"/>
            </w:tcBorders>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379,5</w:t>
            </w:r>
          </w:p>
        </w:tc>
        <w:tc>
          <w:tcPr>
            <w:tcW w:w="846" w:type="dxa"/>
            <w:tcBorders>
              <w:bottom w:val="single" w:sz="4" w:space="0" w:color="auto"/>
            </w:tcBorders>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24</w:t>
            </w:r>
          </w:p>
        </w:tc>
        <w:tc>
          <w:tcPr>
            <w:tcW w:w="916" w:type="dxa"/>
            <w:tcBorders>
              <w:bottom w:val="single" w:sz="4" w:space="0" w:color="auto"/>
            </w:tcBorders>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96,3</w:t>
            </w:r>
          </w:p>
        </w:tc>
        <w:tc>
          <w:tcPr>
            <w:tcW w:w="840" w:type="dxa"/>
            <w:tcBorders>
              <w:bottom w:val="single" w:sz="4" w:space="0" w:color="auto"/>
            </w:tcBorders>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919" w:type="dxa"/>
            <w:tcBorders>
              <w:bottom w:val="single" w:sz="4" w:space="0" w:color="auto"/>
            </w:tcBorders>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6,4</w:t>
            </w:r>
          </w:p>
        </w:tc>
        <w:tc>
          <w:tcPr>
            <w:tcW w:w="839" w:type="dxa"/>
            <w:tcBorders>
              <w:bottom w:val="single" w:sz="4" w:space="0" w:color="auto"/>
            </w:tcBorders>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w:t>
            </w:r>
          </w:p>
        </w:tc>
        <w:tc>
          <w:tcPr>
            <w:tcW w:w="919" w:type="dxa"/>
            <w:tcBorders>
              <w:bottom w:val="single" w:sz="4" w:space="0" w:color="auto"/>
            </w:tcBorders>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248,9</w:t>
            </w:r>
          </w:p>
        </w:tc>
        <w:tc>
          <w:tcPr>
            <w:tcW w:w="839" w:type="dxa"/>
            <w:tcBorders>
              <w:bottom w:val="single" w:sz="4" w:space="0" w:color="auto"/>
            </w:tcBorders>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13</w:t>
            </w:r>
          </w:p>
        </w:tc>
        <w:tc>
          <w:tcPr>
            <w:tcW w:w="868" w:type="dxa"/>
            <w:tcBorders>
              <w:bottom w:val="single" w:sz="4" w:space="0" w:color="auto"/>
            </w:tcBorders>
            <w:hideMark/>
          </w:tcPr>
          <w:p w:rsidR="004B6B06" w:rsidRPr="008376FC" w:rsidRDefault="004B6B06" w:rsidP="00F61756">
            <w:pPr>
              <w:spacing w:line="276" w:lineRule="auto"/>
              <w:jc w:val="right"/>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42,5</w:t>
            </w:r>
          </w:p>
        </w:tc>
      </w:tr>
      <w:tr w:rsidR="004B6B06" w:rsidRPr="008376FC" w:rsidTr="00222322">
        <w:trPr>
          <w:trHeight w:val="192"/>
        </w:trPr>
        <w:tc>
          <w:tcPr>
            <w:cnfStyle w:val="001000000000" w:firstRow="0" w:lastRow="0" w:firstColumn="1" w:lastColumn="0" w:oddVBand="0" w:evenVBand="0" w:oddHBand="0" w:evenHBand="0" w:firstRowFirstColumn="0" w:firstRowLastColumn="0" w:lastRowFirstColumn="0" w:lastRowLastColumn="0"/>
            <w:tcW w:w="1051" w:type="dxa"/>
            <w:tcBorders>
              <w:bottom w:val="single" w:sz="4" w:space="0" w:color="auto"/>
            </w:tcBorders>
            <w:hideMark/>
          </w:tcPr>
          <w:p w:rsidR="004B6B06" w:rsidRPr="008376FC" w:rsidRDefault="004B6B06" w:rsidP="00F61756">
            <w:pPr>
              <w:spacing w:line="276" w:lineRule="auto"/>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Total</w:t>
            </w:r>
          </w:p>
        </w:tc>
        <w:tc>
          <w:tcPr>
            <w:tcW w:w="846" w:type="dxa"/>
            <w:tcBorders>
              <w:bottom w:val="single" w:sz="4" w:space="0" w:color="auto"/>
            </w:tcBorders>
            <w:hideMark/>
          </w:tcPr>
          <w:p w:rsidR="004B6B06" w:rsidRPr="008376FC" w:rsidRDefault="004B6B06" w:rsidP="00F6175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146</w:t>
            </w:r>
          </w:p>
        </w:tc>
        <w:tc>
          <w:tcPr>
            <w:tcW w:w="916" w:type="dxa"/>
            <w:tcBorders>
              <w:bottom w:val="single" w:sz="4" w:space="0" w:color="auto"/>
            </w:tcBorders>
            <w:hideMark/>
          </w:tcPr>
          <w:p w:rsidR="004B6B06" w:rsidRPr="008376FC" w:rsidRDefault="004B6B06" w:rsidP="00F6175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4691,8</w:t>
            </w:r>
          </w:p>
        </w:tc>
        <w:tc>
          <w:tcPr>
            <w:tcW w:w="846" w:type="dxa"/>
            <w:tcBorders>
              <w:bottom w:val="single" w:sz="4" w:space="0" w:color="auto"/>
            </w:tcBorders>
            <w:hideMark/>
          </w:tcPr>
          <w:p w:rsidR="004B6B06" w:rsidRPr="008376FC" w:rsidRDefault="004B6B06" w:rsidP="00F6175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109</w:t>
            </w:r>
          </w:p>
        </w:tc>
        <w:tc>
          <w:tcPr>
            <w:tcW w:w="916" w:type="dxa"/>
            <w:tcBorders>
              <w:bottom w:val="single" w:sz="4" w:space="0" w:color="auto"/>
            </w:tcBorders>
            <w:hideMark/>
          </w:tcPr>
          <w:p w:rsidR="004B6B06" w:rsidRPr="008376FC" w:rsidRDefault="004B6B06" w:rsidP="00F6175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2469,8</w:t>
            </w:r>
          </w:p>
        </w:tc>
        <w:tc>
          <w:tcPr>
            <w:tcW w:w="840" w:type="dxa"/>
            <w:tcBorders>
              <w:bottom w:val="single" w:sz="4" w:space="0" w:color="auto"/>
            </w:tcBorders>
            <w:hideMark/>
          </w:tcPr>
          <w:p w:rsidR="004B6B06" w:rsidRPr="008376FC" w:rsidRDefault="004B6B06" w:rsidP="00F6175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5</w:t>
            </w:r>
          </w:p>
        </w:tc>
        <w:tc>
          <w:tcPr>
            <w:tcW w:w="919" w:type="dxa"/>
            <w:tcBorders>
              <w:bottom w:val="single" w:sz="4" w:space="0" w:color="auto"/>
            </w:tcBorders>
            <w:hideMark/>
          </w:tcPr>
          <w:p w:rsidR="004B6B06" w:rsidRPr="008376FC" w:rsidRDefault="004B6B06" w:rsidP="00F6175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1792,1</w:t>
            </w:r>
          </w:p>
        </w:tc>
        <w:tc>
          <w:tcPr>
            <w:tcW w:w="839" w:type="dxa"/>
            <w:tcBorders>
              <w:bottom w:val="single" w:sz="4" w:space="0" w:color="auto"/>
            </w:tcBorders>
            <w:hideMark/>
          </w:tcPr>
          <w:p w:rsidR="004B6B06" w:rsidRPr="008376FC" w:rsidRDefault="004B6B06" w:rsidP="00F6175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55</w:t>
            </w:r>
          </w:p>
        </w:tc>
        <w:tc>
          <w:tcPr>
            <w:tcW w:w="919" w:type="dxa"/>
            <w:tcBorders>
              <w:bottom w:val="single" w:sz="4" w:space="0" w:color="auto"/>
            </w:tcBorders>
            <w:hideMark/>
          </w:tcPr>
          <w:p w:rsidR="004B6B06" w:rsidRPr="008376FC" w:rsidRDefault="004B6B06" w:rsidP="00F6175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3846,7</w:t>
            </w:r>
          </w:p>
        </w:tc>
        <w:tc>
          <w:tcPr>
            <w:tcW w:w="839" w:type="dxa"/>
            <w:tcBorders>
              <w:bottom w:val="single" w:sz="4" w:space="0" w:color="auto"/>
            </w:tcBorders>
            <w:hideMark/>
          </w:tcPr>
          <w:p w:rsidR="004B6B06" w:rsidRPr="008376FC" w:rsidRDefault="004B6B06" w:rsidP="00F6175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63</w:t>
            </w:r>
          </w:p>
        </w:tc>
        <w:tc>
          <w:tcPr>
            <w:tcW w:w="868" w:type="dxa"/>
            <w:tcBorders>
              <w:bottom w:val="single" w:sz="4" w:space="0" w:color="auto"/>
            </w:tcBorders>
            <w:hideMark/>
          </w:tcPr>
          <w:p w:rsidR="004B6B06" w:rsidRPr="008376FC" w:rsidRDefault="004B6B06" w:rsidP="00F61756">
            <w:pPr>
              <w:spacing w:line="276" w:lineRule="auto"/>
              <w:jc w:val="both"/>
              <w:cnfStyle w:val="000000000000" w:firstRow="0" w:lastRow="0" w:firstColumn="0" w:lastColumn="0" w:oddVBand="0" w:evenVBand="0" w:oddHBand="0" w:evenHBand="0" w:firstRowFirstColumn="0" w:firstRowLastColumn="0" w:lastRowFirstColumn="0" w:lastRowLastColumn="0"/>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642,7</w:t>
            </w:r>
          </w:p>
        </w:tc>
      </w:tr>
      <w:tr w:rsidR="00A7236B" w:rsidRPr="008376FC" w:rsidTr="00222322">
        <w:trPr>
          <w:trHeight w:val="192"/>
        </w:trPr>
        <w:tc>
          <w:tcPr>
            <w:cnfStyle w:val="001000000000" w:firstRow="0" w:lastRow="0" w:firstColumn="1" w:lastColumn="0" w:oddVBand="0" w:evenVBand="0" w:oddHBand="0" w:evenHBand="0" w:firstRowFirstColumn="0" w:firstRowLastColumn="0" w:lastRowFirstColumn="0" w:lastRowLastColumn="0"/>
            <w:tcW w:w="9797" w:type="dxa"/>
            <w:gridSpan w:val="11"/>
            <w:tcBorders>
              <w:top w:val="single" w:sz="4" w:space="0" w:color="auto"/>
              <w:left w:val="nil"/>
              <w:bottom w:val="nil"/>
              <w:right w:val="nil"/>
            </w:tcBorders>
          </w:tcPr>
          <w:p w:rsidR="00A7236B" w:rsidRPr="008376FC" w:rsidRDefault="00A7236B" w:rsidP="00F61756">
            <w:pPr>
              <w:shd w:val="clear" w:color="auto" w:fill="FFFFFF"/>
              <w:spacing w:line="276" w:lineRule="auto"/>
              <w:ind w:firstLine="360"/>
              <w:jc w:val="both"/>
              <w:rPr>
                <w:rFonts w:asciiTheme="majorHAnsi" w:eastAsia="Times New Roman" w:hAnsiTheme="majorHAnsi" w:cstheme="majorHAnsi"/>
                <w:sz w:val="20"/>
                <w:szCs w:val="20"/>
                <w:shd w:val="clear" w:color="auto" w:fill="FFFFFF"/>
              </w:rPr>
            </w:pPr>
            <w:r w:rsidRPr="001B4A95">
              <w:rPr>
                <w:rFonts w:asciiTheme="majorHAnsi" w:eastAsia="Times New Roman" w:hAnsiTheme="majorHAnsi" w:cstheme="majorHAnsi"/>
                <w:i/>
                <w:sz w:val="20"/>
                <w:szCs w:val="20"/>
                <w:shd w:val="clear" w:color="auto" w:fill="FFFFFF"/>
              </w:rPr>
              <w:t>Sursa:</w:t>
            </w:r>
            <w:r w:rsidRPr="008376FC">
              <w:rPr>
                <w:rFonts w:asciiTheme="majorHAnsi" w:eastAsia="Times New Roman" w:hAnsiTheme="majorHAnsi" w:cstheme="majorHAnsi"/>
                <w:sz w:val="20"/>
                <w:szCs w:val="20"/>
                <w:shd w:val="clear" w:color="auto" w:fill="FFFFFF"/>
              </w:rPr>
              <w:t xml:space="preserve">  </w:t>
            </w:r>
            <w:r w:rsidRPr="001B4A95">
              <w:rPr>
                <w:rFonts w:asciiTheme="majorHAnsi" w:eastAsia="Times New Roman" w:hAnsiTheme="majorHAnsi" w:cstheme="majorHAnsi"/>
                <w:i/>
                <w:sz w:val="20"/>
                <w:szCs w:val="20"/>
                <w:shd w:val="clear" w:color="auto" w:fill="FFFFFF"/>
              </w:rPr>
              <w:t>Date</w:t>
            </w:r>
            <w:r w:rsidR="006B1461">
              <w:rPr>
                <w:rFonts w:asciiTheme="majorHAnsi" w:eastAsia="Times New Roman" w:hAnsiTheme="majorHAnsi" w:cstheme="majorHAnsi"/>
                <w:i/>
                <w:sz w:val="20"/>
                <w:szCs w:val="20"/>
                <w:shd w:val="clear" w:color="auto" w:fill="FFFFFF"/>
              </w:rPr>
              <w:t xml:space="preserve"> oferite d</w:t>
            </w:r>
            <w:r w:rsidRPr="001B4A95">
              <w:rPr>
                <w:rFonts w:asciiTheme="majorHAnsi" w:eastAsia="Times New Roman" w:hAnsiTheme="majorHAnsi" w:cstheme="majorHAnsi"/>
                <w:i/>
                <w:sz w:val="20"/>
                <w:szCs w:val="20"/>
                <w:shd w:val="clear" w:color="auto" w:fill="FFFFFF"/>
              </w:rPr>
              <w:t>e IPM.</w:t>
            </w:r>
          </w:p>
        </w:tc>
      </w:tr>
    </w:tbl>
    <w:p w:rsidR="004B6B06" w:rsidRPr="008376FC" w:rsidRDefault="004B6B06" w:rsidP="00F61756">
      <w:pPr>
        <w:shd w:val="clear" w:color="auto" w:fill="FFFFFF"/>
        <w:spacing w:before="120" w:after="0" w:line="276" w:lineRule="auto"/>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Nici în cazul prejudiciilor, indicatorii de performanță aprobați de IPM nu includ indicatori care urmează a fi monitorizați pentru asigurarea managementului obligațiunilor fa</w:t>
      </w:r>
      <w:r w:rsidR="00FB168A" w:rsidRPr="008376FC">
        <w:rPr>
          <w:rFonts w:asciiTheme="majorHAnsi" w:eastAsia="Times New Roman" w:hAnsiTheme="majorHAnsi" w:cstheme="majorHAnsi"/>
          <w:b w:val="0"/>
          <w:bCs w:val="0"/>
          <w:sz w:val="24"/>
          <w:szCs w:val="24"/>
          <w:shd w:val="clear" w:color="auto" w:fill="FFFFFF"/>
        </w:rPr>
        <w:t xml:space="preserve">ţă </w:t>
      </w:r>
      <w:r w:rsidRPr="008376FC">
        <w:rPr>
          <w:rFonts w:asciiTheme="majorHAnsi" w:eastAsia="Times New Roman" w:hAnsiTheme="majorHAnsi" w:cstheme="majorHAnsi"/>
          <w:b w:val="0"/>
          <w:bCs w:val="0"/>
          <w:sz w:val="24"/>
          <w:szCs w:val="24"/>
          <w:shd w:val="clear" w:color="auto" w:fill="FFFFFF"/>
        </w:rPr>
        <w:t>de BS. Astfel, lipsește indicatorul „numărul cazurilor de recuperare a prejudiciilor cauzat</w:t>
      </w:r>
      <w:r w:rsidR="006B1461">
        <w:rPr>
          <w:rFonts w:asciiTheme="majorHAnsi" w:eastAsia="Times New Roman" w:hAnsiTheme="majorHAnsi" w:cstheme="majorHAnsi"/>
          <w:b w:val="0"/>
          <w:bCs w:val="0"/>
          <w:sz w:val="24"/>
          <w:szCs w:val="24"/>
          <w:shd w:val="clear" w:color="auto" w:fill="FFFFFF"/>
        </w:rPr>
        <w:t>e</w:t>
      </w:r>
      <w:r w:rsidRPr="008376FC">
        <w:rPr>
          <w:rFonts w:asciiTheme="majorHAnsi" w:eastAsia="Times New Roman" w:hAnsiTheme="majorHAnsi" w:cstheme="majorHAnsi"/>
          <w:b w:val="0"/>
          <w:bCs w:val="0"/>
          <w:sz w:val="24"/>
          <w:szCs w:val="24"/>
          <w:shd w:val="clear" w:color="auto" w:fill="FFFFFF"/>
        </w:rPr>
        <w:t xml:space="preserve"> mediului expediate organelor de </w:t>
      </w:r>
      <w:r w:rsidR="00723AEF">
        <w:rPr>
          <w:rFonts w:asciiTheme="majorHAnsi" w:eastAsia="Times New Roman" w:hAnsiTheme="majorHAnsi" w:cstheme="majorHAnsi"/>
          <w:b w:val="0"/>
          <w:bCs w:val="0"/>
          <w:sz w:val="24"/>
          <w:szCs w:val="24"/>
          <w:shd w:val="clear" w:color="auto" w:fill="FFFFFF"/>
        </w:rPr>
        <w:t>drept</w:t>
      </w:r>
      <w:r w:rsidRPr="008376FC">
        <w:rPr>
          <w:rFonts w:asciiTheme="majorHAnsi" w:eastAsia="Times New Roman" w:hAnsiTheme="majorHAnsi" w:cstheme="majorHAnsi"/>
          <w:b w:val="0"/>
          <w:bCs w:val="0"/>
          <w:sz w:val="24"/>
          <w:szCs w:val="24"/>
          <w:shd w:val="clear" w:color="auto" w:fill="FFFFFF"/>
        </w:rPr>
        <w:t xml:space="preserve">”, suma cazurilor expediate organelor de </w:t>
      </w:r>
      <w:r w:rsidR="00723AEF">
        <w:rPr>
          <w:rFonts w:asciiTheme="majorHAnsi" w:eastAsia="Times New Roman" w:hAnsiTheme="majorHAnsi" w:cstheme="majorHAnsi"/>
          <w:b w:val="0"/>
          <w:bCs w:val="0"/>
          <w:sz w:val="24"/>
          <w:szCs w:val="24"/>
          <w:shd w:val="clear" w:color="auto" w:fill="FFFFFF"/>
        </w:rPr>
        <w:t>drept</w:t>
      </w:r>
      <w:r w:rsidRPr="008376FC">
        <w:rPr>
          <w:rFonts w:asciiTheme="majorHAnsi" w:eastAsia="Times New Roman" w:hAnsiTheme="majorHAnsi" w:cstheme="majorHAnsi"/>
          <w:b w:val="0"/>
          <w:bCs w:val="0"/>
          <w:sz w:val="24"/>
          <w:szCs w:val="24"/>
          <w:shd w:val="clear" w:color="auto" w:fill="FFFFFF"/>
        </w:rPr>
        <w:t>, statutul lor: acceptat, respins, în examinare etc. Totodată, nu este elaborat un set de date care urmează să fie prezentat cumulativ, și anume restanțele/obligațiunile față de buget. Nu este clar cum această evidență este asigurată în subdiviziunile teritoriale, deoarece</w:t>
      </w:r>
      <w:r w:rsidR="006B1461">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deși încă în anul 2019 IPM a aprobat </w:t>
      </w:r>
      <w:r w:rsidR="006B1461">
        <w:rPr>
          <w:rFonts w:asciiTheme="majorHAnsi" w:eastAsia="Times New Roman" w:hAnsiTheme="majorHAnsi" w:cstheme="majorHAnsi"/>
          <w:b w:val="0"/>
          <w:bCs w:val="0"/>
          <w:sz w:val="24"/>
          <w:szCs w:val="24"/>
          <w:shd w:val="clear" w:color="auto" w:fill="FFFFFF"/>
        </w:rPr>
        <w:t>O</w:t>
      </w:r>
      <w:r w:rsidRPr="008376FC">
        <w:rPr>
          <w:rFonts w:asciiTheme="majorHAnsi" w:eastAsia="Times New Roman" w:hAnsiTheme="majorHAnsi" w:cstheme="majorHAnsi"/>
          <w:b w:val="0"/>
          <w:bCs w:val="0"/>
          <w:sz w:val="24"/>
          <w:szCs w:val="24"/>
          <w:shd w:val="clear" w:color="auto" w:fill="FFFFFF"/>
        </w:rPr>
        <w:t xml:space="preserve">rdinul nr.04-d din 24.01.2019 </w:t>
      </w:r>
      <w:r w:rsidR="006B1461">
        <w:rPr>
          <w:rFonts w:asciiTheme="majorHAnsi" w:eastAsia="Times New Roman" w:hAnsiTheme="majorHAnsi" w:cstheme="majorHAnsi"/>
          <w:b w:val="0"/>
          <w:bCs w:val="0"/>
          <w:sz w:val="24"/>
          <w:szCs w:val="24"/>
          <w:shd w:val="clear" w:color="auto" w:fill="FFFFFF"/>
        </w:rPr>
        <w:t>„C</w:t>
      </w:r>
      <w:r w:rsidRPr="008376FC">
        <w:rPr>
          <w:rFonts w:asciiTheme="majorHAnsi" w:eastAsia="Times New Roman" w:hAnsiTheme="majorHAnsi" w:cstheme="majorHAnsi"/>
          <w:b w:val="0"/>
          <w:bCs w:val="0"/>
          <w:sz w:val="24"/>
          <w:szCs w:val="24"/>
          <w:shd w:val="clear" w:color="auto" w:fill="FFFFFF"/>
        </w:rPr>
        <w:t>u privire la monitorizarea procedurii contravenționale și activității privind recuperarea prejudiciilor cauzate mediului</w:t>
      </w:r>
      <w:r w:rsidR="006B1461">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conform căruia în sarcina Direcției juridice a IPM a fost pusă sarcina de instituire, deținere și gestionare a Registrului (în format pe h</w:t>
      </w:r>
      <w:r w:rsidR="006B1461">
        <w:rPr>
          <w:rFonts w:asciiTheme="majorHAnsi" w:eastAsia="Times New Roman" w:hAnsiTheme="majorHAnsi" w:cstheme="majorHAnsi"/>
          <w:b w:val="0"/>
          <w:bCs w:val="0"/>
          <w:sz w:val="24"/>
          <w:szCs w:val="24"/>
          <w:shd w:val="clear" w:color="auto" w:fill="FFFFFF"/>
        </w:rPr>
        <w:t>â</w:t>
      </w:r>
      <w:r w:rsidRPr="008376FC">
        <w:rPr>
          <w:rFonts w:asciiTheme="majorHAnsi" w:eastAsia="Times New Roman" w:hAnsiTheme="majorHAnsi" w:cstheme="majorHAnsi"/>
          <w:b w:val="0"/>
          <w:bCs w:val="0"/>
          <w:sz w:val="24"/>
          <w:szCs w:val="24"/>
          <w:shd w:val="clear" w:color="auto" w:fill="FFFFFF"/>
        </w:rPr>
        <w:t>rtie și electronic) totalizat</w:t>
      </w:r>
      <w:r w:rsidR="006B1461">
        <w:rPr>
          <w:rFonts w:asciiTheme="majorHAnsi" w:eastAsia="Times New Roman" w:hAnsiTheme="majorHAnsi" w:cstheme="majorHAnsi"/>
          <w:b w:val="0"/>
          <w:bCs w:val="0"/>
          <w:sz w:val="24"/>
          <w:szCs w:val="24"/>
          <w:shd w:val="clear" w:color="auto" w:fill="FFFFFF"/>
        </w:rPr>
        <w:t>or</w:t>
      </w:r>
      <w:r w:rsidRPr="008376FC">
        <w:rPr>
          <w:rFonts w:asciiTheme="majorHAnsi" w:eastAsia="Times New Roman" w:hAnsiTheme="majorHAnsi" w:cstheme="majorHAnsi"/>
          <w:b w:val="0"/>
          <w:bCs w:val="0"/>
          <w:sz w:val="24"/>
          <w:szCs w:val="24"/>
          <w:shd w:val="clear" w:color="auto" w:fill="FFFFFF"/>
        </w:rPr>
        <w:t xml:space="preserve"> a</w:t>
      </w:r>
      <w:r w:rsidR="006B1461">
        <w:rPr>
          <w:rFonts w:asciiTheme="majorHAnsi" w:eastAsia="Times New Roman" w:hAnsiTheme="majorHAnsi" w:cstheme="majorHAnsi"/>
          <w:b w:val="0"/>
          <w:bCs w:val="0"/>
          <w:sz w:val="24"/>
          <w:szCs w:val="24"/>
          <w:shd w:val="clear" w:color="auto" w:fill="FFFFFF"/>
        </w:rPr>
        <w:t>l</w:t>
      </w:r>
      <w:r w:rsidRPr="008376FC">
        <w:rPr>
          <w:rFonts w:asciiTheme="majorHAnsi" w:eastAsia="Times New Roman" w:hAnsiTheme="majorHAnsi" w:cstheme="majorHAnsi"/>
          <w:b w:val="0"/>
          <w:bCs w:val="0"/>
          <w:sz w:val="24"/>
          <w:szCs w:val="24"/>
          <w:shd w:val="clear" w:color="auto" w:fill="FFFFFF"/>
        </w:rPr>
        <w:t xml:space="preserve"> contestațiilor depuse împotriva </w:t>
      </w:r>
      <w:r w:rsidRPr="001B4A95">
        <w:rPr>
          <w:rFonts w:asciiTheme="majorHAnsi" w:eastAsia="Times New Roman" w:hAnsiTheme="majorHAnsi" w:cstheme="majorHAnsi"/>
          <w:b w:val="0"/>
          <w:bCs w:val="0"/>
          <w:sz w:val="24"/>
          <w:szCs w:val="24"/>
          <w:shd w:val="clear" w:color="auto" w:fill="FFFFFF"/>
        </w:rPr>
        <w:t>P</w:t>
      </w:r>
      <w:r w:rsidR="001B4A95" w:rsidRPr="001B4A95">
        <w:rPr>
          <w:rFonts w:asciiTheme="majorHAnsi" w:eastAsia="Times New Roman" w:hAnsiTheme="majorHAnsi" w:cstheme="majorHAnsi"/>
          <w:b w:val="0"/>
          <w:bCs w:val="0"/>
          <w:sz w:val="24"/>
          <w:szCs w:val="24"/>
          <w:shd w:val="clear" w:color="auto" w:fill="FFFFFF"/>
        </w:rPr>
        <w:t xml:space="preserve">rocesului </w:t>
      </w:r>
      <w:r w:rsidRPr="001B4A95">
        <w:rPr>
          <w:rFonts w:asciiTheme="majorHAnsi" w:eastAsia="Times New Roman" w:hAnsiTheme="majorHAnsi" w:cstheme="majorHAnsi"/>
          <w:b w:val="0"/>
          <w:bCs w:val="0"/>
          <w:sz w:val="24"/>
          <w:szCs w:val="24"/>
          <w:shd w:val="clear" w:color="auto" w:fill="FFFFFF"/>
        </w:rPr>
        <w:t>V</w:t>
      </w:r>
      <w:r w:rsidR="001B4A95" w:rsidRPr="001B4A95">
        <w:rPr>
          <w:rFonts w:asciiTheme="majorHAnsi" w:eastAsia="Times New Roman" w:hAnsiTheme="majorHAnsi" w:cstheme="majorHAnsi"/>
          <w:b w:val="0"/>
          <w:bCs w:val="0"/>
          <w:sz w:val="24"/>
          <w:szCs w:val="24"/>
          <w:shd w:val="clear" w:color="auto" w:fill="FFFFFF"/>
        </w:rPr>
        <w:t>erba</w:t>
      </w:r>
      <w:r w:rsidR="001B4A95">
        <w:rPr>
          <w:rFonts w:asciiTheme="majorHAnsi" w:eastAsia="Times New Roman" w:hAnsiTheme="majorHAnsi" w:cstheme="majorHAnsi"/>
          <w:b w:val="0"/>
          <w:bCs w:val="0"/>
          <w:sz w:val="24"/>
          <w:szCs w:val="24"/>
          <w:shd w:val="clear" w:color="auto" w:fill="FFFFFF"/>
        </w:rPr>
        <w:t>l (PV)</w:t>
      </w:r>
      <w:r w:rsidRPr="008376FC">
        <w:rPr>
          <w:rFonts w:asciiTheme="majorHAnsi" w:eastAsia="Times New Roman" w:hAnsiTheme="majorHAnsi" w:cstheme="majorHAnsi"/>
          <w:b w:val="0"/>
          <w:bCs w:val="0"/>
          <w:sz w:val="24"/>
          <w:szCs w:val="24"/>
          <w:shd w:val="clear" w:color="auto" w:fill="FFFFFF"/>
        </w:rPr>
        <w:t xml:space="preserve"> cu privire la contravenții întocmite de agenții constatatori și a prejudiciilor aduse mediului calculate de către subdiviziunile IPM care urmează a fi recuperate în baza acțiunilor civile. Tot prin ordinul respectiv</w:t>
      </w:r>
      <w:r w:rsidR="006B1461">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au fost aprobate 2 modele de registre: (i) Registrul privind evidența PV cu privire la contravenții</w:t>
      </w:r>
      <w:r w:rsidR="006B1461">
        <w:rPr>
          <w:rFonts w:asciiTheme="majorHAnsi" w:eastAsia="Times New Roman" w:hAnsiTheme="majorHAnsi" w:cstheme="majorHAnsi"/>
          <w:b w:val="0"/>
          <w:bCs w:val="0"/>
          <w:sz w:val="24"/>
          <w:szCs w:val="24"/>
          <w:shd w:val="clear" w:color="auto" w:fill="FFFFFF"/>
        </w:rPr>
        <w:t>le</w:t>
      </w:r>
      <w:r w:rsidRPr="008376FC">
        <w:rPr>
          <w:rFonts w:asciiTheme="majorHAnsi" w:eastAsia="Times New Roman" w:hAnsiTheme="majorHAnsi" w:cstheme="majorHAnsi"/>
          <w:b w:val="0"/>
          <w:bCs w:val="0"/>
          <w:sz w:val="24"/>
          <w:szCs w:val="24"/>
          <w:shd w:val="clear" w:color="auto" w:fill="FFFFFF"/>
        </w:rPr>
        <w:t xml:space="preserve"> (PV de control) contestate și (ii) Registrul privind evidența prejudi</w:t>
      </w:r>
      <w:r w:rsidR="006B1461">
        <w:rPr>
          <w:rFonts w:asciiTheme="majorHAnsi" w:eastAsia="Times New Roman" w:hAnsiTheme="majorHAnsi" w:cstheme="majorHAnsi"/>
          <w:b w:val="0"/>
          <w:bCs w:val="0"/>
          <w:sz w:val="24"/>
          <w:szCs w:val="24"/>
          <w:shd w:val="clear" w:color="auto" w:fill="FFFFFF"/>
        </w:rPr>
        <w:t>c</w:t>
      </w:r>
      <w:r w:rsidRPr="008376FC">
        <w:rPr>
          <w:rFonts w:asciiTheme="majorHAnsi" w:eastAsia="Times New Roman" w:hAnsiTheme="majorHAnsi" w:cstheme="majorHAnsi"/>
          <w:b w:val="0"/>
          <w:bCs w:val="0"/>
          <w:sz w:val="24"/>
          <w:szCs w:val="24"/>
          <w:shd w:val="clear" w:color="auto" w:fill="FFFFFF"/>
        </w:rPr>
        <w:t xml:space="preserve">iilor cauzate mediului, care urmează a fi recuperate în baza acțiunilor civile. </w:t>
      </w:r>
      <w:r w:rsidR="006B1461">
        <w:rPr>
          <w:rFonts w:asciiTheme="majorHAnsi" w:eastAsia="Times New Roman" w:hAnsiTheme="majorHAnsi" w:cstheme="majorHAnsi"/>
          <w:b w:val="0"/>
          <w:bCs w:val="0"/>
          <w:sz w:val="24"/>
          <w:szCs w:val="24"/>
          <w:shd w:val="clear" w:color="auto" w:fill="FFFFFF"/>
        </w:rPr>
        <w:t>A</w:t>
      </w:r>
      <w:r w:rsidRPr="008376FC">
        <w:rPr>
          <w:rFonts w:asciiTheme="majorHAnsi" w:eastAsia="Times New Roman" w:hAnsiTheme="majorHAnsi" w:cstheme="majorHAnsi"/>
          <w:b w:val="0"/>
          <w:bCs w:val="0"/>
          <w:sz w:val="24"/>
          <w:szCs w:val="24"/>
          <w:shd w:val="clear" w:color="auto" w:fill="FFFFFF"/>
        </w:rPr>
        <w:t>naliza componenței indicatorilor din ambele registre rel</w:t>
      </w:r>
      <w:r w:rsidR="006B1461">
        <w:rPr>
          <w:rFonts w:asciiTheme="majorHAnsi" w:eastAsia="Times New Roman" w:hAnsiTheme="majorHAnsi" w:cstheme="majorHAnsi"/>
          <w:b w:val="0"/>
          <w:bCs w:val="0"/>
          <w:sz w:val="24"/>
          <w:szCs w:val="24"/>
          <w:shd w:val="clear" w:color="auto" w:fill="FFFFFF"/>
        </w:rPr>
        <w:t>evă</w:t>
      </w:r>
      <w:r w:rsidRPr="008376FC">
        <w:rPr>
          <w:rFonts w:asciiTheme="majorHAnsi" w:eastAsia="Times New Roman" w:hAnsiTheme="majorHAnsi" w:cstheme="majorHAnsi"/>
          <w:b w:val="0"/>
          <w:bCs w:val="0"/>
          <w:sz w:val="24"/>
          <w:szCs w:val="24"/>
          <w:shd w:val="clear" w:color="auto" w:fill="FFFFFF"/>
        </w:rPr>
        <w:t xml:space="preserve"> următoarele. </w:t>
      </w:r>
    </w:p>
    <w:p w:rsidR="004B6B06" w:rsidRPr="00360EAA" w:rsidRDefault="004B6B06" w:rsidP="00F61756">
      <w:pPr>
        <w:numPr>
          <w:ilvl w:val="0"/>
          <w:numId w:val="20"/>
        </w:numPr>
        <w:shd w:val="clear" w:color="auto" w:fill="FFFFFF"/>
        <w:spacing w:before="120" w:after="0" w:line="276" w:lineRule="auto"/>
        <w:ind w:left="0" w:firstLine="360"/>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 xml:space="preserve">Registrul privind evidența </w:t>
      </w:r>
      <w:r w:rsidR="006B1461">
        <w:rPr>
          <w:rFonts w:asciiTheme="majorHAnsi" w:eastAsia="Times New Roman" w:hAnsiTheme="majorHAnsi" w:cstheme="majorHAnsi"/>
          <w:b w:val="0"/>
          <w:bCs w:val="0"/>
          <w:sz w:val="24"/>
          <w:szCs w:val="24"/>
          <w:shd w:val="clear" w:color="auto" w:fill="FFFFFF"/>
        </w:rPr>
        <w:t>proceselor-verbale</w:t>
      </w:r>
      <w:r w:rsidRPr="008376FC">
        <w:rPr>
          <w:rFonts w:asciiTheme="majorHAnsi" w:eastAsia="Times New Roman" w:hAnsiTheme="majorHAnsi" w:cstheme="majorHAnsi"/>
          <w:b w:val="0"/>
          <w:bCs w:val="0"/>
          <w:sz w:val="24"/>
          <w:szCs w:val="24"/>
          <w:shd w:val="clear" w:color="auto" w:fill="FFFFFF"/>
        </w:rPr>
        <w:t xml:space="preserve"> cu privire la contravenții (PV de control) se referă doar la </w:t>
      </w:r>
      <w:r w:rsidR="006B1461">
        <w:rPr>
          <w:rFonts w:asciiTheme="majorHAnsi" w:eastAsia="Times New Roman" w:hAnsiTheme="majorHAnsi" w:cstheme="majorHAnsi"/>
          <w:b w:val="0"/>
          <w:bCs w:val="0"/>
          <w:sz w:val="24"/>
          <w:szCs w:val="24"/>
          <w:shd w:val="clear" w:color="auto" w:fill="FFFFFF"/>
        </w:rPr>
        <w:t>procesele-verbale</w:t>
      </w:r>
      <w:r w:rsidRPr="008376FC">
        <w:rPr>
          <w:rFonts w:asciiTheme="majorHAnsi" w:eastAsia="Times New Roman" w:hAnsiTheme="majorHAnsi" w:cstheme="majorHAnsi"/>
          <w:b w:val="0"/>
          <w:bCs w:val="0"/>
          <w:sz w:val="24"/>
          <w:szCs w:val="24"/>
          <w:shd w:val="clear" w:color="auto" w:fill="FFFFFF"/>
        </w:rPr>
        <w:t xml:space="preserve"> contestate. Acesta include informații privind: (i) subdiviziunea aparatului, (ii) agentul constatator, (iii) n</w:t>
      </w:r>
      <w:r w:rsidR="006B1461">
        <w:rPr>
          <w:rFonts w:asciiTheme="majorHAnsi" w:eastAsia="Times New Roman" w:hAnsiTheme="majorHAnsi" w:cstheme="majorHAnsi"/>
          <w:b w:val="0"/>
          <w:bCs w:val="0"/>
          <w:sz w:val="24"/>
          <w:szCs w:val="24"/>
          <w:shd w:val="clear" w:color="auto" w:fill="FFFFFF"/>
        </w:rPr>
        <w:t>umărul procesului-verbal</w:t>
      </w:r>
      <w:r w:rsidRPr="008376FC">
        <w:rPr>
          <w:rFonts w:asciiTheme="majorHAnsi" w:eastAsia="Times New Roman" w:hAnsiTheme="majorHAnsi" w:cstheme="majorHAnsi"/>
          <w:b w:val="0"/>
          <w:bCs w:val="0"/>
          <w:sz w:val="24"/>
          <w:szCs w:val="24"/>
          <w:shd w:val="clear" w:color="auto" w:fill="FFFFFF"/>
        </w:rPr>
        <w:t xml:space="preserve">, (iv) data aplicării sancțiunii, (v) suma amenzii aplicate, (vi) data depunerii contestației, (vii) decizia instanței de fond, data emiterii, (viii) decizia instanței de </w:t>
      </w:r>
      <w:r w:rsidR="00360EAA">
        <w:rPr>
          <w:rFonts w:asciiTheme="majorHAnsi" w:eastAsia="Times New Roman" w:hAnsiTheme="majorHAnsi" w:cstheme="majorHAnsi"/>
          <w:b w:val="0"/>
          <w:bCs w:val="0"/>
          <w:sz w:val="24"/>
          <w:szCs w:val="24"/>
          <w:shd w:val="clear" w:color="auto" w:fill="FFFFFF"/>
        </w:rPr>
        <w:t>a</w:t>
      </w:r>
      <w:r w:rsidRPr="008376FC">
        <w:rPr>
          <w:rFonts w:asciiTheme="majorHAnsi" w:eastAsia="Times New Roman" w:hAnsiTheme="majorHAnsi" w:cstheme="majorHAnsi"/>
          <w:b w:val="0"/>
          <w:bCs w:val="0"/>
          <w:sz w:val="24"/>
          <w:szCs w:val="24"/>
          <w:shd w:val="clear" w:color="auto" w:fill="FFFFFF"/>
        </w:rPr>
        <w:t xml:space="preserve">pel, data emiterii. </w:t>
      </w:r>
      <w:r w:rsidRPr="00B8786A">
        <w:rPr>
          <w:rFonts w:asciiTheme="majorHAnsi" w:eastAsia="Times New Roman" w:hAnsiTheme="majorHAnsi" w:cstheme="majorHAnsi"/>
          <w:b w:val="0"/>
          <w:bCs w:val="0"/>
          <w:sz w:val="24"/>
          <w:szCs w:val="24"/>
          <w:shd w:val="clear" w:color="auto" w:fill="FFFFFF"/>
        </w:rPr>
        <w:t xml:space="preserve">Acești indicatori nu sunt suficienți pentru a monitoriza toate obligațiunile față de BS pentru plata contravențiilor, monitorizarea termenului de prescripție a </w:t>
      </w:r>
      <w:r w:rsidR="006B1461" w:rsidRPr="00B8786A">
        <w:rPr>
          <w:rFonts w:asciiTheme="majorHAnsi" w:eastAsia="Times New Roman" w:hAnsiTheme="majorHAnsi" w:cstheme="majorHAnsi"/>
          <w:b w:val="0"/>
          <w:bCs w:val="0"/>
          <w:sz w:val="24"/>
          <w:szCs w:val="24"/>
          <w:shd w:val="clear" w:color="auto" w:fill="FFFFFF"/>
        </w:rPr>
        <w:t>proceselor-verbale</w:t>
      </w:r>
      <w:r w:rsidRPr="00B8786A">
        <w:rPr>
          <w:rFonts w:asciiTheme="majorHAnsi" w:eastAsia="Times New Roman" w:hAnsiTheme="majorHAnsi" w:cstheme="majorHAnsi"/>
          <w:b w:val="0"/>
          <w:bCs w:val="0"/>
          <w:sz w:val="24"/>
          <w:szCs w:val="24"/>
          <w:shd w:val="clear" w:color="auto" w:fill="FFFFFF"/>
        </w:rPr>
        <w:t xml:space="preserve"> pentru contravenții</w:t>
      </w:r>
      <w:r w:rsidR="00B8786A" w:rsidRPr="00B8786A">
        <w:rPr>
          <w:rFonts w:asciiTheme="majorHAnsi" w:eastAsia="Times New Roman" w:hAnsiTheme="majorHAnsi" w:cstheme="majorHAnsi"/>
          <w:b w:val="0"/>
          <w:bCs w:val="0"/>
          <w:sz w:val="24"/>
          <w:szCs w:val="24"/>
          <w:shd w:val="clear" w:color="auto" w:fill="FFFFFF"/>
        </w:rPr>
        <w:t xml:space="preserve"> și obligațiunilor față de start</w:t>
      </w:r>
      <w:r w:rsidRPr="00B8786A">
        <w:rPr>
          <w:rFonts w:asciiTheme="majorHAnsi" w:eastAsia="Times New Roman" w:hAnsiTheme="majorHAnsi" w:cstheme="majorHAnsi"/>
          <w:b w:val="0"/>
          <w:bCs w:val="0"/>
          <w:sz w:val="24"/>
          <w:szCs w:val="24"/>
          <w:shd w:val="clear" w:color="auto" w:fill="FFFFFF"/>
        </w:rPr>
        <w:t xml:space="preserve">, </w:t>
      </w:r>
      <w:r w:rsidR="00B8786A" w:rsidRPr="00B8786A">
        <w:rPr>
          <w:rFonts w:asciiTheme="majorHAnsi" w:eastAsia="Times New Roman" w:hAnsiTheme="majorHAnsi" w:cstheme="majorHAnsi"/>
          <w:b w:val="0"/>
          <w:bCs w:val="0"/>
          <w:sz w:val="24"/>
          <w:szCs w:val="24"/>
          <w:shd w:val="clear" w:color="auto" w:fill="FFFFFF"/>
        </w:rPr>
        <w:t xml:space="preserve">ele nu includ </w:t>
      </w:r>
      <w:r w:rsidRPr="00B8786A">
        <w:rPr>
          <w:rFonts w:asciiTheme="majorHAnsi" w:eastAsia="Times New Roman" w:hAnsiTheme="majorHAnsi" w:cstheme="majorHAnsi"/>
          <w:b w:val="0"/>
          <w:bCs w:val="0"/>
          <w:sz w:val="24"/>
          <w:szCs w:val="24"/>
          <w:shd w:val="clear" w:color="auto" w:fill="FFFFFF"/>
        </w:rPr>
        <w:t>toate tipurile de anulări a</w:t>
      </w:r>
      <w:r w:rsidR="006B1461" w:rsidRPr="00B8786A">
        <w:rPr>
          <w:rFonts w:asciiTheme="majorHAnsi" w:eastAsia="Times New Roman" w:hAnsiTheme="majorHAnsi" w:cstheme="majorHAnsi"/>
          <w:b w:val="0"/>
          <w:bCs w:val="0"/>
          <w:sz w:val="24"/>
          <w:szCs w:val="24"/>
          <w:shd w:val="clear" w:color="auto" w:fill="FFFFFF"/>
        </w:rPr>
        <w:t>le</w:t>
      </w:r>
      <w:r w:rsidRPr="00B8786A">
        <w:rPr>
          <w:rFonts w:asciiTheme="majorHAnsi" w:eastAsia="Times New Roman" w:hAnsiTheme="majorHAnsi" w:cstheme="majorHAnsi"/>
          <w:b w:val="0"/>
          <w:bCs w:val="0"/>
          <w:sz w:val="24"/>
          <w:szCs w:val="24"/>
          <w:shd w:val="clear" w:color="auto" w:fill="FFFFFF"/>
        </w:rPr>
        <w:t xml:space="preserve"> obligațiunilor față de buget în </w:t>
      </w:r>
      <w:r w:rsidR="00B8786A" w:rsidRPr="00B8786A">
        <w:rPr>
          <w:rFonts w:asciiTheme="majorHAnsi" w:eastAsia="Times New Roman" w:hAnsiTheme="majorHAnsi" w:cstheme="majorHAnsi"/>
          <w:b w:val="0"/>
          <w:bCs w:val="0"/>
          <w:sz w:val="24"/>
          <w:szCs w:val="24"/>
          <w:shd w:val="clear" w:color="auto" w:fill="FFFFFF"/>
        </w:rPr>
        <w:t>în condițiile în care ele</w:t>
      </w:r>
      <w:r w:rsidRPr="00B8786A">
        <w:rPr>
          <w:rFonts w:asciiTheme="majorHAnsi" w:eastAsia="Times New Roman" w:hAnsiTheme="majorHAnsi" w:cstheme="majorHAnsi"/>
          <w:b w:val="0"/>
          <w:bCs w:val="0"/>
          <w:sz w:val="24"/>
          <w:szCs w:val="24"/>
          <w:shd w:val="clear" w:color="auto" w:fill="FFFFFF"/>
        </w:rPr>
        <w:t xml:space="preserve"> </w:t>
      </w:r>
      <w:r w:rsidR="00B8786A" w:rsidRPr="00B8786A">
        <w:rPr>
          <w:rFonts w:asciiTheme="majorHAnsi" w:eastAsia="Times New Roman" w:hAnsiTheme="majorHAnsi" w:cstheme="majorHAnsi"/>
          <w:b w:val="0"/>
          <w:bCs w:val="0"/>
          <w:sz w:val="24"/>
          <w:szCs w:val="24"/>
          <w:shd w:val="clear" w:color="auto" w:fill="FFFFFF"/>
        </w:rPr>
        <w:t xml:space="preserve">sunt </w:t>
      </w:r>
      <w:r w:rsidRPr="00B8786A">
        <w:rPr>
          <w:rFonts w:asciiTheme="majorHAnsi" w:eastAsia="Times New Roman" w:hAnsiTheme="majorHAnsi" w:cstheme="majorHAnsi"/>
          <w:b w:val="0"/>
          <w:bCs w:val="0"/>
          <w:sz w:val="24"/>
          <w:szCs w:val="24"/>
          <w:shd w:val="clear" w:color="auto" w:fill="FFFFFF"/>
        </w:rPr>
        <w:t>obligațiuni reale. Astfel</w:t>
      </w:r>
      <w:r w:rsidR="006B1461" w:rsidRPr="00B8786A">
        <w:rPr>
          <w:rFonts w:asciiTheme="majorHAnsi" w:eastAsia="Times New Roman" w:hAnsiTheme="majorHAnsi" w:cstheme="majorHAnsi"/>
          <w:b w:val="0"/>
          <w:bCs w:val="0"/>
          <w:sz w:val="24"/>
          <w:szCs w:val="24"/>
          <w:shd w:val="clear" w:color="auto" w:fill="FFFFFF"/>
        </w:rPr>
        <w:t>,</w:t>
      </w:r>
      <w:r w:rsidRPr="00B8786A">
        <w:rPr>
          <w:rFonts w:asciiTheme="majorHAnsi" w:eastAsia="Times New Roman" w:hAnsiTheme="majorHAnsi" w:cstheme="majorHAnsi"/>
          <w:b w:val="0"/>
          <w:bCs w:val="0"/>
          <w:sz w:val="24"/>
          <w:szCs w:val="24"/>
          <w:shd w:val="clear" w:color="auto" w:fill="FFFFFF"/>
        </w:rPr>
        <w:t xml:space="preserve"> în termen</w:t>
      </w:r>
      <w:r w:rsidRPr="00360EAA">
        <w:rPr>
          <w:rFonts w:asciiTheme="majorHAnsi" w:eastAsia="Times New Roman" w:hAnsiTheme="majorHAnsi" w:cstheme="majorHAnsi"/>
          <w:b w:val="0"/>
          <w:bCs w:val="0"/>
          <w:sz w:val="24"/>
          <w:szCs w:val="24"/>
          <w:shd w:val="clear" w:color="auto" w:fill="FFFFFF"/>
        </w:rPr>
        <w:t xml:space="preserve"> de 30 de zile în care contravenientul are dreptul </w:t>
      </w:r>
      <w:r w:rsidR="006B1461" w:rsidRPr="007C5F5A">
        <w:rPr>
          <w:rFonts w:asciiTheme="majorHAnsi" w:eastAsia="Times New Roman" w:hAnsiTheme="majorHAnsi" w:cstheme="majorHAnsi"/>
          <w:b w:val="0"/>
          <w:bCs w:val="0"/>
          <w:sz w:val="24"/>
          <w:szCs w:val="24"/>
          <w:shd w:val="clear" w:color="auto" w:fill="FFFFFF"/>
        </w:rPr>
        <w:t>la</w:t>
      </w:r>
      <w:r w:rsidRPr="00360EAA">
        <w:rPr>
          <w:rFonts w:asciiTheme="majorHAnsi" w:eastAsia="Times New Roman" w:hAnsiTheme="majorHAnsi" w:cstheme="majorHAnsi"/>
          <w:b w:val="0"/>
          <w:bCs w:val="0"/>
          <w:sz w:val="24"/>
          <w:szCs w:val="24"/>
          <w:shd w:val="clear" w:color="auto" w:fill="FFFFFF"/>
        </w:rPr>
        <w:t xml:space="preserve"> contestare, obligațiunile calculate (amenzi și prejudicii) reprezintă obligațiuni contingente față de buget și doar după expirarea termenului de 30 de zile, în condițiile neachitării lor benevole parțiale (50% în primele 72 de ore) sau integrale</w:t>
      </w:r>
      <w:r w:rsidR="00063B39" w:rsidRPr="00360EAA">
        <w:rPr>
          <w:rFonts w:asciiTheme="majorHAnsi" w:eastAsia="Times New Roman" w:hAnsiTheme="majorHAnsi" w:cstheme="majorHAnsi"/>
          <w:b w:val="0"/>
          <w:bCs w:val="0"/>
          <w:sz w:val="24"/>
          <w:szCs w:val="24"/>
          <w:shd w:val="clear" w:color="auto" w:fill="FFFFFF"/>
        </w:rPr>
        <w:t>,</w:t>
      </w:r>
      <w:r w:rsidRPr="00360EAA">
        <w:rPr>
          <w:rFonts w:asciiTheme="majorHAnsi" w:eastAsia="Times New Roman" w:hAnsiTheme="majorHAnsi" w:cstheme="majorHAnsi"/>
          <w:b w:val="0"/>
          <w:bCs w:val="0"/>
          <w:sz w:val="24"/>
          <w:szCs w:val="24"/>
          <w:shd w:val="clear" w:color="auto" w:fill="FFFFFF"/>
        </w:rPr>
        <w:t xml:space="preserve"> </w:t>
      </w:r>
      <w:r w:rsidR="00063B39" w:rsidRPr="00360EAA">
        <w:rPr>
          <w:rFonts w:asciiTheme="majorHAnsi" w:eastAsia="Times New Roman" w:hAnsiTheme="majorHAnsi" w:cstheme="majorHAnsi"/>
          <w:b w:val="0"/>
          <w:bCs w:val="0"/>
          <w:sz w:val="24"/>
          <w:szCs w:val="24"/>
          <w:shd w:val="clear" w:color="auto" w:fill="FFFFFF"/>
        </w:rPr>
        <w:t>î</w:t>
      </w:r>
      <w:r w:rsidRPr="00360EAA">
        <w:rPr>
          <w:rFonts w:asciiTheme="majorHAnsi" w:eastAsia="Times New Roman" w:hAnsiTheme="majorHAnsi" w:cstheme="majorHAnsi"/>
          <w:b w:val="0"/>
          <w:bCs w:val="0"/>
          <w:sz w:val="24"/>
          <w:szCs w:val="24"/>
          <w:shd w:val="clear" w:color="auto" w:fill="FFFFFF"/>
        </w:rPr>
        <w:t xml:space="preserve">n termen de 30 de zile, </w:t>
      </w:r>
      <w:r w:rsidR="00BC28D6" w:rsidRPr="00CB30D6">
        <w:rPr>
          <w:rFonts w:asciiTheme="majorHAnsi" w:eastAsia="Times New Roman" w:hAnsiTheme="majorHAnsi" w:cstheme="majorHAnsi"/>
          <w:b w:val="0"/>
          <w:bCs w:val="0"/>
          <w:sz w:val="24"/>
          <w:szCs w:val="24"/>
          <w:shd w:val="clear" w:color="auto" w:fill="FFFFFF"/>
        </w:rPr>
        <w:t>acestea devin obligațiuni reale, pentru care este necesar de organizat o evidență specifică care să releve situația atât cantitativă (nr. de procese-verbale), cât și valorică (sumele), cu asigurarea concomitentă și a evidenței cazurilor în care obligațiunile reale sunt diminuate</w:t>
      </w:r>
      <w:r w:rsidR="006D054F" w:rsidRPr="00CB30D6">
        <w:rPr>
          <w:rFonts w:asciiTheme="majorHAnsi" w:eastAsia="Times New Roman" w:hAnsiTheme="majorHAnsi" w:cstheme="majorHAnsi"/>
          <w:b w:val="0"/>
          <w:bCs w:val="0"/>
          <w:sz w:val="24"/>
          <w:szCs w:val="24"/>
          <w:shd w:val="clear" w:color="auto" w:fill="FFFFFF"/>
        </w:rPr>
        <w:t xml:space="preserve"> ca urmare a</w:t>
      </w:r>
      <w:r w:rsidRPr="00CB30D6">
        <w:rPr>
          <w:rFonts w:asciiTheme="majorHAnsi" w:eastAsia="Times New Roman" w:hAnsiTheme="majorHAnsi" w:cstheme="majorHAnsi"/>
          <w:b w:val="0"/>
          <w:bCs w:val="0"/>
          <w:sz w:val="24"/>
          <w:szCs w:val="24"/>
          <w:shd w:val="clear" w:color="auto" w:fill="FFFFFF"/>
        </w:rPr>
        <w:t xml:space="preserve">: (i) </w:t>
      </w:r>
      <w:r w:rsidR="006D054F" w:rsidRPr="00CB30D6">
        <w:rPr>
          <w:rFonts w:asciiTheme="majorHAnsi" w:eastAsia="Times New Roman" w:hAnsiTheme="majorHAnsi" w:cstheme="majorHAnsi"/>
          <w:b w:val="0"/>
          <w:bCs w:val="0"/>
          <w:sz w:val="24"/>
          <w:szCs w:val="24"/>
          <w:shd w:val="clear" w:color="auto" w:fill="FFFFFF"/>
        </w:rPr>
        <w:t xml:space="preserve">încasării </w:t>
      </w:r>
      <w:r w:rsidRPr="00CB30D6">
        <w:rPr>
          <w:rFonts w:asciiTheme="majorHAnsi" w:eastAsia="Times New Roman" w:hAnsiTheme="majorHAnsi" w:cstheme="majorHAnsi"/>
          <w:b w:val="0"/>
          <w:bCs w:val="0"/>
          <w:sz w:val="24"/>
          <w:szCs w:val="24"/>
          <w:shd w:val="clear" w:color="auto" w:fill="FFFFFF"/>
        </w:rPr>
        <w:t>pl</w:t>
      </w:r>
      <w:r w:rsidRPr="00360EAA">
        <w:rPr>
          <w:rFonts w:asciiTheme="majorHAnsi" w:eastAsia="Times New Roman" w:hAnsiTheme="majorHAnsi" w:cstheme="majorHAnsi"/>
          <w:b w:val="0"/>
          <w:bCs w:val="0"/>
          <w:sz w:val="24"/>
          <w:szCs w:val="24"/>
          <w:shd w:val="clear" w:color="auto" w:fill="FFFFFF"/>
        </w:rPr>
        <w:t xml:space="preserve">ății, (ii) </w:t>
      </w:r>
      <w:r w:rsidR="006D054F" w:rsidRPr="00360EAA">
        <w:rPr>
          <w:rFonts w:asciiTheme="majorHAnsi" w:eastAsia="Times New Roman" w:hAnsiTheme="majorHAnsi" w:cstheme="majorHAnsi"/>
          <w:b w:val="0"/>
          <w:bCs w:val="0"/>
          <w:sz w:val="24"/>
          <w:szCs w:val="24"/>
          <w:shd w:val="clear" w:color="auto" w:fill="FFFFFF"/>
        </w:rPr>
        <w:t>anul</w:t>
      </w:r>
      <w:r w:rsidR="006D054F">
        <w:rPr>
          <w:rFonts w:asciiTheme="majorHAnsi" w:eastAsia="Times New Roman" w:hAnsiTheme="majorHAnsi" w:cstheme="majorHAnsi"/>
          <w:b w:val="0"/>
          <w:bCs w:val="0"/>
          <w:sz w:val="24"/>
          <w:szCs w:val="24"/>
          <w:shd w:val="clear" w:color="auto" w:fill="FFFFFF"/>
        </w:rPr>
        <w:t>ării</w:t>
      </w:r>
      <w:r w:rsidR="006D054F" w:rsidRPr="00360EAA">
        <w:rPr>
          <w:rFonts w:asciiTheme="majorHAnsi" w:eastAsia="Times New Roman" w:hAnsiTheme="majorHAnsi" w:cstheme="majorHAnsi"/>
          <w:b w:val="0"/>
          <w:bCs w:val="0"/>
          <w:sz w:val="24"/>
          <w:szCs w:val="24"/>
          <w:shd w:val="clear" w:color="auto" w:fill="FFFFFF"/>
        </w:rPr>
        <w:t xml:space="preserve"> </w:t>
      </w:r>
      <w:r w:rsidRPr="00360EAA">
        <w:rPr>
          <w:rFonts w:asciiTheme="majorHAnsi" w:eastAsia="Times New Roman" w:hAnsiTheme="majorHAnsi" w:cstheme="majorHAnsi"/>
          <w:b w:val="0"/>
          <w:bCs w:val="0"/>
          <w:sz w:val="24"/>
          <w:szCs w:val="24"/>
          <w:shd w:val="clear" w:color="auto" w:fill="FFFFFF"/>
        </w:rPr>
        <w:t xml:space="preserve">obligațiunii în mările de 50% în cazul </w:t>
      </w:r>
      <w:r w:rsidR="00063B39" w:rsidRPr="00360EAA">
        <w:rPr>
          <w:rFonts w:asciiTheme="majorHAnsi" w:eastAsia="Times New Roman" w:hAnsiTheme="majorHAnsi" w:cstheme="majorHAnsi"/>
          <w:b w:val="0"/>
          <w:bCs w:val="0"/>
          <w:sz w:val="24"/>
          <w:szCs w:val="24"/>
          <w:shd w:val="clear" w:color="auto" w:fill="FFFFFF"/>
        </w:rPr>
        <w:t>în care</w:t>
      </w:r>
      <w:r w:rsidRPr="00360EAA">
        <w:rPr>
          <w:rFonts w:asciiTheme="majorHAnsi" w:eastAsia="Times New Roman" w:hAnsiTheme="majorHAnsi" w:cstheme="majorHAnsi"/>
          <w:b w:val="0"/>
          <w:bCs w:val="0"/>
          <w:sz w:val="24"/>
          <w:szCs w:val="24"/>
          <w:shd w:val="clear" w:color="auto" w:fill="FFFFFF"/>
        </w:rPr>
        <w:t xml:space="preserve"> aceasta a fost achitată în primele 72 de ore, (iii) </w:t>
      </w:r>
      <w:r w:rsidR="006D054F" w:rsidRPr="00360EAA">
        <w:rPr>
          <w:rFonts w:asciiTheme="majorHAnsi" w:eastAsia="Times New Roman" w:hAnsiTheme="majorHAnsi" w:cstheme="majorHAnsi"/>
          <w:b w:val="0"/>
          <w:bCs w:val="0"/>
          <w:sz w:val="24"/>
          <w:szCs w:val="24"/>
          <w:shd w:val="clear" w:color="auto" w:fill="FFFFFF"/>
        </w:rPr>
        <w:t>survenir</w:t>
      </w:r>
      <w:r w:rsidR="006D054F">
        <w:rPr>
          <w:rFonts w:asciiTheme="majorHAnsi" w:eastAsia="Times New Roman" w:hAnsiTheme="majorHAnsi" w:cstheme="majorHAnsi"/>
          <w:b w:val="0"/>
          <w:bCs w:val="0"/>
          <w:sz w:val="24"/>
          <w:szCs w:val="24"/>
          <w:shd w:val="clear" w:color="auto" w:fill="FFFFFF"/>
        </w:rPr>
        <w:t>ii</w:t>
      </w:r>
      <w:r w:rsidR="006D054F" w:rsidRPr="00360EAA">
        <w:rPr>
          <w:rFonts w:asciiTheme="majorHAnsi" w:eastAsia="Times New Roman" w:hAnsiTheme="majorHAnsi" w:cstheme="majorHAnsi"/>
          <w:b w:val="0"/>
          <w:bCs w:val="0"/>
          <w:sz w:val="24"/>
          <w:szCs w:val="24"/>
          <w:shd w:val="clear" w:color="auto" w:fill="FFFFFF"/>
        </w:rPr>
        <w:t xml:space="preserve"> </w:t>
      </w:r>
      <w:r w:rsidRPr="00360EAA">
        <w:rPr>
          <w:rFonts w:asciiTheme="majorHAnsi" w:eastAsia="Times New Roman" w:hAnsiTheme="majorHAnsi" w:cstheme="majorHAnsi"/>
          <w:b w:val="0"/>
          <w:bCs w:val="0"/>
          <w:sz w:val="24"/>
          <w:szCs w:val="24"/>
          <w:shd w:val="clear" w:color="auto" w:fill="FFFFFF"/>
        </w:rPr>
        <w:t xml:space="preserve">termenului de prescripție de </w:t>
      </w:r>
      <w:r w:rsidR="006D054F">
        <w:rPr>
          <w:rFonts w:asciiTheme="majorHAnsi" w:eastAsia="Times New Roman" w:hAnsiTheme="majorHAnsi" w:cstheme="majorHAnsi"/>
          <w:b w:val="0"/>
          <w:bCs w:val="0"/>
          <w:sz w:val="24"/>
          <w:szCs w:val="24"/>
          <w:shd w:val="clear" w:color="auto" w:fill="FFFFFF"/>
        </w:rPr>
        <w:t>3</w:t>
      </w:r>
      <w:r w:rsidR="006D054F" w:rsidRPr="00360EAA">
        <w:rPr>
          <w:rFonts w:asciiTheme="majorHAnsi" w:eastAsia="Times New Roman" w:hAnsiTheme="majorHAnsi" w:cstheme="majorHAnsi"/>
          <w:b w:val="0"/>
          <w:bCs w:val="0"/>
          <w:sz w:val="24"/>
          <w:szCs w:val="24"/>
          <w:shd w:val="clear" w:color="auto" w:fill="FFFFFF"/>
        </w:rPr>
        <w:t xml:space="preserve"> </w:t>
      </w:r>
      <w:r w:rsidRPr="00360EAA">
        <w:rPr>
          <w:rFonts w:asciiTheme="majorHAnsi" w:eastAsia="Times New Roman" w:hAnsiTheme="majorHAnsi" w:cstheme="majorHAnsi"/>
          <w:b w:val="0"/>
          <w:bCs w:val="0"/>
          <w:sz w:val="24"/>
          <w:szCs w:val="24"/>
          <w:shd w:val="clear" w:color="auto" w:fill="FFFFFF"/>
        </w:rPr>
        <w:t>an</w:t>
      </w:r>
      <w:r w:rsidR="006D054F">
        <w:rPr>
          <w:rFonts w:asciiTheme="majorHAnsi" w:eastAsia="Times New Roman" w:hAnsiTheme="majorHAnsi" w:cstheme="majorHAnsi"/>
          <w:b w:val="0"/>
          <w:bCs w:val="0"/>
          <w:sz w:val="24"/>
          <w:szCs w:val="24"/>
          <w:shd w:val="clear" w:color="auto" w:fill="FFFFFF"/>
        </w:rPr>
        <w:t>i</w:t>
      </w:r>
      <w:r w:rsidRPr="00360EAA">
        <w:rPr>
          <w:rFonts w:asciiTheme="majorHAnsi" w:eastAsia="Times New Roman" w:hAnsiTheme="majorHAnsi" w:cstheme="majorHAnsi"/>
          <w:b w:val="0"/>
          <w:bCs w:val="0"/>
          <w:sz w:val="24"/>
          <w:szCs w:val="24"/>
          <w:shd w:val="clear" w:color="auto" w:fill="FFFFFF"/>
        </w:rPr>
        <w:t>, (iv) substituirea valorii amenzii cu munca neremunerată, (v) şi anularea plăților ca urmare a deciziilor instanțelor de judecat</w:t>
      </w:r>
      <w:r w:rsidR="00063B39" w:rsidRPr="00360EAA">
        <w:rPr>
          <w:rFonts w:asciiTheme="majorHAnsi" w:eastAsia="Times New Roman" w:hAnsiTheme="majorHAnsi" w:cstheme="majorHAnsi"/>
          <w:b w:val="0"/>
          <w:bCs w:val="0"/>
          <w:sz w:val="24"/>
          <w:szCs w:val="24"/>
          <w:shd w:val="clear" w:color="auto" w:fill="FFFFFF"/>
        </w:rPr>
        <w:t>ă</w:t>
      </w:r>
      <w:r w:rsidRPr="00360EAA">
        <w:rPr>
          <w:rFonts w:asciiTheme="majorHAnsi" w:eastAsia="Times New Roman" w:hAnsiTheme="majorHAnsi" w:cstheme="majorHAnsi"/>
          <w:b w:val="0"/>
          <w:bCs w:val="0"/>
          <w:sz w:val="24"/>
          <w:szCs w:val="24"/>
          <w:shd w:val="clear" w:color="auto" w:fill="FFFFFF"/>
        </w:rPr>
        <w:t xml:space="preserve">  etc. De menționat că, în Lista indicatorilor de performanță (69 de indicatori), din indicatorii care diminuează obligațiunile față de BS (anulate)</w:t>
      </w:r>
      <w:r w:rsidR="00063B39" w:rsidRPr="00360EAA">
        <w:rPr>
          <w:rFonts w:asciiTheme="majorHAnsi" w:eastAsia="Times New Roman" w:hAnsiTheme="majorHAnsi" w:cstheme="majorHAnsi"/>
          <w:b w:val="0"/>
          <w:bCs w:val="0"/>
          <w:sz w:val="24"/>
          <w:szCs w:val="24"/>
          <w:shd w:val="clear" w:color="auto" w:fill="FFFFFF"/>
        </w:rPr>
        <w:t>,</w:t>
      </w:r>
      <w:r w:rsidRPr="00360EAA">
        <w:rPr>
          <w:rFonts w:asciiTheme="majorHAnsi" w:eastAsia="Times New Roman" w:hAnsiTheme="majorHAnsi" w:cstheme="majorHAnsi"/>
          <w:b w:val="0"/>
          <w:bCs w:val="0"/>
          <w:sz w:val="24"/>
          <w:szCs w:val="24"/>
          <w:shd w:val="clear" w:color="auto" w:fill="FFFFFF"/>
        </w:rPr>
        <w:t xml:space="preserve"> se regăsește doar indicatorul privind cuantumul amenzilor încasate în 3 zile lucrătoare (72 de ore), ceea ce permite doar anularea parțiala </w:t>
      </w:r>
      <w:r w:rsidR="00063B39" w:rsidRPr="00360EAA">
        <w:rPr>
          <w:rFonts w:asciiTheme="majorHAnsi" w:eastAsia="Times New Roman" w:hAnsiTheme="majorHAnsi" w:cstheme="majorHAnsi"/>
          <w:b w:val="0"/>
          <w:bCs w:val="0"/>
          <w:sz w:val="24"/>
          <w:szCs w:val="24"/>
          <w:shd w:val="clear" w:color="auto" w:fill="FFFFFF"/>
        </w:rPr>
        <w:t>î</w:t>
      </w:r>
      <w:r w:rsidRPr="00360EAA">
        <w:rPr>
          <w:rFonts w:asciiTheme="majorHAnsi" w:eastAsia="Times New Roman" w:hAnsiTheme="majorHAnsi" w:cstheme="majorHAnsi"/>
          <w:b w:val="0"/>
          <w:bCs w:val="0"/>
          <w:sz w:val="24"/>
          <w:szCs w:val="24"/>
          <w:shd w:val="clear" w:color="auto" w:fill="FFFFFF"/>
        </w:rPr>
        <w:t>n mari</w:t>
      </w:r>
      <w:r w:rsidR="00360EAA">
        <w:rPr>
          <w:rFonts w:asciiTheme="majorHAnsi" w:eastAsia="Times New Roman" w:hAnsiTheme="majorHAnsi" w:cstheme="majorHAnsi"/>
          <w:b w:val="0"/>
          <w:bCs w:val="0"/>
          <w:sz w:val="24"/>
          <w:szCs w:val="24"/>
          <w:shd w:val="clear" w:color="auto" w:fill="FFFFFF"/>
        </w:rPr>
        <w:t>m</w:t>
      </w:r>
      <w:r w:rsidRPr="00360EAA">
        <w:rPr>
          <w:rFonts w:asciiTheme="majorHAnsi" w:eastAsia="Times New Roman" w:hAnsiTheme="majorHAnsi" w:cstheme="majorHAnsi"/>
          <w:b w:val="0"/>
          <w:bCs w:val="0"/>
          <w:sz w:val="24"/>
          <w:szCs w:val="24"/>
          <w:shd w:val="clear" w:color="auto" w:fill="FFFFFF"/>
        </w:rPr>
        <w:t xml:space="preserve">e de 50% a obligațiunilor calculate (pct.31), ceilalți indicatori </w:t>
      </w:r>
      <w:r w:rsidR="00360EAA">
        <w:rPr>
          <w:rFonts w:asciiTheme="majorHAnsi" w:eastAsia="Times New Roman" w:hAnsiTheme="majorHAnsi" w:cstheme="majorHAnsi"/>
          <w:b w:val="0"/>
          <w:bCs w:val="0"/>
          <w:sz w:val="24"/>
          <w:szCs w:val="24"/>
          <w:shd w:val="clear" w:color="auto" w:fill="FFFFFF"/>
        </w:rPr>
        <w:t>nefiind</w:t>
      </w:r>
      <w:r w:rsidRPr="00360EAA">
        <w:rPr>
          <w:rFonts w:asciiTheme="majorHAnsi" w:eastAsia="Times New Roman" w:hAnsiTheme="majorHAnsi" w:cstheme="majorHAnsi"/>
          <w:b w:val="0"/>
          <w:bCs w:val="0"/>
          <w:sz w:val="24"/>
          <w:szCs w:val="24"/>
          <w:shd w:val="clear" w:color="auto" w:fill="FFFFFF"/>
        </w:rPr>
        <w:t xml:space="preserve"> incluși nici în Registru</w:t>
      </w:r>
      <w:r w:rsidR="00360EAA">
        <w:rPr>
          <w:rFonts w:asciiTheme="majorHAnsi" w:eastAsia="Times New Roman" w:hAnsiTheme="majorHAnsi" w:cstheme="majorHAnsi"/>
          <w:b w:val="0"/>
          <w:bCs w:val="0"/>
          <w:sz w:val="24"/>
          <w:szCs w:val="24"/>
          <w:shd w:val="clear" w:color="auto" w:fill="FFFFFF"/>
        </w:rPr>
        <w:t>l</w:t>
      </w:r>
      <w:r w:rsidRPr="00360EAA">
        <w:rPr>
          <w:rFonts w:asciiTheme="majorHAnsi" w:eastAsia="Times New Roman" w:hAnsiTheme="majorHAnsi" w:cstheme="majorHAnsi"/>
          <w:b w:val="0"/>
          <w:bCs w:val="0"/>
          <w:sz w:val="24"/>
          <w:szCs w:val="24"/>
          <w:shd w:val="clear" w:color="auto" w:fill="FFFFFF"/>
        </w:rPr>
        <w:t xml:space="preserve"> menționat mai sus, nici în Lista indicatorilor de performanță, urmând a fi întreprinse măsuri pentru completarea Listei indicatorilor de performanță cu un spectru de indicator</w:t>
      </w:r>
      <w:r w:rsidRPr="007C5F5A">
        <w:rPr>
          <w:rFonts w:asciiTheme="majorHAnsi" w:eastAsia="Times New Roman" w:hAnsiTheme="majorHAnsi" w:cstheme="majorHAnsi"/>
          <w:b w:val="0"/>
          <w:bCs w:val="0"/>
          <w:sz w:val="24"/>
          <w:szCs w:val="24"/>
          <w:shd w:val="clear" w:color="auto" w:fill="FFFFFF"/>
        </w:rPr>
        <w:t>i care să facă posibilă cuantificarea valorii obligațiunilor reale și contingente față de buget</w:t>
      </w:r>
      <w:r w:rsidR="00360EAA">
        <w:rPr>
          <w:rFonts w:asciiTheme="majorHAnsi" w:eastAsia="Times New Roman" w:hAnsiTheme="majorHAnsi" w:cstheme="majorHAnsi"/>
          <w:b w:val="0"/>
          <w:bCs w:val="0"/>
          <w:sz w:val="24"/>
          <w:szCs w:val="24"/>
          <w:shd w:val="clear" w:color="auto" w:fill="FFFFFF"/>
        </w:rPr>
        <w:t>,</w:t>
      </w:r>
      <w:r w:rsidRPr="00360EAA">
        <w:rPr>
          <w:rFonts w:asciiTheme="majorHAnsi" w:eastAsia="Times New Roman" w:hAnsiTheme="majorHAnsi" w:cstheme="majorHAnsi"/>
          <w:b w:val="0"/>
          <w:bCs w:val="0"/>
          <w:sz w:val="24"/>
          <w:szCs w:val="24"/>
          <w:shd w:val="clear" w:color="auto" w:fill="FFFFFF"/>
        </w:rPr>
        <w:t xml:space="preserve"> atât la plata amenzilor</w:t>
      </w:r>
      <w:r w:rsidR="00360EAA">
        <w:rPr>
          <w:rFonts w:asciiTheme="majorHAnsi" w:eastAsia="Times New Roman" w:hAnsiTheme="majorHAnsi" w:cstheme="majorHAnsi"/>
          <w:b w:val="0"/>
          <w:bCs w:val="0"/>
          <w:sz w:val="24"/>
          <w:szCs w:val="24"/>
          <w:shd w:val="clear" w:color="auto" w:fill="FFFFFF"/>
        </w:rPr>
        <w:t>,</w:t>
      </w:r>
      <w:r w:rsidRPr="00360EAA">
        <w:rPr>
          <w:rFonts w:asciiTheme="majorHAnsi" w:eastAsia="Times New Roman" w:hAnsiTheme="majorHAnsi" w:cstheme="majorHAnsi"/>
          <w:b w:val="0"/>
          <w:bCs w:val="0"/>
          <w:sz w:val="24"/>
          <w:szCs w:val="24"/>
          <w:shd w:val="clear" w:color="auto" w:fill="FFFFFF"/>
        </w:rPr>
        <w:t xml:space="preserve"> cât şi la plata prejudiciilor. </w:t>
      </w:r>
    </w:p>
    <w:p w:rsidR="004B6B06" w:rsidRPr="008376FC" w:rsidRDefault="004B6B06" w:rsidP="00F61756">
      <w:pPr>
        <w:shd w:val="clear" w:color="auto" w:fill="FFFFFF"/>
        <w:spacing w:before="120" w:after="0" w:line="276" w:lineRule="auto"/>
        <w:ind w:firstLine="360"/>
        <w:jc w:val="both"/>
        <w:rPr>
          <w:rFonts w:asciiTheme="majorHAnsi" w:eastAsia="Times New Roman" w:hAnsiTheme="majorHAnsi" w:cstheme="majorHAnsi"/>
          <w:b w:val="0"/>
          <w:bCs w:val="0"/>
          <w:sz w:val="24"/>
          <w:szCs w:val="24"/>
          <w:shd w:val="clear" w:color="auto" w:fill="FFFFFF"/>
        </w:rPr>
      </w:pPr>
      <w:r w:rsidRPr="003970F9">
        <w:rPr>
          <w:rFonts w:asciiTheme="majorHAnsi" w:eastAsia="Times New Roman" w:hAnsiTheme="majorHAnsi" w:cstheme="majorHAnsi"/>
          <w:b w:val="0"/>
          <w:bCs w:val="0"/>
          <w:sz w:val="24"/>
          <w:szCs w:val="24"/>
          <w:shd w:val="clear" w:color="auto" w:fill="FFFFFF"/>
        </w:rPr>
        <w:t xml:space="preserve">Totodată, deși în lista </w:t>
      </w:r>
      <w:r w:rsidR="00360EAA" w:rsidRPr="003970F9">
        <w:rPr>
          <w:rFonts w:asciiTheme="majorHAnsi" w:eastAsia="Times New Roman" w:hAnsiTheme="majorHAnsi" w:cstheme="majorHAnsi"/>
          <w:b w:val="0"/>
          <w:bCs w:val="0"/>
          <w:sz w:val="24"/>
          <w:szCs w:val="24"/>
          <w:shd w:val="clear" w:color="auto" w:fill="FFFFFF"/>
        </w:rPr>
        <w:t>i</w:t>
      </w:r>
      <w:r w:rsidRPr="003970F9">
        <w:rPr>
          <w:rFonts w:asciiTheme="majorHAnsi" w:eastAsia="Times New Roman" w:hAnsiTheme="majorHAnsi" w:cstheme="majorHAnsi"/>
          <w:b w:val="0"/>
          <w:bCs w:val="0"/>
          <w:sz w:val="24"/>
          <w:szCs w:val="24"/>
          <w:shd w:val="clear" w:color="auto" w:fill="FFFFFF"/>
        </w:rPr>
        <w:t xml:space="preserve">ndicatorilor de performanță </w:t>
      </w:r>
      <w:r w:rsidR="00360EAA" w:rsidRPr="003970F9">
        <w:rPr>
          <w:rFonts w:asciiTheme="majorHAnsi" w:eastAsia="Times New Roman" w:hAnsiTheme="majorHAnsi" w:cstheme="majorHAnsi"/>
          <w:b w:val="0"/>
          <w:bCs w:val="0"/>
          <w:sz w:val="24"/>
          <w:szCs w:val="24"/>
          <w:shd w:val="clear" w:color="auto" w:fill="FFFFFF"/>
        </w:rPr>
        <w:t>(din</w:t>
      </w:r>
      <w:r w:rsidRPr="003970F9">
        <w:rPr>
          <w:rFonts w:asciiTheme="majorHAnsi" w:eastAsia="Times New Roman" w:hAnsiTheme="majorHAnsi" w:cstheme="majorHAnsi"/>
          <w:b w:val="0"/>
          <w:bCs w:val="0"/>
          <w:sz w:val="24"/>
          <w:szCs w:val="24"/>
          <w:shd w:val="clear" w:color="auto" w:fill="FFFFFF"/>
        </w:rPr>
        <w:t xml:space="preserve"> pct.35 și 36</w:t>
      </w:r>
      <w:r w:rsidR="00360EAA" w:rsidRPr="003970F9">
        <w:rPr>
          <w:rFonts w:asciiTheme="majorHAnsi" w:eastAsia="Times New Roman" w:hAnsiTheme="majorHAnsi" w:cstheme="majorHAnsi"/>
          <w:b w:val="0"/>
          <w:bCs w:val="0"/>
          <w:sz w:val="24"/>
          <w:szCs w:val="24"/>
          <w:shd w:val="clear" w:color="auto" w:fill="FFFFFF"/>
        </w:rPr>
        <w:t>)</w:t>
      </w:r>
      <w:r w:rsidRPr="003970F9">
        <w:rPr>
          <w:rFonts w:asciiTheme="majorHAnsi" w:eastAsia="Times New Roman" w:hAnsiTheme="majorHAnsi" w:cstheme="majorHAnsi"/>
          <w:b w:val="0"/>
          <w:bCs w:val="0"/>
          <w:sz w:val="24"/>
          <w:szCs w:val="24"/>
          <w:shd w:val="clear" w:color="auto" w:fill="FFFFFF"/>
        </w:rPr>
        <w:t xml:space="preserve"> sunt incluși indicatorii privind cereri</w:t>
      </w:r>
      <w:r w:rsidR="00360EAA" w:rsidRPr="003970F9">
        <w:rPr>
          <w:rFonts w:asciiTheme="majorHAnsi" w:eastAsia="Times New Roman" w:hAnsiTheme="majorHAnsi" w:cstheme="majorHAnsi"/>
          <w:b w:val="0"/>
          <w:bCs w:val="0"/>
          <w:sz w:val="24"/>
          <w:szCs w:val="24"/>
          <w:shd w:val="clear" w:color="auto" w:fill="FFFFFF"/>
        </w:rPr>
        <w:t>le</w:t>
      </w:r>
      <w:r w:rsidRPr="003970F9">
        <w:rPr>
          <w:rFonts w:asciiTheme="majorHAnsi" w:eastAsia="Times New Roman" w:hAnsiTheme="majorHAnsi" w:cstheme="majorHAnsi"/>
          <w:b w:val="0"/>
          <w:bCs w:val="0"/>
          <w:sz w:val="24"/>
          <w:szCs w:val="24"/>
          <w:shd w:val="clear" w:color="auto" w:fill="FFFFFF"/>
        </w:rPr>
        <w:t xml:space="preserve"> înaintate executorilor judecătorești pentru executare silită (nr.)</w:t>
      </w:r>
      <w:r w:rsidR="00B8786A" w:rsidRPr="003970F9">
        <w:rPr>
          <w:rFonts w:asciiTheme="majorHAnsi" w:eastAsia="Times New Roman" w:hAnsiTheme="majorHAnsi" w:cstheme="majorHAnsi"/>
          <w:b w:val="0"/>
          <w:bCs w:val="0"/>
          <w:sz w:val="24"/>
          <w:szCs w:val="24"/>
          <w:shd w:val="clear" w:color="auto" w:fill="FFFFFF"/>
        </w:rPr>
        <w:t xml:space="preserve"> și </w:t>
      </w:r>
      <w:r w:rsidRPr="003970F9">
        <w:rPr>
          <w:rFonts w:asciiTheme="majorHAnsi" w:eastAsia="Times New Roman" w:hAnsiTheme="majorHAnsi" w:cstheme="majorHAnsi"/>
          <w:b w:val="0"/>
          <w:bCs w:val="0"/>
          <w:sz w:val="24"/>
          <w:szCs w:val="24"/>
          <w:shd w:val="clear" w:color="auto" w:fill="FFFFFF"/>
        </w:rPr>
        <w:t>suma amenzii care urmează a fi încasată datorită executării silite (lei), lipsesc indicatorii privind restituirea cererilor înaintate (nr./suma), cauzele restituirii (expirarea termenului</w:t>
      </w:r>
      <w:r w:rsidR="00A57D3F">
        <w:rPr>
          <w:rFonts w:asciiTheme="majorHAnsi" w:eastAsia="Times New Roman" w:hAnsiTheme="majorHAnsi" w:cstheme="majorHAnsi"/>
          <w:b w:val="0"/>
          <w:bCs w:val="0"/>
          <w:sz w:val="24"/>
          <w:szCs w:val="24"/>
          <w:shd w:val="clear" w:color="auto" w:fill="FFFFFF"/>
        </w:rPr>
        <w:t xml:space="preserve"> de prescripție</w:t>
      </w:r>
      <w:r w:rsidRPr="003970F9">
        <w:rPr>
          <w:rFonts w:asciiTheme="majorHAnsi" w:eastAsia="Times New Roman" w:hAnsiTheme="majorHAnsi" w:cstheme="majorHAnsi"/>
          <w:b w:val="0"/>
          <w:bCs w:val="0"/>
          <w:sz w:val="24"/>
          <w:szCs w:val="24"/>
          <w:shd w:val="clear" w:color="auto" w:fill="FFFFFF"/>
        </w:rPr>
        <w:t>, imposibilitatea de încasare a sumelor</w:t>
      </w:r>
      <w:r w:rsidR="00A57D3F">
        <w:rPr>
          <w:rFonts w:asciiTheme="majorHAnsi" w:eastAsia="Times New Roman" w:hAnsiTheme="majorHAnsi" w:cstheme="majorHAnsi"/>
          <w:b w:val="0"/>
          <w:bCs w:val="0"/>
          <w:sz w:val="24"/>
          <w:szCs w:val="24"/>
          <w:shd w:val="clear" w:color="auto" w:fill="FFFFFF"/>
        </w:rPr>
        <w:t xml:space="preserve"> – numărul de PV/suma</w:t>
      </w:r>
      <w:r w:rsidRPr="003970F9">
        <w:rPr>
          <w:rFonts w:asciiTheme="majorHAnsi" w:eastAsia="Times New Roman" w:hAnsiTheme="majorHAnsi" w:cstheme="majorHAnsi"/>
          <w:b w:val="0"/>
          <w:bCs w:val="0"/>
          <w:sz w:val="24"/>
          <w:szCs w:val="24"/>
          <w:shd w:val="clear" w:color="auto" w:fill="FFFFFF"/>
        </w:rPr>
        <w:t>) etc.</w:t>
      </w:r>
      <w:r w:rsidR="00360EAA" w:rsidRPr="003970F9">
        <w:rPr>
          <w:rFonts w:asciiTheme="majorHAnsi" w:eastAsia="Times New Roman" w:hAnsiTheme="majorHAnsi" w:cstheme="majorHAnsi"/>
          <w:b w:val="0"/>
          <w:bCs w:val="0"/>
          <w:sz w:val="24"/>
          <w:szCs w:val="24"/>
          <w:shd w:val="clear" w:color="auto" w:fill="FFFFFF"/>
        </w:rPr>
        <w:t>,</w:t>
      </w:r>
      <w:r w:rsidRPr="003970F9">
        <w:rPr>
          <w:rFonts w:asciiTheme="majorHAnsi" w:eastAsia="Times New Roman" w:hAnsiTheme="majorHAnsi" w:cstheme="majorHAnsi"/>
          <w:b w:val="0"/>
          <w:bCs w:val="0"/>
          <w:sz w:val="24"/>
          <w:szCs w:val="24"/>
          <w:shd w:val="clear" w:color="auto" w:fill="FFFFFF"/>
        </w:rPr>
        <w:t xml:space="preserve"> iar faptul că datele din Lista indicatorilor de performanță se prezintă discret (lunar/anual), deși includ și indicatorii care urmează a fi monitorizați permanent și cumulativ, inclusiv prin faptul că unele </w:t>
      </w:r>
      <w:r w:rsidR="00360EAA" w:rsidRPr="003970F9">
        <w:rPr>
          <w:rFonts w:asciiTheme="majorHAnsi" w:eastAsia="Times New Roman" w:hAnsiTheme="majorHAnsi" w:cstheme="majorHAnsi"/>
          <w:b w:val="0"/>
          <w:bCs w:val="0"/>
          <w:sz w:val="24"/>
          <w:szCs w:val="24"/>
          <w:shd w:val="clear" w:color="auto" w:fill="FFFFFF"/>
        </w:rPr>
        <w:t>procese-verbale</w:t>
      </w:r>
      <w:r w:rsidRPr="003970F9">
        <w:rPr>
          <w:rFonts w:asciiTheme="majorHAnsi" w:eastAsia="Times New Roman" w:hAnsiTheme="majorHAnsi" w:cstheme="majorHAnsi"/>
          <w:b w:val="0"/>
          <w:bCs w:val="0"/>
          <w:sz w:val="24"/>
          <w:szCs w:val="24"/>
          <w:shd w:val="clear" w:color="auto" w:fill="FFFFFF"/>
        </w:rPr>
        <w:t xml:space="preserve"> privind contravenții</w:t>
      </w:r>
      <w:r w:rsidR="00360EAA" w:rsidRPr="003970F9">
        <w:rPr>
          <w:rFonts w:asciiTheme="majorHAnsi" w:eastAsia="Times New Roman" w:hAnsiTheme="majorHAnsi" w:cstheme="majorHAnsi"/>
          <w:b w:val="0"/>
          <w:bCs w:val="0"/>
          <w:sz w:val="24"/>
          <w:szCs w:val="24"/>
          <w:shd w:val="clear" w:color="auto" w:fill="FFFFFF"/>
        </w:rPr>
        <w:t>le</w:t>
      </w:r>
      <w:r w:rsidRPr="003970F9">
        <w:rPr>
          <w:rFonts w:asciiTheme="majorHAnsi" w:eastAsia="Times New Roman" w:hAnsiTheme="majorHAnsi" w:cstheme="majorHAnsi"/>
          <w:b w:val="0"/>
          <w:bCs w:val="0"/>
          <w:sz w:val="24"/>
          <w:szCs w:val="24"/>
          <w:shd w:val="clear" w:color="auto" w:fill="FFFFFF"/>
        </w:rPr>
        <w:t xml:space="preserve"> nu se încadrează ca perioadă într-un</w:t>
      </w:r>
      <w:r w:rsidRPr="008376FC">
        <w:rPr>
          <w:rFonts w:asciiTheme="majorHAnsi" w:eastAsia="Times New Roman" w:hAnsiTheme="majorHAnsi" w:cstheme="majorHAnsi"/>
          <w:b w:val="0"/>
          <w:bCs w:val="0"/>
          <w:sz w:val="24"/>
          <w:szCs w:val="24"/>
          <w:shd w:val="clear" w:color="auto" w:fill="FFFFFF"/>
        </w:rPr>
        <w:t xml:space="preserve"> an bugetar sau calendaristic</w:t>
      </w:r>
      <w:r w:rsidR="00A57D3F">
        <w:rPr>
          <w:rFonts w:asciiTheme="majorHAnsi" w:eastAsia="Times New Roman" w:hAnsiTheme="majorHAnsi" w:cstheme="majorHAnsi"/>
          <w:b w:val="0"/>
          <w:bCs w:val="0"/>
          <w:sz w:val="24"/>
          <w:szCs w:val="24"/>
          <w:shd w:val="clear" w:color="auto" w:fill="FFFFFF"/>
        </w:rPr>
        <w:t xml:space="preserve"> (12 luni/365 de zile) și sunt  tranzitorii pentru anul următor</w:t>
      </w:r>
      <w:r w:rsidRPr="008376FC">
        <w:rPr>
          <w:rFonts w:asciiTheme="majorHAnsi" w:eastAsia="Times New Roman" w:hAnsiTheme="majorHAnsi" w:cstheme="majorHAnsi"/>
          <w:b w:val="0"/>
          <w:bCs w:val="0"/>
          <w:sz w:val="24"/>
          <w:szCs w:val="24"/>
          <w:shd w:val="clear" w:color="auto" w:fill="FFFFFF"/>
        </w:rPr>
        <w:t xml:space="preserve">, este evident că pentru indicatorii care participă la calcularea obligațiunilor față de buget </w:t>
      </w:r>
      <w:r w:rsidR="00E33260">
        <w:rPr>
          <w:rFonts w:asciiTheme="majorHAnsi" w:eastAsia="Times New Roman" w:hAnsiTheme="majorHAnsi" w:cstheme="majorHAnsi"/>
          <w:b w:val="0"/>
          <w:bCs w:val="0"/>
          <w:sz w:val="24"/>
          <w:szCs w:val="24"/>
          <w:shd w:val="clear" w:color="auto" w:fill="FFFFFF"/>
        </w:rPr>
        <w:t xml:space="preserve">este necesar </w:t>
      </w:r>
      <w:r w:rsidRPr="008376FC">
        <w:rPr>
          <w:rFonts w:asciiTheme="majorHAnsi" w:eastAsia="Times New Roman" w:hAnsiTheme="majorHAnsi" w:cstheme="majorHAnsi"/>
          <w:b w:val="0"/>
          <w:bCs w:val="0"/>
          <w:sz w:val="24"/>
          <w:szCs w:val="24"/>
          <w:shd w:val="clear" w:color="auto" w:fill="FFFFFF"/>
        </w:rPr>
        <w:t>să fie elaborat un alt set de indicatori, separat de cei care se prezintă discret, pentru un an bugetar sau calendaristic. Elaborarea uni set de indicatori care particip</w:t>
      </w:r>
      <w:r w:rsidR="00360EAA">
        <w:rPr>
          <w:rFonts w:asciiTheme="majorHAnsi" w:eastAsia="Times New Roman" w:hAnsiTheme="majorHAnsi" w:cstheme="majorHAnsi"/>
          <w:b w:val="0"/>
          <w:bCs w:val="0"/>
          <w:sz w:val="24"/>
          <w:szCs w:val="24"/>
          <w:shd w:val="clear" w:color="auto" w:fill="FFFFFF"/>
        </w:rPr>
        <w:t>ă</w:t>
      </w:r>
      <w:r w:rsidRPr="008376FC">
        <w:rPr>
          <w:rFonts w:asciiTheme="majorHAnsi" w:eastAsia="Times New Roman" w:hAnsiTheme="majorHAnsi" w:cstheme="majorHAnsi"/>
          <w:b w:val="0"/>
          <w:bCs w:val="0"/>
          <w:sz w:val="24"/>
          <w:szCs w:val="24"/>
          <w:shd w:val="clear" w:color="auto" w:fill="FFFFFF"/>
        </w:rPr>
        <w:t xml:space="preserve"> la formarea creanțelor/obligațiunilor fa</w:t>
      </w:r>
      <w:r w:rsidR="00360EAA">
        <w:rPr>
          <w:rFonts w:asciiTheme="majorHAnsi" w:eastAsia="Times New Roman" w:hAnsiTheme="majorHAnsi" w:cstheme="majorHAnsi"/>
          <w:b w:val="0"/>
          <w:bCs w:val="0"/>
          <w:sz w:val="24"/>
          <w:szCs w:val="24"/>
          <w:shd w:val="clear" w:color="auto" w:fill="FFFFFF"/>
        </w:rPr>
        <w:t>ță</w:t>
      </w:r>
      <w:r w:rsidRPr="008376FC">
        <w:rPr>
          <w:rFonts w:asciiTheme="majorHAnsi" w:eastAsia="Times New Roman" w:hAnsiTheme="majorHAnsi" w:cstheme="majorHAnsi"/>
          <w:b w:val="0"/>
          <w:bCs w:val="0"/>
          <w:sz w:val="24"/>
          <w:szCs w:val="24"/>
          <w:shd w:val="clear" w:color="auto" w:fill="FFFFFF"/>
        </w:rPr>
        <w:t xml:space="preserve"> de BS va permite monitorizarea şi asigurarea unui management corespunzător şi adecvat a</w:t>
      </w:r>
      <w:r w:rsidR="00360EAA">
        <w:rPr>
          <w:rFonts w:asciiTheme="majorHAnsi" w:eastAsia="Times New Roman" w:hAnsiTheme="majorHAnsi" w:cstheme="majorHAnsi"/>
          <w:b w:val="0"/>
          <w:bCs w:val="0"/>
          <w:sz w:val="24"/>
          <w:szCs w:val="24"/>
          <w:shd w:val="clear" w:color="auto" w:fill="FFFFFF"/>
        </w:rPr>
        <w:t>l</w:t>
      </w:r>
      <w:r w:rsidRPr="008376FC">
        <w:rPr>
          <w:rFonts w:asciiTheme="majorHAnsi" w:eastAsia="Times New Roman" w:hAnsiTheme="majorHAnsi" w:cstheme="majorHAnsi"/>
          <w:b w:val="0"/>
          <w:bCs w:val="0"/>
          <w:sz w:val="24"/>
          <w:szCs w:val="24"/>
          <w:shd w:val="clear" w:color="auto" w:fill="FFFFFF"/>
        </w:rPr>
        <w:t xml:space="preserve"> acestora, </w:t>
      </w:r>
      <w:r w:rsidR="00360EAA">
        <w:rPr>
          <w:rFonts w:asciiTheme="majorHAnsi" w:eastAsia="Times New Roman" w:hAnsiTheme="majorHAnsi" w:cstheme="majorHAnsi"/>
          <w:b w:val="0"/>
          <w:bCs w:val="0"/>
          <w:sz w:val="24"/>
          <w:szCs w:val="24"/>
          <w:shd w:val="clear" w:color="auto" w:fill="FFFFFF"/>
        </w:rPr>
        <w:t>inclusiv</w:t>
      </w:r>
      <w:r w:rsidRPr="008376FC">
        <w:rPr>
          <w:rFonts w:asciiTheme="majorHAnsi" w:eastAsia="Times New Roman" w:hAnsiTheme="majorHAnsi" w:cstheme="majorHAnsi"/>
          <w:b w:val="0"/>
          <w:bCs w:val="0"/>
          <w:sz w:val="24"/>
          <w:szCs w:val="24"/>
          <w:shd w:val="clear" w:color="auto" w:fill="FFFFFF"/>
        </w:rPr>
        <w:t xml:space="preserve"> va permite ca aceste informații s</w:t>
      </w:r>
      <w:r w:rsidR="00360EAA">
        <w:rPr>
          <w:rFonts w:asciiTheme="majorHAnsi" w:eastAsia="Times New Roman" w:hAnsiTheme="majorHAnsi" w:cstheme="majorHAnsi"/>
          <w:b w:val="0"/>
          <w:bCs w:val="0"/>
          <w:sz w:val="24"/>
          <w:szCs w:val="24"/>
          <w:shd w:val="clear" w:color="auto" w:fill="FFFFFF"/>
        </w:rPr>
        <w:t>ă</w:t>
      </w:r>
      <w:r w:rsidRPr="008376FC">
        <w:rPr>
          <w:rFonts w:asciiTheme="majorHAnsi" w:eastAsia="Times New Roman" w:hAnsiTheme="majorHAnsi" w:cstheme="majorHAnsi"/>
          <w:b w:val="0"/>
          <w:bCs w:val="0"/>
          <w:sz w:val="24"/>
          <w:szCs w:val="24"/>
          <w:shd w:val="clear" w:color="auto" w:fill="FFFFFF"/>
        </w:rPr>
        <w:t xml:space="preserve"> fie incluse in sistemul unic de evidență a contravențiilor (Sistemul informațional automatizat de evidență a contravențiilor, a cauzelor contravenționale și a persoanelor care au săvârșit contravenții)</w:t>
      </w:r>
      <w:r w:rsidR="00360EAA">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gestionat de MAI</w:t>
      </w:r>
      <w:r w:rsidR="00360EAA">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cu preluarea ulterioară a lor de către SFS pentru administrarea creanțelor/obligațiunilor față de BS.</w:t>
      </w:r>
    </w:p>
    <w:p w:rsidR="004B6B06" w:rsidRPr="008376FC" w:rsidRDefault="004B6B06" w:rsidP="00F61756">
      <w:pPr>
        <w:shd w:val="clear" w:color="auto" w:fill="FFFFFF"/>
        <w:spacing w:before="120" w:after="0" w:line="276" w:lineRule="auto"/>
        <w:ind w:firstLine="360"/>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 xml:space="preserve">Tot în acest context, este </w:t>
      </w:r>
      <w:r w:rsidR="00FB4ED8" w:rsidRPr="008376FC">
        <w:rPr>
          <w:rFonts w:asciiTheme="majorHAnsi" w:eastAsia="Times New Roman" w:hAnsiTheme="majorHAnsi" w:cstheme="majorHAnsi"/>
          <w:b w:val="0"/>
          <w:bCs w:val="0"/>
          <w:sz w:val="24"/>
          <w:szCs w:val="24"/>
          <w:shd w:val="clear" w:color="auto" w:fill="FFFFFF"/>
        </w:rPr>
        <w:t>necesar</w:t>
      </w:r>
      <w:r w:rsidRPr="008376FC">
        <w:rPr>
          <w:rFonts w:asciiTheme="majorHAnsi" w:eastAsia="Times New Roman" w:hAnsiTheme="majorHAnsi" w:cstheme="majorHAnsi"/>
          <w:b w:val="0"/>
          <w:bCs w:val="0"/>
          <w:sz w:val="24"/>
          <w:szCs w:val="24"/>
          <w:shd w:val="clear" w:color="auto" w:fill="FFFFFF"/>
        </w:rPr>
        <w:t xml:space="preserve"> ca MF să completeze lista conturilor contabile extrabilanțiere  din grupa 811 „Conturi extrabilanţiere aferente creanţelor bugetare” cu un cont nou, destinat obligațiunilor contingente față de BS, în care vor fi reflectate</w:t>
      </w:r>
      <w:r w:rsidR="007C5F5A">
        <w:rPr>
          <w:rFonts w:asciiTheme="majorHAnsi" w:eastAsia="Times New Roman" w:hAnsiTheme="majorHAnsi" w:cstheme="majorHAnsi"/>
          <w:b w:val="0"/>
          <w:bCs w:val="0"/>
          <w:sz w:val="24"/>
          <w:szCs w:val="24"/>
          <w:shd w:val="clear" w:color="auto" w:fill="FFFFFF"/>
        </w:rPr>
        <w:t>,</w:t>
      </w:r>
      <w:r w:rsidR="007C5F5A" w:rsidRPr="008376FC">
        <w:rPr>
          <w:rFonts w:asciiTheme="majorHAnsi" w:eastAsia="Times New Roman" w:hAnsiTheme="majorHAnsi" w:cstheme="majorHAnsi"/>
          <w:b w:val="0"/>
          <w:bCs w:val="0"/>
          <w:sz w:val="24"/>
          <w:szCs w:val="24"/>
          <w:shd w:val="clear" w:color="auto" w:fill="FFFFFF"/>
        </w:rPr>
        <w:t xml:space="preserve"> în mare parte</w:t>
      </w:r>
      <w:r w:rsidR="007C5F5A">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sumele contravențiilor calculate în termen de până la 30 de zile, termen în care contravenientul poate să conteste contravenția. De asemenea, în contextul prevederilor noului sistem unic al contravențiilor (HG </w:t>
      </w:r>
      <w:r w:rsidR="007C5F5A">
        <w:rPr>
          <w:rFonts w:asciiTheme="majorHAnsi" w:eastAsia="Times New Roman" w:hAnsiTheme="majorHAnsi" w:cstheme="majorHAnsi"/>
          <w:b w:val="0"/>
          <w:bCs w:val="0"/>
          <w:sz w:val="24"/>
          <w:szCs w:val="24"/>
          <w:shd w:val="clear" w:color="auto" w:fill="FFFFFF"/>
        </w:rPr>
        <w:t>nr.</w:t>
      </w:r>
      <w:r w:rsidRPr="008376FC">
        <w:rPr>
          <w:rFonts w:asciiTheme="majorHAnsi" w:eastAsia="Times New Roman" w:hAnsiTheme="majorHAnsi" w:cstheme="majorHAnsi"/>
          <w:b w:val="0"/>
          <w:bCs w:val="0"/>
          <w:sz w:val="24"/>
          <w:szCs w:val="24"/>
          <w:shd w:val="clear" w:color="auto" w:fill="FFFFFF"/>
        </w:rPr>
        <w:t xml:space="preserve">517/2022 </w:t>
      </w:r>
      <w:r w:rsidR="007C5F5A" w:rsidRPr="00924288">
        <w:rPr>
          <w:rFonts w:asciiTheme="majorHAnsi" w:eastAsia="Times New Roman" w:hAnsiTheme="majorHAnsi" w:cstheme="majorHAnsi"/>
          <w:b w:val="0"/>
          <w:bCs w:val="0"/>
          <w:sz w:val="24"/>
          <w:szCs w:val="24"/>
          <w:shd w:val="clear" w:color="auto" w:fill="FFFFFF"/>
        </w:rPr>
        <w:t>ș</w:t>
      </w:r>
      <w:r w:rsidRPr="00924288">
        <w:rPr>
          <w:rFonts w:asciiTheme="majorHAnsi" w:eastAsia="Times New Roman" w:hAnsiTheme="majorHAnsi" w:cstheme="majorHAnsi"/>
          <w:b w:val="0"/>
          <w:bCs w:val="0"/>
          <w:sz w:val="24"/>
          <w:szCs w:val="24"/>
          <w:shd w:val="clear" w:color="auto" w:fill="FFFFFF"/>
        </w:rPr>
        <w:t xml:space="preserve">i HG nr. </w:t>
      </w:r>
      <w:r w:rsidR="00924288" w:rsidRPr="00924288">
        <w:rPr>
          <w:rFonts w:asciiTheme="majorHAnsi" w:eastAsia="Times New Roman" w:hAnsiTheme="majorHAnsi" w:cstheme="majorHAnsi"/>
          <w:b w:val="0"/>
          <w:bCs w:val="0"/>
          <w:sz w:val="24"/>
          <w:szCs w:val="24"/>
          <w:shd w:val="clear" w:color="auto" w:fill="FFFFFF"/>
        </w:rPr>
        <w:t>746</w:t>
      </w:r>
      <w:r w:rsidRPr="00924288">
        <w:rPr>
          <w:rFonts w:asciiTheme="majorHAnsi" w:eastAsia="Times New Roman" w:hAnsiTheme="majorHAnsi" w:cstheme="majorHAnsi"/>
          <w:b w:val="0"/>
          <w:bCs w:val="0"/>
          <w:sz w:val="24"/>
          <w:szCs w:val="24"/>
          <w:shd w:val="clear" w:color="auto" w:fill="FFFFFF"/>
        </w:rPr>
        <w:t>/2020 cu privire la procedura de furnizare a informației</w:t>
      </w:r>
      <w:r w:rsidR="00FB4ED8" w:rsidRPr="00924288">
        <w:rPr>
          <w:rFonts w:asciiTheme="majorHAnsi" w:eastAsia="Times New Roman" w:hAnsiTheme="majorHAnsi" w:cstheme="majorHAnsi"/>
          <w:b w:val="0"/>
          <w:bCs w:val="0"/>
          <w:sz w:val="24"/>
          <w:szCs w:val="24"/>
          <w:shd w:val="clear" w:color="auto" w:fill="FFFFFF"/>
        </w:rPr>
        <w:t xml:space="preserve"> </w:t>
      </w:r>
      <w:r w:rsidRPr="00924288">
        <w:rPr>
          <w:rFonts w:asciiTheme="majorHAnsi" w:eastAsia="Times New Roman" w:hAnsiTheme="majorHAnsi" w:cstheme="majorHAnsi"/>
          <w:b w:val="0"/>
          <w:bCs w:val="0"/>
          <w:sz w:val="24"/>
          <w:szCs w:val="24"/>
          <w:shd w:val="clear" w:color="auto" w:fill="FFFFFF"/>
        </w:rPr>
        <w:t xml:space="preserve">privind amenzile contravenționale către </w:t>
      </w:r>
      <w:r w:rsidR="003970F9" w:rsidRPr="00924288">
        <w:rPr>
          <w:rFonts w:asciiTheme="majorHAnsi" w:eastAsia="Times New Roman" w:hAnsiTheme="majorHAnsi" w:cstheme="majorHAnsi"/>
          <w:b w:val="0"/>
          <w:bCs w:val="0"/>
          <w:sz w:val="24"/>
          <w:szCs w:val="24"/>
          <w:shd w:val="clear" w:color="auto" w:fill="FFFFFF"/>
        </w:rPr>
        <w:t>Serviciul Fiscal de Stat</w:t>
      </w:r>
      <w:r w:rsidRPr="00924288">
        <w:rPr>
          <w:rFonts w:asciiTheme="majorHAnsi" w:eastAsia="Times New Roman" w:hAnsiTheme="majorHAnsi" w:cstheme="majorHAnsi"/>
          <w:b w:val="0"/>
          <w:bCs w:val="0"/>
          <w:sz w:val="24"/>
          <w:szCs w:val="24"/>
          <w:shd w:val="clear" w:color="auto" w:fill="FFFFFF"/>
        </w:rPr>
        <w:t>, este</w:t>
      </w:r>
      <w:r w:rsidRPr="008376FC">
        <w:rPr>
          <w:rFonts w:asciiTheme="majorHAnsi" w:eastAsia="Times New Roman" w:hAnsiTheme="majorHAnsi" w:cstheme="majorHAnsi"/>
          <w:b w:val="0"/>
          <w:bCs w:val="0"/>
          <w:sz w:val="24"/>
          <w:szCs w:val="24"/>
          <w:shd w:val="clear" w:color="auto" w:fill="FFFFFF"/>
        </w:rPr>
        <w:t xml:space="preserve"> necesar de elaborat un mecanism corect de calculare a obligațiunilor față de buget ținând cont de specificul domeniului de contravenții și lipsa unor prevederi exhaustive cum are loc anularea obligațiunilor față de buget și în baza căror documente se va efectua anularea, </w:t>
      </w:r>
      <w:r w:rsidR="00A931BB">
        <w:rPr>
          <w:rFonts w:asciiTheme="majorHAnsi" w:eastAsia="Times New Roman" w:hAnsiTheme="majorHAnsi" w:cstheme="majorHAnsi"/>
          <w:b w:val="0"/>
          <w:bCs w:val="0"/>
          <w:sz w:val="24"/>
          <w:szCs w:val="24"/>
          <w:shd w:val="clear" w:color="auto" w:fill="FFFFFF"/>
        </w:rPr>
        <w:t>având în vedere</w:t>
      </w:r>
      <w:r w:rsidRPr="008376FC">
        <w:rPr>
          <w:rFonts w:asciiTheme="majorHAnsi" w:eastAsia="Times New Roman" w:hAnsiTheme="majorHAnsi" w:cstheme="majorHAnsi"/>
          <w:b w:val="0"/>
          <w:bCs w:val="0"/>
          <w:sz w:val="24"/>
          <w:szCs w:val="24"/>
          <w:shd w:val="clear" w:color="auto" w:fill="FFFFFF"/>
        </w:rPr>
        <w:t xml:space="preserve"> faptul că,  în cadrul IPM se aplică mai multe tipuri de anulări: (i) survenirea termenului de prescripție expirat (de </w:t>
      </w:r>
      <w:r w:rsidR="00E33260">
        <w:rPr>
          <w:rFonts w:asciiTheme="majorHAnsi" w:eastAsia="Times New Roman" w:hAnsiTheme="majorHAnsi" w:cstheme="majorHAnsi"/>
          <w:b w:val="0"/>
          <w:bCs w:val="0"/>
          <w:sz w:val="24"/>
          <w:szCs w:val="24"/>
          <w:shd w:val="clear" w:color="auto" w:fill="FFFFFF"/>
        </w:rPr>
        <w:t xml:space="preserve">3 </w:t>
      </w:r>
      <w:r w:rsidRPr="008376FC">
        <w:rPr>
          <w:rFonts w:asciiTheme="majorHAnsi" w:eastAsia="Times New Roman" w:hAnsiTheme="majorHAnsi" w:cstheme="majorHAnsi"/>
          <w:b w:val="0"/>
          <w:bCs w:val="0"/>
          <w:sz w:val="24"/>
          <w:szCs w:val="24"/>
          <w:shd w:val="clear" w:color="auto" w:fill="FFFFFF"/>
        </w:rPr>
        <w:t>an</w:t>
      </w:r>
      <w:r w:rsidR="00E33260">
        <w:rPr>
          <w:rFonts w:asciiTheme="majorHAnsi" w:eastAsia="Times New Roman" w:hAnsiTheme="majorHAnsi" w:cstheme="majorHAnsi"/>
          <w:b w:val="0"/>
          <w:bCs w:val="0"/>
          <w:sz w:val="24"/>
          <w:szCs w:val="24"/>
          <w:shd w:val="clear" w:color="auto" w:fill="FFFFFF"/>
        </w:rPr>
        <w:t>i</w:t>
      </w:r>
      <w:r w:rsidRPr="008376FC">
        <w:rPr>
          <w:rFonts w:asciiTheme="majorHAnsi" w:eastAsia="Times New Roman" w:hAnsiTheme="majorHAnsi" w:cstheme="majorHAnsi"/>
          <w:b w:val="0"/>
          <w:bCs w:val="0"/>
          <w:sz w:val="24"/>
          <w:szCs w:val="24"/>
          <w:shd w:val="clear" w:color="auto" w:fill="FFFFFF"/>
        </w:rPr>
        <w:t>), (ii) câștig de cauză în baza contestației depuse în instanțele judecătorești, (iii) substituirea contravenției cu munca neremunerată etc.  Aceste prevederi specifice urmează să fie incluse și în SIA unic al contravențiilor</w:t>
      </w:r>
      <w:r w:rsidR="00A931BB">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gestionat de MAI</w:t>
      </w:r>
      <w:r w:rsidR="00A931BB">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și în </w:t>
      </w:r>
      <w:r w:rsidR="00357E8E" w:rsidRPr="008376FC">
        <w:rPr>
          <w:rFonts w:asciiTheme="majorHAnsi" w:eastAsia="Times New Roman" w:hAnsiTheme="majorHAnsi" w:cstheme="majorHAnsi"/>
          <w:b w:val="0"/>
          <w:bCs w:val="0"/>
          <w:sz w:val="24"/>
          <w:szCs w:val="24"/>
          <w:shd w:val="clear" w:color="auto" w:fill="FFFFFF"/>
        </w:rPr>
        <w:t>s</w:t>
      </w:r>
      <w:r w:rsidRPr="008376FC">
        <w:rPr>
          <w:rFonts w:asciiTheme="majorHAnsi" w:eastAsia="Times New Roman" w:hAnsiTheme="majorHAnsi" w:cstheme="majorHAnsi"/>
          <w:b w:val="0"/>
          <w:bCs w:val="0"/>
          <w:sz w:val="24"/>
          <w:szCs w:val="24"/>
          <w:shd w:val="clear" w:color="auto" w:fill="FFFFFF"/>
        </w:rPr>
        <w:t xml:space="preserve">istemul SFS pentru administrarea corectă și conformă a obligațiunilor. Totodată, SIA unic pentru contravenții este destinat doar contravențiilor și la el urmează să se conecteze toți agenții constatatori incluși în Codul contravențional. În condițiile în care toate contravențiile vor fi supuse includerii în acest SIA, în afara digitalizării vor rămâne sumele calculate, achitate și anulate aferente prejudiciilor cauzate mediului. În acest sens, pentru a avea o abordare uniformă față de toate obligațiunile </w:t>
      </w:r>
      <w:r w:rsidR="00A931BB">
        <w:rPr>
          <w:rFonts w:asciiTheme="majorHAnsi" w:eastAsia="Times New Roman" w:hAnsiTheme="majorHAnsi" w:cstheme="majorHAnsi"/>
          <w:b w:val="0"/>
          <w:bCs w:val="0"/>
          <w:sz w:val="24"/>
          <w:szCs w:val="24"/>
          <w:shd w:val="clear" w:color="auto" w:fill="FFFFFF"/>
        </w:rPr>
        <w:t>la</w:t>
      </w:r>
      <w:r w:rsidRPr="008376FC">
        <w:rPr>
          <w:rFonts w:asciiTheme="majorHAnsi" w:eastAsia="Times New Roman" w:hAnsiTheme="majorHAnsi" w:cstheme="majorHAnsi"/>
          <w:b w:val="0"/>
          <w:bCs w:val="0"/>
          <w:sz w:val="24"/>
          <w:szCs w:val="24"/>
          <w:shd w:val="clear" w:color="auto" w:fill="FFFFFF"/>
        </w:rPr>
        <w:t xml:space="preserve"> buget, ar fi oportun ca acestea să facă parte din Sistemul unic pentru contravenții</w:t>
      </w:r>
      <w:r w:rsidR="00A931BB">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gestionat de MAI, și să fie parte componentă a schimbului de date între MAI și SFS. În acest sens</w:t>
      </w:r>
      <w:r w:rsidR="00A931BB">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urmează să fie ajustat Conceptul SIA unic centralizat al contravențiilor, inclusiv ținând cont de toate aspectele care diminuează obligațiunile față de BS, </w:t>
      </w:r>
      <w:r w:rsidR="00A931BB">
        <w:rPr>
          <w:rFonts w:asciiTheme="majorHAnsi" w:eastAsia="Times New Roman" w:hAnsiTheme="majorHAnsi" w:cstheme="majorHAnsi"/>
          <w:b w:val="0"/>
          <w:bCs w:val="0"/>
          <w:sz w:val="24"/>
          <w:szCs w:val="24"/>
          <w:shd w:val="clear" w:color="auto" w:fill="FFFFFF"/>
        </w:rPr>
        <w:t>mai ales</w:t>
      </w:r>
      <w:r w:rsidRPr="008376FC">
        <w:rPr>
          <w:rFonts w:asciiTheme="majorHAnsi" w:eastAsia="Times New Roman" w:hAnsiTheme="majorHAnsi" w:cstheme="majorHAnsi"/>
          <w:b w:val="0"/>
          <w:bCs w:val="0"/>
          <w:sz w:val="24"/>
          <w:szCs w:val="24"/>
          <w:shd w:val="clear" w:color="auto" w:fill="FFFFFF"/>
        </w:rPr>
        <w:t xml:space="preserve"> că termenul de prescripție pentru prejudicii este de 10 ani, </w:t>
      </w:r>
      <w:r w:rsidR="00A931BB">
        <w:rPr>
          <w:rFonts w:asciiTheme="majorHAnsi" w:eastAsia="Times New Roman" w:hAnsiTheme="majorHAnsi" w:cstheme="majorHAnsi"/>
          <w:b w:val="0"/>
          <w:bCs w:val="0"/>
          <w:sz w:val="24"/>
          <w:szCs w:val="24"/>
          <w:shd w:val="clear" w:color="auto" w:fill="FFFFFF"/>
        </w:rPr>
        <w:t xml:space="preserve">iar </w:t>
      </w:r>
      <w:r w:rsidRPr="008376FC">
        <w:rPr>
          <w:rFonts w:asciiTheme="majorHAnsi" w:eastAsia="Times New Roman" w:hAnsiTheme="majorHAnsi" w:cstheme="majorHAnsi"/>
          <w:b w:val="0"/>
          <w:bCs w:val="0"/>
          <w:sz w:val="24"/>
          <w:szCs w:val="24"/>
          <w:shd w:val="clear" w:color="auto" w:fill="FFFFFF"/>
        </w:rPr>
        <w:t>o parte din acestea sunt transmise în judecată și se află de mai mult timp în examinare și</w:t>
      </w:r>
      <w:r w:rsidR="00A931BB">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respectiv</w:t>
      </w:r>
      <w:r w:rsidR="00A931BB">
        <w:rPr>
          <w:rFonts w:asciiTheme="majorHAnsi" w:eastAsia="Times New Roman" w:hAnsiTheme="majorHAnsi" w:cstheme="majorHAnsi"/>
          <w:b w:val="0"/>
          <w:bCs w:val="0"/>
          <w:sz w:val="24"/>
          <w:szCs w:val="24"/>
          <w:shd w:val="clear" w:color="auto" w:fill="FFFFFF"/>
        </w:rPr>
        <w:t>,</w:t>
      </w:r>
      <w:r w:rsidRPr="008376FC">
        <w:rPr>
          <w:rFonts w:asciiTheme="majorHAnsi" w:eastAsia="Times New Roman" w:hAnsiTheme="majorHAnsi" w:cstheme="majorHAnsi"/>
          <w:b w:val="0"/>
          <w:bCs w:val="0"/>
          <w:sz w:val="24"/>
          <w:szCs w:val="24"/>
          <w:shd w:val="clear" w:color="auto" w:fill="FFFFFF"/>
        </w:rPr>
        <w:t xml:space="preserve"> vor reprezenta obligațiuni </w:t>
      </w:r>
      <w:r w:rsidR="00E33260">
        <w:rPr>
          <w:rFonts w:asciiTheme="majorHAnsi" w:eastAsia="Times New Roman" w:hAnsiTheme="majorHAnsi" w:cstheme="majorHAnsi"/>
          <w:b w:val="0"/>
          <w:bCs w:val="0"/>
          <w:sz w:val="24"/>
          <w:szCs w:val="24"/>
          <w:shd w:val="clear" w:color="auto" w:fill="FFFFFF"/>
        </w:rPr>
        <w:t>contingente</w:t>
      </w:r>
      <w:r w:rsidRPr="008376FC">
        <w:rPr>
          <w:rFonts w:asciiTheme="majorHAnsi" w:eastAsia="Times New Roman" w:hAnsiTheme="majorHAnsi" w:cstheme="majorHAnsi"/>
          <w:b w:val="0"/>
          <w:bCs w:val="0"/>
          <w:sz w:val="24"/>
          <w:szCs w:val="24"/>
          <w:shd w:val="clear" w:color="auto" w:fill="FFFFFF"/>
        </w:rPr>
        <w:t xml:space="preserve">, până când instanțele de judecată nu se vor expune cu privire la „încasarea prejudiciului” sau cererea de încasare va fi respinsă și atunci obligațiunea </w:t>
      </w:r>
      <w:r w:rsidR="00E33260">
        <w:rPr>
          <w:rFonts w:asciiTheme="majorHAnsi" w:eastAsia="Times New Roman" w:hAnsiTheme="majorHAnsi" w:cstheme="majorHAnsi"/>
          <w:b w:val="0"/>
          <w:bCs w:val="0"/>
          <w:sz w:val="24"/>
          <w:szCs w:val="24"/>
          <w:shd w:val="clear" w:color="auto" w:fill="FFFFFF"/>
        </w:rPr>
        <w:t>contingentă</w:t>
      </w:r>
      <w:r w:rsidR="00E33260" w:rsidRPr="008376FC">
        <w:rPr>
          <w:rFonts w:asciiTheme="majorHAnsi" w:eastAsia="Times New Roman" w:hAnsiTheme="majorHAnsi" w:cstheme="majorHAnsi"/>
          <w:b w:val="0"/>
          <w:bCs w:val="0"/>
          <w:sz w:val="24"/>
          <w:szCs w:val="24"/>
          <w:shd w:val="clear" w:color="auto" w:fill="FFFFFF"/>
        </w:rPr>
        <w:t xml:space="preserve"> </w:t>
      </w:r>
      <w:r w:rsidR="00E33260">
        <w:rPr>
          <w:rFonts w:asciiTheme="majorHAnsi" w:eastAsia="Times New Roman" w:hAnsiTheme="majorHAnsi" w:cstheme="majorHAnsi"/>
          <w:b w:val="0"/>
          <w:bCs w:val="0"/>
          <w:sz w:val="24"/>
          <w:szCs w:val="24"/>
          <w:shd w:val="clear" w:color="auto" w:fill="FFFFFF"/>
        </w:rPr>
        <w:t xml:space="preserve"> sau va deveni reală sau </w:t>
      </w:r>
      <w:r w:rsidRPr="008376FC">
        <w:rPr>
          <w:rFonts w:asciiTheme="majorHAnsi" w:eastAsia="Times New Roman" w:hAnsiTheme="majorHAnsi" w:cstheme="majorHAnsi"/>
          <w:b w:val="0"/>
          <w:bCs w:val="0"/>
          <w:sz w:val="24"/>
          <w:szCs w:val="24"/>
          <w:shd w:val="clear" w:color="auto" w:fill="FFFFFF"/>
        </w:rPr>
        <w:t>va fi supusă anulării.</w:t>
      </w:r>
    </w:p>
    <w:p w:rsidR="004B6B06" w:rsidRDefault="004B6B06" w:rsidP="00F61756">
      <w:pPr>
        <w:shd w:val="clear" w:color="auto" w:fill="FFFFFF"/>
        <w:spacing w:before="120" w:after="0" w:line="276" w:lineRule="auto"/>
        <w:ind w:firstLine="360"/>
        <w:jc w:val="both"/>
        <w:rPr>
          <w:rFonts w:asciiTheme="majorHAnsi" w:eastAsia="Times New Roman" w:hAnsiTheme="majorHAnsi" w:cstheme="majorHAnsi"/>
          <w:b w:val="0"/>
          <w:bCs w:val="0"/>
          <w:sz w:val="24"/>
          <w:szCs w:val="24"/>
          <w:shd w:val="clear" w:color="auto" w:fill="FFFFFF"/>
        </w:rPr>
      </w:pPr>
      <w:r w:rsidRPr="008376FC">
        <w:rPr>
          <w:rFonts w:asciiTheme="majorHAnsi" w:eastAsia="Times New Roman" w:hAnsiTheme="majorHAnsi" w:cstheme="majorHAnsi"/>
          <w:b w:val="0"/>
          <w:bCs w:val="0"/>
          <w:sz w:val="24"/>
          <w:szCs w:val="24"/>
          <w:shd w:val="clear" w:color="auto" w:fill="FFFFFF"/>
        </w:rPr>
        <w:t xml:space="preserve">În condițiile în care procesul de conectare </w:t>
      </w:r>
      <w:r w:rsidR="00A931BB">
        <w:rPr>
          <w:rFonts w:asciiTheme="majorHAnsi" w:eastAsia="Times New Roman" w:hAnsiTheme="majorHAnsi" w:cstheme="majorHAnsi"/>
          <w:b w:val="0"/>
          <w:bCs w:val="0"/>
          <w:sz w:val="24"/>
          <w:szCs w:val="24"/>
          <w:shd w:val="clear" w:color="auto" w:fill="FFFFFF"/>
        </w:rPr>
        <w:t>la</w:t>
      </w:r>
      <w:r w:rsidRPr="008376FC">
        <w:rPr>
          <w:rFonts w:asciiTheme="majorHAnsi" w:eastAsia="Times New Roman" w:hAnsiTheme="majorHAnsi" w:cstheme="majorHAnsi"/>
          <w:b w:val="0"/>
          <w:bCs w:val="0"/>
          <w:sz w:val="24"/>
          <w:szCs w:val="24"/>
          <w:shd w:val="clear" w:color="auto" w:fill="FFFFFF"/>
        </w:rPr>
        <w:t xml:space="preserve"> sistemul unic centralizat și </w:t>
      </w:r>
      <w:r w:rsidR="00197FAD" w:rsidRPr="008376FC">
        <w:rPr>
          <w:rFonts w:asciiTheme="majorHAnsi" w:eastAsia="Times New Roman" w:hAnsiTheme="majorHAnsi" w:cstheme="majorHAnsi"/>
          <w:b w:val="0"/>
          <w:bCs w:val="0"/>
          <w:sz w:val="24"/>
          <w:szCs w:val="24"/>
          <w:shd w:val="clear" w:color="auto" w:fill="FFFFFF"/>
        </w:rPr>
        <w:t>d</w:t>
      </w:r>
      <w:r w:rsidRPr="008376FC">
        <w:rPr>
          <w:rFonts w:asciiTheme="majorHAnsi" w:eastAsia="Times New Roman" w:hAnsiTheme="majorHAnsi" w:cstheme="majorHAnsi"/>
          <w:b w:val="0"/>
          <w:bCs w:val="0"/>
          <w:sz w:val="24"/>
          <w:szCs w:val="24"/>
          <w:shd w:val="clear" w:color="auto" w:fill="FFFFFF"/>
        </w:rPr>
        <w:t>e prelucrare a datelor va dura în timp, este necesar ca MF să elaboreze unele reguli provizorii și tranzitorii (circulară) pentru toți agenți</w:t>
      </w:r>
      <w:r w:rsidR="00A931BB">
        <w:rPr>
          <w:rFonts w:asciiTheme="majorHAnsi" w:eastAsia="Times New Roman" w:hAnsiTheme="majorHAnsi" w:cstheme="majorHAnsi"/>
          <w:b w:val="0"/>
          <w:bCs w:val="0"/>
          <w:sz w:val="24"/>
          <w:szCs w:val="24"/>
          <w:shd w:val="clear" w:color="auto" w:fill="FFFFFF"/>
        </w:rPr>
        <w:t>i</w:t>
      </w:r>
      <w:r w:rsidRPr="008376FC">
        <w:rPr>
          <w:rFonts w:asciiTheme="majorHAnsi" w:eastAsia="Times New Roman" w:hAnsiTheme="majorHAnsi" w:cstheme="majorHAnsi"/>
          <w:b w:val="0"/>
          <w:bCs w:val="0"/>
          <w:sz w:val="24"/>
          <w:szCs w:val="24"/>
          <w:shd w:val="clear" w:color="auto" w:fill="FFFFFF"/>
        </w:rPr>
        <w:t xml:space="preserve"> constatatori, care </w:t>
      </w:r>
      <w:r w:rsidR="00A931BB">
        <w:rPr>
          <w:rFonts w:asciiTheme="majorHAnsi" w:eastAsia="Times New Roman" w:hAnsiTheme="majorHAnsi" w:cstheme="majorHAnsi"/>
          <w:b w:val="0"/>
          <w:bCs w:val="0"/>
          <w:sz w:val="24"/>
          <w:szCs w:val="24"/>
          <w:shd w:val="clear" w:color="auto" w:fill="FFFFFF"/>
        </w:rPr>
        <w:t>vor</w:t>
      </w:r>
      <w:r w:rsidRPr="008376FC">
        <w:rPr>
          <w:rFonts w:asciiTheme="majorHAnsi" w:eastAsia="Times New Roman" w:hAnsiTheme="majorHAnsi" w:cstheme="majorHAnsi"/>
          <w:b w:val="0"/>
          <w:bCs w:val="0"/>
          <w:sz w:val="24"/>
          <w:szCs w:val="24"/>
          <w:shd w:val="clear" w:color="auto" w:fill="FFFFFF"/>
        </w:rPr>
        <w:t xml:space="preserve"> include cerințe exhaustive privind modul de organizare a evidenței obligațiunilor reale și contingente față de buget, reieșind din specificul fiecărei entități care exercită funcțiile de agent constatator, cu asigurarea contabilizării acestor obligațiuni și includerii valorii </w:t>
      </w:r>
      <w:r w:rsidR="00A931BB">
        <w:rPr>
          <w:rFonts w:asciiTheme="majorHAnsi" w:eastAsia="Times New Roman" w:hAnsiTheme="majorHAnsi" w:cstheme="majorHAnsi"/>
          <w:b w:val="0"/>
          <w:bCs w:val="0"/>
          <w:sz w:val="24"/>
          <w:szCs w:val="24"/>
          <w:shd w:val="clear" w:color="auto" w:fill="FFFFFF"/>
        </w:rPr>
        <w:t>lor</w:t>
      </w:r>
      <w:r w:rsidRPr="008376FC">
        <w:rPr>
          <w:rFonts w:asciiTheme="majorHAnsi" w:eastAsia="Times New Roman" w:hAnsiTheme="majorHAnsi" w:cstheme="majorHAnsi"/>
          <w:b w:val="0"/>
          <w:bCs w:val="0"/>
          <w:sz w:val="24"/>
          <w:szCs w:val="24"/>
          <w:shd w:val="clear" w:color="auto" w:fill="FFFFFF"/>
        </w:rPr>
        <w:t xml:space="preserve"> în obligațiunile totale față de BS, cu divizare în obligațiuni reale și obligațiuni contingente. Aplicarea mecanismului provizoriu va decade pe măsura conectării agenților constatatori la SIA unic al contravențiilor și preluarea administrării amenzilor și prejudiciilor de către SFS conform procedurii aprobate prin HG </w:t>
      </w:r>
      <w:r w:rsidR="00A931BB">
        <w:rPr>
          <w:rFonts w:asciiTheme="majorHAnsi" w:eastAsia="Times New Roman" w:hAnsiTheme="majorHAnsi" w:cstheme="majorHAnsi"/>
          <w:b w:val="0"/>
          <w:bCs w:val="0"/>
          <w:sz w:val="24"/>
          <w:szCs w:val="24"/>
          <w:shd w:val="clear" w:color="auto" w:fill="FFFFFF"/>
        </w:rPr>
        <w:t>nr.</w:t>
      </w:r>
      <w:r w:rsidRPr="008376FC">
        <w:rPr>
          <w:rFonts w:asciiTheme="majorHAnsi" w:eastAsia="Times New Roman" w:hAnsiTheme="majorHAnsi" w:cstheme="majorHAnsi"/>
          <w:b w:val="0"/>
          <w:bCs w:val="0"/>
          <w:sz w:val="24"/>
          <w:szCs w:val="24"/>
          <w:shd w:val="clear" w:color="auto" w:fill="FFFFFF"/>
        </w:rPr>
        <w:t xml:space="preserve">746/2020. </w:t>
      </w:r>
    </w:p>
    <w:p w:rsidR="0096170B" w:rsidRPr="008376FC" w:rsidRDefault="0096170B" w:rsidP="00F61756">
      <w:pPr>
        <w:pStyle w:val="1"/>
        <w:spacing w:line="276" w:lineRule="auto"/>
        <w:rPr>
          <w:rFonts w:cstheme="majorHAnsi"/>
          <w:color w:val="0070C0"/>
          <w:sz w:val="24"/>
          <w:szCs w:val="24"/>
        </w:rPr>
      </w:pPr>
      <w:bookmarkStart w:id="42" w:name="_Toc132042790"/>
      <w:bookmarkStart w:id="43" w:name="_Toc132320213"/>
      <w:r w:rsidRPr="008376FC">
        <w:rPr>
          <w:rFonts w:cstheme="majorHAnsi"/>
          <w:color w:val="0070C0"/>
          <w:sz w:val="24"/>
          <w:szCs w:val="24"/>
        </w:rPr>
        <w:t>V. ALTE CONSTATĂRI</w:t>
      </w:r>
      <w:bookmarkEnd w:id="42"/>
      <w:bookmarkEnd w:id="43"/>
    </w:p>
    <w:p w:rsidR="00124D8D" w:rsidRPr="008376FC" w:rsidRDefault="00124D8D" w:rsidP="00F61756">
      <w:pPr>
        <w:spacing w:after="0" w:line="276" w:lineRule="auto"/>
        <w:ind w:firstLine="720"/>
        <w:jc w:val="both"/>
        <w:rPr>
          <w:rFonts w:asciiTheme="majorHAnsi" w:hAnsiTheme="majorHAnsi" w:cstheme="majorHAnsi"/>
          <w:sz w:val="24"/>
          <w:szCs w:val="24"/>
        </w:rPr>
      </w:pPr>
    </w:p>
    <w:p w:rsidR="002F19FB" w:rsidRPr="008376FC" w:rsidRDefault="00124D8D" w:rsidP="00F61756">
      <w:pPr>
        <w:pStyle w:val="a3"/>
        <w:numPr>
          <w:ilvl w:val="1"/>
          <w:numId w:val="9"/>
        </w:numPr>
        <w:spacing w:line="276" w:lineRule="auto"/>
        <w:ind w:left="0" w:firstLine="0"/>
        <w:jc w:val="both"/>
        <w:rPr>
          <w:rFonts w:asciiTheme="majorHAnsi" w:hAnsiTheme="majorHAnsi" w:cstheme="majorHAnsi"/>
          <w:b/>
          <w:color w:val="0070C0"/>
          <w:lang w:val="en-US"/>
        </w:rPr>
      </w:pPr>
      <w:bookmarkStart w:id="44" w:name="_Toc132042791"/>
      <w:r w:rsidRPr="008376FC">
        <w:rPr>
          <w:rFonts w:asciiTheme="majorHAnsi" w:hAnsiTheme="majorHAnsi" w:cstheme="majorHAnsi"/>
          <w:b/>
          <w:color w:val="0070C0"/>
          <w:lang w:val="en-US"/>
        </w:rPr>
        <w:t>Bunele practici din domeniu</w:t>
      </w:r>
      <w:r w:rsidR="004B35C5">
        <w:rPr>
          <w:rFonts w:asciiTheme="majorHAnsi" w:hAnsiTheme="majorHAnsi" w:cstheme="majorHAnsi"/>
          <w:b/>
          <w:color w:val="0070C0"/>
          <w:lang w:val="en-US"/>
        </w:rPr>
        <w:t>l</w:t>
      </w:r>
      <w:r w:rsidR="00221614" w:rsidRPr="008376FC">
        <w:rPr>
          <w:rFonts w:asciiTheme="majorHAnsi" w:hAnsiTheme="majorHAnsi" w:cstheme="majorHAnsi"/>
          <w:b/>
          <w:color w:val="0070C0"/>
          <w:lang w:val="en-US"/>
        </w:rPr>
        <w:t xml:space="preserve"> alimentării cu apă și sanitație</w:t>
      </w:r>
      <w:r w:rsidR="004B35C5">
        <w:rPr>
          <w:rFonts w:asciiTheme="majorHAnsi" w:hAnsiTheme="majorHAnsi" w:cstheme="majorHAnsi"/>
          <w:b/>
          <w:color w:val="0070C0"/>
          <w:lang w:val="en-US"/>
        </w:rPr>
        <w:t>i</w:t>
      </w:r>
      <w:r w:rsidRPr="008376FC">
        <w:rPr>
          <w:rFonts w:asciiTheme="majorHAnsi" w:hAnsiTheme="majorHAnsi" w:cstheme="majorHAnsi"/>
          <w:b/>
          <w:color w:val="0070C0"/>
          <w:lang w:val="en-US"/>
        </w:rPr>
        <w:t xml:space="preserve"> ale altor ţări</w:t>
      </w:r>
      <w:bookmarkEnd w:id="44"/>
    </w:p>
    <w:p w:rsidR="001760F8" w:rsidRPr="008376FC" w:rsidRDefault="001760F8" w:rsidP="00F61756">
      <w:pPr>
        <w:spacing w:line="276" w:lineRule="auto"/>
        <w:jc w:val="both"/>
        <w:rPr>
          <w:rFonts w:asciiTheme="majorHAnsi" w:hAnsiTheme="majorHAnsi" w:cstheme="majorHAnsi"/>
          <w:sz w:val="24"/>
          <w:szCs w:val="24"/>
        </w:rPr>
      </w:pPr>
      <w:r w:rsidRPr="008376FC">
        <w:rPr>
          <w:rFonts w:asciiTheme="majorHAnsi" w:hAnsiTheme="majorHAnsi" w:cstheme="majorHAnsi"/>
          <w:sz w:val="24"/>
          <w:szCs w:val="24"/>
        </w:rPr>
        <w:t>Analiza practicilor altor ță</w:t>
      </w:r>
      <w:r w:rsidR="004B35C5">
        <w:rPr>
          <w:rFonts w:asciiTheme="majorHAnsi" w:hAnsiTheme="majorHAnsi" w:cstheme="majorHAnsi"/>
          <w:sz w:val="24"/>
          <w:szCs w:val="24"/>
        </w:rPr>
        <w:t>r</w:t>
      </w:r>
      <w:r w:rsidRPr="008376FC">
        <w:rPr>
          <w:rFonts w:asciiTheme="majorHAnsi" w:hAnsiTheme="majorHAnsi" w:cstheme="majorHAnsi"/>
          <w:sz w:val="24"/>
          <w:szCs w:val="24"/>
        </w:rPr>
        <w:t xml:space="preserve">i </w:t>
      </w:r>
      <w:r w:rsidR="004B35C5">
        <w:rPr>
          <w:rFonts w:asciiTheme="majorHAnsi" w:hAnsiTheme="majorHAnsi" w:cstheme="majorHAnsi"/>
          <w:sz w:val="24"/>
          <w:szCs w:val="24"/>
        </w:rPr>
        <w:t>privind</w:t>
      </w:r>
      <w:r w:rsidRPr="008376FC">
        <w:rPr>
          <w:rFonts w:asciiTheme="majorHAnsi" w:hAnsiTheme="majorHAnsi" w:cstheme="majorHAnsi"/>
          <w:sz w:val="24"/>
          <w:szCs w:val="24"/>
        </w:rPr>
        <w:t xml:space="preserve"> organiza</w:t>
      </w:r>
      <w:r w:rsidR="004B35C5">
        <w:rPr>
          <w:rFonts w:asciiTheme="majorHAnsi" w:hAnsiTheme="majorHAnsi" w:cstheme="majorHAnsi"/>
          <w:sz w:val="24"/>
          <w:szCs w:val="24"/>
        </w:rPr>
        <w:t>rea</w:t>
      </w:r>
      <w:r w:rsidRPr="008376FC">
        <w:rPr>
          <w:rFonts w:asciiTheme="majorHAnsi" w:hAnsiTheme="majorHAnsi" w:cstheme="majorHAnsi"/>
          <w:sz w:val="24"/>
          <w:szCs w:val="24"/>
        </w:rPr>
        <w:t xml:space="preserve"> serviciul</w:t>
      </w:r>
      <w:r w:rsidR="004B35C5">
        <w:rPr>
          <w:rFonts w:asciiTheme="majorHAnsi" w:hAnsiTheme="majorHAnsi" w:cstheme="majorHAnsi"/>
          <w:sz w:val="24"/>
          <w:szCs w:val="24"/>
        </w:rPr>
        <w:t>ui</w:t>
      </w:r>
      <w:r w:rsidRPr="008376FC">
        <w:rPr>
          <w:rFonts w:asciiTheme="majorHAnsi" w:hAnsiTheme="majorHAnsi" w:cstheme="majorHAnsi"/>
          <w:sz w:val="24"/>
          <w:szCs w:val="24"/>
        </w:rPr>
        <w:t xml:space="preserve"> de alimentare cu apă și sanitație rel</w:t>
      </w:r>
      <w:r w:rsidR="004B35C5">
        <w:rPr>
          <w:rFonts w:asciiTheme="majorHAnsi" w:hAnsiTheme="majorHAnsi" w:cstheme="majorHAnsi"/>
          <w:sz w:val="24"/>
          <w:szCs w:val="24"/>
        </w:rPr>
        <w:t>evă</w:t>
      </w:r>
      <w:r w:rsidRPr="008376FC">
        <w:rPr>
          <w:rFonts w:asciiTheme="majorHAnsi" w:hAnsiTheme="majorHAnsi" w:cstheme="majorHAnsi"/>
          <w:sz w:val="24"/>
          <w:szCs w:val="24"/>
        </w:rPr>
        <w:t xml:space="preserve"> următoarele. </w:t>
      </w:r>
    </w:p>
    <w:p w:rsidR="00221614" w:rsidRPr="008376FC" w:rsidRDefault="00124D8D" w:rsidP="00F61756">
      <w:pPr>
        <w:pStyle w:val="a3"/>
        <w:numPr>
          <w:ilvl w:val="0"/>
          <w:numId w:val="14"/>
        </w:numPr>
        <w:tabs>
          <w:tab w:val="left" w:pos="284"/>
        </w:tabs>
        <w:spacing w:line="276" w:lineRule="auto"/>
        <w:ind w:left="0" w:firstLine="0"/>
        <w:jc w:val="both"/>
        <w:rPr>
          <w:rFonts w:asciiTheme="majorHAnsi" w:hAnsiTheme="majorHAnsi" w:cstheme="majorHAnsi"/>
          <w:lang w:val="en-US"/>
        </w:rPr>
      </w:pPr>
      <w:r w:rsidRPr="008376FC">
        <w:rPr>
          <w:rFonts w:asciiTheme="majorHAnsi" w:hAnsiTheme="majorHAnsi" w:cstheme="majorHAnsi"/>
          <w:b/>
          <w:lang w:val="en-US"/>
        </w:rPr>
        <w:t>Structura organizațională și responsabilități</w:t>
      </w:r>
      <w:r w:rsidR="004B35C5">
        <w:rPr>
          <w:rFonts w:asciiTheme="majorHAnsi" w:hAnsiTheme="majorHAnsi" w:cstheme="majorHAnsi"/>
          <w:b/>
          <w:lang w:val="en-US"/>
        </w:rPr>
        <w:t>le</w:t>
      </w:r>
      <w:r w:rsidRPr="008376FC">
        <w:rPr>
          <w:rFonts w:asciiTheme="majorHAnsi" w:hAnsiTheme="majorHAnsi" w:cstheme="majorHAnsi"/>
          <w:b/>
          <w:lang w:val="en-US"/>
        </w:rPr>
        <w:t xml:space="preserve"> autorităților din Turcia în privința administrării infrastructurii de alimentare cu apă şi sanitație</w:t>
      </w:r>
    </w:p>
    <w:p w:rsidR="00124D8D" w:rsidRPr="008376FC" w:rsidRDefault="00124D8D" w:rsidP="00F61756">
      <w:pPr>
        <w:pStyle w:val="a3"/>
        <w:spacing w:line="276" w:lineRule="auto"/>
        <w:ind w:left="1440"/>
        <w:jc w:val="both"/>
        <w:rPr>
          <w:rFonts w:asciiTheme="majorHAnsi" w:hAnsiTheme="majorHAnsi" w:cstheme="majorHAnsi"/>
          <w:lang w:val="en-US"/>
        </w:rPr>
      </w:pPr>
      <w:r w:rsidRPr="008376FC">
        <w:rPr>
          <w:rFonts w:asciiTheme="majorHAnsi" w:hAnsiTheme="majorHAnsi" w:cstheme="majorHAnsi"/>
          <w:lang w:val="en-US"/>
        </w:rPr>
        <w:t xml:space="preserve"> </w:t>
      </w:r>
    </w:p>
    <w:p w:rsidR="00CB30D6" w:rsidRPr="008376FC" w:rsidRDefault="00221614" w:rsidP="00F61756">
      <w:pPr>
        <w:spacing w:after="0" w:line="276" w:lineRule="auto"/>
        <w:ind w:firstLine="720"/>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 xml:space="preserve">În Turcia, </w:t>
      </w:r>
      <w:r w:rsidR="00124D8D" w:rsidRPr="008376FC">
        <w:rPr>
          <w:rFonts w:asciiTheme="majorHAnsi" w:hAnsiTheme="majorHAnsi" w:cstheme="majorHAnsi"/>
          <w:b w:val="0"/>
          <w:bCs w:val="0"/>
          <w:sz w:val="24"/>
          <w:szCs w:val="24"/>
        </w:rPr>
        <w:t xml:space="preserve">administrarea infrastructurii de alimentare cu apă şi sanitație este </w:t>
      </w:r>
      <w:r w:rsidR="004B35C5">
        <w:rPr>
          <w:rFonts w:asciiTheme="majorHAnsi" w:hAnsiTheme="majorHAnsi" w:cstheme="majorHAnsi"/>
          <w:b w:val="0"/>
          <w:bCs w:val="0"/>
          <w:sz w:val="24"/>
          <w:szCs w:val="24"/>
        </w:rPr>
        <w:t>structurată</w:t>
      </w:r>
      <w:r w:rsidR="00124D8D" w:rsidRPr="008376FC">
        <w:rPr>
          <w:rFonts w:asciiTheme="majorHAnsi" w:hAnsiTheme="majorHAnsi" w:cstheme="majorHAnsi"/>
          <w:b w:val="0"/>
          <w:bCs w:val="0"/>
          <w:sz w:val="24"/>
          <w:szCs w:val="24"/>
        </w:rPr>
        <w:t xml:space="preserve"> în 3 nivel</w:t>
      </w:r>
      <w:r w:rsidR="004B35C5">
        <w:rPr>
          <w:rFonts w:asciiTheme="majorHAnsi" w:hAnsiTheme="majorHAnsi" w:cstheme="majorHAnsi"/>
          <w:b w:val="0"/>
          <w:bCs w:val="0"/>
          <w:sz w:val="24"/>
          <w:szCs w:val="24"/>
        </w:rPr>
        <w:t>uri</w:t>
      </w:r>
      <w:r w:rsidR="00124D8D" w:rsidRPr="008376FC">
        <w:rPr>
          <w:rFonts w:asciiTheme="majorHAnsi" w:hAnsiTheme="majorHAnsi" w:cstheme="majorHAnsi"/>
          <w:b w:val="0"/>
          <w:bCs w:val="0"/>
          <w:sz w:val="24"/>
          <w:szCs w:val="24"/>
        </w:rPr>
        <w:t>:</w:t>
      </w:r>
    </w:p>
    <w:p w:rsidR="00221614" w:rsidRPr="008376FC" w:rsidRDefault="00221614" w:rsidP="00F61756">
      <w:pPr>
        <w:spacing w:after="0" w:line="276" w:lineRule="auto"/>
        <w:ind w:firstLine="720"/>
        <w:jc w:val="right"/>
        <w:rPr>
          <w:rFonts w:asciiTheme="majorHAnsi" w:hAnsiTheme="majorHAnsi" w:cstheme="majorHAnsi"/>
          <w:bCs w:val="0"/>
          <w:sz w:val="20"/>
          <w:szCs w:val="20"/>
        </w:rPr>
      </w:pPr>
      <w:r w:rsidRPr="008376FC">
        <w:rPr>
          <w:rFonts w:asciiTheme="majorHAnsi" w:hAnsiTheme="majorHAnsi" w:cstheme="majorHAnsi"/>
          <w:bCs w:val="0"/>
          <w:sz w:val="20"/>
          <w:szCs w:val="20"/>
        </w:rPr>
        <w:t>Figura nr.4</w:t>
      </w:r>
      <w:r w:rsidR="00230129" w:rsidRPr="008376FC">
        <w:rPr>
          <w:rFonts w:asciiTheme="majorHAnsi" w:hAnsiTheme="majorHAnsi" w:cstheme="majorHAnsi"/>
          <w:bCs w:val="0"/>
          <w:sz w:val="20"/>
          <w:szCs w:val="20"/>
        </w:rPr>
        <w:t>7</w:t>
      </w:r>
    </w:p>
    <w:p w:rsidR="00124D8D" w:rsidRPr="008376FC" w:rsidRDefault="00124D8D" w:rsidP="00F61756">
      <w:pPr>
        <w:spacing w:after="0" w:line="276" w:lineRule="auto"/>
        <w:jc w:val="both"/>
        <w:rPr>
          <w:rFonts w:asciiTheme="majorHAnsi" w:hAnsiTheme="majorHAnsi" w:cstheme="majorHAnsi"/>
          <w:sz w:val="24"/>
          <w:szCs w:val="24"/>
          <w:lang w:val="en-US"/>
        </w:rPr>
      </w:pPr>
      <w:r w:rsidRPr="008376FC">
        <w:rPr>
          <w:rFonts w:asciiTheme="majorHAnsi" w:hAnsiTheme="majorHAnsi" w:cstheme="majorHAnsi"/>
          <w:noProof/>
          <w:sz w:val="24"/>
          <w:szCs w:val="24"/>
          <w:lang w:val="ru-RU" w:eastAsia="ru-RU"/>
        </w:rPr>
        <w:drawing>
          <wp:inline distT="0" distB="0" distL="0" distR="0">
            <wp:extent cx="6008077" cy="2084705"/>
            <wp:effectExtent l="0" t="0" r="0" b="10795"/>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0" r:lo="rId91" r:qs="rId92" r:cs="rId93"/>
              </a:graphicData>
            </a:graphic>
          </wp:inline>
        </w:drawing>
      </w:r>
    </w:p>
    <w:p w:rsidR="00221614" w:rsidRPr="008376FC" w:rsidRDefault="00221614" w:rsidP="00F61756">
      <w:pPr>
        <w:spacing w:after="0" w:line="276" w:lineRule="auto"/>
        <w:ind w:firstLine="720"/>
        <w:jc w:val="both"/>
        <w:rPr>
          <w:rFonts w:asciiTheme="majorHAnsi" w:hAnsiTheme="majorHAnsi" w:cstheme="majorHAnsi"/>
          <w:sz w:val="24"/>
          <w:szCs w:val="24"/>
        </w:rPr>
      </w:pPr>
    </w:p>
    <w:p w:rsidR="00124D8D" w:rsidRPr="008376FC" w:rsidRDefault="00707B9C" w:rsidP="00F61756">
      <w:pPr>
        <w:pStyle w:val="a3"/>
        <w:spacing w:line="276" w:lineRule="auto"/>
        <w:ind w:left="0"/>
        <w:jc w:val="both"/>
        <w:rPr>
          <w:rFonts w:asciiTheme="majorHAnsi" w:hAnsiTheme="majorHAnsi" w:cstheme="majorHAnsi"/>
          <w:lang w:val="en-US"/>
        </w:rPr>
      </w:pPr>
      <w:r w:rsidRPr="008376FC">
        <w:rPr>
          <w:rFonts w:asciiTheme="majorHAnsi" w:hAnsiTheme="majorHAnsi" w:cstheme="majorHAnsi"/>
          <w:b/>
          <w:lang w:val="en-US"/>
        </w:rPr>
        <w:t xml:space="preserve">Nivelul I - </w:t>
      </w:r>
      <w:r w:rsidR="00124D8D" w:rsidRPr="008376FC">
        <w:rPr>
          <w:rFonts w:asciiTheme="majorHAnsi" w:hAnsiTheme="majorHAnsi" w:cstheme="majorHAnsi"/>
          <w:b/>
          <w:lang w:val="en-US"/>
        </w:rPr>
        <w:t xml:space="preserve">nivel </w:t>
      </w:r>
      <w:r w:rsidR="00124D8D" w:rsidRPr="008376FC">
        <w:rPr>
          <w:rFonts w:asciiTheme="majorHAnsi" w:hAnsiTheme="majorHAnsi"/>
          <w:b/>
          <w:lang w:val="en-US"/>
        </w:rPr>
        <w:t>național:</w:t>
      </w:r>
      <w:r w:rsidR="002874D6">
        <w:rPr>
          <w:rStyle w:val="Bodytext20"/>
          <w:rFonts w:asciiTheme="majorHAnsi" w:eastAsiaTheme="minorHAnsi" w:hAnsiTheme="majorHAnsi" w:cstheme="majorHAnsi"/>
          <w:color w:val="auto"/>
          <w:sz w:val="24"/>
          <w:szCs w:val="24"/>
        </w:rPr>
        <w:t xml:space="preserve"> </w:t>
      </w:r>
      <w:r w:rsidR="00124D8D" w:rsidRPr="008376FC">
        <w:rPr>
          <w:rFonts w:asciiTheme="majorHAnsi" w:hAnsiTheme="majorHAnsi" w:cstheme="majorHAnsi"/>
          <w:lang w:val="en-US"/>
        </w:rPr>
        <w:t>Ministerul Aprovizionării cu Apă și Canalizare (MAAC) este autoritatea centrală de gestionare a SAAS, fiind responsabil pentru:</w:t>
      </w:r>
    </w:p>
    <w:p w:rsidR="00124D8D" w:rsidRPr="008376FC" w:rsidRDefault="00124D8D" w:rsidP="00F61756">
      <w:pPr>
        <w:widowControl w:val="0"/>
        <w:numPr>
          <w:ilvl w:val="0"/>
          <w:numId w:val="21"/>
        </w:numPr>
        <w:tabs>
          <w:tab w:val="left" w:pos="993"/>
        </w:tabs>
        <w:spacing w:after="0" w:line="276" w:lineRule="auto"/>
        <w:ind w:left="0"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emiterea de politici și ghiduri privind sistemul de aprovizionare și calitatea apei;</w:t>
      </w:r>
    </w:p>
    <w:p w:rsidR="00124D8D" w:rsidRPr="008376FC" w:rsidRDefault="00124D8D" w:rsidP="00F61756">
      <w:pPr>
        <w:widowControl w:val="0"/>
        <w:numPr>
          <w:ilvl w:val="0"/>
          <w:numId w:val="21"/>
        </w:numPr>
        <w:tabs>
          <w:tab w:val="left" w:pos="993"/>
        </w:tabs>
        <w:spacing w:after="0" w:line="276" w:lineRule="auto"/>
        <w:ind w:left="0"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aprobarea schemelor de alimentare cu apă și a activităților de tratare a apei în baza planurilor anuale ale autorităților teritoriale de apă și debursarea de fonduri pentru acestea către autoritățil</w:t>
      </w:r>
      <w:r w:rsidR="002874D6">
        <w:rPr>
          <w:rFonts w:asciiTheme="majorHAnsi" w:hAnsiTheme="majorHAnsi" w:cstheme="majorHAnsi"/>
          <w:b w:val="0"/>
          <w:bCs w:val="0"/>
          <w:sz w:val="24"/>
          <w:szCs w:val="24"/>
        </w:rPr>
        <w:t>e</w:t>
      </w:r>
      <w:r w:rsidRPr="008376FC">
        <w:rPr>
          <w:rFonts w:asciiTheme="majorHAnsi" w:hAnsiTheme="majorHAnsi" w:cstheme="majorHAnsi"/>
          <w:b w:val="0"/>
          <w:bCs w:val="0"/>
          <w:sz w:val="24"/>
          <w:szCs w:val="24"/>
        </w:rPr>
        <w:t xml:space="preserve"> teritoriale de apă și autoritățile rurale;</w:t>
      </w:r>
    </w:p>
    <w:p w:rsidR="00124D8D" w:rsidRPr="008376FC" w:rsidRDefault="00124D8D" w:rsidP="00F61756">
      <w:pPr>
        <w:widowControl w:val="0"/>
        <w:numPr>
          <w:ilvl w:val="0"/>
          <w:numId w:val="21"/>
        </w:numPr>
        <w:tabs>
          <w:tab w:val="left" w:pos="993"/>
        </w:tabs>
        <w:spacing w:after="0" w:line="276" w:lineRule="auto"/>
        <w:ind w:left="0"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menținerea unui sistem informațional centralizat de date geo-hidrologice, financiare și operaționale aferente schemei;</w:t>
      </w:r>
    </w:p>
    <w:p w:rsidR="00124D8D" w:rsidRPr="008376FC" w:rsidRDefault="00124D8D" w:rsidP="00F61756">
      <w:pPr>
        <w:widowControl w:val="0"/>
        <w:numPr>
          <w:ilvl w:val="0"/>
          <w:numId w:val="21"/>
        </w:numPr>
        <w:tabs>
          <w:tab w:val="left" w:pos="993"/>
        </w:tabs>
        <w:spacing w:after="0" w:line="276" w:lineRule="auto"/>
        <w:ind w:left="0"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stabilirea unui mecanism de soluționare a reclamațiilor;</w:t>
      </w:r>
    </w:p>
    <w:p w:rsidR="00124D8D" w:rsidRPr="008376FC" w:rsidRDefault="00124D8D" w:rsidP="00F61756">
      <w:pPr>
        <w:widowControl w:val="0"/>
        <w:numPr>
          <w:ilvl w:val="0"/>
          <w:numId w:val="21"/>
        </w:numPr>
        <w:tabs>
          <w:tab w:val="left" w:pos="993"/>
        </w:tabs>
        <w:spacing w:after="0" w:line="276" w:lineRule="auto"/>
        <w:ind w:left="0"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monitorizarea și evaluarea funcționării infrastructurii de alimentare cu apă şi sanitaţie</w:t>
      </w:r>
      <w:r w:rsidR="002874D6">
        <w:rPr>
          <w:rFonts w:asciiTheme="majorHAnsi" w:hAnsiTheme="majorHAnsi" w:cstheme="majorHAnsi"/>
          <w:b w:val="0"/>
          <w:bCs w:val="0"/>
          <w:sz w:val="24"/>
          <w:szCs w:val="24"/>
        </w:rPr>
        <w:t>;</w:t>
      </w:r>
    </w:p>
    <w:p w:rsidR="00124D8D" w:rsidRPr="008376FC" w:rsidRDefault="00124D8D" w:rsidP="00F61756">
      <w:pPr>
        <w:spacing w:after="0" w:line="276" w:lineRule="auto"/>
        <w:ind w:firstLine="720"/>
        <w:jc w:val="both"/>
        <w:rPr>
          <w:rStyle w:val="Bodytext2Bold"/>
          <w:rFonts w:asciiTheme="majorHAnsi" w:eastAsiaTheme="minorHAnsi" w:hAnsiTheme="majorHAnsi" w:cstheme="majorHAnsi"/>
          <w:color w:val="auto"/>
          <w:sz w:val="24"/>
          <w:szCs w:val="24"/>
        </w:rPr>
      </w:pPr>
    </w:p>
    <w:p w:rsidR="00124D8D" w:rsidRPr="008376FC" w:rsidRDefault="00707B9C" w:rsidP="00F61756">
      <w:pPr>
        <w:spacing w:after="0" w:line="276" w:lineRule="auto"/>
        <w:jc w:val="both"/>
        <w:rPr>
          <w:rFonts w:asciiTheme="majorHAnsi" w:hAnsiTheme="majorHAnsi" w:cstheme="majorHAnsi"/>
          <w:b w:val="0"/>
          <w:bCs w:val="0"/>
          <w:sz w:val="24"/>
          <w:szCs w:val="24"/>
        </w:rPr>
      </w:pPr>
      <w:r w:rsidRPr="008376FC">
        <w:rPr>
          <w:rStyle w:val="Bodytext2Bold"/>
          <w:rFonts w:asciiTheme="majorHAnsi" w:eastAsiaTheme="minorHAnsi" w:hAnsiTheme="majorHAnsi" w:cstheme="majorHAnsi"/>
          <w:b/>
          <w:bCs/>
          <w:color w:val="auto"/>
          <w:sz w:val="24"/>
          <w:szCs w:val="24"/>
        </w:rPr>
        <w:t xml:space="preserve">Nivelul II  - </w:t>
      </w:r>
      <w:r w:rsidR="00124D8D" w:rsidRPr="008376FC">
        <w:rPr>
          <w:rStyle w:val="Bodytext2Bold"/>
          <w:rFonts w:asciiTheme="majorHAnsi" w:eastAsiaTheme="minorHAnsi" w:hAnsiTheme="majorHAnsi" w:cstheme="majorHAnsi"/>
          <w:b/>
          <w:bCs/>
          <w:color w:val="auto"/>
          <w:sz w:val="24"/>
          <w:szCs w:val="24"/>
        </w:rPr>
        <w:t xml:space="preserve"> nivel </w:t>
      </w:r>
      <w:r w:rsidR="00124D8D" w:rsidRPr="008376FC">
        <w:rPr>
          <w:rFonts w:asciiTheme="majorHAnsi" w:hAnsiTheme="majorHAnsi" w:cstheme="majorHAnsi"/>
          <w:bCs w:val="0"/>
          <w:sz w:val="24"/>
          <w:szCs w:val="24"/>
        </w:rPr>
        <w:t>regi</w:t>
      </w:r>
      <w:r w:rsidR="002874D6">
        <w:rPr>
          <w:rFonts w:asciiTheme="majorHAnsi" w:hAnsiTheme="majorHAnsi" w:cstheme="majorHAnsi"/>
          <w:bCs w:val="0"/>
          <w:sz w:val="24"/>
          <w:szCs w:val="24"/>
        </w:rPr>
        <w:t>onal</w:t>
      </w:r>
      <w:r w:rsidR="00124D8D" w:rsidRPr="008376FC">
        <w:rPr>
          <w:rStyle w:val="Bodytext2Bold"/>
          <w:rFonts w:asciiTheme="majorHAnsi" w:eastAsiaTheme="minorHAnsi" w:hAnsiTheme="majorHAnsi" w:cstheme="majorHAnsi"/>
          <w:bCs/>
          <w:color w:val="auto"/>
          <w:sz w:val="24"/>
          <w:szCs w:val="24"/>
        </w:rPr>
        <w:t>:</w:t>
      </w:r>
      <w:r w:rsidR="00124D8D" w:rsidRPr="008376FC">
        <w:rPr>
          <w:rStyle w:val="Bodytext2Bold"/>
          <w:rFonts w:asciiTheme="majorHAnsi" w:eastAsiaTheme="minorHAnsi" w:hAnsiTheme="majorHAnsi" w:cstheme="majorHAnsi"/>
          <w:color w:val="auto"/>
          <w:sz w:val="24"/>
          <w:szCs w:val="24"/>
        </w:rPr>
        <w:t xml:space="preserve"> </w:t>
      </w:r>
      <w:r w:rsidR="00124D8D" w:rsidRPr="008376FC">
        <w:rPr>
          <w:rFonts w:asciiTheme="majorHAnsi" w:hAnsiTheme="majorHAnsi" w:cstheme="majorHAnsi"/>
          <w:b w:val="0"/>
          <w:bCs w:val="0"/>
          <w:sz w:val="24"/>
          <w:szCs w:val="24"/>
        </w:rPr>
        <w:t>autoritățile regionale de apă operează la nivel de district în fiecare dintre cele nouă district</w:t>
      </w:r>
      <w:r w:rsidR="00E9306D" w:rsidRPr="008376FC">
        <w:rPr>
          <w:rFonts w:asciiTheme="majorHAnsi" w:hAnsiTheme="majorHAnsi" w:cstheme="majorHAnsi"/>
          <w:b w:val="0"/>
          <w:bCs w:val="0"/>
          <w:sz w:val="24"/>
          <w:szCs w:val="24"/>
        </w:rPr>
        <w:t xml:space="preserve">e, </w:t>
      </w:r>
      <w:r w:rsidR="00124D8D" w:rsidRPr="008376FC">
        <w:rPr>
          <w:rFonts w:asciiTheme="majorHAnsi" w:hAnsiTheme="majorHAnsi" w:cstheme="majorHAnsi"/>
          <w:b w:val="0"/>
          <w:bCs w:val="0"/>
          <w:sz w:val="24"/>
          <w:szCs w:val="24"/>
        </w:rPr>
        <w:t>fiind responsabile pentru:</w:t>
      </w:r>
    </w:p>
    <w:p w:rsidR="00124D8D" w:rsidRPr="008376FC" w:rsidRDefault="00124D8D" w:rsidP="00F61756">
      <w:pPr>
        <w:widowControl w:val="0"/>
        <w:numPr>
          <w:ilvl w:val="0"/>
          <w:numId w:val="21"/>
        </w:numPr>
        <w:tabs>
          <w:tab w:val="left" w:pos="993"/>
        </w:tabs>
        <w:spacing w:after="0" w:line="276" w:lineRule="auto"/>
        <w:ind w:left="0"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întocmirea planului anual al regiunii;</w:t>
      </w:r>
    </w:p>
    <w:p w:rsidR="00124D8D" w:rsidRPr="008376FC" w:rsidRDefault="00124D8D" w:rsidP="00F61756">
      <w:pPr>
        <w:widowControl w:val="0"/>
        <w:numPr>
          <w:ilvl w:val="0"/>
          <w:numId w:val="21"/>
        </w:numPr>
        <w:tabs>
          <w:tab w:val="left" w:pos="993"/>
        </w:tabs>
        <w:spacing w:after="0" w:line="276" w:lineRule="auto"/>
        <w:ind w:left="0"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organizarea, exploatarea și menținerea sistemelor regionale de aprovizionare cu apă;</w:t>
      </w:r>
    </w:p>
    <w:p w:rsidR="00124D8D" w:rsidRPr="008376FC" w:rsidRDefault="00124D8D" w:rsidP="00F61756">
      <w:pPr>
        <w:widowControl w:val="0"/>
        <w:numPr>
          <w:ilvl w:val="0"/>
          <w:numId w:val="21"/>
        </w:numPr>
        <w:tabs>
          <w:tab w:val="left" w:pos="993"/>
        </w:tabs>
        <w:spacing w:after="0" w:line="276" w:lineRule="auto"/>
        <w:ind w:left="0"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 xml:space="preserve">desfășurarea instruirilor și </w:t>
      </w:r>
      <w:r w:rsidR="002874D6">
        <w:rPr>
          <w:rFonts w:asciiTheme="majorHAnsi" w:hAnsiTheme="majorHAnsi" w:cstheme="majorHAnsi"/>
          <w:b w:val="0"/>
          <w:bCs w:val="0"/>
          <w:sz w:val="24"/>
          <w:szCs w:val="24"/>
        </w:rPr>
        <w:t xml:space="preserve">acordarea </w:t>
      </w:r>
      <w:r w:rsidRPr="008376FC">
        <w:rPr>
          <w:rFonts w:asciiTheme="majorHAnsi" w:hAnsiTheme="majorHAnsi" w:cstheme="majorHAnsi"/>
          <w:b w:val="0"/>
          <w:bCs w:val="0"/>
          <w:sz w:val="24"/>
          <w:szCs w:val="24"/>
        </w:rPr>
        <w:t>asistenț</w:t>
      </w:r>
      <w:r w:rsidR="002874D6">
        <w:rPr>
          <w:rFonts w:asciiTheme="majorHAnsi" w:hAnsiTheme="majorHAnsi" w:cstheme="majorHAnsi"/>
          <w:b w:val="0"/>
          <w:bCs w:val="0"/>
          <w:sz w:val="24"/>
          <w:szCs w:val="24"/>
        </w:rPr>
        <w:t>ei</w:t>
      </w:r>
      <w:r w:rsidRPr="008376FC">
        <w:rPr>
          <w:rFonts w:asciiTheme="majorHAnsi" w:hAnsiTheme="majorHAnsi" w:cstheme="majorHAnsi"/>
          <w:b w:val="0"/>
          <w:bCs w:val="0"/>
          <w:sz w:val="24"/>
          <w:szCs w:val="24"/>
        </w:rPr>
        <w:t xml:space="preserve"> tehnic</w:t>
      </w:r>
      <w:r w:rsidR="002874D6">
        <w:rPr>
          <w:rFonts w:asciiTheme="majorHAnsi" w:hAnsiTheme="majorHAnsi" w:cstheme="majorHAnsi"/>
          <w:b w:val="0"/>
          <w:bCs w:val="0"/>
          <w:sz w:val="24"/>
          <w:szCs w:val="24"/>
        </w:rPr>
        <w:t>e</w:t>
      </w:r>
      <w:r w:rsidRPr="008376FC">
        <w:rPr>
          <w:rFonts w:asciiTheme="majorHAnsi" w:hAnsiTheme="majorHAnsi" w:cstheme="majorHAnsi"/>
          <w:b w:val="0"/>
          <w:bCs w:val="0"/>
          <w:sz w:val="24"/>
          <w:szCs w:val="24"/>
        </w:rPr>
        <w:t xml:space="preserve"> structurilor rurale, </w:t>
      </w:r>
      <w:r w:rsidR="002C4724">
        <w:rPr>
          <w:rFonts w:asciiTheme="majorHAnsi" w:hAnsiTheme="majorHAnsi" w:cstheme="majorHAnsi"/>
          <w:b w:val="0"/>
          <w:bCs w:val="0"/>
          <w:sz w:val="24"/>
          <w:szCs w:val="24"/>
        </w:rPr>
        <w:t>c</w:t>
      </w:r>
      <w:r w:rsidRPr="008376FC">
        <w:rPr>
          <w:rFonts w:asciiTheme="majorHAnsi" w:hAnsiTheme="majorHAnsi" w:cstheme="majorHAnsi"/>
          <w:b w:val="0"/>
          <w:bCs w:val="0"/>
          <w:sz w:val="24"/>
          <w:szCs w:val="24"/>
        </w:rPr>
        <w:t>omitetelor rurale de apă și canalizare pentru testarea apei, exploatarea și întreținerea activelor de alimentare și tratare a apei;</w:t>
      </w:r>
    </w:p>
    <w:p w:rsidR="00124D8D" w:rsidRPr="008376FC" w:rsidRDefault="00124D8D" w:rsidP="00F61756">
      <w:pPr>
        <w:widowControl w:val="0"/>
        <w:numPr>
          <w:ilvl w:val="0"/>
          <w:numId w:val="21"/>
        </w:numPr>
        <w:tabs>
          <w:tab w:val="left" w:pos="993"/>
        </w:tabs>
        <w:spacing w:after="0" w:line="276" w:lineRule="auto"/>
        <w:ind w:left="0"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colectarea taxelor pentru apă, gestionarea veniturilor și cheltuielilor;</w:t>
      </w:r>
    </w:p>
    <w:p w:rsidR="00124D8D" w:rsidRPr="008376FC" w:rsidRDefault="00124D8D" w:rsidP="00F61756">
      <w:pPr>
        <w:widowControl w:val="0"/>
        <w:numPr>
          <w:ilvl w:val="0"/>
          <w:numId w:val="21"/>
        </w:numPr>
        <w:tabs>
          <w:tab w:val="left" w:pos="993"/>
        </w:tabs>
        <w:spacing w:after="0" w:line="276" w:lineRule="auto"/>
        <w:ind w:left="0"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coordonarea serviciil</w:t>
      </w:r>
      <w:r w:rsidR="002874D6">
        <w:rPr>
          <w:rFonts w:asciiTheme="majorHAnsi" w:hAnsiTheme="majorHAnsi" w:cstheme="majorHAnsi"/>
          <w:b w:val="0"/>
          <w:bCs w:val="0"/>
          <w:sz w:val="24"/>
          <w:szCs w:val="24"/>
        </w:rPr>
        <w:t>or</w:t>
      </w:r>
      <w:r w:rsidRPr="008376FC">
        <w:rPr>
          <w:rFonts w:asciiTheme="majorHAnsi" w:hAnsiTheme="majorHAnsi" w:cstheme="majorHAnsi"/>
          <w:b w:val="0"/>
          <w:bCs w:val="0"/>
          <w:sz w:val="24"/>
          <w:szCs w:val="24"/>
        </w:rPr>
        <w:t xml:space="preserve"> de canalizare, laboratoarel</w:t>
      </w:r>
      <w:r w:rsidR="002874D6">
        <w:rPr>
          <w:rFonts w:asciiTheme="majorHAnsi" w:hAnsiTheme="majorHAnsi" w:cstheme="majorHAnsi"/>
          <w:b w:val="0"/>
          <w:bCs w:val="0"/>
          <w:sz w:val="24"/>
          <w:szCs w:val="24"/>
        </w:rPr>
        <w:t>or</w:t>
      </w:r>
      <w:r w:rsidRPr="008376FC">
        <w:rPr>
          <w:rFonts w:asciiTheme="majorHAnsi" w:hAnsiTheme="majorHAnsi" w:cstheme="majorHAnsi"/>
          <w:b w:val="0"/>
          <w:bCs w:val="0"/>
          <w:sz w:val="24"/>
          <w:szCs w:val="24"/>
        </w:rPr>
        <w:t xml:space="preserve"> de testare a apei și alt</w:t>
      </w:r>
      <w:r w:rsidR="002874D6">
        <w:rPr>
          <w:rFonts w:asciiTheme="majorHAnsi" w:hAnsiTheme="majorHAnsi" w:cstheme="majorHAnsi"/>
          <w:b w:val="0"/>
          <w:bCs w:val="0"/>
          <w:sz w:val="24"/>
          <w:szCs w:val="24"/>
        </w:rPr>
        <w:t>or</w:t>
      </w:r>
      <w:r w:rsidRPr="008376FC">
        <w:rPr>
          <w:rFonts w:asciiTheme="majorHAnsi" w:hAnsiTheme="majorHAnsi" w:cstheme="majorHAnsi"/>
          <w:b w:val="0"/>
          <w:bCs w:val="0"/>
          <w:sz w:val="24"/>
          <w:szCs w:val="24"/>
        </w:rPr>
        <w:t xml:space="preserve"> agenții în scopul colectării pentru analize în detaliu a apei contaminate</w:t>
      </w:r>
      <w:r w:rsidR="002874D6">
        <w:rPr>
          <w:rFonts w:asciiTheme="majorHAnsi" w:hAnsiTheme="majorHAnsi" w:cstheme="majorHAnsi"/>
          <w:b w:val="0"/>
          <w:bCs w:val="0"/>
          <w:sz w:val="24"/>
          <w:szCs w:val="24"/>
        </w:rPr>
        <w:t>;</w:t>
      </w:r>
    </w:p>
    <w:p w:rsidR="00124D8D" w:rsidRPr="008376FC" w:rsidRDefault="00124D8D" w:rsidP="00F61756">
      <w:pPr>
        <w:spacing w:after="0" w:line="276" w:lineRule="auto"/>
        <w:ind w:firstLine="720"/>
        <w:jc w:val="both"/>
        <w:rPr>
          <w:rFonts w:asciiTheme="majorHAnsi" w:hAnsiTheme="majorHAnsi" w:cstheme="majorHAnsi"/>
          <w:b w:val="0"/>
          <w:bCs w:val="0"/>
          <w:sz w:val="24"/>
          <w:szCs w:val="24"/>
        </w:rPr>
      </w:pPr>
    </w:p>
    <w:p w:rsidR="00124D8D" w:rsidRPr="008376FC" w:rsidRDefault="00707B9C" w:rsidP="00F61756">
      <w:pPr>
        <w:spacing w:after="0" w:line="276" w:lineRule="auto"/>
        <w:jc w:val="both"/>
        <w:rPr>
          <w:rStyle w:val="Bodytext2Bold"/>
          <w:rFonts w:asciiTheme="majorHAnsi" w:eastAsiaTheme="minorHAnsi" w:hAnsiTheme="majorHAnsi" w:cstheme="majorHAnsi"/>
          <w:color w:val="auto"/>
          <w:sz w:val="24"/>
          <w:szCs w:val="24"/>
        </w:rPr>
      </w:pPr>
      <w:r w:rsidRPr="008376FC">
        <w:rPr>
          <w:rStyle w:val="Bodytext2Bold"/>
          <w:rFonts w:asciiTheme="majorHAnsi" w:eastAsiaTheme="minorHAnsi" w:hAnsiTheme="majorHAnsi" w:cstheme="majorHAnsi"/>
          <w:b/>
          <w:bCs/>
          <w:color w:val="auto"/>
          <w:sz w:val="24"/>
          <w:szCs w:val="24"/>
        </w:rPr>
        <w:t xml:space="preserve">Nivelul III - </w:t>
      </w:r>
      <w:r w:rsidR="002874D6">
        <w:rPr>
          <w:rStyle w:val="Bodytext2Bold"/>
          <w:rFonts w:asciiTheme="majorHAnsi" w:eastAsiaTheme="minorHAnsi" w:hAnsiTheme="majorHAnsi" w:cstheme="majorHAnsi"/>
          <w:b/>
          <w:bCs/>
          <w:color w:val="auto"/>
          <w:sz w:val="24"/>
          <w:szCs w:val="24"/>
        </w:rPr>
        <w:t>n</w:t>
      </w:r>
      <w:r w:rsidR="00124D8D" w:rsidRPr="008376FC">
        <w:rPr>
          <w:rStyle w:val="Bodytext2Bold"/>
          <w:rFonts w:asciiTheme="majorHAnsi" w:eastAsiaTheme="minorHAnsi" w:hAnsiTheme="majorHAnsi" w:cstheme="majorHAnsi"/>
          <w:b/>
          <w:bCs/>
          <w:color w:val="auto"/>
          <w:sz w:val="24"/>
          <w:szCs w:val="24"/>
        </w:rPr>
        <w:t>ivel rural:</w:t>
      </w:r>
      <w:r w:rsidR="00124D8D" w:rsidRPr="008376FC">
        <w:rPr>
          <w:rStyle w:val="Bodytext2Bold"/>
          <w:rFonts w:asciiTheme="majorHAnsi" w:eastAsiaTheme="minorHAnsi" w:hAnsiTheme="majorHAnsi" w:cstheme="majorHAnsi"/>
          <w:color w:val="auto"/>
          <w:sz w:val="24"/>
          <w:szCs w:val="24"/>
        </w:rPr>
        <w:t xml:space="preserve"> </w:t>
      </w:r>
      <w:r w:rsidR="00124D8D" w:rsidRPr="008376FC">
        <w:rPr>
          <w:rFonts w:asciiTheme="majorHAnsi" w:hAnsiTheme="majorHAnsi" w:cstheme="majorHAnsi"/>
          <w:b w:val="0"/>
          <w:bCs w:val="0"/>
          <w:sz w:val="24"/>
          <w:szCs w:val="24"/>
        </w:rPr>
        <w:t xml:space="preserve">autoritățile locale de apă </w:t>
      </w:r>
      <w:r w:rsidR="00124D8D" w:rsidRPr="008376FC">
        <w:rPr>
          <w:rStyle w:val="Bodytext2Bold"/>
          <w:rFonts w:asciiTheme="majorHAnsi" w:eastAsiaTheme="minorHAnsi" w:hAnsiTheme="majorHAnsi" w:cstheme="majorHAnsi"/>
          <w:color w:val="auto"/>
          <w:sz w:val="24"/>
          <w:szCs w:val="24"/>
        </w:rPr>
        <w:t xml:space="preserve">și </w:t>
      </w:r>
      <w:r w:rsidR="002C4724">
        <w:rPr>
          <w:rFonts w:asciiTheme="majorHAnsi" w:hAnsiTheme="majorHAnsi" w:cstheme="majorHAnsi"/>
          <w:b w:val="0"/>
          <w:bCs w:val="0"/>
          <w:sz w:val="24"/>
          <w:szCs w:val="24"/>
        </w:rPr>
        <w:t>c</w:t>
      </w:r>
      <w:r w:rsidR="00124D8D" w:rsidRPr="008376FC">
        <w:rPr>
          <w:rFonts w:asciiTheme="majorHAnsi" w:hAnsiTheme="majorHAnsi" w:cstheme="majorHAnsi"/>
          <w:b w:val="0"/>
          <w:bCs w:val="0"/>
          <w:sz w:val="24"/>
          <w:szCs w:val="24"/>
        </w:rPr>
        <w:t xml:space="preserve">omitetele rurale de apă și canalizare </w:t>
      </w:r>
      <w:r w:rsidR="00124D8D" w:rsidRPr="008376FC">
        <w:rPr>
          <w:rStyle w:val="Bodytext2Bold"/>
          <w:rFonts w:asciiTheme="majorHAnsi" w:eastAsiaTheme="minorHAnsi" w:hAnsiTheme="majorHAnsi" w:cstheme="majorHAnsi"/>
          <w:color w:val="auto"/>
          <w:sz w:val="24"/>
          <w:szCs w:val="24"/>
        </w:rPr>
        <w:t>sunt cei doi jucători care operează la nivel rural.</w:t>
      </w:r>
    </w:p>
    <w:p w:rsidR="00124D8D" w:rsidRPr="008376FC" w:rsidRDefault="00124D8D" w:rsidP="00F61756">
      <w:pPr>
        <w:spacing w:after="0" w:line="276" w:lineRule="auto"/>
        <w:ind w:firstLine="720"/>
        <w:jc w:val="both"/>
        <w:rPr>
          <w:rFonts w:asciiTheme="majorHAnsi" w:hAnsiTheme="majorHAnsi" w:cstheme="majorHAnsi"/>
          <w:sz w:val="24"/>
          <w:szCs w:val="24"/>
        </w:rPr>
      </w:pPr>
      <w:r w:rsidRPr="008376FC">
        <w:rPr>
          <w:rFonts w:asciiTheme="majorHAnsi" w:hAnsiTheme="majorHAnsi" w:cstheme="majorHAnsi"/>
          <w:i/>
          <w:iCs/>
          <w:sz w:val="24"/>
          <w:szCs w:val="24"/>
        </w:rPr>
        <w:t>Autoritățile locale de apă</w:t>
      </w:r>
      <w:r w:rsidRPr="008376FC">
        <w:rPr>
          <w:rFonts w:asciiTheme="majorHAnsi" w:hAnsiTheme="majorHAnsi" w:cstheme="majorHAnsi"/>
          <w:sz w:val="24"/>
          <w:szCs w:val="24"/>
        </w:rPr>
        <w:t xml:space="preserve"> </w:t>
      </w:r>
      <w:r w:rsidRPr="008376FC">
        <w:rPr>
          <w:rStyle w:val="Bodytext2Bold"/>
          <w:rFonts w:asciiTheme="majorHAnsi" w:eastAsiaTheme="minorHAnsi" w:hAnsiTheme="majorHAnsi" w:cstheme="majorHAnsi"/>
          <w:b/>
          <w:color w:val="auto"/>
          <w:sz w:val="24"/>
          <w:szCs w:val="24"/>
        </w:rPr>
        <w:t>sunt responsabile pentru</w:t>
      </w:r>
      <w:r w:rsidRPr="008376FC">
        <w:rPr>
          <w:rFonts w:asciiTheme="majorHAnsi" w:hAnsiTheme="majorHAnsi" w:cstheme="majorHAnsi"/>
          <w:sz w:val="24"/>
          <w:szCs w:val="24"/>
        </w:rPr>
        <w:t>:</w:t>
      </w:r>
    </w:p>
    <w:p w:rsidR="00124D8D" w:rsidRPr="008376FC" w:rsidRDefault="00124D8D" w:rsidP="00F61756">
      <w:pPr>
        <w:widowControl w:val="0"/>
        <w:numPr>
          <w:ilvl w:val="0"/>
          <w:numId w:val="21"/>
        </w:numPr>
        <w:tabs>
          <w:tab w:val="left" w:pos="993"/>
        </w:tabs>
        <w:spacing w:after="0" w:line="276" w:lineRule="auto"/>
        <w:ind w:left="0"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întocmirea planului anual pentru sat și prezentarea autorităților teritoriale de apă;</w:t>
      </w:r>
    </w:p>
    <w:p w:rsidR="00124D8D" w:rsidRPr="008376FC" w:rsidRDefault="00124D8D" w:rsidP="00F61756">
      <w:pPr>
        <w:widowControl w:val="0"/>
        <w:numPr>
          <w:ilvl w:val="0"/>
          <w:numId w:val="21"/>
        </w:numPr>
        <w:tabs>
          <w:tab w:val="left" w:pos="993"/>
        </w:tabs>
        <w:spacing w:after="0" w:line="276" w:lineRule="auto"/>
        <w:ind w:left="0"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 xml:space="preserve">organizarea, exploatarea și menținerea sistemelor de alimentare cu apă la nivel de sat </w:t>
      </w:r>
      <w:r w:rsidR="008369B2">
        <w:rPr>
          <w:rFonts w:asciiTheme="majorHAnsi" w:hAnsiTheme="majorHAnsi" w:cstheme="majorHAnsi"/>
          <w:b w:val="0"/>
          <w:bCs w:val="0"/>
          <w:sz w:val="24"/>
          <w:szCs w:val="24"/>
        </w:rPr>
        <w:t>conform</w:t>
      </w:r>
      <w:r w:rsidRPr="008376FC">
        <w:rPr>
          <w:rFonts w:asciiTheme="majorHAnsi" w:hAnsiTheme="majorHAnsi" w:cstheme="majorHAnsi"/>
          <w:b w:val="0"/>
          <w:bCs w:val="0"/>
          <w:sz w:val="24"/>
          <w:szCs w:val="24"/>
        </w:rPr>
        <w:t xml:space="preserve"> planului de întreținere;</w:t>
      </w:r>
    </w:p>
    <w:p w:rsidR="00124D8D" w:rsidRPr="008376FC" w:rsidRDefault="00124D8D" w:rsidP="00F61756">
      <w:pPr>
        <w:widowControl w:val="0"/>
        <w:numPr>
          <w:ilvl w:val="0"/>
          <w:numId w:val="21"/>
        </w:numPr>
        <w:tabs>
          <w:tab w:val="left" w:pos="993"/>
        </w:tabs>
        <w:spacing w:after="0" w:line="276" w:lineRule="auto"/>
        <w:ind w:left="0"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colectarea taxelor de apă și gestionarea veniturilor și cheltuielilor;</w:t>
      </w:r>
    </w:p>
    <w:p w:rsidR="00124D8D" w:rsidRPr="008376FC" w:rsidRDefault="00124D8D" w:rsidP="00F61756">
      <w:pPr>
        <w:widowControl w:val="0"/>
        <w:numPr>
          <w:ilvl w:val="0"/>
          <w:numId w:val="21"/>
        </w:numPr>
        <w:tabs>
          <w:tab w:val="left" w:pos="993"/>
        </w:tabs>
        <w:spacing w:after="0" w:line="276" w:lineRule="auto"/>
        <w:ind w:left="0"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efectuarea testelor primare de calitate a apei;</w:t>
      </w:r>
    </w:p>
    <w:p w:rsidR="00124D8D" w:rsidRPr="008376FC" w:rsidRDefault="00124D8D" w:rsidP="00F61756">
      <w:pPr>
        <w:widowControl w:val="0"/>
        <w:numPr>
          <w:ilvl w:val="0"/>
          <w:numId w:val="21"/>
        </w:numPr>
        <w:tabs>
          <w:tab w:val="left" w:pos="993"/>
        </w:tabs>
        <w:spacing w:after="0" w:line="276" w:lineRule="auto"/>
        <w:ind w:left="0"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monitorizarea utilizării apei și înființarea structurilor de colectare a apei de către gospodăriile individuale</w:t>
      </w:r>
      <w:r w:rsidR="002874D6">
        <w:rPr>
          <w:rFonts w:asciiTheme="majorHAnsi" w:hAnsiTheme="majorHAnsi" w:cstheme="majorHAnsi"/>
          <w:b w:val="0"/>
          <w:bCs w:val="0"/>
          <w:sz w:val="24"/>
          <w:szCs w:val="24"/>
        </w:rPr>
        <w:t>;</w:t>
      </w:r>
    </w:p>
    <w:p w:rsidR="00124D8D" w:rsidRPr="008376FC" w:rsidRDefault="00124D8D" w:rsidP="00F61756">
      <w:pPr>
        <w:tabs>
          <w:tab w:val="left" w:pos="607"/>
        </w:tabs>
        <w:spacing w:after="0" w:line="276" w:lineRule="auto"/>
        <w:ind w:firstLine="720"/>
        <w:jc w:val="both"/>
        <w:rPr>
          <w:rFonts w:asciiTheme="majorHAnsi" w:hAnsiTheme="majorHAnsi" w:cstheme="majorHAnsi"/>
          <w:bCs w:val="0"/>
          <w:sz w:val="24"/>
          <w:szCs w:val="24"/>
        </w:rPr>
      </w:pPr>
      <w:r w:rsidRPr="008376FC">
        <w:rPr>
          <w:rFonts w:asciiTheme="majorHAnsi" w:hAnsiTheme="majorHAnsi" w:cstheme="majorHAnsi"/>
          <w:bCs w:val="0"/>
          <w:sz w:val="24"/>
          <w:szCs w:val="24"/>
        </w:rPr>
        <w:t>Comitetele rurale de apă și canalizare sunt responsabile pentru:</w:t>
      </w:r>
    </w:p>
    <w:p w:rsidR="00124D8D" w:rsidRPr="008376FC" w:rsidRDefault="00124D8D" w:rsidP="00F61756">
      <w:pPr>
        <w:widowControl w:val="0"/>
        <w:numPr>
          <w:ilvl w:val="0"/>
          <w:numId w:val="21"/>
        </w:numPr>
        <w:tabs>
          <w:tab w:val="left" w:pos="993"/>
        </w:tabs>
        <w:spacing w:after="0" w:line="276" w:lineRule="auto"/>
        <w:ind w:left="0"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planificarea sistemelor de alimentare cu apă pentru sat;</w:t>
      </w:r>
    </w:p>
    <w:p w:rsidR="00124D8D" w:rsidRPr="008376FC" w:rsidRDefault="00124D8D" w:rsidP="00F61756">
      <w:pPr>
        <w:widowControl w:val="0"/>
        <w:numPr>
          <w:ilvl w:val="0"/>
          <w:numId w:val="21"/>
        </w:numPr>
        <w:tabs>
          <w:tab w:val="left" w:pos="993"/>
        </w:tabs>
        <w:spacing w:after="0" w:line="276" w:lineRule="auto"/>
        <w:ind w:left="0"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 xml:space="preserve">efectuarea testului primar </w:t>
      </w:r>
      <w:r w:rsidR="008369B2">
        <w:rPr>
          <w:rFonts w:asciiTheme="majorHAnsi" w:hAnsiTheme="majorHAnsi" w:cstheme="majorHAnsi"/>
          <w:b w:val="0"/>
          <w:bCs w:val="0"/>
          <w:sz w:val="24"/>
          <w:szCs w:val="24"/>
        </w:rPr>
        <w:t>privind</w:t>
      </w:r>
      <w:r w:rsidRPr="008376FC">
        <w:rPr>
          <w:rFonts w:asciiTheme="majorHAnsi" w:hAnsiTheme="majorHAnsi" w:cstheme="majorHAnsi"/>
          <w:b w:val="0"/>
          <w:bCs w:val="0"/>
          <w:sz w:val="24"/>
          <w:szCs w:val="24"/>
        </w:rPr>
        <w:t xml:space="preserve"> calitatea apei folosind truse</w:t>
      </w:r>
      <w:r w:rsidR="008369B2">
        <w:rPr>
          <w:rFonts w:asciiTheme="majorHAnsi" w:hAnsiTheme="majorHAnsi" w:cstheme="majorHAnsi"/>
          <w:b w:val="0"/>
          <w:bCs w:val="0"/>
          <w:sz w:val="24"/>
          <w:szCs w:val="24"/>
        </w:rPr>
        <w:t>le</w:t>
      </w:r>
      <w:r w:rsidRPr="008376FC">
        <w:rPr>
          <w:rFonts w:asciiTheme="majorHAnsi" w:hAnsiTheme="majorHAnsi" w:cstheme="majorHAnsi"/>
          <w:b w:val="0"/>
          <w:bCs w:val="0"/>
          <w:sz w:val="24"/>
          <w:szCs w:val="24"/>
        </w:rPr>
        <w:t xml:space="preserve"> de testare pe teren;</w:t>
      </w:r>
    </w:p>
    <w:p w:rsidR="00124D8D" w:rsidRPr="008376FC" w:rsidRDefault="00124D8D" w:rsidP="00F61756">
      <w:pPr>
        <w:widowControl w:val="0"/>
        <w:numPr>
          <w:ilvl w:val="0"/>
          <w:numId w:val="21"/>
        </w:numPr>
        <w:tabs>
          <w:tab w:val="left" w:pos="993"/>
        </w:tabs>
        <w:spacing w:after="0" w:line="276" w:lineRule="auto"/>
        <w:ind w:left="0" w:firstLine="709"/>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exploatarea și întreținerea sistemelor de alimentare cu apă</w:t>
      </w:r>
      <w:r w:rsidRPr="008376FC">
        <w:rPr>
          <w:rFonts w:asciiTheme="majorHAnsi" w:hAnsiTheme="majorHAnsi" w:cstheme="majorHAnsi"/>
          <w:b w:val="0"/>
          <w:bCs w:val="0"/>
          <w:i/>
          <w:iCs/>
          <w:sz w:val="24"/>
          <w:szCs w:val="24"/>
        </w:rPr>
        <w:t>.</w:t>
      </w:r>
    </w:p>
    <w:p w:rsidR="00124D8D" w:rsidRPr="008376FC" w:rsidRDefault="00124D8D" w:rsidP="00F61756">
      <w:pPr>
        <w:tabs>
          <w:tab w:val="left" w:pos="993"/>
        </w:tabs>
        <w:spacing w:after="0" w:line="276" w:lineRule="auto"/>
        <w:ind w:firstLine="709"/>
        <w:jc w:val="both"/>
        <w:rPr>
          <w:rFonts w:asciiTheme="majorHAnsi" w:hAnsiTheme="majorHAnsi" w:cstheme="majorHAnsi"/>
          <w:sz w:val="24"/>
          <w:szCs w:val="24"/>
        </w:rPr>
      </w:pPr>
    </w:p>
    <w:p w:rsidR="00124D8D" w:rsidRPr="008376FC" w:rsidRDefault="00124D8D" w:rsidP="00F61756">
      <w:pPr>
        <w:pStyle w:val="a3"/>
        <w:numPr>
          <w:ilvl w:val="0"/>
          <w:numId w:val="14"/>
        </w:numPr>
        <w:tabs>
          <w:tab w:val="left" w:pos="546"/>
        </w:tabs>
        <w:spacing w:line="276" w:lineRule="auto"/>
        <w:ind w:left="0" w:firstLine="0"/>
        <w:jc w:val="both"/>
        <w:rPr>
          <w:rFonts w:asciiTheme="majorHAnsi" w:hAnsiTheme="majorHAnsi" w:cstheme="majorHAnsi"/>
          <w:b/>
          <w:lang w:val="en-US"/>
        </w:rPr>
      </w:pPr>
      <w:r w:rsidRPr="008376FC">
        <w:rPr>
          <w:rFonts w:asciiTheme="majorHAnsi" w:hAnsiTheme="majorHAnsi" w:cstheme="majorHAnsi"/>
          <w:b/>
          <w:lang w:val="en-US"/>
        </w:rPr>
        <w:t>Planificarea sistemului de alimentare cu apă și a sistemului de tratare a apei</w:t>
      </w:r>
    </w:p>
    <w:p w:rsidR="00124D8D" w:rsidRPr="008376FC" w:rsidRDefault="00124D8D" w:rsidP="00F61756">
      <w:pPr>
        <w:spacing w:after="0" w:line="276" w:lineRule="auto"/>
        <w:ind w:firstLine="720"/>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Autoritățile rurale sunt obligate să propună</w:t>
      </w:r>
      <w:r w:rsidR="002874D6">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 xml:space="preserve"> până la sfârșitul lunii iunie </w:t>
      </w:r>
      <w:r w:rsidR="002874D6">
        <w:rPr>
          <w:rFonts w:asciiTheme="majorHAnsi" w:hAnsiTheme="majorHAnsi" w:cstheme="majorHAnsi"/>
          <w:b w:val="0"/>
          <w:bCs w:val="0"/>
          <w:sz w:val="24"/>
          <w:szCs w:val="24"/>
        </w:rPr>
        <w:t>a</w:t>
      </w:r>
      <w:r w:rsidRPr="008376FC">
        <w:rPr>
          <w:rFonts w:asciiTheme="majorHAnsi" w:hAnsiTheme="majorHAnsi" w:cstheme="majorHAnsi"/>
          <w:b w:val="0"/>
          <w:bCs w:val="0"/>
          <w:sz w:val="24"/>
          <w:szCs w:val="24"/>
        </w:rPr>
        <w:t xml:space="preserve"> fiec</w:t>
      </w:r>
      <w:r w:rsidR="002874D6">
        <w:rPr>
          <w:rFonts w:asciiTheme="majorHAnsi" w:hAnsiTheme="majorHAnsi" w:cstheme="majorHAnsi"/>
          <w:b w:val="0"/>
          <w:bCs w:val="0"/>
          <w:sz w:val="24"/>
          <w:szCs w:val="24"/>
        </w:rPr>
        <w:t>ărui</w:t>
      </w:r>
      <w:r w:rsidRPr="008376FC">
        <w:rPr>
          <w:rFonts w:asciiTheme="majorHAnsi" w:hAnsiTheme="majorHAnsi" w:cstheme="majorHAnsi"/>
          <w:b w:val="0"/>
          <w:bCs w:val="0"/>
          <w:sz w:val="24"/>
          <w:szCs w:val="24"/>
        </w:rPr>
        <w:t xml:space="preserve"> an</w:t>
      </w:r>
      <w:r w:rsidR="002874D6">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 xml:space="preserve"> Planul</w:t>
      </w:r>
      <w:r w:rsidR="00E9306D" w:rsidRPr="008376FC">
        <w:rPr>
          <w:rFonts w:asciiTheme="majorHAnsi" w:hAnsiTheme="majorHAnsi" w:cstheme="majorHAnsi"/>
          <w:b w:val="0"/>
          <w:bCs w:val="0"/>
          <w:sz w:val="24"/>
          <w:szCs w:val="24"/>
        </w:rPr>
        <w:t xml:space="preserve"> </w:t>
      </w:r>
      <w:r w:rsidRPr="008376FC">
        <w:rPr>
          <w:rFonts w:asciiTheme="majorHAnsi" w:hAnsiTheme="majorHAnsi" w:cstheme="majorHAnsi"/>
          <w:b w:val="0"/>
          <w:bCs w:val="0"/>
          <w:sz w:val="24"/>
          <w:szCs w:val="24"/>
        </w:rPr>
        <w:t>noi</w:t>
      </w:r>
      <w:r w:rsidR="002874D6">
        <w:rPr>
          <w:rFonts w:asciiTheme="majorHAnsi" w:hAnsiTheme="majorHAnsi" w:cstheme="majorHAnsi"/>
          <w:b w:val="0"/>
          <w:bCs w:val="0"/>
          <w:sz w:val="24"/>
          <w:szCs w:val="24"/>
        </w:rPr>
        <w:t>lor</w:t>
      </w:r>
      <w:r w:rsidRPr="008376FC">
        <w:rPr>
          <w:rFonts w:asciiTheme="majorHAnsi" w:hAnsiTheme="majorHAnsi" w:cstheme="majorHAnsi"/>
          <w:b w:val="0"/>
          <w:bCs w:val="0"/>
          <w:sz w:val="24"/>
          <w:szCs w:val="24"/>
        </w:rPr>
        <w:t xml:space="preserve"> sisteme de alimentare cu apă, extensii</w:t>
      </w:r>
      <w:r w:rsidR="002874D6">
        <w:rPr>
          <w:rFonts w:asciiTheme="majorHAnsi" w:hAnsiTheme="majorHAnsi" w:cstheme="majorHAnsi"/>
          <w:b w:val="0"/>
          <w:bCs w:val="0"/>
          <w:sz w:val="24"/>
          <w:szCs w:val="24"/>
        </w:rPr>
        <w:t>le</w:t>
      </w:r>
      <w:r w:rsidRPr="008376FC">
        <w:rPr>
          <w:rFonts w:asciiTheme="majorHAnsi" w:hAnsiTheme="majorHAnsi" w:cstheme="majorHAnsi"/>
          <w:b w:val="0"/>
          <w:bCs w:val="0"/>
          <w:sz w:val="24"/>
          <w:szCs w:val="24"/>
        </w:rPr>
        <w:t xml:space="preserve"> </w:t>
      </w:r>
      <w:r w:rsidR="002874D6">
        <w:rPr>
          <w:rFonts w:asciiTheme="majorHAnsi" w:hAnsiTheme="majorHAnsi" w:cstheme="majorHAnsi"/>
          <w:b w:val="0"/>
          <w:bCs w:val="0"/>
          <w:sz w:val="24"/>
          <w:szCs w:val="24"/>
        </w:rPr>
        <w:t>l</w:t>
      </w:r>
      <w:r w:rsidRPr="008376FC">
        <w:rPr>
          <w:rFonts w:asciiTheme="majorHAnsi" w:hAnsiTheme="majorHAnsi" w:cstheme="majorHAnsi"/>
          <w:b w:val="0"/>
          <w:bCs w:val="0"/>
          <w:sz w:val="24"/>
          <w:szCs w:val="24"/>
        </w:rPr>
        <w:t>a sistemel</w:t>
      </w:r>
      <w:r w:rsidR="002874D6">
        <w:rPr>
          <w:rFonts w:asciiTheme="majorHAnsi" w:hAnsiTheme="majorHAnsi" w:cstheme="majorHAnsi"/>
          <w:b w:val="0"/>
          <w:bCs w:val="0"/>
          <w:sz w:val="24"/>
          <w:szCs w:val="24"/>
        </w:rPr>
        <w:t>e</w:t>
      </w:r>
      <w:r w:rsidRPr="008376FC">
        <w:rPr>
          <w:rFonts w:asciiTheme="majorHAnsi" w:hAnsiTheme="majorHAnsi" w:cstheme="majorHAnsi"/>
          <w:b w:val="0"/>
          <w:bCs w:val="0"/>
          <w:sz w:val="24"/>
          <w:szCs w:val="24"/>
        </w:rPr>
        <w:t xml:space="preserve"> și activitățile de întreținere. Planul anual elaborat pentru anul viitor se prezintă autorităților teritoriale de apă împreună cu estimarea fondurilor necesare pentru sistemele propuse, precum și pentru exploatarea și mentenanța sistemelor existente.</w:t>
      </w:r>
    </w:p>
    <w:p w:rsidR="00124D8D" w:rsidRPr="008376FC" w:rsidRDefault="00124D8D" w:rsidP="00F61756">
      <w:pPr>
        <w:spacing w:after="0" w:line="276" w:lineRule="auto"/>
        <w:ind w:firstLine="720"/>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 xml:space="preserve">Autoritățile regionale de apă sunt obligate să consolideze </w:t>
      </w:r>
      <w:r w:rsidR="00E509B9">
        <w:rPr>
          <w:rFonts w:asciiTheme="majorHAnsi" w:hAnsiTheme="majorHAnsi" w:cstheme="majorHAnsi"/>
          <w:b w:val="0"/>
          <w:bCs w:val="0"/>
          <w:sz w:val="24"/>
          <w:szCs w:val="24"/>
        </w:rPr>
        <w:t xml:space="preserve">Planurile </w:t>
      </w:r>
      <w:r w:rsidR="00E509B9" w:rsidRPr="008376FC">
        <w:rPr>
          <w:rFonts w:asciiTheme="majorHAnsi" w:hAnsiTheme="majorHAnsi" w:cstheme="majorHAnsi"/>
          <w:b w:val="0"/>
          <w:bCs w:val="0"/>
          <w:sz w:val="24"/>
          <w:szCs w:val="24"/>
        </w:rPr>
        <w:t xml:space="preserve"> </w:t>
      </w:r>
      <w:r w:rsidR="002C4724">
        <w:rPr>
          <w:rFonts w:asciiTheme="majorHAnsi" w:hAnsiTheme="majorHAnsi" w:cstheme="majorHAnsi"/>
          <w:b w:val="0"/>
          <w:bCs w:val="0"/>
          <w:sz w:val="24"/>
          <w:szCs w:val="24"/>
        </w:rPr>
        <w:t>transmise</w:t>
      </w:r>
      <w:r w:rsidR="002C4724" w:rsidRPr="008376FC">
        <w:rPr>
          <w:rFonts w:asciiTheme="majorHAnsi" w:hAnsiTheme="majorHAnsi" w:cstheme="majorHAnsi"/>
          <w:b w:val="0"/>
          <w:bCs w:val="0"/>
          <w:sz w:val="24"/>
          <w:szCs w:val="24"/>
        </w:rPr>
        <w:t xml:space="preserve"> </w:t>
      </w:r>
      <w:r w:rsidRPr="008376FC">
        <w:rPr>
          <w:rFonts w:asciiTheme="majorHAnsi" w:hAnsiTheme="majorHAnsi" w:cstheme="majorHAnsi"/>
          <w:b w:val="0"/>
          <w:bCs w:val="0"/>
          <w:sz w:val="24"/>
          <w:szCs w:val="24"/>
        </w:rPr>
        <w:t xml:space="preserve">de APL și, după includerea propunerilor </w:t>
      </w:r>
      <w:r w:rsidR="002C4724">
        <w:rPr>
          <w:rFonts w:asciiTheme="majorHAnsi" w:hAnsiTheme="majorHAnsi" w:cstheme="majorHAnsi"/>
          <w:b w:val="0"/>
          <w:bCs w:val="0"/>
          <w:sz w:val="24"/>
          <w:szCs w:val="24"/>
        </w:rPr>
        <w:t>privind crearea</w:t>
      </w:r>
      <w:r w:rsidRPr="008376FC">
        <w:rPr>
          <w:rFonts w:asciiTheme="majorHAnsi" w:hAnsiTheme="majorHAnsi" w:cstheme="majorHAnsi"/>
          <w:b w:val="0"/>
          <w:bCs w:val="0"/>
          <w:sz w:val="24"/>
          <w:szCs w:val="24"/>
        </w:rPr>
        <w:t xml:space="preserve"> noi</w:t>
      </w:r>
      <w:r w:rsidR="002C4724">
        <w:rPr>
          <w:rFonts w:asciiTheme="majorHAnsi" w:hAnsiTheme="majorHAnsi" w:cstheme="majorHAnsi"/>
          <w:b w:val="0"/>
          <w:bCs w:val="0"/>
          <w:sz w:val="24"/>
          <w:szCs w:val="24"/>
        </w:rPr>
        <w:t>lor</w:t>
      </w:r>
      <w:r w:rsidRPr="008376FC">
        <w:rPr>
          <w:rFonts w:asciiTheme="majorHAnsi" w:hAnsiTheme="majorHAnsi" w:cstheme="majorHAnsi"/>
          <w:b w:val="0"/>
          <w:bCs w:val="0"/>
          <w:sz w:val="24"/>
          <w:szCs w:val="24"/>
        </w:rPr>
        <w:t xml:space="preserve"> sisteme/extensii a</w:t>
      </w:r>
      <w:r w:rsidR="002C4724">
        <w:rPr>
          <w:rFonts w:asciiTheme="majorHAnsi" w:hAnsiTheme="majorHAnsi" w:cstheme="majorHAnsi"/>
          <w:b w:val="0"/>
          <w:bCs w:val="0"/>
          <w:sz w:val="24"/>
          <w:szCs w:val="24"/>
        </w:rPr>
        <w:t>le</w:t>
      </w:r>
      <w:r w:rsidRPr="008376FC">
        <w:rPr>
          <w:rFonts w:asciiTheme="majorHAnsi" w:hAnsiTheme="majorHAnsi" w:cstheme="majorHAnsi"/>
          <w:b w:val="0"/>
          <w:bCs w:val="0"/>
          <w:sz w:val="24"/>
          <w:szCs w:val="24"/>
        </w:rPr>
        <w:t xml:space="preserve"> </w:t>
      </w:r>
      <w:r w:rsidR="002C4724">
        <w:rPr>
          <w:rFonts w:asciiTheme="majorHAnsi" w:hAnsiTheme="majorHAnsi" w:cstheme="majorHAnsi"/>
          <w:b w:val="0"/>
          <w:bCs w:val="0"/>
          <w:sz w:val="24"/>
          <w:szCs w:val="24"/>
        </w:rPr>
        <w:t>infrastructurii</w:t>
      </w:r>
      <w:r w:rsidR="002C4724" w:rsidRPr="008376FC">
        <w:rPr>
          <w:rFonts w:asciiTheme="majorHAnsi" w:hAnsiTheme="majorHAnsi" w:cstheme="majorHAnsi"/>
          <w:b w:val="0"/>
          <w:bCs w:val="0"/>
          <w:sz w:val="24"/>
          <w:szCs w:val="24"/>
        </w:rPr>
        <w:t xml:space="preserve"> </w:t>
      </w:r>
      <w:r w:rsidRPr="008376FC">
        <w:rPr>
          <w:rFonts w:asciiTheme="majorHAnsi" w:hAnsiTheme="majorHAnsi" w:cstheme="majorHAnsi"/>
          <w:b w:val="0"/>
          <w:bCs w:val="0"/>
          <w:sz w:val="24"/>
          <w:szCs w:val="24"/>
        </w:rPr>
        <w:t>de alimentare cu apă și a stațiilor de tratare a apei la nivel regional, să prezinte propuner</w:t>
      </w:r>
      <w:r w:rsidR="002C4724">
        <w:rPr>
          <w:rFonts w:asciiTheme="majorHAnsi" w:hAnsiTheme="majorHAnsi" w:cstheme="majorHAnsi"/>
          <w:b w:val="0"/>
          <w:bCs w:val="0"/>
          <w:sz w:val="24"/>
          <w:szCs w:val="24"/>
        </w:rPr>
        <w:t>il</w:t>
      </w:r>
      <w:r w:rsidRPr="008376FC">
        <w:rPr>
          <w:rFonts w:asciiTheme="majorHAnsi" w:hAnsiTheme="majorHAnsi" w:cstheme="majorHAnsi"/>
          <w:b w:val="0"/>
          <w:bCs w:val="0"/>
          <w:sz w:val="24"/>
          <w:szCs w:val="24"/>
        </w:rPr>
        <w:t xml:space="preserve">e către Minister până la sfârșitul lunii septembrie </w:t>
      </w:r>
      <w:r w:rsidR="002C4724">
        <w:rPr>
          <w:rFonts w:asciiTheme="majorHAnsi" w:hAnsiTheme="majorHAnsi" w:cstheme="majorHAnsi"/>
          <w:b w:val="0"/>
          <w:bCs w:val="0"/>
          <w:sz w:val="24"/>
          <w:szCs w:val="24"/>
        </w:rPr>
        <w:t>a</w:t>
      </w:r>
      <w:r w:rsidRPr="008376FC">
        <w:rPr>
          <w:rFonts w:asciiTheme="majorHAnsi" w:hAnsiTheme="majorHAnsi" w:cstheme="majorHAnsi"/>
          <w:b w:val="0"/>
          <w:bCs w:val="0"/>
          <w:sz w:val="24"/>
          <w:szCs w:val="24"/>
        </w:rPr>
        <w:t xml:space="preserve"> fiec</w:t>
      </w:r>
      <w:r w:rsidR="002C4724">
        <w:rPr>
          <w:rFonts w:asciiTheme="majorHAnsi" w:hAnsiTheme="majorHAnsi" w:cstheme="majorHAnsi"/>
          <w:b w:val="0"/>
          <w:bCs w:val="0"/>
          <w:sz w:val="24"/>
          <w:szCs w:val="24"/>
        </w:rPr>
        <w:t>ărui</w:t>
      </w:r>
      <w:r w:rsidRPr="008376FC">
        <w:rPr>
          <w:rFonts w:asciiTheme="majorHAnsi" w:hAnsiTheme="majorHAnsi" w:cstheme="majorHAnsi"/>
          <w:b w:val="0"/>
          <w:bCs w:val="0"/>
          <w:sz w:val="24"/>
          <w:szCs w:val="24"/>
        </w:rPr>
        <w:t xml:space="preserve"> an. Această propunere ar trebui să conțină, de asemenea, estimări </w:t>
      </w:r>
      <w:r w:rsidR="002C4724">
        <w:rPr>
          <w:rFonts w:asciiTheme="majorHAnsi" w:hAnsiTheme="majorHAnsi" w:cstheme="majorHAnsi"/>
          <w:b w:val="0"/>
          <w:bCs w:val="0"/>
          <w:sz w:val="24"/>
          <w:szCs w:val="24"/>
        </w:rPr>
        <w:t>privind</w:t>
      </w:r>
      <w:r w:rsidRPr="008376FC">
        <w:rPr>
          <w:rFonts w:asciiTheme="majorHAnsi" w:hAnsiTheme="majorHAnsi" w:cstheme="majorHAnsi"/>
          <w:b w:val="0"/>
          <w:bCs w:val="0"/>
          <w:sz w:val="24"/>
          <w:szCs w:val="24"/>
        </w:rPr>
        <w:t xml:space="preserve"> noi</w:t>
      </w:r>
      <w:r w:rsidR="002C4724">
        <w:rPr>
          <w:rFonts w:asciiTheme="majorHAnsi" w:hAnsiTheme="majorHAnsi" w:cstheme="majorHAnsi"/>
          <w:b w:val="0"/>
          <w:bCs w:val="0"/>
          <w:sz w:val="24"/>
          <w:szCs w:val="24"/>
        </w:rPr>
        <w:t>le</w:t>
      </w:r>
      <w:r w:rsidRPr="008376FC">
        <w:rPr>
          <w:rFonts w:asciiTheme="majorHAnsi" w:hAnsiTheme="majorHAnsi" w:cstheme="majorHAnsi"/>
          <w:b w:val="0"/>
          <w:bCs w:val="0"/>
          <w:sz w:val="24"/>
          <w:szCs w:val="24"/>
        </w:rPr>
        <w:t xml:space="preserve"> sisteme/extensii a</w:t>
      </w:r>
      <w:r w:rsidR="002C4724">
        <w:rPr>
          <w:rFonts w:asciiTheme="majorHAnsi" w:hAnsiTheme="majorHAnsi" w:cstheme="majorHAnsi"/>
          <w:b w:val="0"/>
          <w:bCs w:val="0"/>
          <w:sz w:val="24"/>
          <w:szCs w:val="24"/>
        </w:rPr>
        <w:t>le</w:t>
      </w:r>
      <w:r w:rsidRPr="008376FC">
        <w:rPr>
          <w:rFonts w:asciiTheme="majorHAnsi" w:hAnsiTheme="majorHAnsi" w:cstheme="majorHAnsi"/>
          <w:b w:val="0"/>
          <w:bCs w:val="0"/>
          <w:sz w:val="24"/>
          <w:szCs w:val="24"/>
        </w:rPr>
        <w:t xml:space="preserve"> </w:t>
      </w:r>
      <w:r w:rsidR="002C4724">
        <w:rPr>
          <w:rFonts w:asciiTheme="majorHAnsi" w:hAnsiTheme="majorHAnsi" w:cstheme="majorHAnsi"/>
          <w:b w:val="0"/>
          <w:bCs w:val="0"/>
          <w:sz w:val="24"/>
          <w:szCs w:val="24"/>
        </w:rPr>
        <w:t>infrastructurii</w:t>
      </w:r>
      <w:r w:rsidRPr="008376FC">
        <w:rPr>
          <w:rFonts w:asciiTheme="majorHAnsi" w:hAnsiTheme="majorHAnsi" w:cstheme="majorHAnsi"/>
          <w:b w:val="0"/>
          <w:bCs w:val="0"/>
          <w:sz w:val="24"/>
          <w:szCs w:val="24"/>
        </w:rPr>
        <w:t xml:space="preserve">/stațiilor de epurare și </w:t>
      </w:r>
      <w:r w:rsidR="002C4724">
        <w:rPr>
          <w:rFonts w:asciiTheme="majorHAnsi" w:hAnsiTheme="majorHAnsi" w:cstheme="majorHAnsi"/>
          <w:b w:val="0"/>
          <w:bCs w:val="0"/>
          <w:sz w:val="24"/>
          <w:szCs w:val="24"/>
        </w:rPr>
        <w:t>privind</w:t>
      </w:r>
      <w:r w:rsidRPr="008376FC">
        <w:rPr>
          <w:rFonts w:asciiTheme="majorHAnsi" w:hAnsiTheme="majorHAnsi" w:cstheme="majorHAnsi"/>
          <w:b w:val="0"/>
          <w:bCs w:val="0"/>
          <w:sz w:val="24"/>
          <w:szCs w:val="24"/>
        </w:rPr>
        <w:t xml:space="preserve"> exploatarea și întreținerea instalațiilor existente.</w:t>
      </w:r>
    </w:p>
    <w:p w:rsidR="00124D8D" w:rsidRPr="008376FC" w:rsidRDefault="00124D8D" w:rsidP="00F61756">
      <w:pPr>
        <w:spacing w:after="0" w:line="276" w:lineRule="auto"/>
        <w:ind w:firstLine="720"/>
        <w:jc w:val="both"/>
        <w:rPr>
          <w:rFonts w:asciiTheme="majorHAnsi" w:hAnsiTheme="majorHAnsi" w:cstheme="majorHAnsi"/>
          <w:b w:val="0"/>
          <w:bCs w:val="0"/>
          <w:sz w:val="24"/>
          <w:szCs w:val="24"/>
        </w:rPr>
      </w:pPr>
      <w:r w:rsidRPr="008376FC">
        <w:rPr>
          <w:rStyle w:val="Bodytext2Italic"/>
          <w:rFonts w:asciiTheme="majorHAnsi" w:hAnsiTheme="majorHAnsi" w:cstheme="majorHAnsi"/>
          <w:b w:val="0"/>
          <w:bCs w:val="0"/>
          <w:color w:val="auto"/>
          <w:sz w:val="24"/>
          <w:szCs w:val="24"/>
        </w:rPr>
        <w:t xml:space="preserve">Ministerul, </w:t>
      </w:r>
      <w:r w:rsidRPr="008376FC">
        <w:rPr>
          <w:rFonts w:asciiTheme="majorHAnsi" w:hAnsiTheme="majorHAnsi" w:cstheme="majorHAnsi"/>
          <w:b w:val="0"/>
          <w:bCs w:val="0"/>
          <w:sz w:val="24"/>
          <w:szCs w:val="24"/>
        </w:rPr>
        <w:t xml:space="preserve">după examinarea planurilor anuale primite de la </w:t>
      </w:r>
      <w:r w:rsidR="008369B2">
        <w:rPr>
          <w:rFonts w:asciiTheme="majorHAnsi" w:hAnsiTheme="majorHAnsi" w:cstheme="majorHAnsi"/>
          <w:b w:val="0"/>
          <w:bCs w:val="0"/>
          <w:sz w:val="24"/>
          <w:szCs w:val="24"/>
        </w:rPr>
        <w:t>a</w:t>
      </w:r>
      <w:r w:rsidR="00E9306D" w:rsidRPr="008376FC">
        <w:rPr>
          <w:rFonts w:asciiTheme="majorHAnsi" w:hAnsiTheme="majorHAnsi" w:cstheme="majorHAnsi"/>
          <w:b w:val="0"/>
          <w:bCs w:val="0"/>
          <w:sz w:val="24"/>
          <w:szCs w:val="24"/>
        </w:rPr>
        <w:t>utoritățile rurale</w:t>
      </w:r>
      <w:r w:rsidRPr="008376FC">
        <w:rPr>
          <w:rFonts w:asciiTheme="majorHAnsi" w:hAnsiTheme="majorHAnsi" w:cstheme="majorHAnsi"/>
          <w:b w:val="0"/>
          <w:bCs w:val="0"/>
          <w:sz w:val="24"/>
          <w:szCs w:val="24"/>
        </w:rPr>
        <w:t xml:space="preserve">, aprobă propunerile înainte de sfârșitul lunii decembrie </w:t>
      </w:r>
      <w:r w:rsidR="002C4724">
        <w:rPr>
          <w:rFonts w:asciiTheme="majorHAnsi" w:hAnsiTheme="majorHAnsi" w:cstheme="majorHAnsi"/>
          <w:b w:val="0"/>
          <w:bCs w:val="0"/>
          <w:sz w:val="24"/>
          <w:szCs w:val="24"/>
        </w:rPr>
        <w:t xml:space="preserve">a </w:t>
      </w:r>
      <w:r w:rsidRPr="008376FC">
        <w:rPr>
          <w:rFonts w:asciiTheme="majorHAnsi" w:hAnsiTheme="majorHAnsi" w:cstheme="majorHAnsi"/>
          <w:b w:val="0"/>
          <w:bCs w:val="0"/>
          <w:sz w:val="24"/>
          <w:szCs w:val="24"/>
        </w:rPr>
        <w:t xml:space="preserve"> fiec</w:t>
      </w:r>
      <w:r w:rsidR="002C4724">
        <w:rPr>
          <w:rFonts w:asciiTheme="majorHAnsi" w:hAnsiTheme="majorHAnsi" w:cstheme="majorHAnsi"/>
          <w:b w:val="0"/>
          <w:bCs w:val="0"/>
          <w:sz w:val="24"/>
          <w:szCs w:val="24"/>
        </w:rPr>
        <w:t>ărui</w:t>
      </w:r>
      <w:r w:rsidRPr="008376FC">
        <w:rPr>
          <w:rFonts w:asciiTheme="majorHAnsi" w:hAnsiTheme="majorHAnsi" w:cstheme="majorHAnsi"/>
          <w:b w:val="0"/>
          <w:bCs w:val="0"/>
          <w:sz w:val="24"/>
          <w:szCs w:val="24"/>
        </w:rPr>
        <w:t xml:space="preserve"> an și eliberează fonduri conform bugetului prognozat.</w:t>
      </w:r>
    </w:p>
    <w:p w:rsidR="00124D8D" w:rsidRPr="008376FC" w:rsidRDefault="00124D8D" w:rsidP="00F61756">
      <w:pPr>
        <w:tabs>
          <w:tab w:val="left" w:pos="993"/>
        </w:tabs>
        <w:spacing w:after="0" w:line="276" w:lineRule="auto"/>
        <w:ind w:left="709"/>
        <w:jc w:val="both"/>
        <w:rPr>
          <w:rFonts w:asciiTheme="majorHAnsi" w:hAnsiTheme="majorHAnsi" w:cstheme="majorHAnsi"/>
          <w:sz w:val="24"/>
          <w:szCs w:val="24"/>
        </w:rPr>
      </w:pPr>
    </w:p>
    <w:p w:rsidR="00124D8D" w:rsidRPr="008376FC" w:rsidRDefault="00124D8D" w:rsidP="00F61756">
      <w:pPr>
        <w:pStyle w:val="Bodytext110"/>
        <w:numPr>
          <w:ilvl w:val="0"/>
          <w:numId w:val="14"/>
        </w:numPr>
        <w:shd w:val="clear" w:color="auto" w:fill="auto"/>
        <w:tabs>
          <w:tab w:val="left" w:pos="284"/>
        </w:tabs>
        <w:spacing w:before="0" w:line="276" w:lineRule="auto"/>
        <w:ind w:left="0" w:firstLine="0"/>
        <w:jc w:val="both"/>
        <w:rPr>
          <w:rFonts w:asciiTheme="majorHAnsi" w:hAnsiTheme="majorHAnsi" w:cstheme="majorHAnsi"/>
          <w:b/>
          <w:bCs/>
          <w:sz w:val="24"/>
          <w:szCs w:val="24"/>
        </w:rPr>
      </w:pPr>
      <w:r w:rsidRPr="008376FC">
        <w:rPr>
          <w:rFonts w:asciiTheme="majorHAnsi" w:hAnsiTheme="majorHAnsi" w:cstheme="majorHAnsi"/>
          <w:b/>
          <w:bCs/>
          <w:sz w:val="24"/>
          <w:szCs w:val="24"/>
        </w:rPr>
        <w:t>Monitorizare</w:t>
      </w:r>
      <w:r w:rsidR="002C4724">
        <w:rPr>
          <w:rFonts w:asciiTheme="majorHAnsi" w:hAnsiTheme="majorHAnsi" w:cstheme="majorHAnsi"/>
          <w:b/>
          <w:bCs/>
          <w:sz w:val="24"/>
          <w:szCs w:val="24"/>
        </w:rPr>
        <w:t>a</w:t>
      </w:r>
      <w:r w:rsidRPr="008376FC">
        <w:rPr>
          <w:rFonts w:asciiTheme="majorHAnsi" w:hAnsiTheme="majorHAnsi" w:cstheme="majorHAnsi"/>
          <w:b/>
          <w:bCs/>
          <w:sz w:val="24"/>
          <w:szCs w:val="24"/>
        </w:rPr>
        <w:t xml:space="preserve"> și evaluarea</w:t>
      </w:r>
    </w:p>
    <w:p w:rsidR="00124D8D" w:rsidRDefault="00124D8D" w:rsidP="00F61756">
      <w:pPr>
        <w:pStyle w:val="Bodytext100"/>
        <w:shd w:val="clear" w:color="auto" w:fill="auto"/>
        <w:spacing w:before="0" w:line="276" w:lineRule="auto"/>
        <w:ind w:firstLine="720"/>
        <w:rPr>
          <w:rFonts w:asciiTheme="majorHAnsi" w:hAnsiTheme="majorHAnsi" w:cstheme="majorHAnsi"/>
          <w:sz w:val="24"/>
          <w:szCs w:val="24"/>
        </w:rPr>
      </w:pPr>
      <w:r w:rsidRPr="008376FC">
        <w:rPr>
          <w:rFonts w:asciiTheme="majorHAnsi" w:hAnsiTheme="majorHAnsi" w:cstheme="majorHAnsi"/>
          <w:sz w:val="24"/>
          <w:szCs w:val="24"/>
        </w:rPr>
        <w:t xml:space="preserve">Ministerul este obligat să monitorizeze activitatea departamentelor teritoriale și </w:t>
      </w:r>
      <w:r w:rsidR="002C4724">
        <w:rPr>
          <w:rFonts w:asciiTheme="majorHAnsi" w:hAnsiTheme="majorHAnsi" w:cstheme="majorHAnsi"/>
          <w:sz w:val="24"/>
          <w:szCs w:val="24"/>
        </w:rPr>
        <w:t>a l</w:t>
      </w:r>
      <w:r w:rsidRPr="008376FC">
        <w:rPr>
          <w:rFonts w:asciiTheme="majorHAnsi" w:hAnsiTheme="majorHAnsi" w:cstheme="majorHAnsi"/>
          <w:sz w:val="24"/>
          <w:szCs w:val="24"/>
        </w:rPr>
        <w:t xml:space="preserve">aboratoarelor prin rapoarte lunare prezentate. APL trebuie să prezinte un raport anual către </w:t>
      </w:r>
      <w:r w:rsidR="008369B2">
        <w:rPr>
          <w:rFonts w:asciiTheme="majorHAnsi" w:hAnsiTheme="majorHAnsi" w:cstheme="majorHAnsi"/>
          <w:sz w:val="24"/>
          <w:szCs w:val="24"/>
        </w:rPr>
        <w:t>d</w:t>
      </w:r>
      <w:r w:rsidRPr="008376FC">
        <w:rPr>
          <w:rFonts w:asciiTheme="majorHAnsi" w:hAnsiTheme="majorHAnsi" w:cstheme="majorHAnsi"/>
          <w:sz w:val="24"/>
          <w:szCs w:val="24"/>
        </w:rPr>
        <w:t xml:space="preserve">epartamentele teritoriale până la sfârșitul lunii ianuarie </w:t>
      </w:r>
      <w:r w:rsidR="008369B2">
        <w:rPr>
          <w:rFonts w:asciiTheme="majorHAnsi" w:hAnsiTheme="majorHAnsi" w:cstheme="majorHAnsi"/>
          <w:sz w:val="24"/>
          <w:szCs w:val="24"/>
        </w:rPr>
        <w:t>a</w:t>
      </w:r>
      <w:r w:rsidRPr="008376FC">
        <w:rPr>
          <w:rFonts w:asciiTheme="majorHAnsi" w:hAnsiTheme="majorHAnsi" w:cstheme="majorHAnsi"/>
          <w:sz w:val="24"/>
          <w:szCs w:val="24"/>
        </w:rPr>
        <w:t xml:space="preserve"> fiec</w:t>
      </w:r>
      <w:r w:rsidR="008369B2">
        <w:rPr>
          <w:rFonts w:asciiTheme="majorHAnsi" w:hAnsiTheme="majorHAnsi" w:cstheme="majorHAnsi"/>
          <w:sz w:val="24"/>
          <w:szCs w:val="24"/>
        </w:rPr>
        <w:t>ărui</w:t>
      </w:r>
      <w:r w:rsidRPr="008376FC">
        <w:rPr>
          <w:rFonts w:asciiTheme="majorHAnsi" w:hAnsiTheme="majorHAnsi" w:cstheme="majorHAnsi"/>
          <w:sz w:val="24"/>
          <w:szCs w:val="24"/>
        </w:rPr>
        <w:t xml:space="preserve"> an, care</w:t>
      </w:r>
      <w:r w:rsidR="008369B2">
        <w:rPr>
          <w:rFonts w:asciiTheme="majorHAnsi" w:hAnsiTheme="majorHAnsi" w:cstheme="majorHAnsi"/>
          <w:sz w:val="24"/>
          <w:szCs w:val="24"/>
        </w:rPr>
        <w:t>,</w:t>
      </w:r>
      <w:r w:rsidRPr="008376FC">
        <w:rPr>
          <w:rFonts w:asciiTheme="majorHAnsi" w:hAnsiTheme="majorHAnsi" w:cstheme="majorHAnsi"/>
          <w:sz w:val="24"/>
          <w:szCs w:val="24"/>
        </w:rPr>
        <w:t xml:space="preserve"> la rândul său</w:t>
      </w:r>
      <w:r w:rsidR="008369B2">
        <w:rPr>
          <w:rFonts w:asciiTheme="majorHAnsi" w:hAnsiTheme="majorHAnsi" w:cstheme="majorHAnsi"/>
          <w:sz w:val="24"/>
          <w:szCs w:val="24"/>
        </w:rPr>
        <w:t>,</w:t>
      </w:r>
      <w:r w:rsidRPr="008376FC">
        <w:rPr>
          <w:rFonts w:asciiTheme="majorHAnsi" w:hAnsiTheme="majorHAnsi" w:cstheme="majorHAnsi"/>
          <w:sz w:val="24"/>
          <w:szCs w:val="24"/>
        </w:rPr>
        <w:t xml:space="preserve"> ar trebui să prezinte un raport consolidat pe district către Minister până la sfârșitul lunii februarie. Celula de monitorizare este, de asemenea, obligată să desfășoare vizite în teritoriu pentru a revizui performanța Departamentului de aprovizionare cu apă și canalizare în mediul rural, în așa fel încât să acopere toate </w:t>
      </w:r>
      <w:r w:rsidR="00FE6304" w:rsidRPr="008376FC">
        <w:rPr>
          <w:rFonts w:asciiTheme="majorHAnsi" w:hAnsiTheme="majorHAnsi" w:cstheme="majorHAnsi"/>
          <w:sz w:val="24"/>
          <w:szCs w:val="24"/>
        </w:rPr>
        <w:t>localitățile</w:t>
      </w:r>
      <w:r w:rsidRPr="008376FC">
        <w:rPr>
          <w:rFonts w:asciiTheme="majorHAnsi" w:hAnsiTheme="majorHAnsi" w:cstheme="majorHAnsi"/>
          <w:sz w:val="24"/>
          <w:szCs w:val="24"/>
        </w:rPr>
        <w:t xml:space="preserve"> cel puțin o dată la doi ani. Ministerul trebuie să obțină o evaluare a performanței Departamentului</w:t>
      </w:r>
      <w:r w:rsidR="008369B2">
        <w:rPr>
          <w:rFonts w:asciiTheme="majorHAnsi" w:hAnsiTheme="majorHAnsi" w:cstheme="majorHAnsi"/>
          <w:sz w:val="24"/>
          <w:szCs w:val="24"/>
        </w:rPr>
        <w:t>,</w:t>
      </w:r>
      <w:r w:rsidRPr="008376FC">
        <w:rPr>
          <w:rFonts w:asciiTheme="majorHAnsi" w:hAnsiTheme="majorHAnsi" w:cstheme="majorHAnsi"/>
          <w:sz w:val="24"/>
          <w:szCs w:val="24"/>
        </w:rPr>
        <w:t xml:space="preserve"> care </w:t>
      </w:r>
      <w:r w:rsidR="008369B2">
        <w:rPr>
          <w:rFonts w:asciiTheme="majorHAnsi" w:hAnsiTheme="majorHAnsi" w:cstheme="majorHAnsi"/>
          <w:sz w:val="24"/>
          <w:szCs w:val="24"/>
        </w:rPr>
        <w:t>se</w:t>
      </w:r>
      <w:r w:rsidRPr="008376FC">
        <w:rPr>
          <w:rFonts w:asciiTheme="majorHAnsi" w:hAnsiTheme="majorHAnsi" w:cstheme="majorHAnsi"/>
          <w:sz w:val="24"/>
          <w:szCs w:val="24"/>
        </w:rPr>
        <w:t xml:space="preserve"> efectu</w:t>
      </w:r>
      <w:r w:rsidR="008369B2">
        <w:rPr>
          <w:rFonts w:asciiTheme="majorHAnsi" w:hAnsiTheme="majorHAnsi" w:cstheme="majorHAnsi"/>
          <w:sz w:val="24"/>
          <w:szCs w:val="24"/>
        </w:rPr>
        <w:t>ează</w:t>
      </w:r>
      <w:r w:rsidRPr="008376FC">
        <w:rPr>
          <w:rFonts w:asciiTheme="majorHAnsi" w:hAnsiTheme="majorHAnsi" w:cstheme="majorHAnsi"/>
          <w:sz w:val="24"/>
          <w:szCs w:val="24"/>
        </w:rPr>
        <w:t xml:space="preserve"> o dată la trei ani de către agenții externe specializate în domeniul alimentării cu apă.</w:t>
      </w:r>
    </w:p>
    <w:p w:rsidR="00FB7942" w:rsidRDefault="00FB7942" w:rsidP="00F61756">
      <w:pPr>
        <w:pStyle w:val="Bodytext100"/>
        <w:shd w:val="clear" w:color="auto" w:fill="auto"/>
        <w:spacing w:before="0" w:line="276" w:lineRule="auto"/>
        <w:ind w:firstLine="720"/>
        <w:rPr>
          <w:rFonts w:asciiTheme="majorHAnsi" w:hAnsiTheme="majorHAnsi" w:cstheme="majorHAnsi"/>
          <w:sz w:val="24"/>
          <w:szCs w:val="24"/>
        </w:rPr>
      </w:pPr>
    </w:p>
    <w:p w:rsidR="00FB7942" w:rsidRPr="008376FC" w:rsidRDefault="00FB7942" w:rsidP="00F61756">
      <w:pPr>
        <w:pStyle w:val="Bodytext100"/>
        <w:shd w:val="clear" w:color="auto" w:fill="auto"/>
        <w:spacing w:before="0" w:line="276" w:lineRule="auto"/>
        <w:ind w:firstLine="720"/>
        <w:rPr>
          <w:rFonts w:asciiTheme="majorHAnsi" w:hAnsiTheme="majorHAnsi" w:cstheme="majorHAnsi"/>
          <w:sz w:val="24"/>
          <w:szCs w:val="24"/>
        </w:rPr>
      </w:pPr>
    </w:p>
    <w:p w:rsidR="00124D8D" w:rsidRPr="00F278F9" w:rsidRDefault="00230129" w:rsidP="00F61756">
      <w:pPr>
        <w:pStyle w:val="Bodytext100"/>
        <w:shd w:val="clear" w:color="auto" w:fill="auto"/>
        <w:spacing w:before="0" w:line="276" w:lineRule="auto"/>
        <w:ind w:firstLine="720"/>
        <w:jc w:val="right"/>
        <w:rPr>
          <w:rFonts w:asciiTheme="majorHAnsi" w:hAnsiTheme="majorHAnsi" w:cstheme="majorHAnsi"/>
          <w:b/>
          <w:sz w:val="20"/>
          <w:szCs w:val="20"/>
        </w:rPr>
      </w:pPr>
      <w:r w:rsidRPr="00F278F9">
        <w:rPr>
          <w:rFonts w:asciiTheme="majorHAnsi" w:hAnsiTheme="majorHAnsi" w:cstheme="majorHAnsi"/>
          <w:b/>
          <w:sz w:val="20"/>
          <w:szCs w:val="20"/>
        </w:rPr>
        <w:t>Tabelul nr.38</w:t>
      </w:r>
    </w:p>
    <w:p w:rsidR="00124D8D" w:rsidRPr="00F278F9" w:rsidRDefault="00124D8D" w:rsidP="00F61756">
      <w:pPr>
        <w:pStyle w:val="Bodytext100"/>
        <w:shd w:val="clear" w:color="auto" w:fill="auto"/>
        <w:spacing w:before="0" w:line="276" w:lineRule="auto"/>
        <w:ind w:firstLine="0"/>
        <w:rPr>
          <w:rFonts w:asciiTheme="majorHAnsi" w:hAnsiTheme="majorHAnsi" w:cstheme="majorHAnsi"/>
          <w:b/>
          <w:bCs/>
          <w:sz w:val="20"/>
          <w:szCs w:val="20"/>
        </w:rPr>
      </w:pPr>
      <w:r w:rsidRPr="00F278F9">
        <w:rPr>
          <w:rFonts w:asciiTheme="majorHAnsi" w:hAnsiTheme="majorHAnsi" w:cstheme="majorHAnsi"/>
          <w:b/>
          <w:bCs/>
          <w:sz w:val="20"/>
          <w:szCs w:val="20"/>
        </w:rPr>
        <w:t>Compararea experienței Turciei cu situația din Republic</w:t>
      </w:r>
      <w:r w:rsidR="008369B2" w:rsidRPr="00F278F9">
        <w:rPr>
          <w:rFonts w:asciiTheme="majorHAnsi" w:hAnsiTheme="majorHAnsi" w:cstheme="majorHAnsi"/>
          <w:b/>
          <w:bCs/>
          <w:sz w:val="20"/>
          <w:szCs w:val="20"/>
        </w:rPr>
        <w:t>a</w:t>
      </w:r>
      <w:r w:rsidRPr="00F278F9">
        <w:rPr>
          <w:rFonts w:asciiTheme="majorHAnsi" w:hAnsiTheme="majorHAnsi" w:cstheme="majorHAnsi"/>
          <w:b/>
          <w:bCs/>
          <w:sz w:val="20"/>
          <w:szCs w:val="20"/>
        </w:rPr>
        <w:t xml:space="preserve"> Moldova</w:t>
      </w:r>
      <w:r w:rsidR="009132BB" w:rsidRPr="00F278F9">
        <w:rPr>
          <w:rFonts w:asciiTheme="majorHAnsi" w:hAnsiTheme="majorHAnsi" w:cstheme="majorHAnsi"/>
          <w:b/>
          <w:bCs/>
          <w:sz w:val="20"/>
          <w:szCs w:val="20"/>
        </w:rPr>
        <w:t xml:space="preserve"> în domeniul alimentării cu apă și sanitației</w:t>
      </w:r>
    </w:p>
    <w:tbl>
      <w:tblPr>
        <w:tblStyle w:val="af2"/>
        <w:tblW w:w="0" w:type="auto"/>
        <w:tblLook w:val="04A0" w:firstRow="1" w:lastRow="0" w:firstColumn="1" w:lastColumn="0" w:noHBand="0" w:noVBand="1"/>
      </w:tblPr>
      <w:tblGrid>
        <w:gridCol w:w="3221"/>
        <w:gridCol w:w="3224"/>
        <w:gridCol w:w="3233"/>
      </w:tblGrid>
      <w:tr w:rsidR="00124D8D" w:rsidRPr="008376FC" w:rsidTr="00197335">
        <w:tc>
          <w:tcPr>
            <w:tcW w:w="3282" w:type="dxa"/>
            <w:shd w:val="clear" w:color="auto" w:fill="DEEAF6" w:themeFill="accent1" w:themeFillTint="33"/>
          </w:tcPr>
          <w:p w:rsidR="00BE3B68" w:rsidRPr="008376FC" w:rsidRDefault="00124D8D" w:rsidP="00F61756">
            <w:pPr>
              <w:pStyle w:val="Bodytext100"/>
              <w:shd w:val="clear" w:color="auto" w:fill="auto"/>
              <w:spacing w:before="0" w:line="276" w:lineRule="auto"/>
              <w:ind w:firstLine="0"/>
              <w:jc w:val="center"/>
              <w:rPr>
                <w:rFonts w:asciiTheme="majorHAnsi" w:hAnsiTheme="majorHAnsi" w:cstheme="majorHAnsi"/>
                <w:b/>
                <w:bCs/>
                <w:sz w:val="20"/>
                <w:szCs w:val="20"/>
              </w:rPr>
            </w:pPr>
            <w:r w:rsidRPr="008376FC">
              <w:rPr>
                <w:rFonts w:asciiTheme="majorHAnsi" w:hAnsiTheme="majorHAnsi" w:cstheme="majorHAnsi"/>
                <w:b/>
                <w:bCs/>
                <w:sz w:val="20"/>
                <w:szCs w:val="20"/>
              </w:rPr>
              <w:t>Indicator</w:t>
            </w:r>
          </w:p>
        </w:tc>
        <w:tc>
          <w:tcPr>
            <w:tcW w:w="3283" w:type="dxa"/>
            <w:shd w:val="clear" w:color="auto" w:fill="DEEAF6" w:themeFill="accent1" w:themeFillTint="33"/>
          </w:tcPr>
          <w:p w:rsidR="00BE3B68" w:rsidRPr="008376FC" w:rsidRDefault="00124D8D" w:rsidP="00F61756">
            <w:pPr>
              <w:pStyle w:val="Bodytext100"/>
              <w:shd w:val="clear" w:color="auto" w:fill="auto"/>
              <w:spacing w:before="0" w:line="276" w:lineRule="auto"/>
              <w:ind w:firstLine="0"/>
              <w:jc w:val="center"/>
              <w:rPr>
                <w:rFonts w:asciiTheme="majorHAnsi" w:hAnsiTheme="majorHAnsi" w:cstheme="majorHAnsi"/>
                <w:b/>
                <w:bCs/>
                <w:sz w:val="20"/>
                <w:szCs w:val="20"/>
              </w:rPr>
            </w:pPr>
            <w:r w:rsidRPr="008376FC">
              <w:rPr>
                <w:rFonts w:asciiTheme="majorHAnsi" w:hAnsiTheme="majorHAnsi" w:cstheme="majorHAnsi"/>
                <w:b/>
                <w:bCs/>
                <w:sz w:val="20"/>
                <w:szCs w:val="20"/>
              </w:rPr>
              <w:t>Turcia</w:t>
            </w:r>
          </w:p>
        </w:tc>
        <w:tc>
          <w:tcPr>
            <w:tcW w:w="3283" w:type="dxa"/>
            <w:shd w:val="clear" w:color="auto" w:fill="DEEAF6" w:themeFill="accent1" w:themeFillTint="33"/>
          </w:tcPr>
          <w:p w:rsidR="00BE3B68" w:rsidRPr="008376FC" w:rsidRDefault="00124D8D" w:rsidP="00F61756">
            <w:pPr>
              <w:pStyle w:val="Bodytext100"/>
              <w:shd w:val="clear" w:color="auto" w:fill="auto"/>
              <w:spacing w:before="0" w:line="276" w:lineRule="auto"/>
              <w:ind w:firstLine="0"/>
              <w:jc w:val="center"/>
              <w:rPr>
                <w:rFonts w:asciiTheme="majorHAnsi" w:hAnsiTheme="majorHAnsi" w:cstheme="majorHAnsi"/>
                <w:b/>
                <w:bCs/>
                <w:sz w:val="20"/>
                <w:szCs w:val="20"/>
              </w:rPr>
            </w:pPr>
            <w:r w:rsidRPr="008376FC">
              <w:rPr>
                <w:rFonts w:asciiTheme="majorHAnsi" w:hAnsiTheme="majorHAnsi" w:cstheme="majorHAnsi"/>
                <w:b/>
                <w:bCs/>
                <w:sz w:val="20"/>
                <w:szCs w:val="20"/>
              </w:rPr>
              <w:t>Republica Moldova</w:t>
            </w:r>
          </w:p>
        </w:tc>
      </w:tr>
      <w:tr w:rsidR="00124D8D" w:rsidRPr="008376FC" w:rsidTr="00EE132E">
        <w:tc>
          <w:tcPr>
            <w:tcW w:w="3282" w:type="dxa"/>
          </w:tcPr>
          <w:p w:rsidR="00124D8D" w:rsidRPr="008376FC" w:rsidRDefault="00124D8D" w:rsidP="00F61756">
            <w:pPr>
              <w:pStyle w:val="Bodytext100"/>
              <w:shd w:val="clear" w:color="auto" w:fill="auto"/>
              <w:spacing w:before="0" w:line="276" w:lineRule="auto"/>
              <w:ind w:firstLine="0"/>
              <w:rPr>
                <w:rFonts w:asciiTheme="majorHAnsi" w:hAnsiTheme="majorHAnsi" w:cstheme="majorHAnsi"/>
                <w:bCs/>
                <w:sz w:val="20"/>
                <w:szCs w:val="20"/>
              </w:rPr>
            </w:pPr>
            <w:r w:rsidRPr="008376FC">
              <w:rPr>
                <w:rFonts w:asciiTheme="majorHAnsi" w:hAnsiTheme="majorHAnsi" w:cstheme="majorHAnsi"/>
                <w:bCs/>
                <w:sz w:val="20"/>
                <w:szCs w:val="20"/>
              </w:rPr>
              <w:t>Elaborarea şi aprobarea Planurilor de investiții</w:t>
            </w:r>
          </w:p>
        </w:tc>
        <w:tc>
          <w:tcPr>
            <w:tcW w:w="3283" w:type="dxa"/>
          </w:tcPr>
          <w:p w:rsidR="00124D8D" w:rsidRPr="008376FC" w:rsidRDefault="00124D8D" w:rsidP="00F61756">
            <w:pPr>
              <w:pStyle w:val="Bodytext100"/>
              <w:shd w:val="clear" w:color="auto" w:fill="auto"/>
              <w:spacing w:before="0" w:line="276" w:lineRule="auto"/>
              <w:ind w:firstLine="0"/>
              <w:rPr>
                <w:rFonts w:asciiTheme="majorHAnsi" w:hAnsiTheme="majorHAnsi" w:cstheme="majorHAnsi"/>
                <w:sz w:val="20"/>
                <w:szCs w:val="20"/>
              </w:rPr>
            </w:pPr>
            <w:r w:rsidRPr="008376FC">
              <w:rPr>
                <w:rFonts w:asciiTheme="majorHAnsi" w:hAnsiTheme="majorHAnsi" w:cstheme="majorHAnsi"/>
                <w:sz w:val="20"/>
                <w:szCs w:val="20"/>
              </w:rPr>
              <w:t>Ministerul de ramură asigura aprobarea schemelor de alimentare cu apă și a activităților de tratare a apei în baza planurilor anuale ale autorităților teritoriale de apă și debursarea de fonduri pentru acestea către autorităților regionale de apă și autoritățile rurale.</w:t>
            </w:r>
          </w:p>
        </w:tc>
        <w:tc>
          <w:tcPr>
            <w:tcW w:w="3283" w:type="dxa"/>
          </w:tcPr>
          <w:p w:rsidR="00124D8D" w:rsidRPr="008376FC" w:rsidRDefault="00124D8D" w:rsidP="00F61756">
            <w:pPr>
              <w:pStyle w:val="Bodytext100"/>
              <w:shd w:val="clear" w:color="auto" w:fill="auto"/>
              <w:spacing w:before="0" w:line="276" w:lineRule="auto"/>
              <w:ind w:firstLine="0"/>
              <w:rPr>
                <w:rFonts w:asciiTheme="majorHAnsi" w:hAnsiTheme="majorHAnsi" w:cstheme="majorHAnsi"/>
                <w:sz w:val="20"/>
                <w:szCs w:val="20"/>
              </w:rPr>
            </w:pPr>
            <w:r w:rsidRPr="008376FC">
              <w:rPr>
                <w:rFonts w:asciiTheme="majorHAnsi" w:hAnsiTheme="majorHAnsi" w:cstheme="majorHAnsi"/>
                <w:sz w:val="20"/>
                <w:szCs w:val="20"/>
              </w:rPr>
              <w:t>Autoritățile administrației publice locale sunt responsabile de planificarea și urmărirea executării lucrărilor de investiții conform propriilor strategii de dezvoltare a serviciului de alimentare cu apă și de canalizare și planurilor generale de urbanism. În acest scop, autoritățile publice locale întocmesc programe de investiții multianuale de înlocuire, extindere şi modernizare a sistemelor de alimentare cu apă şi de canalizare, corelate cu investițiile stabilite în planurile de alimentare cu apă și sanitație raionale/naționale</w:t>
            </w:r>
          </w:p>
        </w:tc>
      </w:tr>
      <w:tr w:rsidR="00124D8D" w:rsidRPr="008376FC" w:rsidTr="00EE132E">
        <w:tc>
          <w:tcPr>
            <w:tcW w:w="3282" w:type="dxa"/>
          </w:tcPr>
          <w:p w:rsidR="00124D8D" w:rsidRPr="008376FC" w:rsidRDefault="00124D8D" w:rsidP="00F61756">
            <w:pPr>
              <w:pStyle w:val="Bodytext100"/>
              <w:shd w:val="clear" w:color="auto" w:fill="auto"/>
              <w:spacing w:before="0" w:line="276" w:lineRule="auto"/>
              <w:ind w:firstLine="0"/>
              <w:rPr>
                <w:rFonts w:asciiTheme="majorHAnsi" w:hAnsiTheme="majorHAnsi" w:cstheme="majorHAnsi"/>
                <w:bCs/>
                <w:sz w:val="20"/>
                <w:szCs w:val="20"/>
              </w:rPr>
            </w:pPr>
            <w:r w:rsidRPr="008376FC">
              <w:rPr>
                <w:rFonts w:asciiTheme="majorHAnsi" w:hAnsiTheme="majorHAnsi" w:cstheme="majorHAnsi"/>
                <w:bCs/>
                <w:sz w:val="20"/>
                <w:szCs w:val="20"/>
              </w:rPr>
              <w:t>Atragerea fondurilor pentru finanțarea Planurilor de investiții</w:t>
            </w:r>
          </w:p>
        </w:tc>
        <w:tc>
          <w:tcPr>
            <w:tcW w:w="3283" w:type="dxa"/>
          </w:tcPr>
          <w:p w:rsidR="00124D8D" w:rsidRPr="008376FC" w:rsidRDefault="00124D8D" w:rsidP="00F61756">
            <w:pPr>
              <w:pStyle w:val="Bodytext100"/>
              <w:shd w:val="clear" w:color="auto" w:fill="auto"/>
              <w:spacing w:before="0" w:line="276" w:lineRule="auto"/>
              <w:ind w:firstLine="0"/>
              <w:rPr>
                <w:rFonts w:asciiTheme="majorHAnsi" w:hAnsiTheme="majorHAnsi" w:cstheme="majorHAnsi"/>
                <w:sz w:val="20"/>
                <w:szCs w:val="20"/>
              </w:rPr>
            </w:pPr>
            <w:r w:rsidRPr="008376FC">
              <w:rPr>
                <w:rFonts w:asciiTheme="majorHAnsi" w:hAnsiTheme="majorHAnsi" w:cstheme="majorHAnsi"/>
                <w:sz w:val="20"/>
                <w:szCs w:val="20"/>
              </w:rPr>
              <w:t>Finanțarea se realizează de către Ministerul de ramură</w:t>
            </w:r>
            <w:r w:rsidR="008369B2">
              <w:rPr>
                <w:rFonts w:asciiTheme="majorHAnsi" w:hAnsiTheme="majorHAnsi" w:cstheme="majorHAnsi"/>
                <w:sz w:val="20"/>
                <w:szCs w:val="20"/>
              </w:rPr>
              <w:t>,</w:t>
            </w:r>
            <w:r w:rsidRPr="008376FC">
              <w:rPr>
                <w:rFonts w:asciiTheme="majorHAnsi" w:hAnsiTheme="majorHAnsi" w:cstheme="majorHAnsi"/>
                <w:sz w:val="20"/>
                <w:szCs w:val="20"/>
              </w:rPr>
              <w:t xml:space="preserve"> după sistematizarea propunerilor parvenite de la autoritățile regionale, care</w:t>
            </w:r>
            <w:r w:rsidR="008369B2">
              <w:rPr>
                <w:rFonts w:asciiTheme="majorHAnsi" w:hAnsiTheme="majorHAnsi" w:cstheme="majorHAnsi"/>
                <w:sz w:val="20"/>
                <w:szCs w:val="20"/>
              </w:rPr>
              <w:t>,</w:t>
            </w:r>
            <w:r w:rsidRPr="008376FC">
              <w:rPr>
                <w:rFonts w:asciiTheme="majorHAnsi" w:hAnsiTheme="majorHAnsi" w:cstheme="majorHAnsi"/>
                <w:sz w:val="20"/>
                <w:szCs w:val="20"/>
              </w:rPr>
              <w:t xml:space="preserve"> la rândul </w:t>
            </w:r>
            <w:r w:rsidR="008369B2">
              <w:rPr>
                <w:rFonts w:asciiTheme="majorHAnsi" w:hAnsiTheme="majorHAnsi" w:cstheme="majorHAnsi"/>
                <w:sz w:val="20"/>
                <w:szCs w:val="20"/>
              </w:rPr>
              <w:t>lor</w:t>
            </w:r>
            <w:r w:rsidRPr="008376FC">
              <w:rPr>
                <w:rFonts w:asciiTheme="majorHAnsi" w:hAnsiTheme="majorHAnsi" w:cstheme="majorHAnsi"/>
                <w:sz w:val="20"/>
                <w:szCs w:val="20"/>
              </w:rPr>
              <w:t>, sistematizează propunerile autoritățil</w:t>
            </w:r>
            <w:r w:rsidR="008369B2">
              <w:rPr>
                <w:rFonts w:asciiTheme="majorHAnsi" w:hAnsiTheme="majorHAnsi" w:cstheme="majorHAnsi"/>
                <w:sz w:val="20"/>
                <w:szCs w:val="20"/>
              </w:rPr>
              <w:t>or</w:t>
            </w:r>
            <w:r w:rsidRPr="008376FC">
              <w:rPr>
                <w:rFonts w:asciiTheme="majorHAnsi" w:hAnsiTheme="majorHAnsi" w:cstheme="majorHAnsi"/>
                <w:sz w:val="20"/>
                <w:szCs w:val="20"/>
              </w:rPr>
              <w:t xml:space="preserve"> locale.</w:t>
            </w:r>
          </w:p>
        </w:tc>
        <w:tc>
          <w:tcPr>
            <w:tcW w:w="3283" w:type="dxa"/>
          </w:tcPr>
          <w:p w:rsidR="00124D8D" w:rsidRPr="008376FC" w:rsidRDefault="00124D8D" w:rsidP="00F61756">
            <w:pPr>
              <w:pStyle w:val="Bodytext100"/>
              <w:shd w:val="clear" w:color="auto" w:fill="auto"/>
              <w:spacing w:before="0" w:line="276" w:lineRule="auto"/>
              <w:ind w:firstLine="0"/>
              <w:rPr>
                <w:rFonts w:asciiTheme="majorHAnsi" w:hAnsiTheme="majorHAnsi" w:cstheme="majorHAnsi"/>
                <w:sz w:val="20"/>
                <w:szCs w:val="20"/>
              </w:rPr>
            </w:pPr>
            <w:r w:rsidRPr="008376FC">
              <w:rPr>
                <w:rFonts w:asciiTheme="majorHAnsi" w:hAnsiTheme="majorHAnsi" w:cstheme="majorHAnsi"/>
                <w:sz w:val="20"/>
                <w:szCs w:val="20"/>
              </w:rPr>
              <w:t>APL sunt responsabile de atragerea fondurilor de investiții pentru reabilitarea/ extinderea rețelelor de apă şi canalizare.</w:t>
            </w:r>
          </w:p>
          <w:p w:rsidR="00124D8D" w:rsidRPr="008376FC" w:rsidRDefault="00124D8D" w:rsidP="00F61756">
            <w:pPr>
              <w:pStyle w:val="Bodytext100"/>
              <w:shd w:val="clear" w:color="auto" w:fill="auto"/>
              <w:spacing w:before="0" w:line="276" w:lineRule="auto"/>
              <w:ind w:firstLine="0"/>
              <w:rPr>
                <w:rFonts w:asciiTheme="majorHAnsi" w:hAnsiTheme="majorHAnsi" w:cstheme="majorHAnsi"/>
                <w:sz w:val="20"/>
                <w:szCs w:val="20"/>
              </w:rPr>
            </w:pPr>
            <w:r w:rsidRPr="008376FC">
              <w:rPr>
                <w:rFonts w:asciiTheme="majorHAnsi" w:hAnsiTheme="majorHAnsi" w:cstheme="majorHAnsi"/>
                <w:sz w:val="20"/>
                <w:szCs w:val="20"/>
              </w:rPr>
              <w:t>Pe parcursul anilor 2014-2022, finanțarea din bugetul de stat a fost realizată prin intermediul a 3 fonduri (FEN, FNDR, FNDAMR)</w:t>
            </w:r>
            <w:r w:rsidR="009132BB">
              <w:rPr>
                <w:rFonts w:asciiTheme="majorHAnsi" w:hAnsiTheme="majorHAnsi" w:cstheme="majorHAnsi"/>
                <w:sz w:val="20"/>
                <w:szCs w:val="20"/>
              </w:rPr>
              <w:t>,</w:t>
            </w:r>
            <w:r w:rsidRPr="008376FC">
              <w:rPr>
                <w:rFonts w:asciiTheme="majorHAnsi" w:hAnsiTheme="majorHAnsi" w:cstheme="majorHAnsi"/>
                <w:sz w:val="20"/>
                <w:szCs w:val="20"/>
              </w:rPr>
              <w:t xml:space="preserve"> fiecare având criteriile şi regulile sale de finanțare</w:t>
            </w:r>
            <w:r w:rsidR="009132BB">
              <w:rPr>
                <w:rFonts w:asciiTheme="majorHAnsi" w:hAnsiTheme="majorHAnsi" w:cstheme="majorHAnsi"/>
                <w:sz w:val="20"/>
                <w:szCs w:val="20"/>
              </w:rPr>
              <w:t xml:space="preserve">. Și în  </w:t>
            </w:r>
            <w:r w:rsidRPr="008376FC">
              <w:rPr>
                <w:rFonts w:asciiTheme="majorHAnsi" w:hAnsiTheme="majorHAnsi" w:cstheme="majorHAnsi"/>
                <w:sz w:val="20"/>
                <w:szCs w:val="20"/>
              </w:rPr>
              <w:t xml:space="preserve"> anul 2022, de asemenea sunt 3 fonduri prin care este asigurată finanțarea infrastructurii AAS (FNM, FNDR, FNDAMR)</w:t>
            </w:r>
          </w:p>
        </w:tc>
      </w:tr>
      <w:tr w:rsidR="00124D8D" w:rsidRPr="008376FC" w:rsidTr="00EE132E">
        <w:tc>
          <w:tcPr>
            <w:tcW w:w="3282" w:type="dxa"/>
          </w:tcPr>
          <w:p w:rsidR="00124D8D" w:rsidRPr="008376FC" w:rsidRDefault="00124D8D" w:rsidP="00F61756">
            <w:pPr>
              <w:pStyle w:val="Bodytext100"/>
              <w:shd w:val="clear" w:color="auto" w:fill="auto"/>
              <w:spacing w:before="0" w:line="276" w:lineRule="auto"/>
              <w:ind w:firstLine="0"/>
              <w:rPr>
                <w:rFonts w:asciiTheme="majorHAnsi" w:hAnsiTheme="majorHAnsi" w:cstheme="majorHAnsi"/>
                <w:bCs/>
                <w:sz w:val="20"/>
                <w:szCs w:val="20"/>
              </w:rPr>
            </w:pPr>
            <w:r w:rsidRPr="008376FC">
              <w:rPr>
                <w:rFonts w:asciiTheme="majorHAnsi" w:hAnsiTheme="majorHAnsi" w:cstheme="majorHAnsi"/>
                <w:bCs/>
                <w:sz w:val="20"/>
                <w:szCs w:val="20"/>
              </w:rPr>
              <w:t>Existen</w:t>
            </w:r>
            <w:r w:rsidR="009132BB">
              <w:rPr>
                <w:rFonts w:asciiTheme="majorHAnsi" w:hAnsiTheme="majorHAnsi" w:cstheme="majorHAnsi"/>
                <w:bCs/>
                <w:sz w:val="20"/>
                <w:szCs w:val="20"/>
              </w:rPr>
              <w:t>ț</w:t>
            </w:r>
            <w:r w:rsidRPr="008376FC">
              <w:rPr>
                <w:rFonts w:asciiTheme="majorHAnsi" w:hAnsiTheme="majorHAnsi" w:cstheme="majorHAnsi"/>
                <w:bCs/>
                <w:sz w:val="20"/>
                <w:szCs w:val="20"/>
              </w:rPr>
              <w:t xml:space="preserve">a unui sistem informațional aferent obiectivelor de infrastructură în domeniul apei şi sanitației </w:t>
            </w:r>
          </w:p>
        </w:tc>
        <w:tc>
          <w:tcPr>
            <w:tcW w:w="3283" w:type="dxa"/>
          </w:tcPr>
          <w:p w:rsidR="00124D8D" w:rsidRPr="008376FC" w:rsidRDefault="00124D8D" w:rsidP="00F61756">
            <w:pPr>
              <w:pStyle w:val="Bodytext100"/>
              <w:shd w:val="clear" w:color="auto" w:fill="auto"/>
              <w:spacing w:before="0" w:line="276" w:lineRule="auto"/>
              <w:ind w:firstLine="0"/>
              <w:rPr>
                <w:rFonts w:asciiTheme="majorHAnsi" w:hAnsiTheme="majorHAnsi" w:cstheme="majorHAnsi"/>
                <w:sz w:val="20"/>
                <w:szCs w:val="20"/>
              </w:rPr>
            </w:pPr>
            <w:r w:rsidRPr="008376FC">
              <w:rPr>
                <w:rFonts w:asciiTheme="majorHAnsi" w:hAnsiTheme="majorHAnsi" w:cstheme="majorHAnsi"/>
                <w:sz w:val="20"/>
                <w:szCs w:val="20"/>
              </w:rPr>
              <w:t>Ministerul de ramură asigură menținerea unui sistem informațional centralizat de date geo-hidrologice, financiare și operaționale aferente infrastructurii de alimentare cu apă şi sanitație</w:t>
            </w:r>
          </w:p>
        </w:tc>
        <w:tc>
          <w:tcPr>
            <w:tcW w:w="3283" w:type="dxa"/>
          </w:tcPr>
          <w:p w:rsidR="00124D8D" w:rsidRPr="008376FC" w:rsidRDefault="00124D8D" w:rsidP="00F61756">
            <w:pPr>
              <w:pStyle w:val="Bodytext100"/>
              <w:shd w:val="clear" w:color="auto" w:fill="auto"/>
              <w:spacing w:before="0" w:line="276" w:lineRule="auto"/>
              <w:ind w:firstLine="0"/>
              <w:rPr>
                <w:rFonts w:asciiTheme="majorHAnsi" w:hAnsiTheme="majorHAnsi" w:cstheme="majorHAnsi"/>
                <w:sz w:val="20"/>
                <w:szCs w:val="20"/>
              </w:rPr>
            </w:pPr>
            <w:r w:rsidRPr="008376FC">
              <w:rPr>
                <w:rFonts w:asciiTheme="majorHAnsi" w:hAnsiTheme="majorHAnsi" w:cstheme="majorHAnsi"/>
                <w:sz w:val="20"/>
                <w:szCs w:val="20"/>
              </w:rPr>
              <w:t>La momentul de față nu există un sistem informațional care să conțină informați</w:t>
            </w:r>
            <w:r w:rsidR="009132BB">
              <w:rPr>
                <w:rFonts w:asciiTheme="majorHAnsi" w:hAnsiTheme="majorHAnsi" w:cstheme="majorHAnsi"/>
                <w:sz w:val="20"/>
                <w:szCs w:val="20"/>
              </w:rPr>
              <w:t>i</w:t>
            </w:r>
            <w:r w:rsidRPr="008376FC">
              <w:rPr>
                <w:rFonts w:asciiTheme="majorHAnsi" w:hAnsiTheme="majorHAnsi" w:cstheme="majorHAnsi"/>
                <w:sz w:val="20"/>
                <w:szCs w:val="20"/>
              </w:rPr>
              <w:t xml:space="preserve"> aferent</w:t>
            </w:r>
            <w:r w:rsidR="009132BB">
              <w:rPr>
                <w:rFonts w:asciiTheme="majorHAnsi" w:hAnsiTheme="majorHAnsi" w:cstheme="majorHAnsi"/>
                <w:sz w:val="20"/>
                <w:szCs w:val="20"/>
              </w:rPr>
              <w:t>e</w:t>
            </w:r>
            <w:r w:rsidRPr="008376FC">
              <w:rPr>
                <w:rFonts w:asciiTheme="majorHAnsi" w:hAnsiTheme="majorHAnsi" w:cstheme="majorHAnsi"/>
                <w:sz w:val="20"/>
                <w:szCs w:val="20"/>
              </w:rPr>
              <w:t xml:space="preserve">  obiectivelor de infrastructură tehnico-edilitară</w:t>
            </w:r>
            <w:r w:rsidR="009132BB">
              <w:rPr>
                <w:rFonts w:asciiTheme="majorHAnsi" w:hAnsiTheme="majorHAnsi" w:cstheme="majorHAnsi"/>
                <w:sz w:val="20"/>
                <w:szCs w:val="20"/>
              </w:rPr>
              <w:t>;</w:t>
            </w:r>
            <w:r w:rsidRPr="008376FC">
              <w:rPr>
                <w:rFonts w:asciiTheme="majorHAnsi" w:hAnsiTheme="majorHAnsi" w:cstheme="majorHAnsi"/>
                <w:sz w:val="20"/>
                <w:szCs w:val="20"/>
              </w:rPr>
              <w:t xml:space="preserve"> SIA ROITE este la etapa de achiziție a serviciilor de elaborare, deși conceptul a fost elaborat şi aprobat încă în anul 2014. Totodată, sistemul nu va asigura evidenţa datelor financiare aferente infrastructurii de alimentare cu apă şi sanitaţie</w:t>
            </w:r>
          </w:p>
        </w:tc>
      </w:tr>
    </w:tbl>
    <w:p w:rsidR="00124D8D" w:rsidRPr="008376FC" w:rsidRDefault="00124D8D" w:rsidP="00F61756">
      <w:pPr>
        <w:pStyle w:val="Bodytext100"/>
        <w:shd w:val="clear" w:color="auto" w:fill="auto"/>
        <w:spacing w:before="0" w:line="276" w:lineRule="auto"/>
        <w:ind w:firstLine="720"/>
        <w:rPr>
          <w:rFonts w:asciiTheme="majorHAnsi" w:hAnsiTheme="majorHAnsi" w:cstheme="majorHAnsi"/>
          <w:sz w:val="24"/>
          <w:szCs w:val="24"/>
        </w:rPr>
      </w:pPr>
    </w:p>
    <w:p w:rsidR="00FE6304" w:rsidRDefault="00FE6304" w:rsidP="00F61756">
      <w:pPr>
        <w:pStyle w:val="Bodytext100"/>
        <w:shd w:val="clear" w:color="auto" w:fill="auto"/>
        <w:spacing w:before="0" w:line="276" w:lineRule="auto"/>
        <w:ind w:firstLine="720"/>
        <w:rPr>
          <w:rFonts w:asciiTheme="majorHAnsi" w:hAnsiTheme="majorHAnsi" w:cstheme="majorHAnsi"/>
          <w:sz w:val="24"/>
          <w:szCs w:val="24"/>
        </w:rPr>
      </w:pPr>
      <w:r w:rsidRPr="008376FC">
        <w:rPr>
          <w:rFonts w:asciiTheme="majorHAnsi" w:hAnsiTheme="majorHAnsi" w:cstheme="majorHAnsi"/>
          <w:sz w:val="24"/>
          <w:szCs w:val="24"/>
        </w:rPr>
        <w:t>În scopul eficientizării gestionări</w:t>
      </w:r>
      <w:r w:rsidR="009132BB">
        <w:rPr>
          <w:rFonts w:asciiTheme="majorHAnsi" w:hAnsiTheme="majorHAnsi" w:cstheme="majorHAnsi"/>
          <w:sz w:val="24"/>
          <w:szCs w:val="24"/>
        </w:rPr>
        <w:t>i</w:t>
      </w:r>
      <w:r w:rsidRPr="008376FC">
        <w:rPr>
          <w:rFonts w:asciiTheme="majorHAnsi" w:hAnsiTheme="majorHAnsi" w:cstheme="majorHAnsi"/>
          <w:sz w:val="24"/>
          <w:szCs w:val="24"/>
        </w:rPr>
        <w:t xml:space="preserve"> domeniului de alimentare cu apă și sanitație, precum și a obiecti</w:t>
      </w:r>
      <w:r w:rsidR="00912C2F">
        <w:rPr>
          <w:rFonts w:asciiTheme="majorHAnsi" w:hAnsiTheme="majorHAnsi" w:cstheme="majorHAnsi"/>
          <w:sz w:val="24"/>
          <w:szCs w:val="24"/>
        </w:rPr>
        <w:t>v</w:t>
      </w:r>
      <w:r w:rsidRPr="008376FC">
        <w:rPr>
          <w:rFonts w:asciiTheme="majorHAnsi" w:hAnsiTheme="majorHAnsi" w:cstheme="majorHAnsi"/>
          <w:sz w:val="24"/>
          <w:szCs w:val="24"/>
        </w:rPr>
        <w:t>elor de infrastructură tehnico-edilitată, ar fi oportu</w:t>
      </w:r>
      <w:r w:rsidR="00912C2F">
        <w:rPr>
          <w:rFonts w:asciiTheme="majorHAnsi" w:hAnsiTheme="majorHAnsi" w:cstheme="majorHAnsi"/>
          <w:sz w:val="24"/>
          <w:szCs w:val="24"/>
        </w:rPr>
        <w:t>nă</w:t>
      </w:r>
      <w:r w:rsidRPr="008376FC">
        <w:rPr>
          <w:rFonts w:asciiTheme="majorHAnsi" w:hAnsiTheme="majorHAnsi" w:cstheme="majorHAnsi"/>
          <w:sz w:val="24"/>
          <w:szCs w:val="24"/>
        </w:rPr>
        <w:t xml:space="preserve"> examinarea practicilor altor țări și</w:t>
      </w:r>
      <w:r w:rsidR="00912C2F">
        <w:rPr>
          <w:rFonts w:asciiTheme="majorHAnsi" w:hAnsiTheme="majorHAnsi" w:cstheme="majorHAnsi"/>
          <w:sz w:val="24"/>
          <w:szCs w:val="24"/>
        </w:rPr>
        <w:t>,</w:t>
      </w:r>
      <w:r w:rsidRPr="008376FC">
        <w:rPr>
          <w:rFonts w:asciiTheme="majorHAnsi" w:hAnsiTheme="majorHAnsi" w:cstheme="majorHAnsi"/>
          <w:sz w:val="24"/>
          <w:szCs w:val="24"/>
        </w:rPr>
        <w:t xml:space="preserve"> reieșind din contextul național</w:t>
      </w:r>
      <w:r w:rsidR="00912C2F">
        <w:rPr>
          <w:rFonts w:asciiTheme="majorHAnsi" w:hAnsiTheme="majorHAnsi" w:cstheme="majorHAnsi"/>
          <w:sz w:val="24"/>
          <w:szCs w:val="24"/>
        </w:rPr>
        <w:t>,</w:t>
      </w:r>
      <w:r w:rsidRPr="008376FC">
        <w:rPr>
          <w:rFonts w:asciiTheme="majorHAnsi" w:hAnsiTheme="majorHAnsi" w:cstheme="majorHAnsi"/>
          <w:sz w:val="24"/>
          <w:szCs w:val="24"/>
        </w:rPr>
        <w:t xml:space="preserve"> </w:t>
      </w:r>
      <w:r w:rsidR="00912C2F" w:rsidRPr="008376FC">
        <w:rPr>
          <w:rFonts w:asciiTheme="majorHAnsi" w:hAnsiTheme="majorHAnsi" w:cstheme="majorHAnsi"/>
          <w:sz w:val="24"/>
          <w:szCs w:val="24"/>
        </w:rPr>
        <w:t xml:space="preserve">ajustarea </w:t>
      </w:r>
      <w:r w:rsidRPr="008376FC">
        <w:rPr>
          <w:rFonts w:asciiTheme="majorHAnsi" w:hAnsiTheme="majorHAnsi" w:cstheme="majorHAnsi"/>
          <w:sz w:val="24"/>
          <w:szCs w:val="24"/>
        </w:rPr>
        <w:t>a</w:t>
      </w:r>
      <w:r w:rsidR="00912C2F">
        <w:rPr>
          <w:rFonts w:asciiTheme="majorHAnsi" w:hAnsiTheme="majorHAnsi" w:cstheme="majorHAnsi"/>
          <w:sz w:val="24"/>
          <w:szCs w:val="24"/>
        </w:rPr>
        <w:t>acestor</w:t>
      </w:r>
      <w:r w:rsidRPr="008376FC">
        <w:rPr>
          <w:rFonts w:asciiTheme="majorHAnsi" w:hAnsiTheme="majorHAnsi" w:cstheme="majorHAnsi"/>
          <w:sz w:val="24"/>
          <w:szCs w:val="24"/>
        </w:rPr>
        <w:t xml:space="preserve"> practici</w:t>
      </w:r>
      <w:r w:rsidR="00912C2F">
        <w:rPr>
          <w:rFonts w:asciiTheme="majorHAnsi" w:hAnsiTheme="majorHAnsi" w:cstheme="majorHAnsi"/>
          <w:sz w:val="24"/>
          <w:szCs w:val="24"/>
        </w:rPr>
        <w:t>,</w:t>
      </w:r>
      <w:r w:rsidRPr="008376FC">
        <w:rPr>
          <w:rFonts w:asciiTheme="majorHAnsi" w:hAnsiTheme="majorHAnsi" w:cstheme="majorHAnsi"/>
          <w:sz w:val="24"/>
          <w:szCs w:val="24"/>
        </w:rPr>
        <w:t xml:space="preserve"> </w:t>
      </w:r>
      <w:r w:rsidR="00912C2F">
        <w:rPr>
          <w:rFonts w:asciiTheme="majorHAnsi" w:hAnsiTheme="majorHAnsi" w:cstheme="majorHAnsi"/>
          <w:sz w:val="24"/>
          <w:szCs w:val="24"/>
        </w:rPr>
        <w:t>ceea ce</w:t>
      </w:r>
      <w:r w:rsidR="004461C8" w:rsidRPr="008376FC">
        <w:rPr>
          <w:rFonts w:asciiTheme="majorHAnsi" w:hAnsiTheme="majorHAnsi" w:cstheme="majorHAnsi"/>
          <w:sz w:val="24"/>
          <w:szCs w:val="24"/>
        </w:rPr>
        <w:t xml:space="preserve"> ar asigura sporirea eficienței, durabilirății și sustenabilității OITE, menținerea tarifelor la un nivel adecvat, sustenabil </w:t>
      </w:r>
      <w:r w:rsidR="00912C2F">
        <w:rPr>
          <w:rFonts w:asciiTheme="majorHAnsi" w:hAnsiTheme="majorHAnsi" w:cstheme="majorHAnsi"/>
          <w:sz w:val="24"/>
          <w:szCs w:val="24"/>
        </w:rPr>
        <w:t>pentru</w:t>
      </w:r>
      <w:r w:rsidR="004461C8" w:rsidRPr="008376FC">
        <w:rPr>
          <w:rFonts w:asciiTheme="majorHAnsi" w:hAnsiTheme="majorHAnsi" w:cstheme="majorHAnsi"/>
          <w:sz w:val="24"/>
          <w:szCs w:val="24"/>
        </w:rPr>
        <w:t xml:space="preserve"> populație etc. </w:t>
      </w:r>
    </w:p>
    <w:p w:rsidR="001979FF" w:rsidRPr="008376FC" w:rsidRDefault="001979FF" w:rsidP="00F61756">
      <w:pPr>
        <w:pStyle w:val="Bodytext100"/>
        <w:shd w:val="clear" w:color="auto" w:fill="auto"/>
        <w:spacing w:before="0" w:line="276" w:lineRule="auto"/>
        <w:ind w:firstLine="720"/>
        <w:rPr>
          <w:rFonts w:asciiTheme="majorHAnsi" w:hAnsiTheme="majorHAnsi" w:cstheme="majorHAnsi"/>
          <w:sz w:val="24"/>
          <w:szCs w:val="24"/>
        </w:rPr>
      </w:pPr>
    </w:p>
    <w:p w:rsidR="0088086E" w:rsidRDefault="001979FF" w:rsidP="00F61756">
      <w:pPr>
        <w:pStyle w:val="a3"/>
        <w:numPr>
          <w:ilvl w:val="1"/>
          <w:numId w:val="9"/>
        </w:numPr>
        <w:spacing w:line="276" w:lineRule="auto"/>
        <w:ind w:left="0" w:firstLine="0"/>
        <w:jc w:val="both"/>
        <w:rPr>
          <w:rFonts w:asciiTheme="majorHAnsi" w:hAnsiTheme="majorHAnsi" w:cstheme="majorHAnsi"/>
          <w:b/>
          <w:color w:val="0070C0"/>
          <w:lang w:val="en-US"/>
        </w:rPr>
      </w:pPr>
      <w:r>
        <w:rPr>
          <w:rFonts w:asciiTheme="majorHAnsi" w:hAnsiTheme="majorHAnsi" w:cstheme="majorHAnsi"/>
          <w:b/>
          <w:color w:val="0070C0"/>
          <w:lang w:val="en-US"/>
        </w:rPr>
        <w:t xml:space="preserve">Implementarea recomandărilor </w:t>
      </w:r>
      <w:r w:rsidR="00E6695D">
        <w:rPr>
          <w:rFonts w:asciiTheme="majorHAnsi" w:hAnsiTheme="majorHAnsi" w:cstheme="majorHAnsi"/>
          <w:b/>
          <w:color w:val="0070C0"/>
          <w:lang w:val="en-US"/>
        </w:rPr>
        <w:t>aferente misiunilor</w:t>
      </w:r>
      <w:r>
        <w:rPr>
          <w:rFonts w:asciiTheme="majorHAnsi" w:hAnsiTheme="majorHAnsi" w:cstheme="majorHAnsi"/>
          <w:b/>
          <w:color w:val="0070C0"/>
          <w:lang w:val="en-US"/>
        </w:rPr>
        <w:t xml:space="preserve"> de audit precedente</w:t>
      </w:r>
    </w:p>
    <w:p w:rsidR="0088086E" w:rsidRDefault="00C17EE5" w:rsidP="00F61756">
      <w:pPr>
        <w:pStyle w:val="Bodytext100"/>
        <w:spacing w:before="0" w:line="276" w:lineRule="auto"/>
        <w:ind w:firstLine="720"/>
        <w:rPr>
          <w:rFonts w:asciiTheme="majorHAnsi" w:hAnsiTheme="majorHAnsi" w:cstheme="majorHAnsi"/>
          <w:sz w:val="24"/>
          <w:szCs w:val="24"/>
        </w:rPr>
      </w:pPr>
      <w:r>
        <w:rPr>
          <w:rFonts w:asciiTheme="majorHAnsi" w:hAnsiTheme="majorHAnsi" w:cstheme="majorHAnsi"/>
          <w:sz w:val="24"/>
          <w:szCs w:val="24"/>
        </w:rPr>
        <w:t>În</w:t>
      </w:r>
      <w:r w:rsidR="001155B4">
        <w:rPr>
          <w:rFonts w:asciiTheme="majorHAnsi" w:hAnsiTheme="majorHAnsi" w:cstheme="majorHAnsi"/>
          <w:sz w:val="24"/>
          <w:szCs w:val="24"/>
        </w:rPr>
        <w:t xml:space="preserve"> cadrul misiunii de audit a</w:t>
      </w:r>
      <w:r>
        <w:rPr>
          <w:rFonts w:asciiTheme="majorHAnsi" w:hAnsiTheme="majorHAnsi" w:cstheme="majorHAnsi"/>
          <w:sz w:val="24"/>
          <w:szCs w:val="24"/>
        </w:rPr>
        <w:t xml:space="preserve"> fost </w:t>
      </w:r>
      <w:r w:rsidR="00214EFB">
        <w:rPr>
          <w:rFonts w:asciiTheme="majorHAnsi" w:hAnsiTheme="majorHAnsi" w:cstheme="majorHAnsi"/>
          <w:sz w:val="24"/>
          <w:szCs w:val="24"/>
        </w:rPr>
        <w:t>examinată implementarea recomandărilor</w:t>
      </w:r>
      <w:r w:rsidR="001155B4">
        <w:rPr>
          <w:rFonts w:asciiTheme="majorHAnsi" w:hAnsiTheme="majorHAnsi" w:cstheme="majorHAnsi"/>
          <w:sz w:val="24"/>
          <w:szCs w:val="24"/>
        </w:rPr>
        <w:t xml:space="preserve"> </w:t>
      </w:r>
      <w:r w:rsidR="00DA7E44">
        <w:rPr>
          <w:rFonts w:asciiTheme="majorHAnsi" w:hAnsiTheme="majorHAnsi" w:cstheme="majorHAnsi"/>
          <w:sz w:val="24"/>
          <w:szCs w:val="24"/>
        </w:rPr>
        <w:t>pentru patru misiuni de audit</w:t>
      </w:r>
      <w:r w:rsidR="00222322">
        <w:rPr>
          <w:rFonts w:asciiTheme="majorHAnsi" w:hAnsiTheme="majorHAnsi" w:cstheme="majorHAnsi"/>
          <w:sz w:val="24"/>
          <w:szCs w:val="24"/>
        </w:rPr>
        <w:t xml:space="preserve"> realizate </w:t>
      </w:r>
      <w:r w:rsidR="00222322">
        <w:rPr>
          <w:rFonts w:asciiTheme="majorHAnsi" w:hAnsiTheme="majorHAnsi" w:cstheme="majorHAnsi"/>
          <w:sz w:val="24"/>
          <w:szCs w:val="24"/>
          <w:lang w:val="ro-RO"/>
        </w:rPr>
        <w:t>in anii</w:t>
      </w:r>
      <w:r w:rsidR="00DA7E44">
        <w:rPr>
          <w:rFonts w:asciiTheme="majorHAnsi" w:hAnsiTheme="majorHAnsi" w:cstheme="majorHAnsi"/>
          <w:sz w:val="24"/>
          <w:szCs w:val="24"/>
        </w:rPr>
        <w:t xml:space="preserve"> precedente, fiind constatate următoarele:</w:t>
      </w:r>
    </w:p>
    <w:p w:rsidR="0088086E" w:rsidRDefault="004F045D" w:rsidP="00F61756">
      <w:pPr>
        <w:pStyle w:val="Bodytext100"/>
        <w:spacing w:before="0" w:line="276" w:lineRule="auto"/>
        <w:ind w:firstLine="720"/>
        <w:rPr>
          <w:rFonts w:asciiTheme="majorHAnsi" w:hAnsiTheme="majorHAnsi" w:cstheme="majorHAnsi"/>
          <w:sz w:val="24"/>
          <w:szCs w:val="24"/>
        </w:rPr>
      </w:pPr>
      <w:r w:rsidRPr="004F045D">
        <w:rPr>
          <w:rFonts w:asciiTheme="majorHAnsi" w:hAnsiTheme="majorHAnsi" w:cstheme="majorHAnsi"/>
          <w:sz w:val="24"/>
          <w:szCs w:val="24"/>
        </w:rPr>
        <w:t>-</w:t>
      </w:r>
      <w:r w:rsidR="00DA7E44" w:rsidRPr="004F045D">
        <w:rPr>
          <w:rFonts w:asciiTheme="majorHAnsi" w:hAnsiTheme="majorHAnsi" w:cstheme="majorHAnsi"/>
          <w:sz w:val="24"/>
          <w:szCs w:val="24"/>
        </w:rPr>
        <w:t xml:space="preserve"> </w:t>
      </w:r>
      <w:r w:rsidR="006F1B5E">
        <w:rPr>
          <w:rFonts w:asciiTheme="majorHAnsi" w:hAnsiTheme="majorHAnsi" w:cstheme="majorHAnsi"/>
          <w:sz w:val="24"/>
          <w:szCs w:val="24"/>
        </w:rPr>
        <w:t xml:space="preserve">dat fiind faptul că </w:t>
      </w:r>
      <w:r w:rsidR="006F1B5E" w:rsidRPr="004F045D">
        <w:rPr>
          <w:rFonts w:asciiTheme="majorHAnsi" w:hAnsiTheme="majorHAnsi" w:cstheme="majorHAnsi"/>
          <w:sz w:val="24"/>
          <w:szCs w:val="24"/>
        </w:rPr>
        <w:t xml:space="preserve">de </w:t>
      </w:r>
      <w:r w:rsidR="006F1B5E">
        <w:rPr>
          <w:rFonts w:asciiTheme="majorHAnsi" w:hAnsiTheme="majorHAnsi" w:cstheme="majorHAnsi"/>
          <w:sz w:val="24"/>
          <w:szCs w:val="24"/>
        </w:rPr>
        <w:t>către ANRE</w:t>
      </w:r>
      <w:r w:rsidR="00D118C3">
        <w:rPr>
          <w:rFonts w:asciiTheme="majorHAnsi" w:hAnsiTheme="majorHAnsi" w:cstheme="majorHAnsi"/>
          <w:sz w:val="24"/>
          <w:szCs w:val="24"/>
        </w:rPr>
        <w:t>, î</w:t>
      </w:r>
      <w:r w:rsidR="00D118C3" w:rsidRPr="00D118C3">
        <w:rPr>
          <w:rFonts w:asciiTheme="majorHAnsi" w:hAnsiTheme="majorHAnsi" w:cstheme="majorHAnsi"/>
          <w:sz w:val="24"/>
          <w:szCs w:val="24"/>
        </w:rPr>
        <w:t>n perioada anilor 2016-2020</w:t>
      </w:r>
      <w:r w:rsidR="00D118C3">
        <w:rPr>
          <w:rFonts w:asciiTheme="majorHAnsi" w:hAnsiTheme="majorHAnsi" w:cstheme="majorHAnsi"/>
          <w:sz w:val="24"/>
          <w:szCs w:val="24"/>
        </w:rPr>
        <w:t>,</w:t>
      </w:r>
      <w:r w:rsidR="006F1B5E">
        <w:rPr>
          <w:rFonts w:asciiTheme="majorHAnsi" w:hAnsiTheme="majorHAnsi" w:cstheme="majorHAnsi"/>
          <w:sz w:val="24"/>
          <w:szCs w:val="24"/>
        </w:rPr>
        <w:t xml:space="preserve"> </w:t>
      </w:r>
      <w:r w:rsidR="00190B13">
        <w:rPr>
          <w:rFonts w:asciiTheme="majorHAnsi" w:hAnsiTheme="majorHAnsi" w:cstheme="majorHAnsi"/>
          <w:sz w:val="24"/>
          <w:szCs w:val="24"/>
        </w:rPr>
        <w:t xml:space="preserve">a fost modificat </w:t>
      </w:r>
      <w:r w:rsidR="00DA7E44" w:rsidRPr="004F045D">
        <w:rPr>
          <w:rFonts w:asciiTheme="majorHAnsi" w:hAnsiTheme="majorHAnsi" w:cstheme="majorHAnsi"/>
          <w:sz w:val="24"/>
          <w:szCs w:val="24"/>
        </w:rPr>
        <w:t>cadrul de reglementare a domeniului</w:t>
      </w:r>
      <w:r w:rsidR="00190B13">
        <w:rPr>
          <w:rFonts w:asciiTheme="majorHAnsi" w:hAnsiTheme="majorHAnsi" w:cstheme="majorHAnsi"/>
          <w:sz w:val="24"/>
          <w:szCs w:val="24"/>
        </w:rPr>
        <w:t xml:space="preserve"> de alimentare cu apă şi sanitaţie</w:t>
      </w:r>
      <w:r w:rsidR="00DA7E44" w:rsidRPr="004F045D">
        <w:rPr>
          <w:rFonts w:asciiTheme="majorHAnsi" w:hAnsiTheme="majorHAnsi" w:cstheme="majorHAnsi"/>
          <w:sz w:val="24"/>
          <w:szCs w:val="24"/>
        </w:rPr>
        <w:t xml:space="preserve">, </w:t>
      </w:r>
      <w:r w:rsidR="006F1B5E" w:rsidRPr="004F045D">
        <w:rPr>
          <w:rFonts w:asciiTheme="majorHAnsi" w:hAnsiTheme="majorHAnsi" w:cstheme="majorHAnsi"/>
          <w:sz w:val="24"/>
          <w:szCs w:val="24"/>
        </w:rPr>
        <w:t>în vederea punerii în aplicare a prevederilor a</w:t>
      </w:r>
      <w:r w:rsidR="006F1B5E">
        <w:rPr>
          <w:rFonts w:asciiTheme="majorHAnsi" w:hAnsiTheme="majorHAnsi" w:cstheme="majorHAnsi"/>
          <w:sz w:val="24"/>
          <w:szCs w:val="24"/>
        </w:rPr>
        <w:t>rt.7 din Legea nr.303/</w:t>
      </w:r>
      <w:r w:rsidR="006F1B5E" w:rsidRPr="004F045D">
        <w:rPr>
          <w:rFonts w:asciiTheme="majorHAnsi" w:hAnsiTheme="majorHAnsi" w:cstheme="majorHAnsi"/>
          <w:sz w:val="24"/>
          <w:szCs w:val="24"/>
        </w:rPr>
        <w:t xml:space="preserve">2013, </w:t>
      </w:r>
      <w:r w:rsidR="0016157D">
        <w:rPr>
          <w:rFonts w:asciiTheme="majorHAnsi" w:hAnsiTheme="majorHAnsi" w:cstheme="majorHAnsi"/>
          <w:sz w:val="24"/>
          <w:szCs w:val="24"/>
        </w:rPr>
        <w:t>se consider</w:t>
      </w:r>
      <w:r w:rsidR="004754E8">
        <w:rPr>
          <w:rFonts w:asciiTheme="majorHAnsi" w:hAnsiTheme="majorHAnsi" w:cstheme="majorHAnsi"/>
          <w:sz w:val="24"/>
          <w:szCs w:val="24"/>
          <w:lang w:val="ro-RO"/>
        </w:rPr>
        <w:t>ă</w:t>
      </w:r>
      <w:r w:rsidR="0016157D">
        <w:rPr>
          <w:rFonts w:asciiTheme="majorHAnsi" w:hAnsiTheme="majorHAnsi" w:cstheme="majorHAnsi"/>
          <w:sz w:val="24"/>
          <w:szCs w:val="24"/>
        </w:rPr>
        <w:t xml:space="preserve"> irelevante şi urmează a fi excluse de la monitorizare </w:t>
      </w:r>
      <w:r w:rsidR="0089653F">
        <w:rPr>
          <w:rFonts w:asciiTheme="majorHAnsi" w:hAnsiTheme="majorHAnsi" w:cstheme="majorHAnsi"/>
          <w:sz w:val="24"/>
          <w:szCs w:val="24"/>
        </w:rPr>
        <w:t>21</w:t>
      </w:r>
      <w:r w:rsidR="005D53BE">
        <w:rPr>
          <w:rFonts w:asciiTheme="majorHAnsi" w:hAnsiTheme="majorHAnsi" w:cstheme="majorHAnsi"/>
          <w:sz w:val="24"/>
          <w:szCs w:val="24"/>
        </w:rPr>
        <w:t xml:space="preserve"> de</w:t>
      </w:r>
      <w:r>
        <w:rPr>
          <w:rFonts w:asciiTheme="majorHAnsi" w:hAnsiTheme="majorHAnsi" w:cstheme="majorHAnsi"/>
          <w:sz w:val="24"/>
          <w:szCs w:val="24"/>
        </w:rPr>
        <w:t xml:space="preserve"> recomandări </w:t>
      </w:r>
      <w:r w:rsidR="0016157D">
        <w:rPr>
          <w:rFonts w:asciiTheme="majorHAnsi" w:hAnsiTheme="majorHAnsi" w:cstheme="majorHAnsi"/>
          <w:sz w:val="24"/>
          <w:szCs w:val="24"/>
        </w:rPr>
        <w:t>ale</w:t>
      </w:r>
      <w:r>
        <w:rPr>
          <w:rFonts w:asciiTheme="majorHAnsi" w:hAnsiTheme="majorHAnsi" w:cstheme="majorHAnsi"/>
          <w:sz w:val="24"/>
          <w:szCs w:val="24"/>
        </w:rPr>
        <w:t xml:space="preserve"> </w:t>
      </w:r>
      <w:r w:rsidRPr="004F045D">
        <w:rPr>
          <w:rFonts w:asciiTheme="majorHAnsi" w:hAnsiTheme="majorHAnsi" w:cstheme="majorHAnsi"/>
          <w:sz w:val="24"/>
          <w:szCs w:val="24"/>
        </w:rPr>
        <w:t>Hotărâr</w:t>
      </w:r>
      <w:r w:rsidR="0016157D">
        <w:rPr>
          <w:rFonts w:asciiTheme="majorHAnsi" w:hAnsiTheme="majorHAnsi" w:cstheme="majorHAnsi"/>
          <w:sz w:val="24"/>
          <w:szCs w:val="24"/>
        </w:rPr>
        <w:t>ii</w:t>
      </w:r>
      <w:r w:rsidRPr="004F045D">
        <w:rPr>
          <w:rFonts w:asciiTheme="majorHAnsi" w:hAnsiTheme="majorHAnsi" w:cstheme="majorHAnsi"/>
          <w:sz w:val="24"/>
          <w:szCs w:val="24"/>
        </w:rPr>
        <w:t xml:space="preserve"> Curții de Conturi nr.1 din 04 februarie 2014 „Privind Raportul auditului performanței în domeniul mediului „Protecția şi utilizarea durabilă a apelor în râuri şi fluvii” şi</w:t>
      </w:r>
      <w:r w:rsidR="00750264">
        <w:rPr>
          <w:rFonts w:asciiTheme="majorHAnsi" w:hAnsiTheme="majorHAnsi" w:cstheme="majorHAnsi"/>
          <w:sz w:val="24"/>
          <w:szCs w:val="24"/>
        </w:rPr>
        <w:t xml:space="preserve"> 58 de recomandări</w:t>
      </w:r>
      <w:r w:rsidRPr="004F045D">
        <w:rPr>
          <w:rFonts w:asciiTheme="majorHAnsi" w:hAnsiTheme="majorHAnsi" w:cstheme="majorHAnsi"/>
          <w:sz w:val="24"/>
          <w:szCs w:val="24"/>
        </w:rPr>
        <w:t xml:space="preserve"> </w:t>
      </w:r>
      <w:r w:rsidR="0016157D">
        <w:rPr>
          <w:rFonts w:asciiTheme="majorHAnsi" w:hAnsiTheme="majorHAnsi" w:cstheme="majorHAnsi"/>
          <w:sz w:val="24"/>
          <w:szCs w:val="24"/>
        </w:rPr>
        <w:t xml:space="preserve">ale </w:t>
      </w:r>
      <w:r w:rsidRPr="004F045D">
        <w:rPr>
          <w:rFonts w:asciiTheme="majorHAnsi" w:hAnsiTheme="majorHAnsi" w:cstheme="majorHAnsi"/>
          <w:sz w:val="24"/>
          <w:szCs w:val="24"/>
        </w:rPr>
        <w:t>Hotărâr</w:t>
      </w:r>
      <w:r w:rsidR="0016157D">
        <w:rPr>
          <w:rFonts w:asciiTheme="majorHAnsi" w:hAnsiTheme="majorHAnsi" w:cstheme="majorHAnsi"/>
          <w:sz w:val="24"/>
          <w:szCs w:val="24"/>
        </w:rPr>
        <w:t>ii</w:t>
      </w:r>
      <w:r w:rsidRPr="004F045D">
        <w:rPr>
          <w:rFonts w:asciiTheme="majorHAnsi" w:hAnsiTheme="majorHAnsi" w:cstheme="majorHAnsi"/>
          <w:sz w:val="24"/>
          <w:szCs w:val="24"/>
        </w:rPr>
        <w:t xml:space="preserve"> Curții de Conturi nr.29 din 22 iulie 2016 „Cu privire la Raportul auditului Proiectului „Programul de Dezvoltare a Companiilor de Apro</w:t>
      </w:r>
      <w:r w:rsidR="0016157D">
        <w:rPr>
          <w:rFonts w:asciiTheme="majorHAnsi" w:hAnsiTheme="majorHAnsi" w:cstheme="majorHAnsi"/>
          <w:sz w:val="24"/>
          <w:szCs w:val="24"/>
        </w:rPr>
        <w:t>vizionare cu Apă și Canalizare”</w:t>
      </w:r>
      <w:r w:rsidRPr="004F045D">
        <w:rPr>
          <w:rFonts w:asciiTheme="majorHAnsi" w:hAnsiTheme="majorHAnsi" w:cstheme="majorHAnsi"/>
          <w:sz w:val="24"/>
          <w:szCs w:val="24"/>
        </w:rPr>
        <w:t>;</w:t>
      </w:r>
    </w:p>
    <w:p w:rsidR="0088086E" w:rsidRDefault="004F045D" w:rsidP="00F61756">
      <w:pPr>
        <w:pStyle w:val="Bodytext100"/>
        <w:shd w:val="clear" w:color="auto" w:fill="auto"/>
        <w:spacing w:before="0" w:line="276" w:lineRule="auto"/>
        <w:ind w:firstLine="720"/>
        <w:rPr>
          <w:rFonts w:asciiTheme="majorHAnsi" w:hAnsiTheme="majorHAnsi" w:cstheme="majorHAnsi"/>
          <w:sz w:val="24"/>
          <w:szCs w:val="24"/>
        </w:rPr>
      </w:pPr>
      <w:r w:rsidRPr="004F045D">
        <w:rPr>
          <w:rFonts w:asciiTheme="majorHAnsi" w:hAnsiTheme="majorHAnsi" w:cstheme="majorHAnsi"/>
          <w:sz w:val="24"/>
          <w:szCs w:val="24"/>
        </w:rPr>
        <w:t xml:space="preserve">- </w:t>
      </w:r>
      <w:r w:rsidR="00373962">
        <w:rPr>
          <w:rFonts w:asciiTheme="majorHAnsi" w:hAnsiTheme="majorHAnsi" w:cstheme="majorHAnsi"/>
          <w:sz w:val="24"/>
          <w:szCs w:val="24"/>
        </w:rPr>
        <w:t>în contextul lichidării</w:t>
      </w:r>
      <w:r w:rsidR="00A061B9">
        <w:rPr>
          <w:rFonts w:asciiTheme="majorHAnsi" w:hAnsiTheme="majorHAnsi" w:cstheme="majorHAnsi"/>
          <w:sz w:val="24"/>
          <w:szCs w:val="24"/>
        </w:rPr>
        <w:t xml:space="preserve"> </w:t>
      </w:r>
      <w:r w:rsidR="00373962">
        <w:rPr>
          <w:rFonts w:asciiTheme="majorHAnsi" w:hAnsiTheme="majorHAnsi" w:cstheme="majorHAnsi"/>
          <w:sz w:val="24"/>
          <w:szCs w:val="24"/>
        </w:rPr>
        <w:t xml:space="preserve">FEN şi creerii FNM </w:t>
      </w:r>
      <w:r w:rsidR="00EA4C33">
        <w:rPr>
          <w:rFonts w:asciiTheme="majorHAnsi" w:hAnsiTheme="majorHAnsi" w:cstheme="majorHAnsi"/>
          <w:sz w:val="24"/>
          <w:szCs w:val="24"/>
        </w:rPr>
        <w:t>în</w:t>
      </w:r>
      <w:r w:rsidR="00A061B9">
        <w:rPr>
          <w:rFonts w:asciiTheme="majorHAnsi" w:hAnsiTheme="majorHAnsi" w:cstheme="majorHAnsi"/>
          <w:sz w:val="24"/>
          <w:szCs w:val="24"/>
        </w:rPr>
        <w:t xml:space="preserve"> anul 2022 </w:t>
      </w:r>
      <w:r w:rsidR="00373962">
        <w:rPr>
          <w:rFonts w:asciiTheme="majorHAnsi" w:hAnsiTheme="majorHAnsi" w:cstheme="majorHAnsi"/>
          <w:sz w:val="24"/>
          <w:szCs w:val="24"/>
        </w:rPr>
        <w:t>se consider</w:t>
      </w:r>
      <w:r w:rsidR="00373962">
        <w:rPr>
          <w:rFonts w:asciiTheme="majorHAnsi" w:hAnsiTheme="majorHAnsi" w:cstheme="majorHAnsi"/>
          <w:sz w:val="24"/>
          <w:szCs w:val="24"/>
          <w:lang w:val="ro-RO"/>
        </w:rPr>
        <w:t>ă</w:t>
      </w:r>
      <w:r w:rsidR="00373962">
        <w:rPr>
          <w:rFonts w:asciiTheme="majorHAnsi" w:hAnsiTheme="majorHAnsi" w:cstheme="majorHAnsi"/>
          <w:sz w:val="24"/>
          <w:szCs w:val="24"/>
        </w:rPr>
        <w:t xml:space="preserve"> irelevante şi urmează a fi excluse de la monitorizare </w:t>
      </w:r>
      <w:r w:rsidR="00634057">
        <w:rPr>
          <w:rFonts w:asciiTheme="majorHAnsi" w:hAnsiTheme="majorHAnsi" w:cstheme="majorHAnsi"/>
          <w:sz w:val="24"/>
          <w:szCs w:val="24"/>
        </w:rPr>
        <w:t>2</w:t>
      </w:r>
      <w:r w:rsidR="005D53BE">
        <w:rPr>
          <w:rFonts w:asciiTheme="majorHAnsi" w:hAnsiTheme="majorHAnsi" w:cstheme="majorHAnsi"/>
          <w:sz w:val="24"/>
          <w:szCs w:val="24"/>
        </w:rPr>
        <w:t>4</w:t>
      </w:r>
      <w:r w:rsidR="00634057">
        <w:rPr>
          <w:rFonts w:asciiTheme="majorHAnsi" w:hAnsiTheme="majorHAnsi" w:cstheme="majorHAnsi"/>
          <w:sz w:val="24"/>
          <w:szCs w:val="24"/>
        </w:rPr>
        <w:t xml:space="preserve"> </w:t>
      </w:r>
      <w:r w:rsidR="005D53BE">
        <w:rPr>
          <w:rFonts w:asciiTheme="majorHAnsi" w:hAnsiTheme="majorHAnsi" w:cstheme="majorHAnsi"/>
          <w:sz w:val="24"/>
          <w:szCs w:val="24"/>
        </w:rPr>
        <w:t xml:space="preserve">de </w:t>
      </w:r>
      <w:r w:rsidR="00634057">
        <w:rPr>
          <w:rFonts w:asciiTheme="majorHAnsi" w:hAnsiTheme="majorHAnsi" w:cstheme="majorHAnsi"/>
          <w:sz w:val="24"/>
          <w:szCs w:val="24"/>
        </w:rPr>
        <w:t xml:space="preserve">recomandări ale </w:t>
      </w:r>
      <w:r w:rsidRPr="004F045D">
        <w:rPr>
          <w:rFonts w:asciiTheme="majorHAnsi" w:hAnsiTheme="majorHAnsi" w:cstheme="majorHAnsi"/>
          <w:sz w:val="24"/>
          <w:szCs w:val="24"/>
        </w:rPr>
        <w:t>Hotărâr</w:t>
      </w:r>
      <w:r w:rsidR="00634057">
        <w:rPr>
          <w:rFonts w:asciiTheme="majorHAnsi" w:hAnsiTheme="majorHAnsi" w:cstheme="majorHAnsi"/>
          <w:sz w:val="24"/>
          <w:szCs w:val="24"/>
        </w:rPr>
        <w:t>ii</w:t>
      </w:r>
      <w:r w:rsidRPr="004F045D">
        <w:rPr>
          <w:rFonts w:asciiTheme="majorHAnsi" w:hAnsiTheme="majorHAnsi" w:cstheme="majorHAnsi"/>
          <w:sz w:val="24"/>
          <w:szCs w:val="24"/>
        </w:rPr>
        <w:t xml:space="preserve"> Curții de Conturi nr.71 din 20 decembrie 2017 „Privind Raportul auditului performanței asupra gestionării Fondului ecologic național în exercițiul bugetar 2016”</w:t>
      </w:r>
      <w:r w:rsidR="00373962">
        <w:rPr>
          <w:rStyle w:val="ab"/>
          <w:rFonts w:asciiTheme="majorHAnsi" w:hAnsiTheme="majorHAnsi" w:cstheme="majorHAnsi"/>
          <w:sz w:val="24"/>
          <w:szCs w:val="24"/>
        </w:rPr>
        <w:footnoteReference w:id="158"/>
      </w:r>
      <w:r w:rsidRPr="004F045D">
        <w:rPr>
          <w:rFonts w:asciiTheme="majorHAnsi" w:hAnsiTheme="majorHAnsi" w:cstheme="majorHAnsi"/>
          <w:sz w:val="24"/>
          <w:szCs w:val="24"/>
        </w:rPr>
        <w:t>, şi</w:t>
      </w:r>
      <w:r w:rsidR="005D53BE">
        <w:rPr>
          <w:rFonts w:asciiTheme="majorHAnsi" w:hAnsiTheme="majorHAnsi" w:cstheme="majorHAnsi"/>
          <w:sz w:val="24"/>
          <w:szCs w:val="24"/>
        </w:rPr>
        <w:t xml:space="preserve"> 70 de recomandări ale</w:t>
      </w:r>
      <w:r w:rsidRPr="004F045D">
        <w:rPr>
          <w:rFonts w:asciiTheme="majorHAnsi" w:hAnsiTheme="majorHAnsi" w:cstheme="majorHAnsi"/>
          <w:sz w:val="24"/>
          <w:szCs w:val="24"/>
        </w:rPr>
        <w:t xml:space="preserve"> Hotărâr</w:t>
      </w:r>
      <w:r w:rsidR="005D53BE">
        <w:rPr>
          <w:rFonts w:asciiTheme="majorHAnsi" w:hAnsiTheme="majorHAnsi" w:cstheme="majorHAnsi"/>
          <w:sz w:val="24"/>
          <w:szCs w:val="24"/>
        </w:rPr>
        <w:t>ii</w:t>
      </w:r>
      <w:r w:rsidRPr="004F045D">
        <w:rPr>
          <w:rFonts w:asciiTheme="majorHAnsi" w:hAnsiTheme="majorHAnsi" w:cstheme="majorHAnsi"/>
          <w:sz w:val="24"/>
          <w:szCs w:val="24"/>
        </w:rPr>
        <w:t xml:space="preserve"> Curții de Conturi nr.39 din 26 iunie 2018 „Privind Raportul auditului conformității gestionării mijloacelor Fondului Ecologic Național în anul 2017”</w:t>
      </w:r>
      <w:r w:rsidR="00373962">
        <w:rPr>
          <w:rStyle w:val="ab"/>
          <w:rFonts w:asciiTheme="majorHAnsi" w:hAnsiTheme="majorHAnsi" w:cstheme="majorHAnsi"/>
          <w:sz w:val="24"/>
          <w:szCs w:val="24"/>
        </w:rPr>
        <w:footnoteReference w:id="159"/>
      </w:r>
      <w:r w:rsidRPr="004F045D">
        <w:rPr>
          <w:rFonts w:asciiTheme="majorHAnsi" w:hAnsiTheme="majorHAnsi" w:cstheme="majorHAnsi"/>
          <w:sz w:val="24"/>
          <w:szCs w:val="24"/>
        </w:rPr>
        <w:t xml:space="preserve">.  </w:t>
      </w:r>
    </w:p>
    <w:p w:rsidR="001979FF" w:rsidRPr="008376FC" w:rsidRDefault="001979FF" w:rsidP="00F61756">
      <w:pPr>
        <w:pStyle w:val="Bodytext100"/>
        <w:shd w:val="clear" w:color="auto" w:fill="auto"/>
        <w:spacing w:before="0" w:line="276" w:lineRule="auto"/>
        <w:ind w:firstLine="720"/>
        <w:rPr>
          <w:rFonts w:asciiTheme="majorHAnsi" w:hAnsiTheme="majorHAnsi" w:cstheme="majorHAnsi"/>
          <w:sz w:val="24"/>
          <w:szCs w:val="24"/>
        </w:rPr>
      </w:pPr>
    </w:p>
    <w:p w:rsidR="00896F4D" w:rsidRPr="008376FC" w:rsidRDefault="0096170B" w:rsidP="00F61756">
      <w:pPr>
        <w:pStyle w:val="1"/>
        <w:spacing w:before="120" w:line="276" w:lineRule="auto"/>
        <w:jc w:val="both"/>
        <w:rPr>
          <w:rFonts w:cstheme="majorHAnsi"/>
          <w:color w:val="0070C0"/>
          <w:sz w:val="24"/>
          <w:szCs w:val="24"/>
        </w:rPr>
      </w:pPr>
      <w:bookmarkStart w:id="45" w:name="_Toc132042792"/>
      <w:bookmarkStart w:id="46" w:name="_Toc132320214"/>
      <w:r w:rsidRPr="008376FC">
        <w:rPr>
          <w:rFonts w:cstheme="majorHAnsi"/>
          <w:color w:val="0070C0"/>
          <w:sz w:val="24"/>
          <w:szCs w:val="24"/>
        </w:rPr>
        <w:t xml:space="preserve">VI. </w:t>
      </w:r>
      <w:r w:rsidR="00896F4D" w:rsidRPr="008376FC">
        <w:rPr>
          <w:rFonts w:cstheme="majorHAnsi"/>
          <w:color w:val="0070C0"/>
          <w:sz w:val="24"/>
          <w:szCs w:val="24"/>
        </w:rPr>
        <w:t>CONCLUZIA GENERALĂ</w:t>
      </w:r>
      <w:bookmarkEnd w:id="45"/>
      <w:bookmarkEnd w:id="46"/>
    </w:p>
    <w:p w:rsidR="005B7EDD" w:rsidRPr="008376FC" w:rsidRDefault="005B7EDD" w:rsidP="00F61756">
      <w:pPr>
        <w:spacing w:after="0" w:line="276" w:lineRule="auto"/>
        <w:ind w:firstLine="709"/>
        <w:jc w:val="both"/>
        <w:rPr>
          <w:rFonts w:asciiTheme="majorHAnsi" w:hAnsiTheme="majorHAnsi" w:cstheme="majorHAnsi"/>
          <w:b w:val="0"/>
          <w:bCs w:val="0"/>
          <w:sz w:val="24"/>
          <w:szCs w:val="24"/>
          <w:lang w:val="en-US"/>
        </w:rPr>
      </w:pPr>
      <w:r w:rsidRPr="008376FC">
        <w:rPr>
          <w:rFonts w:asciiTheme="majorHAnsi" w:hAnsiTheme="majorHAnsi" w:cstheme="majorHAnsi"/>
          <w:b w:val="0"/>
          <w:bCs w:val="0"/>
          <w:sz w:val="24"/>
          <w:szCs w:val="24"/>
          <w:lang w:val="en-US"/>
        </w:rPr>
        <w:t xml:space="preserve">Accesul la apă curată și igienă este o precondiție pentru o viață sănătoasă. Din cauza lipsei de investiții capitale și întreținerii slabe </w:t>
      </w:r>
      <w:r w:rsidR="00912C2F">
        <w:rPr>
          <w:rFonts w:asciiTheme="majorHAnsi" w:hAnsiTheme="majorHAnsi" w:cstheme="majorHAnsi"/>
          <w:b w:val="0"/>
          <w:bCs w:val="0"/>
          <w:sz w:val="24"/>
          <w:szCs w:val="24"/>
          <w:lang w:val="en-US"/>
        </w:rPr>
        <w:t>di</w:t>
      </w:r>
      <w:r w:rsidRPr="008376FC">
        <w:rPr>
          <w:rFonts w:asciiTheme="majorHAnsi" w:hAnsiTheme="majorHAnsi" w:cstheme="majorHAnsi"/>
          <w:b w:val="0"/>
          <w:bCs w:val="0"/>
          <w:sz w:val="24"/>
          <w:szCs w:val="24"/>
          <w:lang w:val="en-US"/>
        </w:rPr>
        <w:t>n ultimii 30 de ani, mare</w:t>
      </w:r>
      <w:r w:rsidR="00912C2F">
        <w:rPr>
          <w:rFonts w:asciiTheme="majorHAnsi" w:hAnsiTheme="majorHAnsi" w:cstheme="majorHAnsi"/>
          <w:b w:val="0"/>
          <w:bCs w:val="0"/>
          <w:sz w:val="24"/>
          <w:szCs w:val="24"/>
          <w:lang w:val="en-US"/>
        </w:rPr>
        <w:t>a</w:t>
      </w:r>
      <w:r w:rsidRPr="008376FC">
        <w:rPr>
          <w:rFonts w:asciiTheme="majorHAnsi" w:hAnsiTheme="majorHAnsi" w:cstheme="majorHAnsi"/>
          <w:b w:val="0"/>
          <w:bCs w:val="0"/>
          <w:sz w:val="24"/>
          <w:szCs w:val="24"/>
          <w:lang w:val="en-US"/>
        </w:rPr>
        <w:t xml:space="preserve"> parte din infrastructura existentă a serviciilor de apă și canalizare are nevoie de reparații sau reabilitare semnificativ</w:t>
      </w:r>
      <w:r w:rsidR="00912C2F">
        <w:rPr>
          <w:rFonts w:asciiTheme="majorHAnsi" w:hAnsiTheme="majorHAnsi" w:cstheme="majorHAnsi"/>
          <w:b w:val="0"/>
          <w:bCs w:val="0"/>
          <w:sz w:val="24"/>
          <w:szCs w:val="24"/>
          <w:lang w:val="en-US"/>
        </w:rPr>
        <w:t>e</w:t>
      </w:r>
      <w:r w:rsidRPr="008376FC">
        <w:rPr>
          <w:rFonts w:asciiTheme="majorHAnsi" w:hAnsiTheme="majorHAnsi" w:cstheme="majorHAnsi"/>
          <w:b w:val="0"/>
          <w:bCs w:val="0"/>
          <w:sz w:val="24"/>
          <w:szCs w:val="24"/>
          <w:lang w:val="en-US"/>
        </w:rPr>
        <w:t>. Există probleme atât privind accesul la infrastructură, cât și privind calitatea și siguranța serviciilor prestate, în special în regiunile rurale.</w:t>
      </w:r>
    </w:p>
    <w:p w:rsidR="005B7EDD" w:rsidRPr="008376FC" w:rsidRDefault="005B7EDD" w:rsidP="00F61756">
      <w:pPr>
        <w:spacing w:after="0" w:line="276" w:lineRule="auto"/>
        <w:ind w:firstLine="709"/>
        <w:jc w:val="both"/>
        <w:rPr>
          <w:rFonts w:asciiTheme="majorHAnsi" w:hAnsiTheme="majorHAnsi" w:cstheme="majorHAnsi"/>
          <w:b w:val="0"/>
          <w:bCs w:val="0"/>
          <w:sz w:val="24"/>
          <w:szCs w:val="24"/>
          <w:shd w:val="clear" w:color="auto" w:fill="FFFFFF"/>
          <w:lang w:val="en-US"/>
        </w:rPr>
      </w:pPr>
      <w:r w:rsidRPr="008376FC">
        <w:rPr>
          <w:rFonts w:asciiTheme="majorHAnsi" w:hAnsiTheme="majorHAnsi" w:cstheme="majorHAnsi"/>
          <w:b w:val="0"/>
          <w:bCs w:val="0"/>
          <w:sz w:val="24"/>
          <w:szCs w:val="24"/>
          <w:shd w:val="clear" w:color="auto" w:fill="FFFFFF"/>
          <w:lang w:val="en-US"/>
        </w:rPr>
        <w:t>Implementarea obiectivelor de aprovizionarea cu apă și canalizare se realiz</w:t>
      </w:r>
      <w:r w:rsidR="00912C2F">
        <w:rPr>
          <w:rFonts w:asciiTheme="majorHAnsi" w:hAnsiTheme="majorHAnsi" w:cstheme="majorHAnsi"/>
          <w:b w:val="0"/>
          <w:bCs w:val="0"/>
          <w:sz w:val="24"/>
          <w:szCs w:val="24"/>
          <w:shd w:val="clear" w:color="auto" w:fill="FFFFFF"/>
          <w:lang w:val="en-US"/>
        </w:rPr>
        <w:t>ează</w:t>
      </w:r>
      <w:r w:rsidRPr="008376FC">
        <w:rPr>
          <w:rFonts w:asciiTheme="majorHAnsi" w:hAnsiTheme="majorHAnsi" w:cstheme="majorHAnsi"/>
          <w:b w:val="0"/>
          <w:bCs w:val="0"/>
          <w:sz w:val="24"/>
          <w:szCs w:val="24"/>
          <w:shd w:val="clear" w:color="auto" w:fill="FFFFFF"/>
          <w:lang w:val="en-US"/>
        </w:rPr>
        <w:t xml:space="preserve"> într-un mod haotic</w:t>
      </w:r>
      <w:r w:rsidR="00205E3A" w:rsidRPr="008376FC">
        <w:rPr>
          <w:rFonts w:asciiTheme="majorHAnsi" w:hAnsiTheme="majorHAnsi" w:cstheme="majorHAnsi"/>
          <w:b w:val="0"/>
          <w:bCs w:val="0"/>
          <w:sz w:val="24"/>
          <w:szCs w:val="24"/>
          <w:shd w:val="clear" w:color="auto" w:fill="FFFFFF"/>
          <w:lang w:val="en-US"/>
        </w:rPr>
        <w:t xml:space="preserve">, </w:t>
      </w:r>
      <w:r w:rsidRPr="008376FC">
        <w:rPr>
          <w:rFonts w:asciiTheme="majorHAnsi" w:hAnsiTheme="majorHAnsi" w:cstheme="majorHAnsi"/>
          <w:b w:val="0"/>
          <w:bCs w:val="0"/>
          <w:sz w:val="24"/>
          <w:szCs w:val="24"/>
          <w:shd w:val="clear" w:color="auto" w:fill="FFFFFF"/>
          <w:lang w:val="en-US"/>
        </w:rPr>
        <w:t>iar incoerenţa documentelor de politici afectează şi coordonarea principalelor surse de finanţare a sectorului, ne</w:t>
      </w:r>
      <w:r w:rsidR="00C13167" w:rsidRPr="008376FC">
        <w:rPr>
          <w:rFonts w:asciiTheme="majorHAnsi" w:hAnsiTheme="majorHAnsi" w:cstheme="majorHAnsi"/>
          <w:b w:val="0"/>
          <w:bCs w:val="0"/>
          <w:sz w:val="24"/>
          <w:szCs w:val="24"/>
          <w:shd w:val="clear" w:color="auto" w:fill="FFFFFF"/>
          <w:lang w:val="en-US"/>
        </w:rPr>
        <w:t xml:space="preserve">fiind </w:t>
      </w:r>
      <w:r w:rsidRPr="008376FC">
        <w:rPr>
          <w:rFonts w:asciiTheme="majorHAnsi" w:hAnsiTheme="majorHAnsi" w:cstheme="majorHAnsi"/>
          <w:b w:val="0"/>
          <w:bCs w:val="0"/>
          <w:sz w:val="24"/>
          <w:szCs w:val="24"/>
          <w:shd w:val="clear" w:color="auto" w:fill="FFFFFF"/>
          <w:lang w:val="en-US"/>
        </w:rPr>
        <w:t>instituit un mecanism de monitorizare a realizărilor în domeniu.</w:t>
      </w:r>
    </w:p>
    <w:p w:rsidR="005B7EDD" w:rsidRPr="008376FC" w:rsidRDefault="005B7EDD" w:rsidP="00F61756">
      <w:pPr>
        <w:spacing w:after="0" w:line="276" w:lineRule="auto"/>
        <w:ind w:firstLine="709"/>
        <w:jc w:val="both"/>
        <w:rPr>
          <w:rFonts w:asciiTheme="majorHAnsi" w:hAnsiTheme="majorHAnsi" w:cstheme="majorHAnsi"/>
          <w:b w:val="0"/>
          <w:bCs w:val="0"/>
          <w:sz w:val="24"/>
          <w:szCs w:val="24"/>
          <w:shd w:val="clear" w:color="auto" w:fill="FFFFFF"/>
          <w:lang w:val="en-US"/>
        </w:rPr>
      </w:pPr>
      <w:r w:rsidRPr="008376FC">
        <w:rPr>
          <w:rFonts w:asciiTheme="majorHAnsi" w:hAnsiTheme="majorHAnsi" w:cstheme="majorHAnsi"/>
          <w:b w:val="0"/>
          <w:bCs w:val="0"/>
          <w:sz w:val="24"/>
          <w:szCs w:val="24"/>
          <w:shd w:val="clear" w:color="auto" w:fill="FFFFFF"/>
          <w:lang w:val="en-US"/>
        </w:rPr>
        <w:t>Nedisponibilitatea datelor veridice privind situaţia actuală a ramurii, precum şi lipsa studiilor recente efectuate în domeniu ar putea determina tergiversarea implementării politicilor în domeniu.</w:t>
      </w:r>
    </w:p>
    <w:p w:rsidR="005B7EDD" w:rsidRPr="008376FC" w:rsidRDefault="005B7EDD" w:rsidP="00F61756">
      <w:pPr>
        <w:spacing w:after="0" w:line="276" w:lineRule="auto"/>
        <w:ind w:firstLine="709"/>
        <w:jc w:val="both"/>
        <w:rPr>
          <w:rFonts w:asciiTheme="majorHAnsi" w:hAnsiTheme="majorHAnsi" w:cstheme="majorHAnsi"/>
          <w:b w:val="0"/>
          <w:bCs w:val="0"/>
          <w:sz w:val="24"/>
          <w:szCs w:val="24"/>
          <w:shd w:val="clear" w:color="auto" w:fill="FFFFFF"/>
          <w:lang w:val="en-US"/>
        </w:rPr>
      </w:pPr>
      <w:r w:rsidRPr="008376FC">
        <w:rPr>
          <w:rFonts w:asciiTheme="majorHAnsi" w:hAnsiTheme="majorHAnsi" w:cstheme="majorHAnsi"/>
          <w:b w:val="0"/>
          <w:bCs w:val="0"/>
          <w:sz w:val="24"/>
          <w:szCs w:val="24"/>
          <w:shd w:val="clear" w:color="auto" w:fill="FFFFFF"/>
          <w:lang w:val="en-US"/>
        </w:rPr>
        <w:t>Cuantumul limitat al resurselor financiare publice disponibile, care să acopere necesităţile integrale la finanţarea obiectivelor, dete</w:t>
      </w:r>
      <w:r w:rsidR="00642A28" w:rsidRPr="008376FC">
        <w:rPr>
          <w:rFonts w:asciiTheme="majorHAnsi" w:hAnsiTheme="majorHAnsi" w:cstheme="majorHAnsi"/>
          <w:b w:val="0"/>
          <w:bCs w:val="0"/>
          <w:sz w:val="24"/>
          <w:szCs w:val="24"/>
          <w:shd w:val="clear" w:color="auto" w:fill="FFFFFF"/>
          <w:lang w:val="en-US"/>
        </w:rPr>
        <w:t>rmin</w:t>
      </w:r>
      <w:r w:rsidR="00912C2F">
        <w:rPr>
          <w:rFonts w:asciiTheme="majorHAnsi" w:hAnsiTheme="majorHAnsi" w:cstheme="majorHAnsi"/>
          <w:b w:val="0"/>
          <w:bCs w:val="0"/>
          <w:sz w:val="24"/>
          <w:szCs w:val="24"/>
          <w:shd w:val="clear" w:color="auto" w:fill="FFFFFF"/>
          <w:lang w:val="en-US"/>
        </w:rPr>
        <w:t>ă</w:t>
      </w:r>
      <w:r w:rsidR="00642A28" w:rsidRPr="008376FC">
        <w:rPr>
          <w:rFonts w:asciiTheme="majorHAnsi" w:hAnsiTheme="majorHAnsi" w:cstheme="majorHAnsi"/>
          <w:b w:val="0"/>
          <w:bCs w:val="0"/>
          <w:sz w:val="24"/>
          <w:szCs w:val="24"/>
          <w:shd w:val="clear" w:color="auto" w:fill="FFFFFF"/>
          <w:lang w:val="en-US"/>
        </w:rPr>
        <w:t xml:space="preserve"> beneficiarii să divizeze</w:t>
      </w:r>
      <w:r w:rsidRPr="008376FC">
        <w:rPr>
          <w:rFonts w:asciiTheme="majorHAnsi" w:hAnsiTheme="majorHAnsi" w:cstheme="majorHAnsi"/>
          <w:b w:val="0"/>
          <w:bCs w:val="0"/>
          <w:sz w:val="24"/>
          <w:szCs w:val="24"/>
          <w:shd w:val="clear" w:color="auto" w:fill="FFFFFF"/>
          <w:lang w:val="en-US"/>
        </w:rPr>
        <w:t xml:space="preserve"> proiectele mari de anvergură în etape de finanțare, ceea ce</w:t>
      </w:r>
      <w:r w:rsidR="00912C2F">
        <w:rPr>
          <w:rFonts w:asciiTheme="majorHAnsi" w:hAnsiTheme="majorHAnsi" w:cstheme="majorHAnsi"/>
          <w:b w:val="0"/>
          <w:bCs w:val="0"/>
          <w:sz w:val="24"/>
          <w:szCs w:val="24"/>
          <w:shd w:val="clear" w:color="auto" w:fill="FFFFFF"/>
          <w:lang w:val="en-US"/>
        </w:rPr>
        <w:t xml:space="preserve"> determină</w:t>
      </w:r>
      <w:r w:rsidRPr="008376FC">
        <w:rPr>
          <w:rFonts w:asciiTheme="majorHAnsi" w:hAnsiTheme="majorHAnsi" w:cstheme="majorHAnsi"/>
          <w:b w:val="0"/>
          <w:bCs w:val="0"/>
          <w:sz w:val="24"/>
          <w:szCs w:val="24"/>
          <w:shd w:val="clear" w:color="auto" w:fill="FFFFFF"/>
          <w:lang w:val="en-US"/>
        </w:rPr>
        <w:t xml:space="preserve"> extinderea termen</w:t>
      </w:r>
      <w:r w:rsidR="00912C2F">
        <w:rPr>
          <w:rFonts w:asciiTheme="majorHAnsi" w:hAnsiTheme="majorHAnsi" w:cstheme="majorHAnsi"/>
          <w:b w:val="0"/>
          <w:bCs w:val="0"/>
          <w:sz w:val="24"/>
          <w:szCs w:val="24"/>
          <w:shd w:val="clear" w:color="auto" w:fill="FFFFFF"/>
          <w:lang w:val="en-US"/>
        </w:rPr>
        <w:t>e</w:t>
      </w:r>
      <w:r w:rsidRPr="008376FC">
        <w:rPr>
          <w:rFonts w:asciiTheme="majorHAnsi" w:hAnsiTheme="majorHAnsi" w:cstheme="majorHAnsi"/>
          <w:b w:val="0"/>
          <w:bCs w:val="0"/>
          <w:sz w:val="24"/>
          <w:szCs w:val="24"/>
          <w:shd w:val="clear" w:color="auto" w:fill="FFFFFF"/>
          <w:lang w:val="en-US"/>
        </w:rPr>
        <w:t>lor de implementare a acestora și majorarea costurilor</w:t>
      </w:r>
      <w:r w:rsidR="00CC20FE">
        <w:rPr>
          <w:rFonts w:asciiTheme="majorHAnsi" w:hAnsiTheme="majorHAnsi" w:cstheme="majorHAnsi"/>
          <w:b w:val="0"/>
          <w:bCs w:val="0"/>
          <w:sz w:val="24"/>
          <w:szCs w:val="24"/>
          <w:shd w:val="clear" w:color="auto" w:fill="FFFFFF"/>
          <w:lang w:val="en-US"/>
        </w:rPr>
        <w:t xml:space="preserve"> aferente</w:t>
      </w:r>
      <w:r w:rsidRPr="008376FC">
        <w:rPr>
          <w:rFonts w:asciiTheme="majorHAnsi" w:hAnsiTheme="majorHAnsi" w:cstheme="majorHAnsi"/>
          <w:b w:val="0"/>
          <w:bCs w:val="0"/>
          <w:sz w:val="24"/>
          <w:szCs w:val="24"/>
          <w:shd w:val="clear" w:color="auto" w:fill="FFFFFF"/>
          <w:lang w:val="en-US"/>
        </w:rPr>
        <w:t>.</w:t>
      </w:r>
    </w:p>
    <w:p w:rsidR="005B7EDD" w:rsidRPr="008376FC" w:rsidRDefault="005B7EDD" w:rsidP="00F61756">
      <w:pPr>
        <w:pStyle w:val="af1"/>
        <w:shd w:val="clear" w:color="auto" w:fill="FFFFFF"/>
        <w:spacing w:line="276" w:lineRule="auto"/>
        <w:ind w:firstLine="709"/>
        <w:rPr>
          <w:rFonts w:asciiTheme="majorHAnsi" w:hAnsiTheme="majorHAnsi" w:cstheme="majorHAnsi"/>
        </w:rPr>
      </w:pPr>
      <w:r w:rsidRPr="008376FC">
        <w:rPr>
          <w:rFonts w:asciiTheme="majorHAnsi" w:hAnsiTheme="majorHAnsi" w:cstheme="majorHAnsi"/>
        </w:rPr>
        <w:t>Sistemul de monitorizare şi supraveghere în domeniul aprovizionării cu apă şi canalizării este ineficient şi nu asigură plenitudinea informațiilor aferente domeniului.</w:t>
      </w:r>
    </w:p>
    <w:p w:rsidR="005B7EDD" w:rsidRPr="008376FC" w:rsidRDefault="005B7EDD" w:rsidP="00F61756">
      <w:pPr>
        <w:spacing w:after="0" w:line="276" w:lineRule="auto"/>
        <w:ind w:firstLine="709"/>
        <w:jc w:val="both"/>
        <w:rPr>
          <w:rFonts w:asciiTheme="majorHAnsi" w:hAnsiTheme="majorHAnsi" w:cstheme="majorHAnsi"/>
          <w:b w:val="0"/>
          <w:bCs w:val="0"/>
          <w:sz w:val="24"/>
          <w:szCs w:val="24"/>
          <w:lang w:val="en-US"/>
        </w:rPr>
      </w:pPr>
      <w:r w:rsidRPr="008376FC">
        <w:rPr>
          <w:rFonts w:asciiTheme="majorHAnsi" w:hAnsiTheme="majorHAnsi" w:cstheme="majorHAnsi"/>
          <w:b w:val="0"/>
          <w:bCs w:val="0"/>
          <w:sz w:val="24"/>
          <w:szCs w:val="24"/>
          <w:lang w:val="en-US"/>
        </w:rPr>
        <w:t xml:space="preserve">Nemodificarea pe parcursul mai multor ani a tarifelor, în scopul menținerii acestora la un nivel sustenabil, a dus la acumularea </w:t>
      </w:r>
      <w:r w:rsidR="00CC20FE" w:rsidRPr="008376FC">
        <w:rPr>
          <w:rFonts w:asciiTheme="majorHAnsi" w:hAnsiTheme="majorHAnsi" w:cstheme="majorHAnsi"/>
          <w:b w:val="0"/>
          <w:bCs w:val="0"/>
          <w:sz w:val="24"/>
          <w:szCs w:val="24"/>
          <w:lang w:val="en-US"/>
        </w:rPr>
        <w:t xml:space="preserve">pierderilor </w:t>
      </w:r>
      <w:r w:rsidRPr="008376FC">
        <w:rPr>
          <w:rFonts w:asciiTheme="majorHAnsi" w:hAnsiTheme="majorHAnsi" w:cstheme="majorHAnsi"/>
          <w:b w:val="0"/>
          <w:bCs w:val="0"/>
          <w:sz w:val="24"/>
          <w:szCs w:val="24"/>
          <w:lang w:val="en-US"/>
        </w:rPr>
        <w:t xml:space="preserve">de către operatorii serviciilor de alimentare cu apă și sanitație, </w:t>
      </w:r>
      <w:r w:rsidR="00CC20FE">
        <w:rPr>
          <w:rFonts w:asciiTheme="majorHAnsi" w:hAnsiTheme="majorHAnsi" w:cstheme="majorHAnsi"/>
          <w:b w:val="0"/>
          <w:bCs w:val="0"/>
          <w:sz w:val="24"/>
          <w:szCs w:val="24"/>
          <w:lang w:val="en-US"/>
        </w:rPr>
        <w:t xml:space="preserve">la </w:t>
      </w:r>
      <w:r w:rsidRPr="008376FC">
        <w:rPr>
          <w:rFonts w:asciiTheme="majorHAnsi" w:hAnsiTheme="majorHAnsi" w:cstheme="majorHAnsi"/>
          <w:b w:val="0"/>
          <w:bCs w:val="0"/>
          <w:sz w:val="24"/>
          <w:szCs w:val="24"/>
          <w:lang w:val="en-US"/>
        </w:rPr>
        <w:t>creșterea gradului de îndatorare și</w:t>
      </w:r>
      <w:r w:rsidR="00CC20FE">
        <w:rPr>
          <w:rFonts w:asciiTheme="majorHAnsi" w:hAnsiTheme="majorHAnsi" w:cstheme="majorHAnsi"/>
          <w:b w:val="0"/>
          <w:bCs w:val="0"/>
          <w:sz w:val="24"/>
          <w:szCs w:val="24"/>
          <w:lang w:val="en-US"/>
        </w:rPr>
        <w:t xml:space="preserve"> la</w:t>
      </w:r>
      <w:r w:rsidRPr="008376FC">
        <w:rPr>
          <w:rFonts w:asciiTheme="majorHAnsi" w:hAnsiTheme="majorHAnsi" w:cstheme="majorHAnsi"/>
          <w:b w:val="0"/>
          <w:bCs w:val="0"/>
          <w:sz w:val="24"/>
          <w:szCs w:val="24"/>
          <w:lang w:val="en-US"/>
        </w:rPr>
        <w:t xml:space="preserve"> intrarea unora din ace</w:t>
      </w:r>
      <w:r w:rsidR="00CC20FE">
        <w:rPr>
          <w:rFonts w:asciiTheme="majorHAnsi" w:hAnsiTheme="majorHAnsi" w:cstheme="majorHAnsi"/>
          <w:b w:val="0"/>
          <w:bCs w:val="0"/>
          <w:sz w:val="24"/>
          <w:szCs w:val="24"/>
          <w:lang w:val="en-US"/>
        </w:rPr>
        <w:t>ș</w:t>
      </w:r>
      <w:r w:rsidRPr="008376FC">
        <w:rPr>
          <w:rFonts w:asciiTheme="majorHAnsi" w:hAnsiTheme="majorHAnsi" w:cstheme="majorHAnsi"/>
          <w:b w:val="0"/>
          <w:bCs w:val="0"/>
          <w:sz w:val="24"/>
          <w:szCs w:val="24"/>
          <w:lang w:val="en-US"/>
        </w:rPr>
        <w:t>t</w:t>
      </w:r>
      <w:r w:rsidR="00CC20FE">
        <w:rPr>
          <w:rFonts w:asciiTheme="majorHAnsi" w:hAnsiTheme="majorHAnsi" w:cstheme="majorHAnsi"/>
          <w:b w:val="0"/>
          <w:bCs w:val="0"/>
          <w:sz w:val="24"/>
          <w:szCs w:val="24"/>
          <w:lang w:val="en-US"/>
        </w:rPr>
        <w:t>i</w:t>
      </w:r>
      <w:r w:rsidRPr="008376FC">
        <w:rPr>
          <w:rFonts w:asciiTheme="majorHAnsi" w:hAnsiTheme="majorHAnsi" w:cstheme="majorHAnsi"/>
          <w:b w:val="0"/>
          <w:bCs w:val="0"/>
          <w:sz w:val="24"/>
          <w:szCs w:val="24"/>
          <w:lang w:val="en-US"/>
        </w:rPr>
        <w:t xml:space="preserve">a în procesul de insolvabilitate. </w:t>
      </w:r>
    </w:p>
    <w:p w:rsidR="005B7EDD" w:rsidRPr="008376FC" w:rsidRDefault="005B7EDD" w:rsidP="00F61756">
      <w:pPr>
        <w:spacing w:after="0" w:line="276" w:lineRule="auto"/>
        <w:ind w:firstLine="709"/>
        <w:jc w:val="both"/>
        <w:rPr>
          <w:rFonts w:asciiTheme="majorHAnsi" w:hAnsiTheme="majorHAnsi" w:cstheme="majorHAnsi"/>
          <w:b w:val="0"/>
          <w:bCs w:val="0"/>
          <w:sz w:val="24"/>
          <w:szCs w:val="24"/>
          <w:lang w:val="en-US"/>
        </w:rPr>
      </w:pPr>
      <w:r w:rsidRPr="008376FC">
        <w:rPr>
          <w:rFonts w:asciiTheme="majorHAnsi" w:hAnsiTheme="majorHAnsi" w:cstheme="majorHAnsi"/>
          <w:b w:val="0"/>
          <w:bCs w:val="0"/>
          <w:sz w:val="24"/>
          <w:szCs w:val="24"/>
          <w:lang w:val="en-US"/>
        </w:rPr>
        <w:t xml:space="preserve">Din partea factorilor de decizie și participanților la procesul de alimentare cu apă și sanitație,  sunt necesare măsuri urgente și stringente pentru ameliorarea situațiilor constatate în </w:t>
      </w:r>
      <w:r w:rsidR="00CC20FE">
        <w:rPr>
          <w:rFonts w:asciiTheme="majorHAnsi" w:hAnsiTheme="majorHAnsi" w:cstheme="majorHAnsi"/>
          <w:b w:val="0"/>
          <w:bCs w:val="0"/>
          <w:sz w:val="24"/>
          <w:szCs w:val="24"/>
          <w:lang w:val="en-US"/>
        </w:rPr>
        <w:t xml:space="preserve">prezentul </w:t>
      </w:r>
      <w:r w:rsidRPr="008376FC">
        <w:rPr>
          <w:rFonts w:asciiTheme="majorHAnsi" w:hAnsiTheme="majorHAnsi" w:cstheme="majorHAnsi"/>
          <w:b w:val="0"/>
          <w:bCs w:val="0"/>
          <w:sz w:val="24"/>
          <w:szCs w:val="24"/>
          <w:lang w:val="en-US"/>
        </w:rPr>
        <w:t xml:space="preserve">Raport. </w:t>
      </w:r>
    </w:p>
    <w:p w:rsidR="005B7EDD" w:rsidRPr="008376FC" w:rsidRDefault="005B7EDD" w:rsidP="00F61756">
      <w:pPr>
        <w:spacing w:after="0" w:line="276" w:lineRule="auto"/>
        <w:ind w:firstLine="709"/>
        <w:jc w:val="both"/>
        <w:rPr>
          <w:rFonts w:asciiTheme="majorHAnsi" w:hAnsiTheme="majorHAnsi" w:cstheme="majorHAnsi"/>
          <w:b w:val="0"/>
          <w:bCs w:val="0"/>
          <w:i/>
          <w:sz w:val="24"/>
          <w:szCs w:val="24"/>
          <w:lang w:val="en-US"/>
        </w:rPr>
      </w:pPr>
      <w:r w:rsidRPr="008376FC">
        <w:rPr>
          <w:rFonts w:asciiTheme="majorHAnsi" w:hAnsiTheme="majorHAnsi" w:cstheme="majorHAnsi"/>
          <w:b w:val="0"/>
          <w:bCs w:val="0"/>
          <w:i/>
          <w:sz w:val="24"/>
          <w:szCs w:val="24"/>
          <w:lang w:val="en-US"/>
        </w:rPr>
        <w:t xml:space="preserve">Constatările și recomandările de audit au fost comunicate și coordinate cu actorii vizați în prezentul Raport de audit. </w:t>
      </w:r>
    </w:p>
    <w:p w:rsidR="0096170B" w:rsidRPr="008376FC" w:rsidRDefault="0096170B" w:rsidP="00F61756">
      <w:pPr>
        <w:pStyle w:val="1"/>
        <w:numPr>
          <w:ilvl w:val="0"/>
          <w:numId w:val="77"/>
        </w:numPr>
        <w:spacing w:line="276" w:lineRule="auto"/>
        <w:ind w:left="0" w:firstLine="0"/>
        <w:rPr>
          <w:rFonts w:cstheme="majorHAnsi"/>
          <w:color w:val="0070C0"/>
          <w:sz w:val="24"/>
          <w:szCs w:val="24"/>
        </w:rPr>
      </w:pPr>
      <w:bookmarkStart w:id="47" w:name="_Toc132042793"/>
      <w:bookmarkStart w:id="48" w:name="_Toc132320215"/>
      <w:r w:rsidRPr="008376FC">
        <w:rPr>
          <w:rFonts w:cstheme="majorHAnsi"/>
          <w:color w:val="0070C0"/>
          <w:sz w:val="24"/>
          <w:szCs w:val="24"/>
          <w:shd w:val="clear" w:color="auto" w:fill="FFFFFF" w:themeFill="background1"/>
        </w:rPr>
        <w:t>RECOMANDĂRI</w:t>
      </w:r>
      <w:bookmarkEnd w:id="47"/>
      <w:bookmarkEnd w:id="48"/>
    </w:p>
    <w:p w:rsidR="0088086E" w:rsidRDefault="00A20E42" w:rsidP="00F61756">
      <w:pPr>
        <w:pStyle w:val="a3"/>
        <w:numPr>
          <w:ilvl w:val="0"/>
          <w:numId w:val="70"/>
        </w:numPr>
        <w:tabs>
          <w:tab w:val="left" w:pos="993"/>
        </w:tabs>
        <w:spacing w:line="276" w:lineRule="auto"/>
        <w:ind w:left="0" w:firstLine="709"/>
        <w:jc w:val="both"/>
        <w:rPr>
          <w:rFonts w:asciiTheme="majorHAnsi" w:hAnsiTheme="majorHAnsi" w:cstheme="majorHAnsi"/>
          <w:lang w:val="ro-RO" w:bidi="he-IL"/>
        </w:rPr>
      </w:pPr>
      <w:r w:rsidRPr="008376FC">
        <w:rPr>
          <w:rFonts w:asciiTheme="majorHAnsi" w:hAnsiTheme="majorHAnsi" w:cstheme="majorHAnsi"/>
          <w:b/>
          <w:bCs/>
          <w:lang w:val="ro-RO"/>
        </w:rPr>
        <w:t>Ministerului Infrastructurii şi Dezvoltării Regionale</w:t>
      </w:r>
      <w:r w:rsidR="00CC20FE">
        <w:rPr>
          <w:rFonts w:asciiTheme="majorHAnsi" w:hAnsiTheme="majorHAnsi" w:cstheme="majorHAnsi"/>
          <w:b/>
          <w:bCs/>
          <w:lang w:val="ro-RO"/>
        </w:rPr>
        <w:t>,</w:t>
      </w:r>
      <w:r w:rsidRPr="008376FC">
        <w:rPr>
          <w:rFonts w:asciiTheme="majorHAnsi" w:hAnsiTheme="majorHAnsi" w:cstheme="majorHAnsi"/>
          <w:b/>
          <w:bCs/>
          <w:lang w:val="ro-RO"/>
        </w:rPr>
        <w:t xml:space="preserve"> </w:t>
      </w:r>
      <w:r w:rsidR="00B61723" w:rsidRPr="008376FC">
        <w:rPr>
          <w:rFonts w:asciiTheme="majorHAnsi" w:hAnsiTheme="majorHAnsi" w:cstheme="majorHAnsi"/>
          <w:b/>
          <w:bCs/>
          <w:lang w:val="ro-RO"/>
        </w:rPr>
        <w:t xml:space="preserve">în comun cu </w:t>
      </w:r>
      <w:r w:rsidRPr="008376FC">
        <w:rPr>
          <w:rFonts w:asciiTheme="majorHAnsi" w:hAnsiTheme="majorHAnsi" w:cstheme="majorHAnsi"/>
          <w:b/>
          <w:bCs/>
          <w:lang w:val="ro-RO"/>
        </w:rPr>
        <w:t>Ministerul Mediului,</w:t>
      </w:r>
      <w:r w:rsidRPr="008376FC">
        <w:rPr>
          <w:rFonts w:asciiTheme="majorHAnsi" w:hAnsiTheme="majorHAnsi" w:cstheme="majorHAnsi"/>
          <w:lang w:val="ro-RO"/>
        </w:rPr>
        <w:t xml:space="preserve"> să asigure aducerea în concordanță și corelarea prevederilor </w:t>
      </w:r>
      <w:r w:rsidRPr="008376FC">
        <w:rPr>
          <w:rFonts w:asciiTheme="majorHAnsi" w:hAnsiTheme="majorHAnsi" w:cstheme="majorHAnsi"/>
          <w:lang w:val="ro-RO" w:bidi="he-IL"/>
        </w:rPr>
        <w:t xml:space="preserve">din Strategia de Alimentare cu Apă şi Sanitație, aprobată prin Hotărârea Guvernului nr.199 din 20.03.2014 și din Strategia Națională de Dezvoltare „Moldova Europeană 2030”, aprobată prin Legea nr.315 din 17.11.2022, privitor la </w:t>
      </w:r>
      <w:r w:rsidRPr="008376FC">
        <w:rPr>
          <w:rFonts w:asciiTheme="majorHAnsi" w:hAnsiTheme="majorHAnsi" w:cstheme="majorHAnsi"/>
          <w:lang w:val="ro-RO"/>
        </w:rPr>
        <w:t>țintele stabilite pentru indicatorii aferenți</w:t>
      </w:r>
      <w:r w:rsidRPr="008376FC">
        <w:rPr>
          <w:rFonts w:asciiTheme="majorHAnsi" w:hAnsiTheme="majorHAnsi" w:cstheme="majorHAnsi"/>
          <w:lang w:val="ro-RO" w:bidi="he-IL"/>
        </w:rPr>
        <w:t xml:space="preserve"> accesului populației la apeducte şi sisteme de sanitație</w:t>
      </w:r>
      <w:r w:rsidR="009519A6">
        <w:rPr>
          <w:rFonts w:asciiTheme="majorHAnsi" w:hAnsiTheme="majorHAnsi" w:cstheme="majorHAnsi"/>
          <w:lang w:val="ro-RO" w:bidi="he-IL"/>
        </w:rPr>
        <w:t xml:space="preserve"> </w:t>
      </w:r>
      <w:r w:rsidR="009519A6" w:rsidRPr="00F278F9">
        <w:rPr>
          <w:rFonts w:asciiTheme="majorHAnsi" w:hAnsiTheme="majorHAnsi" w:cstheme="majorHAnsi"/>
          <w:b/>
          <w:lang w:val="ro-RO" w:bidi="he-IL"/>
        </w:rPr>
        <w:t xml:space="preserve">(pct. </w:t>
      </w:r>
      <w:r w:rsidR="00BC28D6" w:rsidRPr="00F278F9">
        <w:rPr>
          <w:rFonts w:asciiTheme="majorHAnsi" w:hAnsiTheme="majorHAnsi" w:cstheme="majorHAnsi"/>
          <w:b/>
          <w:lang w:val="ro-RO" w:bidi="he-IL"/>
        </w:rPr>
        <w:t>4.1.2).</w:t>
      </w:r>
    </w:p>
    <w:p w:rsidR="00532FD0" w:rsidRPr="008376FC" w:rsidRDefault="00532FD0" w:rsidP="00F61756">
      <w:pPr>
        <w:pStyle w:val="a3"/>
        <w:tabs>
          <w:tab w:val="left" w:pos="993"/>
        </w:tabs>
        <w:spacing w:line="276" w:lineRule="auto"/>
        <w:ind w:left="709"/>
        <w:jc w:val="both"/>
        <w:rPr>
          <w:rFonts w:asciiTheme="majorHAnsi" w:hAnsiTheme="majorHAnsi" w:cstheme="majorHAnsi"/>
          <w:lang w:val="ro-RO" w:bidi="he-IL"/>
        </w:rPr>
      </w:pPr>
    </w:p>
    <w:p w:rsidR="00FC6401" w:rsidRPr="008376FC" w:rsidRDefault="005B237F" w:rsidP="00F61756">
      <w:pPr>
        <w:spacing w:after="0" w:line="276" w:lineRule="auto"/>
        <w:ind w:firstLine="709"/>
        <w:jc w:val="both"/>
        <w:rPr>
          <w:rFonts w:asciiTheme="majorHAnsi" w:hAnsiTheme="majorHAnsi" w:cstheme="majorHAnsi"/>
          <w:b w:val="0"/>
          <w:bCs w:val="0"/>
          <w:sz w:val="24"/>
          <w:szCs w:val="24"/>
          <w:lang w:eastAsia="ru-RU" w:bidi="hi-IN"/>
        </w:rPr>
      </w:pPr>
      <w:r w:rsidRPr="008376FC">
        <w:rPr>
          <w:rFonts w:asciiTheme="majorHAnsi" w:hAnsiTheme="majorHAnsi" w:cstheme="majorHAnsi"/>
          <w:sz w:val="24"/>
          <w:szCs w:val="24"/>
        </w:rPr>
        <w:t xml:space="preserve">2. </w:t>
      </w:r>
      <w:r w:rsidR="00A20E42" w:rsidRPr="008376FC">
        <w:rPr>
          <w:rFonts w:asciiTheme="majorHAnsi" w:hAnsiTheme="majorHAnsi" w:cstheme="majorHAnsi"/>
          <w:sz w:val="24"/>
          <w:szCs w:val="24"/>
        </w:rPr>
        <w:t>Ministerului Infrastructurii şi Dezvoltării Regionale</w:t>
      </w:r>
      <w:r w:rsidR="00B61723" w:rsidRPr="008376FC">
        <w:rPr>
          <w:rFonts w:asciiTheme="majorHAnsi" w:hAnsiTheme="majorHAnsi" w:cstheme="majorHAnsi"/>
          <w:sz w:val="24"/>
          <w:szCs w:val="24"/>
        </w:rPr>
        <w:t>:</w:t>
      </w:r>
    </w:p>
    <w:p w:rsidR="00A20E42" w:rsidRPr="008376FC" w:rsidRDefault="00FC6401" w:rsidP="00F61756">
      <w:pPr>
        <w:spacing w:after="0" w:line="276" w:lineRule="auto"/>
        <w:ind w:firstLine="709"/>
        <w:jc w:val="both"/>
        <w:rPr>
          <w:rFonts w:asciiTheme="majorHAnsi" w:hAnsiTheme="majorHAnsi" w:cstheme="majorHAnsi"/>
          <w:b w:val="0"/>
          <w:bCs w:val="0"/>
          <w:sz w:val="24"/>
          <w:szCs w:val="24"/>
          <w:lang w:eastAsia="ru-RU" w:bidi="hi-IN"/>
        </w:rPr>
      </w:pPr>
      <w:r w:rsidRPr="008376FC">
        <w:rPr>
          <w:rFonts w:asciiTheme="majorHAnsi" w:hAnsiTheme="majorHAnsi" w:cstheme="majorHAnsi"/>
          <w:sz w:val="24"/>
          <w:szCs w:val="24"/>
        </w:rPr>
        <w:t xml:space="preserve">2.1. </w:t>
      </w:r>
      <w:r w:rsidR="00A20E42" w:rsidRPr="008376FC">
        <w:rPr>
          <w:rFonts w:asciiTheme="majorHAnsi" w:hAnsiTheme="majorHAnsi" w:cstheme="majorHAnsi"/>
          <w:sz w:val="24"/>
          <w:szCs w:val="24"/>
        </w:rPr>
        <w:t xml:space="preserve"> </w:t>
      </w:r>
      <w:r w:rsidR="00A20E42" w:rsidRPr="008376FC">
        <w:rPr>
          <w:rFonts w:asciiTheme="majorHAnsi" w:hAnsiTheme="majorHAnsi" w:cstheme="majorHAnsi"/>
          <w:b w:val="0"/>
          <w:sz w:val="24"/>
          <w:szCs w:val="24"/>
        </w:rPr>
        <w:t xml:space="preserve">să revizuiască prevederile </w:t>
      </w:r>
      <w:r w:rsidR="00A20E42" w:rsidRPr="008376FC">
        <w:rPr>
          <w:rFonts w:asciiTheme="majorHAnsi" w:hAnsiTheme="majorHAnsi" w:cstheme="majorHAnsi"/>
          <w:b w:val="0"/>
          <w:sz w:val="24"/>
          <w:szCs w:val="24"/>
          <w:lang w:bidi="he-IL"/>
        </w:rPr>
        <w:t>Strategiei de Alimentare cu Apă şi Sanitație, aprobată prin Hotărârea Guvernului nr.199 din 20.03.2014</w:t>
      </w:r>
      <w:r w:rsidR="00CC20FE">
        <w:rPr>
          <w:rFonts w:asciiTheme="majorHAnsi" w:hAnsiTheme="majorHAnsi" w:cstheme="majorHAnsi"/>
          <w:b w:val="0"/>
          <w:sz w:val="24"/>
          <w:szCs w:val="24"/>
          <w:lang w:bidi="he-IL"/>
        </w:rPr>
        <w:t>,</w:t>
      </w:r>
      <w:r w:rsidR="00A20E42" w:rsidRPr="008376FC">
        <w:rPr>
          <w:rFonts w:asciiTheme="majorHAnsi" w:hAnsiTheme="majorHAnsi" w:cstheme="majorHAnsi"/>
          <w:b w:val="0"/>
          <w:sz w:val="24"/>
          <w:szCs w:val="24"/>
          <w:lang w:bidi="he-IL"/>
        </w:rPr>
        <w:t xml:space="preserve"> prin </w:t>
      </w:r>
      <w:r w:rsidR="00A20E42" w:rsidRPr="008376FC">
        <w:rPr>
          <w:rFonts w:asciiTheme="majorHAnsi" w:hAnsiTheme="majorHAnsi" w:cstheme="majorHAnsi"/>
          <w:b w:val="0"/>
          <w:bCs w:val="0"/>
          <w:sz w:val="24"/>
          <w:szCs w:val="24"/>
          <w:lang w:eastAsia="ru-RU" w:bidi="hi-IN"/>
        </w:rPr>
        <w:t xml:space="preserve">ajustarea denumirii organului </w:t>
      </w:r>
      <w:r w:rsidR="00A20E42" w:rsidRPr="008376FC">
        <w:rPr>
          <w:rFonts w:asciiTheme="majorHAnsi" w:hAnsiTheme="majorHAnsi" w:cstheme="majorHAnsi"/>
          <w:b w:val="0"/>
          <w:sz w:val="24"/>
          <w:szCs w:val="24"/>
        </w:rPr>
        <w:t>responsabil de implementarea politicilor în domeniul alimentării de apă şi sanitație</w:t>
      </w:r>
      <w:r w:rsidR="00CC20FE">
        <w:rPr>
          <w:rFonts w:asciiTheme="majorHAnsi" w:hAnsiTheme="majorHAnsi" w:cstheme="majorHAnsi"/>
          <w:b w:val="0"/>
          <w:sz w:val="24"/>
          <w:szCs w:val="24"/>
        </w:rPr>
        <w:t>i</w:t>
      </w:r>
      <w:r w:rsidR="00A20E42" w:rsidRPr="008376FC">
        <w:rPr>
          <w:rFonts w:asciiTheme="majorHAnsi" w:hAnsiTheme="majorHAnsi" w:cstheme="majorHAnsi"/>
          <w:b w:val="0"/>
          <w:sz w:val="24"/>
          <w:szCs w:val="24"/>
          <w:lang w:bidi="he-IL"/>
        </w:rPr>
        <w:t xml:space="preserve"> conform prevederilor Hotărârii Guvernului nr.690 din 30.08.2017 </w:t>
      </w:r>
      <w:r w:rsidR="00CC20FE">
        <w:rPr>
          <w:rFonts w:asciiTheme="majorHAnsi" w:hAnsiTheme="majorHAnsi" w:cstheme="majorHAnsi"/>
          <w:b w:val="0"/>
          <w:sz w:val="24"/>
          <w:szCs w:val="24"/>
          <w:lang w:bidi="he-IL"/>
        </w:rPr>
        <w:t>„C</w:t>
      </w:r>
      <w:r w:rsidR="00A20E42" w:rsidRPr="008376FC">
        <w:rPr>
          <w:rFonts w:asciiTheme="majorHAnsi" w:hAnsiTheme="majorHAnsi" w:cstheme="majorHAnsi"/>
          <w:b w:val="0"/>
          <w:sz w:val="24"/>
          <w:szCs w:val="24"/>
          <w:lang w:bidi="he-IL"/>
        </w:rPr>
        <w:t>u privire la organizarea şi funcționarea Ministerului Infrastructurii și Dezvoltării Regionale</w:t>
      </w:r>
      <w:r w:rsidR="00CC20FE">
        <w:rPr>
          <w:rFonts w:asciiTheme="majorHAnsi" w:hAnsiTheme="majorHAnsi" w:cstheme="majorHAnsi"/>
          <w:b w:val="0"/>
          <w:sz w:val="24"/>
          <w:szCs w:val="24"/>
          <w:lang w:bidi="he-IL"/>
        </w:rPr>
        <w:t>”</w:t>
      </w:r>
      <w:r w:rsidR="009519A6">
        <w:rPr>
          <w:rFonts w:asciiTheme="majorHAnsi" w:hAnsiTheme="majorHAnsi" w:cstheme="majorHAnsi"/>
          <w:b w:val="0"/>
          <w:sz w:val="24"/>
          <w:szCs w:val="24"/>
          <w:lang w:bidi="he-IL"/>
        </w:rPr>
        <w:t xml:space="preserve"> </w:t>
      </w:r>
      <w:r w:rsidR="00BC28D6" w:rsidRPr="00F278F9">
        <w:rPr>
          <w:rFonts w:asciiTheme="majorHAnsi" w:hAnsiTheme="majorHAnsi" w:cstheme="majorHAnsi"/>
          <w:sz w:val="24"/>
          <w:szCs w:val="24"/>
          <w:lang w:bidi="he-IL"/>
        </w:rPr>
        <w:t>(pct.</w:t>
      </w:r>
      <w:r w:rsidR="00BC28D6" w:rsidRPr="00F278F9">
        <w:rPr>
          <w:rFonts w:asciiTheme="majorHAnsi" w:hAnsiTheme="majorHAnsi" w:cstheme="majorHAnsi"/>
          <w:bCs w:val="0"/>
          <w:lang w:bidi="he-IL"/>
        </w:rPr>
        <w:t>4.1.3</w:t>
      </w:r>
      <w:r w:rsidR="00BC28D6" w:rsidRPr="00F278F9">
        <w:rPr>
          <w:rFonts w:asciiTheme="majorHAnsi" w:hAnsiTheme="majorHAnsi" w:cstheme="majorHAnsi"/>
          <w:sz w:val="24"/>
          <w:szCs w:val="24"/>
          <w:lang w:bidi="he-IL"/>
        </w:rPr>
        <w:t>)</w:t>
      </w:r>
      <w:r w:rsidR="00BC28D6" w:rsidRPr="00F278F9">
        <w:rPr>
          <w:rFonts w:asciiTheme="majorHAnsi" w:hAnsiTheme="majorHAnsi" w:cstheme="majorHAnsi"/>
          <w:bCs w:val="0"/>
          <w:sz w:val="24"/>
          <w:szCs w:val="24"/>
          <w:lang w:eastAsia="ru-RU" w:bidi="hi-IN"/>
        </w:rPr>
        <w:t>;</w:t>
      </w:r>
    </w:p>
    <w:p w:rsidR="0088086E" w:rsidRDefault="00FC6401" w:rsidP="00F61756">
      <w:pPr>
        <w:spacing w:after="0" w:line="276" w:lineRule="auto"/>
        <w:ind w:firstLine="709"/>
        <w:jc w:val="both"/>
        <w:rPr>
          <w:rFonts w:asciiTheme="majorHAnsi" w:hAnsiTheme="majorHAnsi" w:cstheme="majorHAnsi"/>
          <w:sz w:val="24"/>
          <w:szCs w:val="24"/>
          <w:lang w:eastAsia="ru-RU" w:bidi="hi-IN"/>
        </w:rPr>
      </w:pPr>
      <w:r w:rsidRPr="008376FC">
        <w:rPr>
          <w:rFonts w:asciiTheme="majorHAnsi" w:hAnsiTheme="majorHAnsi" w:cstheme="majorHAnsi"/>
          <w:sz w:val="24"/>
          <w:szCs w:val="24"/>
          <w:lang w:eastAsia="ru-RU" w:bidi="hi-IN"/>
        </w:rPr>
        <w:t>2.2.</w:t>
      </w:r>
      <w:r w:rsidRPr="008376FC">
        <w:rPr>
          <w:rFonts w:asciiTheme="majorHAnsi" w:hAnsiTheme="majorHAnsi" w:cstheme="majorHAnsi"/>
          <w:b w:val="0"/>
          <w:bCs w:val="0"/>
          <w:sz w:val="24"/>
          <w:szCs w:val="24"/>
          <w:lang w:eastAsia="ru-RU" w:bidi="hi-IN"/>
        </w:rPr>
        <w:t xml:space="preserve"> </w:t>
      </w:r>
      <w:r w:rsidR="00C1754A" w:rsidRPr="008376FC">
        <w:rPr>
          <w:rFonts w:asciiTheme="majorHAnsi" w:hAnsiTheme="majorHAnsi" w:cstheme="majorHAnsi"/>
          <w:b w:val="0"/>
          <w:bCs w:val="0"/>
          <w:sz w:val="24"/>
          <w:szCs w:val="24"/>
          <w:lang w:eastAsia="ru-RU" w:bidi="hi-IN"/>
        </w:rPr>
        <w:t>s</w:t>
      </w:r>
      <w:r w:rsidRPr="008376FC">
        <w:rPr>
          <w:rFonts w:asciiTheme="majorHAnsi" w:hAnsiTheme="majorHAnsi" w:cstheme="majorHAnsi"/>
          <w:b w:val="0"/>
          <w:bCs w:val="0"/>
          <w:sz w:val="24"/>
          <w:szCs w:val="24"/>
          <w:lang w:eastAsia="ru-RU" w:bidi="hi-IN"/>
        </w:rPr>
        <w:t>ă examineze oportunitatea elaborării și aprobării unui Plan de acțiuni</w:t>
      </w:r>
      <w:r w:rsidR="00CC20FE">
        <w:rPr>
          <w:rFonts w:asciiTheme="majorHAnsi" w:hAnsiTheme="majorHAnsi" w:cstheme="majorHAnsi"/>
          <w:b w:val="0"/>
          <w:bCs w:val="0"/>
          <w:sz w:val="24"/>
          <w:szCs w:val="24"/>
          <w:lang w:eastAsia="ru-RU" w:bidi="hi-IN"/>
        </w:rPr>
        <w:t>,</w:t>
      </w:r>
      <w:r w:rsidRPr="008376FC">
        <w:rPr>
          <w:rFonts w:asciiTheme="majorHAnsi" w:hAnsiTheme="majorHAnsi" w:cstheme="majorHAnsi"/>
          <w:b w:val="0"/>
          <w:bCs w:val="0"/>
          <w:sz w:val="24"/>
          <w:szCs w:val="24"/>
          <w:lang w:eastAsia="ru-RU" w:bidi="hi-IN"/>
        </w:rPr>
        <w:t xml:space="preserve"> centralizat pe țară</w:t>
      </w:r>
      <w:r w:rsidR="00CC20FE">
        <w:rPr>
          <w:rFonts w:asciiTheme="majorHAnsi" w:hAnsiTheme="majorHAnsi" w:cstheme="majorHAnsi"/>
          <w:b w:val="0"/>
          <w:bCs w:val="0"/>
          <w:sz w:val="24"/>
          <w:szCs w:val="24"/>
          <w:lang w:eastAsia="ru-RU" w:bidi="hi-IN"/>
        </w:rPr>
        <w:t>,</w:t>
      </w:r>
      <w:r w:rsidRPr="008376FC">
        <w:rPr>
          <w:rFonts w:asciiTheme="majorHAnsi" w:hAnsiTheme="majorHAnsi" w:cstheme="majorHAnsi"/>
          <w:b w:val="0"/>
          <w:bCs w:val="0"/>
          <w:sz w:val="24"/>
          <w:szCs w:val="24"/>
          <w:lang w:eastAsia="ru-RU" w:bidi="hi-IN"/>
        </w:rPr>
        <w:t xml:space="preserve"> privind realizarea investițiilor în domeniul alimentării de apă și canaliz</w:t>
      </w:r>
      <w:r w:rsidR="00CC20FE">
        <w:rPr>
          <w:rFonts w:asciiTheme="majorHAnsi" w:hAnsiTheme="majorHAnsi" w:cstheme="majorHAnsi"/>
          <w:b w:val="0"/>
          <w:bCs w:val="0"/>
          <w:sz w:val="24"/>
          <w:szCs w:val="24"/>
          <w:lang w:eastAsia="ru-RU" w:bidi="hi-IN"/>
        </w:rPr>
        <w:t>ării</w:t>
      </w:r>
      <w:r w:rsidRPr="008376FC">
        <w:rPr>
          <w:rFonts w:asciiTheme="majorHAnsi" w:hAnsiTheme="majorHAnsi" w:cstheme="majorHAnsi"/>
          <w:b w:val="0"/>
          <w:bCs w:val="0"/>
          <w:sz w:val="24"/>
          <w:szCs w:val="24"/>
          <w:lang w:eastAsia="ru-RU" w:bidi="hi-IN"/>
        </w:rPr>
        <w:t xml:space="preserve"> pe termen scurt, mediu și lung, pentru a avea o previzibilitate strategică în efectuarea investițiilor în acest domeniu, inclusiv ținând cont de regionalizarea serviciilor de alimentare cu apă și sanitație, ceea ce va duce la sporirea eficienței investițiilor realizate și </w:t>
      </w:r>
      <w:r w:rsidR="00CC20FE">
        <w:rPr>
          <w:rFonts w:asciiTheme="majorHAnsi" w:hAnsiTheme="majorHAnsi" w:cstheme="majorHAnsi"/>
          <w:b w:val="0"/>
          <w:bCs w:val="0"/>
          <w:sz w:val="24"/>
          <w:szCs w:val="24"/>
          <w:lang w:eastAsia="ru-RU" w:bidi="hi-IN"/>
        </w:rPr>
        <w:t xml:space="preserve">la </w:t>
      </w:r>
      <w:r w:rsidRPr="008376FC">
        <w:rPr>
          <w:rFonts w:asciiTheme="majorHAnsi" w:hAnsiTheme="majorHAnsi" w:cstheme="majorHAnsi"/>
          <w:b w:val="0"/>
          <w:bCs w:val="0"/>
          <w:sz w:val="24"/>
          <w:szCs w:val="24"/>
          <w:lang w:eastAsia="ru-RU" w:bidi="hi-IN"/>
        </w:rPr>
        <w:t xml:space="preserve">previzibilitatea efectuării lor în anii </w:t>
      </w:r>
      <w:r w:rsidRPr="00CC20FE">
        <w:rPr>
          <w:rFonts w:asciiTheme="majorHAnsi" w:hAnsiTheme="majorHAnsi" w:cstheme="majorHAnsi"/>
          <w:b w:val="0"/>
          <w:bCs w:val="0"/>
          <w:sz w:val="24"/>
          <w:szCs w:val="24"/>
          <w:lang w:eastAsia="ru-RU" w:bidi="hi-IN"/>
        </w:rPr>
        <w:t>următori</w:t>
      </w:r>
      <w:r w:rsidR="004038A0">
        <w:rPr>
          <w:rFonts w:asciiTheme="majorHAnsi" w:hAnsiTheme="majorHAnsi" w:cstheme="majorHAnsi"/>
          <w:b w:val="0"/>
          <w:bCs w:val="0"/>
          <w:sz w:val="24"/>
          <w:szCs w:val="24"/>
          <w:lang w:eastAsia="ru-RU" w:bidi="hi-IN"/>
        </w:rPr>
        <w:t xml:space="preserve"> </w:t>
      </w:r>
      <w:r w:rsidR="009519A6" w:rsidRPr="00F278F9">
        <w:rPr>
          <w:rFonts w:asciiTheme="majorHAnsi" w:hAnsiTheme="majorHAnsi" w:cstheme="majorHAnsi"/>
          <w:sz w:val="24"/>
          <w:szCs w:val="24"/>
          <w:lang w:eastAsia="ru-RU" w:bidi="hi-IN"/>
        </w:rPr>
        <w:t>(pct.</w:t>
      </w:r>
      <w:r w:rsidR="00E130D4" w:rsidRPr="00F278F9">
        <w:t xml:space="preserve"> </w:t>
      </w:r>
      <w:r w:rsidR="00E130D4" w:rsidRPr="00F278F9">
        <w:rPr>
          <w:rFonts w:asciiTheme="majorHAnsi" w:hAnsiTheme="majorHAnsi" w:cstheme="majorHAnsi"/>
          <w:sz w:val="24"/>
          <w:szCs w:val="24"/>
          <w:lang w:eastAsia="ru-RU" w:bidi="hi-IN"/>
        </w:rPr>
        <w:t>4.1.3</w:t>
      </w:r>
      <w:r w:rsidR="009519A6" w:rsidRPr="00F278F9">
        <w:rPr>
          <w:rFonts w:asciiTheme="majorHAnsi" w:hAnsiTheme="majorHAnsi" w:cstheme="majorHAnsi"/>
          <w:sz w:val="24"/>
          <w:szCs w:val="24"/>
          <w:lang w:eastAsia="ru-RU" w:bidi="hi-IN"/>
        </w:rPr>
        <w:t>)</w:t>
      </w:r>
      <w:r w:rsidR="000A4258" w:rsidRPr="00F278F9">
        <w:rPr>
          <w:rFonts w:asciiTheme="majorHAnsi" w:hAnsiTheme="majorHAnsi" w:cstheme="majorHAnsi"/>
          <w:sz w:val="24"/>
          <w:szCs w:val="24"/>
          <w:lang w:eastAsia="ru-RU" w:bidi="hi-IN"/>
        </w:rPr>
        <w:t>.</w:t>
      </w:r>
    </w:p>
    <w:p w:rsidR="00532FD0" w:rsidRPr="008376FC" w:rsidRDefault="00532FD0" w:rsidP="00F61756">
      <w:pPr>
        <w:spacing w:after="0" w:line="276" w:lineRule="auto"/>
        <w:ind w:firstLine="709"/>
        <w:jc w:val="both"/>
        <w:rPr>
          <w:lang w:eastAsia="ru-RU" w:bidi="hi-IN"/>
        </w:rPr>
      </w:pPr>
    </w:p>
    <w:p w:rsidR="00A20E42" w:rsidRPr="008376FC" w:rsidRDefault="00A20E42" w:rsidP="00F61756">
      <w:pPr>
        <w:pStyle w:val="a3"/>
        <w:numPr>
          <w:ilvl w:val="0"/>
          <w:numId w:val="75"/>
        </w:numPr>
        <w:tabs>
          <w:tab w:val="left" w:pos="993"/>
        </w:tabs>
        <w:spacing w:line="276" w:lineRule="auto"/>
        <w:ind w:hanging="11"/>
        <w:jc w:val="both"/>
        <w:rPr>
          <w:rFonts w:asciiTheme="majorHAnsi" w:hAnsiTheme="majorHAnsi" w:cstheme="majorHAnsi"/>
          <w:lang w:val="ro-RO"/>
        </w:rPr>
      </w:pPr>
      <w:r w:rsidRPr="008376FC">
        <w:rPr>
          <w:rFonts w:asciiTheme="majorHAnsi" w:hAnsiTheme="majorHAnsi" w:cstheme="majorHAnsi"/>
          <w:b/>
          <w:bCs/>
          <w:lang w:val="ro-RO"/>
        </w:rPr>
        <w:t>Inspectoratul</w:t>
      </w:r>
      <w:r w:rsidR="00ED3F73" w:rsidRPr="008376FC">
        <w:rPr>
          <w:rFonts w:asciiTheme="majorHAnsi" w:hAnsiTheme="majorHAnsi" w:cstheme="majorHAnsi"/>
          <w:b/>
          <w:bCs/>
          <w:lang w:val="ro-RO"/>
        </w:rPr>
        <w:t xml:space="preserve">ui pentru </w:t>
      </w:r>
      <w:r w:rsidRPr="008376FC">
        <w:rPr>
          <w:rFonts w:asciiTheme="majorHAnsi" w:hAnsiTheme="majorHAnsi" w:cstheme="majorHAnsi"/>
          <w:b/>
          <w:bCs/>
          <w:lang w:val="ro-RO"/>
        </w:rPr>
        <w:t>Protecția Mediului:</w:t>
      </w:r>
    </w:p>
    <w:p w:rsidR="0088086E" w:rsidRDefault="00A20E42" w:rsidP="00F61756">
      <w:pPr>
        <w:pStyle w:val="a3"/>
        <w:numPr>
          <w:ilvl w:val="1"/>
          <w:numId w:val="75"/>
        </w:numPr>
        <w:tabs>
          <w:tab w:val="left" w:pos="993"/>
        </w:tabs>
        <w:spacing w:line="276" w:lineRule="auto"/>
        <w:ind w:left="0" w:firstLine="709"/>
        <w:jc w:val="both"/>
        <w:rPr>
          <w:rFonts w:asciiTheme="majorHAnsi" w:hAnsiTheme="majorHAnsi" w:cstheme="majorHAnsi"/>
          <w:lang w:val="ro-RO"/>
        </w:rPr>
      </w:pPr>
      <w:r w:rsidRPr="008376FC">
        <w:rPr>
          <w:rFonts w:asciiTheme="majorHAnsi" w:hAnsiTheme="majorHAnsi" w:cstheme="majorHAnsi"/>
          <w:lang w:val="ro-RO"/>
        </w:rPr>
        <w:t xml:space="preserve"> </w:t>
      </w:r>
      <w:r w:rsidR="00795585" w:rsidRPr="008376FC">
        <w:rPr>
          <w:rFonts w:asciiTheme="majorHAnsi" w:hAnsiTheme="majorHAnsi" w:cstheme="majorHAnsi"/>
          <w:lang w:val="ro-RO"/>
        </w:rPr>
        <w:t>s</w:t>
      </w:r>
      <w:r w:rsidRPr="008376FC">
        <w:rPr>
          <w:rFonts w:asciiTheme="majorHAnsi" w:hAnsiTheme="majorHAnsi" w:cstheme="majorHAnsi"/>
          <w:lang w:val="ro-RO"/>
        </w:rPr>
        <w:t>ă intensifice acțiunile de identificare a operatorilor economici care captează apa în lipsa autorizațiilor pentru folosirea special</w:t>
      </w:r>
      <w:r w:rsidR="00795585" w:rsidRPr="008376FC">
        <w:rPr>
          <w:rFonts w:asciiTheme="majorHAnsi" w:hAnsiTheme="majorHAnsi" w:cstheme="majorHAnsi"/>
          <w:lang w:val="ro-RO"/>
        </w:rPr>
        <w:t>ă</w:t>
      </w:r>
      <w:r w:rsidRPr="008376FC">
        <w:rPr>
          <w:rFonts w:asciiTheme="majorHAnsi" w:hAnsiTheme="majorHAnsi" w:cstheme="majorHAnsi"/>
          <w:lang w:val="ro-RO"/>
        </w:rPr>
        <w:t xml:space="preserve"> a apei, utilizând informațiile furnizate de către Serviciul Fiscal de Stat privitor la dările de seamă fiscale prezentate de către agenții economici, cu asigurarea întreprinderii măsurilor impuse de cadrul normativ pentru a responsabiliza agenții economici care aplică neregulamentar prevederile cadrului normativ</w:t>
      </w:r>
      <w:r w:rsidR="009519A6">
        <w:rPr>
          <w:rFonts w:asciiTheme="majorHAnsi" w:hAnsiTheme="majorHAnsi" w:cstheme="majorHAnsi"/>
          <w:lang w:val="ro-RO"/>
        </w:rPr>
        <w:t xml:space="preserve"> </w:t>
      </w:r>
      <w:r w:rsidR="00BC28D6" w:rsidRPr="00F278F9">
        <w:rPr>
          <w:rFonts w:asciiTheme="majorHAnsi" w:hAnsiTheme="majorHAnsi" w:cstheme="majorHAnsi"/>
          <w:b/>
          <w:lang w:val="ro-RO"/>
        </w:rPr>
        <w:t>(pct.4.3.15)</w:t>
      </w:r>
      <w:r w:rsidR="00BC28D6" w:rsidRPr="00F278F9">
        <w:rPr>
          <w:rFonts w:asciiTheme="majorHAnsi" w:hAnsiTheme="majorHAnsi" w:cstheme="majorHAnsi"/>
          <w:b/>
          <w:bCs/>
          <w:lang w:val="ro-RO" w:bidi="hi-IN"/>
        </w:rPr>
        <w:t>;</w:t>
      </w:r>
    </w:p>
    <w:p w:rsidR="00A20E42" w:rsidRPr="00986E4F" w:rsidRDefault="00795585" w:rsidP="00F61756">
      <w:pPr>
        <w:pStyle w:val="a3"/>
        <w:numPr>
          <w:ilvl w:val="1"/>
          <w:numId w:val="75"/>
        </w:numPr>
        <w:tabs>
          <w:tab w:val="left" w:pos="993"/>
        </w:tabs>
        <w:spacing w:line="276" w:lineRule="auto"/>
        <w:ind w:left="0" w:firstLine="709"/>
        <w:jc w:val="both"/>
        <w:rPr>
          <w:rFonts w:asciiTheme="majorHAnsi" w:eastAsia="Calibri" w:hAnsiTheme="majorHAnsi" w:cstheme="majorHAnsi"/>
          <w:lang w:val="ro-RO"/>
        </w:rPr>
      </w:pPr>
      <w:r w:rsidRPr="008376FC">
        <w:rPr>
          <w:rFonts w:asciiTheme="majorHAnsi" w:hAnsiTheme="majorHAnsi" w:cstheme="majorHAnsi"/>
          <w:lang w:val="ro-RO"/>
        </w:rPr>
        <w:t>s</w:t>
      </w:r>
      <w:r w:rsidR="00A20E42" w:rsidRPr="008376FC">
        <w:rPr>
          <w:rFonts w:asciiTheme="majorHAnsi" w:hAnsiTheme="majorHAnsi" w:cstheme="majorHAnsi"/>
          <w:lang w:val="ro-RO"/>
        </w:rPr>
        <w:t>ă completeze Lista indicatorilor privind activitatea Inspectoratului, aprobată prin ordinele interne</w:t>
      </w:r>
      <w:r w:rsidR="00CC20FE">
        <w:rPr>
          <w:rFonts w:asciiTheme="majorHAnsi" w:hAnsiTheme="majorHAnsi" w:cstheme="majorHAnsi"/>
          <w:lang w:val="ro-RO"/>
        </w:rPr>
        <w:t>,</w:t>
      </w:r>
      <w:r w:rsidR="00A20E42" w:rsidRPr="008376FC">
        <w:rPr>
          <w:rFonts w:asciiTheme="majorHAnsi" w:hAnsiTheme="majorHAnsi" w:cstheme="majorHAnsi"/>
          <w:lang w:val="ro-RO"/>
        </w:rPr>
        <w:t xml:space="preserve"> cu indicatori relevanți </w:t>
      </w:r>
      <w:r w:rsidR="008C0B0E">
        <w:rPr>
          <w:rFonts w:asciiTheme="majorHAnsi" w:hAnsiTheme="majorHAnsi" w:cstheme="majorHAnsi"/>
          <w:lang w:val="ro-RO"/>
        </w:rPr>
        <w:t>în vederea</w:t>
      </w:r>
      <w:r w:rsidR="008C0B0E" w:rsidRPr="008376FC">
        <w:rPr>
          <w:rFonts w:asciiTheme="majorHAnsi" w:hAnsiTheme="majorHAnsi" w:cstheme="majorHAnsi"/>
          <w:lang w:val="ro-RO"/>
        </w:rPr>
        <w:t xml:space="preserve"> </w:t>
      </w:r>
      <w:r w:rsidR="00A20E42" w:rsidRPr="008376FC">
        <w:rPr>
          <w:rFonts w:asciiTheme="majorHAnsi" w:hAnsiTheme="majorHAnsi" w:cstheme="majorHAnsi"/>
          <w:lang w:val="ro-RO"/>
        </w:rPr>
        <w:t>monitoriz</w:t>
      </w:r>
      <w:r w:rsidR="008C0B0E">
        <w:rPr>
          <w:rFonts w:asciiTheme="majorHAnsi" w:hAnsiTheme="majorHAnsi" w:cstheme="majorHAnsi"/>
          <w:lang w:val="ro-RO"/>
        </w:rPr>
        <w:t>ării</w:t>
      </w:r>
      <w:r w:rsidR="00A20E42" w:rsidRPr="008376FC">
        <w:rPr>
          <w:rFonts w:asciiTheme="majorHAnsi" w:hAnsiTheme="majorHAnsi" w:cstheme="majorHAnsi"/>
          <w:lang w:val="ro-RO"/>
        </w:rPr>
        <w:t xml:space="preserve"> și evalu</w:t>
      </w:r>
      <w:r w:rsidR="008C0B0E">
        <w:rPr>
          <w:rFonts w:asciiTheme="majorHAnsi" w:hAnsiTheme="majorHAnsi" w:cstheme="majorHAnsi"/>
          <w:lang w:val="ro-RO"/>
        </w:rPr>
        <w:t>ării</w:t>
      </w:r>
      <w:r w:rsidR="00A20E42" w:rsidRPr="008376FC">
        <w:rPr>
          <w:rFonts w:asciiTheme="majorHAnsi" w:hAnsiTheme="majorHAnsi" w:cstheme="majorHAnsi"/>
          <w:lang w:val="ro-RO"/>
        </w:rPr>
        <w:t xml:space="preserve"> obligațiunilor față de bugetul de stat </w:t>
      </w:r>
      <w:r w:rsidR="008C0B0E">
        <w:rPr>
          <w:rFonts w:asciiTheme="majorHAnsi" w:hAnsiTheme="majorHAnsi" w:cstheme="majorHAnsi"/>
          <w:lang w:val="ro-RO"/>
        </w:rPr>
        <w:t>privind</w:t>
      </w:r>
      <w:r w:rsidR="008C0B0E" w:rsidRPr="008376FC">
        <w:rPr>
          <w:rFonts w:asciiTheme="majorHAnsi" w:hAnsiTheme="majorHAnsi" w:cstheme="majorHAnsi"/>
          <w:lang w:val="ro-RO"/>
        </w:rPr>
        <w:t xml:space="preserve"> </w:t>
      </w:r>
      <w:r w:rsidR="00A20E42" w:rsidRPr="008376FC">
        <w:rPr>
          <w:rFonts w:asciiTheme="majorHAnsi" w:hAnsiTheme="majorHAnsi" w:cstheme="majorHAnsi"/>
          <w:lang w:val="ro-RO"/>
        </w:rPr>
        <w:t>plata amenzilor și prejudiciilor cauzate mediului, asigurarea includerii ulterioare a acestora în SIA „Sistemul informațional automatizat de evidență a contravențiilor, a cauzelor contravenționale și a persoanelor care au săvârșit contravenții” și utilizarea informațiilor respective de către S</w:t>
      </w:r>
      <w:r w:rsidR="00975779" w:rsidRPr="008376FC">
        <w:rPr>
          <w:rFonts w:asciiTheme="majorHAnsi" w:hAnsiTheme="majorHAnsi" w:cstheme="majorHAnsi"/>
          <w:lang w:val="ro-RO"/>
        </w:rPr>
        <w:t xml:space="preserve">erviciul </w:t>
      </w:r>
      <w:r w:rsidR="00A20E42" w:rsidRPr="008376FC">
        <w:rPr>
          <w:rFonts w:asciiTheme="majorHAnsi" w:hAnsiTheme="majorHAnsi" w:cstheme="majorHAnsi"/>
          <w:lang w:val="ro-RO"/>
        </w:rPr>
        <w:t>F</w:t>
      </w:r>
      <w:r w:rsidR="00975779" w:rsidRPr="008376FC">
        <w:rPr>
          <w:rFonts w:asciiTheme="majorHAnsi" w:hAnsiTheme="majorHAnsi" w:cstheme="majorHAnsi"/>
          <w:lang w:val="ro-RO"/>
        </w:rPr>
        <w:t xml:space="preserve">iscal de </w:t>
      </w:r>
      <w:r w:rsidR="00A20E42" w:rsidRPr="008376FC">
        <w:rPr>
          <w:rFonts w:asciiTheme="majorHAnsi" w:hAnsiTheme="majorHAnsi" w:cstheme="majorHAnsi"/>
          <w:lang w:val="ro-RO"/>
        </w:rPr>
        <w:t>S</w:t>
      </w:r>
      <w:r w:rsidR="00975779" w:rsidRPr="008376FC">
        <w:rPr>
          <w:rFonts w:asciiTheme="majorHAnsi" w:hAnsiTheme="majorHAnsi" w:cstheme="majorHAnsi"/>
          <w:lang w:val="ro-RO"/>
        </w:rPr>
        <w:t>tat</w:t>
      </w:r>
      <w:r w:rsidR="00A20E42" w:rsidRPr="008376FC">
        <w:rPr>
          <w:rFonts w:asciiTheme="majorHAnsi" w:hAnsiTheme="majorHAnsi" w:cstheme="majorHAnsi"/>
          <w:lang w:val="ro-RO"/>
        </w:rPr>
        <w:t xml:space="preserve"> în scopul administrării veniturilor conform </w:t>
      </w:r>
      <w:r w:rsidR="008C0B0E">
        <w:rPr>
          <w:rFonts w:asciiTheme="majorHAnsi" w:hAnsiTheme="majorHAnsi" w:cstheme="majorHAnsi"/>
          <w:lang w:val="ro-RO"/>
        </w:rPr>
        <w:t>O</w:t>
      </w:r>
      <w:r w:rsidR="00A20E42" w:rsidRPr="008376FC">
        <w:rPr>
          <w:rFonts w:asciiTheme="majorHAnsi" w:hAnsiTheme="majorHAnsi" w:cstheme="majorHAnsi"/>
          <w:lang w:val="ro-RO"/>
        </w:rPr>
        <w:t>rdinul</w:t>
      </w:r>
      <w:r w:rsidR="00C279FA" w:rsidRPr="008376FC">
        <w:rPr>
          <w:rFonts w:asciiTheme="majorHAnsi" w:hAnsiTheme="majorHAnsi" w:cstheme="majorHAnsi"/>
          <w:lang w:val="ro-RO"/>
        </w:rPr>
        <w:t>ui</w:t>
      </w:r>
      <w:r w:rsidR="00A20E42" w:rsidRPr="008376FC">
        <w:rPr>
          <w:rFonts w:asciiTheme="majorHAnsi" w:hAnsiTheme="majorHAnsi" w:cstheme="majorHAnsi"/>
          <w:lang w:val="ro-RO"/>
        </w:rPr>
        <w:t xml:space="preserve"> </w:t>
      </w:r>
      <w:r w:rsidR="008C0B0E">
        <w:rPr>
          <w:rFonts w:asciiTheme="majorHAnsi" w:hAnsiTheme="majorHAnsi" w:cstheme="majorHAnsi"/>
          <w:lang w:val="ro-RO"/>
        </w:rPr>
        <w:t>m</w:t>
      </w:r>
      <w:r w:rsidR="004E16FF" w:rsidRPr="008376FC">
        <w:rPr>
          <w:rFonts w:asciiTheme="majorHAnsi" w:hAnsiTheme="majorHAnsi" w:cstheme="majorHAnsi"/>
          <w:lang w:val="ro-RO"/>
        </w:rPr>
        <w:t xml:space="preserve">inistrului </w:t>
      </w:r>
      <w:r w:rsidR="00A20E42" w:rsidRPr="008376FC">
        <w:rPr>
          <w:rFonts w:asciiTheme="majorHAnsi" w:hAnsiTheme="majorHAnsi" w:cstheme="majorHAnsi"/>
          <w:lang w:val="ro-RO"/>
        </w:rPr>
        <w:t>F</w:t>
      </w:r>
      <w:r w:rsidR="004E16FF" w:rsidRPr="008376FC">
        <w:rPr>
          <w:rFonts w:asciiTheme="majorHAnsi" w:hAnsiTheme="majorHAnsi" w:cstheme="majorHAnsi"/>
          <w:lang w:val="ro-RO"/>
        </w:rPr>
        <w:t>inanţelor</w:t>
      </w:r>
      <w:r w:rsidR="00A20E42" w:rsidRPr="008376FC">
        <w:rPr>
          <w:rFonts w:asciiTheme="majorHAnsi" w:hAnsiTheme="majorHAnsi" w:cstheme="majorHAnsi"/>
          <w:lang w:val="ro-RO"/>
        </w:rPr>
        <w:t xml:space="preserve"> nr.126/2022 </w:t>
      </w:r>
      <w:r w:rsidR="008C0B0E">
        <w:rPr>
          <w:rFonts w:asciiTheme="majorHAnsi" w:hAnsiTheme="majorHAnsi" w:cstheme="majorHAnsi"/>
          <w:lang w:val="ro-RO"/>
        </w:rPr>
        <w:t>„C</w:t>
      </w:r>
      <w:r w:rsidR="00A20E42" w:rsidRPr="008376FC">
        <w:rPr>
          <w:rFonts w:asciiTheme="majorHAnsi" w:hAnsiTheme="majorHAnsi" w:cstheme="majorHAnsi"/>
          <w:lang w:val="ro-RO"/>
        </w:rPr>
        <w:t>u privire la modul de achitare şi evidență a plăților la bugetul public naţional prin sistemul trezorerial al Ministerului Finanţelor în anul 2023</w:t>
      </w:r>
      <w:r w:rsidR="008C0B0E">
        <w:rPr>
          <w:rFonts w:asciiTheme="majorHAnsi" w:hAnsiTheme="majorHAnsi" w:cstheme="majorHAnsi"/>
          <w:lang w:val="ro-RO"/>
        </w:rPr>
        <w:t>”</w:t>
      </w:r>
      <w:r w:rsidR="009519A6">
        <w:rPr>
          <w:rFonts w:asciiTheme="majorHAnsi" w:hAnsiTheme="majorHAnsi" w:cstheme="majorHAnsi"/>
          <w:lang w:val="ro-RO"/>
        </w:rPr>
        <w:t xml:space="preserve"> </w:t>
      </w:r>
      <w:r w:rsidR="009519A6" w:rsidRPr="00F278F9">
        <w:rPr>
          <w:rFonts w:asciiTheme="majorHAnsi" w:hAnsiTheme="majorHAnsi" w:cstheme="majorHAnsi"/>
          <w:b/>
          <w:lang w:val="ro-RO"/>
        </w:rPr>
        <w:t>(pct</w:t>
      </w:r>
      <w:r w:rsidR="00BC28D6" w:rsidRPr="00F278F9">
        <w:rPr>
          <w:rFonts w:asciiTheme="majorHAnsi" w:hAnsiTheme="majorHAnsi" w:cstheme="majorHAnsi"/>
          <w:b/>
          <w:lang w:val="ro-RO"/>
        </w:rPr>
        <w:t>.</w:t>
      </w:r>
      <w:r w:rsidR="004038A0" w:rsidRPr="00F278F9">
        <w:rPr>
          <w:rFonts w:asciiTheme="majorHAnsi" w:hAnsiTheme="majorHAnsi" w:cstheme="majorHAnsi"/>
          <w:b/>
          <w:lang w:val="ro-RO"/>
        </w:rPr>
        <w:t>4.6.2</w:t>
      </w:r>
      <w:r w:rsidR="00BC28D6" w:rsidRPr="00F278F9">
        <w:rPr>
          <w:rFonts w:asciiTheme="majorHAnsi" w:hAnsiTheme="majorHAnsi" w:cstheme="majorHAnsi"/>
          <w:b/>
          <w:lang w:val="ro-RO"/>
        </w:rPr>
        <w:t>);</w:t>
      </w:r>
    </w:p>
    <w:p w:rsidR="0088086E" w:rsidRDefault="00BC28D6" w:rsidP="00F61756">
      <w:pPr>
        <w:pStyle w:val="a3"/>
        <w:numPr>
          <w:ilvl w:val="1"/>
          <w:numId w:val="75"/>
        </w:numPr>
        <w:tabs>
          <w:tab w:val="left" w:pos="993"/>
        </w:tabs>
        <w:spacing w:line="276" w:lineRule="auto"/>
        <w:ind w:left="0" w:firstLine="709"/>
        <w:jc w:val="both"/>
        <w:rPr>
          <w:rFonts w:asciiTheme="majorHAnsi" w:hAnsiTheme="majorHAnsi" w:cstheme="majorHAnsi"/>
          <w:lang w:val="ro-RO"/>
        </w:rPr>
      </w:pPr>
      <w:r w:rsidRPr="00BC28D6">
        <w:rPr>
          <w:rFonts w:asciiTheme="majorHAnsi" w:hAnsiTheme="majorHAnsi" w:cstheme="majorHAnsi"/>
          <w:bCs/>
          <w:lang w:val="ro-RO" w:bidi="hi-IN"/>
        </w:rPr>
        <w:t>să intensifice măsurile de interconectare la SIA „Sistemul informațional automatizat de evidență a contravențiilor, a cauzelor contravenționale și a persoanelor care au săvârșit contravenții”, în scopul administrării/gestionării conforme a informațiilor aferente sumelor calculate, achitate și anulate ale amenzilor și prejudiciilor cauzate mediului</w:t>
      </w:r>
      <w:r w:rsidR="004038A0">
        <w:rPr>
          <w:rFonts w:asciiTheme="majorHAnsi" w:hAnsiTheme="majorHAnsi" w:cstheme="majorHAnsi"/>
          <w:bCs/>
          <w:lang w:val="ro-RO" w:bidi="hi-IN"/>
        </w:rPr>
        <w:t xml:space="preserve"> </w:t>
      </w:r>
      <w:r w:rsidRPr="00F278F9">
        <w:rPr>
          <w:rFonts w:asciiTheme="majorHAnsi" w:hAnsiTheme="majorHAnsi" w:cstheme="majorHAnsi"/>
          <w:b/>
          <w:bCs/>
          <w:lang w:val="ro-RO" w:bidi="hi-IN"/>
        </w:rPr>
        <w:t>(pct.</w:t>
      </w:r>
      <w:r w:rsidR="004038A0" w:rsidRPr="00F278F9">
        <w:rPr>
          <w:rFonts w:asciiTheme="majorHAnsi" w:hAnsiTheme="majorHAnsi" w:cstheme="majorHAnsi"/>
          <w:b/>
          <w:bCs/>
          <w:lang w:val="ro-RO" w:bidi="hi-IN"/>
        </w:rPr>
        <w:t>4.6.2</w:t>
      </w:r>
      <w:r w:rsidRPr="00F278F9">
        <w:rPr>
          <w:rFonts w:asciiTheme="majorHAnsi" w:hAnsiTheme="majorHAnsi" w:cstheme="majorHAnsi"/>
          <w:b/>
          <w:bCs/>
          <w:lang w:val="ro-RO" w:bidi="hi-IN"/>
        </w:rPr>
        <w:t>)</w:t>
      </w:r>
      <w:r w:rsidR="004038A0" w:rsidRPr="00F278F9">
        <w:rPr>
          <w:rFonts w:asciiTheme="majorHAnsi" w:hAnsiTheme="majorHAnsi" w:cstheme="majorHAnsi"/>
          <w:b/>
          <w:bCs/>
          <w:lang w:val="ro-RO" w:bidi="hi-IN"/>
        </w:rPr>
        <w:t>.</w:t>
      </w:r>
      <w:r w:rsidRPr="00BC28D6">
        <w:rPr>
          <w:rFonts w:asciiTheme="majorHAnsi" w:hAnsiTheme="majorHAnsi" w:cstheme="majorHAnsi"/>
          <w:bCs/>
          <w:lang w:val="ro-RO" w:bidi="hi-IN"/>
        </w:rPr>
        <w:t xml:space="preserve"> </w:t>
      </w:r>
    </w:p>
    <w:p w:rsidR="00532FD0" w:rsidRPr="008376FC" w:rsidRDefault="00532FD0" w:rsidP="00F61756">
      <w:pPr>
        <w:pStyle w:val="a3"/>
        <w:tabs>
          <w:tab w:val="left" w:pos="993"/>
        </w:tabs>
        <w:spacing w:line="276" w:lineRule="auto"/>
        <w:ind w:left="709"/>
        <w:jc w:val="both"/>
        <w:rPr>
          <w:rFonts w:asciiTheme="majorHAnsi" w:hAnsiTheme="majorHAnsi" w:cstheme="majorHAnsi"/>
          <w:lang w:val="ro-RO"/>
        </w:rPr>
      </w:pPr>
    </w:p>
    <w:p w:rsidR="0088086E" w:rsidRDefault="00A20E42" w:rsidP="00F61756">
      <w:pPr>
        <w:pStyle w:val="a3"/>
        <w:numPr>
          <w:ilvl w:val="0"/>
          <w:numId w:val="75"/>
        </w:numPr>
        <w:tabs>
          <w:tab w:val="left" w:pos="284"/>
          <w:tab w:val="left" w:pos="993"/>
        </w:tabs>
        <w:spacing w:line="276" w:lineRule="auto"/>
        <w:ind w:left="0" w:firstLine="709"/>
        <w:jc w:val="both"/>
        <w:rPr>
          <w:rFonts w:asciiTheme="majorHAnsi" w:eastAsia="Calibri" w:hAnsiTheme="majorHAnsi" w:cstheme="majorHAnsi"/>
          <w:lang w:val="ro-RO"/>
        </w:rPr>
      </w:pPr>
      <w:r w:rsidRPr="008376FC">
        <w:rPr>
          <w:rFonts w:asciiTheme="majorHAnsi" w:hAnsiTheme="majorHAnsi" w:cstheme="majorHAnsi"/>
          <w:b/>
          <w:bCs/>
          <w:lang w:val="ro-RO"/>
        </w:rPr>
        <w:t>Ministerul</w:t>
      </w:r>
      <w:r w:rsidR="005E5167">
        <w:rPr>
          <w:rFonts w:asciiTheme="majorHAnsi" w:hAnsiTheme="majorHAnsi" w:cstheme="majorHAnsi"/>
          <w:b/>
          <w:bCs/>
          <w:lang w:val="ro-RO"/>
        </w:rPr>
        <w:t>ui</w:t>
      </w:r>
      <w:r w:rsidRPr="008376FC">
        <w:rPr>
          <w:rFonts w:asciiTheme="majorHAnsi" w:hAnsiTheme="majorHAnsi" w:cstheme="majorHAnsi"/>
          <w:b/>
          <w:bCs/>
          <w:lang w:val="ro-RO"/>
        </w:rPr>
        <w:t xml:space="preserve"> Infrastructurii şi Dezvoltării Regionale</w:t>
      </w:r>
      <w:r w:rsidR="005E5167">
        <w:rPr>
          <w:rFonts w:asciiTheme="majorHAnsi" w:hAnsiTheme="majorHAnsi" w:cstheme="majorHAnsi"/>
          <w:b/>
          <w:bCs/>
          <w:lang w:val="ro-RO"/>
        </w:rPr>
        <w:t>,</w:t>
      </w:r>
      <w:r w:rsidRPr="008376FC">
        <w:rPr>
          <w:rFonts w:asciiTheme="majorHAnsi" w:hAnsiTheme="majorHAnsi" w:cstheme="majorHAnsi"/>
          <w:lang w:val="ro-RO"/>
        </w:rPr>
        <w:t xml:space="preserve"> </w:t>
      </w:r>
      <w:r w:rsidR="00C102B0" w:rsidRPr="008376FC">
        <w:rPr>
          <w:rFonts w:asciiTheme="majorHAnsi" w:hAnsiTheme="majorHAnsi" w:cstheme="majorHAnsi"/>
          <w:b/>
          <w:bCs/>
          <w:lang w:val="ro-RO"/>
        </w:rPr>
        <w:t xml:space="preserve">în </w:t>
      </w:r>
      <w:r w:rsidRPr="008376FC">
        <w:rPr>
          <w:rFonts w:asciiTheme="majorHAnsi" w:hAnsiTheme="majorHAnsi" w:cstheme="majorHAnsi"/>
          <w:b/>
          <w:bCs/>
          <w:lang w:val="ro-RO"/>
        </w:rPr>
        <w:t>comun cu Ministerul Mediului și Biroul National de Stati</w:t>
      </w:r>
      <w:r w:rsidR="00BC28D6">
        <w:rPr>
          <w:rFonts w:asciiTheme="majorHAnsi" w:hAnsiTheme="majorHAnsi" w:cstheme="majorHAnsi"/>
          <w:b/>
          <w:bCs/>
          <w:lang w:val="ro-RO"/>
        </w:rPr>
        <w:t>stică,</w:t>
      </w:r>
      <w:r w:rsidR="00BC28D6" w:rsidRPr="00BC28D6">
        <w:rPr>
          <w:rFonts w:asciiTheme="majorHAnsi" w:hAnsiTheme="majorHAnsi" w:cstheme="majorHAnsi"/>
          <w:lang w:val="ro-RO"/>
        </w:rPr>
        <w:t xml:space="preserve"> să elaboreze și să aprobe o Listă/nomenclator de indicatori relevanți domeniului de alimentare cu apă și sanitației pentru asigurarea colectării, prelucrării și monitorizării situațiilor din domeniu </w:t>
      </w:r>
      <w:r w:rsidR="00BC28D6" w:rsidRPr="00F278F9">
        <w:rPr>
          <w:rFonts w:asciiTheme="majorHAnsi" w:hAnsiTheme="majorHAnsi" w:cstheme="majorHAnsi"/>
          <w:b/>
          <w:lang w:val="ro-RO"/>
        </w:rPr>
        <w:t>(pct.</w:t>
      </w:r>
      <w:r w:rsidR="008361DA" w:rsidRPr="00F278F9">
        <w:rPr>
          <w:rFonts w:asciiTheme="majorHAnsi" w:hAnsiTheme="majorHAnsi" w:cstheme="majorHAnsi"/>
          <w:b/>
          <w:lang w:val="ro-RO"/>
        </w:rPr>
        <w:t>4.3</w:t>
      </w:r>
      <w:r w:rsidR="00BC28D6" w:rsidRPr="00F278F9">
        <w:rPr>
          <w:rFonts w:asciiTheme="majorHAnsi" w:hAnsiTheme="majorHAnsi" w:cstheme="majorHAnsi"/>
          <w:b/>
          <w:lang w:val="ro-RO"/>
        </w:rPr>
        <w:t>).</w:t>
      </w:r>
    </w:p>
    <w:p w:rsidR="00532FD0" w:rsidRPr="00986E4F" w:rsidRDefault="00532FD0" w:rsidP="00F61756">
      <w:pPr>
        <w:pStyle w:val="a3"/>
        <w:tabs>
          <w:tab w:val="left" w:pos="284"/>
          <w:tab w:val="left" w:pos="993"/>
        </w:tabs>
        <w:spacing w:line="276" w:lineRule="auto"/>
        <w:ind w:left="709"/>
        <w:jc w:val="both"/>
        <w:rPr>
          <w:rFonts w:asciiTheme="majorHAnsi" w:eastAsia="Calibri" w:hAnsiTheme="majorHAnsi" w:cstheme="majorHAnsi"/>
          <w:lang w:val="ro-RO"/>
        </w:rPr>
      </w:pPr>
    </w:p>
    <w:p w:rsidR="0088086E" w:rsidRDefault="00A916DC" w:rsidP="00922EE8">
      <w:pPr>
        <w:pStyle w:val="a3"/>
        <w:numPr>
          <w:ilvl w:val="0"/>
          <w:numId w:val="75"/>
        </w:numPr>
        <w:tabs>
          <w:tab w:val="left" w:pos="426"/>
          <w:tab w:val="left" w:pos="1134"/>
        </w:tabs>
        <w:spacing w:line="276" w:lineRule="auto"/>
        <w:ind w:left="0" w:firstLine="851"/>
        <w:jc w:val="both"/>
        <w:rPr>
          <w:rFonts w:asciiTheme="majorHAnsi" w:hAnsiTheme="majorHAnsi" w:cstheme="majorHAnsi"/>
          <w:lang w:val="ro-RO"/>
        </w:rPr>
      </w:pPr>
      <w:r w:rsidRPr="008376FC">
        <w:rPr>
          <w:rFonts w:asciiTheme="majorHAnsi" w:hAnsiTheme="majorHAnsi" w:cstheme="majorHAnsi"/>
          <w:b/>
          <w:bCs/>
          <w:lang w:val="ro-RO"/>
        </w:rPr>
        <w:t xml:space="preserve">Consiliilor </w:t>
      </w:r>
      <w:r w:rsidR="00BC28D6" w:rsidRPr="005A04BF">
        <w:rPr>
          <w:rFonts w:asciiTheme="majorHAnsi" w:hAnsiTheme="majorHAnsi" w:cstheme="majorHAnsi"/>
          <w:b/>
          <w:bCs/>
          <w:lang w:val="ro-RO"/>
        </w:rPr>
        <w:t>municipal</w:t>
      </w:r>
      <w:r w:rsidR="008C1EE3" w:rsidRPr="005A04BF">
        <w:rPr>
          <w:rFonts w:asciiTheme="majorHAnsi" w:hAnsiTheme="majorHAnsi" w:cstheme="majorHAnsi"/>
          <w:b/>
          <w:bCs/>
          <w:lang w:val="ro-RO"/>
        </w:rPr>
        <w:t>e</w:t>
      </w:r>
      <w:r w:rsidR="00BC28D6" w:rsidRPr="005A04BF">
        <w:rPr>
          <w:rFonts w:asciiTheme="majorHAnsi" w:hAnsiTheme="majorHAnsi" w:cstheme="majorHAnsi"/>
          <w:b/>
          <w:bCs/>
          <w:lang w:val="ro-RO"/>
        </w:rPr>
        <w:t xml:space="preserve"> Bălţi</w:t>
      </w:r>
      <w:r w:rsidR="008C1EE3" w:rsidRPr="005A04BF">
        <w:rPr>
          <w:rFonts w:asciiTheme="majorHAnsi" w:hAnsiTheme="majorHAnsi" w:cstheme="majorHAnsi"/>
          <w:b/>
          <w:bCs/>
          <w:lang w:val="ro-RO"/>
        </w:rPr>
        <w:t xml:space="preserve"> şi Soroca</w:t>
      </w:r>
      <w:r w:rsidR="00BC28D6" w:rsidRPr="005A04BF">
        <w:rPr>
          <w:rFonts w:asciiTheme="majorHAnsi" w:hAnsiTheme="majorHAnsi" w:cstheme="majorHAnsi"/>
          <w:b/>
          <w:bCs/>
          <w:lang w:val="ro-RO"/>
        </w:rPr>
        <w:t>, Consiliilor locale Cahul, Ştefan Vodă, Basarabeasca, Dondușeni, Ocniţa și Șoldănești, în calitate de fondatori ai operatorilor de servicii de alimentare cu apă și sanitație,  în comun cu operatorii de servicii de alimentare cu apă și sanitație Î.M. Regia „Apă-Canal-Bălți”,</w:t>
      </w:r>
      <w:r w:rsidR="00D211C4" w:rsidRPr="005A04BF">
        <w:rPr>
          <w:rFonts w:asciiTheme="majorHAnsi" w:hAnsiTheme="majorHAnsi" w:cstheme="majorHAnsi"/>
          <w:b/>
          <w:bCs/>
          <w:lang w:val="ro-RO"/>
        </w:rPr>
        <w:t xml:space="preserve"> S.A. „Regia Apă-Canal Soroca",</w:t>
      </w:r>
      <w:r w:rsidR="00BC28D6">
        <w:rPr>
          <w:rFonts w:asciiTheme="majorHAnsi" w:hAnsiTheme="majorHAnsi" w:cstheme="majorHAnsi"/>
          <w:b/>
          <w:bCs/>
          <w:lang w:val="ro-RO"/>
        </w:rPr>
        <w:t xml:space="preserve"> S.A. „Apă-Canal Cahul”, Î.M.„Direcția de producție Apă-Canal” or. Ştefan Vodă, Î.M. „AQUA Basarabeasca”, Î.M. „Apă-Canal Dondușeni”, Î.M. „Apă-Canal Ocniţa”, Î.M. „Regia Apă Șoldănești”,</w:t>
      </w:r>
      <w:r w:rsidR="00BC28D6" w:rsidRPr="00BC28D6">
        <w:rPr>
          <w:rFonts w:asciiTheme="majorHAnsi" w:hAnsiTheme="majorHAnsi" w:cstheme="majorHAnsi"/>
          <w:lang w:val="ro-RO"/>
        </w:rPr>
        <w:t xml:space="preserve"> să întreprindă măsurile de rigoare, prevăzute în cadrul normativ regulator, pentru remedierea/ajustarea/revizuirea pozițiilor negative ale capitalului propriu la întreprinderile prestatoare de servicii de alimentare cu apă și sanitație, fondatori ai cărora sunt </w:t>
      </w:r>
      <w:r w:rsidR="00BC28D6" w:rsidRPr="00F278F9">
        <w:rPr>
          <w:rFonts w:asciiTheme="majorHAnsi" w:hAnsiTheme="majorHAnsi" w:cstheme="majorHAnsi"/>
          <w:b/>
          <w:lang w:val="ro-RO"/>
        </w:rPr>
        <w:t>(pct.</w:t>
      </w:r>
      <w:r w:rsidR="00A2233D" w:rsidRPr="00F278F9">
        <w:rPr>
          <w:rFonts w:asciiTheme="majorHAnsi" w:hAnsiTheme="majorHAnsi" w:cstheme="majorHAnsi"/>
          <w:b/>
          <w:lang w:val="ro-RO"/>
        </w:rPr>
        <w:t>4.5.3</w:t>
      </w:r>
      <w:r w:rsidR="00BC28D6" w:rsidRPr="00F278F9">
        <w:rPr>
          <w:rFonts w:asciiTheme="majorHAnsi" w:hAnsiTheme="majorHAnsi" w:cstheme="majorHAnsi"/>
          <w:b/>
          <w:lang w:val="ro-RO"/>
        </w:rPr>
        <w:t>) .</w:t>
      </w:r>
    </w:p>
    <w:p w:rsidR="00532FD0" w:rsidRPr="008376FC" w:rsidRDefault="00532FD0" w:rsidP="00F61756">
      <w:pPr>
        <w:pStyle w:val="a3"/>
        <w:tabs>
          <w:tab w:val="left" w:pos="426"/>
          <w:tab w:val="left" w:pos="993"/>
        </w:tabs>
        <w:spacing w:line="276" w:lineRule="auto"/>
        <w:ind w:left="709"/>
        <w:jc w:val="both"/>
        <w:rPr>
          <w:rFonts w:asciiTheme="majorHAnsi" w:hAnsiTheme="majorHAnsi" w:cstheme="majorHAnsi"/>
          <w:lang w:val="ro-RO"/>
        </w:rPr>
      </w:pPr>
    </w:p>
    <w:p w:rsidR="0088086E" w:rsidRPr="00F278F9" w:rsidRDefault="00A20E42" w:rsidP="00F61756">
      <w:pPr>
        <w:pStyle w:val="a3"/>
        <w:numPr>
          <w:ilvl w:val="0"/>
          <w:numId w:val="75"/>
        </w:numPr>
        <w:tabs>
          <w:tab w:val="left" w:pos="284"/>
          <w:tab w:val="left" w:pos="993"/>
        </w:tabs>
        <w:spacing w:line="276" w:lineRule="auto"/>
        <w:ind w:left="0" w:firstLine="709"/>
        <w:jc w:val="both"/>
        <w:rPr>
          <w:rFonts w:asciiTheme="majorHAnsi" w:hAnsiTheme="majorHAnsi" w:cstheme="majorHAnsi"/>
          <w:lang w:val="ro-RO"/>
        </w:rPr>
      </w:pPr>
      <w:r w:rsidRPr="008376FC">
        <w:rPr>
          <w:rFonts w:asciiTheme="majorHAnsi" w:hAnsiTheme="majorHAnsi" w:cstheme="majorHAnsi"/>
          <w:b/>
          <w:bCs/>
          <w:lang w:val="ro-RO"/>
        </w:rPr>
        <w:t xml:space="preserve"> Consiliilor municipale Chişinău și Bălţi, Consiliilor locale Căuşeni, Floreşti și H</w:t>
      </w:r>
      <w:r w:rsidR="007F369A">
        <w:rPr>
          <w:rFonts w:asciiTheme="majorHAnsi" w:hAnsiTheme="majorHAnsi" w:cstheme="majorHAnsi"/>
          <w:b/>
          <w:bCs/>
          <w:lang w:val="ro-RO"/>
        </w:rPr>
        <w:t>â</w:t>
      </w:r>
      <w:r w:rsidRPr="008376FC">
        <w:rPr>
          <w:rFonts w:asciiTheme="majorHAnsi" w:hAnsiTheme="majorHAnsi" w:cstheme="majorHAnsi"/>
          <w:b/>
          <w:bCs/>
          <w:lang w:val="ro-RO"/>
        </w:rPr>
        <w:t>nceşti</w:t>
      </w:r>
      <w:r w:rsidR="007F369A">
        <w:rPr>
          <w:rFonts w:asciiTheme="majorHAnsi" w:hAnsiTheme="majorHAnsi" w:cstheme="majorHAnsi"/>
          <w:b/>
          <w:bCs/>
          <w:lang w:val="ro-RO"/>
        </w:rPr>
        <w:t>,</w:t>
      </w:r>
      <w:r w:rsidRPr="008376FC">
        <w:rPr>
          <w:rFonts w:asciiTheme="majorHAnsi" w:hAnsiTheme="majorHAnsi" w:cstheme="majorHAnsi"/>
          <w:b/>
          <w:bCs/>
          <w:lang w:val="ro-RO"/>
        </w:rPr>
        <w:t xml:space="preserve"> în calitate de fondatori ai operatorilor de servicii de alimentare cu apă și sanitație, în comun cu S.A. </w:t>
      </w:r>
      <w:r w:rsidR="007F369A">
        <w:rPr>
          <w:rFonts w:asciiTheme="majorHAnsi" w:hAnsiTheme="majorHAnsi" w:cstheme="majorHAnsi"/>
          <w:b/>
          <w:bCs/>
          <w:lang w:val="ro-RO"/>
        </w:rPr>
        <w:t>„</w:t>
      </w:r>
      <w:r w:rsidRPr="008376FC">
        <w:rPr>
          <w:rFonts w:asciiTheme="majorHAnsi" w:hAnsiTheme="majorHAnsi" w:cstheme="majorHAnsi"/>
          <w:b/>
          <w:bCs/>
          <w:lang w:val="ro-RO"/>
        </w:rPr>
        <w:t>Apă-Canal Chișinău</w:t>
      </w:r>
      <w:r w:rsidR="007F369A">
        <w:rPr>
          <w:rFonts w:asciiTheme="majorHAnsi" w:hAnsiTheme="majorHAnsi" w:cstheme="majorHAnsi"/>
          <w:b/>
          <w:bCs/>
          <w:lang w:val="ro-RO"/>
        </w:rPr>
        <w:t>”</w:t>
      </w:r>
      <w:r w:rsidRPr="008376FC">
        <w:rPr>
          <w:rFonts w:asciiTheme="majorHAnsi" w:hAnsiTheme="majorHAnsi" w:cstheme="majorHAnsi"/>
          <w:b/>
          <w:bCs/>
          <w:lang w:val="ro-RO"/>
        </w:rPr>
        <w:t xml:space="preserve">, Î.M. Regia </w:t>
      </w:r>
      <w:r w:rsidR="007F369A">
        <w:rPr>
          <w:rFonts w:asciiTheme="majorHAnsi" w:hAnsiTheme="majorHAnsi" w:cstheme="majorHAnsi"/>
          <w:b/>
          <w:bCs/>
          <w:lang w:val="ro-RO"/>
        </w:rPr>
        <w:t>„</w:t>
      </w:r>
      <w:r w:rsidRPr="008376FC">
        <w:rPr>
          <w:rFonts w:asciiTheme="majorHAnsi" w:hAnsiTheme="majorHAnsi" w:cstheme="majorHAnsi"/>
          <w:b/>
          <w:bCs/>
          <w:lang w:val="ro-RO"/>
        </w:rPr>
        <w:t>Apă-Canal-Bălți</w:t>
      </w:r>
      <w:r w:rsidR="007F369A">
        <w:rPr>
          <w:rFonts w:asciiTheme="majorHAnsi" w:hAnsiTheme="majorHAnsi" w:cstheme="majorHAnsi"/>
          <w:b/>
          <w:bCs/>
          <w:lang w:val="ro-RO"/>
        </w:rPr>
        <w:t>”</w:t>
      </w:r>
      <w:r w:rsidRPr="008376FC">
        <w:rPr>
          <w:rFonts w:asciiTheme="majorHAnsi" w:hAnsiTheme="majorHAnsi" w:cstheme="majorHAnsi"/>
          <w:b/>
          <w:bCs/>
          <w:lang w:val="ro-RO"/>
        </w:rPr>
        <w:t>, S.A. „Servicii Comunale Florești”, S.A. „Operator Regional Apă</w:t>
      </w:r>
      <w:r w:rsidR="007F369A">
        <w:rPr>
          <w:rFonts w:asciiTheme="majorHAnsi" w:hAnsiTheme="majorHAnsi" w:cstheme="majorHAnsi"/>
          <w:b/>
          <w:bCs/>
          <w:lang w:val="ro-RO"/>
        </w:rPr>
        <w:t>-</w:t>
      </w:r>
      <w:r w:rsidRPr="008376FC">
        <w:rPr>
          <w:rFonts w:asciiTheme="majorHAnsi" w:hAnsiTheme="majorHAnsi" w:cstheme="majorHAnsi"/>
          <w:b/>
          <w:bCs/>
          <w:lang w:val="ro-RO"/>
        </w:rPr>
        <w:t>Canal H</w:t>
      </w:r>
      <w:r w:rsidR="007F369A">
        <w:rPr>
          <w:rFonts w:asciiTheme="majorHAnsi" w:hAnsiTheme="majorHAnsi" w:cstheme="majorHAnsi"/>
          <w:b/>
          <w:bCs/>
          <w:lang w:val="ro-RO"/>
        </w:rPr>
        <w:t>â</w:t>
      </w:r>
      <w:r w:rsidRPr="008376FC">
        <w:rPr>
          <w:rFonts w:asciiTheme="majorHAnsi" w:hAnsiTheme="majorHAnsi" w:cstheme="majorHAnsi"/>
          <w:b/>
          <w:bCs/>
          <w:lang w:val="ro-RO"/>
        </w:rPr>
        <w:t xml:space="preserve">nceşti”, Î.M. </w:t>
      </w:r>
      <w:r w:rsidR="007F369A">
        <w:rPr>
          <w:rFonts w:asciiTheme="majorHAnsi" w:hAnsiTheme="majorHAnsi" w:cstheme="majorHAnsi"/>
          <w:b/>
          <w:bCs/>
          <w:lang w:val="ro-RO"/>
        </w:rPr>
        <w:t>„</w:t>
      </w:r>
      <w:r w:rsidRPr="008376FC">
        <w:rPr>
          <w:rFonts w:asciiTheme="majorHAnsi" w:hAnsiTheme="majorHAnsi" w:cstheme="majorHAnsi"/>
          <w:b/>
          <w:bCs/>
          <w:lang w:val="ro-RO"/>
        </w:rPr>
        <w:t>Apă-Canal Căuşeni</w:t>
      </w:r>
      <w:r w:rsidR="007F369A">
        <w:rPr>
          <w:rFonts w:asciiTheme="majorHAnsi" w:hAnsiTheme="majorHAnsi" w:cstheme="majorHAnsi"/>
          <w:b/>
          <w:bCs/>
          <w:lang w:val="ro-RO"/>
        </w:rPr>
        <w:t>”</w:t>
      </w:r>
      <w:r w:rsidRPr="008376FC">
        <w:rPr>
          <w:rFonts w:asciiTheme="majorHAnsi" w:hAnsiTheme="majorHAnsi" w:cstheme="majorHAnsi"/>
          <w:b/>
          <w:bCs/>
          <w:lang w:val="ro-RO"/>
        </w:rPr>
        <w:t xml:space="preserve">, în calitate de operatori ai serviciilor de alimentare cu apă și sanitație, </w:t>
      </w:r>
      <w:r w:rsidRPr="008376FC">
        <w:rPr>
          <w:rFonts w:asciiTheme="majorHAnsi" w:hAnsiTheme="majorHAnsi" w:cstheme="majorHAnsi"/>
          <w:lang w:val="ro-RO"/>
        </w:rPr>
        <w:t>să asigure crearea Fondului de dezvolta</w:t>
      </w:r>
      <w:r w:rsidR="007F369A">
        <w:rPr>
          <w:rFonts w:asciiTheme="majorHAnsi" w:hAnsiTheme="majorHAnsi" w:cstheme="majorHAnsi"/>
          <w:lang w:val="ro-RO"/>
        </w:rPr>
        <w:t>r</w:t>
      </w:r>
      <w:r w:rsidRPr="008376FC">
        <w:rPr>
          <w:rFonts w:asciiTheme="majorHAnsi" w:hAnsiTheme="majorHAnsi" w:cstheme="majorHAnsi"/>
          <w:lang w:val="ro-RO"/>
        </w:rPr>
        <w:t xml:space="preserve">e în conformitate cu prevederile Legii nr.303 din 13.12.2013 privind serviciul public de alimentare cu apă şi de canalizare, </w:t>
      </w:r>
      <w:r w:rsidR="00BC28D6" w:rsidRPr="00F278F9">
        <w:rPr>
          <w:rFonts w:asciiTheme="majorHAnsi" w:hAnsiTheme="majorHAnsi" w:cstheme="majorHAnsi"/>
          <w:lang w:val="ro-RO"/>
        </w:rPr>
        <w:t>cu asigurarea utilizării mijloacelor acumulate în acesta conform destinațiilor prevăzute în legea respectivă</w:t>
      </w:r>
      <w:r w:rsidR="009519A6" w:rsidRPr="00F278F9">
        <w:rPr>
          <w:rFonts w:asciiTheme="majorHAnsi" w:hAnsiTheme="majorHAnsi" w:cstheme="majorHAnsi"/>
          <w:lang w:val="ro-RO"/>
        </w:rPr>
        <w:t xml:space="preserve"> </w:t>
      </w:r>
      <w:r w:rsidR="009519A6" w:rsidRPr="00F278F9">
        <w:rPr>
          <w:rFonts w:asciiTheme="majorHAnsi" w:hAnsiTheme="majorHAnsi" w:cstheme="majorHAnsi"/>
          <w:b/>
          <w:lang w:val="ro-RO"/>
        </w:rPr>
        <w:t>(pct.</w:t>
      </w:r>
      <w:r w:rsidR="00A2233D" w:rsidRPr="00F278F9">
        <w:rPr>
          <w:rFonts w:asciiTheme="majorHAnsi" w:hAnsiTheme="majorHAnsi" w:cstheme="majorHAnsi"/>
          <w:b/>
          <w:lang w:val="ro-RO"/>
        </w:rPr>
        <w:t>4.5.10</w:t>
      </w:r>
      <w:r w:rsidR="009519A6" w:rsidRPr="00F278F9">
        <w:rPr>
          <w:rFonts w:asciiTheme="majorHAnsi" w:hAnsiTheme="majorHAnsi" w:cstheme="majorHAnsi"/>
          <w:b/>
          <w:lang w:val="ro-RO"/>
        </w:rPr>
        <w:t>)</w:t>
      </w:r>
      <w:r w:rsidRPr="00F278F9">
        <w:rPr>
          <w:rFonts w:asciiTheme="majorHAnsi" w:hAnsiTheme="majorHAnsi" w:cstheme="majorHAnsi"/>
          <w:b/>
          <w:lang w:val="ro-RO"/>
        </w:rPr>
        <w:t>.</w:t>
      </w:r>
    </w:p>
    <w:p w:rsidR="00532FD0" w:rsidRPr="00F278F9" w:rsidRDefault="00532FD0" w:rsidP="00F61756">
      <w:pPr>
        <w:pStyle w:val="a3"/>
        <w:tabs>
          <w:tab w:val="left" w:pos="284"/>
          <w:tab w:val="left" w:pos="993"/>
        </w:tabs>
        <w:spacing w:line="276" w:lineRule="auto"/>
        <w:ind w:left="709"/>
        <w:jc w:val="both"/>
        <w:rPr>
          <w:rFonts w:asciiTheme="majorHAnsi" w:hAnsiTheme="majorHAnsi" w:cstheme="majorHAnsi"/>
          <w:lang w:val="ro-RO"/>
        </w:rPr>
      </w:pPr>
    </w:p>
    <w:p w:rsidR="0088086E" w:rsidRPr="00F278F9" w:rsidRDefault="00A20E42" w:rsidP="00F61756">
      <w:pPr>
        <w:pStyle w:val="af"/>
        <w:numPr>
          <w:ilvl w:val="0"/>
          <w:numId w:val="75"/>
        </w:numPr>
        <w:tabs>
          <w:tab w:val="left" w:pos="426"/>
          <w:tab w:val="left" w:pos="993"/>
        </w:tabs>
        <w:spacing w:after="0" w:line="276" w:lineRule="auto"/>
        <w:ind w:left="0" w:firstLine="709"/>
        <w:jc w:val="both"/>
        <w:rPr>
          <w:rFonts w:asciiTheme="majorHAnsi" w:hAnsiTheme="majorHAnsi" w:cstheme="majorHAnsi"/>
          <w:sz w:val="24"/>
          <w:szCs w:val="24"/>
          <w:lang w:val="ro-RO"/>
        </w:rPr>
      </w:pPr>
      <w:r w:rsidRPr="00F278F9">
        <w:rPr>
          <w:rFonts w:asciiTheme="majorHAnsi" w:hAnsiTheme="majorHAnsi" w:cstheme="majorHAnsi"/>
          <w:b/>
          <w:bCs/>
          <w:sz w:val="24"/>
          <w:szCs w:val="24"/>
          <w:lang w:val="ro-RO"/>
        </w:rPr>
        <w:t>Ministerului Finanțelor</w:t>
      </w:r>
      <w:r w:rsidR="00B34A8F" w:rsidRPr="00F278F9">
        <w:rPr>
          <w:rFonts w:asciiTheme="majorHAnsi" w:hAnsiTheme="majorHAnsi" w:cstheme="majorHAnsi"/>
          <w:sz w:val="24"/>
          <w:szCs w:val="24"/>
          <w:lang w:val="ro-RO"/>
        </w:rPr>
        <w:t xml:space="preserve">, </w:t>
      </w:r>
      <w:r w:rsidRPr="00F278F9">
        <w:rPr>
          <w:rFonts w:asciiTheme="majorHAnsi" w:hAnsiTheme="majorHAnsi" w:cstheme="majorHAnsi"/>
          <w:sz w:val="24"/>
          <w:szCs w:val="24"/>
          <w:lang w:val="ro-RO"/>
        </w:rPr>
        <w:t xml:space="preserve">să completeze Planul de conturi contabile în sistemul bugetar şi Normele metodologice privind evidenţa contabilă şi raportarea financiară în sistemul bugetar, aprobate prin Ordinul </w:t>
      </w:r>
      <w:r w:rsidR="00921332" w:rsidRPr="00F278F9">
        <w:rPr>
          <w:rFonts w:asciiTheme="majorHAnsi" w:hAnsiTheme="majorHAnsi" w:cstheme="majorHAnsi"/>
          <w:sz w:val="24"/>
          <w:szCs w:val="24"/>
          <w:lang w:val="ro-RO"/>
        </w:rPr>
        <w:t xml:space="preserve">ministrului Finanțelor </w:t>
      </w:r>
      <w:r w:rsidRPr="00F278F9">
        <w:rPr>
          <w:rFonts w:asciiTheme="majorHAnsi" w:hAnsiTheme="majorHAnsi" w:cstheme="majorHAnsi"/>
          <w:sz w:val="24"/>
          <w:szCs w:val="24"/>
          <w:lang w:val="ro-RO"/>
        </w:rPr>
        <w:t>nr.216 din 28.12.2015</w:t>
      </w:r>
      <w:r w:rsidR="00921332" w:rsidRPr="00F278F9">
        <w:rPr>
          <w:rFonts w:asciiTheme="majorHAnsi" w:hAnsiTheme="majorHAnsi" w:cstheme="majorHAnsi"/>
          <w:sz w:val="24"/>
          <w:szCs w:val="24"/>
          <w:lang w:val="ro-RO"/>
        </w:rPr>
        <w:t>,</w:t>
      </w:r>
      <w:r w:rsidRPr="00F278F9">
        <w:rPr>
          <w:rFonts w:asciiTheme="majorHAnsi" w:hAnsiTheme="majorHAnsi" w:cstheme="majorHAnsi"/>
          <w:sz w:val="24"/>
          <w:szCs w:val="24"/>
          <w:lang w:val="ro-RO"/>
        </w:rPr>
        <w:t xml:space="preserve"> cu un cont</w:t>
      </w:r>
      <w:r w:rsidR="00100B5E" w:rsidRPr="00F278F9">
        <w:rPr>
          <w:rFonts w:asciiTheme="majorHAnsi" w:hAnsiTheme="majorHAnsi" w:cstheme="majorHAnsi"/>
          <w:sz w:val="24"/>
          <w:szCs w:val="24"/>
          <w:lang w:val="ro-RO"/>
        </w:rPr>
        <w:t xml:space="preserve"> contabil </w:t>
      </w:r>
      <w:r w:rsidRPr="00F278F9">
        <w:rPr>
          <w:rFonts w:asciiTheme="majorHAnsi" w:hAnsiTheme="majorHAnsi" w:cstheme="majorHAnsi"/>
          <w:sz w:val="24"/>
          <w:szCs w:val="24"/>
          <w:lang w:val="ro-RO"/>
        </w:rPr>
        <w:t xml:space="preserve"> nou</w:t>
      </w:r>
      <w:r w:rsidR="00921332" w:rsidRPr="00F278F9">
        <w:rPr>
          <w:rFonts w:asciiTheme="majorHAnsi" w:hAnsiTheme="majorHAnsi" w:cstheme="majorHAnsi"/>
          <w:sz w:val="24"/>
          <w:szCs w:val="24"/>
          <w:lang w:val="ro-RO"/>
        </w:rPr>
        <w:t>,</w:t>
      </w:r>
      <w:r w:rsidRPr="00F278F9">
        <w:rPr>
          <w:rFonts w:asciiTheme="majorHAnsi" w:hAnsiTheme="majorHAnsi" w:cstheme="majorHAnsi"/>
          <w:sz w:val="24"/>
          <w:szCs w:val="24"/>
          <w:lang w:val="ro-RO"/>
        </w:rPr>
        <w:t xml:space="preserve"> destinat evidenței distincte a obligațiunilor contingente față de bugetul de stat şi </w:t>
      </w:r>
      <w:r w:rsidR="00921332" w:rsidRPr="00F278F9">
        <w:rPr>
          <w:rFonts w:asciiTheme="majorHAnsi" w:hAnsiTheme="majorHAnsi" w:cstheme="majorHAnsi"/>
          <w:sz w:val="24"/>
          <w:szCs w:val="24"/>
          <w:lang w:val="ro-RO"/>
        </w:rPr>
        <w:t xml:space="preserve">de </w:t>
      </w:r>
      <w:r w:rsidRPr="00F278F9">
        <w:rPr>
          <w:rFonts w:asciiTheme="majorHAnsi" w:hAnsiTheme="majorHAnsi" w:cstheme="majorHAnsi"/>
          <w:sz w:val="24"/>
          <w:szCs w:val="24"/>
          <w:lang w:val="ro-RO"/>
        </w:rPr>
        <w:t>alte nivele de buget</w:t>
      </w:r>
      <w:r w:rsidR="009519A6" w:rsidRPr="00F278F9">
        <w:rPr>
          <w:rFonts w:asciiTheme="majorHAnsi" w:hAnsiTheme="majorHAnsi" w:cstheme="majorHAnsi"/>
          <w:sz w:val="24"/>
          <w:szCs w:val="24"/>
          <w:lang w:val="ro-RO"/>
        </w:rPr>
        <w:t xml:space="preserve"> </w:t>
      </w:r>
      <w:r w:rsidR="009519A6" w:rsidRPr="00F278F9">
        <w:rPr>
          <w:rFonts w:asciiTheme="majorHAnsi" w:hAnsiTheme="majorHAnsi" w:cstheme="majorHAnsi"/>
          <w:b/>
          <w:sz w:val="24"/>
          <w:szCs w:val="24"/>
          <w:lang w:val="ro-RO"/>
        </w:rPr>
        <w:t>(pct.</w:t>
      </w:r>
      <w:r w:rsidR="003B5024" w:rsidRPr="00F278F9">
        <w:rPr>
          <w:rFonts w:asciiTheme="majorHAnsi" w:hAnsiTheme="majorHAnsi" w:cstheme="majorHAnsi"/>
          <w:b/>
          <w:sz w:val="24"/>
          <w:szCs w:val="24"/>
          <w:lang w:val="ro-RO"/>
        </w:rPr>
        <w:t>4.6.2</w:t>
      </w:r>
      <w:r w:rsidR="009519A6" w:rsidRPr="00F278F9">
        <w:rPr>
          <w:rFonts w:asciiTheme="majorHAnsi" w:hAnsiTheme="majorHAnsi" w:cstheme="majorHAnsi"/>
          <w:b/>
          <w:sz w:val="24"/>
          <w:szCs w:val="24"/>
          <w:lang w:val="ro-RO"/>
        </w:rPr>
        <w:t>)</w:t>
      </w:r>
      <w:r w:rsidR="00F278F9">
        <w:rPr>
          <w:rFonts w:asciiTheme="majorHAnsi" w:hAnsiTheme="majorHAnsi" w:cstheme="majorHAnsi"/>
          <w:b/>
          <w:sz w:val="24"/>
          <w:szCs w:val="24"/>
          <w:lang w:val="ro-RO"/>
        </w:rPr>
        <w:t>.</w:t>
      </w:r>
    </w:p>
    <w:p w:rsidR="00A20E42" w:rsidRPr="008376FC" w:rsidRDefault="00A20E42" w:rsidP="00F61756">
      <w:pPr>
        <w:pStyle w:val="cp"/>
        <w:tabs>
          <w:tab w:val="left" w:pos="426"/>
          <w:tab w:val="left" w:pos="993"/>
        </w:tabs>
        <w:spacing w:line="276" w:lineRule="auto"/>
        <w:ind w:firstLine="709"/>
        <w:jc w:val="both"/>
        <w:rPr>
          <w:rFonts w:asciiTheme="majorHAnsi" w:eastAsiaTheme="minorHAnsi" w:hAnsiTheme="majorHAnsi" w:cstheme="majorHAnsi"/>
          <w:b w:val="0"/>
          <w:bCs w:val="0"/>
          <w:lang w:val="ro-RO" w:eastAsia="en-US"/>
        </w:rPr>
      </w:pPr>
    </w:p>
    <w:p w:rsidR="0088086E" w:rsidRDefault="00A20E42" w:rsidP="00F61756">
      <w:pPr>
        <w:pStyle w:val="cp"/>
        <w:numPr>
          <w:ilvl w:val="0"/>
          <w:numId w:val="75"/>
        </w:numPr>
        <w:tabs>
          <w:tab w:val="left" w:pos="426"/>
          <w:tab w:val="left" w:pos="993"/>
        </w:tabs>
        <w:spacing w:line="276" w:lineRule="auto"/>
        <w:ind w:left="0" w:firstLine="709"/>
        <w:jc w:val="both"/>
        <w:rPr>
          <w:rFonts w:asciiTheme="majorHAnsi" w:hAnsiTheme="majorHAnsi" w:cstheme="majorHAnsi"/>
          <w:b w:val="0"/>
          <w:lang w:val="ro-RO"/>
        </w:rPr>
      </w:pPr>
      <w:r w:rsidRPr="008376FC">
        <w:rPr>
          <w:rFonts w:asciiTheme="majorHAnsi" w:hAnsiTheme="majorHAnsi" w:cstheme="majorHAnsi"/>
          <w:lang w:val="ro-RO"/>
        </w:rPr>
        <w:t xml:space="preserve"> Ministerul</w:t>
      </w:r>
      <w:r w:rsidR="00921332">
        <w:rPr>
          <w:rFonts w:asciiTheme="majorHAnsi" w:hAnsiTheme="majorHAnsi" w:cstheme="majorHAnsi"/>
          <w:lang w:val="ro-RO"/>
        </w:rPr>
        <w:t>ui</w:t>
      </w:r>
      <w:r w:rsidRPr="008376FC">
        <w:rPr>
          <w:rFonts w:asciiTheme="majorHAnsi" w:hAnsiTheme="majorHAnsi" w:cstheme="majorHAnsi"/>
          <w:lang w:val="ro-RO"/>
        </w:rPr>
        <w:t xml:space="preserve"> Agriculturii și Industriei Alimentare</w:t>
      </w:r>
      <w:r w:rsidR="00921332">
        <w:rPr>
          <w:rFonts w:asciiTheme="majorHAnsi" w:hAnsiTheme="majorHAnsi" w:cstheme="majorHAnsi"/>
          <w:lang w:val="ro-RO"/>
        </w:rPr>
        <w:t>,</w:t>
      </w:r>
      <w:r w:rsidRPr="008376FC">
        <w:rPr>
          <w:rFonts w:asciiTheme="majorHAnsi" w:hAnsiTheme="majorHAnsi" w:cstheme="majorHAnsi"/>
          <w:lang w:val="ro-RO"/>
        </w:rPr>
        <w:t xml:space="preserve"> </w:t>
      </w:r>
      <w:r w:rsidR="00FC7736" w:rsidRPr="008376FC">
        <w:rPr>
          <w:rFonts w:asciiTheme="majorHAnsi" w:hAnsiTheme="majorHAnsi" w:cstheme="majorHAnsi"/>
          <w:b w:val="0"/>
          <w:lang w:val="ro-RO"/>
        </w:rPr>
        <w:t xml:space="preserve">să opereze modificări </w:t>
      </w:r>
      <w:r w:rsidR="00921332">
        <w:rPr>
          <w:rFonts w:asciiTheme="majorHAnsi" w:hAnsiTheme="majorHAnsi" w:cstheme="majorHAnsi"/>
          <w:b w:val="0"/>
          <w:lang w:val="ro-RO"/>
        </w:rPr>
        <w:t>la</w:t>
      </w:r>
      <w:r w:rsidR="00FC7736" w:rsidRPr="008376FC">
        <w:rPr>
          <w:rFonts w:asciiTheme="majorHAnsi" w:hAnsiTheme="majorHAnsi" w:cstheme="majorHAnsi"/>
          <w:b w:val="0"/>
          <w:lang w:val="ro-RO"/>
        </w:rPr>
        <w:t xml:space="preserve"> Regulamentel</w:t>
      </w:r>
      <w:r w:rsidR="00921332">
        <w:rPr>
          <w:rFonts w:asciiTheme="majorHAnsi" w:hAnsiTheme="majorHAnsi" w:cstheme="majorHAnsi"/>
          <w:b w:val="0"/>
          <w:lang w:val="ro-RO"/>
        </w:rPr>
        <w:t>e</w:t>
      </w:r>
      <w:r w:rsidR="00FC7736" w:rsidRPr="008376FC">
        <w:rPr>
          <w:rFonts w:asciiTheme="majorHAnsi" w:hAnsiTheme="majorHAnsi" w:cstheme="majorHAnsi"/>
          <w:b w:val="0"/>
          <w:lang w:val="ro-RO"/>
        </w:rPr>
        <w:t xml:space="preserve"> privind acordarea subvențiilor în domeniul agriculturii din Fondul național de dezvoltare a agriculturii și mediului rural, prin completarea acestora cu prevederi exhaustive privind respectarea de către beneficiari a clauzelor contractuale și desfășurarea recepției finale conform prevederilor Hotărârii Guvernului nr.</w:t>
      </w:r>
      <w:r w:rsidR="00990C0B" w:rsidRPr="00990C0B">
        <w:rPr>
          <w:rFonts w:asciiTheme="majorHAnsi" w:hAnsiTheme="majorHAnsi" w:cstheme="majorHAnsi"/>
          <w:b w:val="0"/>
          <w:lang w:val="ro-RO"/>
        </w:rPr>
        <w:t xml:space="preserve"> </w:t>
      </w:r>
      <w:r w:rsidR="00990C0B">
        <w:rPr>
          <w:rFonts w:asciiTheme="majorHAnsi" w:hAnsiTheme="majorHAnsi" w:cstheme="majorHAnsi"/>
          <w:b w:val="0"/>
          <w:lang w:val="ro-RO"/>
        </w:rPr>
        <w:t xml:space="preserve">285/1996 </w:t>
      </w:r>
      <w:r w:rsidR="00921332">
        <w:rPr>
          <w:rFonts w:asciiTheme="majorHAnsi" w:hAnsiTheme="majorHAnsi" w:cstheme="majorHAnsi"/>
          <w:b w:val="0"/>
          <w:lang w:val="ro-RO"/>
        </w:rPr>
        <w:t>„C</w:t>
      </w:r>
      <w:r w:rsidR="00FC7736" w:rsidRPr="008376FC">
        <w:rPr>
          <w:rFonts w:asciiTheme="majorHAnsi" w:hAnsiTheme="majorHAnsi" w:cstheme="majorHAnsi"/>
          <w:b w:val="0"/>
          <w:lang w:val="ro-RO"/>
        </w:rPr>
        <w:t>u privire la aprobarea Regulamentului de recepție a construcți</w:t>
      </w:r>
      <w:r w:rsidR="00EC2FB1" w:rsidRPr="008376FC">
        <w:rPr>
          <w:rFonts w:asciiTheme="majorHAnsi" w:hAnsiTheme="majorHAnsi" w:cstheme="majorHAnsi"/>
          <w:b w:val="0"/>
          <w:lang w:val="ro-RO"/>
        </w:rPr>
        <w:t>ilor și instalațiilor aferente</w:t>
      </w:r>
      <w:r w:rsidR="00921332">
        <w:rPr>
          <w:rFonts w:asciiTheme="majorHAnsi" w:hAnsiTheme="majorHAnsi" w:cstheme="majorHAnsi"/>
          <w:b w:val="0"/>
          <w:lang w:val="ro-RO"/>
        </w:rPr>
        <w:t>”</w:t>
      </w:r>
      <w:r w:rsidR="009519A6">
        <w:rPr>
          <w:rFonts w:asciiTheme="majorHAnsi" w:hAnsiTheme="majorHAnsi" w:cstheme="majorHAnsi"/>
          <w:b w:val="0"/>
          <w:lang w:val="ro-RO"/>
        </w:rPr>
        <w:t xml:space="preserve"> </w:t>
      </w:r>
      <w:r w:rsidR="009519A6" w:rsidRPr="00F278F9">
        <w:rPr>
          <w:rFonts w:asciiTheme="majorHAnsi" w:hAnsiTheme="majorHAnsi" w:cstheme="majorHAnsi"/>
          <w:lang w:val="ro-RO"/>
        </w:rPr>
        <w:t>(pct.</w:t>
      </w:r>
      <w:r w:rsidR="00990C0B" w:rsidRPr="00F278F9">
        <w:rPr>
          <w:rFonts w:asciiTheme="majorHAnsi" w:hAnsiTheme="majorHAnsi" w:cstheme="majorHAnsi"/>
          <w:lang w:val="ro-RO"/>
        </w:rPr>
        <w:t>4.2.8</w:t>
      </w:r>
      <w:r w:rsidR="009519A6" w:rsidRPr="00F278F9">
        <w:rPr>
          <w:rFonts w:asciiTheme="majorHAnsi" w:hAnsiTheme="majorHAnsi" w:cstheme="majorHAnsi"/>
          <w:lang w:val="ro-RO"/>
        </w:rPr>
        <w:t>)</w:t>
      </w:r>
      <w:r w:rsidR="00EC2FB1" w:rsidRPr="00F278F9">
        <w:rPr>
          <w:rFonts w:asciiTheme="majorHAnsi" w:hAnsiTheme="majorHAnsi" w:cstheme="majorHAnsi"/>
          <w:lang w:val="ro-RO"/>
        </w:rPr>
        <w:t>.</w:t>
      </w:r>
    </w:p>
    <w:p w:rsidR="00A20E42" w:rsidRPr="008376FC" w:rsidRDefault="00A20E42" w:rsidP="00F61756">
      <w:pPr>
        <w:pStyle w:val="a3"/>
        <w:tabs>
          <w:tab w:val="left" w:pos="993"/>
        </w:tabs>
        <w:spacing w:line="276" w:lineRule="auto"/>
        <w:ind w:left="0" w:firstLine="709"/>
        <w:jc w:val="both"/>
        <w:rPr>
          <w:rFonts w:asciiTheme="majorHAnsi" w:hAnsiTheme="majorHAnsi" w:cstheme="majorHAnsi"/>
          <w:lang w:val="ro-RO"/>
        </w:rPr>
      </w:pPr>
    </w:p>
    <w:p w:rsidR="00A20E42" w:rsidRPr="008376FC" w:rsidRDefault="001C4514" w:rsidP="00F61756">
      <w:pPr>
        <w:pStyle w:val="a3"/>
        <w:tabs>
          <w:tab w:val="left" w:pos="993"/>
          <w:tab w:val="left" w:pos="1134"/>
        </w:tabs>
        <w:spacing w:line="276" w:lineRule="auto"/>
        <w:ind w:left="0" w:firstLine="709"/>
        <w:jc w:val="both"/>
        <w:rPr>
          <w:rFonts w:asciiTheme="majorHAnsi" w:hAnsiTheme="majorHAnsi" w:cstheme="majorHAnsi"/>
          <w:lang w:val="ro-RO"/>
        </w:rPr>
      </w:pPr>
      <w:r>
        <w:rPr>
          <w:rFonts w:asciiTheme="majorHAnsi" w:hAnsiTheme="majorHAnsi" w:cstheme="majorHAnsi"/>
          <w:b/>
          <w:bCs/>
          <w:lang w:val="ro-RO"/>
        </w:rPr>
        <w:t xml:space="preserve">9. </w:t>
      </w:r>
      <w:r w:rsidR="00A20E42" w:rsidRPr="008376FC">
        <w:rPr>
          <w:rFonts w:asciiTheme="majorHAnsi" w:hAnsiTheme="majorHAnsi" w:cstheme="majorHAnsi"/>
          <w:b/>
          <w:bCs/>
          <w:lang w:val="ro-RO"/>
        </w:rPr>
        <w:t xml:space="preserve"> Ministerului Mediului și Instituției Publice „Oficiul Național de Implementare a Proiectelor în Domeniul Mediului”: </w:t>
      </w:r>
    </w:p>
    <w:p w:rsidR="0088086E" w:rsidRPr="00F278F9" w:rsidRDefault="00A20E42" w:rsidP="00F61756">
      <w:pPr>
        <w:pStyle w:val="a3"/>
        <w:tabs>
          <w:tab w:val="left" w:pos="993"/>
          <w:tab w:val="left" w:pos="1134"/>
        </w:tabs>
        <w:spacing w:line="276" w:lineRule="auto"/>
        <w:ind w:left="0" w:firstLine="709"/>
        <w:jc w:val="both"/>
        <w:rPr>
          <w:rFonts w:asciiTheme="majorHAnsi" w:hAnsiTheme="majorHAnsi" w:cstheme="majorHAnsi"/>
          <w:lang w:val="ro-RO"/>
        </w:rPr>
      </w:pPr>
      <w:r w:rsidRPr="008376FC">
        <w:rPr>
          <w:rFonts w:asciiTheme="majorHAnsi" w:hAnsiTheme="majorHAnsi" w:cstheme="majorHAnsi"/>
          <w:b/>
          <w:bCs/>
          <w:lang w:val="ro-RO"/>
        </w:rPr>
        <w:t xml:space="preserve">9. 1. </w:t>
      </w:r>
      <w:r w:rsidR="00BC28D6" w:rsidRPr="00F278F9">
        <w:rPr>
          <w:rFonts w:asciiTheme="majorHAnsi" w:hAnsiTheme="majorHAnsi" w:cstheme="majorHAnsi"/>
          <w:lang w:val="ro-RO"/>
        </w:rPr>
        <w:t>să elaboreze şi să aprobe, în modul stabilit, un mecanism corespunzător care să asigure finanțarea</w:t>
      </w:r>
      <w:r w:rsidR="00BC28D6" w:rsidRPr="00F278F9">
        <w:rPr>
          <w:rFonts w:asciiTheme="majorHAnsi" w:hAnsiTheme="majorHAnsi" w:cstheme="majorHAnsi"/>
          <w:b/>
          <w:bCs/>
          <w:lang w:val="ro-RO"/>
        </w:rPr>
        <w:t xml:space="preserve"> </w:t>
      </w:r>
      <w:r w:rsidR="00BC28D6" w:rsidRPr="00F278F9">
        <w:rPr>
          <w:rFonts w:asciiTheme="majorHAnsi" w:hAnsiTheme="majorHAnsi" w:cstheme="majorHAnsi"/>
          <w:lang w:val="ro-RO"/>
        </w:rPr>
        <w:t xml:space="preserve">proiectelor în termene optime, fără a condiționa tergiversarea finanțării lor din Fondul Național pentru Mediu și neasigurarea finalității lor pe parcursul mai multor ani </w:t>
      </w:r>
      <w:r w:rsidR="00BC28D6" w:rsidRPr="00F278F9">
        <w:rPr>
          <w:rFonts w:asciiTheme="majorHAnsi" w:hAnsiTheme="majorHAnsi" w:cstheme="majorHAnsi"/>
          <w:b/>
          <w:lang w:val="ro-RO"/>
        </w:rPr>
        <w:t>(pct.</w:t>
      </w:r>
      <w:r w:rsidR="0080672C" w:rsidRPr="00F278F9">
        <w:rPr>
          <w:rFonts w:asciiTheme="majorHAnsi" w:hAnsiTheme="majorHAnsi" w:cstheme="majorHAnsi"/>
          <w:b/>
          <w:lang w:val="ro-RO"/>
        </w:rPr>
        <w:t>4.2.1</w:t>
      </w:r>
      <w:r w:rsidR="00BC28D6" w:rsidRPr="00F278F9">
        <w:rPr>
          <w:rFonts w:asciiTheme="majorHAnsi" w:hAnsiTheme="majorHAnsi" w:cstheme="majorHAnsi"/>
          <w:b/>
          <w:lang w:val="ro-RO"/>
        </w:rPr>
        <w:t>);</w:t>
      </w:r>
    </w:p>
    <w:p w:rsidR="0088086E" w:rsidRDefault="00A20E42" w:rsidP="00F61756">
      <w:pPr>
        <w:pStyle w:val="a3"/>
        <w:tabs>
          <w:tab w:val="left" w:pos="993"/>
          <w:tab w:val="left" w:pos="1134"/>
        </w:tabs>
        <w:spacing w:line="276" w:lineRule="auto"/>
        <w:ind w:left="0" w:firstLine="709"/>
        <w:jc w:val="both"/>
        <w:rPr>
          <w:rFonts w:asciiTheme="majorHAnsi" w:hAnsiTheme="majorHAnsi" w:cstheme="majorHAnsi"/>
          <w:lang w:val="ro-RO"/>
        </w:rPr>
      </w:pPr>
      <w:r w:rsidRPr="00F278F9">
        <w:rPr>
          <w:rFonts w:asciiTheme="majorHAnsi" w:hAnsiTheme="majorHAnsi" w:cstheme="majorHAnsi"/>
          <w:b/>
          <w:bCs/>
          <w:lang w:val="ro-RO"/>
        </w:rPr>
        <w:t>9.2.</w:t>
      </w:r>
      <w:r w:rsidRPr="00F278F9">
        <w:rPr>
          <w:rFonts w:asciiTheme="majorHAnsi" w:hAnsiTheme="majorHAnsi" w:cstheme="majorHAnsi"/>
          <w:lang w:val="ro-RO"/>
        </w:rPr>
        <w:t xml:space="preserve">  să asigure, în scopul realizării obiectivelor stabilite în Strategia pe Alimentare cu Apă și Sanitație, </w:t>
      </w:r>
      <w:r w:rsidRPr="00F278F9">
        <w:rPr>
          <w:rFonts w:asciiTheme="majorHAnsi" w:hAnsiTheme="majorHAnsi" w:cstheme="majorHAnsi"/>
          <w:lang w:val="ro-RO" w:bidi="he-IL"/>
        </w:rPr>
        <w:t xml:space="preserve">aprobată prin </w:t>
      </w:r>
      <w:r w:rsidR="0080672C" w:rsidRPr="00F278F9">
        <w:rPr>
          <w:rFonts w:asciiTheme="majorHAnsi" w:hAnsiTheme="majorHAnsi" w:cstheme="majorHAnsi"/>
          <w:lang w:val="ro-RO" w:bidi="he-IL"/>
        </w:rPr>
        <w:t xml:space="preserve">Hotărârea Guvernului </w:t>
      </w:r>
      <w:r w:rsidRPr="00F278F9">
        <w:rPr>
          <w:rFonts w:asciiTheme="majorHAnsi" w:hAnsiTheme="majorHAnsi" w:cstheme="majorHAnsi"/>
          <w:lang w:val="ro-RO" w:bidi="he-IL"/>
        </w:rPr>
        <w:t>nr.</w:t>
      </w:r>
      <w:r w:rsidR="0080672C" w:rsidRPr="00F278F9">
        <w:rPr>
          <w:rFonts w:asciiTheme="majorHAnsi" w:hAnsiTheme="majorHAnsi" w:cstheme="majorHAnsi"/>
          <w:lang w:val="ro-RO" w:bidi="he-IL"/>
        </w:rPr>
        <w:t xml:space="preserve">199 </w:t>
      </w:r>
      <w:r w:rsidRPr="00F278F9">
        <w:rPr>
          <w:rFonts w:asciiTheme="majorHAnsi" w:hAnsiTheme="majorHAnsi" w:cstheme="majorHAnsi"/>
          <w:lang w:val="ro-RO" w:bidi="he-IL"/>
        </w:rPr>
        <w:t xml:space="preserve">din </w:t>
      </w:r>
      <w:r w:rsidR="0080672C" w:rsidRPr="00F278F9">
        <w:rPr>
          <w:rFonts w:asciiTheme="majorHAnsi" w:hAnsiTheme="majorHAnsi" w:cstheme="majorHAnsi"/>
          <w:lang w:val="ro-RO" w:bidi="he-IL"/>
        </w:rPr>
        <w:t>20</w:t>
      </w:r>
      <w:r w:rsidRPr="00F278F9">
        <w:rPr>
          <w:rFonts w:asciiTheme="majorHAnsi" w:hAnsiTheme="majorHAnsi" w:cstheme="majorHAnsi"/>
          <w:lang w:val="ro-RO" w:bidi="he-IL"/>
        </w:rPr>
        <w:t>.</w:t>
      </w:r>
      <w:r w:rsidR="0080672C" w:rsidRPr="00F278F9">
        <w:rPr>
          <w:rFonts w:asciiTheme="majorHAnsi" w:hAnsiTheme="majorHAnsi" w:cstheme="majorHAnsi"/>
          <w:lang w:val="ro-RO" w:bidi="he-IL"/>
        </w:rPr>
        <w:t>03</w:t>
      </w:r>
      <w:r w:rsidRPr="00F278F9">
        <w:rPr>
          <w:rFonts w:asciiTheme="majorHAnsi" w:hAnsiTheme="majorHAnsi" w:cstheme="majorHAnsi"/>
          <w:lang w:val="ro-RO" w:bidi="he-IL"/>
        </w:rPr>
        <w:t>.</w:t>
      </w:r>
      <w:r w:rsidR="0080672C" w:rsidRPr="00F278F9">
        <w:rPr>
          <w:rFonts w:asciiTheme="majorHAnsi" w:hAnsiTheme="majorHAnsi" w:cstheme="majorHAnsi"/>
          <w:lang w:val="ro-RO" w:bidi="he-IL"/>
        </w:rPr>
        <w:t>2014</w:t>
      </w:r>
      <w:r w:rsidRPr="00F278F9">
        <w:rPr>
          <w:rFonts w:asciiTheme="majorHAnsi" w:hAnsiTheme="majorHAnsi" w:cstheme="majorHAnsi"/>
          <w:lang w:val="ro-RO"/>
        </w:rPr>
        <w:t>, prioritizarea finanțării</w:t>
      </w:r>
      <w:r w:rsidRPr="008376FC">
        <w:rPr>
          <w:rFonts w:asciiTheme="majorHAnsi" w:hAnsiTheme="majorHAnsi" w:cstheme="majorHAnsi"/>
          <w:lang w:val="ro-RO"/>
        </w:rPr>
        <w:t xml:space="preserve"> proiectelor investiționale inițiate și finanțate anterior din contul mijloacelor Fondului Ecologic Național și preluate pentru definitivare, conform </w:t>
      </w:r>
      <w:r w:rsidRPr="008376FC">
        <w:rPr>
          <w:rFonts w:asciiTheme="majorHAnsi" w:hAnsiTheme="majorHAnsi" w:cstheme="majorHAnsi"/>
          <w:lang w:val="ro-RO" w:bidi="he-IL"/>
        </w:rPr>
        <w:t>Hotărârii Guvernului</w:t>
      </w:r>
      <w:r w:rsidRPr="008376FC">
        <w:rPr>
          <w:rFonts w:asciiTheme="majorHAnsi" w:hAnsiTheme="majorHAnsi" w:cstheme="majorHAnsi"/>
          <w:lang w:val="ro-RO"/>
        </w:rPr>
        <w:t xml:space="preserve"> nr.711 din 19.10.2022 </w:t>
      </w:r>
      <w:r w:rsidR="00921332">
        <w:rPr>
          <w:rFonts w:asciiTheme="majorHAnsi" w:hAnsiTheme="majorHAnsi" w:cstheme="majorHAnsi"/>
          <w:lang w:val="ro-RO"/>
        </w:rPr>
        <w:t>„C</w:t>
      </w:r>
      <w:r w:rsidRPr="008376FC">
        <w:rPr>
          <w:rFonts w:asciiTheme="majorHAnsi" w:hAnsiTheme="majorHAnsi" w:cstheme="majorHAnsi"/>
          <w:lang w:val="ro-RO"/>
        </w:rPr>
        <w:t>u privire la aprobarea Regulamentului privind modul de administrare a Fondului Național pentru Mediu</w:t>
      </w:r>
      <w:r w:rsidR="00921332">
        <w:rPr>
          <w:rFonts w:asciiTheme="majorHAnsi" w:hAnsiTheme="majorHAnsi" w:cstheme="majorHAnsi"/>
          <w:lang w:val="ro-RO"/>
        </w:rPr>
        <w:t>”</w:t>
      </w:r>
      <w:r w:rsidRPr="008376FC">
        <w:rPr>
          <w:rFonts w:asciiTheme="majorHAnsi" w:hAnsiTheme="majorHAnsi" w:cstheme="majorHAnsi"/>
          <w:lang w:val="ro-RO"/>
        </w:rPr>
        <w:t>, de către Instituția Publică „Oficiul Național de Implementare a Proiectelor în Domeniul Mediului”,</w:t>
      </w:r>
      <w:r w:rsidRPr="008376FC">
        <w:rPr>
          <w:rFonts w:asciiTheme="majorHAnsi" w:hAnsiTheme="majorHAnsi" w:cstheme="majorHAnsi"/>
          <w:b/>
          <w:bCs/>
          <w:lang w:val="ro-RO"/>
        </w:rPr>
        <w:t xml:space="preserve"> </w:t>
      </w:r>
      <w:r w:rsidRPr="008376FC">
        <w:rPr>
          <w:rFonts w:asciiTheme="majorHAnsi" w:hAnsiTheme="majorHAnsi" w:cstheme="majorHAnsi"/>
          <w:lang w:val="ro-RO"/>
        </w:rPr>
        <w:t xml:space="preserve">pentru a nu admite irosirea sau risipa </w:t>
      </w:r>
      <w:r w:rsidR="00100B5E">
        <w:rPr>
          <w:rFonts w:asciiTheme="majorHAnsi" w:hAnsiTheme="majorHAnsi" w:cstheme="majorHAnsi"/>
          <w:lang w:val="ro-RO"/>
        </w:rPr>
        <w:t xml:space="preserve">mijloacelor </w:t>
      </w:r>
      <w:r w:rsidRPr="008376FC">
        <w:rPr>
          <w:rFonts w:asciiTheme="majorHAnsi" w:hAnsiTheme="majorHAnsi" w:cstheme="majorHAnsi"/>
          <w:lang w:val="ro-RO"/>
        </w:rPr>
        <w:t>bugetare</w:t>
      </w:r>
      <w:r w:rsidR="009519A6">
        <w:rPr>
          <w:rFonts w:asciiTheme="majorHAnsi" w:hAnsiTheme="majorHAnsi" w:cstheme="majorHAnsi"/>
          <w:lang w:val="ro-RO"/>
        </w:rPr>
        <w:t xml:space="preserve"> </w:t>
      </w:r>
      <w:r w:rsidR="009519A6" w:rsidRPr="00F278F9">
        <w:rPr>
          <w:rFonts w:asciiTheme="majorHAnsi" w:hAnsiTheme="majorHAnsi" w:cstheme="majorHAnsi"/>
          <w:b/>
          <w:lang w:val="ro-RO"/>
        </w:rPr>
        <w:t>(</w:t>
      </w:r>
      <w:r w:rsidR="00490E25" w:rsidRPr="00F278F9">
        <w:rPr>
          <w:rFonts w:asciiTheme="majorHAnsi" w:hAnsiTheme="majorHAnsi" w:cstheme="majorHAnsi"/>
          <w:b/>
          <w:lang w:val="ro-RO"/>
        </w:rPr>
        <w:t>pct.</w:t>
      </w:r>
      <w:r w:rsidR="0080672C" w:rsidRPr="00F278F9">
        <w:rPr>
          <w:rFonts w:asciiTheme="majorHAnsi" w:hAnsiTheme="majorHAnsi" w:cstheme="majorHAnsi"/>
          <w:b/>
          <w:lang w:val="ro-RO"/>
        </w:rPr>
        <w:t>4.2</w:t>
      </w:r>
      <w:r w:rsidR="00BC28D6" w:rsidRPr="00F278F9">
        <w:rPr>
          <w:rFonts w:asciiTheme="majorHAnsi" w:hAnsiTheme="majorHAnsi" w:cstheme="majorHAnsi"/>
          <w:b/>
          <w:lang w:val="ro-RO"/>
        </w:rPr>
        <w:t>.1);</w:t>
      </w:r>
    </w:p>
    <w:p w:rsidR="00A20E42" w:rsidRPr="008376FC" w:rsidRDefault="00A20E42" w:rsidP="00F61756">
      <w:pPr>
        <w:pStyle w:val="a3"/>
        <w:tabs>
          <w:tab w:val="left" w:pos="993"/>
          <w:tab w:val="left" w:pos="1134"/>
        </w:tabs>
        <w:spacing w:line="276" w:lineRule="auto"/>
        <w:ind w:left="0" w:firstLine="709"/>
        <w:jc w:val="both"/>
        <w:rPr>
          <w:rFonts w:asciiTheme="majorHAnsi" w:hAnsiTheme="majorHAnsi" w:cstheme="majorHAnsi"/>
          <w:lang w:val="ro-RO"/>
        </w:rPr>
      </w:pPr>
      <w:r w:rsidRPr="008376FC">
        <w:rPr>
          <w:rFonts w:asciiTheme="majorHAnsi" w:hAnsiTheme="majorHAnsi" w:cstheme="majorHAnsi"/>
          <w:b/>
          <w:bCs/>
          <w:lang w:val="ro-RO"/>
        </w:rPr>
        <w:t>9.3.</w:t>
      </w:r>
      <w:r w:rsidRPr="008376FC">
        <w:rPr>
          <w:rFonts w:asciiTheme="majorHAnsi" w:hAnsiTheme="majorHAnsi" w:cstheme="majorHAnsi"/>
          <w:lang w:val="ro-RO"/>
        </w:rPr>
        <w:t xml:space="preserve"> </w:t>
      </w:r>
      <w:r w:rsidR="007A3107" w:rsidRPr="008376FC">
        <w:rPr>
          <w:rFonts w:asciiTheme="majorHAnsi" w:hAnsiTheme="majorHAnsi" w:cstheme="majorHAnsi"/>
          <w:lang w:val="ro-RO"/>
        </w:rPr>
        <w:t>s</w:t>
      </w:r>
      <w:r w:rsidRPr="008376FC">
        <w:rPr>
          <w:rFonts w:asciiTheme="majorHAnsi" w:hAnsiTheme="majorHAnsi" w:cstheme="majorHAnsi"/>
          <w:lang w:val="ro-RO"/>
        </w:rPr>
        <w:t>ă definitiveze și să aprobe</w:t>
      </w:r>
      <w:r w:rsidR="00921332">
        <w:rPr>
          <w:rFonts w:asciiTheme="majorHAnsi" w:hAnsiTheme="majorHAnsi" w:cstheme="majorHAnsi"/>
          <w:lang w:val="ro-RO"/>
        </w:rPr>
        <w:t>,</w:t>
      </w:r>
      <w:r w:rsidRPr="008376FC">
        <w:rPr>
          <w:rFonts w:asciiTheme="majorHAnsi" w:hAnsiTheme="majorHAnsi" w:cstheme="majorHAnsi"/>
          <w:lang w:val="ro-RO"/>
        </w:rPr>
        <w:t xml:space="preserve"> în modul stabilit de Guvern</w:t>
      </w:r>
      <w:r w:rsidR="00921332">
        <w:rPr>
          <w:rFonts w:asciiTheme="majorHAnsi" w:hAnsiTheme="majorHAnsi" w:cstheme="majorHAnsi"/>
          <w:lang w:val="ro-RO"/>
        </w:rPr>
        <w:t>,</w:t>
      </w:r>
      <w:r w:rsidRPr="008376FC">
        <w:rPr>
          <w:rFonts w:asciiTheme="majorHAnsi" w:hAnsiTheme="majorHAnsi" w:cstheme="majorHAnsi"/>
          <w:lang w:val="ro-RO"/>
        </w:rPr>
        <w:t xml:space="preserve"> „Manualul operațional al Fondului Național de Mediu”</w:t>
      </w:r>
      <w:r w:rsidR="0080316E" w:rsidRPr="0080316E">
        <w:rPr>
          <w:rFonts w:asciiTheme="majorHAnsi" w:hAnsiTheme="majorHAnsi" w:cstheme="majorHAnsi"/>
          <w:lang w:val="ro-RO"/>
        </w:rPr>
        <w:t xml:space="preserve"> </w:t>
      </w:r>
      <w:r w:rsidR="0080316E">
        <w:rPr>
          <w:rFonts w:asciiTheme="majorHAnsi" w:hAnsiTheme="majorHAnsi" w:cstheme="majorHAnsi"/>
          <w:lang w:val="ro-RO"/>
        </w:rPr>
        <w:t>(pct.4.2</w:t>
      </w:r>
      <w:r w:rsidR="0080316E" w:rsidRPr="000C3E95">
        <w:rPr>
          <w:rFonts w:asciiTheme="majorHAnsi" w:hAnsiTheme="majorHAnsi" w:cstheme="majorHAnsi"/>
          <w:lang w:val="ro-RO"/>
        </w:rPr>
        <w:t>.1)</w:t>
      </w:r>
      <w:r w:rsidRPr="008376FC">
        <w:rPr>
          <w:rFonts w:asciiTheme="majorHAnsi" w:hAnsiTheme="majorHAnsi" w:cstheme="majorHAnsi"/>
          <w:lang w:val="ro-RO"/>
        </w:rPr>
        <w:t>.</w:t>
      </w:r>
    </w:p>
    <w:p w:rsidR="00A20E42" w:rsidRPr="008376FC" w:rsidRDefault="00A20E42" w:rsidP="00F61756">
      <w:pPr>
        <w:pStyle w:val="a3"/>
        <w:tabs>
          <w:tab w:val="left" w:pos="993"/>
          <w:tab w:val="left" w:pos="1134"/>
        </w:tabs>
        <w:spacing w:line="276" w:lineRule="auto"/>
        <w:ind w:left="0" w:firstLine="709"/>
        <w:jc w:val="both"/>
        <w:rPr>
          <w:rFonts w:asciiTheme="majorHAnsi" w:hAnsiTheme="majorHAnsi" w:cstheme="majorHAnsi"/>
          <w:lang w:val="ro-RO"/>
        </w:rPr>
      </w:pPr>
    </w:p>
    <w:p w:rsidR="00A20E42" w:rsidRPr="00F278F9" w:rsidRDefault="00A20E42" w:rsidP="00F61756">
      <w:pPr>
        <w:pStyle w:val="af1"/>
        <w:numPr>
          <w:ilvl w:val="0"/>
          <w:numId w:val="71"/>
        </w:numPr>
        <w:tabs>
          <w:tab w:val="left" w:pos="993"/>
        </w:tabs>
        <w:spacing w:line="276" w:lineRule="auto"/>
        <w:ind w:left="0" w:firstLine="709"/>
        <w:rPr>
          <w:rFonts w:asciiTheme="majorHAnsi" w:eastAsia="Times New Roman" w:hAnsiTheme="majorHAnsi" w:cstheme="majorHAnsi"/>
          <w:b/>
          <w:bCs/>
        </w:rPr>
      </w:pPr>
      <w:r w:rsidRPr="00F278F9">
        <w:rPr>
          <w:rFonts w:asciiTheme="majorHAnsi" w:hAnsiTheme="majorHAnsi" w:cstheme="majorHAnsi"/>
          <w:b/>
          <w:bCs/>
        </w:rPr>
        <w:t>Cancelariei de Stat</w:t>
      </w:r>
      <w:r w:rsidR="00921332" w:rsidRPr="00F278F9">
        <w:rPr>
          <w:rFonts w:asciiTheme="majorHAnsi" w:hAnsiTheme="majorHAnsi" w:cstheme="majorHAnsi"/>
          <w:b/>
          <w:bCs/>
        </w:rPr>
        <w:t>,</w:t>
      </w:r>
      <w:r w:rsidRPr="00F278F9">
        <w:rPr>
          <w:rFonts w:asciiTheme="majorHAnsi" w:hAnsiTheme="majorHAnsi" w:cstheme="majorHAnsi"/>
          <w:b/>
          <w:bCs/>
        </w:rPr>
        <w:t xml:space="preserve"> în comun cu </w:t>
      </w:r>
      <w:r w:rsidR="00DF43E5" w:rsidRPr="00F278F9">
        <w:rPr>
          <w:rFonts w:asciiTheme="majorHAnsi" w:hAnsiTheme="majorHAnsi" w:cstheme="majorHAnsi"/>
          <w:b/>
          <w:bCs/>
        </w:rPr>
        <w:t xml:space="preserve">Oficiile teritoriale </w:t>
      </w:r>
      <w:r w:rsidR="008353D9" w:rsidRPr="00F278F9">
        <w:rPr>
          <w:rFonts w:asciiTheme="majorHAnsi" w:hAnsiTheme="majorHAnsi" w:cstheme="majorHAnsi"/>
          <w:b/>
          <w:bCs/>
        </w:rPr>
        <w:t xml:space="preserve"> ale Cancelariei de Stat</w:t>
      </w:r>
      <w:r w:rsidRPr="00F278F9">
        <w:rPr>
          <w:rFonts w:asciiTheme="majorHAnsi" w:hAnsiTheme="majorHAnsi" w:cstheme="majorHAnsi"/>
          <w:b/>
          <w:bCs/>
        </w:rPr>
        <w:t xml:space="preserve">să monitorizeze implementarea de către </w:t>
      </w:r>
      <w:r w:rsidRPr="00F278F9">
        <w:rPr>
          <w:rFonts w:asciiTheme="majorHAnsi" w:hAnsiTheme="majorHAnsi" w:cstheme="majorHAnsi"/>
          <w:b/>
        </w:rPr>
        <w:t>AAPL gestionare de OITE aferente alimentării cu apă și sanitație</w:t>
      </w:r>
      <w:r w:rsidR="00D2371C" w:rsidRPr="00F278F9">
        <w:rPr>
          <w:rFonts w:asciiTheme="majorHAnsi" w:hAnsiTheme="majorHAnsi" w:cstheme="majorHAnsi"/>
          <w:b/>
        </w:rPr>
        <w:t>i</w:t>
      </w:r>
      <w:r w:rsidRPr="00F278F9">
        <w:rPr>
          <w:rFonts w:asciiTheme="majorHAnsi" w:hAnsiTheme="majorHAnsi" w:cstheme="majorHAnsi"/>
          <w:b/>
        </w:rPr>
        <w:t xml:space="preserve"> a următoarelor recomandări</w:t>
      </w:r>
      <w:r w:rsidRPr="00F278F9">
        <w:rPr>
          <w:rFonts w:asciiTheme="majorHAnsi" w:hAnsiTheme="majorHAnsi" w:cstheme="majorHAnsi"/>
          <w:b/>
          <w:bCs/>
        </w:rPr>
        <w:t>:</w:t>
      </w:r>
    </w:p>
    <w:p w:rsidR="0088086E" w:rsidRDefault="00A20E42" w:rsidP="00F61756">
      <w:pPr>
        <w:pStyle w:val="af1"/>
        <w:shd w:val="clear" w:color="auto" w:fill="FFFFFF"/>
        <w:tabs>
          <w:tab w:val="left" w:pos="993"/>
        </w:tabs>
        <w:spacing w:line="276" w:lineRule="auto"/>
        <w:ind w:firstLine="709"/>
        <w:rPr>
          <w:rFonts w:asciiTheme="majorHAnsi" w:hAnsiTheme="majorHAnsi" w:cstheme="majorHAnsi"/>
        </w:rPr>
      </w:pPr>
      <w:r w:rsidRPr="008376FC">
        <w:rPr>
          <w:rFonts w:asciiTheme="majorHAnsi" w:hAnsiTheme="majorHAnsi" w:cstheme="majorHAnsi"/>
          <w:b/>
          <w:bCs/>
        </w:rPr>
        <w:t>1</w:t>
      </w:r>
      <w:r w:rsidR="00732FE4">
        <w:rPr>
          <w:rFonts w:asciiTheme="majorHAnsi" w:hAnsiTheme="majorHAnsi" w:cstheme="majorHAnsi"/>
          <w:b/>
          <w:bCs/>
        </w:rPr>
        <w:t>0</w:t>
      </w:r>
      <w:r w:rsidRPr="008376FC">
        <w:rPr>
          <w:rFonts w:asciiTheme="majorHAnsi" w:hAnsiTheme="majorHAnsi" w:cstheme="majorHAnsi"/>
          <w:b/>
          <w:bCs/>
        </w:rPr>
        <w:t>.1.</w:t>
      </w:r>
      <w:r w:rsidRPr="008376FC">
        <w:rPr>
          <w:rFonts w:asciiTheme="majorHAnsi" w:hAnsiTheme="majorHAnsi" w:cstheme="majorHAnsi"/>
        </w:rPr>
        <w:t xml:space="preserve"> să asigure inventarier</w:t>
      </w:r>
      <w:r w:rsidR="00F7228B" w:rsidRPr="008376FC">
        <w:rPr>
          <w:rFonts w:asciiTheme="majorHAnsi" w:hAnsiTheme="majorHAnsi" w:cstheme="majorHAnsi"/>
        </w:rPr>
        <w:t>ea</w:t>
      </w:r>
      <w:r w:rsidRPr="008376FC">
        <w:rPr>
          <w:rFonts w:asciiTheme="majorHAnsi" w:hAnsiTheme="majorHAnsi" w:cstheme="majorHAnsi"/>
        </w:rPr>
        <w:t xml:space="preserve"> contractelor de delegare a gestiunii </w:t>
      </w:r>
      <w:r w:rsidRPr="008376FC">
        <w:rPr>
          <w:rFonts w:asciiTheme="majorHAnsi" w:hAnsiTheme="majorHAnsi" w:cstheme="majorHAnsi"/>
          <w:lang w:bidi="he-IL"/>
        </w:rPr>
        <w:t>serviciului public d</w:t>
      </w:r>
      <w:r w:rsidRPr="008376FC">
        <w:rPr>
          <w:rFonts w:asciiTheme="majorHAnsi" w:hAnsiTheme="majorHAnsi" w:cstheme="majorHAnsi"/>
        </w:rPr>
        <w:t>e alimentare cu apă și de canalizare, prin prisma corespunderii acestora cu prevederile art.13 alin.(7) din Legea nr.303 din 13.12.2013 privind serviciul public de alimentare cu apă şi de canalizare și</w:t>
      </w:r>
      <w:r w:rsidR="00D2371C">
        <w:rPr>
          <w:rFonts w:asciiTheme="majorHAnsi" w:hAnsiTheme="majorHAnsi" w:cstheme="majorHAnsi"/>
        </w:rPr>
        <w:t>,</w:t>
      </w:r>
      <w:r w:rsidRPr="008376FC">
        <w:rPr>
          <w:rFonts w:asciiTheme="majorHAnsi" w:hAnsiTheme="majorHAnsi" w:cstheme="majorHAnsi"/>
        </w:rPr>
        <w:t xml:space="preserve"> în cazul în care aceste contracte nu au fost încheiate, să asigure încheierea lor, iar în cazul în care contractele respective au fost încheiate</w:t>
      </w:r>
      <w:r w:rsidR="00D2371C">
        <w:rPr>
          <w:rFonts w:asciiTheme="majorHAnsi" w:hAnsiTheme="majorHAnsi" w:cstheme="majorHAnsi"/>
        </w:rPr>
        <w:t>,</w:t>
      </w:r>
      <w:r w:rsidRPr="008376FC">
        <w:rPr>
          <w:rFonts w:asciiTheme="majorHAnsi" w:hAnsiTheme="majorHAnsi" w:cstheme="majorHAnsi"/>
        </w:rPr>
        <w:t xml:space="preserve"> dar nu corespund prevederilor cadrului normativ în vigoare, să le actualizeze, cu anexarea obligatorie</w:t>
      </w:r>
      <w:r w:rsidR="00100B5E">
        <w:rPr>
          <w:rFonts w:asciiTheme="majorHAnsi" w:hAnsiTheme="majorHAnsi" w:cstheme="majorHAnsi"/>
        </w:rPr>
        <w:t xml:space="preserve"> la ale </w:t>
      </w:r>
      <w:r w:rsidRPr="008376FC">
        <w:rPr>
          <w:rFonts w:asciiTheme="majorHAnsi" w:hAnsiTheme="majorHAnsi" w:cstheme="majorHAnsi"/>
        </w:rPr>
        <w:t xml:space="preserve">a: (i) </w:t>
      </w:r>
      <w:r w:rsidRPr="008376FC">
        <w:rPr>
          <w:rFonts w:asciiTheme="majorHAnsi" w:hAnsiTheme="majorHAnsi" w:cstheme="majorHAnsi"/>
          <w:shd w:val="clear" w:color="auto" w:fill="FFFFFF"/>
        </w:rPr>
        <w:t xml:space="preserve">Regulamentului-cadru privind indicatorii de performanță ai serviciului public de alimentare cu apă şi de canalizare, (ii) </w:t>
      </w:r>
      <w:r w:rsidRPr="008376FC">
        <w:rPr>
          <w:rFonts w:asciiTheme="majorHAnsi" w:hAnsiTheme="majorHAnsi" w:cstheme="majorHAnsi"/>
        </w:rPr>
        <w:t xml:space="preserve">caietului de sarcini privind furnizarea/prestarea serviciului, </w:t>
      </w:r>
      <w:r w:rsidRPr="00D2371C">
        <w:rPr>
          <w:rFonts w:asciiTheme="majorHAnsi" w:hAnsiTheme="majorHAnsi" w:cstheme="majorHAnsi"/>
        </w:rPr>
        <w:t>(iii) Regulamentului de organizare și funcționare a serviciului public de alimentare cu apă şi de canalizare, (i</w:t>
      </w:r>
      <w:r w:rsidR="00D2371C" w:rsidRPr="00100B5E">
        <w:rPr>
          <w:rFonts w:asciiTheme="majorHAnsi" w:hAnsiTheme="majorHAnsi" w:cstheme="majorHAnsi"/>
        </w:rPr>
        <w:t>v</w:t>
      </w:r>
      <w:r w:rsidRPr="00D2371C">
        <w:rPr>
          <w:rFonts w:asciiTheme="majorHAnsi" w:hAnsiTheme="majorHAnsi" w:cstheme="majorHAnsi"/>
        </w:rPr>
        <w:t>) inventarului bunurilor mobile şi imobile, proprietate publică sau privată a unităţilor administrativ-teritoriale aferente serviciului furnizat/prestart și (</w:t>
      </w:r>
      <w:r w:rsidRPr="00EF62F4">
        <w:rPr>
          <w:rFonts w:asciiTheme="majorHAnsi" w:hAnsiTheme="majorHAnsi" w:cstheme="majorHAnsi"/>
        </w:rPr>
        <w:t>v) procesului-verbal de predare-preluare a bunurilor prevăzute la pct. (i</w:t>
      </w:r>
      <w:r w:rsidR="00D2371C" w:rsidRPr="00EF62F4">
        <w:rPr>
          <w:rFonts w:asciiTheme="majorHAnsi" w:hAnsiTheme="majorHAnsi" w:cstheme="majorHAnsi"/>
        </w:rPr>
        <w:t>v</w:t>
      </w:r>
      <w:r w:rsidRPr="00EF62F4">
        <w:rPr>
          <w:rFonts w:asciiTheme="majorHAnsi" w:hAnsiTheme="majorHAnsi" w:cstheme="majorHAnsi"/>
        </w:rPr>
        <w:t>)</w:t>
      </w:r>
      <w:r w:rsidR="00490E25">
        <w:rPr>
          <w:rFonts w:asciiTheme="majorHAnsi" w:hAnsiTheme="majorHAnsi" w:cstheme="majorHAnsi"/>
        </w:rPr>
        <w:t xml:space="preserve">, </w:t>
      </w:r>
      <w:r w:rsidR="00490E25" w:rsidRPr="00F278F9">
        <w:rPr>
          <w:rFonts w:asciiTheme="majorHAnsi" w:hAnsiTheme="majorHAnsi" w:cstheme="majorHAnsi"/>
          <w:b/>
        </w:rPr>
        <w:t>(pct.</w:t>
      </w:r>
      <w:r w:rsidR="00C02DC2" w:rsidRPr="00F278F9">
        <w:rPr>
          <w:rFonts w:asciiTheme="majorHAnsi" w:hAnsiTheme="majorHAnsi" w:cstheme="majorHAnsi"/>
          <w:b/>
        </w:rPr>
        <w:t>4.5.13</w:t>
      </w:r>
      <w:r w:rsidR="00490E25" w:rsidRPr="00F278F9">
        <w:rPr>
          <w:rFonts w:asciiTheme="majorHAnsi" w:hAnsiTheme="majorHAnsi" w:cstheme="majorHAnsi"/>
          <w:b/>
        </w:rPr>
        <w:t>)</w:t>
      </w:r>
      <w:r w:rsidR="00825854" w:rsidRPr="00F278F9">
        <w:rPr>
          <w:rFonts w:asciiTheme="majorHAnsi" w:hAnsiTheme="majorHAnsi" w:cstheme="majorHAnsi"/>
          <w:b/>
        </w:rPr>
        <w:t>;</w:t>
      </w:r>
    </w:p>
    <w:p w:rsidR="0088086E" w:rsidRDefault="00A20E42" w:rsidP="00F61756">
      <w:pPr>
        <w:pStyle w:val="af1"/>
        <w:tabs>
          <w:tab w:val="left" w:pos="993"/>
        </w:tabs>
        <w:spacing w:line="276" w:lineRule="auto"/>
        <w:ind w:firstLine="709"/>
        <w:rPr>
          <w:rFonts w:asciiTheme="majorHAnsi" w:hAnsiTheme="majorHAnsi" w:cstheme="majorHAnsi"/>
        </w:rPr>
      </w:pPr>
      <w:r w:rsidRPr="00EF6E85">
        <w:rPr>
          <w:rFonts w:asciiTheme="majorHAnsi" w:hAnsiTheme="majorHAnsi" w:cstheme="majorHAnsi"/>
          <w:b/>
          <w:bCs/>
          <w:shd w:val="clear" w:color="auto" w:fill="FFFFFF"/>
        </w:rPr>
        <w:t>1</w:t>
      </w:r>
      <w:r w:rsidR="00732FE4">
        <w:rPr>
          <w:rFonts w:asciiTheme="majorHAnsi" w:hAnsiTheme="majorHAnsi" w:cstheme="majorHAnsi"/>
          <w:b/>
          <w:bCs/>
          <w:shd w:val="clear" w:color="auto" w:fill="FFFFFF"/>
        </w:rPr>
        <w:t>0</w:t>
      </w:r>
      <w:r w:rsidRPr="00EF6E85">
        <w:rPr>
          <w:rFonts w:asciiTheme="majorHAnsi" w:hAnsiTheme="majorHAnsi" w:cstheme="majorHAnsi"/>
          <w:b/>
          <w:bCs/>
          <w:shd w:val="clear" w:color="auto" w:fill="FFFFFF"/>
        </w:rPr>
        <w:t>.2.</w:t>
      </w:r>
      <w:r w:rsidRPr="00EF6E85">
        <w:rPr>
          <w:rFonts w:asciiTheme="majorHAnsi" w:hAnsiTheme="majorHAnsi" w:cstheme="majorHAnsi"/>
          <w:shd w:val="clear" w:color="auto" w:fill="FFFFFF"/>
        </w:rPr>
        <w:t xml:space="preserve">  să includă, în mod </w:t>
      </w:r>
      <w:r w:rsidRPr="00D2371C">
        <w:rPr>
          <w:rFonts w:asciiTheme="majorHAnsi" w:hAnsiTheme="majorHAnsi" w:cstheme="majorHAnsi"/>
          <w:shd w:val="clear" w:color="auto" w:fill="FFFFFF"/>
        </w:rPr>
        <w:t xml:space="preserve">obligatoriu, </w:t>
      </w:r>
      <w:r w:rsidRPr="00D2371C">
        <w:rPr>
          <w:rFonts w:asciiTheme="majorHAnsi" w:hAnsiTheme="majorHAnsi" w:cstheme="majorHAnsi"/>
        </w:rPr>
        <w:t>în contractele de gestiune delegată, mărim</w:t>
      </w:r>
      <w:r w:rsidR="00D2371C">
        <w:rPr>
          <w:rFonts w:asciiTheme="majorHAnsi" w:hAnsiTheme="majorHAnsi" w:cstheme="majorHAnsi"/>
        </w:rPr>
        <w:t>ea</w:t>
      </w:r>
      <w:r w:rsidRPr="00D2371C">
        <w:rPr>
          <w:rFonts w:asciiTheme="majorHAnsi" w:hAnsiTheme="majorHAnsi" w:cstheme="majorHAnsi"/>
        </w:rPr>
        <w:t xml:space="preserve"> red</w:t>
      </w:r>
      <w:r w:rsidRPr="008376FC">
        <w:rPr>
          <w:rFonts w:asciiTheme="majorHAnsi" w:hAnsiTheme="majorHAnsi" w:cstheme="majorHAnsi"/>
        </w:rPr>
        <w:t>evenței care urmează a fi achitată de operator</w:t>
      </w:r>
      <w:r w:rsidR="00D2371C">
        <w:rPr>
          <w:rFonts w:asciiTheme="majorHAnsi" w:hAnsiTheme="majorHAnsi" w:cstheme="majorHAnsi"/>
        </w:rPr>
        <w:t>ul</w:t>
      </w:r>
      <w:r w:rsidRPr="008376FC">
        <w:rPr>
          <w:rFonts w:asciiTheme="majorHAnsi" w:hAnsiTheme="majorHAnsi" w:cstheme="majorHAnsi"/>
        </w:rPr>
        <w:t xml:space="preserve"> de servicii de alimentare cu apă și sanitație, conform prevederilor art.13</w:t>
      </w:r>
      <w:r w:rsidRPr="008376FC">
        <w:rPr>
          <w:rFonts w:asciiTheme="majorHAnsi" w:hAnsiTheme="majorHAnsi" w:cstheme="majorHAnsi"/>
          <w:vertAlign w:val="superscript"/>
        </w:rPr>
        <w:t>1</w:t>
      </w:r>
      <w:r w:rsidRPr="008376FC">
        <w:rPr>
          <w:rFonts w:asciiTheme="majorHAnsi" w:hAnsiTheme="majorHAnsi" w:cstheme="majorHAnsi"/>
        </w:rPr>
        <w:t xml:space="preserve"> alin. (11) și (12), precum și art.13 alin.(19) din Legea nr.303/2013 privind serviciul public de alimentare cu apă şi de canalizare</w:t>
      </w:r>
      <w:r w:rsidR="00D2371C">
        <w:rPr>
          <w:rFonts w:asciiTheme="majorHAnsi" w:hAnsiTheme="majorHAnsi" w:cstheme="majorHAnsi"/>
        </w:rPr>
        <w:t>,</w:t>
      </w:r>
      <w:r w:rsidRPr="008376FC">
        <w:rPr>
          <w:rFonts w:asciiTheme="majorHAnsi" w:hAnsiTheme="majorHAnsi" w:cstheme="majorHAnsi"/>
        </w:rPr>
        <w:t xml:space="preserve"> în scopul recuperării investițiilor efectuate pentru înlocuirea, modernizarea și/sau extinderea sistemelor de alimentare cu apă și de canalizare</w:t>
      </w:r>
      <w:r w:rsidR="00490E25">
        <w:rPr>
          <w:rFonts w:asciiTheme="majorHAnsi" w:hAnsiTheme="majorHAnsi" w:cstheme="majorHAnsi"/>
        </w:rPr>
        <w:t xml:space="preserve"> </w:t>
      </w:r>
      <w:r w:rsidR="00490E25" w:rsidRPr="00F278F9">
        <w:rPr>
          <w:rFonts w:asciiTheme="majorHAnsi" w:hAnsiTheme="majorHAnsi" w:cstheme="majorHAnsi"/>
          <w:b/>
        </w:rPr>
        <w:t>(pct.</w:t>
      </w:r>
      <w:r w:rsidR="007F1929" w:rsidRPr="00F278F9">
        <w:rPr>
          <w:rFonts w:asciiTheme="majorHAnsi" w:hAnsiTheme="majorHAnsi" w:cstheme="majorHAnsi"/>
          <w:b/>
        </w:rPr>
        <w:t>4.5.13</w:t>
      </w:r>
      <w:r w:rsidR="00490E25" w:rsidRPr="00F278F9">
        <w:rPr>
          <w:rFonts w:asciiTheme="majorHAnsi" w:hAnsiTheme="majorHAnsi" w:cstheme="majorHAnsi"/>
          <w:b/>
        </w:rPr>
        <w:t>)</w:t>
      </w:r>
      <w:r w:rsidR="00825854" w:rsidRPr="00F278F9">
        <w:rPr>
          <w:rFonts w:asciiTheme="majorHAnsi" w:hAnsiTheme="majorHAnsi" w:cstheme="majorHAnsi"/>
          <w:b/>
        </w:rPr>
        <w:t>;</w:t>
      </w:r>
    </w:p>
    <w:p w:rsidR="0088086E" w:rsidRPr="00F278F9" w:rsidRDefault="00A20E42" w:rsidP="00F61756">
      <w:pPr>
        <w:pStyle w:val="4"/>
        <w:shd w:val="clear" w:color="auto" w:fill="FFFFFF"/>
        <w:tabs>
          <w:tab w:val="left" w:pos="993"/>
        </w:tabs>
        <w:spacing w:before="0" w:line="276" w:lineRule="auto"/>
        <w:ind w:firstLine="709"/>
        <w:jc w:val="both"/>
        <w:rPr>
          <w:rFonts w:cstheme="majorHAnsi"/>
          <w:i w:val="0"/>
          <w:iCs w:val="0"/>
          <w:color w:val="auto"/>
          <w:sz w:val="24"/>
          <w:szCs w:val="24"/>
        </w:rPr>
      </w:pPr>
      <w:r w:rsidRPr="008376FC">
        <w:rPr>
          <w:rFonts w:cstheme="majorHAnsi"/>
          <w:i w:val="0"/>
          <w:iCs w:val="0"/>
          <w:color w:val="auto"/>
          <w:sz w:val="24"/>
          <w:szCs w:val="24"/>
        </w:rPr>
        <w:t>1</w:t>
      </w:r>
      <w:r w:rsidR="00732FE4">
        <w:rPr>
          <w:rFonts w:cstheme="majorHAnsi"/>
          <w:i w:val="0"/>
          <w:iCs w:val="0"/>
          <w:color w:val="auto"/>
          <w:sz w:val="24"/>
          <w:szCs w:val="24"/>
        </w:rPr>
        <w:t>0</w:t>
      </w:r>
      <w:r w:rsidRPr="008376FC">
        <w:rPr>
          <w:rFonts w:cstheme="majorHAnsi"/>
          <w:i w:val="0"/>
          <w:iCs w:val="0"/>
          <w:color w:val="auto"/>
          <w:sz w:val="24"/>
          <w:szCs w:val="24"/>
        </w:rPr>
        <w:t>.3</w:t>
      </w:r>
      <w:r w:rsidRPr="00F278F9">
        <w:rPr>
          <w:rFonts w:cstheme="majorHAnsi"/>
          <w:i w:val="0"/>
          <w:iCs w:val="0"/>
          <w:color w:val="auto"/>
          <w:sz w:val="24"/>
          <w:szCs w:val="24"/>
        </w:rPr>
        <w:t xml:space="preserve">. </w:t>
      </w:r>
      <w:r w:rsidR="00BC28D6" w:rsidRPr="00F278F9">
        <w:rPr>
          <w:rFonts w:cstheme="majorHAnsi"/>
          <w:b w:val="0"/>
          <w:i w:val="0"/>
          <w:iCs w:val="0"/>
          <w:color w:val="auto"/>
          <w:sz w:val="24"/>
          <w:szCs w:val="24"/>
        </w:rPr>
        <w:t>să revizuiască și să ajusteze, în comun cu operatorii serviciilor de alimentare cu apă și sanitație, evidențele sale contabile privitor la OITE aferente alimentării cu apă și sanitație care fac parte componentă a contractelor de gestiune delegată (concesiune), cu conformarea obligatorie a evidențelor contabile la prevederile art. 13</w:t>
      </w:r>
      <w:r w:rsidR="00BC28D6" w:rsidRPr="00F278F9">
        <w:rPr>
          <w:rFonts w:cstheme="majorHAnsi"/>
          <w:b w:val="0"/>
          <w:i w:val="0"/>
          <w:iCs w:val="0"/>
          <w:color w:val="auto"/>
          <w:sz w:val="24"/>
          <w:szCs w:val="24"/>
          <w:vertAlign w:val="superscript"/>
        </w:rPr>
        <w:t>1</w:t>
      </w:r>
      <w:r w:rsidR="00BC28D6" w:rsidRPr="00F278F9">
        <w:rPr>
          <w:rFonts w:cstheme="majorHAnsi"/>
          <w:b w:val="0"/>
          <w:i w:val="0"/>
          <w:iCs w:val="0"/>
          <w:color w:val="auto"/>
          <w:sz w:val="24"/>
          <w:szCs w:val="24"/>
        </w:rPr>
        <w:t xml:space="preserve"> alin. (3) lit.b) din Legea nr.303/2013 și la punctele </w:t>
      </w:r>
      <w:r w:rsidR="00BC28D6" w:rsidRPr="00F278F9">
        <w:rPr>
          <w:rFonts w:cstheme="majorHAnsi"/>
          <w:b w:val="0"/>
          <w:bCs w:val="0"/>
          <w:i w:val="0"/>
          <w:iCs w:val="0"/>
          <w:color w:val="auto"/>
          <w:sz w:val="24"/>
          <w:szCs w:val="24"/>
        </w:rPr>
        <w:t>58-71 din Indicațiile metodice privind particularitățile contabilității în procesul realizării parteneriatului public-privat, aprobate prin Ordinul ministrului Finanțelor nr.192/2018</w:t>
      </w:r>
      <w:r w:rsidR="00490E25" w:rsidRPr="00F278F9">
        <w:rPr>
          <w:rFonts w:cstheme="majorHAnsi"/>
          <w:b w:val="0"/>
          <w:bCs w:val="0"/>
          <w:i w:val="0"/>
          <w:iCs w:val="0"/>
          <w:color w:val="auto"/>
          <w:sz w:val="24"/>
          <w:szCs w:val="24"/>
        </w:rPr>
        <w:t xml:space="preserve"> </w:t>
      </w:r>
      <w:r w:rsidR="00490E25" w:rsidRPr="00F278F9">
        <w:rPr>
          <w:rFonts w:cstheme="majorHAnsi"/>
          <w:bCs w:val="0"/>
          <w:i w:val="0"/>
          <w:iCs w:val="0"/>
          <w:color w:val="auto"/>
          <w:sz w:val="24"/>
          <w:szCs w:val="24"/>
        </w:rPr>
        <w:t>(pct.</w:t>
      </w:r>
      <w:r w:rsidR="005E4656" w:rsidRPr="00F278F9">
        <w:rPr>
          <w:rFonts w:cstheme="majorHAnsi"/>
          <w:bCs w:val="0"/>
          <w:i w:val="0"/>
          <w:iCs w:val="0"/>
          <w:color w:val="auto"/>
          <w:sz w:val="24"/>
          <w:szCs w:val="24"/>
        </w:rPr>
        <w:t>4.5.13</w:t>
      </w:r>
      <w:r w:rsidR="00490E25" w:rsidRPr="00F278F9">
        <w:rPr>
          <w:rFonts w:cstheme="majorHAnsi"/>
          <w:bCs w:val="0"/>
          <w:i w:val="0"/>
          <w:iCs w:val="0"/>
          <w:color w:val="auto"/>
          <w:sz w:val="24"/>
          <w:szCs w:val="24"/>
        </w:rPr>
        <w:t>)</w:t>
      </w:r>
      <w:r w:rsidR="00825854" w:rsidRPr="00F278F9">
        <w:rPr>
          <w:rStyle w:val="afa"/>
          <w:rFonts w:cstheme="majorHAnsi"/>
          <w:i w:val="0"/>
          <w:iCs w:val="0"/>
          <w:color w:val="auto"/>
          <w:sz w:val="24"/>
          <w:szCs w:val="24"/>
          <w:shd w:val="clear" w:color="auto" w:fill="FFFFFF"/>
        </w:rPr>
        <w:t>;</w:t>
      </w:r>
    </w:p>
    <w:p w:rsidR="0088086E" w:rsidRPr="00F278F9" w:rsidRDefault="00A20E42" w:rsidP="00F61756">
      <w:pPr>
        <w:pStyle w:val="af1"/>
        <w:tabs>
          <w:tab w:val="left" w:pos="993"/>
        </w:tabs>
        <w:spacing w:line="276" w:lineRule="auto"/>
        <w:ind w:firstLine="709"/>
        <w:rPr>
          <w:rFonts w:asciiTheme="majorHAnsi" w:hAnsiTheme="majorHAnsi" w:cstheme="majorHAnsi"/>
        </w:rPr>
      </w:pPr>
      <w:r w:rsidRPr="00F278F9">
        <w:rPr>
          <w:rFonts w:asciiTheme="majorHAnsi" w:hAnsiTheme="majorHAnsi" w:cstheme="majorHAnsi"/>
          <w:b/>
          <w:bCs/>
        </w:rPr>
        <w:t>1</w:t>
      </w:r>
      <w:r w:rsidR="00732FE4" w:rsidRPr="00F278F9">
        <w:rPr>
          <w:rFonts w:asciiTheme="majorHAnsi" w:hAnsiTheme="majorHAnsi" w:cstheme="majorHAnsi"/>
          <w:b/>
          <w:bCs/>
        </w:rPr>
        <w:t>0</w:t>
      </w:r>
      <w:r w:rsidRPr="00F278F9">
        <w:rPr>
          <w:rFonts w:asciiTheme="majorHAnsi" w:hAnsiTheme="majorHAnsi" w:cstheme="majorHAnsi"/>
          <w:b/>
          <w:bCs/>
        </w:rPr>
        <w:t>.4.</w:t>
      </w:r>
      <w:r w:rsidRPr="00F278F9">
        <w:rPr>
          <w:rFonts w:asciiTheme="majorHAnsi" w:hAnsiTheme="majorHAnsi" w:cstheme="majorHAnsi"/>
        </w:rPr>
        <w:t xml:space="preserve"> să aprobe setul de indicatori de performanță ai serviciului furnizat/prestat consumatorilor</w:t>
      </w:r>
      <w:r w:rsidR="00087F76" w:rsidRPr="00F278F9">
        <w:rPr>
          <w:rFonts w:asciiTheme="majorHAnsi" w:hAnsiTheme="majorHAnsi" w:cstheme="majorHAnsi"/>
        </w:rPr>
        <w:t>,</w:t>
      </w:r>
      <w:r w:rsidRPr="00F278F9">
        <w:rPr>
          <w:rFonts w:asciiTheme="majorHAnsi" w:hAnsiTheme="majorHAnsi" w:cstheme="majorHAnsi"/>
        </w:rPr>
        <w:t xml:space="preserve"> în funcție</w:t>
      </w:r>
      <w:r w:rsidR="00087F76" w:rsidRPr="00F278F9">
        <w:rPr>
          <w:rFonts w:asciiTheme="majorHAnsi" w:hAnsiTheme="majorHAnsi" w:cstheme="majorHAnsi"/>
        </w:rPr>
        <w:t xml:space="preserve"> de</w:t>
      </w:r>
      <w:r w:rsidRPr="00F278F9">
        <w:rPr>
          <w:rFonts w:asciiTheme="majorHAnsi" w:hAnsiTheme="majorHAnsi" w:cstheme="majorHAnsi"/>
        </w:rPr>
        <w:t>: (i) necesitățile consumatorilor, (ii) starea tehnică a sistemelor de alimentare cu apă și de canalizare și (iii) eficiența acestora, cu respectarea indicatorilor de performanță minimi prevăzuți în Regulamentul-cadru privind indicatorii de performanță ai serviciului public de alimentare cu apă şi de canalizare, respectiv</w:t>
      </w:r>
      <w:r w:rsidR="00087F76" w:rsidRPr="00F278F9">
        <w:rPr>
          <w:rFonts w:asciiTheme="majorHAnsi" w:hAnsiTheme="majorHAnsi" w:cstheme="majorHAnsi"/>
        </w:rPr>
        <w:t>,</w:t>
      </w:r>
      <w:r w:rsidRPr="00F278F9">
        <w:rPr>
          <w:rFonts w:asciiTheme="majorHAnsi" w:hAnsiTheme="majorHAnsi" w:cstheme="majorHAnsi"/>
        </w:rPr>
        <w:t xml:space="preserve"> în Caietul de sarcini-cadru al serviciului de alimentare cu apă și de canalizare</w:t>
      </w:r>
      <w:r w:rsidR="00490E25" w:rsidRPr="00F278F9">
        <w:rPr>
          <w:rFonts w:asciiTheme="majorHAnsi" w:hAnsiTheme="majorHAnsi" w:cstheme="majorHAnsi"/>
        </w:rPr>
        <w:t xml:space="preserve"> (pct.</w:t>
      </w:r>
      <w:r w:rsidR="00B166B0" w:rsidRPr="00F278F9">
        <w:rPr>
          <w:rFonts w:asciiTheme="majorHAnsi" w:hAnsiTheme="majorHAnsi" w:cstheme="majorHAnsi"/>
        </w:rPr>
        <w:t>4.5.13</w:t>
      </w:r>
      <w:r w:rsidR="00490E25" w:rsidRPr="00F278F9">
        <w:rPr>
          <w:rFonts w:asciiTheme="majorHAnsi" w:hAnsiTheme="majorHAnsi" w:cstheme="majorHAnsi"/>
        </w:rPr>
        <w:t>)</w:t>
      </w:r>
      <w:r w:rsidR="00825854" w:rsidRPr="00F278F9">
        <w:rPr>
          <w:rFonts w:asciiTheme="majorHAnsi" w:hAnsiTheme="majorHAnsi" w:cstheme="majorHAnsi"/>
        </w:rPr>
        <w:t>;</w:t>
      </w:r>
    </w:p>
    <w:p w:rsidR="0088086E" w:rsidRDefault="00BC28D6" w:rsidP="00F61756">
      <w:pPr>
        <w:pStyle w:val="af1"/>
        <w:tabs>
          <w:tab w:val="left" w:pos="993"/>
        </w:tabs>
        <w:spacing w:line="276" w:lineRule="auto"/>
        <w:ind w:firstLine="709"/>
        <w:rPr>
          <w:rFonts w:asciiTheme="majorHAnsi" w:hAnsiTheme="majorHAnsi" w:cstheme="majorHAnsi"/>
        </w:rPr>
      </w:pPr>
      <w:r w:rsidRPr="00F278F9">
        <w:rPr>
          <w:rFonts w:asciiTheme="majorHAnsi" w:hAnsiTheme="majorHAnsi" w:cstheme="majorHAnsi"/>
          <w:b/>
        </w:rPr>
        <w:t>10.5.</w:t>
      </w:r>
      <w:r w:rsidRPr="00F278F9">
        <w:rPr>
          <w:rFonts w:asciiTheme="majorHAnsi" w:hAnsiTheme="majorHAnsi" w:cstheme="majorHAnsi"/>
          <w:bCs/>
        </w:rPr>
        <w:t xml:space="preserve"> să</w:t>
      </w:r>
      <w:r w:rsidRPr="00F278F9">
        <w:rPr>
          <w:rFonts w:asciiTheme="majorHAnsi" w:hAnsiTheme="majorHAnsi" w:cstheme="majorHAnsi"/>
          <w:b/>
          <w:bCs/>
        </w:rPr>
        <w:t xml:space="preserve"> </w:t>
      </w:r>
      <w:r w:rsidRPr="00F278F9">
        <w:rPr>
          <w:rFonts w:asciiTheme="majorHAnsi" w:hAnsiTheme="majorHAnsi" w:cstheme="majorHAnsi"/>
        </w:rPr>
        <w:t>aprobe anual, în bugetele sale proprii, veniturile obținute din redevență, cu</w:t>
      </w:r>
      <w:r w:rsidRPr="00BC28D6">
        <w:rPr>
          <w:rFonts w:asciiTheme="majorHAnsi" w:hAnsiTheme="majorHAnsi" w:cstheme="majorHAnsi"/>
        </w:rPr>
        <w:t xml:space="preserve"> utilizarea acesteia conform art.13</w:t>
      </w:r>
      <w:r w:rsidRPr="00BC28D6">
        <w:rPr>
          <w:rFonts w:asciiTheme="majorHAnsi" w:hAnsiTheme="majorHAnsi" w:cstheme="majorHAnsi"/>
          <w:vertAlign w:val="superscript"/>
        </w:rPr>
        <w:t>1</w:t>
      </w:r>
      <w:r w:rsidRPr="00BC28D6">
        <w:rPr>
          <w:rFonts w:asciiTheme="majorHAnsi" w:hAnsiTheme="majorHAnsi" w:cstheme="majorHAnsi"/>
        </w:rPr>
        <w:t xml:space="preserve"> alin.(12) din Legea nr.303 din 13.12.2013 privind serviciul public de alimentare cu apă şi de canalizare, doar pentru finanțarea reparațiilor, cu capitalizarea cheltuielilor, inclusiv reabilitarea, modernizarea și/sau dezvoltarea bunurilor domeniului public care au făcut obiectul concesionării și/sau al dezvoltării noilor imobilizări corporale </w:t>
      </w:r>
      <w:r w:rsidRPr="00F278F9">
        <w:rPr>
          <w:rFonts w:asciiTheme="majorHAnsi" w:hAnsiTheme="majorHAnsi" w:cstheme="majorHAnsi"/>
          <w:b/>
        </w:rPr>
        <w:t>(pct.4.5.3 şi pct.4.5.8);</w:t>
      </w:r>
    </w:p>
    <w:p w:rsidR="0088086E" w:rsidRDefault="00BC28D6" w:rsidP="00F61756">
      <w:pPr>
        <w:tabs>
          <w:tab w:val="left" w:pos="993"/>
        </w:tabs>
        <w:spacing w:after="0" w:line="276" w:lineRule="auto"/>
        <w:ind w:firstLine="709"/>
        <w:jc w:val="both"/>
        <w:rPr>
          <w:rFonts w:asciiTheme="majorHAnsi" w:hAnsiTheme="majorHAnsi" w:cstheme="majorHAnsi"/>
          <w:bCs w:val="0"/>
        </w:rPr>
      </w:pPr>
      <w:r w:rsidRPr="00BC28D6">
        <w:rPr>
          <w:rFonts w:asciiTheme="majorHAnsi" w:hAnsiTheme="majorHAnsi" w:cstheme="majorHAnsi"/>
          <w:sz w:val="24"/>
          <w:szCs w:val="24"/>
        </w:rPr>
        <w:t>1</w:t>
      </w:r>
      <w:r w:rsidRPr="00BC28D6">
        <w:rPr>
          <w:rFonts w:asciiTheme="majorHAnsi" w:hAnsiTheme="majorHAnsi" w:cstheme="majorHAnsi"/>
          <w:bCs w:val="0"/>
          <w:sz w:val="24"/>
          <w:szCs w:val="24"/>
        </w:rPr>
        <w:t>0</w:t>
      </w:r>
      <w:r w:rsidRPr="00BC28D6">
        <w:rPr>
          <w:rFonts w:asciiTheme="majorHAnsi" w:hAnsiTheme="majorHAnsi" w:cstheme="majorHAnsi"/>
          <w:sz w:val="24"/>
          <w:szCs w:val="24"/>
        </w:rPr>
        <w:t xml:space="preserve">.6. </w:t>
      </w:r>
      <w:r w:rsidRPr="00BC28D6">
        <w:rPr>
          <w:rFonts w:asciiTheme="majorHAnsi" w:eastAsiaTheme="minorEastAsia" w:hAnsiTheme="majorHAnsi" w:cstheme="majorHAnsi"/>
          <w:b w:val="0"/>
          <w:bCs w:val="0"/>
          <w:sz w:val="24"/>
          <w:szCs w:val="24"/>
        </w:rPr>
        <w:t>să revizuiască oportunitatea evaluării necesarului de resurse financiare pentru punerea în funcțiune a obiectelor de infrastructură tehnico-edilitară nefuncționale, iar în cazul ineficienței efectuării investițiilor pentru repunerea lor în funcțiune, să fie luate deciziile de rigoare  privind excluderea lor din evidența contabilă (casare, comercializare, demontare, demolare etc.),</w:t>
      </w:r>
      <w:r w:rsidRPr="00F278F9">
        <w:rPr>
          <w:rFonts w:asciiTheme="majorHAnsi" w:eastAsiaTheme="minorEastAsia" w:hAnsiTheme="majorHAnsi" w:cstheme="majorHAnsi"/>
          <w:bCs w:val="0"/>
          <w:sz w:val="24"/>
          <w:szCs w:val="24"/>
        </w:rPr>
        <w:t xml:space="preserve"> (pct. 4.5.3 şi pct.4.5.8);</w:t>
      </w:r>
    </w:p>
    <w:p w:rsidR="0088086E" w:rsidRDefault="00732FE4" w:rsidP="00F61756">
      <w:pPr>
        <w:tabs>
          <w:tab w:val="left" w:pos="993"/>
        </w:tabs>
        <w:spacing w:after="0" w:line="276" w:lineRule="auto"/>
        <w:ind w:firstLine="709"/>
        <w:jc w:val="both"/>
        <w:rPr>
          <w:rFonts w:asciiTheme="majorHAnsi" w:eastAsiaTheme="minorEastAsia" w:hAnsiTheme="majorHAnsi" w:cstheme="majorHAnsi"/>
          <w:bCs w:val="0"/>
        </w:rPr>
      </w:pPr>
      <w:r w:rsidRPr="000C3E95">
        <w:rPr>
          <w:rFonts w:asciiTheme="majorHAnsi" w:hAnsiTheme="majorHAnsi" w:cstheme="majorHAnsi"/>
          <w:sz w:val="24"/>
          <w:szCs w:val="24"/>
        </w:rPr>
        <w:t>1</w:t>
      </w:r>
      <w:r w:rsidRPr="000C3E95">
        <w:rPr>
          <w:rFonts w:asciiTheme="majorHAnsi" w:hAnsiTheme="majorHAnsi" w:cstheme="majorHAnsi"/>
          <w:bCs w:val="0"/>
          <w:sz w:val="24"/>
          <w:szCs w:val="24"/>
        </w:rPr>
        <w:t>0</w:t>
      </w:r>
      <w:r w:rsidRPr="000C3E95">
        <w:rPr>
          <w:rFonts w:asciiTheme="majorHAnsi" w:hAnsiTheme="majorHAnsi" w:cstheme="majorHAnsi"/>
          <w:sz w:val="24"/>
          <w:szCs w:val="24"/>
        </w:rPr>
        <w:t>.</w:t>
      </w:r>
      <w:r>
        <w:rPr>
          <w:rFonts w:asciiTheme="majorHAnsi" w:hAnsiTheme="majorHAnsi" w:cstheme="majorHAnsi"/>
          <w:sz w:val="24"/>
          <w:szCs w:val="24"/>
        </w:rPr>
        <w:t>7</w:t>
      </w:r>
      <w:r w:rsidRPr="000C3E95">
        <w:rPr>
          <w:rFonts w:asciiTheme="majorHAnsi" w:hAnsiTheme="majorHAnsi" w:cstheme="majorHAnsi"/>
          <w:sz w:val="24"/>
          <w:szCs w:val="24"/>
        </w:rPr>
        <w:t xml:space="preserve">. </w:t>
      </w:r>
      <w:r w:rsidR="00BC28D6" w:rsidRPr="00BC28D6">
        <w:rPr>
          <w:rFonts w:asciiTheme="majorHAnsi" w:eastAsiaTheme="minorEastAsia" w:hAnsiTheme="majorHAnsi" w:cstheme="majorHAnsi"/>
          <w:b w:val="0"/>
          <w:bCs w:val="0"/>
          <w:sz w:val="24"/>
          <w:szCs w:val="24"/>
        </w:rPr>
        <w:t xml:space="preserve">să revizuiască Listele obiectelor de infrastructură tehnico-edilitară, transmise în gestiune delegată operatorilor de servicii publice de alimentare cu apă, cu actualizarea, după caz, a  acestora </w:t>
      </w:r>
      <w:r w:rsidR="00BC28D6" w:rsidRPr="00F278F9">
        <w:rPr>
          <w:rFonts w:asciiTheme="majorHAnsi" w:eastAsiaTheme="minorEastAsia" w:hAnsiTheme="majorHAnsi" w:cstheme="majorHAnsi"/>
          <w:bCs w:val="0"/>
          <w:sz w:val="24"/>
          <w:szCs w:val="24"/>
        </w:rPr>
        <w:t>(pct.4.5.3 şi pct.4.5.8);</w:t>
      </w:r>
    </w:p>
    <w:p w:rsidR="0088086E" w:rsidRDefault="00732FE4" w:rsidP="00F61756">
      <w:pPr>
        <w:tabs>
          <w:tab w:val="left" w:pos="993"/>
        </w:tabs>
        <w:spacing w:after="0" w:line="276" w:lineRule="auto"/>
        <w:ind w:firstLine="709"/>
        <w:jc w:val="both"/>
        <w:rPr>
          <w:rFonts w:asciiTheme="majorHAnsi" w:eastAsiaTheme="minorEastAsia" w:hAnsiTheme="majorHAnsi" w:cstheme="majorHAnsi"/>
          <w:bCs w:val="0"/>
          <w:sz w:val="24"/>
          <w:szCs w:val="24"/>
        </w:rPr>
      </w:pPr>
      <w:r w:rsidRPr="000C3E95">
        <w:rPr>
          <w:rFonts w:asciiTheme="majorHAnsi" w:hAnsiTheme="majorHAnsi" w:cstheme="majorHAnsi"/>
          <w:sz w:val="24"/>
          <w:szCs w:val="24"/>
        </w:rPr>
        <w:t>1</w:t>
      </w:r>
      <w:r w:rsidRPr="000C3E95">
        <w:rPr>
          <w:rFonts w:asciiTheme="majorHAnsi" w:hAnsiTheme="majorHAnsi" w:cstheme="majorHAnsi"/>
          <w:bCs w:val="0"/>
          <w:sz w:val="24"/>
          <w:szCs w:val="24"/>
        </w:rPr>
        <w:t>0</w:t>
      </w:r>
      <w:r w:rsidRPr="000C3E95">
        <w:rPr>
          <w:rFonts w:asciiTheme="majorHAnsi" w:hAnsiTheme="majorHAnsi" w:cstheme="majorHAnsi"/>
          <w:sz w:val="24"/>
          <w:szCs w:val="24"/>
        </w:rPr>
        <w:t>.</w:t>
      </w:r>
      <w:r>
        <w:rPr>
          <w:rFonts w:asciiTheme="majorHAnsi" w:hAnsiTheme="majorHAnsi" w:cstheme="majorHAnsi"/>
          <w:sz w:val="24"/>
          <w:szCs w:val="24"/>
        </w:rPr>
        <w:t>8</w:t>
      </w:r>
      <w:r w:rsidRPr="000C3E95">
        <w:rPr>
          <w:rFonts w:asciiTheme="majorHAnsi" w:hAnsiTheme="majorHAnsi" w:cstheme="majorHAnsi"/>
          <w:sz w:val="24"/>
          <w:szCs w:val="24"/>
        </w:rPr>
        <w:t xml:space="preserve">. </w:t>
      </w:r>
      <w:r w:rsidR="00BC28D6" w:rsidRPr="00BC28D6">
        <w:rPr>
          <w:rFonts w:asciiTheme="majorHAnsi" w:eastAsiaTheme="minorEastAsia" w:hAnsiTheme="majorHAnsi" w:cstheme="majorHAnsi"/>
          <w:b w:val="0"/>
          <w:bCs w:val="0"/>
          <w:sz w:val="24"/>
          <w:szCs w:val="24"/>
        </w:rPr>
        <w:t xml:space="preserve">să aprobe un Plan de măsuri, coordonat cu Agenția Națională pentru Reglementare în Energetică, pentru reducerea pierderilor în rețea şi în procesul tehnologic. </w:t>
      </w:r>
      <w:r w:rsidR="00BC28D6" w:rsidRPr="00F278F9">
        <w:rPr>
          <w:rFonts w:asciiTheme="majorHAnsi" w:eastAsiaTheme="minorEastAsia" w:hAnsiTheme="majorHAnsi" w:cstheme="majorHAnsi"/>
          <w:bCs w:val="0"/>
          <w:sz w:val="24"/>
          <w:szCs w:val="24"/>
        </w:rPr>
        <w:t>(pct. 4.3.7 şi pct.4.5.7)</w:t>
      </w:r>
      <w:r w:rsidRPr="00F278F9">
        <w:rPr>
          <w:rFonts w:asciiTheme="majorHAnsi" w:eastAsiaTheme="minorEastAsia" w:hAnsiTheme="majorHAnsi" w:cstheme="majorHAnsi"/>
          <w:bCs w:val="0"/>
          <w:sz w:val="24"/>
          <w:szCs w:val="24"/>
        </w:rPr>
        <w:t>.</w:t>
      </w:r>
    </w:p>
    <w:p w:rsidR="00BD559D" w:rsidRDefault="00BD559D">
      <w:pPr>
        <w:rPr>
          <w:rFonts w:asciiTheme="majorHAnsi" w:hAnsiTheme="majorHAnsi" w:cstheme="majorHAnsi"/>
          <w:lang w:val="en-US"/>
        </w:rPr>
      </w:pPr>
      <w:r>
        <w:rPr>
          <w:rFonts w:asciiTheme="majorHAnsi" w:hAnsiTheme="majorHAnsi" w:cstheme="majorHAnsi"/>
          <w:lang w:val="en-US"/>
        </w:rPr>
        <w:br w:type="page"/>
      </w:r>
    </w:p>
    <w:p w:rsidR="0096170B" w:rsidRPr="008376FC" w:rsidRDefault="0096170B" w:rsidP="00F61756">
      <w:pPr>
        <w:spacing w:after="0" w:line="276" w:lineRule="auto"/>
        <w:rPr>
          <w:rFonts w:asciiTheme="majorHAnsi" w:hAnsiTheme="majorHAnsi" w:cstheme="majorHAnsi"/>
          <w:lang w:val="en-US"/>
        </w:rPr>
      </w:pPr>
    </w:p>
    <w:p w:rsidR="00B152AE" w:rsidRPr="008376FC" w:rsidRDefault="0096170B" w:rsidP="00F61756">
      <w:pPr>
        <w:pStyle w:val="1"/>
        <w:numPr>
          <w:ilvl w:val="0"/>
          <w:numId w:val="77"/>
        </w:numPr>
        <w:spacing w:before="0" w:line="276" w:lineRule="auto"/>
        <w:ind w:left="0" w:firstLine="0"/>
        <w:rPr>
          <w:rFonts w:cstheme="majorHAnsi"/>
          <w:color w:val="0070C0"/>
          <w:sz w:val="24"/>
          <w:szCs w:val="24"/>
        </w:rPr>
      </w:pPr>
      <w:bookmarkStart w:id="49" w:name="_Toc59023533"/>
      <w:bookmarkStart w:id="50" w:name="_Toc79070891"/>
      <w:bookmarkStart w:id="51" w:name="_Toc132042794"/>
      <w:bookmarkStart w:id="52" w:name="_Toc132320216"/>
      <w:r w:rsidRPr="008376FC">
        <w:rPr>
          <w:rFonts w:cstheme="majorHAnsi"/>
          <w:color w:val="0070C0"/>
          <w:sz w:val="24"/>
          <w:szCs w:val="24"/>
        </w:rPr>
        <w:t>SEMNĂTURILE ECHIPEI DE AUDIT</w:t>
      </w:r>
      <w:bookmarkEnd w:id="49"/>
      <w:bookmarkEnd w:id="50"/>
      <w:bookmarkEnd w:id="51"/>
      <w:bookmarkEnd w:id="52"/>
      <w:r w:rsidR="00637A1C" w:rsidRPr="008376FC">
        <w:rPr>
          <w:rFonts w:cstheme="majorHAnsi"/>
          <w:color w:val="0070C0"/>
          <w:sz w:val="24"/>
          <w:szCs w:val="24"/>
        </w:rPr>
        <w:t xml:space="preserve"> </w:t>
      </w:r>
    </w:p>
    <w:p w:rsidR="0016218D" w:rsidRPr="008376FC" w:rsidRDefault="0016218D" w:rsidP="00F61756">
      <w:pPr>
        <w:spacing w:after="0" w:line="276" w:lineRule="auto"/>
      </w:pPr>
    </w:p>
    <w:p w:rsidR="00170815" w:rsidRPr="008376FC" w:rsidRDefault="00B152AE" w:rsidP="00F61756">
      <w:pPr>
        <w:spacing w:after="0" w:line="276" w:lineRule="auto"/>
        <w:jc w:val="both"/>
        <w:rPr>
          <w:rFonts w:asciiTheme="majorHAnsi" w:hAnsiTheme="majorHAnsi" w:cstheme="majorHAnsi"/>
          <w:b w:val="0"/>
          <w:sz w:val="24"/>
          <w:szCs w:val="24"/>
        </w:rPr>
      </w:pPr>
      <w:r w:rsidRPr="008376FC">
        <w:rPr>
          <w:rFonts w:asciiTheme="majorHAnsi" w:hAnsiTheme="majorHAnsi" w:cstheme="majorHAnsi"/>
          <w:iCs/>
          <w:sz w:val="24"/>
          <w:szCs w:val="24"/>
        </w:rPr>
        <w:t>Notă:</w:t>
      </w:r>
      <w:r w:rsidRPr="008376FC">
        <w:rPr>
          <w:rFonts w:asciiTheme="majorHAnsi" w:hAnsiTheme="majorHAnsi" w:cstheme="majorHAnsi"/>
          <w:b w:val="0"/>
          <w:iCs/>
          <w:sz w:val="24"/>
          <w:szCs w:val="24"/>
        </w:rPr>
        <w:t xml:space="preserve"> Prezentul Raport de audit a fost întocmit în baza probelor acumulate de către echipa de audit, în următoarea componență: </w:t>
      </w:r>
      <w:r w:rsidR="00170815" w:rsidRPr="008376FC">
        <w:rPr>
          <w:rFonts w:asciiTheme="majorHAnsi" w:hAnsiTheme="majorHAnsi" w:cstheme="majorHAnsi"/>
          <w:b w:val="0"/>
          <w:iCs/>
          <w:sz w:val="24"/>
          <w:szCs w:val="24"/>
        </w:rPr>
        <w:t xml:space="preserve">auditorii publici superiori - </w:t>
      </w:r>
      <w:r w:rsidR="00170815" w:rsidRPr="008376FC">
        <w:rPr>
          <w:rFonts w:asciiTheme="majorHAnsi" w:eastAsia="Times New Roman" w:hAnsiTheme="majorHAnsi" w:cstheme="majorHAnsi"/>
          <w:b w:val="0"/>
          <w:sz w:val="24"/>
          <w:szCs w:val="24"/>
        </w:rPr>
        <w:t>Sârbu Felicia, Popa Eugeniu, Verega Victor, Cazacioc Inga, auditoare</w:t>
      </w:r>
      <w:r w:rsidR="00EF62F4">
        <w:rPr>
          <w:rFonts w:asciiTheme="majorHAnsi" w:eastAsia="Times New Roman" w:hAnsiTheme="majorHAnsi" w:cstheme="majorHAnsi"/>
          <w:b w:val="0"/>
          <w:sz w:val="24"/>
          <w:szCs w:val="24"/>
        </w:rPr>
        <w:t>a</w:t>
      </w:r>
      <w:r w:rsidR="00170815" w:rsidRPr="008376FC">
        <w:rPr>
          <w:rFonts w:asciiTheme="majorHAnsi" w:eastAsia="Times New Roman" w:hAnsiTheme="majorHAnsi" w:cstheme="majorHAnsi"/>
          <w:b w:val="0"/>
          <w:sz w:val="24"/>
          <w:szCs w:val="24"/>
        </w:rPr>
        <w:t xml:space="preserve"> publică - </w:t>
      </w:r>
      <w:r w:rsidR="00170815" w:rsidRPr="008376FC">
        <w:rPr>
          <w:rFonts w:asciiTheme="majorHAnsi" w:hAnsiTheme="majorHAnsi" w:cstheme="majorHAnsi"/>
          <w:b w:val="0"/>
          <w:sz w:val="24"/>
          <w:szCs w:val="24"/>
        </w:rPr>
        <w:t>Ursu Mariana.</w:t>
      </w:r>
    </w:p>
    <w:p w:rsidR="008844D6" w:rsidRPr="008376FC" w:rsidRDefault="008844D6" w:rsidP="00F61756">
      <w:pPr>
        <w:spacing w:after="0" w:line="276" w:lineRule="auto"/>
        <w:jc w:val="both"/>
        <w:rPr>
          <w:rFonts w:asciiTheme="majorHAnsi" w:eastAsia="Times New Roman" w:hAnsiTheme="majorHAnsi" w:cstheme="majorHAnsi"/>
          <w:i/>
          <w:iCs/>
          <w:sz w:val="24"/>
          <w:szCs w:val="24"/>
        </w:rPr>
      </w:pPr>
      <w:r w:rsidRPr="008376FC">
        <w:rPr>
          <w:rFonts w:asciiTheme="majorHAnsi" w:eastAsia="Times New Roman" w:hAnsiTheme="majorHAnsi" w:cstheme="majorHAnsi"/>
          <w:i/>
          <w:iCs/>
          <w:sz w:val="24"/>
          <w:szCs w:val="24"/>
        </w:rPr>
        <w:t>Responsabili de întocmirea Raportului de audit:</w:t>
      </w:r>
    </w:p>
    <w:p w:rsidR="0016218D" w:rsidRPr="008376FC" w:rsidRDefault="0016218D" w:rsidP="00F61756">
      <w:pPr>
        <w:spacing w:after="0" w:line="276" w:lineRule="auto"/>
        <w:jc w:val="both"/>
        <w:rPr>
          <w:rFonts w:asciiTheme="majorHAnsi" w:eastAsia="Times New Roman" w:hAnsiTheme="majorHAnsi" w:cstheme="majorHAnsi"/>
          <w:b w:val="0"/>
          <w:bCs w:val="0"/>
          <w:i/>
          <w:iCs/>
          <w:sz w:val="24"/>
          <w:szCs w:val="24"/>
        </w:rPr>
      </w:pPr>
    </w:p>
    <w:p w:rsidR="00170815" w:rsidRPr="008376FC" w:rsidRDefault="00170815" w:rsidP="00F61756">
      <w:pPr>
        <w:spacing w:after="0" w:line="276" w:lineRule="auto"/>
        <w:ind w:left="34"/>
        <w:contextualSpacing/>
        <w:jc w:val="both"/>
        <w:rPr>
          <w:rFonts w:asciiTheme="majorHAnsi" w:eastAsia="Times New Roman" w:hAnsiTheme="majorHAnsi" w:cstheme="majorHAnsi"/>
          <w:b w:val="0"/>
          <w:sz w:val="24"/>
          <w:szCs w:val="24"/>
        </w:rPr>
      </w:pPr>
    </w:p>
    <w:tbl>
      <w:tblPr>
        <w:tblW w:w="9072" w:type="dxa"/>
        <w:tblLook w:val="04A0" w:firstRow="1" w:lastRow="0" w:firstColumn="1" w:lastColumn="0" w:noHBand="0" w:noVBand="1"/>
      </w:tblPr>
      <w:tblGrid>
        <w:gridCol w:w="3369"/>
        <w:gridCol w:w="3719"/>
        <w:gridCol w:w="1984"/>
      </w:tblGrid>
      <w:tr w:rsidR="0096170B" w:rsidRPr="008376FC" w:rsidTr="008844D6">
        <w:trPr>
          <w:trHeight w:val="393"/>
        </w:trPr>
        <w:tc>
          <w:tcPr>
            <w:tcW w:w="3369" w:type="dxa"/>
            <w:shd w:val="clear" w:color="auto" w:fill="auto"/>
          </w:tcPr>
          <w:p w:rsidR="00D36E8A" w:rsidRPr="008376FC" w:rsidRDefault="0096170B" w:rsidP="00F61756">
            <w:pPr>
              <w:spacing w:after="0" w:line="276" w:lineRule="auto"/>
              <w:jc w:val="both"/>
              <w:rPr>
                <w:rFonts w:asciiTheme="majorHAnsi" w:hAnsiTheme="majorHAnsi" w:cstheme="majorHAnsi"/>
                <w:sz w:val="24"/>
                <w:szCs w:val="24"/>
              </w:rPr>
            </w:pPr>
            <w:bookmarkStart w:id="53" w:name="_Toc59023536"/>
            <w:r w:rsidRPr="008376FC">
              <w:rPr>
                <w:rFonts w:asciiTheme="majorHAnsi" w:eastAsia="Times New Roman" w:hAnsiTheme="majorHAnsi" w:cstheme="majorHAnsi"/>
                <w:sz w:val="24"/>
                <w:szCs w:val="24"/>
              </w:rPr>
              <w:t>Ș</w:t>
            </w:r>
            <w:r w:rsidRPr="008376FC">
              <w:rPr>
                <w:rFonts w:asciiTheme="majorHAnsi" w:hAnsiTheme="majorHAnsi" w:cstheme="majorHAnsi"/>
                <w:sz w:val="24"/>
                <w:szCs w:val="24"/>
              </w:rPr>
              <w:t>ef</w:t>
            </w:r>
            <w:r w:rsidR="00D36E8A" w:rsidRPr="008376FC">
              <w:rPr>
                <w:rFonts w:asciiTheme="majorHAnsi" w:hAnsiTheme="majorHAnsi" w:cstheme="majorHAnsi"/>
                <w:sz w:val="24"/>
                <w:szCs w:val="24"/>
              </w:rPr>
              <w:t>a</w:t>
            </w:r>
            <w:r w:rsidRPr="008376FC">
              <w:rPr>
                <w:rFonts w:asciiTheme="majorHAnsi" w:hAnsiTheme="majorHAnsi" w:cstheme="majorHAnsi"/>
                <w:sz w:val="24"/>
                <w:szCs w:val="24"/>
              </w:rPr>
              <w:t xml:space="preserve"> echipei de audit, </w:t>
            </w:r>
          </w:p>
          <w:p w:rsidR="0096170B" w:rsidRPr="008376FC" w:rsidRDefault="00D36E8A" w:rsidP="00F61756">
            <w:pPr>
              <w:spacing w:after="0"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sz w:val="24"/>
                <w:szCs w:val="24"/>
              </w:rPr>
              <w:t xml:space="preserve">Şefă interimară </w:t>
            </w:r>
            <w:r w:rsidR="00A66B92" w:rsidRPr="008376FC">
              <w:rPr>
                <w:rFonts w:asciiTheme="majorHAnsi" w:eastAsia="Times New Roman" w:hAnsiTheme="majorHAnsi" w:cstheme="majorHAnsi"/>
                <w:sz w:val="24"/>
                <w:szCs w:val="24"/>
              </w:rPr>
              <w:t xml:space="preserve">a </w:t>
            </w:r>
            <w:r w:rsidRPr="008376FC">
              <w:rPr>
                <w:rFonts w:asciiTheme="majorHAnsi" w:eastAsia="Times New Roman" w:hAnsiTheme="majorHAnsi" w:cstheme="majorHAnsi"/>
                <w:sz w:val="24"/>
                <w:szCs w:val="24"/>
              </w:rPr>
              <w:t>Direcţi</w:t>
            </w:r>
            <w:r w:rsidR="00A66B92" w:rsidRPr="008376FC">
              <w:rPr>
                <w:rFonts w:asciiTheme="majorHAnsi" w:eastAsia="Times New Roman" w:hAnsiTheme="majorHAnsi" w:cstheme="majorHAnsi"/>
                <w:sz w:val="24"/>
                <w:szCs w:val="24"/>
              </w:rPr>
              <w:t>ei</w:t>
            </w:r>
            <w:r w:rsidRPr="008376FC">
              <w:rPr>
                <w:rFonts w:asciiTheme="majorHAnsi" w:eastAsia="Times New Roman" w:hAnsiTheme="majorHAnsi" w:cstheme="majorHAnsi"/>
                <w:sz w:val="24"/>
                <w:szCs w:val="24"/>
              </w:rPr>
              <w:t xml:space="preserve"> II din cadrul Direcţiei generale de audit III</w:t>
            </w:r>
          </w:p>
          <w:p w:rsidR="0096170B" w:rsidRPr="008376FC" w:rsidRDefault="0096170B" w:rsidP="00F61756">
            <w:pPr>
              <w:spacing w:after="0" w:line="276" w:lineRule="auto"/>
              <w:jc w:val="both"/>
              <w:rPr>
                <w:rFonts w:asciiTheme="majorHAnsi" w:hAnsiTheme="majorHAnsi" w:cstheme="majorHAnsi"/>
                <w:b w:val="0"/>
                <w:sz w:val="24"/>
                <w:szCs w:val="24"/>
              </w:rPr>
            </w:pPr>
          </w:p>
        </w:tc>
        <w:tc>
          <w:tcPr>
            <w:tcW w:w="3719" w:type="dxa"/>
          </w:tcPr>
          <w:p w:rsidR="0096170B" w:rsidRPr="008376FC" w:rsidRDefault="0096170B" w:rsidP="00F61756">
            <w:pPr>
              <w:spacing w:after="0" w:line="276" w:lineRule="auto"/>
              <w:jc w:val="both"/>
              <w:rPr>
                <w:rFonts w:asciiTheme="majorHAnsi" w:hAnsiTheme="majorHAnsi" w:cstheme="majorHAnsi"/>
                <w:b w:val="0"/>
                <w:sz w:val="24"/>
                <w:szCs w:val="24"/>
              </w:rPr>
            </w:pPr>
          </w:p>
        </w:tc>
        <w:tc>
          <w:tcPr>
            <w:tcW w:w="1984" w:type="dxa"/>
            <w:shd w:val="clear" w:color="auto" w:fill="auto"/>
          </w:tcPr>
          <w:p w:rsidR="0096170B" w:rsidRPr="008376FC" w:rsidRDefault="0096170B" w:rsidP="00F61756">
            <w:pPr>
              <w:tabs>
                <w:tab w:val="left" w:pos="426"/>
              </w:tabs>
              <w:spacing w:after="0" w:line="276" w:lineRule="auto"/>
              <w:jc w:val="both"/>
              <w:rPr>
                <w:rFonts w:asciiTheme="majorHAnsi" w:eastAsia="Times New Roman" w:hAnsiTheme="majorHAnsi" w:cstheme="majorHAnsi"/>
                <w:sz w:val="24"/>
                <w:szCs w:val="24"/>
              </w:rPr>
            </w:pPr>
            <w:r w:rsidRPr="008376FC">
              <w:rPr>
                <w:rFonts w:asciiTheme="majorHAnsi" w:eastAsia="Times New Roman" w:hAnsiTheme="majorHAnsi" w:cstheme="majorHAnsi"/>
                <w:sz w:val="24"/>
                <w:szCs w:val="24"/>
              </w:rPr>
              <w:t>Popa Tatiana</w:t>
            </w:r>
          </w:p>
          <w:p w:rsidR="0096170B" w:rsidRPr="008376FC" w:rsidRDefault="0096170B" w:rsidP="00F61756">
            <w:pPr>
              <w:spacing w:after="0" w:line="276" w:lineRule="auto"/>
              <w:jc w:val="both"/>
              <w:rPr>
                <w:rFonts w:asciiTheme="majorHAnsi" w:hAnsiTheme="majorHAnsi" w:cstheme="majorHAnsi"/>
                <w:i/>
                <w:sz w:val="24"/>
                <w:szCs w:val="24"/>
              </w:rPr>
            </w:pPr>
          </w:p>
        </w:tc>
      </w:tr>
      <w:tr w:rsidR="00D36E8A" w:rsidRPr="008376FC" w:rsidTr="008844D6">
        <w:trPr>
          <w:trHeight w:val="355"/>
        </w:trPr>
        <w:tc>
          <w:tcPr>
            <w:tcW w:w="3369" w:type="dxa"/>
            <w:shd w:val="clear" w:color="auto" w:fill="auto"/>
          </w:tcPr>
          <w:p w:rsidR="00D36E8A" w:rsidRPr="008376FC" w:rsidRDefault="00D36E8A" w:rsidP="00F61756">
            <w:pPr>
              <w:spacing w:after="0" w:line="276" w:lineRule="auto"/>
              <w:jc w:val="both"/>
              <w:rPr>
                <w:rFonts w:asciiTheme="majorHAnsi" w:eastAsia="Times New Roman" w:hAnsiTheme="majorHAnsi" w:cstheme="majorHAnsi"/>
                <w:b w:val="0"/>
                <w:sz w:val="24"/>
                <w:szCs w:val="24"/>
              </w:rPr>
            </w:pPr>
            <w:r w:rsidRPr="008376FC">
              <w:rPr>
                <w:rFonts w:asciiTheme="majorHAnsi" w:eastAsia="Times New Roman" w:hAnsiTheme="majorHAnsi" w:cstheme="majorHAnsi"/>
                <w:sz w:val="24"/>
                <w:szCs w:val="24"/>
              </w:rPr>
              <w:t>Şefa</w:t>
            </w:r>
            <w:r w:rsidR="00A66B92" w:rsidRPr="008376FC">
              <w:rPr>
                <w:rFonts w:asciiTheme="majorHAnsi" w:eastAsia="Times New Roman" w:hAnsiTheme="majorHAnsi" w:cstheme="majorHAnsi"/>
                <w:sz w:val="24"/>
                <w:szCs w:val="24"/>
              </w:rPr>
              <w:t xml:space="preserve"> </w:t>
            </w:r>
            <w:r w:rsidRPr="008376FC">
              <w:rPr>
                <w:rFonts w:asciiTheme="majorHAnsi" w:eastAsia="Times New Roman" w:hAnsiTheme="majorHAnsi" w:cstheme="majorHAnsi"/>
                <w:sz w:val="24"/>
                <w:szCs w:val="24"/>
              </w:rPr>
              <w:t>Direcţi</w:t>
            </w:r>
            <w:r w:rsidR="00A66B92" w:rsidRPr="008376FC">
              <w:rPr>
                <w:rFonts w:asciiTheme="majorHAnsi" w:eastAsia="Times New Roman" w:hAnsiTheme="majorHAnsi" w:cstheme="majorHAnsi"/>
                <w:sz w:val="24"/>
                <w:szCs w:val="24"/>
              </w:rPr>
              <w:t>ei</w:t>
            </w:r>
            <w:r w:rsidRPr="008376FC">
              <w:rPr>
                <w:rFonts w:asciiTheme="majorHAnsi" w:eastAsia="Times New Roman" w:hAnsiTheme="majorHAnsi" w:cstheme="majorHAnsi"/>
                <w:sz w:val="24"/>
                <w:szCs w:val="24"/>
              </w:rPr>
              <w:t xml:space="preserve"> I din cadrul Direcţiei generale de audit III</w:t>
            </w:r>
          </w:p>
          <w:p w:rsidR="00D36E8A" w:rsidRPr="008376FC" w:rsidRDefault="00D36E8A" w:rsidP="00F61756">
            <w:pPr>
              <w:spacing w:after="0" w:line="276" w:lineRule="auto"/>
              <w:jc w:val="both"/>
              <w:rPr>
                <w:rFonts w:asciiTheme="majorHAnsi" w:hAnsiTheme="majorHAnsi" w:cstheme="majorHAnsi"/>
                <w:sz w:val="24"/>
                <w:szCs w:val="24"/>
              </w:rPr>
            </w:pPr>
          </w:p>
        </w:tc>
        <w:tc>
          <w:tcPr>
            <w:tcW w:w="3719" w:type="dxa"/>
          </w:tcPr>
          <w:p w:rsidR="00D36E8A" w:rsidRPr="008376FC" w:rsidRDefault="00D36E8A" w:rsidP="00F61756">
            <w:pPr>
              <w:spacing w:after="0" w:line="276" w:lineRule="auto"/>
              <w:jc w:val="both"/>
              <w:rPr>
                <w:rFonts w:asciiTheme="majorHAnsi" w:hAnsiTheme="majorHAnsi" w:cstheme="majorHAnsi"/>
                <w:b w:val="0"/>
                <w:sz w:val="24"/>
                <w:szCs w:val="24"/>
              </w:rPr>
            </w:pPr>
          </w:p>
        </w:tc>
        <w:tc>
          <w:tcPr>
            <w:tcW w:w="1984" w:type="dxa"/>
            <w:shd w:val="clear" w:color="auto" w:fill="auto"/>
          </w:tcPr>
          <w:p w:rsidR="00D36E8A" w:rsidRPr="008376FC" w:rsidRDefault="00AD2C38" w:rsidP="00F61756">
            <w:pPr>
              <w:spacing w:after="0" w:line="276" w:lineRule="auto"/>
              <w:jc w:val="both"/>
              <w:rPr>
                <w:rFonts w:asciiTheme="majorHAnsi" w:hAnsiTheme="majorHAnsi" w:cstheme="majorHAnsi"/>
                <w:bCs w:val="0"/>
                <w:sz w:val="24"/>
                <w:szCs w:val="24"/>
              </w:rPr>
            </w:pPr>
            <w:r w:rsidRPr="008376FC">
              <w:rPr>
                <w:rFonts w:asciiTheme="majorHAnsi" w:hAnsiTheme="majorHAnsi" w:cstheme="majorHAnsi"/>
                <w:bCs w:val="0"/>
                <w:sz w:val="24"/>
                <w:szCs w:val="24"/>
              </w:rPr>
              <w:t>Verdeş Viorica</w:t>
            </w:r>
          </w:p>
        </w:tc>
      </w:tr>
      <w:tr w:rsidR="00AD2C38" w:rsidRPr="008376FC" w:rsidTr="008844D6">
        <w:trPr>
          <w:trHeight w:val="282"/>
        </w:trPr>
        <w:tc>
          <w:tcPr>
            <w:tcW w:w="3369" w:type="dxa"/>
            <w:shd w:val="clear" w:color="auto" w:fill="auto"/>
          </w:tcPr>
          <w:p w:rsidR="00AD2C38" w:rsidRPr="008376FC" w:rsidRDefault="00AD2C38" w:rsidP="00F61756">
            <w:pPr>
              <w:spacing w:after="0" w:line="276" w:lineRule="auto"/>
              <w:jc w:val="both"/>
              <w:rPr>
                <w:rFonts w:asciiTheme="majorHAnsi" w:eastAsia="Times New Roman" w:hAnsiTheme="majorHAnsi" w:cstheme="majorHAnsi"/>
                <w:sz w:val="24"/>
                <w:szCs w:val="24"/>
              </w:rPr>
            </w:pPr>
            <w:r w:rsidRPr="008376FC">
              <w:rPr>
                <w:rFonts w:asciiTheme="majorHAnsi" w:eastAsia="Times New Roman" w:hAnsiTheme="majorHAnsi" w:cstheme="majorHAnsi"/>
                <w:sz w:val="24"/>
                <w:szCs w:val="24"/>
              </w:rPr>
              <w:t>Auditor</w:t>
            </w:r>
            <w:r w:rsidR="00EF62F4">
              <w:rPr>
                <w:rFonts w:asciiTheme="majorHAnsi" w:eastAsia="Times New Roman" w:hAnsiTheme="majorHAnsi" w:cstheme="majorHAnsi"/>
                <w:sz w:val="24"/>
                <w:szCs w:val="24"/>
              </w:rPr>
              <w:t>ul</w:t>
            </w:r>
            <w:r w:rsidRPr="008376FC">
              <w:rPr>
                <w:rFonts w:asciiTheme="majorHAnsi" w:eastAsia="Times New Roman" w:hAnsiTheme="majorHAnsi" w:cstheme="majorHAnsi"/>
                <w:sz w:val="24"/>
                <w:szCs w:val="24"/>
              </w:rPr>
              <w:t xml:space="preserve"> public superior</w:t>
            </w:r>
          </w:p>
        </w:tc>
        <w:tc>
          <w:tcPr>
            <w:tcW w:w="3719" w:type="dxa"/>
          </w:tcPr>
          <w:p w:rsidR="00AD2C38" w:rsidRPr="008376FC" w:rsidRDefault="00AD2C38" w:rsidP="00F61756">
            <w:pPr>
              <w:spacing w:after="0" w:line="276" w:lineRule="auto"/>
              <w:jc w:val="both"/>
              <w:rPr>
                <w:rFonts w:asciiTheme="majorHAnsi" w:hAnsiTheme="majorHAnsi" w:cstheme="majorHAnsi"/>
                <w:b w:val="0"/>
                <w:sz w:val="24"/>
                <w:szCs w:val="24"/>
              </w:rPr>
            </w:pPr>
          </w:p>
        </w:tc>
        <w:tc>
          <w:tcPr>
            <w:tcW w:w="1984" w:type="dxa"/>
            <w:shd w:val="clear" w:color="auto" w:fill="auto"/>
          </w:tcPr>
          <w:p w:rsidR="008844D6" w:rsidRPr="008376FC" w:rsidRDefault="00AD2C38" w:rsidP="00F61756">
            <w:pPr>
              <w:spacing w:after="0" w:line="276" w:lineRule="auto"/>
              <w:ind w:left="34"/>
              <w:contextualSpacing/>
              <w:jc w:val="both"/>
              <w:rPr>
                <w:rFonts w:asciiTheme="majorHAnsi" w:eastAsia="Times New Roman" w:hAnsiTheme="majorHAnsi" w:cstheme="majorHAnsi"/>
                <w:sz w:val="24"/>
                <w:szCs w:val="24"/>
              </w:rPr>
            </w:pPr>
            <w:r w:rsidRPr="008376FC">
              <w:rPr>
                <w:rFonts w:asciiTheme="majorHAnsi" w:eastAsia="Times New Roman" w:hAnsiTheme="majorHAnsi" w:cstheme="majorHAnsi"/>
                <w:sz w:val="24"/>
                <w:szCs w:val="24"/>
              </w:rPr>
              <w:t>Budeci Valentin</w:t>
            </w:r>
          </w:p>
          <w:p w:rsidR="008844D6" w:rsidRPr="008376FC" w:rsidRDefault="008844D6" w:rsidP="00F61756">
            <w:pPr>
              <w:spacing w:after="0" w:line="276" w:lineRule="auto"/>
              <w:ind w:left="34"/>
              <w:contextualSpacing/>
              <w:jc w:val="both"/>
              <w:rPr>
                <w:rFonts w:asciiTheme="majorHAnsi" w:eastAsia="Times New Roman" w:hAnsiTheme="majorHAnsi" w:cstheme="majorHAnsi"/>
                <w:sz w:val="24"/>
                <w:szCs w:val="24"/>
              </w:rPr>
            </w:pPr>
          </w:p>
        </w:tc>
      </w:tr>
    </w:tbl>
    <w:bookmarkEnd w:id="53"/>
    <w:p w:rsidR="00591D1A" w:rsidRPr="008376FC" w:rsidRDefault="008844D6" w:rsidP="00F61756">
      <w:pPr>
        <w:spacing w:after="0" w:line="276" w:lineRule="auto"/>
        <w:jc w:val="both"/>
        <w:rPr>
          <w:rFonts w:asciiTheme="majorHAnsi" w:hAnsiTheme="majorHAnsi" w:cstheme="majorHAnsi"/>
          <w:sz w:val="24"/>
          <w:szCs w:val="24"/>
        </w:rPr>
      </w:pPr>
      <w:r w:rsidRPr="008376FC">
        <w:rPr>
          <w:rFonts w:asciiTheme="majorHAnsi" w:hAnsiTheme="majorHAnsi" w:cstheme="majorHAnsi"/>
          <w:sz w:val="24"/>
          <w:szCs w:val="24"/>
        </w:rPr>
        <w:t>Responsabilă de monitorizarea și asigurarea</w:t>
      </w:r>
    </w:p>
    <w:p w:rsidR="008844D6" w:rsidRPr="008376FC" w:rsidRDefault="008844D6" w:rsidP="00F61756">
      <w:pPr>
        <w:spacing w:after="0" w:line="276" w:lineRule="auto"/>
        <w:jc w:val="both"/>
        <w:rPr>
          <w:rFonts w:asciiTheme="majorHAnsi" w:hAnsiTheme="majorHAnsi" w:cstheme="majorHAnsi"/>
          <w:sz w:val="24"/>
          <w:szCs w:val="24"/>
        </w:rPr>
      </w:pPr>
      <w:r w:rsidRPr="008376FC">
        <w:rPr>
          <w:rFonts w:asciiTheme="majorHAnsi" w:hAnsiTheme="majorHAnsi" w:cstheme="majorHAnsi"/>
          <w:sz w:val="24"/>
          <w:szCs w:val="24"/>
        </w:rPr>
        <w:t>calității misiunii de audit</w:t>
      </w:r>
      <w:r w:rsidR="00591D1A" w:rsidRPr="008376FC">
        <w:rPr>
          <w:rFonts w:asciiTheme="majorHAnsi" w:hAnsiTheme="majorHAnsi" w:cstheme="majorHAnsi"/>
          <w:sz w:val="24"/>
          <w:szCs w:val="24"/>
        </w:rPr>
        <w:t>:</w:t>
      </w:r>
    </w:p>
    <w:p w:rsidR="008844D6" w:rsidRPr="008376FC" w:rsidRDefault="00EF62F4" w:rsidP="00F61756">
      <w:pPr>
        <w:spacing w:after="0" w:line="276" w:lineRule="auto"/>
        <w:jc w:val="both"/>
        <w:rPr>
          <w:rFonts w:asciiTheme="majorHAnsi" w:hAnsiTheme="majorHAnsi" w:cstheme="majorHAnsi"/>
          <w:b w:val="0"/>
          <w:sz w:val="24"/>
          <w:szCs w:val="24"/>
        </w:rPr>
      </w:pPr>
      <w:r>
        <w:rPr>
          <w:rFonts w:asciiTheme="majorHAnsi" w:hAnsiTheme="majorHAnsi" w:cstheme="majorHAnsi"/>
          <w:sz w:val="24"/>
          <w:szCs w:val="24"/>
        </w:rPr>
        <w:t>Ș</w:t>
      </w:r>
      <w:r w:rsidR="008844D6" w:rsidRPr="008376FC">
        <w:rPr>
          <w:rFonts w:asciiTheme="majorHAnsi" w:hAnsiTheme="majorHAnsi" w:cstheme="majorHAnsi"/>
          <w:sz w:val="24"/>
          <w:szCs w:val="24"/>
        </w:rPr>
        <w:t>efa Direcției generale de audit III                                                                         Purici Svetlana</w:t>
      </w:r>
    </w:p>
    <w:p w:rsidR="0096170B" w:rsidRPr="008376FC" w:rsidRDefault="0096170B" w:rsidP="00F61756">
      <w:pPr>
        <w:pStyle w:val="1"/>
        <w:spacing w:line="276" w:lineRule="auto"/>
        <w:jc w:val="right"/>
        <w:rPr>
          <w:rFonts w:cstheme="majorHAnsi"/>
          <w:color w:val="0070C0"/>
          <w:sz w:val="24"/>
          <w:szCs w:val="24"/>
        </w:rPr>
      </w:pPr>
      <w:r w:rsidRPr="008376FC">
        <w:rPr>
          <w:rFonts w:cstheme="majorHAnsi"/>
          <w:color w:val="auto"/>
          <w:sz w:val="24"/>
          <w:szCs w:val="24"/>
        </w:rPr>
        <w:br w:type="page"/>
      </w:r>
      <w:bookmarkStart w:id="54" w:name="_Toc132042795"/>
      <w:bookmarkStart w:id="55" w:name="_Toc132320217"/>
      <w:r w:rsidRPr="008376FC">
        <w:rPr>
          <w:rFonts w:cstheme="majorHAnsi"/>
          <w:color w:val="0070C0"/>
          <w:sz w:val="24"/>
          <w:szCs w:val="24"/>
        </w:rPr>
        <w:t>ANEXE</w:t>
      </w:r>
      <w:bookmarkEnd w:id="54"/>
      <w:bookmarkEnd w:id="55"/>
    </w:p>
    <w:p w:rsidR="000E184F" w:rsidRPr="004C1766" w:rsidRDefault="000E184F" w:rsidP="00F61756">
      <w:pPr>
        <w:spacing w:line="276" w:lineRule="auto"/>
        <w:rPr>
          <w:rFonts w:asciiTheme="majorHAnsi" w:hAnsiTheme="majorHAnsi" w:cstheme="majorHAnsi"/>
          <w:b w:val="0"/>
          <w:bCs w:val="0"/>
          <w:color w:val="0070C0"/>
          <w:sz w:val="24"/>
          <w:szCs w:val="24"/>
        </w:rPr>
      </w:pPr>
      <w:r w:rsidRPr="004C1766">
        <w:rPr>
          <w:rFonts w:asciiTheme="majorHAnsi" w:hAnsiTheme="majorHAnsi" w:cstheme="majorHAnsi"/>
          <w:i/>
          <w:color w:val="0070C0"/>
          <w:sz w:val="24"/>
          <w:szCs w:val="24"/>
        </w:rPr>
        <w:t>Anexa nr.1</w:t>
      </w:r>
      <w:r w:rsidR="007903CE" w:rsidRPr="004C1766">
        <w:rPr>
          <w:rFonts w:asciiTheme="majorHAnsi" w:hAnsiTheme="majorHAnsi" w:cstheme="majorHAnsi"/>
          <w:i/>
          <w:color w:val="0070C0"/>
          <w:sz w:val="24"/>
          <w:szCs w:val="24"/>
        </w:rPr>
        <w:t>.</w:t>
      </w:r>
      <w:r w:rsidRPr="004C1766">
        <w:rPr>
          <w:rFonts w:asciiTheme="majorHAnsi" w:hAnsiTheme="majorHAnsi" w:cstheme="majorHAnsi"/>
          <w:i/>
          <w:color w:val="0070C0"/>
          <w:sz w:val="24"/>
          <w:szCs w:val="24"/>
        </w:rPr>
        <w:t xml:space="preserve"> Domeniul de aplicare și metodologia de audit </w:t>
      </w:r>
    </w:p>
    <w:p w:rsidR="000E184F" w:rsidRPr="008376FC" w:rsidRDefault="000E184F" w:rsidP="00F61756">
      <w:pPr>
        <w:spacing w:line="276" w:lineRule="auto"/>
        <w:ind w:firstLine="567"/>
        <w:rPr>
          <w:rFonts w:asciiTheme="majorHAnsi" w:eastAsia="Times New Roman" w:hAnsiTheme="majorHAnsi" w:cstheme="majorHAnsi"/>
          <w:b w:val="0"/>
          <w:bCs w:val="0"/>
          <w:sz w:val="24"/>
          <w:szCs w:val="24"/>
        </w:rPr>
      </w:pPr>
      <w:r w:rsidRPr="008376FC">
        <w:rPr>
          <w:rFonts w:asciiTheme="majorHAnsi" w:eastAsia="Times New Roman" w:hAnsiTheme="majorHAnsi" w:cstheme="majorHAnsi"/>
          <w:sz w:val="24"/>
          <w:szCs w:val="24"/>
        </w:rPr>
        <w:t>Domeniul de aplicare</w:t>
      </w:r>
    </w:p>
    <w:p w:rsidR="000E184F" w:rsidRPr="008376FC" w:rsidRDefault="000056B2" w:rsidP="00F61756">
      <w:pPr>
        <w:spacing w:line="276" w:lineRule="auto"/>
        <w:ind w:firstLine="63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Curtea de Conturi, în conformitate cu Program</w:t>
      </w:r>
      <w:r w:rsidR="007903CE">
        <w:rPr>
          <w:rFonts w:asciiTheme="majorHAnsi" w:eastAsia="Times New Roman" w:hAnsiTheme="majorHAnsi" w:cstheme="majorHAnsi"/>
          <w:b w:val="0"/>
          <w:bCs w:val="0"/>
          <w:sz w:val="24"/>
          <w:szCs w:val="24"/>
        </w:rPr>
        <w:t>ele</w:t>
      </w:r>
      <w:r w:rsidRPr="008376FC">
        <w:rPr>
          <w:rFonts w:asciiTheme="majorHAnsi" w:eastAsia="Times New Roman" w:hAnsiTheme="majorHAnsi" w:cstheme="majorHAnsi"/>
          <w:b w:val="0"/>
          <w:bCs w:val="0"/>
          <w:sz w:val="24"/>
          <w:szCs w:val="24"/>
        </w:rPr>
        <w:t xml:space="preserve"> activității de audit pe </w:t>
      </w:r>
      <w:r w:rsidRPr="008376FC">
        <w:rPr>
          <w:rFonts w:asciiTheme="majorHAnsi" w:hAnsiTheme="majorHAnsi" w:cstheme="majorHAnsi"/>
          <w:b w:val="0"/>
          <w:bCs w:val="0"/>
          <w:sz w:val="24"/>
          <w:szCs w:val="24"/>
        </w:rPr>
        <w:t>anii 2022 şi 2023</w:t>
      </w:r>
      <w:r w:rsidRPr="008376FC">
        <w:rPr>
          <w:rStyle w:val="ab"/>
          <w:rFonts w:cstheme="majorHAnsi"/>
          <w:b w:val="0"/>
          <w:bCs w:val="0"/>
        </w:rPr>
        <w:footnoteReference w:id="160"/>
      </w:r>
      <w:r w:rsidRPr="008376FC">
        <w:rPr>
          <w:rFonts w:asciiTheme="majorHAnsi" w:eastAsia="Times New Roman" w:hAnsiTheme="majorHAnsi" w:cstheme="majorHAnsi"/>
          <w:b w:val="0"/>
          <w:bCs w:val="0"/>
          <w:sz w:val="24"/>
          <w:szCs w:val="24"/>
        </w:rPr>
        <w:t xml:space="preserve"> (cu modificările ulterioare), a realizat misiunea de audit al performanței „Progresele atinse în cadrul implementării Strategiei de alimentare cu apă şi sanitaţie (2014-2030)”.</w:t>
      </w:r>
    </w:p>
    <w:p w:rsidR="000E184F" w:rsidRPr="008376FC" w:rsidRDefault="000056B2" w:rsidP="00F61756">
      <w:pPr>
        <w:spacing w:line="276" w:lineRule="auto"/>
        <w:ind w:firstLine="63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Auditul a avut drept scop evaluarea dacă factorii de decizie au întreprins măsuri suficiente pentru implementarea cu succes a acțiunilor incluse în Strategia de alimentare cu apă şi sanitație (2014-2030) şi dacă acțiunile incluse în Strategie s-au axat pe cele mai stringente problemele ale domeniului de alimentare cu apă şi sanitație</w:t>
      </w:r>
      <w:r w:rsidR="007903CE">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astfel încât să fie asigurată dezvoltarea durabilă şi sustenabilă a acestui sector.</w:t>
      </w:r>
    </w:p>
    <w:p w:rsidR="000E184F" w:rsidRPr="008376FC" w:rsidRDefault="000056B2" w:rsidP="00F61756">
      <w:pPr>
        <w:tabs>
          <w:tab w:val="left" w:pos="0"/>
          <w:tab w:val="left" w:pos="709"/>
        </w:tabs>
        <w:spacing w:line="276" w:lineRule="auto"/>
        <w:ind w:firstLine="720"/>
        <w:contextualSpacing/>
        <w:jc w:val="both"/>
        <w:rPr>
          <w:rFonts w:asciiTheme="majorHAnsi" w:eastAsia="Calibri" w:hAnsiTheme="majorHAnsi" w:cstheme="majorHAnsi"/>
          <w:b w:val="0"/>
          <w:bCs w:val="0"/>
          <w:sz w:val="24"/>
          <w:szCs w:val="24"/>
        </w:rPr>
      </w:pPr>
      <w:r w:rsidRPr="008376FC">
        <w:rPr>
          <w:rFonts w:asciiTheme="majorHAnsi" w:hAnsiTheme="majorHAnsi" w:cstheme="majorHAnsi"/>
          <w:b w:val="0"/>
          <w:bCs w:val="0"/>
          <w:sz w:val="24"/>
          <w:szCs w:val="24"/>
        </w:rPr>
        <w:t>Pe parcursul misiunii de audit, la efectuarea activităților aferente, echipa de audit s-a ghidat de Cadrul Declarațiilor Profesionale ale INTOSAI</w:t>
      </w:r>
      <w:r w:rsidRPr="008376FC">
        <w:rPr>
          <w:rFonts w:asciiTheme="majorHAnsi" w:hAnsiTheme="majorHAnsi" w:cstheme="majorHAnsi"/>
          <w:b w:val="0"/>
          <w:bCs w:val="0"/>
          <w:sz w:val="24"/>
          <w:szCs w:val="24"/>
          <w:vertAlign w:val="superscript"/>
        </w:rPr>
        <w:footnoteReference w:id="161"/>
      </w:r>
      <w:r w:rsidRPr="008376FC">
        <w:rPr>
          <w:rFonts w:asciiTheme="majorHAnsi" w:hAnsiTheme="majorHAnsi" w:cstheme="majorHAnsi"/>
          <w:b w:val="0"/>
          <w:bCs w:val="0"/>
          <w:sz w:val="24"/>
          <w:szCs w:val="24"/>
        </w:rPr>
        <w:t xml:space="preserve">: </w:t>
      </w:r>
    </w:p>
    <w:p w:rsidR="000E184F" w:rsidRPr="008376FC" w:rsidRDefault="000056B2" w:rsidP="00F61756">
      <w:pPr>
        <w:numPr>
          <w:ilvl w:val="0"/>
          <w:numId w:val="67"/>
        </w:numPr>
        <w:tabs>
          <w:tab w:val="left" w:pos="567"/>
        </w:tabs>
        <w:spacing w:after="0" w:line="276" w:lineRule="auto"/>
        <w:ind w:left="0" w:firstLine="720"/>
        <w:contextualSpacing/>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ISSAI 100 „Principiile fundamentale pentru auditul sectorului public”;</w:t>
      </w:r>
    </w:p>
    <w:p w:rsidR="000E184F" w:rsidRPr="008376FC" w:rsidRDefault="000056B2" w:rsidP="00F61756">
      <w:pPr>
        <w:numPr>
          <w:ilvl w:val="0"/>
          <w:numId w:val="67"/>
        </w:numPr>
        <w:tabs>
          <w:tab w:val="left" w:pos="567"/>
        </w:tabs>
        <w:spacing w:after="0" w:line="276" w:lineRule="auto"/>
        <w:ind w:left="0" w:firstLine="720"/>
        <w:contextualSpacing/>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ISSAI 300 „Principiile fundamentale ale auditului performanței”;</w:t>
      </w:r>
    </w:p>
    <w:p w:rsidR="000E184F" w:rsidRPr="008376FC" w:rsidRDefault="000056B2" w:rsidP="00F61756">
      <w:pPr>
        <w:numPr>
          <w:ilvl w:val="0"/>
          <w:numId w:val="67"/>
        </w:numPr>
        <w:tabs>
          <w:tab w:val="left" w:pos="567"/>
        </w:tabs>
        <w:spacing w:after="0" w:line="276" w:lineRule="auto"/>
        <w:ind w:left="0" w:firstLine="720"/>
        <w:contextualSpacing/>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ISSAI 3000-3899 „Standarde ale auditului de performanță”;</w:t>
      </w:r>
    </w:p>
    <w:p w:rsidR="000E184F" w:rsidRPr="008376FC" w:rsidRDefault="000056B2" w:rsidP="00F61756">
      <w:pPr>
        <w:numPr>
          <w:ilvl w:val="0"/>
          <w:numId w:val="67"/>
        </w:numPr>
        <w:tabs>
          <w:tab w:val="left" w:pos="567"/>
        </w:tabs>
        <w:spacing w:after="0" w:line="276" w:lineRule="auto"/>
        <w:ind w:left="0" w:firstLine="720"/>
        <w:contextualSpacing/>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GUID 3900-3999 Linii directo</w:t>
      </w:r>
      <w:r w:rsidR="007903CE">
        <w:rPr>
          <w:rFonts w:asciiTheme="majorHAnsi" w:hAnsiTheme="majorHAnsi" w:cstheme="majorHAnsi"/>
          <w:b w:val="0"/>
          <w:bCs w:val="0"/>
          <w:sz w:val="24"/>
          <w:szCs w:val="24"/>
        </w:rPr>
        <w:t>a</w:t>
      </w:r>
      <w:r w:rsidRPr="008376FC">
        <w:rPr>
          <w:rFonts w:asciiTheme="majorHAnsi" w:hAnsiTheme="majorHAnsi" w:cstheme="majorHAnsi"/>
          <w:b w:val="0"/>
          <w:bCs w:val="0"/>
          <w:sz w:val="24"/>
          <w:szCs w:val="24"/>
        </w:rPr>
        <w:t>r</w:t>
      </w:r>
      <w:r w:rsidR="007903CE">
        <w:rPr>
          <w:rFonts w:asciiTheme="majorHAnsi" w:hAnsiTheme="majorHAnsi" w:cstheme="majorHAnsi"/>
          <w:b w:val="0"/>
          <w:bCs w:val="0"/>
          <w:sz w:val="24"/>
          <w:szCs w:val="24"/>
        </w:rPr>
        <w:t>e</w:t>
      </w:r>
      <w:r w:rsidRPr="008376FC">
        <w:rPr>
          <w:rFonts w:asciiTheme="majorHAnsi" w:hAnsiTheme="majorHAnsi" w:cstheme="majorHAnsi"/>
          <w:b w:val="0"/>
          <w:bCs w:val="0"/>
          <w:sz w:val="24"/>
          <w:szCs w:val="24"/>
        </w:rPr>
        <w:t xml:space="preserve"> suplimentare privind auditul de performanță (GUID 3910 „Concepte de bază privind auditul performanței”, GUID 3920 „Procesul de audit al performanței”);</w:t>
      </w:r>
    </w:p>
    <w:p w:rsidR="000E184F" w:rsidRPr="008376FC" w:rsidRDefault="000056B2" w:rsidP="00F61756">
      <w:pPr>
        <w:numPr>
          <w:ilvl w:val="0"/>
          <w:numId w:val="67"/>
        </w:numPr>
        <w:tabs>
          <w:tab w:val="left" w:pos="567"/>
        </w:tabs>
        <w:spacing w:after="0" w:line="276" w:lineRule="auto"/>
        <w:ind w:left="0" w:firstLine="720"/>
        <w:contextualSpacing/>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GUID 5202 „Dezvoltare durabilă: Rolul instituțiilor supreme de audit”;</w:t>
      </w:r>
    </w:p>
    <w:p w:rsidR="000E184F" w:rsidRPr="008376FC" w:rsidRDefault="000056B2" w:rsidP="00F61756">
      <w:pPr>
        <w:numPr>
          <w:ilvl w:val="0"/>
          <w:numId w:val="67"/>
        </w:numPr>
        <w:tabs>
          <w:tab w:val="left" w:pos="567"/>
        </w:tabs>
        <w:spacing w:after="0" w:line="276" w:lineRule="auto"/>
        <w:ind w:left="0" w:firstLine="720"/>
        <w:contextualSpacing/>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 xml:space="preserve">GUID 9020  </w:t>
      </w:r>
      <w:r w:rsidR="009D657D" w:rsidRPr="008376FC">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Evaluarea politicilor publice</w:t>
      </w:r>
      <w:r w:rsidR="009D657D" w:rsidRPr="008376FC">
        <w:rPr>
          <w:rFonts w:asciiTheme="majorHAnsi" w:hAnsiTheme="majorHAnsi" w:cstheme="majorHAnsi"/>
          <w:b w:val="0"/>
          <w:bCs w:val="0"/>
          <w:sz w:val="24"/>
          <w:szCs w:val="24"/>
        </w:rPr>
        <w:t>”</w:t>
      </w:r>
      <w:r w:rsidRPr="008376FC">
        <w:rPr>
          <w:rFonts w:asciiTheme="majorHAnsi" w:hAnsiTheme="majorHAnsi" w:cstheme="majorHAnsi"/>
          <w:b w:val="0"/>
          <w:bCs w:val="0"/>
          <w:sz w:val="24"/>
          <w:szCs w:val="24"/>
        </w:rPr>
        <w:t>.</w:t>
      </w:r>
    </w:p>
    <w:p w:rsidR="000E184F" w:rsidRPr="008376FC" w:rsidRDefault="000056B2" w:rsidP="00F61756">
      <w:pPr>
        <w:tabs>
          <w:tab w:val="left" w:pos="567"/>
        </w:tabs>
        <w:spacing w:line="276" w:lineRule="auto"/>
        <w:ind w:firstLine="720"/>
        <w:contextualSpacing/>
        <w:jc w:val="both"/>
        <w:rPr>
          <w:rFonts w:asciiTheme="majorHAnsi" w:hAnsiTheme="majorHAnsi" w:cstheme="majorHAnsi"/>
          <w:b w:val="0"/>
          <w:bCs w:val="0"/>
          <w:sz w:val="24"/>
          <w:szCs w:val="24"/>
        </w:rPr>
      </w:pPr>
      <w:r w:rsidRPr="008376FC">
        <w:rPr>
          <w:rFonts w:asciiTheme="majorHAnsi" w:hAnsiTheme="majorHAnsi" w:cstheme="majorHAnsi"/>
          <w:b w:val="0"/>
          <w:bCs w:val="0"/>
          <w:sz w:val="24"/>
          <w:szCs w:val="24"/>
        </w:rPr>
        <w:t>Totodată, echipa de audit a consultat și s-a ghidat de Manualul de audit al performanței, precum și de actele normative naționale și ale altor state aferente domeniului auditat etc.</w:t>
      </w:r>
    </w:p>
    <w:p w:rsidR="000E184F" w:rsidRPr="008376FC" w:rsidRDefault="000056B2" w:rsidP="00F61756">
      <w:pPr>
        <w:spacing w:line="276" w:lineRule="auto"/>
        <w:ind w:firstLine="63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Misiunea de audit s-a desfășurat la Ministerul Mediului, Ministerul Infrastructurii şi Dezvoltării Regionale, Agențiile de Dezvoltare Regională Nord, Centru, Sud și UTA Găgăuzia, Oficiul Naţional de Dezvoltare Regională şi Locală, Oficiul Naţional de Implementare a Proiectelor în Domeniul Mediului, Agenţia de Intervenţie şi Plaţi pentru Agricultură, Inspectoratul pentru Protecţia Mediului, Agenţia de Mediu, Agenţia „Apele Moldovei”, Agenţia pentru Geologie şi Resurse Minerale, Agenţia Relaţii Funciare şi Cadastru, Agenţia Servicii Publice, autorităţile publice locale de nivelurile I şi II beneficiari ai proiectelor de creare/dezvoltare a sistemelor de alimentare cu apă şi canalizare, operatorii economici responsabili de gestionarea reţelelor de apeduct şi canalizare. De asemenea, au fost colectate probe de la Ministerul Agriculturii şi Industriei Alimentare, Ministerul Sănătății, Ministerul Finanțelor, Ministerul Educaţiei şi Cercetării, Agenţia Naţională pentru Reglementare în Energetică, Biroul Naţional de Statistică, Agenţia Naţională pentru Sănătate Publică, Serviciul Fiscal de Stat.</w:t>
      </w:r>
    </w:p>
    <w:p w:rsidR="000E184F" w:rsidRPr="008376FC" w:rsidRDefault="000E184F" w:rsidP="00F61756">
      <w:pPr>
        <w:spacing w:line="276" w:lineRule="auto"/>
        <w:ind w:firstLine="630"/>
        <w:rPr>
          <w:rFonts w:asciiTheme="majorHAnsi" w:eastAsia="Times New Roman" w:hAnsiTheme="majorHAnsi" w:cstheme="majorHAnsi"/>
          <w:b w:val="0"/>
          <w:bCs w:val="0"/>
          <w:sz w:val="24"/>
          <w:szCs w:val="24"/>
        </w:rPr>
      </w:pPr>
      <w:r w:rsidRPr="008376FC">
        <w:rPr>
          <w:rFonts w:asciiTheme="majorHAnsi" w:eastAsia="Times New Roman" w:hAnsiTheme="majorHAnsi" w:cstheme="majorHAnsi"/>
          <w:sz w:val="24"/>
          <w:szCs w:val="24"/>
        </w:rPr>
        <w:t>Metodologia auditului</w:t>
      </w:r>
    </w:p>
    <w:p w:rsidR="00BE3B68" w:rsidRDefault="000056B2" w:rsidP="00F61756">
      <w:pPr>
        <w:spacing w:line="276" w:lineRule="auto"/>
        <w:ind w:firstLine="63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Pentru obținerea unor probe relevante și rezonabile, care să susțină concluziile și credibilitatea constatărilor expuse în Raportul de audit, echipa de audit a utilizat mai multe proceduri de audit, cum ar fi: examinarea documentelor și a rapoartelor, analiza nivelului de realizare a acțiunilor, angajamentelor prestabilite în Strategie, alte documente de politici, observații, interviuri, studierea bunelor practici internaționale în domeniu. În cadrul misiunii de audit</w:t>
      </w:r>
      <w:r w:rsidR="00836B45">
        <w:rPr>
          <w:rFonts w:asciiTheme="majorHAnsi" w:eastAsia="Times New Roman" w:hAnsiTheme="majorHAnsi" w:cstheme="majorHAnsi"/>
          <w:b w:val="0"/>
          <w:bCs w:val="0"/>
          <w:sz w:val="24"/>
          <w:szCs w:val="24"/>
        </w:rPr>
        <w:t>,</w:t>
      </w:r>
      <w:r w:rsidRPr="008376FC">
        <w:rPr>
          <w:rFonts w:asciiTheme="majorHAnsi" w:eastAsia="Times New Roman" w:hAnsiTheme="majorHAnsi" w:cstheme="majorHAnsi"/>
          <w:b w:val="0"/>
          <w:bCs w:val="0"/>
          <w:sz w:val="24"/>
          <w:szCs w:val="24"/>
        </w:rPr>
        <w:t xml:space="preserve"> au fost colectate, sintetizate, analizate și interpretate toate tipurile de probe de audit: fizice, verbale, documentare și analitice, cum ar fi analiza dosarelor aferente proiectelor selectate spre auditare, observațiile etc</w:t>
      </w:r>
      <w:r w:rsidRPr="009D4552">
        <w:rPr>
          <w:rFonts w:asciiTheme="majorHAnsi" w:eastAsia="Times New Roman" w:hAnsiTheme="majorHAnsi" w:cstheme="majorHAnsi"/>
          <w:b w:val="0"/>
          <w:bCs w:val="0"/>
          <w:sz w:val="24"/>
          <w:szCs w:val="24"/>
        </w:rPr>
        <w:t>., utilizându-se următoarele proceduri de audit:</w:t>
      </w:r>
      <w:r w:rsidR="00CC1E28">
        <w:rPr>
          <w:rFonts w:asciiTheme="majorHAnsi" w:eastAsia="Times New Roman" w:hAnsiTheme="majorHAnsi" w:cstheme="majorHAnsi"/>
          <w:b w:val="0"/>
          <w:bCs w:val="0"/>
          <w:sz w:val="24"/>
          <w:szCs w:val="24"/>
        </w:rPr>
        <w:t xml:space="preserve"> </w:t>
      </w:r>
    </w:p>
    <w:p w:rsidR="000E184F" w:rsidRPr="009D4552" w:rsidRDefault="00D0145C" w:rsidP="00F61756">
      <w:pPr>
        <w:spacing w:line="276" w:lineRule="auto"/>
        <w:jc w:val="both"/>
        <w:rPr>
          <w:rFonts w:asciiTheme="majorHAnsi" w:eastAsia="Times New Roman" w:hAnsiTheme="majorHAnsi" w:cstheme="majorHAnsi"/>
          <w:b w:val="0"/>
          <w:bCs w:val="0"/>
          <w:iCs/>
          <w:sz w:val="24"/>
          <w:szCs w:val="24"/>
        </w:rPr>
      </w:pPr>
      <w:r w:rsidRPr="009D4552">
        <w:rPr>
          <w:rFonts w:asciiTheme="majorHAnsi" w:eastAsia="Times New Roman" w:hAnsiTheme="majorHAnsi" w:cstheme="majorHAnsi"/>
          <w:iCs/>
          <w:sz w:val="24"/>
          <w:szCs w:val="24"/>
        </w:rPr>
        <w:t xml:space="preserve">La </w:t>
      </w:r>
      <w:r w:rsidR="0070123A">
        <w:rPr>
          <w:rFonts w:asciiTheme="majorHAnsi" w:eastAsia="Times New Roman" w:hAnsiTheme="majorHAnsi" w:cstheme="majorHAnsi"/>
          <w:iCs/>
          <w:sz w:val="24"/>
          <w:szCs w:val="24"/>
        </w:rPr>
        <w:t>intrebarea specifica nr.1</w:t>
      </w:r>
      <w:r w:rsidR="0070123A">
        <w:rPr>
          <w:rFonts w:asciiTheme="majorHAnsi" w:eastAsia="Times New Roman" w:hAnsiTheme="majorHAnsi" w:cstheme="majorHAnsi"/>
          <w:iCs/>
          <w:sz w:val="24"/>
          <w:szCs w:val="24"/>
          <w:lang w:val="en-US"/>
        </w:rPr>
        <w:t>:</w:t>
      </w:r>
      <w:r w:rsidR="000E184F" w:rsidRPr="009D4552">
        <w:rPr>
          <w:rFonts w:asciiTheme="majorHAnsi" w:eastAsia="Times New Roman" w:hAnsiTheme="majorHAnsi" w:cstheme="majorHAnsi"/>
          <w:iCs/>
          <w:sz w:val="24"/>
          <w:szCs w:val="24"/>
        </w:rPr>
        <w:t xml:space="preserve"> Factorii de decizie au întreprins măsuri</w:t>
      </w:r>
      <w:r w:rsidR="00836B45" w:rsidRPr="009D4552">
        <w:rPr>
          <w:rFonts w:asciiTheme="majorHAnsi" w:eastAsia="Times New Roman" w:hAnsiTheme="majorHAnsi" w:cstheme="majorHAnsi"/>
          <w:iCs/>
          <w:sz w:val="24"/>
          <w:szCs w:val="24"/>
        </w:rPr>
        <w:t>le</w:t>
      </w:r>
      <w:r w:rsidR="000E184F" w:rsidRPr="009D4552">
        <w:rPr>
          <w:rFonts w:asciiTheme="majorHAnsi" w:eastAsia="Times New Roman" w:hAnsiTheme="majorHAnsi" w:cstheme="majorHAnsi"/>
          <w:iCs/>
          <w:sz w:val="24"/>
          <w:szCs w:val="24"/>
        </w:rPr>
        <w:t xml:space="preserve"> de rigoare pentru realizarea integrală a acțiunilor incluse în Planurile de acțiuni SAAS?</w:t>
      </w:r>
    </w:p>
    <w:p w:rsidR="000E184F" w:rsidRPr="008376FC" w:rsidRDefault="000E184F" w:rsidP="00F61756">
      <w:pPr>
        <w:pStyle w:val="a3"/>
        <w:numPr>
          <w:ilvl w:val="0"/>
          <w:numId w:val="68"/>
        </w:numPr>
        <w:spacing w:line="276" w:lineRule="auto"/>
        <w:jc w:val="both"/>
        <w:rPr>
          <w:rFonts w:asciiTheme="majorHAnsi" w:hAnsiTheme="majorHAnsi" w:cstheme="majorHAnsi"/>
          <w:lang w:val="en-US"/>
        </w:rPr>
      </w:pPr>
      <w:r w:rsidRPr="008376FC">
        <w:rPr>
          <w:rFonts w:asciiTheme="majorHAnsi" w:hAnsiTheme="majorHAnsi" w:cstheme="majorHAnsi"/>
          <w:lang w:val="ro-RO"/>
        </w:rPr>
        <w:t>A fost studiat cadrul normativ al domeniului AAS;</w:t>
      </w:r>
    </w:p>
    <w:p w:rsidR="000E184F" w:rsidRPr="008376FC" w:rsidRDefault="000E184F" w:rsidP="00F61756">
      <w:pPr>
        <w:pStyle w:val="a3"/>
        <w:numPr>
          <w:ilvl w:val="0"/>
          <w:numId w:val="68"/>
        </w:numPr>
        <w:spacing w:line="276" w:lineRule="auto"/>
        <w:jc w:val="both"/>
        <w:rPr>
          <w:rFonts w:asciiTheme="majorHAnsi" w:hAnsiTheme="majorHAnsi" w:cstheme="majorHAnsi"/>
          <w:lang w:val="en-US"/>
        </w:rPr>
      </w:pPr>
      <w:r w:rsidRPr="008376FC">
        <w:rPr>
          <w:rFonts w:asciiTheme="majorHAnsi" w:hAnsiTheme="majorHAnsi" w:cstheme="majorHAnsi"/>
          <w:lang w:val="en-US"/>
        </w:rPr>
        <w:t>Au fost identificate şi analizate acţiunile întreprinse de factorii de decizie responsabili de implementarea SAAS;</w:t>
      </w:r>
    </w:p>
    <w:p w:rsidR="000E184F" w:rsidRPr="008376FC" w:rsidRDefault="000E184F" w:rsidP="00F61756">
      <w:pPr>
        <w:pStyle w:val="a3"/>
        <w:numPr>
          <w:ilvl w:val="0"/>
          <w:numId w:val="68"/>
        </w:numPr>
        <w:spacing w:line="276" w:lineRule="auto"/>
        <w:jc w:val="both"/>
        <w:rPr>
          <w:rFonts w:asciiTheme="majorHAnsi" w:hAnsiTheme="majorHAnsi" w:cstheme="majorHAnsi"/>
          <w:lang w:val="en-US"/>
        </w:rPr>
      </w:pPr>
      <w:r w:rsidRPr="008376FC">
        <w:rPr>
          <w:rFonts w:asciiTheme="majorHAnsi" w:hAnsiTheme="majorHAnsi" w:cstheme="majorHAnsi"/>
          <w:lang w:val="en-US"/>
        </w:rPr>
        <w:t>Au fost analizate Raportele de progres ale SAAS pentru perioada 2014-2021 şi documentele confirmative care atestă implementarea măsurilor incluse în Planurile de acţiuni (actele normative aprobate, studiile de fezabilitate, cercetările ştiinţifice, etc.);</w:t>
      </w:r>
    </w:p>
    <w:p w:rsidR="000E184F" w:rsidRPr="009D4552" w:rsidRDefault="00D0145C" w:rsidP="00F61756">
      <w:pPr>
        <w:spacing w:line="276" w:lineRule="auto"/>
        <w:jc w:val="both"/>
        <w:rPr>
          <w:rFonts w:asciiTheme="majorHAnsi" w:eastAsia="Times New Roman" w:hAnsiTheme="majorHAnsi" w:cstheme="majorHAnsi"/>
          <w:bCs w:val="0"/>
          <w:iCs/>
          <w:sz w:val="24"/>
          <w:szCs w:val="24"/>
        </w:rPr>
      </w:pPr>
      <w:r w:rsidRPr="009D4552">
        <w:rPr>
          <w:rFonts w:asciiTheme="majorHAnsi" w:eastAsia="Times New Roman" w:hAnsiTheme="majorHAnsi" w:cstheme="majorHAnsi"/>
          <w:iCs/>
          <w:sz w:val="24"/>
          <w:szCs w:val="24"/>
        </w:rPr>
        <w:t xml:space="preserve">La </w:t>
      </w:r>
      <w:r w:rsidR="0070123A">
        <w:rPr>
          <w:rFonts w:asciiTheme="majorHAnsi" w:eastAsia="Times New Roman" w:hAnsiTheme="majorHAnsi" w:cstheme="majorHAnsi"/>
          <w:iCs/>
          <w:sz w:val="24"/>
          <w:szCs w:val="24"/>
        </w:rPr>
        <w:t>intrebarea specifica nr.2:</w:t>
      </w:r>
      <w:r w:rsidR="000E184F" w:rsidRPr="009D4552">
        <w:rPr>
          <w:rFonts w:asciiTheme="majorHAnsi" w:eastAsia="Times New Roman" w:hAnsiTheme="majorHAnsi" w:cstheme="majorHAnsi"/>
          <w:iCs/>
          <w:sz w:val="24"/>
          <w:szCs w:val="24"/>
        </w:rPr>
        <w:t xml:space="preserve"> Investițiile efectuate din </w:t>
      </w:r>
      <w:r w:rsidR="00F64216" w:rsidRPr="009D4552">
        <w:rPr>
          <w:rFonts w:asciiTheme="majorHAnsi" w:eastAsia="Times New Roman" w:hAnsiTheme="majorHAnsi" w:cstheme="majorHAnsi"/>
          <w:iCs/>
          <w:sz w:val="24"/>
          <w:szCs w:val="24"/>
        </w:rPr>
        <w:t>re</w:t>
      </w:r>
      <w:r w:rsidR="000E184F" w:rsidRPr="009D4552">
        <w:rPr>
          <w:rFonts w:asciiTheme="majorHAnsi" w:eastAsia="Times New Roman" w:hAnsiTheme="majorHAnsi" w:cstheme="majorHAnsi"/>
          <w:iCs/>
          <w:sz w:val="24"/>
          <w:szCs w:val="24"/>
        </w:rPr>
        <w:t>sursele FEN, FNRD şi FNDAMR au întrunit criteriile de eficiență, durabilitate și sustenabilitate?</w:t>
      </w:r>
    </w:p>
    <w:p w:rsidR="000E184F" w:rsidRPr="008376FC" w:rsidRDefault="000E184F" w:rsidP="00F61756">
      <w:pPr>
        <w:pStyle w:val="a3"/>
        <w:numPr>
          <w:ilvl w:val="0"/>
          <w:numId w:val="68"/>
        </w:numPr>
        <w:spacing w:line="276" w:lineRule="auto"/>
        <w:jc w:val="both"/>
        <w:rPr>
          <w:rFonts w:asciiTheme="majorHAnsi" w:hAnsiTheme="majorHAnsi" w:cstheme="majorHAnsi"/>
          <w:lang w:val="en-US"/>
        </w:rPr>
      </w:pPr>
      <w:r w:rsidRPr="008376FC">
        <w:rPr>
          <w:rFonts w:asciiTheme="majorHAnsi" w:hAnsiTheme="majorHAnsi" w:cstheme="majorHAnsi"/>
          <w:lang w:val="ro-RO"/>
        </w:rPr>
        <w:t>Au fost examinate Manualele operaţionale ale FEN, FNDR şi ONDRL, precum şi prevederile cadrului normativ în privinţa mecanismelor de finanţare a proiectelor de investiţii;</w:t>
      </w:r>
    </w:p>
    <w:p w:rsidR="000E184F" w:rsidRPr="008376FC" w:rsidRDefault="000E184F" w:rsidP="00F61756">
      <w:pPr>
        <w:pStyle w:val="a3"/>
        <w:numPr>
          <w:ilvl w:val="0"/>
          <w:numId w:val="68"/>
        </w:numPr>
        <w:spacing w:line="276" w:lineRule="auto"/>
        <w:jc w:val="both"/>
        <w:rPr>
          <w:rFonts w:asciiTheme="majorHAnsi" w:hAnsiTheme="majorHAnsi" w:cstheme="majorHAnsi"/>
          <w:lang w:val="en-US"/>
        </w:rPr>
      </w:pPr>
      <w:r w:rsidRPr="008376FC">
        <w:rPr>
          <w:rFonts w:asciiTheme="majorHAnsi" w:hAnsiTheme="majorHAnsi" w:cstheme="majorHAnsi"/>
          <w:lang w:val="en-US"/>
        </w:rPr>
        <w:t xml:space="preserve">Au fost efectuate vizite în teritoriu la </w:t>
      </w:r>
      <w:r w:rsidR="00FA5D7B" w:rsidRPr="008376FC">
        <w:rPr>
          <w:rFonts w:asciiTheme="majorHAnsi" w:hAnsiTheme="majorHAnsi" w:cstheme="majorHAnsi"/>
          <w:lang w:val="en-US"/>
        </w:rPr>
        <w:t xml:space="preserve">20 </w:t>
      </w:r>
      <w:r w:rsidR="00836B45">
        <w:rPr>
          <w:rFonts w:asciiTheme="majorHAnsi" w:hAnsiTheme="majorHAnsi" w:cstheme="majorHAnsi"/>
          <w:lang w:val="en-US"/>
        </w:rPr>
        <w:t xml:space="preserve">de </w:t>
      </w:r>
      <w:r w:rsidRPr="008376FC">
        <w:rPr>
          <w:rFonts w:asciiTheme="majorHAnsi" w:hAnsiTheme="majorHAnsi" w:cstheme="majorHAnsi"/>
          <w:lang w:val="en-US"/>
        </w:rPr>
        <w:t xml:space="preserve">proiecte investiţionale (dintre care 4 finanţate din FEN, </w:t>
      </w:r>
      <w:r w:rsidR="00FA5D7B" w:rsidRPr="008376FC">
        <w:rPr>
          <w:rFonts w:asciiTheme="majorHAnsi" w:hAnsiTheme="majorHAnsi" w:cstheme="majorHAnsi"/>
          <w:lang w:val="en-US"/>
        </w:rPr>
        <w:t xml:space="preserve">15 </w:t>
      </w:r>
      <w:r w:rsidRPr="008376FC">
        <w:rPr>
          <w:rFonts w:asciiTheme="majorHAnsi" w:hAnsiTheme="majorHAnsi" w:cstheme="majorHAnsi"/>
          <w:lang w:val="en-US"/>
        </w:rPr>
        <w:t>din FNDR şi 1 din FNDAMR);</w:t>
      </w:r>
    </w:p>
    <w:p w:rsidR="000E184F" w:rsidRPr="008376FC" w:rsidRDefault="000E184F" w:rsidP="00F61756">
      <w:pPr>
        <w:pStyle w:val="a3"/>
        <w:numPr>
          <w:ilvl w:val="0"/>
          <w:numId w:val="68"/>
        </w:numPr>
        <w:spacing w:line="276" w:lineRule="auto"/>
        <w:jc w:val="both"/>
        <w:rPr>
          <w:rFonts w:asciiTheme="majorHAnsi" w:hAnsiTheme="majorHAnsi" w:cstheme="majorHAnsi"/>
          <w:lang w:val="en-US"/>
        </w:rPr>
      </w:pPr>
      <w:r w:rsidRPr="008376FC">
        <w:rPr>
          <w:rFonts w:asciiTheme="majorHAnsi" w:hAnsiTheme="majorHAnsi" w:cstheme="majorHAnsi"/>
          <w:lang w:val="en-US"/>
        </w:rPr>
        <w:t>Au fost examinate în total 123 de dosare aferente proiectelor investiționale finanţate din fondurile bugetare: dintre care</w:t>
      </w:r>
      <w:r w:rsidR="00836B45">
        <w:rPr>
          <w:rFonts w:asciiTheme="majorHAnsi" w:hAnsiTheme="majorHAnsi" w:cstheme="majorHAnsi"/>
          <w:lang w:val="en-US"/>
        </w:rPr>
        <w:t>:</w:t>
      </w:r>
      <w:r w:rsidRPr="008376FC">
        <w:rPr>
          <w:rFonts w:asciiTheme="majorHAnsi" w:hAnsiTheme="majorHAnsi" w:cstheme="majorHAnsi"/>
          <w:lang w:val="en-US"/>
        </w:rPr>
        <w:t xml:space="preserve"> 80 de dosare care vizează mai multe etape de implementare a 20 </w:t>
      </w:r>
      <w:r w:rsidR="00836B45">
        <w:rPr>
          <w:rFonts w:asciiTheme="majorHAnsi" w:hAnsiTheme="majorHAnsi" w:cstheme="majorHAnsi"/>
          <w:lang w:val="en-US"/>
        </w:rPr>
        <w:t xml:space="preserve">de </w:t>
      </w:r>
      <w:r w:rsidRPr="008376FC">
        <w:rPr>
          <w:rFonts w:asciiTheme="majorHAnsi" w:hAnsiTheme="majorHAnsi" w:cstheme="majorHAnsi"/>
          <w:lang w:val="en-US"/>
        </w:rPr>
        <w:t xml:space="preserve">proiecte </w:t>
      </w:r>
      <w:r w:rsidR="00836B45">
        <w:rPr>
          <w:rFonts w:asciiTheme="majorHAnsi" w:hAnsiTheme="majorHAnsi" w:cstheme="majorHAnsi"/>
          <w:lang w:val="en-US"/>
        </w:rPr>
        <w:t xml:space="preserve">ale </w:t>
      </w:r>
      <w:r w:rsidRPr="008376FC">
        <w:rPr>
          <w:rFonts w:asciiTheme="majorHAnsi" w:hAnsiTheme="majorHAnsi" w:cstheme="majorHAnsi"/>
          <w:lang w:val="en-US"/>
        </w:rPr>
        <w:t xml:space="preserve">FEN, 15 dosare aferente proiectelor FNDR, 10 dosare aferente proiectelor FNDAMR, precum şi </w:t>
      </w:r>
      <w:r w:rsidR="00836B45">
        <w:rPr>
          <w:rFonts w:asciiTheme="majorHAnsi" w:hAnsiTheme="majorHAnsi" w:cstheme="majorHAnsi"/>
          <w:lang w:val="en-US"/>
        </w:rPr>
        <w:t xml:space="preserve">a fost </w:t>
      </w:r>
      <w:r w:rsidRPr="008376FC">
        <w:rPr>
          <w:rFonts w:asciiTheme="majorHAnsi" w:hAnsiTheme="majorHAnsi" w:cstheme="majorHAnsi"/>
          <w:lang w:val="en-US"/>
        </w:rPr>
        <w:t>efectuată analiza comparativă a 18 dosare ONDRL (care reprezintă continuarea proiectelor iniţiate anterior din FEN şi FNDAMR</w:t>
      </w:r>
      <w:r w:rsidR="00836B45">
        <w:rPr>
          <w:rFonts w:asciiTheme="majorHAnsi" w:hAnsiTheme="majorHAnsi" w:cstheme="majorHAnsi"/>
          <w:lang w:val="en-US"/>
        </w:rPr>
        <w:t>,</w:t>
      </w:r>
      <w:r w:rsidRPr="008376FC">
        <w:rPr>
          <w:rFonts w:asciiTheme="majorHAnsi" w:hAnsiTheme="majorHAnsi" w:cstheme="majorHAnsi"/>
          <w:lang w:val="en-US"/>
        </w:rPr>
        <w:t xml:space="preserve"> cu contrapunerea datelor din 15 dosare FEN şi 3 dosare FNDAMR);</w:t>
      </w:r>
    </w:p>
    <w:p w:rsidR="000E184F" w:rsidRPr="008376FC" w:rsidRDefault="000E184F" w:rsidP="00F61756">
      <w:pPr>
        <w:pStyle w:val="a3"/>
        <w:numPr>
          <w:ilvl w:val="0"/>
          <w:numId w:val="68"/>
        </w:numPr>
        <w:spacing w:line="276" w:lineRule="auto"/>
        <w:jc w:val="both"/>
        <w:rPr>
          <w:rFonts w:asciiTheme="majorHAnsi" w:hAnsiTheme="majorHAnsi" w:cstheme="majorHAnsi"/>
          <w:lang w:val="en-US"/>
        </w:rPr>
      </w:pPr>
      <w:r w:rsidRPr="008376FC">
        <w:rPr>
          <w:rFonts w:asciiTheme="majorHAnsi" w:hAnsiTheme="majorHAnsi" w:cstheme="majorHAnsi"/>
          <w:lang w:val="en-US"/>
        </w:rPr>
        <w:t xml:space="preserve">Au fost transmise 37 </w:t>
      </w:r>
      <w:r w:rsidR="00836B45">
        <w:rPr>
          <w:rFonts w:asciiTheme="majorHAnsi" w:hAnsiTheme="majorHAnsi" w:cstheme="majorHAnsi"/>
          <w:lang w:val="en-US"/>
        </w:rPr>
        <w:t xml:space="preserve">de </w:t>
      </w:r>
      <w:r w:rsidRPr="008376FC">
        <w:rPr>
          <w:rFonts w:asciiTheme="majorHAnsi" w:hAnsiTheme="majorHAnsi" w:cstheme="majorHAnsi"/>
          <w:lang w:val="en-US"/>
        </w:rPr>
        <w:t>chestionare pentru 37 de consilii raionale, pentru determinarea gradului de dotare cu infrastructura tehnico-edilitară şi PI implementate în cadrul fiecărui UAT;</w:t>
      </w:r>
    </w:p>
    <w:p w:rsidR="000E184F" w:rsidRPr="008376FC" w:rsidRDefault="000E184F" w:rsidP="00F61756">
      <w:pPr>
        <w:pStyle w:val="a3"/>
        <w:numPr>
          <w:ilvl w:val="0"/>
          <w:numId w:val="68"/>
        </w:numPr>
        <w:spacing w:line="276" w:lineRule="auto"/>
        <w:jc w:val="both"/>
        <w:rPr>
          <w:rFonts w:asciiTheme="majorHAnsi" w:hAnsiTheme="majorHAnsi" w:cstheme="majorHAnsi"/>
          <w:lang w:val="en-US"/>
        </w:rPr>
      </w:pPr>
      <w:r w:rsidRPr="008376FC">
        <w:rPr>
          <w:rFonts w:asciiTheme="majorHAnsi" w:hAnsiTheme="majorHAnsi" w:cstheme="majorHAnsi"/>
          <w:lang w:val="en-US"/>
        </w:rPr>
        <w:t xml:space="preserve">Au fost transmise solicitări la 578 de beneficiari ai proiectelor FEN, în vederea determinării gradului de valorificare a mijloacelor financiare din FEN, gradului de finalizare a lucrărilor de construcții şi contabilizarea acestor proiecte de investiții; </w:t>
      </w:r>
    </w:p>
    <w:p w:rsidR="000E184F" w:rsidRPr="008376FC" w:rsidRDefault="000E184F" w:rsidP="00F61756">
      <w:pPr>
        <w:pStyle w:val="a3"/>
        <w:numPr>
          <w:ilvl w:val="0"/>
          <w:numId w:val="68"/>
        </w:numPr>
        <w:spacing w:line="276" w:lineRule="auto"/>
        <w:jc w:val="both"/>
        <w:rPr>
          <w:rFonts w:asciiTheme="majorHAnsi" w:hAnsiTheme="majorHAnsi" w:cstheme="majorHAnsi"/>
          <w:lang w:val="en-US"/>
        </w:rPr>
      </w:pPr>
      <w:r w:rsidRPr="008376FC">
        <w:rPr>
          <w:rFonts w:asciiTheme="majorHAnsi" w:hAnsiTheme="majorHAnsi" w:cstheme="majorHAnsi"/>
          <w:lang w:val="en-US"/>
        </w:rPr>
        <w:t>Au fost analizate contractele de antrepriză, contractele de finanţare, notele informative, hotărârile judecătoreşti;</w:t>
      </w:r>
    </w:p>
    <w:p w:rsidR="000E184F" w:rsidRPr="009D4552" w:rsidRDefault="00D0145C" w:rsidP="00F61756">
      <w:pPr>
        <w:spacing w:line="276" w:lineRule="auto"/>
        <w:jc w:val="both"/>
        <w:rPr>
          <w:rFonts w:asciiTheme="majorHAnsi" w:eastAsia="Times New Roman" w:hAnsiTheme="majorHAnsi" w:cstheme="majorHAnsi"/>
          <w:b w:val="0"/>
          <w:bCs w:val="0"/>
          <w:iCs/>
          <w:sz w:val="24"/>
          <w:szCs w:val="24"/>
        </w:rPr>
      </w:pPr>
      <w:r w:rsidRPr="009D4552">
        <w:rPr>
          <w:rFonts w:asciiTheme="majorHAnsi" w:eastAsia="Times New Roman" w:hAnsiTheme="majorHAnsi" w:cstheme="majorHAnsi"/>
          <w:iCs/>
          <w:sz w:val="24"/>
          <w:szCs w:val="24"/>
        </w:rPr>
        <w:t xml:space="preserve">La </w:t>
      </w:r>
      <w:r w:rsidR="004C1766">
        <w:rPr>
          <w:rFonts w:asciiTheme="majorHAnsi" w:eastAsia="Times New Roman" w:hAnsiTheme="majorHAnsi" w:cstheme="majorHAnsi"/>
          <w:iCs/>
          <w:sz w:val="24"/>
          <w:szCs w:val="24"/>
        </w:rPr>
        <w:t>intrebarea nr. 3:</w:t>
      </w:r>
      <w:r w:rsidR="000E184F" w:rsidRPr="009D4552">
        <w:rPr>
          <w:rFonts w:asciiTheme="majorHAnsi" w:eastAsia="Times New Roman" w:hAnsiTheme="majorHAnsi" w:cstheme="majorHAnsi"/>
          <w:iCs/>
          <w:sz w:val="24"/>
          <w:szCs w:val="24"/>
        </w:rPr>
        <w:t xml:space="preserve"> Există un sistem centralizat de date care să permită evaluarea și monitorizarea situației în domeniul aprovizionării cu apă și sanitație</w:t>
      </w:r>
      <w:r w:rsidR="00F64216" w:rsidRPr="009D4552">
        <w:rPr>
          <w:rFonts w:asciiTheme="majorHAnsi" w:eastAsia="Times New Roman" w:hAnsiTheme="majorHAnsi" w:cstheme="majorHAnsi"/>
          <w:iCs/>
          <w:sz w:val="24"/>
          <w:szCs w:val="24"/>
        </w:rPr>
        <w:t>i</w:t>
      </w:r>
      <w:r w:rsidR="000E184F" w:rsidRPr="009D4552">
        <w:rPr>
          <w:rFonts w:asciiTheme="majorHAnsi" w:eastAsia="Times New Roman" w:hAnsiTheme="majorHAnsi" w:cstheme="majorHAnsi"/>
          <w:iCs/>
          <w:sz w:val="24"/>
          <w:szCs w:val="24"/>
        </w:rPr>
        <w:t xml:space="preserve"> a populației și </w:t>
      </w:r>
      <w:r w:rsidR="00F64216" w:rsidRPr="009D4552">
        <w:rPr>
          <w:rFonts w:asciiTheme="majorHAnsi" w:eastAsia="Times New Roman" w:hAnsiTheme="majorHAnsi" w:cstheme="majorHAnsi"/>
          <w:iCs/>
          <w:sz w:val="24"/>
          <w:szCs w:val="24"/>
        </w:rPr>
        <w:t xml:space="preserve">a </w:t>
      </w:r>
      <w:r w:rsidR="000E184F" w:rsidRPr="009D4552">
        <w:rPr>
          <w:rFonts w:asciiTheme="majorHAnsi" w:eastAsia="Times New Roman" w:hAnsiTheme="majorHAnsi" w:cstheme="majorHAnsi"/>
          <w:iCs/>
          <w:sz w:val="24"/>
          <w:szCs w:val="24"/>
        </w:rPr>
        <w:t>localităților din republică?</w:t>
      </w:r>
    </w:p>
    <w:p w:rsidR="000E184F" w:rsidRPr="008376FC" w:rsidRDefault="000E184F" w:rsidP="00F61756">
      <w:pPr>
        <w:pStyle w:val="a3"/>
        <w:numPr>
          <w:ilvl w:val="0"/>
          <w:numId w:val="68"/>
        </w:numPr>
        <w:spacing w:line="276" w:lineRule="auto"/>
        <w:jc w:val="both"/>
        <w:rPr>
          <w:rFonts w:asciiTheme="majorHAnsi" w:hAnsiTheme="majorHAnsi" w:cstheme="majorHAnsi"/>
          <w:lang w:val="en-US"/>
        </w:rPr>
      </w:pPr>
      <w:r w:rsidRPr="008376FC">
        <w:rPr>
          <w:rFonts w:asciiTheme="majorHAnsi" w:hAnsiTheme="majorHAnsi" w:cstheme="majorHAnsi"/>
          <w:lang w:val="ro-RO"/>
        </w:rPr>
        <w:t>Au fost analizate datele rapoartelor statistice apeduct-canalizare pentru anii 2016-2021;</w:t>
      </w:r>
    </w:p>
    <w:p w:rsidR="000E184F" w:rsidRPr="008376FC" w:rsidRDefault="000E184F" w:rsidP="00F61756">
      <w:pPr>
        <w:pStyle w:val="a3"/>
        <w:numPr>
          <w:ilvl w:val="0"/>
          <w:numId w:val="68"/>
        </w:numPr>
        <w:spacing w:line="276" w:lineRule="auto"/>
        <w:jc w:val="both"/>
        <w:rPr>
          <w:rFonts w:asciiTheme="majorHAnsi" w:hAnsiTheme="majorHAnsi" w:cstheme="majorHAnsi"/>
          <w:lang w:val="en-US"/>
        </w:rPr>
      </w:pPr>
      <w:r w:rsidRPr="008376FC">
        <w:rPr>
          <w:rFonts w:asciiTheme="majorHAnsi" w:hAnsiTheme="majorHAnsi" w:cstheme="majorHAnsi"/>
          <w:lang w:val="ro-RO"/>
        </w:rPr>
        <w:t xml:space="preserve">A fost examinate documentele aferente iniţierii, implementării şi monitorizării PIEF şi nemijlocit acţiunile aferente implementării acţiunii 2.6C </w:t>
      </w:r>
      <w:r w:rsidR="00836B45">
        <w:rPr>
          <w:rFonts w:asciiTheme="majorHAnsi" w:hAnsiTheme="majorHAnsi" w:cstheme="majorHAnsi"/>
          <w:lang w:val="ro-RO"/>
        </w:rPr>
        <w:t>privind</w:t>
      </w:r>
      <w:r w:rsidRPr="008376FC">
        <w:rPr>
          <w:rFonts w:asciiTheme="majorHAnsi" w:hAnsiTheme="majorHAnsi" w:cstheme="majorHAnsi"/>
          <w:lang w:val="ro-RO"/>
        </w:rPr>
        <w:t xml:space="preserve"> cre</w:t>
      </w:r>
      <w:r w:rsidR="00836B45">
        <w:rPr>
          <w:rFonts w:asciiTheme="majorHAnsi" w:hAnsiTheme="majorHAnsi" w:cstheme="majorHAnsi"/>
          <w:lang w:val="ro-RO"/>
        </w:rPr>
        <w:t>area</w:t>
      </w:r>
      <w:r w:rsidRPr="008376FC">
        <w:rPr>
          <w:rFonts w:asciiTheme="majorHAnsi" w:hAnsiTheme="majorHAnsi" w:cstheme="majorHAnsi"/>
          <w:lang w:val="ro-RO"/>
        </w:rPr>
        <w:t xml:space="preserve"> SIA ROITE;</w:t>
      </w:r>
    </w:p>
    <w:p w:rsidR="000E184F" w:rsidRPr="008376FC" w:rsidRDefault="009D4552" w:rsidP="00F61756">
      <w:pPr>
        <w:spacing w:line="276" w:lineRule="auto"/>
        <w:jc w:val="both"/>
        <w:rPr>
          <w:rFonts w:asciiTheme="majorHAnsi" w:eastAsia="Times New Roman" w:hAnsiTheme="majorHAnsi" w:cstheme="majorHAnsi"/>
          <w:sz w:val="24"/>
          <w:szCs w:val="24"/>
        </w:rPr>
      </w:pPr>
      <w:r>
        <w:rPr>
          <w:rFonts w:asciiTheme="majorHAnsi" w:eastAsia="Times New Roman" w:hAnsiTheme="majorHAnsi" w:cstheme="majorHAnsi"/>
          <w:sz w:val="24"/>
          <w:szCs w:val="24"/>
        </w:rPr>
        <w:t xml:space="preserve">La </w:t>
      </w:r>
      <w:r w:rsidR="004C1766">
        <w:rPr>
          <w:rFonts w:asciiTheme="majorHAnsi" w:eastAsia="Times New Roman" w:hAnsiTheme="majorHAnsi" w:cstheme="majorHAnsi"/>
          <w:sz w:val="24"/>
          <w:szCs w:val="24"/>
        </w:rPr>
        <w:t>intrebarea nr.4</w:t>
      </w:r>
      <w:r w:rsidR="000E184F" w:rsidRPr="008376FC">
        <w:rPr>
          <w:rFonts w:asciiTheme="majorHAnsi" w:eastAsia="Times New Roman" w:hAnsiTheme="majorHAnsi" w:cstheme="majorHAnsi"/>
          <w:sz w:val="24"/>
          <w:szCs w:val="24"/>
        </w:rPr>
        <w:t>: Calitatea apei potabile</w:t>
      </w:r>
      <w:r w:rsidR="00F64216">
        <w:rPr>
          <w:rFonts w:asciiTheme="majorHAnsi" w:eastAsia="Times New Roman" w:hAnsiTheme="majorHAnsi" w:cstheme="majorHAnsi"/>
          <w:sz w:val="24"/>
          <w:szCs w:val="24"/>
        </w:rPr>
        <w:t>,</w:t>
      </w:r>
      <w:r w:rsidR="000E184F" w:rsidRPr="008376FC">
        <w:rPr>
          <w:rFonts w:asciiTheme="majorHAnsi" w:eastAsia="Times New Roman" w:hAnsiTheme="majorHAnsi" w:cstheme="majorHAnsi"/>
          <w:sz w:val="24"/>
          <w:szCs w:val="24"/>
        </w:rPr>
        <w:t xml:space="preserve"> ca factor determinant al sănătății</w:t>
      </w:r>
      <w:r w:rsidR="00F64216">
        <w:rPr>
          <w:rFonts w:asciiTheme="majorHAnsi" w:eastAsia="Times New Roman" w:hAnsiTheme="majorHAnsi" w:cstheme="majorHAnsi"/>
          <w:sz w:val="24"/>
          <w:szCs w:val="24"/>
        </w:rPr>
        <w:t>,</w:t>
      </w:r>
      <w:r w:rsidR="000E184F" w:rsidRPr="008376FC">
        <w:rPr>
          <w:rFonts w:asciiTheme="majorHAnsi" w:eastAsia="Times New Roman" w:hAnsiTheme="majorHAnsi" w:cstheme="majorHAnsi"/>
          <w:sz w:val="24"/>
          <w:szCs w:val="24"/>
        </w:rPr>
        <w:t xml:space="preserve"> corespunde normativelor sanitare? </w:t>
      </w:r>
    </w:p>
    <w:p w:rsidR="000E184F" w:rsidRPr="008376FC" w:rsidRDefault="000E184F" w:rsidP="00F61756">
      <w:pPr>
        <w:pStyle w:val="a3"/>
        <w:numPr>
          <w:ilvl w:val="0"/>
          <w:numId w:val="68"/>
        </w:numPr>
        <w:spacing w:line="276" w:lineRule="auto"/>
        <w:jc w:val="both"/>
        <w:rPr>
          <w:rFonts w:asciiTheme="majorHAnsi" w:hAnsiTheme="majorHAnsi" w:cstheme="majorHAnsi"/>
          <w:lang w:val="en-US"/>
        </w:rPr>
      </w:pPr>
      <w:r w:rsidRPr="008376FC">
        <w:rPr>
          <w:rFonts w:asciiTheme="majorHAnsi" w:hAnsiTheme="majorHAnsi" w:cstheme="majorHAnsi"/>
          <w:lang w:val="ro-RO"/>
        </w:rPr>
        <w:t>Au fost examinate Rapoartele de activitate ale ANSP şi CSP, informaţiile privind controalele efectuate de ANSP şi informaţii</w:t>
      </w:r>
      <w:r w:rsidR="00836B45">
        <w:rPr>
          <w:rFonts w:asciiTheme="majorHAnsi" w:hAnsiTheme="majorHAnsi" w:cstheme="majorHAnsi"/>
          <w:lang w:val="ro-RO"/>
        </w:rPr>
        <w:t>le</w:t>
      </w:r>
      <w:r w:rsidRPr="008376FC">
        <w:rPr>
          <w:rFonts w:asciiTheme="majorHAnsi" w:hAnsiTheme="majorHAnsi" w:cstheme="majorHAnsi"/>
          <w:lang w:val="ro-RO"/>
        </w:rPr>
        <w:t xml:space="preserve"> privind rapo</w:t>
      </w:r>
      <w:r w:rsidR="00836B45">
        <w:rPr>
          <w:rFonts w:asciiTheme="majorHAnsi" w:hAnsiTheme="majorHAnsi" w:cstheme="majorHAnsi"/>
          <w:lang w:val="ro-RO"/>
        </w:rPr>
        <w:t>a</w:t>
      </w:r>
      <w:r w:rsidRPr="008376FC">
        <w:rPr>
          <w:rFonts w:asciiTheme="majorHAnsi" w:hAnsiTheme="majorHAnsi" w:cstheme="majorHAnsi"/>
          <w:lang w:val="ro-RO"/>
        </w:rPr>
        <w:t>rtele de calitate a apei;</w:t>
      </w:r>
    </w:p>
    <w:p w:rsidR="000E184F" w:rsidRPr="008376FC" w:rsidRDefault="000E184F" w:rsidP="00F61756">
      <w:pPr>
        <w:pStyle w:val="a3"/>
        <w:numPr>
          <w:ilvl w:val="0"/>
          <w:numId w:val="68"/>
        </w:numPr>
        <w:spacing w:line="276" w:lineRule="auto"/>
        <w:jc w:val="both"/>
        <w:rPr>
          <w:rFonts w:asciiTheme="majorHAnsi" w:hAnsiTheme="majorHAnsi" w:cstheme="majorHAnsi"/>
          <w:lang w:val="en-US"/>
        </w:rPr>
      </w:pPr>
      <w:r w:rsidRPr="008376FC">
        <w:rPr>
          <w:rFonts w:asciiTheme="majorHAnsi" w:hAnsiTheme="majorHAnsi" w:cstheme="majorHAnsi"/>
          <w:lang w:val="ro-RO"/>
        </w:rPr>
        <w:t>Au fost analizate rapoartele privind calitatea apei</w:t>
      </w:r>
      <w:r w:rsidR="00836B45">
        <w:rPr>
          <w:rFonts w:asciiTheme="majorHAnsi" w:hAnsiTheme="majorHAnsi" w:cstheme="majorHAnsi"/>
          <w:lang w:val="ro-RO"/>
        </w:rPr>
        <w:t>,</w:t>
      </w:r>
      <w:r w:rsidRPr="008376FC">
        <w:rPr>
          <w:rFonts w:asciiTheme="majorHAnsi" w:hAnsiTheme="majorHAnsi" w:cstheme="majorHAnsi"/>
          <w:lang w:val="ro-RO"/>
        </w:rPr>
        <w:t xml:space="preserve"> prezentate de beneficiari, de laboratoarele apă-canal</w:t>
      </w:r>
      <w:r w:rsidR="00836B45">
        <w:rPr>
          <w:rFonts w:asciiTheme="majorHAnsi" w:hAnsiTheme="majorHAnsi" w:cstheme="majorHAnsi"/>
          <w:lang w:val="ro-RO"/>
        </w:rPr>
        <w:t>,</w:t>
      </w:r>
      <w:r w:rsidRPr="008376FC">
        <w:rPr>
          <w:rFonts w:asciiTheme="majorHAnsi" w:hAnsiTheme="majorHAnsi" w:cstheme="majorHAnsi"/>
          <w:lang w:val="ro-RO"/>
        </w:rPr>
        <w:t xml:space="preserve"> şi avizele CSP privind calitatea apei;</w:t>
      </w:r>
    </w:p>
    <w:p w:rsidR="000E184F" w:rsidRPr="008376FC" w:rsidRDefault="000E184F" w:rsidP="00F61756">
      <w:pPr>
        <w:pStyle w:val="a3"/>
        <w:numPr>
          <w:ilvl w:val="0"/>
          <w:numId w:val="68"/>
        </w:numPr>
        <w:spacing w:line="276" w:lineRule="auto"/>
        <w:jc w:val="both"/>
        <w:rPr>
          <w:rFonts w:asciiTheme="majorHAnsi" w:hAnsiTheme="majorHAnsi" w:cstheme="majorHAnsi"/>
          <w:lang w:val="en-US"/>
        </w:rPr>
      </w:pPr>
      <w:r w:rsidRPr="008376FC">
        <w:rPr>
          <w:rFonts w:asciiTheme="majorHAnsi" w:hAnsiTheme="majorHAnsi" w:cstheme="majorHAnsi"/>
          <w:lang w:val="ro-RO"/>
        </w:rPr>
        <w:t>Au fost analizate laboratoarele de analiz</w:t>
      </w:r>
      <w:r w:rsidR="00836B45">
        <w:rPr>
          <w:rFonts w:asciiTheme="majorHAnsi" w:hAnsiTheme="majorHAnsi" w:cstheme="majorHAnsi"/>
          <w:lang w:val="ro-RO"/>
        </w:rPr>
        <w:t xml:space="preserve">ă </w:t>
      </w:r>
      <w:r w:rsidRPr="008376FC">
        <w:rPr>
          <w:rFonts w:asciiTheme="majorHAnsi" w:hAnsiTheme="majorHAnsi" w:cstheme="majorHAnsi"/>
          <w:lang w:val="ro-RO"/>
        </w:rPr>
        <w:t>a apei acreditate/atestate de MOLDAC;</w:t>
      </w:r>
    </w:p>
    <w:p w:rsidR="000E184F" w:rsidRPr="009D4552" w:rsidRDefault="009D4552" w:rsidP="00F61756">
      <w:pPr>
        <w:spacing w:line="276" w:lineRule="auto"/>
        <w:jc w:val="both"/>
        <w:rPr>
          <w:rFonts w:asciiTheme="majorHAnsi" w:eastAsia="Times New Roman" w:hAnsiTheme="majorHAnsi" w:cstheme="majorHAnsi"/>
          <w:b w:val="0"/>
          <w:bCs w:val="0"/>
          <w:iCs/>
          <w:sz w:val="24"/>
          <w:szCs w:val="24"/>
        </w:rPr>
      </w:pPr>
      <w:r w:rsidRPr="009D4552">
        <w:rPr>
          <w:rFonts w:asciiTheme="majorHAnsi" w:eastAsia="Times New Roman" w:hAnsiTheme="majorHAnsi" w:cstheme="majorHAnsi"/>
          <w:iCs/>
          <w:sz w:val="24"/>
          <w:szCs w:val="24"/>
        </w:rPr>
        <w:t xml:space="preserve">La </w:t>
      </w:r>
      <w:r w:rsidR="004C1766">
        <w:rPr>
          <w:rFonts w:asciiTheme="majorHAnsi" w:eastAsia="Times New Roman" w:hAnsiTheme="majorHAnsi" w:cstheme="majorHAnsi"/>
          <w:iCs/>
          <w:sz w:val="24"/>
          <w:szCs w:val="24"/>
        </w:rPr>
        <w:t>intrebarea nr.5</w:t>
      </w:r>
      <w:r w:rsidR="000E184F" w:rsidRPr="009D4552">
        <w:rPr>
          <w:rFonts w:asciiTheme="majorHAnsi" w:eastAsia="Times New Roman" w:hAnsiTheme="majorHAnsi" w:cstheme="majorHAnsi"/>
          <w:iCs/>
          <w:sz w:val="24"/>
          <w:szCs w:val="24"/>
        </w:rPr>
        <w:t xml:space="preserve">: Tarifele aprobate pentru serviciile prestate de alimentare cu apă și sanitație sunt adecvate pentru a acoperi costurile aferente prestării serviciului public respectiv?  </w:t>
      </w:r>
    </w:p>
    <w:p w:rsidR="000E184F" w:rsidRPr="008376FC" w:rsidRDefault="000E184F" w:rsidP="00F61756">
      <w:pPr>
        <w:pStyle w:val="a3"/>
        <w:numPr>
          <w:ilvl w:val="0"/>
          <w:numId w:val="68"/>
        </w:numPr>
        <w:spacing w:line="276" w:lineRule="auto"/>
        <w:jc w:val="both"/>
        <w:rPr>
          <w:rFonts w:asciiTheme="majorHAnsi" w:hAnsiTheme="majorHAnsi" w:cstheme="majorHAnsi"/>
          <w:lang w:val="en-US"/>
        </w:rPr>
      </w:pPr>
      <w:r w:rsidRPr="008376FC">
        <w:rPr>
          <w:rFonts w:asciiTheme="majorHAnsi" w:hAnsiTheme="majorHAnsi" w:cstheme="majorHAnsi"/>
          <w:lang w:val="en-US"/>
        </w:rPr>
        <w:t>A fost efectuată analiza indicatorilor (capitatul propriu net, gradul de îndatorare, gradul de uzură a infrastructurii apă-canal etc</w:t>
      </w:r>
      <w:r w:rsidR="00836B45">
        <w:rPr>
          <w:rFonts w:asciiTheme="majorHAnsi" w:hAnsiTheme="majorHAnsi" w:cstheme="majorHAnsi"/>
          <w:lang w:val="en-US"/>
        </w:rPr>
        <w:t>.</w:t>
      </w:r>
      <w:r w:rsidRPr="008376FC">
        <w:rPr>
          <w:rFonts w:asciiTheme="majorHAnsi" w:hAnsiTheme="majorHAnsi" w:cstheme="majorHAnsi"/>
          <w:lang w:val="en-US"/>
        </w:rPr>
        <w:t xml:space="preserve">) din Situaţiile financiare pentru anii 2014, 2019, 2020 şi 2021 pentru 36 </w:t>
      </w:r>
      <w:r w:rsidR="00836B45">
        <w:rPr>
          <w:rFonts w:asciiTheme="majorHAnsi" w:hAnsiTheme="majorHAnsi" w:cstheme="majorHAnsi"/>
          <w:lang w:val="en-US"/>
        </w:rPr>
        <w:t xml:space="preserve">de </w:t>
      </w:r>
      <w:r w:rsidRPr="008376FC">
        <w:rPr>
          <w:rFonts w:asciiTheme="majorHAnsi" w:hAnsiTheme="majorHAnsi" w:cstheme="majorHAnsi"/>
          <w:lang w:val="en-US"/>
        </w:rPr>
        <w:t>operatori apă-canal licenţiaţi;</w:t>
      </w:r>
    </w:p>
    <w:p w:rsidR="000E184F" w:rsidRPr="008376FC" w:rsidRDefault="000E184F" w:rsidP="00F61756">
      <w:pPr>
        <w:pStyle w:val="a3"/>
        <w:numPr>
          <w:ilvl w:val="0"/>
          <w:numId w:val="68"/>
        </w:numPr>
        <w:spacing w:line="276" w:lineRule="auto"/>
        <w:jc w:val="both"/>
        <w:rPr>
          <w:rFonts w:asciiTheme="majorHAnsi" w:hAnsiTheme="majorHAnsi" w:cstheme="majorHAnsi"/>
          <w:lang w:val="en-US"/>
        </w:rPr>
      </w:pPr>
      <w:r w:rsidRPr="008376FC">
        <w:rPr>
          <w:rFonts w:asciiTheme="majorHAnsi" w:hAnsiTheme="majorHAnsi" w:cstheme="majorHAnsi"/>
          <w:lang w:val="en-US"/>
        </w:rPr>
        <w:t xml:space="preserve">Au fost analizați indicatorii monitorizați de ANRE </w:t>
      </w:r>
      <w:r w:rsidR="00926F71">
        <w:rPr>
          <w:rFonts w:asciiTheme="majorHAnsi" w:hAnsiTheme="majorHAnsi" w:cstheme="majorHAnsi"/>
          <w:lang w:val="en-US"/>
        </w:rPr>
        <w:t>privind</w:t>
      </w:r>
      <w:r w:rsidRPr="008376FC">
        <w:rPr>
          <w:rFonts w:asciiTheme="majorHAnsi" w:hAnsiTheme="majorHAnsi" w:cstheme="majorHAnsi"/>
          <w:lang w:val="en-US"/>
        </w:rPr>
        <w:t xml:space="preserve"> 44 de operatori apă</w:t>
      </w:r>
      <w:r w:rsidR="00836B45">
        <w:rPr>
          <w:rFonts w:asciiTheme="majorHAnsi" w:hAnsiTheme="majorHAnsi" w:cstheme="majorHAnsi"/>
          <w:lang w:val="en-US"/>
        </w:rPr>
        <w:t>-</w:t>
      </w:r>
      <w:r w:rsidRPr="008376FC">
        <w:rPr>
          <w:rFonts w:asciiTheme="majorHAnsi" w:hAnsiTheme="majorHAnsi" w:cstheme="majorHAnsi"/>
          <w:lang w:val="en-US"/>
        </w:rPr>
        <w:t>canal licenţiaţi (nivelul pierderilor, investiţiile planificate şi efectuate în infrastructura AAS etc.);</w:t>
      </w:r>
    </w:p>
    <w:p w:rsidR="000E184F" w:rsidRPr="009D4552" w:rsidRDefault="009D4552" w:rsidP="00F61756">
      <w:pPr>
        <w:spacing w:line="276" w:lineRule="auto"/>
        <w:jc w:val="both"/>
        <w:rPr>
          <w:rFonts w:asciiTheme="majorHAnsi" w:eastAsia="Times New Roman" w:hAnsiTheme="majorHAnsi" w:cstheme="majorHAnsi"/>
          <w:b w:val="0"/>
          <w:bCs w:val="0"/>
          <w:iCs/>
          <w:sz w:val="24"/>
          <w:szCs w:val="24"/>
        </w:rPr>
      </w:pPr>
      <w:r w:rsidRPr="009D4552">
        <w:rPr>
          <w:rFonts w:asciiTheme="majorHAnsi" w:eastAsia="Times New Roman" w:hAnsiTheme="majorHAnsi" w:cstheme="majorHAnsi"/>
          <w:iCs/>
          <w:sz w:val="24"/>
          <w:szCs w:val="24"/>
        </w:rPr>
        <w:t xml:space="preserve">La </w:t>
      </w:r>
      <w:r w:rsidR="004C1766">
        <w:rPr>
          <w:rFonts w:asciiTheme="majorHAnsi" w:eastAsia="Times New Roman" w:hAnsiTheme="majorHAnsi" w:cstheme="majorHAnsi"/>
          <w:iCs/>
          <w:sz w:val="24"/>
          <w:szCs w:val="24"/>
        </w:rPr>
        <w:t>intrebarea nr.6</w:t>
      </w:r>
      <w:r w:rsidR="000E184F" w:rsidRPr="009D4552">
        <w:rPr>
          <w:rFonts w:asciiTheme="majorHAnsi" w:eastAsia="Times New Roman" w:hAnsiTheme="majorHAnsi" w:cstheme="majorHAnsi"/>
          <w:iCs/>
          <w:sz w:val="24"/>
          <w:szCs w:val="24"/>
        </w:rPr>
        <w:t>:  Amenzile și prejudiciile aplicate de IPM contribuie la prevenirea cazurilor de încălcare a legislației privind protecția mediului în domeniul alimentării cu apă și sanitație</w:t>
      </w:r>
      <w:r w:rsidR="00926F71" w:rsidRPr="009D4552">
        <w:rPr>
          <w:rFonts w:asciiTheme="majorHAnsi" w:eastAsia="Times New Roman" w:hAnsiTheme="majorHAnsi" w:cstheme="majorHAnsi"/>
          <w:iCs/>
          <w:sz w:val="24"/>
          <w:szCs w:val="24"/>
        </w:rPr>
        <w:t>i</w:t>
      </w:r>
      <w:r w:rsidR="000E184F" w:rsidRPr="009D4552">
        <w:rPr>
          <w:rFonts w:asciiTheme="majorHAnsi" w:eastAsia="Times New Roman" w:hAnsiTheme="majorHAnsi" w:cstheme="majorHAnsi"/>
          <w:iCs/>
          <w:sz w:val="24"/>
          <w:szCs w:val="24"/>
        </w:rPr>
        <w:t>?</w:t>
      </w:r>
    </w:p>
    <w:p w:rsidR="000E184F" w:rsidRPr="008376FC" w:rsidRDefault="000E184F" w:rsidP="00F61756">
      <w:pPr>
        <w:pStyle w:val="a3"/>
        <w:numPr>
          <w:ilvl w:val="0"/>
          <w:numId w:val="68"/>
        </w:numPr>
        <w:spacing w:line="276" w:lineRule="auto"/>
        <w:jc w:val="both"/>
        <w:rPr>
          <w:rFonts w:asciiTheme="majorHAnsi" w:hAnsiTheme="majorHAnsi" w:cstheme="majorHAnsi"/>
          <w:lang w:val="en-US"/>
        </w:rPr>
      </w:pPr>
      <w:r w:rsidRPr="008376FC">
        <w:rPr>
          <w:rFonts w:asciiTheme="majorHAnsi" w:hAnsiTheme="majorHAnsi" w:cstheme="majorHAnsi"/>
          <w:lang w:val="en-US"/>
        </w:rPr>
        <w:t xml:space="preserve">Au fost analizate datele din anuarele statistice </w:t>
      </w:r>
      <w:r w:rsidR="00926F71">
        <w:rPr>
          <w:rFonts w:asciiTheme="majorHAnsi" w:hAnsiTheme="majorHAnsi" w:cstheme="majorHAnsi"/>
          <w:lang w:val="en-US"/>
        </w:rPr>
        <w:t xml:space="preserve">ale </w:t>
      </w:r>
      <w:r w:rsidRPr="008376FC">
        <w:rPr>
          <w:rFonts w:asciiTheme="majorHAnsi" w:hAnsiTheme="majorHAnsi" w:cstheme="majorHAnsi"/>
          <w:lang w:val="en-US"/>
        </w:rPr>
        <w:t xml:space="preserve">IPM în privinţa acţiunilor întreprinse </w:t>
      </w:r>
      <w:r w:rsidR="00926F71">
        <w:rPr>
          <w:rFonts w:asciiTheme="majorHAnsi" w:hAnsiTheme="majorHAnsi" w:cstheme="majorHAnsi"/>
          <w:lang w:val="en-US"/>
        </w:rPr>
        <w:t>pentru</w:t>
      </w:r>
      <w:r w:rsidRPr="008376FC">
        <w:rPr>
          <w:rFonts w:asciiTheme="majorHAnsi" w:hAnsiTheme="majorHAnsi" w:cstheme="majorHAnsi"/>
          <w:lang w:val="en-US"/>
        </w:rPr>
        <w:t xml:space="preserve"> depist</w:t>
      </w:r>
      <w:r w:rsidR="00926F71">
        <w:rPr>
          <w:rFonts w:asciiTheme="majorHAnsi" w:hAnsiTheme="majorHAnsi" w:cstheme="majorHAnsi"/>
          <w:lang w:val="en-US"/>
        </w:rPr>
        <w:t>area</w:t>
      </w:r>
      <w:r w:rsidRPr="008376FC">
        <w:rPr>
          <w:rFonts w:asciiTheme="majorHAnsi" w:hAnsiTheme="majorHAnsi" w:cstheme="majorHAnsi"/>
          <w:lang w:val="en-US"/>
        </w:rPr>
        <w:t xml:space="preserve"> cazurilor de încălcare a legislaţiei.</w:t>
      </w:r>
    </w:p>
    <w:p w:rsidR="000E184F" w:rsidRPr="008376FC" w:rsidRDefault="000056B2" w:rsidP="00F61756">
      <w:pPr>
        <w:spacing w:line="276" w:lineRule="auto"/>
        <w:ind w:firstLine="630"/>
        <w:jc w:val="both"/>
        <w:rPr>
          <w:rFonts w:asciiTheme="majorHAnsi" w:eastAsia="Times New Roman" w:hAnsiTheme="majorHAnsi" w:cstheme="majorHAnsi"/>
          <w:b w:val="0"/>
          <w:bCs w:val="0"/>
          <w:sz w:val="24"/>
          <w:szCs w:val="24"/>
        </w:rPr>
      </w:pPr>
      <w:r w:rsidRPr="008376FC">
        <w:rPr>
          <w:rFonts w:asciiTheme="majorHAnsi" w:eastAsia="Times New Roman" w:hAnsiTheme="majorHAnsi" w:cstheme="majorHAnsi"/>
          <w:b w:val="0"/>
          <w:bCs w:val="0"/>
          <w:sz w:val="24"/>
          <w:szCs w:val="24"/>
        </w:rPr>
        <w:t>În cadrul procedurilor de evaluare a riscurilor de audit au fost testați și indicii de posibile fraude.</w:t>
      </w:r>
    </w:p>
    <w:p w:rsidR="000E184F" w:rsidRPr="004C1766" w:rsidRDefault="000E184F" w:rsidP="00F61756">
      <w:pPr>
        <w:spacing w:line="276" w:lineRule="auto"/>
        <w:rPr>
          <w:rFonts w:asciiTheme="majorHAnsi" w:eastAsia="Times New Roman" w:hAnsiTheme="majorHAnsi" w:cstheme="majorHAnsi"/>
          <w:b w:val="0"/>
          <w:bCs w:val="0"/>
          <w:iCs/>
          <w:color w:val="0070C0"/>
          <w:sz w:val="24"/>
          <w:szCs w:val="24"/>
        </w:rPr>
      </w:pPr>
      <w:r w:rsidRPr="004C1766">
        <w:rPr>
          <w:rFonts w:asciiTheme="majorHAnsi" w:eastAsia="Times New Roman" w:hAnsiTheme="majorHAnsi" w:cstheme="majorHAnsi"/>
          <w:iCs/>
          <w:color w:val="0070C0"/>
          <w:sz w:val="24"/>
          <w:szCs w:val="24"/>
        </w:rPr>
        <w:t>Anexa nr. 2  Descrierea obiectivelor specifice aferente SAAS 2014-2020</w:t>
      </w:r>
    </w:p>
    <w:p w:rsidR="000E184F" w:rsidRPr="008376FC" w:rsidRDefault="000E184F" w:rsidP="00F61756">
      <w:pPr>
        <w:shd w:val="clear" w:color="auto" w:fill="FFFFFF"/>
        <w:spacing w:before="120" w:line="276" w:lineRule="auto"/>
        <w:ind w:firstLine="540"/>
        <w:rPr>
          <w:rFonts w:asciiTheme="majorHAnsi" w:eastAsia="Times New Roman" w:hAnsiTheme="majorHAnsi" w:cstheme="majorHAnsi"/>
          <w:b w:val="0"/>
          <w:bCs w:val="0"/>
          <w:sz w:val="24"/>
          <w:szCs w:val="24"/>
          <w:lang w:bidi="he-IL"/>
        </w:rPr>
      </w:pPr>
      <w:r w:rsidRPr="008376FC">
        <w:rPr>
          <w:rFonts w:asciiTheme="majorHAnsi" w:eastAsia="Times New Roman" w:hAnsiTheme="majorHAnsi" w:cstheme="majorHAnsi"/>
          <w:sz w:val="24"/>
          <w:szCs w:val="24"/>
          <w:lang w:bidi="he-IL"/>
        </w:rPr>
        <w:t xml:space="preserve">SAAS 2014-2020 include 3 obiective specifice: </w:t>
      </w:r>
    </w:p>
    <w:p w:rsidR="000E184F" w:rsidRPr="00926F71" w:rsidRDefault="000E184F" w:rsidP="00F61756">
      <w:pPr>
        <w:pStyle w:val="a3"/>
        <w:numPr>
          <w:ilvl w:val="0"/>
          <w:numId w:val="58"/>
        </w:numPr>
        <w:shd w:val="clear" w:color="auto" w:fill="FFFFFF"/>
        <w:tabs>
          <w:tab w:val="left" w:pos="284"/>
        </w:tabs>
        <w:spacing w:before="120" w:line="276" w:lineRule="auto"/>
        <w:ind w:left="0" w:firstLine="0"/>
        <w:jc w:val="both"/>
        <w:rPr>
          <w:rFonts w:asciiTheme="majorHAnsi" w:hAnsiTheme="majorHAnsi" w:cstheme="majorHAnsi"/>
          <w:bCs/>
          <w:color w:val="333333"/>
          <w:lang w:val="en-US" w:bidi="he-IL"/>
        </w:rPr>
      </w:pPr>
      <w:r w:rsidRPr="008376FC">
        <w:rPr>
          <w:rFonts w:asciiTheme="majorHAnsi" w:hAnsiTheme="majorHAnsi" w:cstheme="majorHAnsi"/>
          <w:b/>
          <w:iCs/>
          <w:color w:val="333333"/>
          <w:lang w:val="en-US" w:bidi="he-IL"/>
        </w:rPr>
        <w:t>Îmbunătățirea managementului serviciilor publice de alimentare cu apă și de sanitație</w:t>
      </w:r>
      <w:r w:rsidRPr="00926F71">
        <w:rPr>
          <w:rFonts w:asciiTheme="majorHAnsi" w:hAnsiTheme="majorHAnsi" w:cstheme="majorHAnsi"/>
          <w:b/>
          <w:bCs/>
          <w:i/>
          <w:iCs/>
          <w:color w:val="333333"/>
          <w:lang w:val="en-US" w:bidi="he-IL"/>
        </w:rPr>
        <w:t xml:space="preserve"> </w:t>
      </w:r>
      <w:r w:rsidR="00926F71" w:rsidRPr="008376FC">
        <w:rPr>
          <w:rFonts w:asciiTheme="majorHAnsi" w:hAnsiTheme="majorHAnsi" w:cstheme="majorHAnsi"/>
          <w:b/>
          <w:bCs/>
          <w:color w:val="333333"/>
          <w:lang w:val="en-US" w:bidi="he-IL"/>
        </w:rPr>
        <w:t>–</w:t>
      </w:r>
      <w:r w:rsidRPr="00926F71">
        <w:rPr>
          <w:rFonts w:asciiTheme="majorHAnsi" w:hAnsiTheme="majorHAnsi" w:cstheme="majorHAnsi"/>
          <w:b/>
          <w:bCs/>
          <w:color w:val="333333"/>
          <w:lang w:val="en-US" w:bidi="he-IL"/>
        </w:rPr>
        <w:t xml:space="preserve"> </w:t>
      </w:r>
      <w:r w:rsidRPr="00926F71">
        <w:rPr>
          <w:rFonts w:asciiTheme="majorHAnsi" w:hAnsiTheme="majorHAnsi" w:cstheme="majorHAnsi"/>
          <w:bCs/>
          <w:color w:val="333333"/>
          <w:lang w:val="en-US" w:bidi="he-IL"/>
        </w:rPr>
        <w:t>autoritățile publice locale au competența exclusivă privind înființarea, organizarea, gestiunea și monitorizarea serviciilor publice de alimentare cu apă și de canalizare, precum și crearea, administrarea și exploatarea infrastructurii tehnico-edilitare aferente serviciului, proprietate</w:t>
      </w:r>
      <w:r w:rsidR="00926F71">
        <w:rPr>
          <w:rFonts w:asciiTheme="majorHAnsi" w:hAnsiTheme="majorHAnsi" w:cstheme="majorHAnsi"/>
          <w:bCs/>
          <w:color w:val="333333"/>
          <w:lang w:val="en-US" w:bidi="he-IL"/>
        </w:rPr>
        <w:t xml:space="preserve"> </w:t>
      </w:r>
      <w:r w:rsidRPr="00926F71">
        <w:rPr>
          <w:rFonts w:asciiTheme="majorHAnsi" w:hAnsiTheme="majorHAnsi" w:cstheme="majorHAnsi"/>
          <w:bCs/>
          <w:color w:val="333333"/>
          <w:lang w:val="en-US" w:bidi="he-IL"/>
        </w:rPr>
        <w:t>a unităților admin</w:t>
      </w:r>
      <w:r w:rsidRPr="00EF6E85">
        <w:rPr>
          <w:rFonts w:asciiTheme="majorHAnsi" w:hAnsiTheme="majorHAnsi" w:cstheme="majorHAnsi"/>
          <w:bCs/>
          <w:color w:val="333333"/>
          <w:lang w:val="en-US" w:bidi="he-IL"/>
        </w:rPr>
        <w:t>istrativ-teritoriale. Regionalizarea serviciilor de alimentare cu apă și de canalizare, care sunt fragmentate și dispersate la momentul actual, reprezintă elementul-cheie al politicii de dezvoltare a sectorului. Prin regionalizare se urmărește trecerea de la un număr mare de furnizori de servicii la un număr limitat de operatori, capabili să furnizeze servicii durabile la tarife acceptabile, care vor asigura recupe</w:t>
      </w:r>
      <w:r w:rsidRPr="00926F71">
        <w:rPr>
          <w:rFonts w:asciiTheme="majorHAnsi" w:hAnsiTheme="majorHAnsi" w:cstheme="majorHAnsi"/>
          <w:bCs/>
          <w:color w:val="333333"/>
          <w:lang w:val="en-US" w:bidi="he-IL"/>
        </w:rPr>
        <w:t>rarea costurilor de investiții și dezvoltarea ulterioară a sistemelor de alimentare cu apă și de canalizare.</w:t>
      </w:r>
    </w:p>
    <w:p w:rsidR="000E184F" w:rsidRPr="008376FC" w:rsidRDefault="000E184F" w:rsidP="00F61756">
      <w:pPr>
        <w:pStyle w:val="a3"/>
        <w:numPr>
          <w:ilvl w:val="0"/>
          <w:numId w:val="61"/>
        </w:numPr>
        <w:shd w:val="clear" w:color="auto" w:fill="FFFFFF"/>
        <w:tabs>
          <w:tab w:val="left" w:pos="284"/>
        </w:tabs>
        <w:spacing w:line="276" w:lineRule="auto"/>
        <w:ind w:left="0" w:firstLine="426"/>
        <w:jc w:val="both"/>
        <w:rPr>
          <w:rFonts w:asciiTheme="majorHAnsi" w:hAnsiTheme="majorHAnsi" w:cstheme="majorHAnsi"/>
          <w:bCs/>
          <w:color w:val="333333"/>
          <w:lang w:val="en-US" w:bidi="he-IL"/>
        </w:rPr>
      </w:pPr>
      <w:r w:rsidRPr="008376FC">
        <w:rPr>
          <w:rFonts w:asciiTheme="majorHAnsi" w:hAnsiTheme="majorHAnsi" w:cstheme="majorHAnsi"/>
          <w:bCs/>
          <w:color w:val="333333"/>
          <w:lang w:val="en-US" w:bidi="he-IL"/>
        </w:rPr>
        <w:t>Acţiunile planificate pentru atingerea acestui obiectiv au vizat:</w:t>
      </w:r>
    </w:p>
    <w:p w:rsidR="000E184F" w:rsidRPr="008376FC" w:rsidRDefault="000E184F" w:rsidP="00F61756">
      <w:pPr>
        <w:numPr>
          <w:ilvl w:val="0"/>
          <w:numId w:val="61"/>
        </w:numPr>
        <w:shd w:val="clear" w:color="auto" w:fill="FFFFFF"/>
        <w:tabs>
          <w:tab w:val="left" w:pos="284"/>
          <w:tab w:val="left" w:pos="851"/>
        </w:tabs>
        <w:spacing w:after="0" w:line="276" w:lineRule="auto"/>
        <w:ind w:left="0" w:firstLine="426"/>
        <w:contextualSpacing/>
        <w:jc w:val="both"/>
        <w:rPr>
          <w:rFonts w:asciiTheme="majorHAnsi" w:eastAsia="Times New Roman" w:hAnsiTheme="majorHAnsi" w:cstheme="majorHAnsi"/>
          <w:b w:val="0"/>
          <w:bCs w:val="0"/>
          <w:color w:val="333333"/>
          <w:sz w:val="24"/>
          <w:szCs w:val="24"/>
          <w:lang w:bidi="he-IL"/>
        </w:rPr>
      </w:pPr>
      <w:r w:rsidRPr="008376FC">
        <w:rPr>
          <w:rFonts w:asciiTheme="majorHAnsi" w:eastAsia="Times New Roman" w:hAnsiTheme="majorHAnsi" w:cstheme="majorHAnsi"/>
          <w:b w:val="0"/>
          <w:bCs w:val="0"/>
          <w:color w:val="333333"/>
          <w:sz w:val="24"/>
          <w:szCs w:val="24"/>
          <w:lang w:bidi="he-IL"/>
        </w:rPr>
        <w:t>elaborarea legislaţiei secundare la Legea nr.303/2013 privind serviciul public de alimentare cu apă şi de canalizare în vederea stabilirii cadrului legal pentru ca ANRE să devină agenţie de reglementare în sectorul de alimentare cu apă şi sanitaţie;</w:t>
      </w:r>
    </w:p>
    <w:p w:rsidR="000E184F" w:rsidRPr="008376FC" w:rsidRDefault="000E184F" w:rsidP="00F61756">
      <w:pPr>
        <w:numPr>
          <w:ilvl w:val="0"/>
          <w:numId w:val="61"/>
        </w:numPr>
        <w:shd w:val="clear" w:color="auto" w:fill="FFFFFF"/>
        <w:tabs>
          <w:tab w:val="left" w:pos="284"/>
          <w:tab w:val="left" w:pos="851"/>
        </w:tabs>
        <w:spacing w:after="0" w:line="276" w:lineRule="auto"/>
        <w:ind w:left="0" w:firstLine="426"/>
        <w:contextualSpacing/>
        <w:jc w:val="both"/>
        <w:rPr>
          <w:rFonts w:asciiTheme="majorHAnsi" w:eastAsia="Times New Roman" w:hAnsiTheme="majorHAnsi" w:cstheme="majorHAnsi"/>
          <w:b w:val="0"/>
          <w:bCs w:val="0"/>
          <w:color w:val="333333"/>
          <w:sz w:val="24"/>
          <w:szCs w:val="24"/>
          <w:lang w:bidi="he-IL"/>
        </w:rPr>
      </w:pPr>
      <w:r w:rsidRPr="008376FC">
        <w:rPr>
          <w:rFonts w:asciiTheme="majorHAnsi" w:eastAsia="Times New Roman" w:hAnsiTheme="majorHAnsi" w:cstheme="majorHAnsi"/>
          <w:b w:val="0"/>
          <w:bCs w:val="0"/>
          <w:color w:val="333333"/>
          <w:sz w:val="24"/>
          <w:szCs w:val="24"/>
          <w:lang w:bidi="he-IL"/>
        </w:rPr>
        <w:t>elaborarea politicii privind tarifele şi planul de afaceri pentru operatorii apă-canal;</w:t>
      </w:r>
    </w:p>
    <w:p w:rsidR="000E184F" w:rsidRPr="008376FC" w:rsidRDefault="000E184F" w:rsidP="00F61756">
      <w:pPr>
        <w:numPr>
          <w:ilvl w:val="0"/>
          <w:numId w:val="61"/>
        </w:numPr>
        <w:shd w:val="clear" w:color="auto" w:fill="FFFFFF"/>
        <w:tabs>
          <w:tab w:val="left" w:pos="284"/>
          <w:tab w:val="left" w:pos="851"/>
        </w:tabs>
        <w:spacing w:after="0" w:line="276" w:lineRule="auto"/>
        <w:ind w:left="0" w:firstLine="426"/>
        <w:contextualSpacing/>
        <w:jc w:val="both"/>
        <w:rPr>
          <w:rFonts w:asciiTheme="majorHAnsi" w:eastAsia="Times New Roman" w:hAnsiTheme="majorHAnsi" w:cstheme="majorHAnsi"/>
          <w:b w:val="0"/>
          <w:bCs w:val="0"/>
          <w:color w:val="333333"/>
          <w:sz w:val="24"/>
          <w:szCs w:val="24"/>
          <w:lang w:bidi="he-IL"/>
        </w:rPr>
      </w:pPr>
      <w:r w:rsidRPr="008376FC">
        <w:rPr>
          <w:rFonts w:asciiTheme="majorHAnsi" w:eastAsia="Times New Roman" w:hAnsiTheme="majorHAnsi" w:cstheme="majorHAnsi"/>
          <w:b w:val="0"/>
          <w:bCs w:val="0"/>
          <w:color w:val="333333"/>
          <w:sz w:val="24"/>
          <w:szCs w:val="24"/>
          <w:lang w:bidi="he-IL"/>
        </w:rPr>
        <w:t>dezvoltarea capacităţilor APL în gestionarea infrastructurii de alimentare cu apă şi sanitaţie prin intrermediul ghidurilor, campaniilor informaţionale şi seminarelor;</w:t>
      </w:r>
    </w:p>
    <w:p w:rsidR="000E184F" w:rsidRPr="008376FC" w:rsidRDefault="000E184F" w:rsidP="00F61756">
      <w:pPr>
        <w:numPr>
          <w:ilvl w:val="0"/>
          <w:numId w:val="61"/>
        </w:numPr>
        <w:shd w:val="clear" w:color="auto" w:fill="FFFFFF"/>
        <w:tabs>
          <w:tab w:val="left" w:pos="284"/>
          <w:tab w:val="left" w:pos="851"/>
        </w:tabs>
        <w:spacing w:after="0" w:line="276" w:lineRule="auto"/>
        <w:ind w:left="0" w:firstLine="426"/>
        <w:contextualSpacing/>
        <w:jc w:val="both"/>
        <w:rPr>
          <w:rFonts w:asciiTheme="majorHAnsi" w:eastAsia="Times New Roman" w:hAnsiTheme="majorHAnsi" w:cstheme="majorHAnsi"/>
          <w:b w:val="0"/>
          <w:bCs w:val="0"/>
          <w:color w:val="333333"/>
          <w:sz w:val="24"/>
          <w:szCs w:val="24"/>
          <w:lang w:bidi="he-IL"/>
        </w:rPr>
      </w:pPr>
      <w:r w:rsidRPr="008376FC">
        <w:rPr>
          <w:rFonts w:asciiTheme="majorHAnsi" w:eastAsia="Times New Roman" w:hAnsiTheme="majorHAnsi" w:cstheme="majorHAnsi"/>
          <w:b w:val="0"/>
          <w:bCs w:val="0"/>
          <w:color w:val="333333"/>
          <w:sz w:val="24"/>
          <w:szCs w:val="24"/>
          <w:lang w:bidi="he-IL"/>
        </w:rPr>
        <w:t>elaborarea pachetului de documente tehnice de referinţă pentru funcţionarea şi întreţinerea sistemului de alimentare cu apă şi sanitaţie;</w:t>
      </w:r>
    </w:p>
    <w:p w:rsidR="000E184F" w:rsidRPr="008376FC" w:rsidRDefault="000E184F" w:rsidP="00F61756">
      <w:pPr>
        <w:numPr>
          <w:ilvl w:val="0"/>
          <w:numId w:val="61"/>
        </w:numPr>
        <w:shd w:val="clear" w:color="auto" w:fill="FFFFFF"/>
        <w:tabs>
          <w:tab w:val="left" w:pos="284"/>
          <w:tab w:val="left" w:pos="851"/>
        </w:tabs>
        <w:spacing w:after="0" w:line="276" w:lineRule="auto"/>
        <w:ind w:left="0" w:firstLine="426"/>
        <w:contextualSpacing/>
        <w:jc w:val="both"/>
        <w:rPr>
          <w:rFonts w:asciiTheme="majorHAnsi" w:eastAsia="Times New Roman" w:hAnsiTheme="majorHAnsi" w:cstheme="majorHAnsi"/>
          <w:b w:val="0"/>
          <w:bCs w:val="0"/>
          <w:color w:val="333333"/>
          <w:sz w:val="24"/>
          <w:szCs w:val="24"/>
          <w:lang w:bidi="he-IL"/>
        </w:rPr>
      </w:pPr>
      <w:r w:rsidRPr="008376FC">
        <w:rPr>
          <w:rFonts w:asciiTheme="majorHAnsi" w:eastAsia="Times New Roman" w:hAnsiTheme="majorHAnsi" w:cstheme="majorHAnsi"/>
          <w:b w:val="0"/>
          <w:bCs w:val="0"/>
          <w:color w:val="333333"/>
          <w:sz w:val="24"/>
          <w:szCs w:val="24"/>
          <w:lang w:bidi="he-IL"/>
        </w:rPr>
        <w:t>elaborarea unui studiu privind îmbunătăţirea utilizării instrumentelor economice pentru gestionarea resurselor de apă şi sectorului de alimentare cu apă şi sanitaţie;</w:t>
      </w:r>
    </w:p>
    <w:p w:rsidR="000E184F" w:rsidRPr="008376FC" w:rsidRDefault="000E184F" w:rsidP="00F61756">
      <w:pPr>
        <w:numPr>
          <w:ilvl w:val="0"/>
          <w:numId w:val="61"/>
        </w:numPr>
        <w:shd w:val="clear" w:color="auto" w:fill="FFFFFF"/>
        <w:tabs>
          <w:tab w:val="left" w:pos="284"/>
          <w:tab w:val="left" w:pos="851"/>
        </w:tabs>
        <w:spacing w:after="0" w:line="276" w:lineRule="auto"/>
        <w:ind w:left="0" w:firstLine="426"/>
        <w:contextualSpacing/>
        <w:jc w:val="both"/>
        <w:rPr>
          <w:rFonts w:asciiTheme="majorHAnsi" w:eastAsia="Times New Roman" w:hAnsiTheme="majorHAnsi" w:cstheme="majorHAnsi"/>
          <w:b w:val="0"/>
          <w:bCs w:val="0"/>
          <w:color w:val="333333"/>
          <w:sz w:val="24"/>
          <w:szCs w:val="24"/>
          <w:lang w:bidi="he-IL"/>
        </w:rPr>
      </w:pPr>
      <w:r w:rsidRPr="008376FC">
        <w:rPr>
          <w:rFonts w:asciiTheme="majorHAnsi" w:eastAsia="Times New Roman" w:hAnsiTheme="majorHAnsi" w:cstheme="majorHAnsi"/>
          <w:b w:val="0"/>
          <w:bCs w:val="0"/>
          <w:color w:val="333333"/>
          <w:sz w:val="24"/>
          <w:szCs w:val="24"/>
          <w:lang w:bidi="he-IL"/>
        </w:rPr>
        <w:t>monitorizarea calităţii apei potabile, inclusiv a indicatorilor de siguranţă a apei;</w:t>
      </w:r>
    </w:p>
    <w:p w:rsidR="000E184F" w:rsidRPr="008376FC" w:rsidRDefault="000E184F" w:rsidP="00F61756">
      <w:pPr>
        <w:numPr>
          <w:ilvl w:val="0"/>
          <w:numId w:val="61"/>
        </w:numPr>
        <w:shd w:val="clear" w:color="auto" w:fill="FFFFFF"/>
        <w:tabs>
          <w:tab w:val="left" w:pos="284"/>
          <w:tab w:val="left" w:pos="851"/>
        </w:tabs>
        <w:spacing w:after="0" w:line="276" w:lineRule="auto"/>
        <w:ind w:left="0" w:firstLine="426"/>
        <w:contextualSpacing/>
        <w:jc w:val="both"/>
        <w:rPr>
          <w:rFonts w:asciiTheme="majorHAnsi" w:eastAsia="Times New Roman" w:hAnsiTheme="majorHAnsi" w:cstheme="majorHAnsi"/>
          <w:b w:val="0"/>
          <w:bCs w:val="0"/>
          <w:color w:val="333333"/>
          <w:sz w:val="24"/>
          <w:szCs w:val="24"/>
          <w:lang w:bidi="he-IL"/>
        </w:rPr>
      </w:pPr>
      <w:r w:rsidRPr="008376FC">
        <w:rPr>
          <w:rFonts w:asciiTheme="majorHAnsi" w:eastAsia="Times New Roman" w:hAnsiTheme="majorHAnsi" w:cstheme="majorHAnsi"/>
          <w:b w:val="0"/>
          <w:bCs w:val="0"/>
          <w:color w:val="333333"/>
          <w:sz w:val="24"/>
          <w:szCs w:val="24"/>
          <w:lang w:bidi="he-IL"/>
        </w:rPr>
        <w:t>elaborarea şi aprobarea noilor norme de proiectare şi construcţie pentru sistemele de canalizare la scară redusă, inclusiv sanitaţie individuală.</w:t>
      </w:r>
    </w:p>
    <w:p w:rsidR="000E184F" w:rsidRPr="008376FC" w:rsidRDefault="000E184F" w:rsidP="00F61756">
      <w:pPr>
        <w:pStyle w:val="a3"/>
        <w:numPr>
          <w:ilvl w:val="0"/>
          <w:numId w:val="58"/>
        </w:numPr>
        <w:shd w:val="clear" w:color="auto" w:fill="FFFFFF"/>
        <w:tabs>
          <w:tab w:val="left" w:pos="284"/>
        </w:tabs>
        <w:spacing w:before="120" w:line="276" w:lineRule="auto"/>
        <w:ind w:left="0" w:firstLine="0"/>
        <w:jc w:val="both"/>
        <w:rPr>
          <w:rFonts w:asciiTheme="majorHAnsi" w:hAnsiTheme="majorHAnsi" w:cstheme="majorHAnsi"/>
          <w:bCs/>
          <w:color w:val="333333"/>
          <w:lang w:val="en-US" w:bidi="he-IL"/>
        </w:rPr>
      </w:pPr>
      <w:r w:rsidRPr="008376FC">
        <w:rPr>
          <w:rFonts w:asciiTheme="majorHAnsi" w:hAnsiTheme="majorHAnsi" w:cstheme="majorHAnsi"/>
          <w:b/>
          <w:iCs/>
          <w:color w:val="333333"/>
          <w:lang w:val="en-US" w:bidi="he-IL"/>
        </w:rPr>
        <w:t>Planificarea și dezvoltarea sistemelor publice de alimentare cu apă și de canalizare în vederea creșterii nivelului accesului populației la servicii de calitate înaltă</w:t>
      </w:r>
      <w:r w:rsidRPr="008376FC">
        <w:rPr>
          <w:rFonts w:asciiTheme="majorHAnsi" w:hAnsiTheme="majorHAnsi" w:cstheme="majorHAnsi"/>
          <w:b/>
          <w:bCs/>
          <w:color w:val="333333"/>
          <w:lang w:val="en-US" w:bidi="he-IL"/>
        </w:rPr>
        <w:t xml:space="preserve"> – </w:t>
      </w:r>
      <w:r w:rsidRPr="008376FC">
        <w:rPr>
          <w:rFonts w:asciiTheme="majorHAnsi" w:hAnsiTheme="majorHAnsi" w:cstheme="majorHAnsi"/>
          <w:bCs/>
          <w:color w:val="333333"/>
          <w:lang w:val="en-US" w:bidi="he-IL"/>
        </w:rPr>
        <w:t xml:space="preserve">autoritățile administrației publice centrale vor identifica </w:t>
      </w:r>
      <w:r w:rsidR="00926F71">
        <w:rPr>
          <w:rFonts w:asciiTheme="majorHAnsi" w:hAnsiTheme="majorHAnsi" w:cstheme="majorHAnsi"/>
          <w:bCs/>
          <w:color w:val="333333"/>
          <w:lang w:val="en-US" w:bidi="he-IL"/>
        </w:rPr>
        <w:t>re</w:t>
      </w:r>
      <w:r w:rsidRPr="008376FC">
        <w:rPr>
          <w:rFonts w:asciiTheme="majorHAnsi" w:hAnsiTheme="majorHAnsi" w:cstheme="majorHAnsi"/>
          <w:bCs/>
          <w:color w:val="333333"/>
          <w:lang w:val="en-US" w:bidi="he-IL"/>
        </w:rPr>
        <w:t xml:space="preserve">surse financiare pentru dezvoltarea sistemelor de alimentare cu apă și canalizare, inclusiv din bugetul de stat. Responsabilitatea realizării investițiilor în sectorul de alimentare cu apă și sanitație revine autorităților publice locale, care vor lua toate măsurile necesare pentru modernizarea, optimizarea și dezvoltarea infrastructurii locale și îmbunătățirea fiabilității furnizării și calității serviciilor publice de alimentare cu apă și sanitație. </w:t>
      </w:r>
    </w:p>
    <w:p w:rsidR="000E184F" w:rsidRPr="008376FC" w:rsidRDefault="000E184F" w:rsidP="00F61756">
      <w:pPr>
        <w:pStyle w:val="a3"/>
        <w:shd w:val="clear" w:color="auto" w:fill="FFFFFF"/>
        <w:tabs>
          <w:tab w:val="left" w:pos="284"/>
        </w:tabs>
        <w:spacing w:line="276" w:lineRule="auto"/>
        <w:ind w:left="0"/>
        <w:jc w:val="both"/>
        <w:rPr>
          <w:rFonts w:asciiTheme="majorHAnsi" w:hAnsiTheme="majorHAnsi" w:cstheme="majorHAnsi"/>
          <w:bCs/>
          <w:color w:val="333333"/>
          <w:lang w:val="en-US" w:bidi="he-IL"/>
        </w:rPr>
      </w:pPr>
      <w:r w:rsidRPr="008376FC">
        <w:rPr>
          <w:rFonts w:asciiTheme="majorHAnsi" w:hAnsiTheme="majorHAnsi" w:cstheme="majorHAnsi"/>
          <w:bCs/>
          <w:color w:val="333333"/>
          <w:lang w:val="en-US" w:bidi="he-IL"/>
        </w:rPr>
        <w:t>Acţiunile planificate pentru atingerea acestui obiectiv au vizat realizarea investiţiilor în infrastructura sistemelor de alimentare cu apă şi sanitaţie</w:t>
      </w:r>
      <w:r w:rsidR="0045681E">
        <w:rPr>
          <w:rFonts w:asciiTheme="majorHAnsi" w:hAnsiTheme="majorHAnsi" w:cstheme="majorHAnsi"/>
          <w:bCs/>
          <w:color w:val="333333"/>
          <w:lang w:val="en-US" w:bidi="he-IL"/>
        </w:rPr>
        <w:t>,</w:t>
      </w:r>
      <w:r w:rsidRPr="008376FC">
        <w:rPr>
          <w:rFonts w:asciiTheme="majorHAnsi" w:hAnsiTheme="majorHAnsi" w:cstheme="majorHAnsi"/>
          <w:bCs/>
          <w:color w:val="333333"/>
          <w:lang w:val="en-US" w:bidi="he-IL"/>
        </w:rPr>
        <w:t xml:space="preserve"> în vederea extinderii şi modernizării acesteia din </w:t>
      </w:r>
      <w:r w:rsidR="0045681E">
        <w:rPr>
          <w:rFonts w:asciiTheme="majorHAnsi" w:hAnsiTheme="majorHAnsi" w:cstheme="majorHAnsi"/>
          <w:bCs/>
          <w:color w:val="333333"/>
          <w:lang w:val="en-US" w:bidi="he-IL"/>
        </w:rPr>
        <w:t>re</w:t>
      </w:r>
      <w:r w:rsidRPr="008376FC">
        <w:rPr>
          <w:rFonts w:asciiTheme="majorHAnsi" w:hAnsiTheme="majorHAnsi" w:cstheme="majorHAnsi"/>
          <w:bCs/>
          <w:color w:val="333333"/>
          <w:lang w:val="en-US" w:bidi="he-IL"/>
        </w:rPr>
        <w:t>sursele bugetului de stat şi a asistenţei externe.</w:t>
      </w:r>
    </w:p>
    <w:p w:rsidR="000E184F" w:rsidRPr="008376FC" w:rsidRDefault="000E184F" w:rsidP="00F61756">
      <w:pPr>
        <w:pStyle w:val="a3"/>
        <w:numPr>
          <w:ilvl w:val="0"/>
          <w:numId w:val="58"/>
        </w:numPr>
        <w:tabs>
          <w:tab w:val="left" w:pos="284"/>
        </w:tabs>
        <w:spacing w:before="120" w:line="276" w:lineRule="auto"/>
        <w:ind w:left="0" w:firstLine="0"/>
        <w:jc w:val="both"/>
        <w:rPr>
          <w:rFonts w:asciiTheme="majorHAnsi" w:hAnsiTheme="majorHAnsi" w:cstheme="majorHAnsi"/>
          <w:bCs/>
          <w:color w:val="333333"/>
          <w:lang w:val="en-US"/>
        </w:rPr>
      </w:pPr>
      <w:r w:rsidRPr="008376FC">
        <w:rPr>
          <w:rFonts w:asciiTheme="majorHAnsi" w:hAnsiTheme="majorHAnsi" w:cstheme="majorHAnsi"/>
          <w:b/>
          <w:iCs/>
          <w:color w:val="333333"/>
          <w:lang w:val="en-US"/>
        </w:rPr>
        <w:t>Armonizarea legislației naționale în sectorul de alimentare cu apă și sanitație în conformitate cu standardele comunitare și angajamentele internaționale</w:t>
      </w:r>
      <w:r w:rsidRPr="008376FC">
        <w:rPr>
          <w:rFonts w:asciiTheme="majorHAnsi" w:hAnsiTheme="majorHAnsi" w:cstheme="majorHAnsi"/>
          <w:b/>
          <w:bCs/>
          <w:i/>
          <w:iCs/>
          <w:color w:val="333333"/>
          <w:lang w:val="en-US"/>
        </w:rPr>
        <w:t xml:space="preserve"> – </w:t>
      </w:r>
      <w:r w:rsidRPr="008376FC">
        <w:rPr>
          <w:rFonts w:asciiTheme="majorHAnsi" w:hAnsiTheme="majorHAnsi" w:cstheme="majorHAnsi"/>
          <w:bCs/>
          <w:color w:val="333333"/>
          <w:lang w:val="en-US"/>
        </w:rPr>
        <w:t>prevede îmbunătăţirea, revizuirea şi reglementarea cadrului legal pentru activitatea serviciilor publice de alimentare cu apă şi sanitaţie, prin introducerea unor principii europene de management şi consolidarea responsabilităţilor APL şi APC în vederea asigurării unor servicii publice de calitate.</w:t>
      </w:r>
    </w:p>
    <w:p w:rsidR="000E184F" w:rsidRPr="004C1766" w:rsidRDefault="000E184F" w:rsidP="00F61756">
      <w:pPr>
        <w:pStyle w:val="a3"/>
        <w:tabs>
          <w:tab w:val="left" w:pos="284"/>
        </w:tabs>
        <w:spacing w:before="120" w:line="276" w:lineRule="auto"/>
        <w:ind w:left="0"/>
        <w:jc w:val="both"/>
        <w:rPr>
          <w:rFonts w:asciiTheme="majorHAnsi" w:hAnsiTheme="majorHAnsi" w:cstheme="majorHAnsi"/>
          <w:bCs/>
          <w:color w:val="0070C0"/>
          <w:lang w:val="en-US"/>
        </w:rPr>
      </w:pPr>
    </w:p>
    <w:p w:rsidR="000E184F" w:rsidRPr="004C1766" w:rsidRDefault="000E184F" w:rsidP="00F61756">
      <w:pPr>
        <w:spacing w:line="276" w:lineRule="auto"/>
        <w:rPr>
          <w:rFonts w:asciiTheme="majorHAnsi" w:eastAsia="Times New Roman" w:hAnsiTheme="majorHAnsi" w:cstheme="majorHAnsi"/>
          <w:b w:val="0"/>
          <w:bCs w:val="0"/>
          <w:iCs/>
          <w:color w:val="0070C0"/>
          <w:sz w:val="24"/>
          <w:szCs w:val="24"/>
          <w:shd w:val="clear" w:color="auto" w:fill="FFFFFF"/>
        </w:rPr>
      </w:pPr>
      <w:r w:rsidRPr="004C1766">
        <w:rPr>
          <w:rFonts w:asciiTheme="majorHAnsi" w:eastAsia="Times New Roman" w:hAnsiTheme="majorHAnsi" w:cstheme="majorHAnsi"/>
          <w:iCs/>
          <w:color w:val="0070C0"/>
          <w:sz w:val="24"/>
          <w:szCs w:val="24"/>
          <w:shd w:val="clear" w:color="auto" w:fill="FFFFFF"/>
        </w:rPr>
        <w:t xml:space="preserve">Anexa nr.3 Cadrul instituțional aferent implementării SAAS 2014-2030 </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Ministerul Mediului - în perioada 2014-2017 şi 2021-prezent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Ministerul Agriculturii, Dezvoltării Regionale și Mediului - în perioada 2017-2021</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 xml:space="preserve">Ministerul Sănătății - în perioada 2014-2017 şi 2021-prezent </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Ministerul Sănătății, Muncii și Protecției Sociale - în perioada 2017-2021</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Ministerul Dezvoltării Regionale şi Construcţiilor - în perioada 2014-2017</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Ministerul Infrastructurii şi Dezvoltării Regionale - în perioada 2021-prezent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rPr>
      </w:pPr>
      <w:r w:rsidRPr="008376FC">
        <w:rPr>
          <w:rFonts w:asciiTheme="majorHAnsi" w:hAnsiTheme="majorHAnsi" w:cstheme="majorHAnsi"/>
        </w:rPr>
        <w:t>Ministerul Finanţelor - în perioada 2014-prezent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Agenția Națională pentru Reglementare în Energetică - în perioada 2014-prezent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Agenţia „Apele Moldovei” - în perioada 2014-prezent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Agenţia pentru Geologie şi Resurse Minerale - în perioada 2014-prezent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Inspectoratul pentru Protecția Mediului - în perioada 2014-prezent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Agenția de Mediu - în perioada 2018-prezent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Inspectoratul de Stat pentru Supravegherea Produselor Nealimentare și Protecția Consumatorilor - în perioada 2014-prezent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Autorităţile administraţiei publice locale de nivelul înt</w:t>
      </w:r>
      <w:r w:rsidR="0045681E">
        <w:rPr>
          <w:rFonts w:asciiTheme="majorHAnsi" w:hAnsiTheme="majorHAnsi" w:cstheme="majorHAnsi"/>
          <w:lang w:val="en-US"/>
        </w:rPr>
        <w:t>â</w:t>
      </w:r>
      <w:r w:rsidRPr="008376FC">
        <w:rPr>
          <w:rFonts w:asciiTheme="majorHAnsi" w:hAnsiTheme="majorHAnsi" w:cstheme="majorHAnsi"/>
          <w:lang w:val="en-US"/>
        </w:rPr>
        <w:t>i - în perioada 2014-prezent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Autorităţile publice locale de nivelul al doilea - în perioada 2014-prezent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Asociaţia „Moldova Apă-Canal” - în perioada 2014-prezent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Regiile apă-canal - în perioada 2014-prezent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Asociaţiile consumatorilor de apă - în perioada 2014-prezent</w:t>
      </w:r>
    </w:p>
    <w:p w:rsidR="000E184F" w:rsidRPr="008376FC" w:rsidRDefault="000E184F" w:rsidP="00F61756">
      <w:pPr>
        <w:pStyle w:val="a3"/>
        <w:numPr>
          <w:ilvl w:val="0"/>
          <w:numId w:val="64"/>
        </w:numPr>
        <w:tabs>
          <w:tab w:val="left" w:pos="993"/>
        </w:tabs>
        <w:spacing w:line="276" w:lineRule="auto"/>
        <w:ind w:left="0" w:firstLine="709"/>
        <w:rPr>
          <w:rFonts w:asciiTheme="majorHAnsi" w:hAnsiTheme="majorHAnsi" w:cstheme="majorHAnsi"/>
          <w:b/>
          <w:bCs/>
          <w:lang w:val="en-US"/>
        </w:rPr>
      </w:pPr>
      <w:r w:rsidRPr="008376FC">
        <w:rPr>
          <w:rFonts w:asciiTheme="majorHAnsi" w:hAnsiTheme="majorHAnsi" w:cstheme="majorHAnsi"/>
          <w:lang w:val="en-US"/>
        </w:rPr>
        <w:t>Biroul Naţional de Statistică - în perioada 2014-prezent</w:t>
      </w:r>
      <w:r w:rsidR="0045681E">
        <w:rPr>
          <w:rFonts w:asciiTheme="majorHAnsi" w:hAnsiTheme="majorHAnsi" w:cstheme="majorHAnsi"/>
          <w:lang w:val="en-US"/>
        </w:rPr>
        <w:t>.</w:t>
      </w:r>
    </w:p>
    <w:p w:rsidR="008E7106" w:rsidRPr="008376FC" w:rsidRDefault="008E7106" w:rsidP="00F61756">
      <w:pPr>
        <w:spacing w:line="276" w:lineRule="auto"/>
        <w:jc w:val="both"/>
        <w:rPr>
          <w:rFonts w:asciiTheme="majorHAnsi" w:eastAsia="Times New Roman" w:hAnsiTheme="majorHAnsi" w:cstheme="majorHAnsi"/>
          <w:sz w:val="24"/>
          <w:szCs w:val="24"/>
          <w:lang w:eastAsia="ru-RU"/>
        </w:rPr>
      </w:pPr>
    </w:p>
    <w:p w:rsidR="000E184F" w:rsidRPr="004C1766" w:rsidRDefault="000E184F" w:rsidP="00F61756">
      <w:pPr>
        <w:spacing w:line="276" w:lineRule="auto"/>
        <w:jc w:val="both"/>
        <w:rPr>
          <w:rFonts w:asciiTheme="majorHAnsi" w:eastAsia="Times New Roman" w:hAnsiTheme="majorHAnsi" w:cstheme="majorHAnsi"/>
          <w:color w:val="0070C0"/>
          <w:sz w:val="24"/>
          <w:szCs w:val="24"/>
          <w:lang w:eastAsia="ru-RU"/>
        </w:rPr>
      </w:pPr>
      <w:r w:rsidRPr="004C1766">
        <w:rPr>
          <w:rFonts w:asciiTheme="majorHAnsi" w:eastAsia="Times New Roman" w:hAnsiTheme="majorHAnsi" w:cstheme="majorHAnsi"/>
          <w:color w:val="0070C0"/>
          <w:sz w:val="24"/>
          <w:szCs w:val="24"/>
          <w:lang w:eastAsia="ru-RU"/>
        </w:rPr>
        <w:t xml:space="preserve">Anexa nr. 4 Responsabilitatea părților implicate în domeniul auditat </w:t>
      </w:r>
    </w:p>
    <w:tbl>
      <w:tblPr>
        <w:tblStyle w:val="af2"/>
        <w:tblW w:w="9747" w:type="dxa"/>
        <w:tblLook w:val="04A0" w:firstRow="1" w:lastRow="0" w:firstColumn="1" w:lastColumn="0" w:noHBand="0" w:noVBand="1"/>
      </w:tblPr>
      <w:tblGrid>
        <w:gridCol w:w="2607"/>
        <w:gridCol w:w="7140"/>
      </w:tblGrid>
      <w:tr w:rsidR="000E184F" w:rsidRPr="008376FC" w:rsidTr="004C1766">
        <w:trPr>
          <w:trHeight w:val="316"/>
        </w:trPr>
        <w:tc>
          <w:tcPr>
            <w:tcW w:w="2607" w:type="dxa"/>
            <w:shd w:val="clear" w:color="auto" w:fill="BDD6EE" w:themeFill="accent1" w:themeFillTint="66"/>
          </w:tcPr>
          <w:p w:rsidR="000E184F" w:rsidRPr="008376FC" w:rsidRDefault="000E184F" w:rsidP="00BD559D">
            <w:pPr>
              <w:jc w:val="center"/>
              <w:rPr>
                <w:rFonts w:asciiTheme="majorHAnsi" w:hAnsiTheme="majorHAnsi" w:cstheme="majorHAnsi"/>
                <w:b w:val="0"/>
                <w:bCs w:val="0"/>
              </w:rPr>
            </w:pPr>
            <w:r w:rsidRPr="008376FC">
              <w:rPr>
                <w:rFonts w:asciiTheme="majorHAnsi" w:hAnsiTheme="majorHAnsi" w:cstheme="majorHAnsi"/>
              </w:rPr>
              <w:t>Autoritatea publică</w:t>
            </w:r>
          </w:p>
        </w:tc>
        <w:tc>
          <w:tcPr>
            <w:tcW w:w="7140" w:type="dxa"/>
            <w:shd w:val="clear" w:color="auto" w:fill="BDD6EE" w:themeFill="accent1" w:themeFillTint="66"/>
          </w:tcPr>
          <w:p w:rsidR="000E184F" w:rsidRPr="008376FC" w:rsidRDefault="000E184F" w:rsidP="00BD559D">
            <w:pPr>
              <w:jc w:val="center"/>
              <w:rPr>
                <w:rFonts w:asciiTheme="majorHAnsi" w:hAnsiTheme="majorHAnsi" w:cstheme="majorHAnsi"/>
                <w:b w:val="0"/>
                <w:bCs w:val="0"/>
              </w:rPr>
            </w:pPr>
            <w:r w:rsidRPr="008376FC">
              <w:rPr>
                <w:rFonts w:asciiTheme="majorHAnsi" w:hAnsiTheme="majorHAnsi" w:cstheme="majorHAnsi"/>
              </w:rPr>
              <w:t>Atribuţiile în domeniul implementării SAAS</w:t>
            </w:r>
          </w:p>
        </w:tc>
      </w:tr>
      <w:tr w:rsidR="000E184F" w:rsidRPr="008376FC" w:rsidTr="004C1766">
        <w:trPr>
          <w:trHeight w:val="1098"/>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Ministerul Mediului/ Ministerul Agriculturii, Dezvoltării Regionale și Mediului</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asigurarea realizării prerogativelor constituţionale ale Guvernului prin elaborarea, promovarea şi implementarea politicii sectoriale în domeniul de alimentare cu apă şi sanitaţie</w:t>
            </w:r>
          </w:p>
        </w:tc>
      </w:tr>
      <w:tr w:rsidR="000E184F" w:rsidRPr="008376FC" w:rsidTr="00BD559D">
        <w:trPr>
          <w:trHeight w:val="934"/>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Ministerul Sănătății / Ministerul Sănătății, Muncii și Protecției Sociale</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avizarea permiselor de folosire a apei, evacuarea apelor uzate pentru instituţiile medicale, stabilirea zonelor de protecţie sanitară a reţelelor şi instalaţiilor de alimentare cu apă şi canalizare, efectuarea expertizei sanitare în domeniul monitorizării calităţii apei potabile distribuit</w:t>
            </w:r>
            <w:r w:rsidR="00F718D5">
              <w:rPr>
                <w:rFonts w:asciiTheme="majorHAnsi" w:hAnsiTheme="majorHAnsi" w:cstheme="majorHAnsi"/>
                <w:b w:val="0"/>
                <w:bCs w:val="0"/>
              </w:rPr>
              <w:t>e</w:t>
            </w:r>
            <w:r w:rsidRPr="008376FC">
              <w:rPr>
                <w:rFonts w:asciiTheme="majorHAnsi" w:hAnsiTheme="majorHAnsi" w:cstheme="majorHAnsi"/>
                <w:b w:val="0"/>
                <w:bCs w:val="0"/>
              </w:rPr>
              <w:t xml:space="preserve"> consumatorilor</w:t>
            </w:r>
          </w:p>
        </w:tc>
      </w:tr>
      <w:tr w:rsidR="000E184F" w:rsidRPr="008376FC" w:rsidTr="004C1766">
        <w:trPr>
          <w:trHeight w:val="1047"/>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Ministerul Infrastructurii şi Dezvoltării Regionale/ Ministerul Dezvoltării Regionale şi Construcţiilor</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 xml:space="preserve">elaborează şi promovează politica statului în domeniile dezvoltarea regională, amenajarea şi planificarea teritoriului, arhitectură, urbanism, construcţii, producerea materialelor de construcţie, construcţia de locuinţe </w:t>
            </w:r>
          </w:p>
        </w:tc>
      </w:tr>
      <w:tr w:rsidR="000E184F" w:rsidRPr="008376FC" w:rsidTr="004C1766">
        <w:trPr>
          <w:trHeight w:val="626"/>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Ministerul Finanţelor</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elaborează şi promovează politica statului în domeniul bugetar-fiscal, incluz</w:t>
            </w:r>
            <w:r w:rsidR="00F718D5">
              <w:rPr>
                <w:rFonts w:asciiTheme="majorHAnsi" w:hAnsiTheme="majorHAnsi" w:cstheme="majorHAnsi"/>
                <w:b w:val="0"/>
                <w:bCs w:val="0"/>
              </w:rPr>
              <w:t>â</w:t>
            </w:r>
            <w:r w:rsidRPr="008376FC">
              <w:rPr>
                <w:rFonts w:asciiTheme="majorHAnsi" w:hAnsiTheme="majorHAnsi" w:cstheme="majorHAnsi"/>
                <w:b w:val="0"/>
                <w:bCs w:val="0"/>
              </w:rPr>
              <w:t>nd activităţile legate de finanţarea sectorului alimentare cu apă şi sanitaţie</w:t>
            </w:r>
          </w:p>
        </w:tc>
      </w:tr>
      <w:tr w:rsidR="000E184F" w:rsidRPr="008376FC" w:rsidTr="004C1766">
        <w:trPr>
          <w:trHeight w:val="626"/>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Agenția Națională pentru Reglementare în Energetică</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a elaborat Metodologia de determinare, aprobare și aplicare a tarifelor pentru serviciul public de alimentare cu apă, de canalizare și epurare a apelor uzate</w:t>
            </w:r>
          </w:p>
        </w:tc>
      </w:tr>
      <w:tr w:rsidR="000E184F" w:rsidRPr="008376FC" w:rsidTr="004C1766">
        <w:trPr>
          <w:trHeight w:val="463"/>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Agenţia „Apele Moldovei”</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implementează politica statului în managementul resurselor de apă, hidro-amelioraţie şi alimentarea cu apă şi sanitaţie</w:t>
            </w:r>
          </w:p>
        </w:tc>
      </w:tr>
      <w:tr w:rsidR="000E184F" w:rsidRPr="008376FC" w:rsidTr="00BD559D">
        <w:trPr>
          <w:trHeight w:val="699"/>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Agenţia pentru Geologie şi Resurse Minerale</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implementarea politicii statului în domeniul cercetărilor geologice, folosirii şi protecţiei solului şi apelor subterane. Expediţia Hidrogeologică „EHGeoM” acordă servicii legate de forajul f</w:t>
            </w:r>
            <w:r w:rsidR="00F718D5">
              <w:rPr>
                <w:rFonts w:asciiTheme="majorHAnsi" w:hAnsiTheme="majorHAnsi" w:cstheme="majorHAnsi"/>
                <w:b w:val="0"/>
                <w:bCs w:val="0"/>
              </w:rPr>
              <w:t>â</w:t>
            </w:r>
            <w:r w:rsidRPr="008376FC">
              <w:rPr>
                <w:rFonts w:asciiTheme="majorHAnsi" w:hAnsiTheme="majorHAnsi" w:cstheme="majorHAnsi"/>
                <w:b w:val="0"/>
                <w:bCs w:val="0"/>
              </w:rPr>
              <w:t>nt</w:t>
            </w:r>
            <w:r w:rsidR="00F718D5">
              <w:rPr>
                <w:rFonts w:asciiTheme="majorHAnsi" w:hAnsiTheme="majorHAnsi" w:cstheme="majorHAnsi"/>
                <w:b w:val="0"/>
                <w:bCs w:val="0"/>
              </w:rPr>
              <w:t>â</w:t>
            </w:r>
            <w:r w:rsidRPr="008376FC">
              <w:rPr>
                <w:rFonts w:asciiTheme="majorHAnsi" w:hAnsiTheme="majorHAnsi" w:cstheme="majorHAnsi"/>
                <w:b w:val="0"/>
                <w:bCs w:val="0"/>
              </w:rPr>
              <w:t>nilor arteziene</w:t>
            </w:r>
          </w:p>
        </w:tc>
      </w:tr>
      <w:tr w:rsidR="000E184F" w:rsidRPr="008376FC" w:rsidTr="00BD559D">
        <w:trPr>
          <w:trHeight w:val="724"/>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Inspectoratul pentru Protecția Mediului</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implementarea politicii statului în domeniul protecției mediului și utilizării raționale a resurselor naturale, exercitarea controlului și supravegherii de stat, prevenirea și contracararea încălcărilor în domeniile de competență</w:t>
            </w:r>
          </w:p>
        </w:tc>
      </w:tr>
      <w:tr w:rsidR="000E184F" w:rsidRPr="00D01307" w:rsidTr="00BD559D">
        <w:trPr>
          <w:trHeight w:val="339"/>
        </w:trPr>
        <w:tc>
          <w:tcPr>
            <w:tcW w:w="2607" w:type="dxa"/>
          </w:tcPr>
          <w:p w:rsidR="000E184F" w:rsidRPr="00D01307" w:rsidRDefault="000E184F" w:rsidP="00BD559D">
            <w:pPr>
              <w:rPr>
                <w:rFonts w:asciiTheme="majorHAnsi" w:hAnsiTheme="majorHAnsi" w:cstheme="majorHAnsi"/>
                <w:bCs w:val="0"/>
              </w:rPr>
            </w:pPr>
            <w:r w:rsidRPr="00D01307">
              <w:rPr>
                <w:rFonts w:asciiTheme="majorHAnsi" w:hAnsiTheme="majorHAnsi" w:cstheme="majorHAnsi"/>
              </w:rPr>
              <w:t>Agenția de Mediu</w:t>
            </w:r>
          </w:p>
        </w:tc>
        <w:tc>
          <w:tcPr>
            <w:tcW w:w="7140" w:type="dxa"/>
          </w:tcPr>
          <w:p w:rsidR="000E184F" w:rsidRPr="00D01307" w:rsidRDefault="00D01307" w:rsidP="00BD559D">
            <w:pPr>
              <w:rPr>
                <w:rFonts w:asciiTheme="majorHAnsi" w:hAnsiTheme="majorHAnsi" w:cstheme="majorHAnsi"/>
                <w:b w:val="0"/>
                <w:bCs w:val="0"/>
              </w:rPr>
            </w:pPr>
            <w:r w:rsidRPr="00D01307">
              <w:rPr>
                <w:rFonts w:asciiTheme="majorHAnsi" w:hAnsiTheme="majorHAnsi" w:cstheme="majorHAnsi"/>
                <w:b w:val="0"/>
                <w:bCs w:val="0"/>
              </w:rPr>
              <w:t>implementarea politicii statului în domeniul protecției mediului și reglementării utilizării resurselor de ap​ă</w:t>
            </w:r>
          </w:p>
        </w:tc>
      </w:tr>
      <w:tr w:rsidR="000E184F" w:rsidRPr="008376FC" w:rsidTr="004C1766">
        <w:trPr>
          <w:trHeight w:val="1243"/>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Inspectoratul de Stat pentru Supravegherea Produselor Nealimentare și Protecția Consumatorilor</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responsabil de implementarea politicii în domeniul protecţiei consumatorilor, inclusiv a consumatorilor de apă</w:t>
            </w:r>
          </w:p>
        </w:tc>
      </w:tr>
      <w:tr w:rsidR="000E184F" w:rsidRPr="008376FC" w:rsidTr="00BD559D">
        <w:trPr>
          <w:trHeight w:val="565"/>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Autorităţile administraţiei publice locale de nivelul înt</w:t>
            </w:r>
            <w:r w:rsidR="00F718D5">
              <w:rPr>
                <w:rFonts w:asciiTheme="majorHAnsi" w:hAnsiTheme="majorHAnsi" w:cstheme="majorHAnsi"/>
              </w:rPr>
              <w:t>â</w:t>
            </w:r>
            <w:r w:rsidRPr="008376FC">
              <w:rPr>
                <w:rFonts w:asciiTheme="majorHAnsi" w:hAnsiTheme="majorHAnsi" w:cstheme="majorHAnsi"/>
              </w:rPr>
              <w:t>i</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elaborarea şi aprobarea documentaţiei de urbanism</w:t>
            </w:r>
            <w:r w:rsidR="00F718D5">
              <w:rPr>
                <w:rFonts w:asciiTheme="majorHAnsi" w:hAnsiTheme="majorHAnsi" w:cstheme="majorHAnsi"/>
                <w:b w:val="0"/>
                <w:bCs w:val="0"/>
              </w:rPr>
              <w:t>,</w:t>
            </w:r>
            <w:r w:rsidRPr="008376FC">
              <w:rPr>
                <w:rFonts w:asciiTheme="majorHAnsi" w:hAnsiTheme="majorHAnsi" w:cstheme="majorHAnsi"/>
                <w:b w:val="0"/>
                <w:bCs w:val="0"/>
              </w:rPr>
              <w:t xml:space="preserve"> aprob</w:t>
            </w:r>
            <w:r w:rsidR="00F718D5">
              <w:rPr>
                <w:rFonts w:asciiTheme="majorHAnsi" w:hAnsiTheme="majorHAnsi" w:cstheme="majorHAnsi"/>
                <w:b w:val="0"/>
                <w:bCs w:val="0"/>
              </w:rPr>
              <w:t>area</w:t>
            </w:r>
            <w:r w:rsidRPr="008376FC">
              <w:rPr>
                <w:rFonts w:asciiTheme="majorHAnsi" w:hAnsiTheme="majorHAnsi" w:cstheme="majorHAnsi"/>
                <w:b w:val="0"/>
                <w:bCs w:val="0"/>
              </w:rPr>
              <w:t xml:space="preserve"> planuril</w:t>
            </w:r>
            <w:r w:rsidR="00F718D5">
              <w:rPr>
                <w:rFonts w:asciiTheme="majorHAnsi" w:hAnsiTheme="majorHAnsi" w:cstheme="majorHAnsi"/>
                <w:b w:val="0"/>
                <w:bCs w:val="0"/>
              </w:rPr>
              <w:t>or</w:t>
            </w:r>
            <w:r w:rsidRPr="008376FC">
              <w:rPr>
                <w:rFonts w:asciiTheme="majorHAnsi" w:hAnsiTheme="majorHAnsi" w:cstheme="majorHAnsi"/>
                <w:b w:val="0"/>
                <w:bCs w:val="0"/>
              </w:rPr>
              <w:t xml:space="preserve"> generale de urbanism şi planuril</w:t>
            </w:r>
            <w:r w:rsidR="00F718D5">
              <w:rPr>
                <w:rFonts w:asciiTheme="majorHAnsi" w:hAnsiTheme="majorHAnsi" w:cstheme="majorHAnsi"/>
                <w:b w:val="0"/>
                <w:bCs w:val="0"/>
              </w:rPr>
              <w:t>or</w:t>
            </w:r>
            <w:r w:rsidRPr="008376FC">
              <w:rPr>
                <w:rFonts w:asciiTheme="majorHAnsi" w:hAnsiTheme="majorHAnsi" w:cstheme="majorHAnsi"/>
                <w:b w:val="0"/>
                <w:bCs w:val="0"/>
              </w:rPr>
              <w:t xml:space="preserve"> de amenajare a teritoriului, inclusiv cu infrastructura sectorului </w:t>
            </w:r>
            <w:r w:rsidR="00F718D5">
              <w:rPr>
                <w:rFonts w:asciiTheme="majorHAnsi" w:hAnsiTheme="majorHAnsi" w:cstheme="majorHAnsi"/>
                <w:b w:val="0"/>
                <w:bCs w:val="0"/>
              </w:rPr>
              <w:t xml:space="preserve">de </w:t>
            </w:r>
            <w:r w:rsidRPr="008376FC">
              <w:rPr>
                <w:rFonts w:asciiTheme="majorHAnsi" w:hAnsiTheme="majorHAnsi" w:cstheme="majorHAnsi"/>
                <w:b w:val="0"/>
                <w:bCs w:val="0"/>
              </w:rPr>
              <w:t>alimentare cu apă şi canalizare</w:t>
            </w:r>
          </w:p>
        </w:tc>
      </w:tr>
      <w:tr w:rsidR="000E184F" w:rsidRPr="008376FC" w:rsidTr="004C1766">
        <w:trPr>
          <w:trHeight w:val="395"/>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Autorităţile publice locale de nivelul al doilea</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elaborarea şi aprobarea planurilor de amenajare a teritoriilor</w:t>
            </w:r>
          </w:p>
          <w:p w:rsidR="000E184F" w:rsidRPr="008376FC" w:rsidRDefault="000E184F" w:rsidP="00BD559D">
            <w:pPr>
              <w:jc w:val="right"/>
              <w:rPr>
                <w:rFonts w:asciiTheme="majorHAnsi" w:hAnsiTheme="majorHAnsi" w:cstheme="majorHAnsi"/>
                <w:b w:val="0"/>
                <w:bCs w:val="0"/>
              </w:rPr>
            </w:pPr>
          </w:p>
        </w:tc>
      </w:tr>
      <w:tr w:rsidR="000E184F" w:rsidRPr="008376FC" w:rsidTr="004C1766">
        <w:trPr>
          <w:trHeight w:val="626"/>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Asociaţia „Moldova Apă-Canal”</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acordă servicii de consultanţă, elaborează indicatori de performanţă (benchmarking) pe bază voluntară şi oferă instruire şi suport tehnic membrilor săi la o scară limitată</w:t>
            </w:r>
          </w:p>
        </w:tc>
      </w:tr>
      <w:tr w:rsidR="000E184F" w:rsidRPr="008376FC" w:rsidTr="00BD559D">
        <w:trPr>
          <w:trHeight w:val="316"/>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Regiile apă-canal</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prestează servicii de alimentare cu apă şi canalizare populaţiei şi agenţilor economici</w:t>
            </w:r>
          </w:p>
        </w:tc>
      </w:tr>
      <w:tr w:rsidR="000E184F" w:rsidRPr="008376FC" w:rsidTr="00BD559D">
        <w:trPr>
          <w:trHeight w:val="322"/>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Asociaţiile consumatorilor de apă</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gestionează sistemele de alimentare cu apă şi de sanitaţie din localităţile rurale</w:t>
            </w:r>
          </w:p>
        </w:tc>
      </w:tr>
      <w:tr w:rsidR="000E184F" w:rsidRPr="008376FC" w:rsidTr="00BD559D">
        <w:trPr>
          <w:trHeight w:val="344"/>
        </w:trPr>
        <w:tc>
          <w:tcPr>
            <w:tcW w:w="2607" w:type="dxa"/>
          </w:tcPr>
          <w:p w:rsidR="000E184F" w:rsidRPr="008376FC" w:rsidRDefault="000E184F" w:rsidP="00BD559D">
            <w:pPr>
              <w:rPr>
                <w:rFonts w:asciiTheme="majorHAnsi" w:hAnsiTheme="majorHAnsi" w:cstheme="majorHAnsi"/>
                <w:b w:val="0"/>
                <w:bCs w:val="0"/>
              </w:rPr>
            </w:pPr>
            <w:r w:rsidRPr="008376FC">
              <w:rPr>
                <w:rFonts w:asciiTheme="majorHAnsi" w:hAnsiTheme="majorHAnsi" w:cstheme="majorHAnsi"/>
              </w:rPr>
              <w:t>Biroul Naţional de Statistică</w:t>
            </w:r>
          </w:p>
        </w:tc>
        <w:tc>
          <w:tcPr>
            <w:tcW w:w="7140" w:type="dxa"/>
          </w:tcPr>
          <w:p w:rsidR="000E184F" w:rsidRPr="008376FC" w:rsidRDefault="000056B2" w:rsidP="00BD559D">
            <w:pPr>
              <w:rPr>
                <w:rFonts w:asciiTheme="majorHAnsi" w:hAnsiTheme="majorHAnsi" w:cstheme="majorHAnsi"/>
                <w:b w:val="0"/>
                <w:bCs w:val="0"/>
              </w:rPr>
            </w:pPr>
            <w:r w:rsidRPr="008376FC">
              <w:rPr>
                <w:rFonts w:asciiTheme="majorHAnsi" w:hAnsiTheme="majorHAnsi" w:cstheme="majorHAnsi"/>
                <w:b w:val="0"/>
                <w:bCs w:val="0"/>
              </w:rPr>
              <w:t>colectează date şi publică statistici cu privire la domeniul alimentării cu apă şi sanitaţiei</w:t>
            </w:r>
          </w:p>
        </w:tc>
      </w:tr>
    </w:tbl>
    <w:p w:rsidR="004D7A2D" w:rsidRDefault="004D7A2D" w:rsidP="004D7A2D">
      <w:pPr>
        <w:spacing w:after="0" w:line="276" w:lineRule="auto"/>
        <w:rPr>
          <w:rFonts w:asciiTheme="majorHAnsi" w:hAnsiTheme="majorHAnsi" w:cstheme="majorHAnsi"/>
          <w:color w:val="0070C0"/>
          <w:sz w:val="24"/>
          <w:szCs w:val="24"/>
        </w:rPr>
      </w:pPr>
    </w:p>
    <w:p w:rsidR="000E184F" w:rsidRPr="004C1766" w:rsidRDefault="000E184F" w:rsidP="004D7A2D">
      <w:pPr>
        <w:spacing w:after="0" w:line="276" w:lineRule="auto"/>
        <w:rPr>
          <w:rFonts w:asciiTheme="majorHAnsi" w:hAnsiTheme="majorHAnsi" w:cstheme="majorHAnsi"/>
          <w:bCs w:val="0"/>
          <w:color w:val="0070C0"/>
          <w:sz w:val="24"/>
          <w:szCs w:val="24"/>
        </w:rPr>
      </w:pPr>
      <w:r w:rsidRPr="004C1766">
        <w:rPr>
          <w:rFonts w:asciiTheme="majorHAnsi" w:hAnsiTheme="majorHAnsi" w:cstheme="majorHAnsi"/>
          <w:color w:val="0070C0"/>
          <w:sz w:val="24"/>
          <w:szCs w:val="24"/>
        </w:rPr>
        <w:t xml:space="preserve">Anexa nr.5 </w:t>
      </w:r>
      <w:bookmarkStart w:id="56" w:name="_Toc130773685"/>
      <w:r w:rsidRPr="004C1766">
        <w:rPr>
          <w:rFonts w:asciiTheme="majorHAnsi" w:hAnsiTheme="majorHAnsi" w:cstheme="majorHAnsi"/>
          <w:color w:val="0070C0"/>
          <w:sz w:val="24"/>
          <w:szCs w:val="24"/>
        </w:rPr>
        <w:t xml:space="preserve">Operatorii regionali apa-canal din Republica Moldova </w:t>
      </w:r>
      <w:bookmarkEnd w:id="56"/>
    </w:p>
    <w:tbl>
      <w:tblPr>
        <w:tblStyle w:val="af2"/>
        <w:tblW w:w="9761" w:type="dxa"/>
        <w:tblLayout w:type="fixed"/>
        <w:tblLook w:val="04A0" w:firstRow="1" w:lastRow="0" w:firstColumn="1" w:lastColumn="0" w:noHBand="0" w:noVBand="1"/>
      </w:tblPr>
      <w:tblGrid>
        <w:gridCol w:w="470"/>
        <w:gridCol w:w="1668"/>
        <w:gridCol w:w="2450"/>
        <w:gridCol w:w="1346"/>
        <w:gridCol w:w="1408"/>
        <w:gridCol w:w="919"/>
        <w:gridCol w:w="1500"/>
      </w:tblGrid>
      <w:tr w:rsidR="000E184F" w:rsidRPr="008376FC" w:rsidTr="004C1766">
        <w:trPr>
          <w:trHeight w:val="144"/>
        </w:trPr>
        <w:tc>
          <w:tcPr>
            <w:tcW w:w="470" w:type="dxa"/>
            <w:shd w:val="clear" w:color="auto" w:fill="BDD6EE" w:themeFill="accent1" w:themeFillTint="66"/>
            <w:vAlign w:val="center"/>
          </w:tcPr>
          <w:p w:rsidR="000E184F" w:rsidRPr="008376FC" w:rsidRDefault="000E184F" w:rsidP="00F61756">
            <w:pPr>
              <w:spacing w:after="160" w:line="276" w:lineRule="auto"/>
              <w:jc w:val="center"/>
              <w:rPr>
                <w:rFonts w:asciiTheme="majorHAnsi" w:hAnsiTheme="majorHAnsi" w:cstheme="majorHAnsi"/>
                <w:sz w:val="20"/>
                <w:szCs w:val="20"/>
              </w:rPr>
            </w:pPr>
            <w:r w:rsidRPr="008376FC">
              <w:rPr>
                <w:rFonts w:asciiTheme="majorHAnsi" w:hAnsiTheme="majorHAnsi" w:cstheme="majorHAnsi"/>
                <w:sz w:val="20"/>
                <w:szCs w:val="20"/>
              </w:rPr>
              <w:t>Nr</w:t>
            </w:r>
          </w:p>
        </w:tc>
        <w:tc>
          <w:tcPr>
            <w:tcW w:w="1668" w:type="dxa"/>
            <w:shd w:val="clear" w:color="auto" w:fill="BDD6EE" w:themeFill="accent1" w:themeFillTint="66"/>
            <w:vAlign w:val="center"/>
          </w:tcPr>
          <w:p w:rsidR="000E184F" w:rsidRPr="008376FC" w:rsidRDefault="000E184F" w:rsidP="00F61756">
            <w:pPr>
              <w:spacing w:after="160" w:line="276" w:lineRule="auto"/>
              <w:jc w:val="center"/>
              <w:rPr>
                <w:rFonts w:asciiTheme="majorHAnsi" w:hAnsiTheme="majorHAnsi" w:cstheme="majorHAnsi"/>
                <w:sz w:val="20"/>
                <w:szCs w:val="20"/>
              </w:rPr>
            </w:pPr>
            <w:r w:rsidRPr="008376FC">
              <w:rPr>
                <w:rFonts w:asciiTheme="majorHAnsi" w:hAnsiTheme="majorHAnsi" w:cstheme="majorHAnsi"/>
                <w:sz w:val="20"/>
                <w:szCs w:val="20"/>
              </w:rPr>
              <w:t>Denumirea operatorului economic</w:t>
            </w:r>
          </w:p>
        </w:tc>
        <w:tc>
          <w:tcPr>
            <w:tcW w:w="2450" w:type="dxa"/>
            <w:shd w:val="clear" w:color="auto" w:fill="BDD6EE" w:themeFill="accent1" w:themeFillTint="66"/>
            <w:vAlign w:val="center"/>
          </w:tcPr>
          <w:p w:rsidR="000E184F" w:rsidRPr="008376FC" w:rsidRDefault="000E184F" w:rsidP="00F61756">
            <w:pPr>
              <w:spacing w:after="160" w:line="276" w:lineRule="auto"/>
              <w:jc w:val="center"/>
              <w:rPr>
                <w:rFonts w:asciiTheme="majorHAnsi" w:hAnsiTheme="majorHAnsi" w:cstheme="majorHAnsi"/>
                <w:sz w:val="20"/>
                <w:szCs w:val="20"/>
              </w:rPr>
            </w:pPr>
            <w:r w:rsidRPr="008376FC">
              <w:rPr>
                <w:rFonts w:asciiTheme="majorHAnsi" w:hAnsiTheme="majorHAnsi" w:cstheme="majorHAnsi"/>
                <w:sz w:val="20"/>
                <w:szCs w:val="20"/>
              </w:rPr>
              <w:t>Localitățile deservite</w:t>
            </w:r>
          </w:p>
        </w:tc>
        <w:tc>
          <w:tcPr>
            <w:tcW w:w="1346" w:type="dxa"/>
            <w:shd w:val="clear" w:color="auto" w:fill="BDD6EE" w:themeFill="accent1" w:themeFillTint="66"/>
            <w:vAlign w:val="center"/>
          </w:tcPr>
          <w:p w:rsidR="000E184F" w:rsidRPr="008376FC" w:rsidRDefault="000E184F" w:rsidP="00F61756">
            <w:pPr>
              <w:spacing w:after="160" w:line="276" w:lineRule="auto"/>
              <w:jc w:val="center"/>
              <w:rPr>
                <w:rFonts w:asciiTheme="majorHAnsi" w:hAnsiTheme="majorHAnsi" w:cstheme="majorHAnsi"/>
                <w:sz w:val="20"/>
                <w:szCs w:val="20"/>
              </w:rPr>
            </w:pPr>
            <w:r w:rsidRPr="008376FC">
              <w:rPr>
                <w:rFonts w:asciiTheme="majorHAnsi" w:hAnsiTheme="majorHAnsi" w:cstheme="majorHAnsi"/>
                <w:sz w:val="20"/>
                <w:szCs w:val="20"/>
              </w:rPr>
              <w:t>Valoarea capitalului social la 31.12.2022, mil. lei</w:t>
            </w:r>
          </w:p>
        </w:tc>
        <w:tc>
          <w:tcPr>
            <w:tcW w:w="1408" w:type="dxa"/>
            <w:shd w:val="clear" w:color="auto" w:fill="BDD6EE" w:themeFill="accent1" w:themeFillTint="66"/>
            <w:vAlign w:val="center"/>
          </w:tcPr>
          <w:p w:rsidR="000E184F" w:rsidRPr="008376FC" w:rsidRDefault="000E184F" w:rsidP="00F61756">
            <w:pPr>
              <w:spacing w:after="160" w:line="276" w:lineRule="auto"/>
              <w:jc w:val="center"/>
              <w:rPr>
                <w:rFonts w:asciiTheme="majorHAnsi" w:hAnsiTheme="majorHAnsi" w:cstheme="majorHAnsi"/>
                <w:sz w:val="20"/>
                <w:szCs w:val="20"/>
              </w:rPr>
            </w:pPr>
            <w:r w:rsidRPr="008376FC">
              <w:rPr>
                <w:rFonts w:asciiTheme="majorHAnsi" w:hAnsiTheme="majorHAnsi" w:cstheme="majorHAnsi"/>
                <w:sz w:val="20"/>
                <w:szCs w:val="20"/>
              </w:rPr>
              <w:t>Proprietari</w:t>
            </w:r>
          </w:p>
        </w:tc>
        <w:tc>
          <w:tcPr>
            <w:tcW w:w="919" w:type="dxa"/>
            <w:shd w:val="clear" w:color="auto" w:fill="BDD6EE" w:themeFill="accent1" w:themeFillTint="66"/>
            <w:vAlign w:val="center"/>
          </w:tcPr>
          <w:p w:rsidR="000E184F" w:rsidRPr="008376FC" w:rsidRDefault="000E184F" w:rsidP="00F61756">
            <w:pPr>
              <w:spacing w:after="160" w:line="276" w:lineRule="auto"/>
              <w:jc w:val="center"/>
              <w:rPr>
                <w:rFonts w:asciiTheme="majorHAnsi" w:hAnsiTheme="majorHAnsi" w:cstheme="majorHAnsi"/>
                <w:sz w:val="20"/>
                <w:szCs w:val="20"/>
              </w:rPr>
            </w:pPr>
            <w:r w:rsidRPr="008376FC">
              <w:rPr>
                <w:rFonts w:asciiTheme="majorHAnsi" w:hAnsiTheme="majorHAnsi" w:cstheme="majorHAnsi"/>
                <w:sz w:val="20"/>
                <w:szCs w:val="20"/>
              </w:rPr>
              <w:t>Anul formării/reorganizării în S.A.</w:t>
            </w:r>
          </w:p>
        </w:tc>
        <w:tc>
          <w:tcPr>
            <w:tcW w:w="1500" w:type="dxa"/>
            <w:shd w:val="clear" w:color="auto" w:fill="BDD6EE" w:themeFill="accent1" w:themeFillTint="66"/>
            <w:vAlign w:val="center"/>
          </w:tcPr>
          <w:p w:rsidR="000E184F" w:rsidRPr="008376FC" w:rsidRDefault="000E184F" w:rsidP="00F61756">
            <w:pPr>
              <w:spacing w:after="160" w:line="276" w:lineRule="auto"/>
              <w:jc w:val="center"/>
              <w:rPr>
                <w:rFonts w:asciiTheme="majorHAnsi" w:hAnsiTheme="majorHAnsi" w:cstheme="majorHAnsi"/>
                <w:sz w:val="20"/>
                <w:szCs w:val="20"/>
              </w:rPr>
            </w:pPr>
            <w:r w:rsidRPr="008376FC">
              <w:rPr>
                <w:rFonts w:asciiTheme="majorHAnsi" w:hAnsiTheme="majorHAnsi" w:cstheme="majorHAnsi"/>
                <w:sz w:val="20"/>
                <w:szCs w:val="20"/>
              </w:rPr>
              <w:t>Proiectul în urma cărui</w:t>
            </w:r>
            <w:r w:rsidR="00F718D5">
              <w:rPr>
                <w:rFonts w:asciiTheme="majorHAnsi" w:hAnsiTheme="majorHAnsi" w:cstheme="majorHAnsi"/>
                <w:sz w:val="20"/>
                <w:szCs w:val="20"/>
              </w:rPr>
              <w:t>a</w:t>
            </w:r>
            <w:r w:rsidRPr="008376FC">
              <w:rPr>
                <w:rFonts w:asciiTheme="majorHAnsi" w:hAnsiTheme="majorHAnsi" w:cstheme="majorHAnsi"/>
                <w:sz w:val="20"/>
                <w:szCs w:val="20"/>
              </w:rPr>
              <w:t xml:space="preserve"> a fost posibilă regionalizarea</w:t>
            </w:r>
          </w:p>
        </w:tc>
      </w:tr>
      <w:tr w:rsidR="000E184F" w:rsidRPr="008376FC" w:rsidTr="004C1766">
        <w:trPr>
          <w:trHeight w:val="144"/>
        </w:trPr>
        <w:tc>
          <w:tcPr>
            <w:tcW w:w="47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1</w:t>
            </w:r>
          </w:p>
        </w:tc>
        <w:tc>
          <w:tcPr>
            <w:tcW w:w="166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 „Apă</w:t>
            </w:r>
            <w:r w:rsidR="00F718D5">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Canal Chişinău”</w:t>
            </w:r>
          </w:p>
        </w:tc>
        <w:tc>
          <w:tcPr>
            <w:tcW w:w="245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Oraşele: Chişinău, Vadul lui Vodă, Ialoveni, S</w:t>
            </w:r>
            <w:r w:rsidR="00F718D5">
              <w:rPr>
                <w:rFonts w:asciiTheme="majorHAnsi" w:hAnsiTheme="majorHAnsi" w:cstheme="majorHAnsi"/>
                <w:b w:val="0"/>
                <w:bCs w:val="0"/>
                <w:sz w:val="20"/>
                <w:szCs w:val="20"/>
              </w:rPr>
              <w:t>â</w:t>
            </w:r>
            <w:r w:rsidRPr="008376FC">
              <w:rPr>
                <w:rFonts w:asciiTheme="majorHAnsi" w:hAnsiTheme="majorHAnsi" w:cstheme="majorHAnsi"/>
                <w:b w:val="0"/>
                <w:bCs w:val="0"/>
                <w:sz w:val="20"/>
                <w:szCs w:val="20"/>
              </w:rPr>
              <w:t>ngera, Durleşti, Codru, Vatra</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Satele: Tohatin, Stăuceni, Coloniţa, Cruzeşti, Ghidighici, Goianul Nou, Dobruja, Revaca, Bubuieci, B</w:t>
            </w:r>
            <w:r w:rsidR="00F718D5">
              <w:rPr>
                <w:rFonts w:asciiTheme="majorHAnsi" w:hAnsiTheme="majorHAnsi" w:cstheme="majorHAnsi"/>
                <w:b w:val="0"/>
                <w:bCs w:val="0"/>
                <w:sz w:val="20"/>
                <w:szCs w:val="20"/>
              </w:rPr>
              <w:t>â</w:t>
            </w:r>
            <w:r w:rsidRPr="008376FC">
              <w:rPr>
                <w:rFonts w:asciiTheme="majorHAnsi" w:hAnsiTheme="majorHAnsi" w:cstheme="majorHAnsi"/>
                <w:b w:val="0"/>
                <w:bCs w:val="0"/>
                <w:sz w:val="20"/>
                <w:szCs w:val="20"/>
              </w:rPr>
              <w:t>c, Budeşti, Cheltuitor, Hulboaca, Floreni, Grătieşti, Maximovca, Truşeni, Galata, Bălăbăneşti, Vaduleni, Hruşova, Sireţi, Dumbrava, Bălţata, Buneţi, B</w:t>
            </w:r>
            <w:r w:rsidR="00F718D5">
              <w:rPr>
                <w:rFonts w:asciiTheme="majorHAnsi" w:hAnsiTheme="majorHAnsi" w:cstheme="majorHAnsi"/>
                <w:b w:val="0"/>
                <w:bCs w:val="0"/>
                <w:sz w:val="20"/>
                <w:szCs w:val="20"/>
              </w:rPr>
              <w:t>ă</w:t>
            </w:r>
            <w:r w:rsidRPr="008376FC">
              <w:rPr>
                <w:rFonts w:asciiTheme="majorHAnsi" w:hAnsiTheme="majorHAnsi" w:cstheme="majorHAnsi"/>
                <w:b w:val="0"/>
                <w:bCs w:val="0"/>
                <w:sz w:val="20"/>
                <w:szCs w:val="20"/>
              </w:rPr>
              <w:t>cioi, Pruncul, Dănceni, Mălăieşti, Mileştii Mici, Cojuşna</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 xml:space="preserve">Total: 38 </w:t>
            </w:r>
            <w:r w:rsidR="00C1219E">
              <w:rPr>
                <w:rFonts w:asciiTheme="majorHAnsi" w:hAnsiTheme="majorHAnsi" w:cstheme="majorHAnsi"/>
                <w:b w:val="0"/>
                <w:bCs w:val="0"/>
                <w:sz w:val="20"/>
                <w:szCs w:val="20"/>
              </w:rPr>
              <w:t xml:space="preserve">de </w:t>
            </w:r>
            <w:r w:rsidRPr="008376FC">
              <w:rPr>
                <w:rFonts w:asciiTheme="majorHAnsi" w:hAnsiTheme="majorHAnsi" w:cstheme="majorHAnsi"/>
                <w:b w:val="0"/>
                <w:bCs w:val="0"/>
                <w:sz w:val="20"/>
                <w:szCs w:val="20"/>
              </w:rPr>
              <w:t>localităţi din mun. Chişinău şi raioanele Ialoveni, Criuleni şi Anenii Noi</w:t>
            </w:r>
          </w:p>
        </w:tc>
        <w:tc>
          <w:tcPr>
            <w:tcW w:w="1346"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611,9</w:t>
            </w:r>
          </w:p>
        </w:tc>
        <w:tc>
          <w:tcPr>
            <w:tcW w:w="140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Consiliul municipal Chişinău – 100%</w:t>
            </w:r>
          </w:p>
        </w:tc>
        <w:tc>
          <w:tcPr>
            <w:tcW w:w="919"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1997</w:t>
            </w:r>
          </w:p>
        </w:tc>
        <w:tc>
          <w:tcPr>
            <w:tcW w:w="150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Operatorul apă</w:t>
            </w:r>
            <w:r w:rsidR="00C1219E">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canal din mun. Chişinău a prestat servicii mai multor localităţi din cadrul municipiului încă din perioada so</w:t>
            </w:r>
            <w:r w:rsidR="00C1219E">
              <w:rPr>
                <w:rFonts w:asciiTheme="majorHAnsi" w:hAnsiTheme="majorHAnsi" w:cstheme="majorHAnsi"/>
                <w:b w:val="0"/>
                <w:bCs w:val="0"/>
                <w:sz w:val="20"/>
                <w:szCs w:val="20"/>
              </w:rPr>
              <w:t>v</w:t>
            </w:r>
            <w:r w:rsidRPr="008376FC">
              <w:rPr>
                <w:rFonts w:asciiTheme="majorHAnsi" w:hAnsiTheme="majorHAnsi" w:cstheme="majorHAnsi"/>
                <w:b w:val="0"/>
                <w:bCs w:val="0"/>
                <w:sz w:val="20"/>
                <w:szCs w:val="20"/>
              </w:rPr>
              <w:t>ieti</w:t>
            </w:r>
            <w:r w:rsidR="00C563ED">
              <w:rPr>
                <w:rFonts w:asciiTheme="majorHAnsi" w:hAnsiTheme="majorHAnsi" w:cstheme="majorHAnsi"/>
                <w:b w:val="0"/>
                <w:bCs w:val="0"/>
                <w:sz w:val="20"/>
                <w:szCs w:val="20"/>
              </w:rPr>
              <w:t>c</w:t>
            </w:r>
            <w:r w:rsidRPr="008376FC">
              <w:rPr>
                <w:rFonts w:asciiTheme="majorHAnsi" w:hAnsiTheme="majorHAnsi" w:cstheme="majorHAnsi"/>
                <w:b w:val="0"/>
                <w:bCs w:val="0"/>
                <w:sz w:val="20"/>
                <w:szCs w:val="20"/>
              </w:rPr>
              <w:t>ă, extinderea localităţilor deservite fiind realizată în exclusivitate în baza deciziilor autorităţilor locale care doreau să fie deservite de S.A. „Apă</w:t>
            </w:r>
            <w:r w:rsidR="00C563E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 xml:space="preserve"> Canal Chişinău”</w:t>
            </w:r>
          </w:p>
        </w:tc>
      </w:tr>
      <w:tr w:rsidR="000E184F" w:rsidRPr="008376FC" w:rsidTr="004C1766">
        <w:trPr>
          <w:trHeight w:val="144"/>
        </w:trPr>
        <w:tc>
          <w:tcPr>
            <w:tcW w:w="47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2</w:t>
            </w:r>
          </w:p>
        </w:tc>
        <w:tc>
          <w:tcPr>
            <w:tcW w:w="166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 „Servicii Comunale Floreşti”</w:t>
            </w:r>
          </w:p>
        </w:tc>
        <w:tc>
          <w:tcPr>
            <w:tcW w:w="245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Oraşele: Floreşti, Mărculeşti, Ghindeşti</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Satele: Varvareuca, Lunga, Cenuşa, Domulgeni, Izvoare, Mărculeşti, Ghindeşti, Bezeni, Scăieni, H</w:t>
            </w:r>
            <w:r w:rsidR="00C563ED">
              <w:rPr>
                <w:rFonts w:asciiTheme="majorHAnsi" w:hAnsiTheme="majorHAnsi" w:cstheme="majorHAnsi"/>
                <w:b w:val="0"/>
                <w:bCs w:val="0"/>
                <w:sz w:val="20"/>
                <w:szCs w:val="20"/>
              </w:rPr>
              <w:t>â</w:t>
            </w:r>
            <w:r w:rsidRPr="008376FC">
              <w:rPr>
                <w:rFonts w:asciiTheme="majorHAnsi" w:hAnsiTheme="majorHAnsi" w:cstheme="majorHAnsi"/>
                <w:b w:val="0"/>
                <w:bCs w:val="0"/>
                <w:sz w:val="20"/>
                <w:szCs w:val="20"/>
              </w:rPr>
              <w:t xml:space="preserve">rtop, </w:t>
            </w:r>
            <w:r w:rsidR="00C563ED">
              <w:rPr>
                <w:rFonts w:asciiTheme="majorHAnsi" w:hAnsiTheme="majorHAnsi" w:cstheme="majorHAnsi"/>
                <w:b w:val="0"/>
                <w:bCs w:val="0"/>
                <w:sz w:val="20"/>
                <w:szCs w:val="20"/>
              </w:rPr>
              <w:t>Țâ</w:t>
            </w:r>
            <w:r w:rsidRPr="008376FC">
              <w:rPr>
                <w:rFonts w:asciiTheme="majorHAnsi" w:hAnsiTheme="majorHAnsi" w:cstheme="majorHAnsi"/>
                <w:b w:val="0"/>
                <w:bCs w:val="0"/>
                <w:sz w:val="20"/>
                <w:szCs w:val="20"/>
              </w:rPr>
              <w:t>ra, Cuhureştii de Sus, Japca, Zahorna, Rogojeni, Ci</w:t>
            </w:r>
            <w:r w:rsidR="00C563ED">
              <w:rPr>
                <w:rFonts w:asciiTheme="majorHAnsi" w:hAnsiTheme="majorHAnsi" w:cstheme="majorHAnsi"/>
                <w:b w:val="0"/>
                <w:bCs w:val="0"/>
                <w:sz w:val="20"/>
                <w:szCs w:val="20"/>
              </w:rPr>
              <w:t>u</w:t>
            </w:r>
            <w:r w:rsidRPr="008376FC">
              <w:rPr>
                <w:rFonts w:asciiTheme="majorHAnsi" w:hAnsiTheme="majorHAnsi" w:cstheme="majorHAnsi"/>
                <w:b w:val="0"/>
                <w:bCs w:val="0"/>
                <w:sz w:val="20"/>
                <w:szCs w:val="20"/>
              </w:rPr>
              <w:t>tuleşti, Serbeşti, Dobru</w:t>
            </w:r>
            <w:r w:rsidR="00C563ED">
              <w:rPr>
                <w:rFonts w:asciiTheme="majorHAnsi" w:hAnsiTheme="majorHAnsi" w:cstheme="majorHAnsi"/>
                <w:b w:val="0"/>
                <w:bCs w:val="0"/>
                <w:sz w:val="20"/>
                <w:szCs w:val="20"/>
              </w:rPr>
              <w:t>ș</w:t>
            </w:r>
            <w:r w:rsidRPr="008376FC">
              <w:rPr>
                <w:rFonts w:asciiTheme="majorHAnsi" w:hAnsiTheme="majorHAnsi" w:cstheme="majorHAnsi"/>
                <w:b w:val="0"/>
                <w:bCs w:val="0"/>
                <w:sz w:val="20"/>
                <w:szCs w:val="20"/>
              </w:rPr>
              <w:t xml:space="preserve">a, </w:t>
            </w:r>
            <w:r w:rsidR="00C563ED">
              <w:rPr>
                <w:rFonts w:asciiTheme="majorHAnsi" w:hAnsiTheme="majorHAnsi" w:cstheme="majorHAnsi"/>
                <w:b w:val="0"/>
                <w:bCs w:val="0"/>
                <w:sz w:val="20"/>
                <w:szCs w:val="20"/>
              </w:rPr>
              <w:t>C</w:t>
            </w:r>
            <w:r w:rsidRPr="008376FC">
              <w:rPr>
                <w:rFonts w:asciiTheme="majorHAnsi" w:hAnsiTheme="majorHAnsi" w:cstheme="majorHAnsi"/>
                <w:b w:val="0"/>
                <w:bCs w:val="0"/>
                <w:sz w:val="20"/>
                <w:szCs w:val="20"/>
              </w:rPr>
              <w:t>aşunca, Receşti, B</w:t>
            </w:r>
            <w:r w:rsidR="00C563ED">
              <w:rPr>
                <w:rFonts w:asciiTheme="majorHAnsi" w:hAnsiTheme="majorHAnsi" w:cstheme="majorHAnsi"/>
                <w:b w:val="0"/>
                <w:bCs w:val="0"/>
                <w:sz w:val="20"/>
                <w:szCs w:val="20"/>
              </w:rPr>
              <w:t>ă</w:t>
            </w:r>
            <w:r w:rsidRPr="008376FC">
              <w:rPr>
                <w:rFonts w:asciiTheme="majorHAnsi" w:hAnsiTheme="majorHAnsi" w:cstheme="majorHAnsi"/>
                <w:b w:val="0"/>
                <w:bCs w:val="0"/>
                <w:sz w:val="20"/>
                <w:szCs w:val="20"/>
              </w:rPr>
              <w:t>hrineşti, Z</w:t>
            </w:r>
            <w:r w:rsidR="0032712D">
              <w:rPr>
                <w:rFonts w:asciiTheme="majorHAnsi" w:hAnsiTheme="majorHAnsi" w:cstheme="majorHAnsi"/>
                <w:b w:val="0"/>
                <w:bCs w:val="0"/>
                <w:sz w:val="20"/>
                <w:szCs w:val="20"/>
              </w:rPr>
              <w:t>ă</w:t>
            </w:r>
            <w:r w:rsidRPr="008376FC">
              <w:rPr>
                <w:rFonts w:asciiTheme="majorHAnsi" w:hAnsiTheme="majorHAnsi" w:cstheme="majorHAnsi"/>
                <w:b w:val="0"/>
                <w:bCs w:val="0"/>
                <w:sz w:val="20"/>
                <w:szCs w:val="20"/>
              </w:rPr>
              <w:t>luceni, T</w:t>
            </w:r>
            <w:r w:rsidR="00C563ED">
              <w:rPr>
                <w:rFonts w:asciiTheme="majorHAnsi" w:hAnsiTheme="majorHAnsi" w:cstheme="majorHAnsi"/>
                <w:b w:val="0"/>
                <w:bCs w:val="0"/>
                <w:sz w:val="20"/>
                <w:szCs w:val="20"/>
              </w:rPr>
              <w:t>â</w:t>
            </w:r>
            <w:r w:rsidRPr="008376FC">
              <w:rPr>
                <w:rFonts w:asciiTheme="majorHAnsi" w:hAnsiTheme="majorHAnsi" w:cstheme="majorHAnsi"/>
                <w:b w:val="0"/>
                <w:bCs w:val="0"/>
                <w:sz w:val="20"/>
                <w:szCs w:val="20"/>
              </w:rPr>
              <w:t>rgul Vert</w:t>
            </w:r>
            <w:r w:rsidR="00C563ED">
              <w:rPr>
                <w:rFonts w:asciiTheme="majorHAnsi" w:hAnsiTheme="majorHAnsi" w:cstheme="majorHAnsi"/>
                <w:b w:val="0"/>
                <w:bCs w:val="0"/>
                <w:sz w:val="20"/>
                <w:szCs w:val="20"/>
              </w:rPr>
              <w:t>i</w:t>
            </w:r>
            <w:r w:rsidRPr="008376FC">
              <w:rPr>
                <w:rFonts w:asciiTheme="majorHAnsi" w:hAnsiTheme="majorHAnsi" w:cstheme="majorHAnsi"/>
                <w:b w:val="0"/>
                <w:bCs w:val="0"/>
                <w:sz w:val="20"/>
                <w:szCs w:val="20"/>
              </w:rPr>
              <w:t>ujeni, Pohoarna, Alexeevca</w:t>
            </w:r>
            <w:r w:rsidR="00C563ED">
              <w:rPr>
                <w:rFonts w:asciiTheme="majorHAnsi" w:hAnsiTheme="majorHAnsi" w:cstheme="majorHAnsi"/>
                <w:b w:val="0"/>
                <w:bCs w:val="0"/>
                <w:sz w:val="20"/>
                <w:szCs w:val="20"/>
              </w:rPr>
              <w:t>.</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 xml:space="preserve">Total: 29 </w:t>
            </w:r>
            <w:r w:rsidR="00C563ED">
              <w:rPr>
                <w:rFonts w:asciiTheme="majorHAnsi" w:hAnsiTheme="majorHAnsi" w:cstheme="majorHAnsi"/>
                <w:b w:val="0"/>
                <w:bCs w:val="0"/>
                <w:sz w:val="20"/>
                <w:szCs w:val="20"/>
              </w:rPr>
              <w:t xml:space="preserve">de </w:t>
            </w:r>
            <w:r w:rsidRPr="008376FC">
              <w:rPr>
                <w:rFonts w:asciiTheme="majorHAnsi" w:hAnsiTheme="majorHAnsi" w:cstheme="majorHAnsi"/>
                <w:b w:val="0"/>
                <w:bCs w:val="0"/>
                <w:sz w:val="20"/>
                <w:szCs w:val="20"/>
              </w:rPr>
              <w:t>localităţi din raioanele Floreşti şi Şoldăneşti</w:t>
            </w:r>
          </w:p>
        </w:tc>
        <w:tc>
          <w:tcPr>
            <w:tcW w:w="1346"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13,8</w:t>
            </w:r>
          </w:p>
        </w:tc>
        <w:tc>
          <w:tcPr>
            <w:tcW w:w="140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Consiliul or</w:t>
            </w:r>
            <w:r w:rsidR="0032712D">
              <w:rPr>
                <w:rFonts w:asciiTheme="majorHAnsi" w:hAnsiTheme="majorHAnsi" w:cstheme="majorHAnsi"/>
                <w:b w:val="0"/>
                <w:bCs w:val="0"/>
                <w:sz w:val="20"/>
                <w:szCs w:val="20"/>
              </w:rPr>
              <w:t>ășenesc</w:t>
            </w:r>
            <w:r w:rsidRPr="008376FC">
              <w:rPr>
                <w:rFonts w:asciiTheme="majorHAnsi" w:hAnsiTheme="majorHAnsi" w:cstheme="majorHAnsi"/>
                <w:b w:val="0"/>
                <w:bCs w:val="0"/>
                <w:sz w:val="20"/>
                <w:szCs w:val="20"/>
              </w:rPr>
              <w:t xml:space="preserve"> Floreşti – 100%</w:t>
            </w:r>
          </w:p>
        </w:tc>
        <w:tc>
          <w:tcPr>
            <w:tcW w:w="919"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2001</w:t>
            </w:r>
          </w:p>
        </w:tc>
        <w:tc>
          <w:tcPr>
            <w:tcW w:w="150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Programul de dezvoltare a companiilor de aprovizionare cu apă şi canalizare, finanțatori BERD, BEI şi FIV, 2010-2015</w:t>
            </w:r>
          </w:p>
        </w:tc>
      </w:tr>
      <w:tr w:rsidR="000E184F" w:rsidRPr="008376FC" w:rsidTr="004C1766">
        <w:trPr>
          <w:trHeight w:val="144"/>
        </w:trPr>
        <w:tc>
          <w:tcPr>
            <w:tcW w:w="47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3</w:t>
            </w:r>
          </w:p>
        </w:tc>
        <w:tc>
          <w:tcPr>
            <w:tcW w:w="166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 „Apă</w:t>
            </w:r>
            <w:r w:rsidR="0032712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Canal Leova”</w:t>
            </w:r>
          </w:p>
        </w:tc>
        <w:tc>
          <w:tcPr>
            <w:tcW w:w="245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Oraşele: Leova, Iargara</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Satul: Hănă</w:t>
            </w:r>
            <w:r w:rsidR="0032712D">
              <w:rPr>
                <w:rFonts w:asciiTheme="majorHAnsi" w:hAnsiTheme="majorHAnsi" w:cstheme="majorHAnsi"/>
                <w:b w:val="0"/>
                <w:bCs w:val="0"/>
                <w:sz w:val="20"/>
                <w:szCs w:val="20"/>
              </w:rPr>
              <w:t>ș</w:t>
            </w:r>
            <w:r w:rsidRPr="008376FC">
              <w:rPr>
                <w:rFonts w:asciiTheme="majorHAnsi" w:hAnsiTheme="majorHAnsi" w:cstheme="majorHAnsi"/>
                <w:b w:val="0"/>
                <w:bCs w:val="0"/>
                <w:sz w:val="20"/>
                <w:szCs w:val="20"/>
              </w:rPr>
              <w:t>enii Noi</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Total: 3 localităţi din raionul Leova</w:t>
            </w:r>
          </w:p>
        </w:tc>
        <w:tc>
          <w:tcPr>
            <w:tcW w:w="1346"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0,02</w:t>
            </w:r>
          </w:p>
        </w:tc>
        <w:tc>
          <w:tcPr>
            <w:tcW w:w="140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Consiliul orăşenesc Leova – 100%</w:t>
            </w:r>
          </w:p>
        </w:tc>
        <w:tc>
          <w:tcPr>
            <w:tcW w:w="919"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2011</w:t>
            </w:r>
          </w:p>
        </w:tc>
        <w:tc>
          <w:tcPr>
            <w:tcW w:w="150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Programul de dezvoltare a companiilor de aprovizionare cu apă şi canalizare, finanțatori BERD, BEI şi FIV, 2010-2015</w:t>
            </w:r>
          </w:p>
        </w:tc>
      </w:tr>
      <w:tr w:rsidR="000E184F" w:rsidRPr="008376FC" w:rsidTr="004C1766">
        <w:trPr>
          <w:trHeight w:val="144"/>
        </w:trPr>
        <w:tc>
          <w:tcPr>
            <w:tcW w:w="47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4</w:t>
            </w:r>
          </w:p>
        </w:tc>
        <w:tc>
          <w:tcPr>
            <w:tcW w:w="166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 „Regia Apă</w:t>
            </w:r>
            <w:r w:rsidR="0032712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 xml:space="preserve"> Canal Orhei”</w:t>
            </w:r>
          </w:p>
        </w:tc>
        <w:tc>
          <w:tcPr>
            <w:tcW w:w="245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 xml:space="preserve">Oraşul: Orhei </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Satele: Piatra, Pohorniceni, Pelivan, Mitoc, Step-Soci, Budăi, Selişte, Lucaşeuca, Burcuta</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Total: 10 localităţi din raionul Orhei</w:t>
            </w:r>
          </w:p>
        </w:tc>
        <w:tc>
          <w:tcPr>
            <w:tcW w:w="1346"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60,0</w:t>
            </w:r>
          </w:p>
        </w:tc>
        <w:tc>
          <w:tcPr>
            <w:tcW w:w="140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Consiliul orăşenesc Orhei – 100%</w:t>
            </w:r>
          </w:p>
        </w:tc>
        <w:tc>
          <w:tcPr>
            <w:tcW w:w="919"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2012</w:t>
            </w:r>
          </w:p>
        </w:tc>
        <w:tc>
          <w:tcPr>
            <w:tcW w:w="150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Programul de dezvoltare a companiilor de aprovizionare cu apă şi canalizare, finanțatori BERD, BEI şi FIV, 2010-2015</w:t>
            </w:r>
          </w:p>
        </w:tc>
      </w:tr>
      <w:tr w:rsidR="000E184F" w:rsidRPr="008376FC" w:rsidTr="004C1766">
        <w:trPr>
          <w:trHeight w:val="144"/>
        </w:trPr>
        <w:tc>
          <w:tcPr>
            <w:tcW w:w="47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5</w:t>
            </w:r>
          </w:p>
        </w:tc>
        <w:tc>
          <w:tcPr>
            <w:tcW w:w="166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 „Regia Apă</w:t>
            </w:r>
            <w:r w:rsidR="0032712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 xml:space="preserve"> Canal Soroca”</w:t>
            </w:r>
          </w:p>
        </w:tc>
        <w:tc>
          <w:tcPr>
            <w:tcW w:w="245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 xml:space="preserve">Oraşul: Soroca </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Satele: Rubleniţa,  Zast</w:t>
            </w:r>
            <w:r w:rsidR="0032712D">
              <w:rPr>
                <w:rFonts w:asciiTheme="majorHAnsi" w:hAnsiTheme="majorHAnsi" w:cstheme="majorHAnsi"/>
                <w:b w:val="0"/>
                <w:bCs w:val="0"/>
                <w:sz w:val="20"/>
                <w:szCs w:val="20"/>
              </w:rPr>
              <w:t>â</w:t>
            </w:r>
            <w:r w:rsidRPr="008376FC">
              <w:rPr>
                <w:rFonts w:asciiTheme="majorHAnsi" w:hAnsiTheme="majorHAnsi" w:cstheme="majorHAnsi"/>
                <w:b w:val="0"/>
                <w:bCs w:val="0"/>
                <w:sz w:val="20"/>
                <w:szCs w:val="20"/>
              </w:rPr>
              <w:t>nca, Regina Maria, Hristici, Egoreni</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Total: 6 localităţi din raionul Soroca</w:t>
            </w:r>
          </w:p>
        </w:tc>
        <w:tc>
          <w:tcPr>
            <w:tcW w:w="1346"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39,0</w:t>
            </w:r>
          </w:p>
        </w:tc>
        <w:tc>
          <w:tcPr>
            <w:tcW w:w="140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Consiliul orăşenesc Soroca – 100%</w:t>
            </w:r>
          </w:p>
        </w:tc>
        <w:tc>
          <w:tcPr>
            <w:tcW w:w="919"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2012</w:t>
            </w:r>
          </w:p>
        </w:tc>
        <w:tc>
          <w:tcPr>
            <w:tcW w:w="150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Programul de dezvoltare a companiilor de aprovizionare cu apă şi canalizare, finanțatori BERD, BEI şi FIV, 2010-2015</w:t>
            </w:r>
          </w:p>
        </w:tc>
      </w:tr>
      <w:tr w:rsidR="000E184F" w:rsidRPr="008376FC" w:rsidTr="004C1766">
        <w:trPr>
          <w:trHeight w:val="144"/>
        </w:trPr>
        <w:tc>
          <w:tcPr>
            <w:tcW w:w="47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6</w:t>
            </w:r>
          </w:p>
        </w:tc>
        <w:tc>
          <w:tcPr>
            <w:tcW w:w="166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 „Apă Termo Ceadâr</w:t>
            </w:r>
            <w:r w:rsidR="0032712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Lunga”</w:t>
            </w:r>
          </w:p>
        </w:tc>
        <w:tc>
          <w:tcPr>
            <w:tcW w:w="245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Oraşul: Ceadâr</w:t>
            </w:r>
            <w:r w:rsidR="0032712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Lunga</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Satele: Baurci, Cazaclia</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Total: 3 localităţi din raionul Ceadâr</w:t>
            </w:r>
            <w:r w:rsidR="0032712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Lunga</w:t>
            </w:r>
          </w:p>
        </w:tc>
        <w:tc>
          <w:tcPr>
            <w:tcW w:w="1346"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9,8</w:t>
            </w:r>
          </w:p>
        </w:tc>
        <w:tc>
          <w:tcPr>
            <w:tcW w:w="140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Administraţia raionului Ceadâr</w:t>
            </w:r>
            <w:r w:rsidR="0032712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 xml:space="preserve"> Lunga – 100%</w:t>
            </w:r>
          </w:p>
        </w:tc>
        <w:tc>
          <w:tcPr>
            <w:tcW w:w="919"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2010</w:t>
            </w:r>
          </w:p>
        </w:tc>
        <w:tc>
          <w:tcPr>
            <w:tcW w:w="150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Programul de dezvoltare a companiilor de aprovizionare cu apă şi canalizare, finanțatori BERD, BEI şi FIV, 2010-2015</w:t>
            </w:r>
          </w:p>
        </w:tc>
      </w:tr>
      <w:tr w:rsidR="000E184F" w:rsidRPr="008376FC" w:rsidTr="004C1766">
        <w:trPr>
          <w:trHeight w:val="144"/>
        </w:trPr>
        <w:tc>
          <w:tcPr>
            <w:tcW w:w="47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7</w:t>
            </w:r>
          </w:p>
        </w:tc>
        <w:tc>
          <w:tcPr>
            <w:tcW w:w="166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 „Operator Regional Apă</w:t>
            </w:r>
            <w:r w:rsidR="0032712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 xml:space="preserve"> Canal H</w:t>
            </w:r>
            <w:r w:rsidR="0032712D">
              <w:rPr>
                <w:rFonts w:asciiTheme="majorHAnsi" w:hAnsiTheme="majorHAnsi" w:cstheme="majorHAnsi"/>
                <w:b w:val="0"/>
                <w:bCs w:val="0"/>
                <w:sz w:val="20"/>
                <w:szCs w:val="20"/>
              </w:rPr>
              <w:t>â</w:t>
            </w:r>
            <w:r w:rsidRPr="008376FC">
              <w:rPr>
                <w:rFonts w:asciiTheme="majorHAnsi" w:hAnsiTheme="majorHAnsi" w:cstheme="majorHAnsi"/>
                <w:b w:val="0"/>
                <w:bCs w:val="0"/>
                <w:sz w:val="20"/>
                <w:szCs w:val="20"/>
              </w:rPr>
              <w:t>nceşti”</w:t>
            </w:r>
          </w:p>
        </w:tc>
        <w:tc>
          <w:tcPr>
            <w:tcW w:w="245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Oraşul: H</w:t>
            </w:r>
            <w:r w:rsidR="0032712D">
              <w:rPr>
                <w:rFonts w:asciiTheme="majorHAnsi" w:hAnsiTheme="majorHAnsi" w:cstheme="majorHAnsi"/>
                <w:b w:val="0"/>
                <w:bCs w:val="0"/>
                <w:sz w:val="20"/>
                <w:szCs w:val="20"/>
              </w:rPr>
              <w:t>â</w:t>
            </w:r>
            <w:r w:rsidRPr="008376FC">
              <w:rPr>
                <w:rFonts w:asciiTheme="majorHAnsi" w:hAnsiTheme="majorHAnsi" w:cstheme="majorHAnsi"/>
                <w:b w:val="0"/>
                <w:bCs w:val="0"/>
                <w:sz w:val="20"/>
                <w:szCs w:val="20"/>
              </w:rPr>
              <w:t xml:space="preserve">nceşti </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Satele: Bozieni, Mereşeni, Fârlădeni, Logăneşti</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Total: 5 localităţi din raionul H</w:t>
            </w:r>
            <w:r w:rsidR="0032712D">
              <w:rPr>
                <w:rFonts w:asciiTheme="majorHAnsi" w:hAnsiTheme="majorHAnsi" w:cstheme="majorHAnsi"/>
                <w:b w:val="0"/>
                <w:bCs w:val="0"/>
                <w:sz w:val="20"/>
                <w:szCs w:val="20"/>
              </w:rPr>
              <w:t>â</w:t>
            </w:r>
            <w:r w:rsidRPr="008376FC">
              <w:rPr>
                <w:rFonts w:asciiTheme="majorHAnsi" w:hAnsiTheme="majorHAnsi" w:cstheme="majorHAnsi"/>
                <w:b w:val="0"/>
                <w:bCs w:val="0"/>
                <w:sz w:val="20"/>
                <w:szCs w:val="20"/>
              </w:rPr>
              <w:t>nceşti</w:t>
            </w:r>
          </w:p>
        </w:tc>
        <w:tc>
          <w:tcPr>
            <w:tcW w:w="1346"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1,05</w:t>
            </w:r>
          </w:p>
        </w:tc>
        <w:tc>
          <w:tcPr>
            <w:tcW w:w="140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Consiliul orăşenesc H</w:t>
            </w:r>
            <w:r w:rsidR="0032712D">
              <w:rPr>
                <w:rFonts w:asciiTheme="majorHAnsi" w:hAnsiTheme="majorHAnsi" w:cstheme="majorHAnsi"/>
                <w:b w:val="0"/>
                <w:bCs w:val="0"/>
                <w:sz w:val="20"/>
                <w:szCs w:val="20"/>
              </w:rPr>
              <w:t>â</w:t>
            </w:r>
            <w:r w:rsidRPr="008376FC">
              <w:rPr>
                <w:rFonts w:asciiTheme="majorHAnsi" w:hAnsiTheme="majorHAnsi" w:cstheme="majorHAnsi"/>
                <w:b w:val="0"/>
                <w:bCs w:val="0"/>
                <w:sz w:val="20"/>
                <w:szCs w:val="20"/>
              </w:rPr>
              <w:t>nceşti – 100%</w:t>
            </w:r>
          </w:p>
        </w:tc>
        <w:tc>
          <w:tcPr>
            <w:tcW w:w="919"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2011</w:t>
            </w:r>
          </w:p>
        </w:tc>
        <w:tc>
          <w:tcPr>
            <w:tcW w:w="150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Programul de dezvoltare a companiilor de aprovizionare cu apă şi canalizare, finanțatori BERD, BEI şi FIV, 2010-2015</w:t>
            </w:r>
          </w:p>
        </w:tc>
      </w:tr>
      <w:tr w:rsidR="000E184F" w:rsidRPr="008376FC" w:rsidTr="004C1766">
        <w:trPr>
          <w:trHeight w:val="3411"/>
        </w:trPr>
        <w:tc>
          <w:tcPr>
            <w:tcW w:w="47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8</w:t>
            </w:r>
          </w:p>
        </w:tc>
        <w:tc>
          <w:tcPr>
            <w:tcW w:w="166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 „Apă</w:t>
            </w:r>
            <w:r w:rsidR="0032712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Canal Nisporeni”</w:t>
            </w:r>
          </w:p>
        </w:tc>
        <w:tc>
          <w:tcPr>
            <w:tcW w:w="245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Oraşul: Nisporeni</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Satele: Vărzăreşti, Grozeşti</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Total: 3 localităţi din raionul Nisporeni</w:t>
            </w:r>
          </w:p>
        </w:tc>
        <w:tc>
          <w:tcPr>
            <w:tcW w:w="1346"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0,7</w:t>
            </w:r>
          </w:p>
        </w:tc>
        <w:tc>
          <w:tcPr>
            <w:tcW w:w="140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Consiliul raional Nisporeni – 9,10%</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Consiliul orăşenesc Nisporeni – 45,45%</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Consliul local Vărzăreşti – 27,27%</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Consliul local Grozeşti – 18,18%</w:t>
            </w:r>
          </w:p>
        </w:tc>
        <w:tc>
          <w:tcPr>
            <w:tcW w:w="919"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2015</w:t>
            </w:r>
          </w:p>
        </w:tc>
        <w:tc>
          <w:tcPr>
            <w:tcW w:w="150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Proiect de regionalizare a serviciilor de alimentare cu apă, implementat de Agenţia pentru Dezvoltare a Austriei (ADA) cu suportul Uniunii Europene, 2013-2015</w:t>
            </w:r>
          </w:p>
        </w:tc>
      </w:tr>
      <w:tr w:rsidR="000E184F" w:rsidRPr="008376FC" w:rsidTr="004C1766">
        <w:trPr>
          <w:trHeight w:val="1954"/>
        </w:trPr>
        <w:tc>
          <w:tcPr>
            <w:tcW w:w="47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9</w:t>
            </w:r>
          </w:p>
        </w:tc>
        <w:tc>
          <w:tcPr>
            <w:tcW w:w="166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 „Apă</w:t>
            </w:r>
            <w:r w:rsidR="0032712D">
              <w:rPr>
                <w:rFonts w:asciiTheme="majorHAnsi" w:hAnsiTheme="majorHAnsi" w:cstheme="majorHAnsi"/>
                <w:b w:val="0"/>
                <w:bCs w:val="0"/>
                <w:sz w:val="20"/>
                <w:szCs w:val="20"/>
              </w:rPr>
              <w:t>-</w:t>
            </w:r>
            <w:r w:rsidRPr="008376FC">
              <w:rPr>
                <w:rFonts w:asciiTheme="majorHAnsi" w:hAnsiTheme="majorHAnsi" w:cstheme="majorHAnsi"/>
                <w:b w:val="0"/>
                <w:bCs w:val="0"/>
                <w:sz w:val="20"/>
                <w:szCs w:val="20"/>
              </w:rPr>
              <w:t>Canal Cahul”</w:t>
            </w:r>
          </w:p>
        </w:tc>
        <w:tc>
          <w:tcPr>
            <w:tcW w:w="245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Oraşul: Cahul</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Satele: Roşu, Paşcani, Manta, Chrihana Veche</w:t>
            </w:r>
          </w:p>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Total: 5 localităţi din raionul Cahul</w:t>
            </w:r>
          </w:p>
        </w:tc>
        <w:tc>
          <w:tcPr>
            <w:tcW w:w="1346"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7,1</w:t>
            </w:r>
          </w:p>
        </w:tc>
        <w:tc>
          <w:tcPr>
            <w:tcW w:w="1408"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Consiliul orăşenesc Cahul – 100%</w:t>
            </w:r>
          </w:p>
        </w:tc>
        <w:tc>
          <w:tcPr>
            <w:tcW w:w="919" w:type="dxa"/>
          </w:tcPr>
          <w:p w:rsidR="000E184F" w:rsidRPr="008376FC" w:rsidRDefault="000056B2" w:rsidP="00F61756">
            <w:pPr>
              <w:spacing w:line="276" w:lineRule="auto"/>
              <w:jc w:val="center"/>
              <w:rPr>
                <w:rFonts w:asciiTheme="majorHAnsi" w:hAnsiTheme="majorHAnsi" w:cstheme="majorHAnsi"/>
                <w:b w:val="0"/>
                <w:bCs w:val="0"/>
                <w:sz w:val="20"/>
                <w:szCs w:val="20"/>
              </w:rPr>
            </w:pPr>
            <w:r w:rsidRPr="008376FC">
              <w:rPr>
                <w:rFonts w:asciiTheme="majorHAnsi" w:hAnsiTheme="majorHAnsi" w:cstheme="majorHAnsi"/>
                <w:b w:val="0"/>
                <w:bCs w:val="0"/>
                <w:sz w:val="20"/>
                <w:szCs w:val="20"/>
              </w:rPr>
              <w:t>2017</w:t>
            </w:r>
          </w:p>
        </w:tc>
        <w:tc>
          <w:tcPr>
            <w:tcW w:w="1500" w:type="dxa"/>
          </w:tcPr>
          <w:p w:rsidR="000E184F" w:rsidRPr="008376FC" w:rsidRDefault="000056B2" w:rsidP="00F61756">
            <w:pPr>
              <w:spacing w:line="276" w:lineRule="auto"/>
              <w:rPr>
                <w:rFonts w:asciiTheme="majorHAnsi" w:hAnsiTheme="majorHAnsi" w:cstheme="majorHAnsi"/>
                <w:b w:val="0"/>
                <w:bCs w:val="0"/>
                <w:sz w:val="20"/>
                <w:szCs w:val="20"/>
              </w:rPr>
            </w:pPr>
            <w:r w:rsidRPr="008376FC">
              <w:rPr>
                <w:rFonts w:asciiTheme="majorHAnsi" w:hAnsiTheme="majorHAnsi" w:cstheme="majorHAnsi"/>
                <w:b w:val="0"/>
                <w:bCs w:val="0"/>
                <w:sz w:val="20"/>
                <w:szCs w:val="20"/>
              </w:rPr>
              <w:t>Proiectul „Modernizarea serviciulor publice locale din Republica Moldova”, finanţator GIZ 2015-2017</w:t>
            </w:r>
          </w:p>
        </w:tc>
      </w:tr>
      <w:tr w:rsidR="000E184F" w:rsidRPr="008376FC" w:rsidTr="004C1766">
        <w:trPr>
          <w:trHeight w:val="210"/>
        </w:trPr>
        <w:tc>
          <w:tcPr>
            <w:tcW w:w="9761" w:type="dxa"/>
            <w:gridSpan w:val="7"/>
          </w:tcPr>
          <w:p w:rsidR="000E184F" w:rsidRPr="008376FC" w:rsidRDefault="000056B2" w:rsidP="00F61756">
            <w:pPr>
              <w:shd w:val="clear" w:color="auto" w:fill="FFFFFF"/>
              <w:spacing w:line="276" w:lineRule="auto"/>
              <w:ind w:firstLine="540"/>
              <w:rPr>
                <w:rFonts w:asciiTheme="majorHAnsi" w:hAnsiTheme="majorHAnsi" w:cstheme="majorHAnsi"/>
                <w:b w:val="0"/>
                <w:bCs w:val="0"/>
                <w:sz w:val="20"/>
                <w:szCs w:val="20"/>
              </w:rPr>
            </w:pPr>
            <w:r w:rsidRPr="008376FC">
              <w:rPr>
                <w:rFonts w:asciiTheme="majorHAnsi" w:eastAsia="Times New Roman" w:hAnsiTheme="majorHAnsi" w:cstheme="majorHAnsi"/>
                <w:color w:val="333333"/>
                <w:sz w:val="16"/>
                <w:szCs w:val="16"/>
                <w:lang w:bidi="he-IL"/>
              </w:rPr>
              <w:t>Sursă</w:t>
            </w:r>
            <w:r w:rsidRPr="008376FC">
              <w:rPr>
                <w:rFonts w:asciiTheme="majorHAnsi" w:eastAsia="Times New Roman" w:hAnsiTheme="majorHAnsi" w:cstheme="majorHAnsi"/>
                <w:b w:val="0"/>
                <w:bCs w:val="0"/>
                <w:color w:val="333333"/>
                <w:sz w:val="16"/>
                <w:szCs w:val="16"/>
                <w:lang w:bidi="he-IL"/>
              </w:rPr>
              <w:t>: tabel elaborat de audit în baza informații</w:t>
            </w:r>
            <w:r w:rsidR="0032712D">
              <w:rPr>
                <w:rFonts w:asciiTheme="majorHAnsi" w:eastAsia="Times New Roman" w:hAnsiTheme="majorHAnsi" w:cstheme="majorHAnsi"/>
                <w:b w:val="0"/>
                <w:bCs w:val="0"/>
                <w:color w:val="333333"/>
                <w:sz w:val="16"/>
                <w:szCs w:val="16"/>
                <w:lang w:bidi="he-IL"/>
              </w:rPr>
              <w:t>lor</w:t>
            </w:r>
            <w:r w:rsidRPr="008376FC">
              <w:rPr>
                <w:rFonts w:asciiTheme="majorHAnsi" w:eastAsia="Times New Roman" w:hAnsiTheme="majorHAnsi" w:cstheme="majorHAnsi"/>
                <w:b w:val="0"/>
                <w:bCs w:val="0"/>
                <w:color w:val="333333"/>
                <w:sz w:val="16"/>
                <w:szCs w:val="16"/>
                <w:lang w:bidi="he-IL"/>
              </w:rPr>
              <w:t xml:space="preserve"> prezentate de entităţile auditate.</w:t>
            </w:r>
          </w:p>
        </w:tc>
      </w:tr>
    </w:tbl>
    <w:p w:rsidR="00A34A78" w:rsidRDefault="00A34A78" w:rsidP="00F61756">
      <w:pPr>
        <w:spacing w:line="276" w:lineRule="auto"/>
        <w:rPr>
          <w:rFonts w:cstheme="majorHAnsi"/>
          <w:bCs w:val="0"/>
          <w:sz w:val="24"/>
          <w:szCs w:val="24"/>
        </w:rPr>
      </w:pPr>
      <w:bookmarkStart w:id="57" w:name="_Toc130773686"/>
    </w:p>
    <w:p w:rsidR="000E184F" w:rsidRPr="004C1766" w:rsidRDefault="000E184F" w:rsidP="00F61756">
      <w:pPr>
        <w:spacing w:line="276" w:lineRule="auto"/>
        <w:jc w:val="both"/>
        <w:rPr>
          <w:rFonts w:asciiTheme="majorHAnsi" w:hAnsiTheme="majorHAnsi" w:cstheme="majorHAnsi"/>
          <w:color w:val="0070C0"/>
        </w:rPr>
      </w:pPr>
      <w:r w:rsidRPr="004C1766">
        <w:rPr>
          <w:rFonts w:asciiTheme="majorHAnsi" w:hAnsiTheme="majorHAnsi" w:cstheme="majorHAnsi"/>
          <w:bCs w:val="0"/>
          <w:color w:val="0070C0"/>
          <w:sz w:val="24"/>
          <w:szCs w:val="24"/>
        </w:rPr>
        <w:t>Anexa nr. 6</w:t>
      </w:r>
      <w:r w:rsidR="0032712D" w:rsidRPr="004C1766">
        <w:rPr>
          <w:rFonts w:asciiTheme="majorHAnsi" w:hAnsiTheme="majorHAnsi" w:cstheme="majorHAnsi"/>
          <w:bCs w:val="0"/>
          <w:color w:val="0070C0"/>
          <w:sz w:val="24"/>
          <w:szCs w:val="24"/>
        </w:rPr>
        <w:t>.</w:t>
      </w:r>
      <w:r w:rsidRPr="004C1766">
        <w:rPr>
          <w:rFonts w:asciiTheme="majorHAnsi" w:hAnsiTheme="majorHAnsi" w:cstheme="majorHAnsi"/>
          <w:bCs w:val="0"/>
          <w:color w:val="0070C0"/>
          <w:sz w:val="24"/>
          <w:szCs w:val="24"/>
        </w:rPr>
        <w:t xml:space="preserve">  </w:t>
      </w:r>
      <w:r w:rsidRPr="004C1766">
        <w:rPr>
          <w:rFonts w:asciiTheme="majorHAnsi" w:eastAsia="MS Mincho" w:hAnsiTheme="majorHAnsi" w:cstheme="majorHAnsi"/>
          <w:color w:val="0070C0"/>
          <w:kern w:val="2"/>
          <w:sz w:val="24"/>
          <w:szCs w:val="24"/>
        </w:rPr>
        <w:t>Informaţii aferente pregătirii cadrelor la specialitatea 0732.3 Alimentări cu apă, canalizări/ 582.6 Ingineria şi protecţia apelor, studii superioare de licenţă, ciclul I</w:t>
      </w:r>
    </w:p>
    <w:tbl>
      <w:tblPr>
        <w:tblStyle w:val="af2"/>
        <w:tblW w:w="0" w:type="auto"/>
        <w:tblLook w:val="04A0" w:firstRow="1" w:lastRow="0" w:firstColumn="1" w:lastColumn="0" w:noHBand="0" w:noVBand="1"/>
      </w:tblPr>
      <w:tblGrid>
        <w:gridCol w:w="792"/>
        <w:gridCol w:w="1193"/>
        <w:gridCol w:w="929"/>
        <w:gridCol w:w="1270"/>
        <w:gridCol w:w="1054"/>
        <w:gridCol w:w="1159"/>
        <w:gridCol w:w="1181"/>
        <w:gridCol w:w="1171"/>
        <w:gridCol w:w="929"/>
      </w:tblGrid>
      <w:tr w:rsidR="000E184F" w:rsidRPr="008376FC" w:rsidTr="00F278F9">
        <w:trPr>
          <w:trHeight w:val="1241"/>
        </w:trPr>
        <w:tc>
          <w:tcPr>
            <w:tcW w:w="795" w:type="dxa"/>
            <w:vMerge w:val="restart"/>
            <w:shd w:val="clear" w:color="auto" w:fill="BDD6EE" w:themeFill="accent1" w:themeFillTint="66"/>
          </w:tcPr>
          <w:p w:rsidR="000E184F" w:rsidRPr="008376FC" w:rsidRDefault="000E184F" w:rsidP="00F61756">
            <w:pPr>
              <w:spacing w:line="276" w:lineRule="auto"/>
              <w:rPr>
                <w:rFonts w:asciiTheme="majorHAnsi" w:hAnsiTheme="majorHAnsi" w:cstheme="majorHAnsi"/>
                <w:b w:val="0"/>
              </w:rPr>
            </w:pPr>
            <w:r w:rsidRPr="008376FC">
              <w:rPr>
                <w:rFonts w:asciiTheme="majorHAnsi" w:hAnsiTheme="majorHAnsi" w:cstheme="majorHAnsi"/>
              </w:rPr>
              <w:t>Anii</w:t>
            </w:r>
          </w:p>
        </w:tc>
        <w:tc>
          <w:tcPr>
            <w:tcW w:w="2142" w:type="dxa"/>
            <w:gridSpan w:val="2"/>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color w:val="000000"/>
                <w:sz w:val="20"/>
                <w:szCs w:val="20"/>
                <w:lang w:bidi="he-IL"/>
              </w:rPr>
              <w:t>Plan (Comanda de stat) de pregătire a cadrelor la specialitatea 0732.3/582.6</w:t>
            </w:r>
          </w:p>
        </w:tc>
        <w:tc>
          <w:tcPr>
            <w:tcW w:w="2344" w:type="dxa"/>
            <w:gridSpan w:val="2"/>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color w:val="000000"/>
                <w:sz w:val="20"/>
                <w:szCs w:val="20"/>
                <w:lang w:bidi="he-IL"/>
              </w:rPr>
              <w:t>Volumul finanţării din Bugetul de stat pentru pregătirea cadrelor la specialitatea 0732.3/582.6, mii lei</w:t>
            </w:r>
          </w:p>
        </w:tc>
        <w:tc>
          <w:tcPr>
            <w:tcW w:w="2368" w:type="dxa"/>
            <w:gridSpan w:val="2"/>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color w:val="000000"/>
                <w:sz w:val="20"/>
                <w:szCs w:val="20"/>
                <w:lang w:bidi="he-IL"/>
              </w:rPr>
              <w:t>Numărul studenţilor înmatriculaţi</w:t>
            </w:r>
          </w:p>
        </w:tc>
        <w:tc>
          <w:tcPr>
            <w:tcW w:w="2119" w:type="dxa"/>
            <w:gridSpan w:val="2"/>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color w:val="000000"/>
                <w:sz w:val="20"/>
                <w:szCs w:val="20"/>
                <w:lang w:bidi="he-IL"/>
              </w:rPr>
              <w:t>Numărul absolvenţilor</w:t>
            </w:r>
          </w:p>
        </w:tc>
      </w:tr>
      <w:tr w:rsidR="000E184F" w:rsidRPr="008376FC" w:rsidTr="00F278F9">
        <w:trPr>
          <w:trHeight w:val="146"/>
        </w:trPr>
        <w:tc>
          <w:tcPr>
            <w:tcW w:w="795" w:type="dxa"/>
            <w:vMerge/>
            <w:shd w:val="clear" w:color="auto" w:fill="BDD6EE" w:themeFill="accent1" w:themeFillTint="66"/>
          </w:tcPr>
          <w:p w:rsidR="000E184F" w:rsidRPr="008376FC" w:rsidRDefault="000E184F" w:rsidP="00F61756">
            <w:pPr>
              <w:spacing w:line="276" w:lineRule="auto"/>
              <w:rPr>
                <w:b w:val="0"/>
              </w:rPr>
            </w:pPr>
          </w:p>
        </w:tc>
        <w:tc>
          <w:tcPr>
            <w:tcW w:w="1212"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 xml:space="preserve">Buget </w:t>
            </w:r>
          </w:p>
        </w:tc>
        <w:tc>
          <w:tcPr>
            <w:tcW w:w="930"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Contract           (cu taxă)</w:t>
            </w:r>
          </w:p>
        </w:tc>
        <w:tc>
          <w:tcPr>
            <w:tcW w:w="1285" w:type="dxa"/>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iCs/>
                <w:color w:val="000000"/>
                <w:sz w:val="20"/>
                <w:szCs w:val="20"/>
                <w:lang w:bidi="he-IL"/>
              </w:rPr>
              <w:t>aprobat</w:t>
            </w:r>
          </w:p>
        </w:tc>
        <w:tc>
          <w:tcPr>
            <w:tcW w:w="1059" w:type="dxa"/>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iCs/>
                <w:color w:val="000000"/>
                <w:sz w:val="20"/>
                <w:szCs w:val="20"/>
                <w:lang w:bidi="he-IL"/>
              </w:rPr>
              <w:t>executat</w:t>
            </w:r>
          </w:p>
        </w:tc>
        <w:tc>
          <w:tcPr>
            <w:tcW w:w="1177"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 xml:space="preserve">Buget </w:t>
            </w:r>
          </w:p>
        </w:tc>
        <w:tc>
          <w:tcPr>
            <w:tcW w:w="1191"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Contract           (cu taxă)</w:t>
            </w:r>
          </w:p>
        </w:tc>
        <w:tc>
          <w:tcPr>
            <w:tcW w:w="1189"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 xml:space="preserve">Buget </w:t>
            </w:r>
          </w:p>
        </w:tc>
        <w:tc>
          <w:tcPr>
            <w:tcW w:w="930"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Contract           (cu taxă)</w:t>
            </w:r>
          </w:p>
        </w:tc>
      </w:tr>
      <w:tr w:rsidR="000E184F" w:rsidRPr="008376FC" w:rsidTr="00F278F9">
        <w:trPr>
          <w:trHeight w:val="246"/>
        </w:trPr>
        <w:tc>
          <w:tcPr>
            <w:tcW w:w="795" w:type="dxa"/>
            <w:vAlign w:val="bottom"/>
          </w:tcPr>
          <w:p w:rsidR="000E184F" w:rsidRPr="004D7A2D"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4D7A2D">
              <w:rPr>
                <w:rFonts w:asciiTheme="majorHAnsi" w:eastAsia="Times New Roman" w:hAnsiTheme="majorHAnsi" w:cstheme="majorHAnsi"/>
                <w:b w:val="0"/>
                <w:color w:val="000000"/>
                <w:sz w:val="20"/>
                <w:szCs w:val="20"/>
                <w:lang w:bidi="he-IL"/>
              </w:rPr>
              <w:t>2014</w:t>
            </w:r>
          </w:p>
        </w:tc>
        <w:tc>
          <w:tcPr>
            <w:tcW w:w="121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15</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25</w:t>
            </w:r>
          </w:p>
        </w:tc>
        <w:tc>
          <w:tcPr>
            <w:tcW w:w="1285"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317,3</w:t>
            </w:r>
          </w:p>
        </w:tc>
        <w:tc>
          <w:tcPr>
            <w:tcW w:w="105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325,3</w:t>
            </w:r>
          </w:p>
        </w:tc>
        <w:tc>
          <w:tcPr>
            <w:tcW w:w="117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15</w:t>
            </w:r>
          </w:p>
        </w:tc>
        <w:tc>
          <w:tcPr>
            <w:tcW w:w="119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118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9</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19</w:t>
            </w:r>
          </w:p>
        </w:tc>
      </w:tr>
      <w:tr w:rsidR="000E184F" w:rsidRPr="008376FC" w:rsidTr="00F278F9">
        <w:trPr>
          <w:trHeight w:val="246"/>
        </w:trPr>
        <w:tc>
          <w:tcPr>
            <w:tcW w:w="795" w:type="dxa"/>
            <w:vAlign w:val="bottom"/>
          </w:tcPr>
          <w:p w:rsidR="000E184F" w:rsidRPr="004D7A2D"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4D7A2D">
              <w:rPr>
                <w:rFonts w:asciiTheme="majorHAnsi" w:eastAsia="Times New Roman" w:hAnsiTheme="majorHAnsi" w:cstheme="majorHAnsi"/>
                <w:b w:val="0"/>
                <w:color w:val="000000"/>
                <w:sz w:val="20"/>
                <w:szCs w:val="20"/>
                <w:lang w:bidi="he-IL"/>
              </w:rPr>
              <w:t>2015</w:t>
            </w:r>
          </w:p>
        </w:tc>
        <w:tc>
          <w:tcPr>
            <w:tcW w:w="121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15</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20</w:t>
            </w:r>
          </w:p>
        </w:tc>
        <w:tc>
          <w:tcPr>
            <w:tcW w:w="1285"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333,1</w:t>
            </w:r>
          </w:p>
        </w:tc>
        <w:tc>
          <w:tcPr>
            <w:tcW w:w="105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333,1</w:t>
            </w:r>
          </w:p>
        </w:tc>
        <w:tc>
          <w:tcPr>
            <w:tcW w:w="117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15</w:t>
            </w:r>
          </w:p>
        </w:tc>
        <w:tc>
          <w:tcPr>
            <w:tcW w:w="119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13</w:t>
            </w:r>
          </w:p>
        </w:tc>
        <w:tc>
          <w:tcPr>
            <w:tcW w:w="118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11</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15</w:t>
            </w:r>
          </w:p>
        </w:tc>
      </w:tr>
      <w:tr w:rsidR="000E184F" w:rsidRPr="008376FC" w:rsidTr="00F278F9">
        <w:trPr>
          <w:trHeight w:val="246"/>
        </w:trPr>
        <w:tc>
          <w:tcPr>
            <w:tcW w:w="795" w:type="dxa"/>
            <w:vAlign w:val="bottom"/>
          </w:tcPr>
          <w:p w:rsidR="000E184F" w:rsidRPr="004D7A2D"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4D7A2D">
              <w:rPr>
                <w:rFonts w:asciiTheme="majorHAnsi" w:eastAsia="Times New Roman" w:hAnsiTheme="majorHAnsi" w:cstheme="majorHAnsi"/>
                <w:b w:val="0"/>
                <w:color w:val="000000"/>
                <w:sz w:val="20"/>
                <w:szCs w:val="20"/>
                <w:lang w:bidi="he-IL"/>
              </w:rPr>
              <w:t>2016</w:t>
            </w:r>
          </w:p>
        </w:tc>
        <w:tc>
          <w:tcPr>
            <w:tcW w:w="121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15</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20</w:t>
            </w:r>
          </w:p>
        </w:tc>
        <w:tc>
          <w:tcPr>
            <w:tcW w:w="1285"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329,9</w:t>
            </w:r>
          </w:p>
        </w:tc>
        <w:tc>
          <w:tcPr>
            <w:tcW w:w="105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356,5</w:t>
            </w:r>
          </w:p>
        </w:tc>
        <w:tc>
          <w:tcPr>
            <w:tcW w:w="117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15</w:t>
            </w:r>
          </w:p>
        </w:tc>
        <w:tc>
          <w:tcPr>
            <w:tcW w:w="119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10</w:t>
            </w:r>
          </w:p>
        </w:tc>
        <w:tc>
          <w:tcPr>
            <w:tcW w:w="118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10</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r>
      <w:tr w:rsidR="000E184F" w:rsidRPr="008376FC" w:rsidTr="00F278F9">
        <w:trPr>
          <w:trHeight w:val="246"/>
        </w:trPr>
        <w:tc>
          <w:tcPr>
            <w:tcW w:w="795" w:type="dxa"/>
            <w:vAlign w:val="bottom"/>
          </w:tcPr>
          <w:p w:rsidR="000E184F" w:rsidRPr="004D7A2D"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4D7A2D">
              <w:rPr>
                <w:rFonts w:asciiTheme="majorHAnsi" w:eastAsia="Times New Roman" w:hAnsiTheme="majorHAnsi" w:cstheme="majorHAnsi"/>
                <w:b w:val="0"/>
                <w:color w:val="000000"/>
                <w:sz w:val="20"/>
                <w:szCs w:val="20"/>
                <w:lang w:bidi="he-IL"/>
              </w:rPr>
              <w:t>2017</w:t>
            </w:r>
          </w:p>
        </w:tc>
        <w:tc>
          <w:tcPr>
            <w:tcW w:w="121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15</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20</w:t>
            </w:r>
          </w:p>
        </w:tc>
        <w:tc>
          <w:tcPr>
            <w:tcW w:w="1285"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93,6</w:t>
            </w:r>
          </w:p>
        </w:tc>
        <w:tc>
          <w:tcPr>
            <w:tcW w:w="105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98,9</w:t>
            </w:r>
          </w:p>
        </w:tc>
        <w:tc>
          <w:tcPr>
            <w:tcW w:w="117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4</w:t>
            </w:r>
          </w:p>
        </w:tc>
        <w:tc>
          <w:tcPr>
            <w:tcW w:w="119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4</w:t>
            </w:r>
          </w:p>
        </w:tc>
        <w:tc>
          <w:tcPr>
            <w:tcW w:w="118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9</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8</w:t>
            </w:r>
          </w:p>
        </w:tc>
      </w:tr>
      <w:tr w:rsidR="000E184F" w:rsidRPr="008376FC" w:rsidTr="00F278F9">
        <w:trPr>
          <w:trHeight w:val="246"/>
        </w:trPr>
        <w:tc>
          <w:tcPr>
            <w:tcW w:w="795" w:type="dxa"/>
            <w:vAlign w:val="bottom"/>
          </w:tcPr>
          <w:p w:rsidR="000E184F" w:rsidRPr="004D7A2D"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4D7A2D">
              <w:rPr>
                <w:rFonts w:asciiTheme="majorHAnsi" w:eastAsia="Times New Roman" w:hAnsiTheme="majorHAnsi" w:cstheme="majorHAnsi"/>
                <w:b w:val="0"/>
                <w:color w:val="000000"/>
                <w:sz w:val="20"/>
                <w:szCs w:val="20"/>
                <w:lang w:bidi="he-IL"/>
              </w:rPr>
              <w:t>2018</w:t>
            </w:r>
          </w:p>
        </w:tc>
        <w:tc>
          <w:tcPr>
            <w:tcW w:w="121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11</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26</w:t>
            </w:r>
          </w:p>
        </w:tc>
        <w:tc>
          <w:tcPr>
            <w:tcW w:w="1285"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79,4</w:t>
            </w:r>
          </w:p>
        </w:tc>
        <w:tc>
          <w:tcPr>
            <w:tcW w:w="105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79,7</w:t>
            </w:r>
          </w:p>
        </w:tc>
        <w:tc>
          <w:tcPr>
            <w:tcW w:w="117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119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118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4</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8</w:t>
            </w:r>
          </w:p>
        </w:tc>
      </w:tr>
      <w:tr w:rsidR="000E184F" w:rsidRPr="008376FC" w:rsidTr="00F278F9">
        <w:trPr>
          <w:trHeight w:val="246"/>
        </w:trPr>
        <w:tc>
          <w:tcPr>
            <w:tcW w:w="795" w:type="dxa"/>
            <w:vAlign w:val="bottom"/>
          </w:tcPr>
          <w:p w:rsidR="000E184F" w:rsidRPr="004D7A2D"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4D7A2D">
              <w:rPr>
                <w:rFonts w:asciiTheme="majorHAnsi" w:eastAsia="Times New Roman" w:hAnsiTheme="majorHAnsi" w:cstheme="majorHAnsi"/>
                <w:b w:val="0"/>
                <w:color w:val="000000"/>
                <w:sz w:val="20"/>
                <w:szCs w:val="20"/>
                <w:lang w:bidi="he-IL"/>
              </w:rPr>
              <w:t>2019</w:t>
            </w:r>
          </w:p>
        </w:tc>
        <w:tc>
          <w:tcPr>
            <w:tcW w:w="121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10</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25</w:t>
            </w:r>
          </w:p>
        </w:tc>
        <w:tc>
          <w:tcPr>
            <w:tcW w:w="1285"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25,4</w:t>
            </w:r>
          </w:p>
        </w:tc>
        <w:tc>
          <w:tcPr>
            <w:tcW w:w="105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32,1</w:t>
            </w:r>
          </w:p>
        </w:tc>
        <w:tc>
          <w:tcPr>
            <w:tcW w:w="117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w:t>
            </w:r>
          </w:p>
        </w:tc>
        <w:tc>
          <w:tcPr>
            <w:tcW w:w="119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4</w:t>
            </w:r>
          </w:p>
        </w:tc>
        <w:tc>
          <w:tcPr>
            <w:tcW w:w="118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6</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5</w:t>
            </w:r>
          </w:p>
        </w:tc>
      </w:tr>
      <w:tr w:rsidR="000E184F" w:rsidRPr="008376FC" w:rsidTr="00F278F9">
        <w:trPr>
          <w:trHeight w:val="246"/>
        </w:trPr>
        <w:tc>
          <w:tcPr>
            <w:tcW w:w="795" w:type="dxa"/>
            <w:vAlign w:val="bottom"/>
          </w:tcPr>
          <w:p w:rsidR="000E184F" w:rsidRPr="004D7A2D"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4D7A2D">
              <w:rPr>
                <w:rFonts w:asciiTheme="majorHAnsi" w:eastAsia="Times New Roman" w:hAnsiTheme="majorHAnsi" w:cstheme="majorHAnsi"/>
                <w:b w:val="0"/>
                <w:color w:val="000000"/>
                <w:sz w:val="20"/>
                <w:szCs w:val="20"/>
                <w:lang w:bidi="he-IL"/>
              </w:rPr>
              <w:t>2020</w:t>
            </w:r>
          </w:p>
        </w:tc>
        <w:tc>
          <w:tcPr>
            <w:tcW w:w="121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0</w:t>
            </w:r>
          </w:p>
        </w:tc>
        <w:tc>
          <w:tcPr>
            <w:tcW w:w="1285"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30,4</w:t>
            </w:r>
          </w:p>
        </w:tc>
        <w:tc>
          <w:tcPr>
            <w:tcW w:w="105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68,4</w:t>
            </w:r>
          </w:p>
        </w:tc>
        <w:tc>
          <w:tcPr>
            <w:tcW w:w="117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w:t>
            </w:r>
          </w:p>
        </w:tc>
        <w:tc>
          <w:tcPr>
            <w:tcW w:w="119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6</w:t>
            </w:r>
          </w:p>
        </w:tc>
        <w:tc>
          <w:tcPr>
            <w:tcW w:w="118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4</w:t>
            </w:r>
          </w:p>
        </w:tc>
      </w:tr>
      <w:tr w:rsidR="000E184F" w:rsidRPr="008376FC" w:rsidTr="00F278F9">
        <w:trPr>
          <w:trHeight w:val="246"/>
        </w:trPr>
        <w:tc>
          <w:tcPr>
            <w:tcW w:w="795" w:type="dxa"/>
            <w:vAlign w:val="bottom"/>
          </w:tcPr>
          <w:p w:rsidR="000E184F" w:rsidRPr="004D7A2D"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4D7A2D">
              <w:rPr>
                <w:rFonts w:asciiTheme="majorHAnsi" w:eastAsia="Times New Roman" w:hAnsiTheme="majorHAnsi" w:cstheme="majorHAnsi"/>
                <w:b w:val="0"/>
                <w:color w:val="000000"/>
                <w:sz w:val="20"/>
                <w:szCs w:val="20"/>
                <w:lang w:bidi="he-IL"/>
              </w:rPr>
              <w:t>2021</w:t>
            </w:r>
          </w:p>
        </w:tc>
        <w:tc>
          <w:tcPr>
            <w:tcW w:w="121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10</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0</w:t>
            </w:r>
          </w:p>
        </w:tc>
        <w:tc>
          <w:tcPr>
            <w:tcW w:w="1285"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21,5</w:t>
            </w:r>
          </w:p>
        </w:tc>
        <w:tc>
          <w:tcPr>
            <w:tcW w:w="105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21,5</w:t>
            </w:r>
          </w:p>
        </w:tc>
        <w:tc>
          <w:tcPr>
            <w:tcW w:w="117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w:t>
            </w:r>
          </w:p>
        </w:tc>
        <w:tc>
          <w:tcPr>
            <w:tcW w:w="1191" w:type="dxa"/>
            <w:vAlign w:val="bottom"/>
          </w:tcPr>
          <w:p w:rsidR="000E184F" w:rsidRPr="008376FC" w:rsidRDefault="000056B2" w:rsidP="00F61756">
            <w:pPr>
              <w:spacing w:line="276" w:lineRule="auto"/>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xml:space="preserve"> </w:t>
            </w:r>
          </w:p>
        </w:tc>
        <w:tc>
          <w:tcPr>
            <w:tcW w:w="1189" w:type="dxa"/>
            <w:vAlign w:val="bottom"/>
          </w:tcPr>
          <w:p w:rsidR="000E184F" w:rsidRPr="008376FC" w:rsidRDefault="000056B2" w:rsidP="00F61756">
            <w:pPr>
              <w:spacing w:line="276" w:lineRule="auto"/>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w:t>
            </w:r>
          </w:p>
        </w:tc>
      </w:tr>
      <w:tr w:rsidR="000E184F" w:rsidRPr="008376FC" w:rsidTr="00F278F9">
        <w:trPr>
          <w:trHeight w:val="246"/>
        </w:trPr>
        <w:tc>
          <w:tcPr>
            <w:tcW w:w="795" w:type="dxa"/>
            <w:vAlign w:val="bottom"/>
          </w:tcPr>
          <w:p w:rsidR="000E184F" w:rsidRPr="004D7A2D"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4D7A2D">
              <w:rPr>
                <w:rFonts w:asciiTheme="majorHAnsi" w:eastAsia="Times New Roman" w:hAnsiTheme="majorHAnsi" w:cstheme="majorHAnsi"/>
                <w:b w:val="0"/>
                <w:color w:val="000000"/>
                <w:sz w:val="20"/>
                <w:szCs w:val="20"/>
                <w:lang w:bidi="he-IL"/>
              </w:rPr>
              <w:t>2022</w:t>
            </w:r>
          </w:p>
        </w:tc>
        <w:tc>
          <w:tcPr>
            <w:tcW w:w="121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10</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w:t>
            </w:r>
          </w:p>
        </w:tc>
        <w:tc>
          <w:tcPr>
            <w:tcW w:w="1285"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73,5</w:t>
            </w:r>
          </w:p>
        </w:tc>
        <w:tc>
          <w:tcPr>
            <w:tcW w:w="105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73,5</w:t>
            </w:r>
          </w:p>
        </w:tc>
        <w:tc>
          <w:tcPr>
            <w:tcW w:w="117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119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w:t>
            </w:r>
          </w:p>
        </w:tc>
        <w:tc>
          <w:tcPr>
            <w:tcW w:w="1189" w:type="dxa"/>
            <w:vAlign w:val="bottom"/>
          </w:tcPr>
          <w:p w:rsidR="000E184F" w:rsidRPr="008376FC" w:rsidRDefault="000056B2" w:rsidP="00F61756">
            <w:pPr>
              <w:spacing w:line="276" w:lineRule="auto"/>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w:t>
            </w:r>
          </w:p>
        </w:tc>
        <w:tc>
          <w:tcPr>
            <w:tcW w:w="930"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4</w:t>
            </w:r>
          </w:p>
        </w:tc>
      </w:tr>
      <w:tr w:rsidR="000E184F" w:rsidRPr="008376FC" w:rsidTr="00F278F9">
        <w:trPr>
          <w:trHeight w:val="257"/>
        </w:trPr>
        <w:tc>
          <w:tcPr>
            <w:tcW w:w="795" w:type="dxa"/>
            <w:shd w:val="clear" w:color="auto" w:fill="BDD6EE" w:themeFill="accent1" w:themeFillTint="66"/>
            <w:vAlign w:val="bottom"/>
          </w:tcPr>
          <w:p w:rsidR="000E184F" w:rsidRPr="008376FC" w:rsidRDefault="000E184F" w:rsidP="00F61756">
            <w:pPr>
              <w:spacing w:line="276" w:lineRule="auto"/>
              <w:jc w:val="center"/>
              <w:rPr>
                <w:rFonts w:asciiTheme="majorHAnsi" w:eastAsia="Times New Roman" w:hAnsiTheme="majorHAnsi" w:cstheme="majorHAnsi"/>
                <w:b w:val="0"/>
                <w:color w:val="000000"/>
                <w:sz w:val="20"/>
                <w:szCs w:val="20"/>
                <w:lang w:bidi="he-IL"/>
              </w:rPr>
            </w:pPr>
            <w:r w:rsidRPr="008376FC">
              <w:rPr>
                <w:rFonts w:asciiTheme="majorHAnsi" w:eastAsia="Times New Roman" w:hAnsiTheme="majorHAnsi" w:cstheme="majorHAnsi"/>
                <w:color w:val="000000"/>
                <w:sz w:val="20"/>
                <w:szCs w:val="20"/>
                <w:lang w:bidi="he-IL"/>
              </w:rPr>
              <w:t>TOTAL</w:t>
            </w:r>
          </w:p>
        </w:tc>
        <w:tc>
          <w:tcPr>
            <w:tcW w:w="1212"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sz w:val="20"/>
                <w:szCs w:val="20"/>
                <w:lang w:bidi="he-IL"/>
              </w:rPr>
            </w:pPr>
            <w:r w:rsidRPr="008376FC">
              <w:rPr>
                <w:rFonts w:asciiTheme="majorHAnsi" w:eastAsia="Times New Roman" w:hAnsiTheme="majorHAnsi" w:cstheme="majorHAnsi"/>
                <w:color w:val="000000"/>
                <w:sz w:val="20"/>
                <w:szCs w:val="20"/>
                <w:lang w:bidi="he-IL"/>
              </w:rPr>
              <w:t>103</w:t>
            </w:r>
          </w:p>
        </w:tc>
        <w:tc>
          <w:tcPr>
            <w:tcW w:w="930"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sz w:val="20"/>
                <w:szCs w:val="20"/>
                <w:lang w:bidi="he-IL"/>
              </w:rPr>
            </w:pPr>
            <w:r w:rsidRPr="008376FC">
              <w:rPr>
                <w:rFonts w:asciiTheme="majorHAnsi" w:eastAsia="Times New Roman" w:hAnsiTheme="majorHAnsi" w:cstheme="majorHAnsi"/>
                <w:color w:val="000000"/>
                <w:sz w:val="20"/>
                <w:szCs w:val="20"/>
                <w:lang w:bidi="he-IL"/>
              </w:rPr>
              <w:t>143</w:t>
            </w:r>
          </w:p>
        </w:tc>
        <w:tc>
          <w:tcPr>
            <w:tcW w:w="1285"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sz w:val="20"/>
                <w:szCs w:val="20"/>
                <w:lang w:bidi="he-IL"/>
              </w:rPr>
            </w:pPr>
            <w:r w:rsidRPr="008376FC">
              <w:rPr>
                <w:rFonts w:asciiTheme="majorHAnsi" w:eastAsia="Times New Roman" w:hAnsiTheme="majorHAnsi" w:cstheme="majorHAnsi"/>
                <w:color w:val="000000"/>
                <w:sz w:val="20"/>
                <w:szCs w:val="20"/>
                <w:lang w:bidi="he-IL"/>
              </w:rPr>
              <w:t>1304,09</w:t>
            </w:r>
          </w:p>
        </w:tc>
        <w:tc>
          <w:tcPr>
            <w:tcW w:w="1059"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sz w:val="20"/>
                <w:szCs w:val="20"/>
                <w:lang w:bidi="he-IL"/>
              </w:rPr>
            </w:pPr>
            <w:r w:rsidRPr="008376FC">
              <w:rPr>
                <w:rFonts w:asciiTheme="majorHAnsi" w:eastAsia="Times New Roman" w:hAnsiTheme="majorHAnsi" w:cstheme="majorHAnsi"/>
                <w:color w:val="000000"/>
                <w:sz w:val="20"/>
                <w:szCs w:val="20"/>
                <w:lang w:bidi="he-IL"/>
              </w:rPr>
              <w:t>1388,97</w:t>
            </w:r>
          </w:p>
        </w:tc>
        <w:tc>
          <w:tcPr>
            <w:tcW w:w="1177"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sz w:val="20"/>
                <w:szCs w:val="20"/>
                <w:lang w:bidi="he-IL"/>
              </w:rPr>
            </w:pPr>
            <w:r w:rsidRPr="008376FC">
              <w:rPr>
                <w:rFonts w:asciiTheme="majorHAnsi" w:eastAsia="Times New Roman" w:hAnsiTheme="majorHAnsi" w:cstheme="majorHAnsi"/>
                <w:color w:val="000000"/>
                <w:sz w:val="20"/>
                <w:szCs w:val="20"/>
                <w:lang w:bidi="he-IL"/>
              </w:rPr>
              <w:t>59</w:t>
            </w:r>
          </w:p>
        </w:tc>
        <w:tc>
          <w:tcPr>
            <w:tcW w:w="1191"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sz w:val="20"/>
                <w:szCs w:val="20"/>
                <w:lang w:bidi="he-IL"/>
              </w:rPr>
            </w:pPr>
            <w:r w:rsidRPr="008376FC">
              <w:rPr>
                <w:rFonts w:asciiTheme="majorHAnsi" w:eastAsia="Times New Roman" w:hAnsiTheme="majorHAnsi" w:cstheme="majorHAnsi"/>
                <w:color w:val="000000"/>
                <w:sz w:val="20"/>
                <w:szCs w:val="20"/>
                <w:lang w:bidi="he-IL"/>
              </w:rPr>
              <w:t>50</w:t>
            </w:r>
          </w:p>
        </w:tc>
        <w:tc>
          <w:tcPr>
            <w:tcW w:w="1189"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sz w:val="20"/>
                <w:szCs w:val="20"/>
                <w:lang w:bidi="he-IL"/>
              </w:rPr>
            </w:pPr>
            <w:r w:rsidRPr="008376FC">
              <w:rPr>
                <w:rFonts w:asciiTheme="majorHAnsi" w:eastAsia="Times New Roman" w:hAnsiTheme="majorHAnsi" w:cstheme="majorHAnsi"/>
                <w:color w:val="000000"/>
                <w:sz w:val="20"/>
                <w:szCs w:val="20"/>
                <w:lang w:bidi="he-IL"/>
              </w:rPr>
              <w:t>52</w:t>
            </w:r>
          </w:p>
        </w:tc>
        <w:tc>
          <w:tcPr>
            <w:tcW w:w="930"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sz w:val="20"/>
                <w:szCs w:val="20"/>
                <w:lang w:bidi="he-IL"/>
              </w:rPr>
            </w:pPr>
            <w:r w:rsidRPr="008376FC">
              <w:rPr>
                <w:rFonts w:asciiTheme="majorHAnsi" w:eastAsia="Times New Roman" w:hAnsiTheme="majorHAnsi" w:cstheme="majorHAnsi"/>
                <w:color w:val="000000"/>
                <w:sz w:val="20"/>
                <w:szCs w:val="20"/>
                <w:lang w:bidi="he-IL"/>
              </w:rPr>
              <w:t>68</w:t>
            </w:r>
          </w:p>
        </w:tc>
      </w:tr>
    </w:tbl>
    <w:p w:rsidR="000E184F" w:rsidRPr="008376FC" w:rsidRDefault="000E184F" w:rsidP="00F61756">
      <w:pPr>
        <w:spacing w:line="276" w:lineRule="auto"/>
        <w:rPr>
          <w:rFonts w:asciiTheme="majorHAnsi" w:hAnsiTheme="majorHAnsi" w:cstheme="majorHAnsi"/>
          <w:sz w:val="16"/>
          <w:szCs w:val="16"/>
        </w:rPr>
      </w:pPr>
      <w:r w:rsidRPr="008376FC">
        <w:rPr>
          <w:rFonts w:asciiTheme="majorHAnsi" w:hAnsiTheme="majorHAnsi" w:cstheme="majorHAnsi"/>
          <w:sz w:val="16"/>
          <w:szCs w:val="16"/>
        </w:rPr>
        <w:t xml:space="preserve">Sursa: </w:t>
      </w:r>
      <w:r w:rsidRPr="008376FC">
        <w:rPr>
          <w:rFonts w:asciiTheme="majorHAnsi" w:hAnsiTheme="majorHAnsi" w:cstheme="majorHAnsi"/>
          <w:b w:val="0"/>
          <w:bCs w:val="0"/>
          <w:sz w:val="16"/>
          <w:szCs w:val="16"/>
        </w:rPr>
        <w:t>Datele MEC.</w:t>
      </w:r>
      <w:r w:rsidRPr="008376FC">
        <w:rPr>
          <w:rFonts w:asciiTheme="majorHAnsi" w:hAnsiTheme="majorHAnsi" w:cstheme="majorHAnsi"/>
          <w:sz w:val="16"/>
          <w:szCs w:val="16"/>
        </w:rPr>
        <w:t xml:space="preserve"> </w:t>
      </w:r>
    </w:p>
    <w:p w:rsidR="000E184F" w:rsidRPr="004C1766" w:rsidRDefault="000E184F" w:rsidP="00F61756">
      <w:pPr>
        <w:spacing w:line="276" w:lineRule="auto"/>
        <w:jc w:val="both"/>
        <w:rPr>
          <w:rFonts w:asciiTheme="majorHAnsi" w:eastAsia="MS Mincho" w:hAnsiTheme="majorHAnsi" w:cstheme="majorHAnsi"/>
          <w:b w:val="0"/>
          <w:color w:val="0070C0"/>
          <w:kern w:val="2"/>
          <w:sz w:val="24"/>
          <w:szCs w:val="24"/>
        </w:rPr>
      </w:pPr>
      <w:r w:rsidRPr="004C1766">
        <w:rPr>
          <w:rFonts w:asciiTheme="majorHAnsi" w:eastAsia="MS Mincho" w:hAnsiTheme="majorHAnsi" w:cstheme="majorHAnsi"/>
          <w:color w:val="0070C0"/>
          <w:kern w:val="2"/>
          <w:sz w:val="24"/>
          <w:szCs w:val="24"/>
        </w:rPr>
        <w:t>Anexa nr.7</w:t>
      </w:r>
      <w:r w:rsidR="0032712D" w:rsidRPr="004C1766">
        <w:rPr>
          <w:rFonts w:asciiTheme="majorHAnsi" w:eastAsia="MS Mincho" w:hAnsiTheme="majorHAnsi" w:cstheme="majorHAnsi"/>
          <w:color w:val="0070C0"/>
          <w:kern w:val="2"/>
          <w:sz w:val="24"/>
          <w:szCs w:val="24"/>
        </w:rPr>
        <w:t>.</w:t>
      </w:r>
      <w:r w:rsidRPr="004C1766">
        <w:rPr>
          <w:rFonts w:asciiTheme="majorHAnsi" w:eastAsia="MS Mincho" w:hAnsiTheme="majorHAnsi" w:cstheme="majorHAnsi"/>
          <w:color w:val="0070C0"/>
          <w:kern w:val="2"/>
          <w:sz w:val="24"/>
          <w:szCs w:val="24"/>
        </w:rPr>
        <w:t xml:space="preserve"> Informaţii aferente pregătirii cadrelor la programul de master 0732 Managementul sistemelor de inginerie sanitare şi protecţia mediului</w:t>
      </w:r>
    </w:p>
    <w:tbl>
      <w:tblPr>
        <w:tblStyle w:val="af2"/>
        <w:tblW w:w="0" w:type="auto"/>
        <w:tblLook w:val="04A0" w:firstRow="1" w:lastRow="0" w:firstColumn="1" w:lastColumn="0" w:noHBand="0" w:noVBand="1"/>
      </w:tblPr>
      <w:tblGrid>
        <w:gridCol w:w="796"/>
        <w:gridCol w:w="1186"/>
        <w:gridCol w:w="937"/>
        <w:gridCol w:w="1266"/>
        <w:gridCol w:w="1058"/>
        <w:gridCol w:w="1153"/>
        <w:gridCol w:w="1181"/>
        <w:gridCol w:w="1164"/>
        <w:gridCol w:w="937"/>
      </w:tblGrid>
      <w:tr w:rsidR="000E184F" w:rsidRPr="008376FC" w:rsidTr="0074426A">
        <w:trPr>
          <w:trHeight w:val="1238"/>
        </w:trPr>
        <w:tc>
          <w:tcPr>
            <w:tcW w:w="800" w:type="dxa"/>
            <w:vMerge w:val="restart"/>
            <w:shd w:val="clear" w:color="auto" w:fill="BDD6EE" w:themeFill="accent1" w:themeFillTint="66"/>
          </w:tcPr>
          <w:p w:rsidR="000E184F" w:rsidRPr="008376FC" w:rsidRDefault="000E184F" w:rsidP="00F61756">
            <w:pPr>
              <w:spacing w:line="276" w:lineRule="auto"/>
              <w:rPr>
                <w:rFonts w:asciiTheme="majorHAnsi" w:hAnsiTheme="majorHAnsi" w:cstheme="majorHAnsi"/>
                <w:b w:val="0"/>
              </w:rPr>
            </w:pPr>
            <w:r w:rsidRPr="008376FC">
              <w:rPr>
                <w:rFonts w:asciiTheme="majorHAnsi" w:hAnsiTheme="majorHAnsi" w:cstheme="majorHAnsi"/>
              </w:rPr>
              <w:t>Anii</w:t>
            </w:r>
          </w:p>
        </w:tc>
        <w:tc>
          <w:tcPr>
            <w:tcW w:w="2160" w:type="dxa"/>
            <w:gridSpan w:val="2"/>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color w:val="000000"/>
                <w:sz w:val="20"/>
                <w:szCs w:val="20"/>
                <w:lang w:bidi="he-IL"/>
              </w:rPr>
              <w:t>Plan (Comanda de stat) de pregătire a cadrelor la specialitatea 0732.3/582.6</w:t>
            </w:r>
          </w:p>
        </w:tc>
        <w:tc>
          <w:tcPr>
            <w:tcW w:w="2364" w:type="dxa"/>
            <w:gridSpan w:val="2"/>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color w:val="000000"/>
                <w:sz w:val="20"/>
                <w:szCs w:val="20"/>
                <w:lang w:bidi="he-IL"/>
              </w:rPr>
              <w:t>Volumul finanţării din Bugetul de stat pentru pregătirea cadrelor la specialitatea 0732.3/582.6, mii lei</w:t>
            </w:r>
          </w:p>
        </w:tc>
        <w:tc>
          <w:tcPr>
            <w:tcW w:w="2388" w:type="dxa"/>
            <w:gridSpan w:val="2"/>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color w:val="000000"/>
                <w:sz w:val="20"/>
                <w:szCs w:val="20"/>
                <w:lang w:bidi="he-IL"/>
              </w:rPr>
              <w:t>Numărul studenţilor înmatriculaţi</w:t>
            </w:r>
          </w:p>
        </w:tc>
        <w:tc>
          <w:tcPr>
            <w:tcW w:w="2138" w:type="dxa"/>
            <w:gridSpan w:val="2"/>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color w:val="000000"/>
                <w:sz w:val="20"/>
                <w:szCs w:val="20"/>
                <w:lang w:bidi="he-IL"/>
              </w:rPr>
              <w:t>Numărul absolvenţilor</w:t>
            </w:r>
          </w:p>
        </w:tc>
      </w:tr>
      <w:tr w:rsidR="000E184F" w:rsidRPr="008376FC" w:rsidTr="0074426A">
        <w:trPr>
          <w:trHeight w:val="147"/>
        </w:trPr>
        <w:tc>
          <w:tcPr>
            <w:tcW w:w="800" w:type="dxa"/>
            <w:vMerge/>
            <w:shd w:val="clear" w:color="auto" w:fill="BDD6EE" w:themeFill="accent1" w:themeFillTint="66"/>
          </w:tcPr>
          <w:p w:rsidR="000E184F" w:rsidRPr="008376FC" w:rsidRDefault="000E184F" w:rsidP="00F61756">
            <w:pPr>
              <w:spacing w:line="276" w:lineRule="auto"/>
              <w:rPr>
                <w:b w:val="0"/>
              </w:rPr>
            </w:pPr>
          </w:p>
        </w:tc>
        <w:tc>
          <w:tcPr>
            <w:tcW w:w="1222"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 xml:space="preserve">Buget </w:t>
            </w:r>
          </w:p>
        </w:tc>
        <w:tc>
          <w:tcPr>
            <w:tcW w:w="939"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Contract           (cu taxă)</w:t>
            </w:r>
          </w:p>
        </w:tc>
        <w:tc>
          <w:tcPr>
            <w:tcW w:w="1296" w:type="dxa"/>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iCs/>
                <w:color w:val="000000"/>
                <w:sz w:val="20"/>
                <w:szCs w:val="20"/>
                <w:lang w:bidi="he-IL"/>
              </w:rPr>
              <w:t>aprobat</w:t>
            </w:r>
          </w:p>
        </w:tc>
        <w:tc>
          <w:tcPr>
            <w:tcW w:w="1068" w:type="dxa"/>
            <w:shd w:val="clear" w:color="auto" w:fill="BDD6EE" w:themeFill="accent1" w:themeFillTint="66"/>
          </w:tcPr>
          <w:p w:rsidR="000E184F" w:rsidRPr="008376FC" w:rsidRDefault="000E184F" w:rsidP="00F61756">
            <w:pPr>
              <w:spacing w:line="276" w:lineRule="auto"/>
              <w:rPr>
                <w:b w:val="0"/>
              </w:rPr>
            </w:pPr>
            <w:r w:rsidRPr="008376FC">
              <w:rPr>
                <w:rFonts w:asciiTheme="majorHAnsi" w:eastAsia="Times New Roman" w:hAnsiTheme="majorHAnsi" w:cstheme="majorHAnsi"/>
                <w:iCs/>
                <w:color w:val="000000"/>
                <w:sz w:val="20"/>
                <w:szCs w:val="20"/>
                <w:lang w:bidi="he-IL"/>
              </w:rPr>
              <w:t>executat</w:t>
            </w:r>
          </w:p>
        </w:tc>
        <w:tc>
          <w:tcPr>
            <w:tcW w:w="1187"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 xml:space="preserve">Buget </w:t>
            </w:r>
          </w:p>
        </w:tc>
        <w:tc>
          <w:tcPr>
            <w:tcW w:w="1201"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Contract           (cu taxă)</w:t>
            </w:r>
          </w:p>
        </w:tc>
        <w:tc>
          <w:tcPr>
            <w:tcW w:w="1199"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 xml:space="preserve">Buget </w:t>
            </w:r>
          </w:p>
        </w:tc>
        <w:tc>
          <w:tcPr>
            <w:tcW w:w="939" w:type="dxa"/>
            <w:shd w:val="clear" w:color="auto" w:fill="BDD6EE" w:themeFill="accent1" w:themeFillTint="66"/>
            <w:vAlign w:val="center"/>
          </w:tcPr>
          <w:p w:rsidR="000E184F" w:rsidRPr="008376FC" w:rsidRDefault="000E184F" w:rsidP="00F61756">
            <w:pPr>
              <w:spacing w:line="276" w:lineRule="auto"/>
              <w:jc w:val="center"/>
              <w:rPr>
                <w:rFonts w:asciiTheme="majorHAnsi" w:eastAsia="Times New Roman" w:hAnsiTheme="majorHAnsi" w:cstheme="majorHAnsi"/>
                <w:b w:val="0"/>
                <w:bCs w:val="0"/>
                <w:iCs/>
                <w:color w:val="000000"/>
                <w:sz w:val="20"/>
                <w:szCs w:val="20"/>
                <w:lang w:bidi="he-IL"/>
              </w:rPr>
            </w:pPr>
            <w:r w:rsidRPr="008376FC">
              <w:rPr>
                <w:rFonts w:asciiTheme="majorHAnsi" w:eastAsia="Times New Roman" w:hAnsiTheme="majorHAnsi" w:cstheme="majorHAnsi"/>
                <w:iCs/>
                <w:color w:val="000000"/>
                <w:sz w:val="20"/>
                <w:szCs w:val="20"/>
                <w:lang w:bidi="he-IL"/>
              </w:rPr>
              <w:t>Contract           (cu taxă)</w:t>
            </w:r>
          </w:p>
        </w:tc>
      </w:tr>
      <w:tr w:rsidR="000E184F" w:rsidRPr="008376FC" w:rsidTr="0074426A">
        <w:trPr>
          <w:trHeight w:val="157"/>
        </w:trPr>
        <w:tc>
          <w:tcPr>
            <w:tcW w:w="800" w:type="dxa"/>
            <w:vAlign w:val="bottom"/>
          </w:tcPr>
          <w:p w:rsidR="000E184F" w:rsidRPr="008376FC"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color w:val="000000"/>
                <w:sz w:val="20"/>
                <w:szCs w:val="20"/>
                <w:lang w:bidi="he-IL"/>
              </w:rPr>
              <w:t>2014</w:t>
            </w:r>
          </w:p>
        </w:tc>
        <w:tc>
          <w:tcPr>
            <w:tcW w:w="122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6</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4</w:t>
            </w:r>
          </w:p>
        </w:tc>
        <w:tc>
          <w:tcPr>
            <w:tcW w:w="1296"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21,88</w:t>
            </w:r>
          </w:p>
        </w:tc>
        <w:tc>
          <w:tcPr>
            <w:tcW w:w="1068"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22,41</w:t>
            </w:r>
          </w:p>
        </w:tc>
        <w:tc>
          <w:tcPr>
            <w:tcW w:w="118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6</w:t>
            </w:r>
          </w:p>
        </w:tc>
        <w:tc>
          <w:tcPr>
            <w:tcW w:w="1201" w:type="dxa"/>
            <w:vAlign w:val="bottom"/>
          </w:tcPr>
          <w:p w:rsidR="000E184F" w:rsidRPr="008376FC" w:rsidRDefault="000056B2" w:rsidP="00F61756">
            <w:pPr>
              <w:spacing w:line="276" w:lineRule="auto"/>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w:t>
            </w:r>
          </w:p>
        </w:tc>
        <w:tc>
          <w:tcPr>
            <w:tcW w:w="119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10</w:t>
            </w:r>
          </w:p>
        </w:tc>
        <w:tc>
          <w:tcPr>
            <w:tcW w:w="939" w:type="dxa"/>
            <w:vAlign w:val="bottom"/>
          </w:tcPr>
          <w:p w:rsidR="000E184F" w:rsidRPr="008376FC" w:rsidRDefault="000056B2" w:rsidP="00F61756">
            <w:pPr>
              <w:spacing w:line="276" w:lineRule="auto"/>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w:t>
            </w:r>
          </w:p>
        </w:tc>
      </w:tr>
      <w:tr w:rsidR="000E184F" w:rsidRPr="008376FC" w:rsidTr="0074426A">
        <w:trPr>
          <w:trHeight w:val="57"/>
        </w:trPr>
        <w:tc>
          <w:tcPr>
            <w:tcW w:w="800" w:type="dxa"/>
            <w:vAlign w:val="bottom"/>
          </w:tcPr>
          <w:p w:rsidR="000E184F" w:rsidRPr="008376FC"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color w:val="000000"/>
                <w:sz w:val="20"/>
                <w:szCs w:val="20"/>
                <w:lang w:bidi="he-IL"/>
              </w:rPr>
              <w:t>2015</w:t>
            </w:r>
          </w:p>
        </w:tc>
        <w:tc>
          <w:tcPr>
            <w:tcW w:w="122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4</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1296"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16,67</w:t>
            </w:r>
          </w:p>
        </w:tc>
        <w:tc>
          <w:tcPr>
            <w:tcW w:w="1068"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16,67</w:t>
            </w:r>
          </w:p>
        </w:tc>
        <w:tc>
          <w:tcPr>
            <w:tcW w:w="118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4</w:t>
            </w:r>
          </w:p>
        </w:tc>
        <w:tc>
          <w:tcPr>
            <w:tcW w:w="120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w:t>
            </w:r>
          </w:p>
        </w:tc>
        <w:tc>
          <w:tcPr>
            <w:tcW w:w="119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12</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w:t>
            </w:r>
          </w:p>
        </w:tc>
      </w:tr>
      <w:tr w:rsidR="000E184F" w:rsidRPr="008376FC" w:rsidTr="0074426A">
        <w:trPr>
          <w:trHeight w:val="78"/>
        </w:trPr>
        <w:tc>
          <w:tcPr>
            <w:tcW w:w="800" w:type="dxa"/>
            <w:vAlign w:val="bottom"/>
          </w:tcPr>
          <w:p w:rsidR="000E184F" w:rsidRPr="008376FC"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color w:val="000000"/>
                <w:sz w:val="20"/>
                <w:szCs w:val="20"/>
                <w:lang w:bidi="he-IL"/>
              </w:rPr>
              <w:t>2016</w:t>
            </w:r>
          </w:p>
        </w:tc>
        <w:tc>
          <w:tcPr>
            <w:tcW w:w="122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5</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5</w:t>
            </w:r>
          </w:p>
        </w:tc>
        <w:tc>
          <w:tcPr>
            <w:tcW w:w="1296"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22,15</w:t>
            </w:r>
          </w:p>
        </w:tc>
        <w:tc>
          <w:tcPr>
            <w:tcW w:w="1068"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23,81</w:t>
            </w:r>
          </w:p>
        </w:tc>
        <w:tc>
          <w:tcPr>
            <w:tcW w:w="118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5</w:t>
            </w:r>
          </w:p>
        </w:tc>
        <w:tc>
          <w:tcPr>
            <w:tcW w:w="120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0</w:t>
            </w:r>
          </w:p>
        </w:tc>
        <w:tc>
          <w:tcPr>
            <w:tcW w:w="119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6</w:t>
            </w:r>
          </w:p>
        </w:tc>
        <w:tc>
          <w:tcPr>
            <w:tcW w:w="939" w:type="dxa"/>
            <w:vAlign w:val="bottom"/>
          </w:tcPr>
          <w:p w:rsidR="000E184F" w:rsidRPr="008376FC" w:rsidRDefault="000056B2" w:rsidP="00F61756">
            <w:pPr>
              <w:spacing w:line="276" w:lineRule="auto"/>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w:t>
            </w:r>
          </w:p>
        </w:tc>
      </w:tr>
      <w:tr w:rsidR="000E184F" w:rsidRPr="008376FC" w:rsidTr="0074426A">
        <w:trPr>
          <w:trHeight w:val="111"/>
        </w:trPr>
        <w:tc>
          <w:tcPr>
            <w:tcW w:w="800" w:type="dxa"/>
            <w:vAlign w:val="bottom"/>
          </w:tcPr>
          <w:p w:rsidR="000E184F" w:rsidRPr="008376FC"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color w:val="000000"/>
                <w:sz w:val="20"/>
                <w:szCs w:val="20"/>
                <w:lang w:bidi="he-IL"/>
              </w:rPr>
              <w:t>2017</w:t>
            </w:r>
          </w:p>
        </w:tc>
        <w:tc>
          <w:tcPr>
            <w:tcW w:w="122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1296"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16,90</w:t>
            </w:r>
          </w:p>
        </w:tc>
        <w:tc>
          <w:tcPr>
            <w:tcW w:w="1068"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19,42</w:t>
            </w:r>
          </w:p>
        </w:tc>
        <w:tc>
          <w:tcPr>
            <w:tcW w:w="118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120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0</w:t>
            </w:r>
          </w:p>
        </w:tc>
        <w:tc>
          <w:tcPr>
            <w:tcW w:w="119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w:t>
            </w:r>
          </w:p>
        </w:tc>
        <w:tc>
          <w:tcPr>
            <w:tcW w:w="939" w:type="dxa"/>
            <w:vAlign w:val="bottom"/>
          </w:tcPr>
          <w:p w:rsidR="000E184F" w:rsidRPr="008376FC" w:rsidRDefault="000056B2" w:rsidP="00F61756">
            <w:pPr>
              <w:spacing w:line="276" w:lineRule="auto"/>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w:t>
            </w:r>
          </w:p>
        </w:tc>
      </w:tr>
      <w:tr w:rsidR="000E184F" w:rsidRPr="008376FC" w:rsidTr="0074426A">
        <w:trPr>
          <w:trHeight w:val="57"/>
        </w:trPr>
        <w:tc>
          <w:tcPr>
            <w:tcW w:w="800" w:type="dxa"/>
            <w:vAlign w:val="bottom"/>
          </w:tcPr>
          <w:p w:rsidR="000E184F" w:rsidRPr="008376FC"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color w:val="000000"/>
                <w:sz w:val="20"/>
                <w:szCs w:val="20"/>
                <w:lang w:bidi="he-IL"/>
              </w:rPr>
              <w:t>2018</w:t>
            </w:r>
          </w:p>
        </w:tc>
        <w:tc>
          <w:tcPr>
            <w:tcW w:w="122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1296"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58,69</w:t>
            </w:r>
          </w:p>
        </w:tc>
        <w:tc>
          <w:tcPr>
            <w:tcW w:w="1068"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54,97</w:t>
            </w:r>
          </w:p>
        </w:tc>
        <w:tc>
          <w:tcPr>
            <w:tcW w:w="118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w:t>
            </w:r>
          </w:p>
        </w:tc>
        <w:tc>
          <w:tcPr>
            <w:tcW w:w="120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0</w:t>
            </w:r>
          </w:p>
        </w:tc>
        <w:tc>
          <w:tcPr>
            <w:tcW w:w="119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4</w:t>
            </w:r>
          </w:p>
        </w:tc>
        <w:tc>
          <w:tcPr>
            <w:tcW w:w="939" w:type="dxa"/>
            <w:vAlign w:val="bottom"/>
          </w:tcPr>
          <w:p w:rsidR="000E184F" w:rsidRPr="008376FC" w:rsidRDefault="000056B2" w:rsidP="00F61756">
            <w:pPr>
              <w:spacing w:line="276" w:lineRule="auto"/>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w:t>
            </w:r>
          </w:p>
        </w:tc>
      </w:tr>
      <w:tr w:rsidR="000E184F" w:rsidRPr="008376FC" w:rsidTr="0074426A">
        <w:trPr>
          <w:trHeight w:val="176"/>
        </w:trPr>
        <w:tc>
          <w:tcPr>
            <w:tcW w:w="800" w:type="dxa"/>
            <w:vAlign w:val="bottom"/>
          </w:tcPr>
          <w:p w:rsidR="000E184F" w:rsidRPr="008376FC"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color w:val="000000"/>
                <w:sz w:val="20"/>
                <w:szCs w:val="20"/>
                <w:lang w:bidi="he-IL"/>
              </w:rPr>
              <w:t>2019</w:t>
            </w:r>
          </w:p>
        </w:tc>
        <w:tc>
          <w:tcPr>
            <w:tcW w:w="122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w:t>
            </w:r>
          </w:p>
        </w:tc>
        <w:tc>
          <w:tcPr>
            <w:tcW w:w="1296"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23,75</w:t>
            </w:r>
          </w:p>
        </w:tc>
        <w:tc>
          <w:tcPr>
            <w:tcW w:w="1068"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31,25</w:t>
            </w:r>
          </w:p>
        </w:tc>
        <w:tc>
          <w:tcPr>
            <w:tcW w:w="118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120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w:t>
            </w:r>
          </w:p>
        </w:tc>
        <w:tc>
          <w:tcPr>
            <w:tcW w:w="119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w:t>
            </w:r>
          </w:p>
        </w:tc>
        <w:tc>
          <w:tcPr>
            <w:tcW w:w="939" w:type="dxa"/>
            <w:vAlign w:val="bottom"/>
          </w:tcPr>
          <w:p w:rsidR="000E184F" w:rsidRPr="008376FC" w:rsidRDefault="000056B2" w:rsidP="00F61756">
            <w:pPr>
              <w:spacing w:line="276" w:lineRule="auto"/>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w:t>
            </w:r>
          </w:p>
        </w:tc>
      </w:tr>
      <w:tr w:rsidR="000E184F" w:rsidRPr="008376FC" w:rsidTr="0074426A">
        <w:trPr>
          <w:trHeight w:val="57"/>
        </w:trPr>
        <w:tc>
          <w:tcPr>
            <w:tcW w:w="800" w:type="dxa"/>
            <w:vAlign w:val="bottom"/>
          </w:tcPr>
          <w:p w:rsidR="000E184F" w:rsidRPr="008376FC"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color w:val="000000"/>
                <w:sz w:val="20"/>
                <w:szCs w:val="20"/>
                <w:lang w:bidi="he-IL"/>
              </w:rPr>
              <w:t>2020</w:t>
            </w:r>
          </w:p>
        </w:tc>
        <w:tc>
          <w:tcPr>
            <w:tcW w:w="122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8</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w:t>
            </w:r>
          </w:p>
        </w:tc>
        <w:tc>
          <w:tcPr>
            <w:tcW w:w="1296"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32,02</w:t>
            </w:r>
          </w:p>
        </w:tc>
        <w:tc>
          <w:tcPr>
            <w:tcW w:w="1068"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84,16</w:t>
            </w:r>
          </w:p>
        </w:tc>
        <w:tc>
          <w:tcPr>
            <w:tcW w:w="118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8</w:t>
            </w:r>
          </w:p>
        </w:tc>
        <w:tc>
          <w:tcPr>
            <w:tcW w:w="120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5</w:t>
            </w:r>
          </w:p>
        </w:tc>
        <w:tc>
          <w:tcPr>
            <w:tcW w:w="119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6</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w:t>
            </w:r>
          </w:p>
        </w:tc>
      </w:tr>
      <w:tr w:rsidR="000E184F" w:rsidRPr="008376FC" w:rsidTr="0074426A">
        <w:trPr>
          <w:trHeight w:val="83"/>
        </w:trPr>
        <w:tc>
          <w:tcPr>
            <w:tcW w:w="800" w:type="dxa"/>
            <w:vAlign w:val="bottom"/>
          </w:tcPr>
          <w:p w:rsidR="000E184F" w:rsidRPr="008376FC"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color w:val="000000"/>
                <w:sz w:val="20"/>
                <w:szCs w:val="20"/>
                <w:lang w:bidi="he-IL"/>
              </w:rPr>
              <w:t>2021</w:t>
            </w:r>
          </w:p>
        </w:tc>
        <w:tc>
          <w:tcPr>
            <w:tcW w:w="122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3</w:t>
            </w:r>
          </w:p>
        </w:tc>
        <w:tc>
          <w:tcPr>
            <w:tcW w:w="1296"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188,30</w:t>
            </w:r>
          </w:p>
        </w:tc>
        <w:tc>
          <w:tcPr>
            <w:tcW w:w="1068"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188,30</w:t>
            </w:r>
          </w:p>
        </w:tc>
        <w:tc>
          <w:tcPr>
            <w:tcW w:w="118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7</w:t>
            </w:r>
          </w:p>
        </w:tc>
        <w:tc>
          <w:tcPr>
            <w:tcW w:w="1201"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w:t>
            </w:r>
          </w:p>
        </w:tc>
        <w:tc>
          <w:tcPr>
            <w:tcW w:w="119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w:t>
            </w:r>
          </w:p>
        </w:tc>
      </w:tr>
      <w:tr w:rsidR="000E184F" w:rsidRPr="008376FC" w:rsidTr="0074426A">
        <w:trPr>
          <w:trHeight w:val="57"/>
        </w:trPr>
        <w:tc>
          <w:tcPr>
            <w:tcW w:w="800" w:type="dxa"/>
            <w:vAlign w:val="bottom"/>
          </w:tcPr>
          <w:p w:rsidR="000E184F" w:rsidRPr="008376FC" w:rsidRDefault="000E184F"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color w:val="000000"/>
                <w:sz w:val="20"/>
                <w:szCs w:val="20"/>
                <w:lang w:bidi="he-IL"/>
              </w:rPr>
              <w:t>2022</w:t>
            </w:r>
          </w:p>
        </w:tc>
        <w:tc>
          <w:tcPr>
            <w:tcW w:w="1222"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10</w:t>
            </w:r>
          </w:p>
        </w:tc>
        <w:tc>
          <w:tcPr>
            <w:tcW w:w="939" w:type="dxa"/>
            <w:vAlign w:val="bottom"/>
          </w:tcPr>
          <w:p w:rsidR="000E184F" w:rsidRPr="008376FC" w:rsidRDefault="000056B2" w:rsidP="00F61756">
            <w:pPr>
              <w:spacing w:line="276" w:lineRule="auto"/>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w:t>
            </w:r>
          </w:p>
        </w:tc>
        <w:tc>
          <w:tcPr>
            <w:tcW w:w="1296"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269,00</w:t>
            </w:r>
          </w:p>
        </w:tc>
        <w:tc>
          <w:tcPr>
            <w:tcW w:w="1068"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269,00</w:t>
            </w:r>
          </w:p>
        </w:tc>
        <w:tc>
          <w:tcPr>
            <w:tcW w:w="1187"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sz w:val="20"/>
                <w:szCs w:val="20"/>
                <w:lang w:bidi="he-IL"/>
              </w:rPr>
            </w:pPr>
            <w:r w:rsidRPr="008376FC">
              <w:rPr>
                <w:rFonts w:asciiTheme="majorHAnsi" w:eastAsia="Times New Roman" w:hAnsiTheme="majorHAnsi" w:cstheme="majorHAnsi"/>
                <w:b w:val="0"/>
                <w:bCs w:val="0"/>
                <w:sz w:val="20"/>
                <w:szCs w:val="20"/>
                <w:lang w:bidi="he-IL"/>
              </w:rPr>
              <w:t>10</w:t>
            </w:r>
          </w:p>
        </w:tc>
        <w:tc>
          <w:tcPr>
            <w:tcW w:w="1201" w:type="dxa"/>
            <w:vAlign w:val="bottom"/>
          </w:tcPr>
          <w:p w:rsidR="000E184F" w:rsidRPr="008376FC" w:rsidRDefault="000056B2" w:rsidP="00F61756">
            <w:pPr>
              <w:spacing w:line="276" w:lineRule="auto"/>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 </w:t>
            </w:r>
          </w:p>
        </w:tc>
        <w:tc>
          <w:tcPr>
            <w:tcW w:w="119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9</w:t>
            </w:r>
          </w:p>
        </w:tc>
        <w:tc>
          <w:tcPr>
            <w:tcW w:w="939" w:type="dxa"/>
            <w:vAlign w:val="bottom"/>
          </w:tcPr>
          <w:p w:rsidR="000E184F" w:rsidRPr="008376FC" w:rsidRDefault="000056B2" w:rsidP="00F61756">
            <w:pPr>
              <w:spacing w:line="276" w:lineRule="auto"/>
              <w:jc w:val="right"/>
              <w:rPr>
                <w:rFonts w:asciiTheme="majorHAnsi" w:eastAsia="Times New Roman" w:hAnsiTheme="majorHAnsi" w:cstheme="majorHAnsi"/>
                <w:b w:val="0"/>
                <w:bCs w:val="0"/>
                <w:color w:val="000000"/>
                <w:sz w:val="20"/>
                <w:szCs w:val="20"/>
                <w:lang w:bidi="he-IL"/>
              </w:rPr>
            </w:pPr>
            <w:r w:rsidRPr="008376FC">
              <w:rPr>
                <w:rFonts w:asciiTheme="majorHAnsi" w:eastAsia="Times New Roman" w:hAnsiTheme="majorHAnsi" w:cstheme="majorHAnsi"/>
                <w:b w:val="0"/>
                <w:bCs w:val="0"/>
                <w:color w:val="000000"/>
                <w:sz w:val="20"/>
                <w:szCs w:val="20"/>
                <w:lang w:bidi="he-IL"/>
              </w:rPr>
              <w:t>2</w:t>
            </w:r>
          </w:p>
        </w:tc>
      </w:tr>
      <w:tr w:rsidR="000E184F" w:rsidRPr="008376FC" w:rsidTr="0074426A">
        <w:trPr>
          <w:trHeight w:val="283"/>
        </w:trPr>
        <w:tc>
          <w:tcPr>
            <w:tcW w:w="800" w:type="dxa"/>
            <w:shd w:val="clear" w:color="auto" w:fill="BDD6EE" w:themeFill="accent1" w:themeFillTint="66"/>
            <w:vAlign w:val="bottom"/>
          </w:tcPr>
          <w:p w:rsidR="000E184F" w:rsidRPr="008376FC" w:rsidRDefault="000E184F" w:rsidP="00F61756">
            <w:pPr>
              <w:spacing w:line="276" w:lineRule="auto"/>
              <w:jc w:val="center"/>
              <w:rPr>
                <w:rFonts w:asciiTheme="majorHAnsi" w:eastAsia="Times New Roman" w:hAnsiTheme="majorHAnsi" w:cstheme="majorHAnsi"/>
                <w:b w:val="0"/>
                <w:color w:val="000000"/>
                <w:sz w:val="20"/>
                <w:szCs w:val="20"/>
                <w:lang w:bidi="he-IL"/>
              </w:rPr>
            </w:pPr>
            <w:r w:rsidRPr="008376FC">
              <w:rPr>
                <w:rFonts w:asciiTheme="majorHAnsi" w:eastAsia="Times New Roman" w:hAnsiTheme="majorHAnsi" w:cstheme="majorHAnsi"/>
                <w:color w:val="000000"/>
                <w:sz w:val="20"/>
                <w:szCs w:val="20"/>
                <w:lang w:bidi="he-IL"/>
              </w:rPr>
              <w:t>TOTAL</w:t>
            </w:r>
          </w:p>
        </w:tc>
        <w:tc>
          <w:tcPr>
            <w:tcW w:w="1222"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lang w:bidi="he-IL"/>
              </w:rPr>
            </w:pPr>
            <w:r w:rsidRPr="008376FC">
              <w:rPr>
                <w:rFonts w:asciiTheme="majorHAnsi" w:eastAsia="Times New Roman" w:hAnsiTheme="majorHAnsi" w:cstheme="majorHAnsi"/>
                <w:color w:val="000000"/>
                <w:lang w:bidi="he-IL"/>
              </w:rPr>
              <w:t>53</w:t>
            </w:r>
          </w:p>
        </w:tc>
        <w:tc>
          <w:tcPr>
            <w:tcW w:w="939"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lang w:bidi="he-IL"/>
              </w:rPr>
            </w:pPr>
            <w:r w:rsidRPr="008376FC">
              <w:rPr>
                <w:rFonts w:asciiTheme="majorHAnsi" w:eastAsia="Times New Roman" w:hAnsiTheme="majorHAnsi" w:cstheme="majorHAnsi"/>
                <w:color w:val="000000"/>
                <w:lang w:bidi="he-IL"/>
              </w:rPr>
              <w:t>35</w:t>
            </w:r>
          </w:p>
        </w:tc>
        <w:tc>
          <w:tcPr>
            <w:tcW w:w="1296"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lang w:bidi="he-IL"/>
              </w:rPr>
            </w:pPr>
            <w:r w:rsidRPr="008376FC">
              <w:rPr>
                <w:rFonts w:asciiTheme="majorHAnsi" w:eastAsia="Times New Roman" w:hAnsiTheme="majorHAnsi" w:cstheme="majorHAnsi"/>
                <w:color w:val="000000"/>
                <w:lang w:bidi="he-IL"/>
              </w:rPr>
              <w:t>649,36</w:t>
            </w:r>
          </w:p>
        </w:tc>
        <w:tc>
          <w:tcPr>
            <w:tcW w:w="1068"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lang w:bidi="he-IL"/>
              </w:rPr>
            </w:pPr>
            <w:r w:rsidRPr="008376FC">
              <w:rPr>
                <w:rFonts w:asciiTheme="majorHAnsi" w:eastAsia="Times New Roman" w:hAnsiTheme="majorHAnsi" w:cstheme="majorHAnsi"/>
                <w:color w:val="000000"/>
                <w:lang w:bidi="he-IL"/>
              </w:rPr>
              <w:t>709,98</w:t>
            </w:r>
          </w:p>
        </w:tc>
        <w:tc>
          <w:tcPr>
            <w:tcW w:w="1187"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lang w:bidi="he-IL"/>
              </w:rPr>
            </w:pPr>
            <w:r w:rsidRPr="008376FC">
              <w:rPr>
                <w:rFonts w:asciiTheme="majorHAnsi" w:eastAsia="Times New Roman" w:hAnsiTheme="majorHAnsi" w:cstheme="majorHAnsi"/>
                <w:color w:val="000000"/>
                <w:lang w:bidi="he-IL"/>
              </w:rPr>
              <w:t>53</w:t>
            </w:r>
          </w:p>
        </w:tc>
        <w:tc>
          <w:tcPr>
            <w:tcW w:w="1201"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lang w:bidi="he-IL"/>
              </w:rPr>
            </w:pPr>
            <w:r w:rsidRPr="008376FC">
              <w:rPr>
                <w:rFonts w:asciiTheme="majorHAnsi" w:eastAsia="Times New Roman" w:hAnsiTheme="majorHAnsi" w:cstheme="majorHAnsi"/>
                <w:color w:val="000000"/>
                <w:lang w:bidi="he-IL"/>
              </w:rPr>
              <w:t>10</w:t>
            </w:r>
          </w:p>
        </w:tc>
        <w:tc>
          <w:tcPr>
            <w:tcW w:w="1199"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b w:val="0"/>
                <w:color w:val="000000"/>
                <w:lang w:bidi="he-IL"/>
              </w:rPr>
            </w:pPr>
            <w:r w:rsidRPr="008376FC">
              <w:rPr>
                <w:rFonts w:asciiTheme="majorHAnsi" w:eastAsia="Times New Roman" w:hAnsiTheme="majorHAnsi" w:cstheme="majorHAnsi"/>
                <w:color w:val="000000"/>
                <w:lang w:bidi="he-IL"/>
              </w:rPr>
              <w:t>53</w:t>
            </w:r>
          </w:p>
        </w:tc>
        <w:tc>
          <w:tcPr>
            <w:tcW w:w="939" w:type="dxa"/>
            <w:shd w:val="clear" w:color="auto" w:fill="BDD6EE" w:themeFill="accent1" w:themeFillTint="66"/>
            <w:vAlign w:val="bottom"/>
          </w:tcPr>
          <w:p w:rsidR="000E184F" w:rsidRPr="008376FC" w:rsidRDefault="000E184F" w:rsidP="00F61756">
            <w:pPr>
              <w:spacing w:line="276" w:lineRule="auto"/>
              <w:jc w:val="right"/>
              <w:rPr>
                <w:rFonts w:asciiTheme="majorHAnsi" w:eastAsia="Times New Roman" w:hAnsiTheme="majorHAnsi" w:cstheme="majorHAnsi"/>
                <w:color w:val="000000"/>
                <w:lang w:bidi="he-IL"/>
              </w:rPr>
            </w:pPr>
            <w:r w:rsidRPr="008376FC">
              <w:rPr>
                <w:rFonts w:asciiTheme="majorHAnsi" w:eastAsia="Times New Roman" w:hAnsiTheme="majorHAnsi" w:cstheme="majorHAnsi"/>
                <w:color w:val="000000"/>
                <w:lang w:bidi="he-IL"/>
              </w:rPr>
              <w:t>5</w:t>
            </w:r>
          </w:p>
        </w:tc>
      </w:tr>
    </w:tbl>
    <w:p w:rsidR="000E184F" w:rsidRPr="008376FC" w:rsidRDefault="000E184F" w:rsidP="00F61756">
      <w:pPr>
        <w:spacing w:line="276" w:lineRule="auto"/>
        <w:rPr>
          <w:rFonts w:asciiTheme="majorHAnsi" w:hAnsiTheme="majorHAnsi" w:cstheme="majorHAnsi"/>
          <w:sz w:val="16"/>
          <w:szCs w:val="16"/>
        </w:rPr>
      </w:pPr>
      <w:r w:rsidRPr="008376FC">
        <w:rPr>
          <w:rFonts w:asciiTheme="majorHAnsi" w:hAnsiTheme="majorHAnsi" w:cstheme="majorHAnsi"/>
          <w:sz w:val="16"/>
          <w:szCs w:val="16"/>
        </w:rPr>
        <w:t xml:space="preserve">Sursa: Datele MEC. </w:t>
      </w:r>
    </w:p>
    <w:p w:rsidR="000E184F" w:rsidRPr="004C1766" w:rsidRDefault="000E184F" w:rsidP="00F61756">
      <w:pPr>
        <w:spacing w:after="0" w:line="276" w:lineRule="auto"/>
        <w:rPr>
          <w:rFonts w:asciiTheme="majorHAnsi" w:eastAsia="MS Mincho" w:hAnsiTheme="majorHAnsi" w:cstheme="majorHAnsi"/>
          <w:b w:val="0"/>
          <w:color w:val="0070C0"/>
          <w:kern w:val="2"/>
          <w:sz w:val="24"/>
          <w:szCs w:val="24"/>
        </w:rPr>
      </w:pPr>
      <w:r w:rsidRPr="004C1766">
        <w:rPr>
          <w:rFonts w:asciiTheme="majorHAnsi" w:eastAsia="MS Mincho" w:hAnsiTheme="majorHAnsi" w:cstheme="majorHAnsi"/>
          <w:color w:val="0070C0"/>
          <w:kern w:val="2"/>
          <w:sz w:val="24"/>
          <w:szCs w:val="24"/>
        </w:rPr>
        <w:t>Anexa nr.8</w:t>
      </w:r>
      <w:r w:rsidR="0032712D" w:rsidRPr="004C1766">
        <w:rPr>
          <w:rFonts w:asciiTheme="majorHAnsi" w:eastAsia="MS Mincho" w:hAnsiTheme="majorHAnsi" w:cstheme="majorHAnsi"/>
          <w:color w:val="0070C0"/>
          <w:kern w:val="2"/>
          <w:sz w:val="24"/>
          <w:szCs w:val="24"/>
        </w:rPr>
        <w:t>.</w:t>
      </w:r>
      <w:r w:rsidRPr="004C1766">
        <w:rPr>
          <w:rFonts w:asciiTheme="majorHAnsi" w:eastAsia="MS Mincho" w:hAnsiTheme="majorHAnsi" w:cstheme="majorHAnsi"/>
          <w:color w:val="0070C0"/>
          <w:kern w:val="2"/>
          <w:sz w:val="24"/>
          <w:szCs w:val="24"/>
        </w:rPr>
        <w:t xml:space="preserve"> Informaţii aferente pregătirii cadrelor la specialitatea 71210 </w:t>
      </w:r>
      <w:r w:rsidR="0032712D" w:rsidRPr="004C1766">
        <w:rPr>
          <w:rFonts w:asciiTheme="majorHAnsi" w:eastAsia="MS Mincho" w:hAnsiTheme="majorHAnsi" w:cstheme="majorHAnsi"/>
          <w:color w:val="0070C0"/>
          <w:kern w:val="2"/>
          <w:sz w:val="24"/>
          <w:szCs w:val="24"/>
        </w:rPr>
        <w:t>„</w:t>
      </w:r>
      <w:r w:rsidRPr="004C1766">
        <w:rPr>
          <w:rFonts w:asciiTheme="majorHAnsi" w:eastAsia="MS Mincho" w:hAnsiTheme="majorHAnsi" w:cstheme="majorHAnsi"/>
          <w:color w:val="0070C0"/>
          <w:kern w:val="2"/>
          <w:sz w:val="24"/>
          <w:szCs w:val="24"/>
        </w:rPr>
        <w:t>Gospodărirea şi protecţia apelor</w:t>
      </w:r>
      <w:r w:rsidR="0032712D" w:rsidRPr="004C1766">
        <w:rPr>
          <w:rFonts w:asciiTheme="majorHAnsi" w:eastAsia="MS Mincho" w:hAnsiTheme="majorHAnsi" w:cstheme="majorHAnsi"/>
          <w:color w:val="0070C0"/>
          <w:kern w:val="2"/>
          <w:sz w:val="24"/>
          <w:szCs w:val="24"/>
        </w:rPr>
        <w:t>”</w:t>
      </w:r>
    </w:p>
    <w:tbl>
      <w:tblPr>
        <w:tblStyle w:val="af2"/>
        <w:tblW w:w="0" w:type="auto"/>
        <w:tblLook w:val="04A0" w:firstRow="1" w:lastRow="0" w:firstColumn="1" w:lastColumn="0" w:noHBand="0" w:noVBand="1"/>
      </w:tblPr>
      <w:tblGrid>
        <w:gridCol w:w="789"/>
        <w:gridCol w:w="1197"/>
        <w:gridCol w:w="954"/>
        <w:gridCol w:w="1261"/>
        <w:gridCol w:w="1049"/>
        <w:gridCol w:w="1156"/>
        <w:gridCol w:w="1177"/>
        <w:gridCol w:w="1168"/>
        <w:gridCol w:w="927"/>
      </w:tblGrid>
      <w:tr w:rsidR="000E184F" w:rsidRPr="0074426A" w:rsidTr="0074426A">
        <w:trPr>
          <w:trHeight w:val="1142"/>
        </w:trPr>
        <w:tc>
          <w:tcPr>
            <w:tcW w:w="789" w:type="dxa"/>
            <w:vMerge w:val="restart"/>
            <w:shd w:val="clear" w:color="auto" w:fill="BDD6EE" w:themeFill="accent1" w:themeFillTint="66"/>
          </w:tcPr>
          <w:p w:rsidR="000E184F" w:rsidRPr="0074426A" w:rsidRDefault="000E184F" w:rsidP="00F61756">
            <w:pPr>
              <w:spacing w:line="276" w:lineRule="auto"/>
              <w:rPr>
                <w:rFonts w:asciiTheme="majorHAnsi" w:hAnsiTheme="majorHAnsi" w:cstheme="majorHAnsi"/>
                <w:b w:val="0"/>
                <w:sz w:val="20"/>
                <w:szCs w:val="20"/>
              </w:rPr>
            </w:pPr>
            <w:r w:rsidRPr="0074426A">
              <w:rPr>
                <w:rFonts w:asciiTheme="majorHAnsi" w:hAnsiTheme="majorHAnsi" w:cstheme="majorHAnsi"/>
                <w:sz w:val="20"/>
                <w:szCs w:val="20"/>
              </w:rPr>
              <w:t>Anii</w:t>
            </w:r>
          </w:p>
        </w:tc>
        <w:tc>
          <w:tcPr>
            <w:tcW w:w="2157" w:type="dxa"/>
            <w:gridSpan w:val="2"/>
            <w:shd w:val="clear" w:color="auto" w:fill="BDD6EE" w:themeFill="accent1" w:themeFillTint="66"/>
          </w:tcPr>
          <w:p w:rsidR="000E184F" w:rsidRPr="0074426A" w:rsidRDefault="000E184F" w:rsidP="00F61756">
            <w:pPr>
              <w:spacing w:line="276" w:lineRule="auto"/>
              <w:rPr>
                <w:rFonts w:asciiTheme="majorHAnsi" w:hAnsiTheme="majorHAnsi"/>
                <w:b w:val="0"/>
                <w:sz w:val="20"/>
                <w:szCs w:val="20"/>
              </w:rPr>
            </w:pPr>
            <w:r w:rsidRPr="0074426A">
              <w:rPr>
                <w:rFonts w:asciiTheme="majorHAnsi" w:eastAsia="Times New Roman" w:hAnsiTheme="majorHAnsi" w:cs="Calibri"/>
                <w:color w:val="000000"/>
                <w:sz w:val="20"/>
                <w:szCs w:val="20"/>
                <w:lang w:bidi="he-IL"/>
              </w:rPr>
              <w:t>Volumul finanţ</w:t>
            </w:r>
            <w:r w:rsidR="0032712D" w:rsidRPr="0074426A">
              <w:rPr>
                <w:rFonts w:asciiTheme="majorHAnsi" w:eastAsia="Times New Roman" w:hAnsiTheme="majorHAnsi" w:cs="Calibri"/>
                <w:color w:val="000000"/>
                <w:sz w:val="20"/>
                <w:szCs w:val="20"/>
                <w:lang w:bidi="he-IL"/>
              </w:rPr>
              <w:t>ă</w:t>
            </w:r>
            <w:r w:rsidRPr="0074426A">
              <w:rPr>
                <w:rFonts w:asciiTheme="majorHAnsi" w:eastAsia="Times New Roman" w:hAnsiTheme="majorHAnsi" w:cs="Calibri"/>
                <w:color w:val="000000"/>
                <w:sz w:val="20"/>
                <w:szCs w:val="20"/>
                <w:lang w:bidi="he-IL"/>
              </w:rPr>
              <w:t>rii din Bugetul de stat pentru pregătirea cadrelor la specialitatea 71210, mii lei</w:t>
            </w:r>
          </w:p>
        </w:tc>
        <w:tc>
          <w:tcPr>
            <w:tcW w:w="2324" w:type="dxa"/>
            <w:gridSpan w:val="2"/>
            <w:shd w:val="clear" w:color="auto" w:fill="BDD6EE" w:themeFill="accent1" w:themeFillTint="66"/>
          </w:tcPr>
          <w:p w:rsidR="000E184F" w:rsidRPr="0074426A" w:rsidRDefault="000E184F" w:rsidP="00F61756">
            <w:pPr>
              <w:spacing w:line="276" w:lineRule="auto"/>
              <w:rPr>
                <w:rFonts w:asciiTheme="majorHAnsi" w:hAnsiTheme="majorHAnsi"/>
                <w:b w:val="0"/>
                <w:sz w:val="20"/>
                <w:szCs w:val="20"/>
              </w:rPr>
            </w:pPr>
            <w:r w:rsidRPr="0074426A">
              <w:rPr>
                <w:rFonts w:asciiTheme="majorHAnsi" w:eastAsia="Times New Roman" w:hAnsiTheme="majorHAnsi" w:cs="Calibri"/>
                <w:color w:val="000000"/>
                <w:sz w:val="20"/>
                <w:szCs w:val="20"/>
                <w:lang w:bidi="he-IL"/>
              </w:rPr>
              <w:t>Plan (Comanda de Stat) de pregătire a cadrelor la specialitatea 71210 (nr. de locuri repartizate pentru admitere)</w:t>
            </w:r>
          </w:p>
        </w:tc>
        <w:tc>
          <w:tcPr>
            <w:tcW w:w="2347" w:type="dxa"/>
            <w:gridSpan w:val="2"/>
            <w:shd w:val="clear" w:color="auto" w:fill="BDD6EE" w:themeFill="accent1" w:themeFillTint="66"/>
          </w:tcPr>
          <w:p w:rsidR="000E184F" w:rsidRPr="0074426A" w:rsidRDefault="000E184F" w:rsidP="00F61756">
            <w:pPr>
              <w:spacing w:line="276" w:lineRule="auto"/>
              <w:rPr>
                <w:rFonts w:asciiTheme="majorHAnsi" w:hAnsiTheme="majorHAnsi"/>
                <w:b w:val="0"/>
                <w:sz w:val="20"/>
                <w:szCs w:val="20"/>
              </w:rPr>
            </w:pPr>
            <w:r w:rsidRPr="0074426A">
              <w:rPr>
                <w:rFonts w:asciiTheme="majorHAnsi" w:eastAsia="Times New Roman" w:hAnsiTheme="majorHAnsi" w:cstheme="majorHAnsi"/>
                <w:color w:val="000000"/>
                <w:sz w:val="20"/>
                <w:szCs w:val="20"/>
                <w:lang w:bidi="he-IL"/>
              </w:rPr>
              <w:t>Numărul studenţilor înmatriculaţi</w:t>
            </w:r>
          </w:p>
        </w:tc>
        <w:tc>
          <w:tcPr>
            <w:tcW w:w="2104" w:type="dxa"/>
            <w:gridSpan w:val="2"/>
            <w:shd w:val="clear" w:color="auto" w:fill="BDD6EE" w:themeFill="accent1" w:themeFillTint="66"/>
          </w:tcPr>
          <w:p w:rsidR="000E184F" w:rsidRPr="0074426A" w:rsidRDefault="000E184F" w:rsidP="00F61756">
            <w:pPr>
              <w:spacing w:line="276" w:lineRule="auto"/>
              <w:rPr>
                <w:rFonts w:asciiTheme="majorHAnsi" w:hAnsiTheme="majorHAnsi"/>
                <w:b w:val="0"/>
                <w:sz w:val="20"/>
                <w:szCs w:val="20"/>
              </w:rPr>
            </w:pPr>
            <w:r w:rsidRPr="0074426A">
              <w:rPr>
                <w:rFonts w:asciiTheme="majorHAnsi" w:eastAsia="Times New Roman" w:hAnsiTheme="majorHAnsi" w:cstheme="majorHAnsi"/>
                <w:color w:val="000000"/>
                <w:sz w:val="20"/>
                <w:szCs w:val="20"/>
                <w:lang w:bidi="he-IL"/>
              </w:rPr>
              <w:t>Numărul absolvenţilor</w:t>
            </w:r>
          </w:p>
        </w:tc>
      </w:tr>
      <w:tr w:rsidR="000E184F" w:rsidRPr="0074426A" w:rsidTr="0074426A">
        <w:trPr>
          <w:trHeight w:val="145"/>
        </w:trPr>
        <w:tc>
          <w:tcPr>
            <w:tcW w:w="789" w:type="dxa"/>
            <w:vMerge/>
            <w:shd w:val="clear" w:color="auto" w:fill="BDD6EE" w:themeFill="accent1" w:themeFillTint="66"/>
          </w:tcPr>
          <w:p w:rsidR="000E184F" w:rsidRPr="0074426A" w:rsidRDefault="000E184F" w:rsidP="00F61756">
            <w:pPr>
              <w:spacing w:line="276" w:lineRule="auto"/>
              <w:rPr>
                <w:rFonts w:asciiTheme="majorHAnsi" w:hAnsiTheme="majorHAnsi"/>
                <w:b w:val="0"/>
                <w:sz w:val="20"/>
                <w:szCs w:val="20"/>
              </w:rPr>
            </w:pPr>
          </w:p>
        </w:tc>
        <w:tc>
          <w:tcPr>
            <w:tcW w:w="1203" w:type="dxa"/>
            <w:shd w:val="clear" w:color="auto" w:fill="BDD6EE" w:themeFill="accent1" w:themeFillTint="66"/>
          </w:tcPr>
          <w:p w:rsidR="000E184F" w:rsidRPr="0074426A" w:rsidRDefault="000E184F" w:rsidP="00F61756">
            <w:pPr>
              <w:spacing w:line="276" w:lineRule="auto"/>
              <w:rPr>
                <w:rFonts w:asciiTheme="majorHAnsi" w:eastAsia="Times New Roman" w:hAnsiTheme="majorHAnsi" w:cstheme="majorHAnsi"/>
                <w:b w:val="0"/>
                <w:bCs w:val="0"/>
                <w:iCs/>
                <w:color w:val="000000"/>
                <w:sz w:val="20"/>
                <w:szCs w:val="20"/>
                <w:lang w:bidi="he-IL"/>
              </w:rPr>
            </w:pPr>
            <w:r w:rsidRPr="0074426A">
              <w:rPr>
                <w:rFonts w:asciiTheme="majorHAnsi" w:eastAsia="Times New Roman" w:hAnsiTheme="majorHAnsi" w:cstheme="majorHAnsi"/>
                <w:iCs/>
                <w:color w:val="000000"/>
                <w:sz w:val="20"/>
                <w:szCs w:val="20"/>
                <w:lang w:bidi="he-IL"/>
              </w:rPr>
              <w:t xml:space="preserve">Buget </w:t>
            </w:r>
          </w:p>
        </w:tc>
        <w:tc>
          <w:tcPr>
            <w:tcW w:w="955" w:type="dxa"/>
            <w:shd w:val="clear" w:color="auto" w:fill="BDD6EE" w:themeFill="accent1" w:themeFillTint="66"/>
          </w:tcPr>
          <w:p w:rsidR="000E184F" w:rsidRPr="0074426A" w:rsidRDefault="000E184F" w:rsidP="00F61756">
            <w:pPr>
              <w:spacing w:line="276" w:lineRule="auto"/>
              <w:rPr>
                <w:rFonts w:asciiTheme="majorHAnsi" w:eastAsia="Times New Roman" w:hAnsiTheme="majorHAnsi" w:cstheme="majorHAnsi"/>
                <w:b w:val="0"/>
                <w:bCs w:val="0"/>
                <w:iCs/>
                <w:color w:val="000000"/>
                <w:sz w:val="20"/>
                <w:szCs w:val="20"/>
                <w:lang w:bidi="he-IL"/>
              </w:rPr>
            </w:pPr>
            <w:r w:rsidRPr="0074426A">
              <w:rPr>
                <w:rFonts w:asciiTheme="majorHAnsi" w:eastAsia="Times New Roman" w:hAnsiTheme="majorHAnsi" w:cstheme="majorHAnsi"/>
                <w:iCs/>
                <w:color w:val="000000"/>
                <w:sz w:val="20"/>
                <w:szCs w:val="20"/>
                <w:lang w:bidi="he-IL"/>
              </w:rPr>
              <w:t>Contract           (cu taxă)</w:t>
            </w:r>
          </w:p>
        </w:tc>
        <w:tc>
          <w:tcPr>
            <w:tcW w:w="1272" w:type="dxa"/>
            <w:shd w:val="clear" w:color="auto" w:fill="BDD6EE" w:themeFill="accent1" w:themeFillTint="66"/>
          </w:tcPr>
          <w:p w:rsidR="000E184F" w:rsidRPr="0074426A" w:rsidRDefault="000E184F" w:rsidP="00F61756">
            <w:pPr>
              <w:spacing w:line="276" w:lineRule="auto"/>
              <w:rPr>
                <w:rFonts w:asciiTheme="majorHAnsi" w:eastAsia="Times New Roman" w:hAnsiTheme="majorHAnsi" w:cstheme="majorHAnsi"/>
                <w:b w:val="0"/>
                <w:bCs w:val="0"/>
                <w:iCs/>
                <w:color w:val="000000"/>
                <w:sz w:val="20"/>
                <w:szCs w:val="20"/>
                <w:lang w:bidi="he-IL"/>
              </w:rPr>
            </w:pPr>
            <w:r w:rsidRPr="0074426A">
              <w:rPr>
                <w:rFonts w:asciiTheme="majorHAnsi" w:eastAsia="Times New Roman" w:hAnsiTheme="majorHAnsi" w:cstheme="majorHAnsi"/>
                <w:iCs/>
                <w:color w:val="000000"/>
                <w:sz w:val="20"/>
                <w:szCs w:val="20"/>
                <w:lang w:bidi="he-IL"/>
              </w:rPr>
              <w:t xml:space="preserve">Buget </w:t>
            </w:r>
          </w:p>
        </w:tc>
        <w:tc>
          <w:tcPr>
            <w:tcW w:w="1052" w:type="dxa"/>
            <w:shd w:val="clear" w:color="auto" w:fill="BDD6EE" w:themeFill="accent1" w:themeFillTint="66"/>
          </w:tcPr>
          <w:p w:rsidR="000E184F" w:rsidRPr="0074426A" w:rsidRDefault="000E184F" w:rsidP="00F61756">
            <w:pPr>
              <w:spacing w:line="276" w:lineRule="auto"/>
              <w:rPr>
                <w:rFonts w:asciiTheme="majorHAnsi" w:eastAsia="Times New Roman" w:hAnsiTheme="majorHAnsi" w:cstheme="majorHAnsi"/>
                <w:b w:val="0"/>
                <w:bCs w:val="0"/>
                <w:iCs/>
                <w:color w:val="000000"/>
                <w:sz w:val="20"/>
                <w:szCs w:val="20"/>
                <w:lang w:bidi="he-IL"/>
              </w:rPr>
            </w:pPr>
            <w:r w:rsidRPr="0074426A">
              <w:rPr>
                <w:rFonts w:asciiTheme="majorHAnsi" w:eastAsia="Times New Roman" w:hAnsiTheme="majorHAnsi" w:cstheme="majorHAnsi"/>
                <w:iCs/>
                <w:color w:val="000000"/>
                <w:sz w:val="20"/>
                <w:szCs w:val="20"/>
                <w:lang w:bidi="he-IL"/>
              </w:rPr>
              <w:t>Contract           (cu taxă)</w:t>
            </w:r>
          </w:p>
        </w:tc>
        <w:tc>
          <w:tcPr>
            <w:tcW w:w="1165" w:type="dxa"/>
            <w:shd w:val="clear" w:color="auto" w:fill="BDD6EE" w:themeFill="accent1" w:themeFillTint="66"/>
          </w:tcPr>
          <w:p w:rsidR="000E184F" w:rsidRPr="0074426A" w:rsidRDefault="000E184F" w:rsidP="00F61756">
            <w:pPr>
              <w:spacing w:line="276" w:lineRule="auto"/>
              <w:rPr>
                <w:rFonts w:asciiTheme="majorHAnsi" w:eastAsia="Times New Roman" w:hAnsiTheme="majorHAnsi" w:cstheme="majorHAnsi"/>
                <w:b w:val="0"/>
                <w:bCs w:val="0"/>
                <w:iCs/>
                <w:color w:val="000000"/>
                <w:sz w:val="20"/>
                <w:szCs w:val="20"/>
                <w:lang w:bidi="he-IL"/>
              </w:rPr>
            </w:pPr>
            <w:r w:rsidRPr="0074426A">
              <w:rPr>
                <w:rFonts w:asciiTheme="majorHAnsi" w:eastAsia="Times New Roman" w:hAnsiTheme="majorHAnsi" w:cstheme="majorHAnsi"/>
                <w:iCs/>
                <w:color w:val="000000"/>
                <w:sz w:val="20"/>
                <w:szCs w:val="20"/>
                <w:lang w:bidi="he-IL"/>
              </w:rPr>
              <w:t xml:space="preserve">Buget </w:t>
            </w:r>
          </w:p>
        </w:tc>
        <w:tc>
          <w:tcPr>
            <w:tcW w:w="1182" w:type="dxa"/>
            <w:shd w:val="clear" w:color="auto" w:fill="BDD6EE" w:themeFill="accent1" w:themeFillTint="66"/>
          </w:tcPr>
          <w:p w:rsidR="000E184F" w:rsidRPr="0074426A" w:rsidRDefault="000E184F" w:rsidP="00F61756">
            <w:pPr>
              <w:spacing w:line="276" w:lineRule="auto"/>
              <w:rPr>
                <w:rFonts w:asciiTheme="majorHAnsi" w:eastAsia="Times New Roman" w:hAnsiTheme="majorHAnsi" w:cstheme="majorHAnsi"/>
                <w:b w:val="0"/>
                <w:bCs w:val="0"/>
                <w:iCs/>
                <w:color w:val="000000"/>
                <w:sz w:val="20"/>
                <w:szCs w:val="20"/>
                <w:lang w:bidi="he-IL"/>
              </w:rPr>
            </w:pPr>
            <w:r w:rsidRPr="0074426A">
              <w:rPr>
                <w:rFonts w:asciiTheme="majorHAnsi" w:eastAsia="Times New Roman" w:hAnsiTheme="majorHAnsi" w:cstheme="majorHAnsi"/>
                <w:iCs/>
                <w:color w:val="000000"/>
                <w:sz w:val="20"/>
                <w:szCs w:val="20"/>
                <w:lang w:bidi="he-IL"/>
              </w:rPr>
              <w:t>Contract           (cu taxă)</w:t>
            </w:r>
          </w:p>
        </w:tc>
        <w:tc>
          <w:tcPr>
            <w:tcW w:w="1177" w:type="dxa"/>
            <w:shd w:val="clear" w:color="auto" w:fill="BDD6EE" w:themeFill="accent1" w:themeFillTint="66"/>
          </w:tcPr>
          <w:p w:rsidR="000E184F" w:rsidRPr="0074426A" w:rsidRDefault="000E184F" w:rsidP="00F61756">
            <w:pPr>
              <w:spacing w:line="276" w:lineRule="auto"/>
              <w:rPr>
                <w:rFonts w:asciiTheme="majorHAnsi" w:eastAsia="Times New Roman" w:hAnsiTheme="majorHAnsi" w:cstheme="majorHAnsi"/>
                <w:b w:val="0"/>
                <w:bCs w:val="0"/>
                <w:iCs/>
                <w:color w:val="000000"/>
                <w:sz w:val="20"/>
                <w:szCs w:val="20"/>
                <w:lang w:bidi="he-IL"/>
              </w:rPr>
            </w:pPr>
            <w:r w:rsidRPr="0074426A">
              <w:rPr>
                <w:rFonts w:asciiTheme="majorHAnsi" w:eastAsia="Times New Roman" w:hAnsiTheme="majorHAnsi" w:cstheme="majorHAnsi"/>
                <w:iCs/>
                <w:color w:val="000000"/>
                <w:sz w:val="20"/>
                <w:szCs w:val="20"/>
                <w:lang w:bidi="he-IL"/>
              </w:rPr>
              <w:t xml:space="preserve">Buget </w:t>
            </w:r>
          </w:p>
        </w:tc>
        <w:tc>
          <w:tcPr>
            <w:tcW w:w="926" w:type="dxa"/>
            <w:shd w:val="clear" w:color="auto" w:fill="BDD6EE" w:themeFill="accent1" w:themeFillTint="66"/>
          </w:tcPr>
          <w:p w:rsidR="000E184F" w:rsidRPr="0074426A" w:rsidRDefault="000E184F" w:rsidP="00F61756">
            <w:pPr>
              <w:spacing w:line="276" w:lineRule="auto"/>
              <w:rPr>
                <w:rFonts w:asciiTheme="majorHAnsi" w:eastAsia="Times New Roman" w:hAnsiTheme="majorHAnsi" w:cstheme="majorHAnsi"/>
                <w:b w:val="0"/>
                <w:bCs w:val="0"/>
                <w:iCs/>
                <w:color w:val="000000"/>
                <w:sz w:val="20"/>
                <w:szCs w:val="20"/>
                <w:lang w:bidi="he-IL"/>
              </w:rPr>
            </w:pPr>
            <w:r w:rsidRPr="0074426A">
              <w:rPr>
                <w:rFonts w:asciiTheme="majorHAnsi" w:eastAsia="Times New Roman" w:hAnsiTheme="majorHAnsi" w:cstheme="majorHAnsi"/>
                <w:iCs/>
                <w:color w:val="000000"/>
                <w:sz w:val="20"/>
                <w:szCs w:val="20"/>
                <w:lang w:bidi="he-IL"/>
              </w:rPr>
              <w:t>Contract           (cu taxă)</w:t>
            </w:r>
          </w:p>
        </w:tc>
      </w:tr>
      <w:tr w:rsidR="000E184F" w:rsidRPr="0074426A" w:rsidTr="0074426A">
        <w:trPr>
          <w:trHeight w:val="136"/>
        </w:trPr>
        <w:tc>
          <w:tcPr>
            <w:tcW w:w="789" w:type="dxa"/>
          </w:tcPr>
          <w:p w:rsidR="000E184F" w:rsidRPr="0074426A" w:rsidRDefault="000E184F" w:rsidP="00F61756">
            <w:pPr>
              <w:spacing w:line="276" w:lineRule="auto"/>
              <w:rPr>
                <w:rFonts w:asciiTheme="majorHAnsi" w:eastAsia="Times New Roman" w:hAnsiTheme="majorHAnsi" w:cstheme="majorHAnsi"/>
                <w:b w:val="0"/>
                <w:bCs w:val="0"/>
                <w:color w:val="000000"/>
                <w:sz w:val="20"/>
                <w:szCs w:val="20"/>
                <w:lang w:bidi="he-IL"/>
              </w:rPr>
            </w:pPr>
            <w:r w:rsidRPr="0074426A">
              <w:rPr>
                <w:rFonts w:asciiTheme="majorHAnsi" w:eastAsia="Times New Roman" w:hAnsiTheme="majorHAnsi" w:cstheme="majorHAnsi"/>
                <w:b w:val="0"/>
                <w:color w:val="000000"/>
                <w:sz w:val="20"/>
                <w:szCs w:val="20"/>
                <w:lang w:bidi="he-IL"/>
              </w:rPr>
              <w:t>2014</w:t>
            </w:r>
          </w:p>
        </w:tc>
        <w:tc>
          <w:tcPr>
            <w:tcW w:w="1203"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1321,8</w:t>
            </w:r>
          </w:p>
        </w:tc>
        <w:tc>
          <w:tcPr>
            <w:tcW w:w="95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1321,8</w:t>
            </w:r>
          </w:p>
        </w:tc>
        <w:tc>
          <w:tcPr>
            <w:tcW w:w="127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20</w:t>
            </w:r>
          </w:p>
        </w:tc>
        <w:tc>
          <w:tcPr>
            <w:tcW w:w="105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10</w:t>
            </w:r>
          </w:p>
        </w:tc>
        <w:tc>
          <w:tcPr>
            <w:tcW w:w="116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20</w:t>
            </w:r>
          </w:p>
        </w:tc>
        <w:tc>
          <w:tcPr>
            <w:tcW w:w="118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10</w:t>
            </w:r>
          </w:p>
        </w:tc>
        <w:tc>
          <w:tcPr>
            <w:tcW w:w="1177"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19</w:t>
            </w:r>
          </w:p>
        </w:tc>
        <w:tc>
          <w:tcPr>
            <w:tcW w:w="926"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7</w:t>
            </w:r>
          </w:p>
        </w:tc>
      </w:tr>
      <w:tr w:rsidR="000E184F" w:rsidRPr="0074426A" w:rsidTr="0074426A">
        <w:trPr>
          <w:trHeight w:val="243"/>
        </w:trPr>
        <w:tc>
          <w:tcPr>
            <w:tcW w:w="789" w:type="dxa"/>
          </w:tcPr>
          <w:p w:rsidR="000E184F" w:rsidRPr="0074426A" w:rsidRDefault="000E184F" w:rsidP="00F61756">
            <w:pPr>
              <w:spacing w:line="276" w:lineRule="auto"/>
              <w:rPr>
                <w:rFonts w:asciiTheme="majorHAnsi" w:eastAsia="Times New Roman" w:hAnsiTheme="majorHAnsi" w:cstheme="majorHAnsi"/>
                <w:b w:val="0"/>
                <w:bCs w:val="0"/>
                <w:color w:val="000000"/>
                <w:sz w:val="20"/>
                <w:szCs w:val="20"/>
                <w:lang w:bidi="he-IL"/>
              </w:rPr>
            </w:pPr>
            <w:r w:rsidRPr="0074426A">
              <w:rPr>
                <w:rFonts w:asciiTheme="majorHAnsi" w:eastAsia="Times New Roman" w:hAnsiTheme="majorHAnsi" w:cstheme="majorHAnsi"/>
                <w:b w:val="0"/>
                <w:color w:val="000000"/>
                <w:sz w:val="20"/>
                <w:szCs w:val="20"/>
                <w:lang w:bidi="he-IL"/>
              </w:rPr>
              <w:t>2015</w:t>
            </w:r>
          </w:p>
        </w:tc>
        <w:tc>
          <w:tcPr>
            <w:tcW w:w="1203"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1498,3</w:t>
            </w:r>
          </w:p>
        </w:tc>
        <w:tc>
          <w:tcPr>
            <w:tcW w:w="95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1498,3</w:t>
            </w:r>
          </w:p>
        </w:tc>
        <w:tc>
          <w:tcPr>
            <w:tcW w:w="127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20</w:t>
            </w:r>
          </w:p>
        </w:tc>
        <w:tc>
          <w:tcPr>
            <w:tcW w:w="105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10</w:t>
            </w:r>
          </w:p>
        </w:tc>
        <w:tc>
          <w:tcPr>
            <w:tcW w:w="116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20</w:t>
            </w:r>
          </w:p>
        </w:tc>
        <w:tc>
          <w:tcPr>
            <w:tcW w:w="118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10</w:t>
            </w:r>
          </w:p>
        </w:tc>
        <w:tc>
          <w:tcPr>
            <w:tcW w:w="1177"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16</w:t>
            </w:r>
          </w:p>
        </w:tc>
        <w:tc>
          <w:tcPr>
            <w:tcW w:w="926"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4</w:t>
            </w:r>
          </w:p>
        </w:tc>
      </w:tr>
      <w:tr w:rsidR="000E184F" w:rsidRPr="0074426A" w:rsidTr="0074426A">
        <w:trPr>
          <w:trHeight w:val="243"/>
        </w:trPr>
        <w:tc>
          <w:tcPr>
            <w:tcW w:w="789" w:type="dxa"/>
          </w:tcPr>
          <w:p w:rsidR="000E184F" w:rsidRPr="0074426A" w:rsidRDefault="000E184F" w:rsidP="00F61756">
            <w:pPr>
              <w:spacing w:line="276" w:lineRule="auto"/>
              <w:rPr>
                <w:rFonts w:asciiTheme="majorHAnsi" w:eastAsia="Times New Roman" w:hAnsiTheme="majorHAnsi" w:cstheme="majorHAnsi"/>
                <w:b w:val="0"/>
                <w:bCs w:val="0"/>
                <w:color w:val="000000"/>
                <w:sz w:val="20"/>
                <w:szCs w:val="20"/>
                <w:lang w:bidi="he-IL"/>
              </w:rPr>
            </w:pPr>
            <w:r w:rsidRPr="0074426A">
              <w:rPr>
                <w:rFonts w:asciiTheme="majorHAnsi" w:eastAsia="Times New Roman" w:hAnsiTheme="majorHAnsi" w:cstheme="majorHAnsi"/>
                <w:b w:val="0"/>
                <w:color w:val="000000"/>
                <w:sz w:val="20"/>
                <w:szCs w:val="20"/>
                <w:lang w:bidi="he-IL"/>
              </w:rPr>
              <w:t>2016</w:t>
            </w:r>
          </w:p>
        </w:tc>
        <w:tc>
          <w:tcPr>
            <w:tcW w:w="1203"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1578,8</w:t>
            </w:r>
          </w:p>
        </w:tc>
        <w:tc>
          <w:tcPr>
            <w:tcW w:w="95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1578,8</w:t>
            </w:r>
          </w:p>
        </w:tc>
        <w:tc>
          <w:tcPr>
            <w:tcW w:w="127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20</w:t>
            </w:r>
          </w:p>
        </w:tc>
        <w:tc>
          <w:tcPr>
            <w:tcW w:w="105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10</w:t>
            </w:r>
          </w:p>
        </w:tc>
        <w:tc>
          <w:tcPr>
            <w:tcW w:w="116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20</w:t>
            </w:r>
          </w:p>
        </w:tc>
        <w:tc>
          <w:tcPr>
            <w:tcW w:w="118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10</w:t>
            </w:r>
          </w:p>
        </w:tc>
        <w:tc>
          <w:tcPr>
            <w:tcW w:w="1177"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14</w:t>
            </w:r>
          </w:p>
        </w:tc>
        <w:tc>
          <w:tcPr>
            <w:tcW w:w="926"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9</w:t>
            </w:r>
          </w:p>
        </w:tc>
      </w:tr>
      <w:tr w:rsidR="000E184F" w:rsidRPr="0074426A" w:rsidTr="0074426A">
        <w:trPr>
          <w:trHeight w:val="243"/>
        </w:trPr>
        <w:tc>
          <w:tcPr>
            <w:tcW w:w="789" w:type="dxa"/>
          </w:tcPr>
          <w:p w:rsidR="000E184F" w:rsidRPr="0074426A" w:rsidRDefault="000E184F" w:rsidP="00F61756">
            <w:pPr>
              <w:spacing w:line="276" w:lineRule="auto"/>
              <w:rPr>
                <w:rFonts w:asciiTheme="majorHAnsi" w:eastAsia="Times New Roman" w:hAnsiTheme="majorHAnsi" w:cstheme="majorHAnsi"/>
                <w:b w:val="0"/>
                <w:bCs w:val="0"/>
                <w:color w:val="000000"/>
                <w:sz w:val="20"/>
                <w:szCs w:val="20"/>
                <w:lang w:bidi="he-IL"/>
              </w:rPr>
            </w:pPr>
            <w:r w:rsidRPr="0074426A">
              <w:rPr>
                <w:rFonts w:asciiTheme="majorHAnsi" w:eastAsia="Times New Roman" w:hAnsiTheme="majorHAnsi" w:cstheme="majorHAnsi"/>
                <w:b w:val="0"/>
                <w:color w:val="000000"/>
                <w:sz w:val="20"/>
                <w:szCs w:val="20"/>
                <w:lang w:bidi="he-IL"/>
              </w:rPr>
              <w:t>2017</w:t>
            </w:r>
          </w:p>
        </w:tc>
        <w:tc>
          <w:tcPr>
            <w:tcW w:w="1203"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1624,7</w:t>
            </w:r>
          </w:p>
        </w:tc>
        <w:tc>
          <w:tcPr>
            <w:tcW w:w="95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1624,7</w:t>
            </w:r>
          </w:p>
        </w:tc>
        <w:tc>
          <w:tcPr>
            <w:tcW w:w="127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19</w:t>
            </w:r>
          </w:p>
        </w:tc>
        <w:tc>
          <w:tcPr>
            <w:tcW w:w="105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11</w:t>
            </w:r>
          </w:p>
        </w:tc>
        <w:tc>
          <w:tcPr>
            <w:tcW w:w="116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19</w:t>
            </w:r>
          </w:p>
        </w:tc>
        <w:tc>
          <w:tcPr>
            <w:tcW w:w="118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11</w:t>
            </w:r>
          </w:p>
        </w:tc>
        <w:tc>
          <w:tcPr>
            <w:tcW w:w="1177"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16</w:t>
            </w:r>
          </w:p>
        </w:tc>
        <w:tc>
          <w:tcPr>
            <w:tcW w:w="926"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6</w:t>
            </w:r>
          </w:p>
        </w:tc>
      </w:tr>
      <w:tr w:rsidR="000E184F" w:rsidRPr="0074426A" w:rsidTr="0074426A">
        <w:trPr>
          <w:trHeight w:val="243"/>
        </w:trPr>
        <w:tc>
          <w:tcPr>
            <w:tcW w:w="789" w:type="dxa"/>
          </w:tcPr>
          <w:p w:rsidR="000E184F" w:rsidRPr="0074426A" w:rsidRDefault="000E184F" w:rsidP="00F61756">
            <w:pPr>
              <w:spacing w:line="276" w:lineRule="auto"/>
              <w:rPr>
                <w:rFonts w:asciiTheme="majorHAnsi" w:eastAsia="Times New Roman" w:hAnsiTheme="majorHAnsi" w:cstheme="majorHAnsi"/>
                <w:b w:val="0"/>
                <w:bCs w:val="0"/>
                <w:color w:val="000000"/>
                <w:sz w:val="20"/>
                <w:szCs w:val="20"/>
                <w:lang w:bidi="he-IL"/>
              </w:rPr>
            </w:pPr>
            <w:r w:rsidRPr="0074426A">
              <w:rPr>
                <w:rFonts w:asciiTheme="majorHAnsi" w:eastAsia="Times New Roman" w:hAnsiTheme="majorHAnsi" w:cstheme="majorHAnsi"/>
                <w:b w:val="0"/>
                <w:color w:val="000000"/>
                <w:sz w:val="20"/>
                <w:szCs w:val="20"/>
                <w:lang w:bidi="he-IL"/>
              </w:rPr>
              <w:t>2018</w:t>
            </w:r>
          </w:p>
        </w:tc>
        <w:tc>
          <w:tcPr>
            <w:tcW w:w="1203"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1650,9</w:t>
            </w:r>
          </w:p>
        </w:tc>
        <w:tc>
          <w:tcPr>
            <w:tcW w:w="95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1650,9</w:t>
            </w:r>
          </w:p>
        </w:tc>
        <w:tc>
          <w:tcPr>
            <w:tcW w:w="127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18</w:t>
            </w:r>
          </w:p>
        </w:tc>
        <w:tc>
          <w:tcPr>
            <w:tcW w:w="105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12</w:t>
            </w:r>
          </w:p>
        </w:tc>
        <w:tc>
          <w:tcPr>
            <w:tcW w:w="116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18</w:t>
            </w:r>
          </w:p>
        </w:tc>
        <w:tc>
          <w:tcPr>
            <w:tcW w:w="118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12</w:t>
            </w:r>
          </w:p>
        </w:tc>
        <w:tc>
          <w:tcPr>
            <w:tcW w:w="1177"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16</w:t>
            </w:r>
          </w:p>
        </w:tc>
        <w:tc>
          <w:tcPr>
            <w:tcW w:w="926"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8</w:t>
            </w:r>
          </w:p>
        </w:tc>
      </w:tr>
      <w:tr w:rsidR="000E184F" w:rsidRPr="0074426A" w:rsidTr="0074426A">
        <w:trPr>
          <w:trHeight w:val="243"/>
        </w:trPr>
        <w:tc>
          <w:tcPr>
            <w:tcW w:w="789" w:type="dxa"/>
          </w:tcPr>
          <w:p w:rsidR="000E184F" w:rsidRPr="0074426A" w:rsidRDefault="000E184F" w:rsidP="00F61756">
            <w:pPr>
              <w:spacing w:line="276" w:lineRule="auto"/>
              <w:rPr>
                <w:rFonts w:asciiTheme="majorHAnsi" w:eastAsia="Times New Roman" w:hAnsiTheme="majorHAnsi" w:cstheme="majorHAnsi"/>
                <w:b w:val="0"/>
                <w:bCs w:val="0"/>
                <w:color w:val="000000"/>
                <w:sz w:val="20"/>
                <w:szCs w:val="20"/>
                <w:lang w:bidi="he-IL"/>
              </w:rPr>
            </w:pPr>
            <w:r w:rsidRPr="0074426A">
              <w:rPr>
                <w:rFonts w:asciiTheme="majorHAnsi" w:eastAsia="Times New Roman" w:hAnsiTheme="majorHAnsi" w:cstheme="majorHAnsi"/>
                <w:b w:val="0"/>
                <w:color w:val="000000"/>
                <w:sz w:val="20"/>
                <w:szCs w:val="20"/>
                <w:lang w:bidi="he-IL"/>
              </w:rPr>
              <w:t>2019</w:t>
            </w:r>
          </w:p>
        </w:tc>
        <w:tc>
          <w:tcPr>
            <w:tcW w:w="1203"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2157,8</w:t>
            </w:r>
          </w:p>
        </w:tc>
        <w:tc>
          <w:tcPr>
            <w:tcW w:w="95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2157,8</w:t>
            </w:r>
          </w:p>
        </w:tc>
        <w:tc>
          <w:tcPr>
            <w:tcW w:w="127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18</w:t>
            </w:r>
          </w:p>
        </w:tc>
        <w:tc>
          <w:tcPr>
            <w:tcW w:w="105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12</w:t>
            </w:r>
          </w:p>
        </w:tc>
        <w:tc>
          <w:tcPr>
            <w:tcW w:w="116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18</w:t>
            </w:r>
          </w:p>
        </w:tc>
        <w:tc>
          <w:tcPr>
            <w:tcW w:w="118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8</w:t>
            </w:r>
          </w:p>
        </w:tc>
        <w:tc>
          <w:tcPr>
            <w:tcW w:w="1177"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16</w:t>
            </w:r>
          </w:p>
        </w:tc>
        <w:tc>
          <w:tcPr>
            <w:tcW w:w="926"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8</w:t>
            </w:r>
          </w:p>
        </w:tc>
      </w:tr>
      <w:tr w:rsidR="000E184F" w:rsidRPr="0074426A" w:rsidTr="0074426A">
        <w:trPr>
          <w:trHeight w:val="243"/>
        </w:trPr>
        <w:tc>
          <w:tcPr>
            <w:tcW w:w="789" w:type="dxa"/>
          </w:tcPr>
          <w:p w:rsidR="000E184F" w:rsidRPr="0074426A" w:rsidRDefault="000E184F" w:rsidP="00F61756">
            <w:pPr>
              <w:spacing w:line="276" w:lineRule="auto"/>
              <w:rPr>
                <w:rFonts w:asciiTheme="majorHAnsi" w:eastAsia="Times New Roman" w:hAnsiTheme="majorHAnsi" w:cstheme="majorHAnsi"/>
                <w:b w:val="0"/>
                <w:bCs w:val="0"/>
                <w:color w:val="000000"/>
                <w:sz w:val="20"/>
                <w:szCs w:val="20"/>
                <w:lang w:bidi="he-IL"/>
              </w:rPr>
            </w:pPr>
            <w:r w:rsidRPr="0074426A">
              <w:rPr>
                <w:rFonts w:asciiTheme="majorHAnsi" w:eastAsia="Times New Roman" w:hAnsiTheme="majorHAnsi" w:cstheme="majorHAnsi"/>
                <w:b w:val="0"/>
                <w:color w:val="000000"/>
                <w:sz w:val="20"/>
                <w:szCs w:val="20"/>
                <w:lang w:bidi="he-IL"/>
              </w:rPr>
              <w:t>2020</w:t>
            </w:r>
          </w:p>
        </w:tc>
        <w:tc>
          <w:tcPr>
            <w:tcW w:w="1203"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1989,2</w:t>
            </w:r>
          </w:p>
        </w:tc>
        <w:tc>
          <w:tcPr>
            <w:tcW w:w="95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1989,2</w:t>
            </w:r>
          </w:p>
        </w:tc>
        <w:tc>
          <w:tcPr>
            <w:tcW w:w="127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18</w:t>
            </w:r>
          </w:p>
        </w:tc>
        <w:tc>
          <w:tcPr>
            <w:tcW w:w="105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12</w:t>
            </w:r>
          </w:p>
        </w:tc>
        <w:tc>
          <w:tcPr>
            <w:tcW w:w="116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18</w:t>
            </w:r>
          </w:p>
        </w:tc>
        <w:tc>
          <w:tcPr>
            <w:tcW w:w="118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5</w:t>
            </w:r>
          </w:p>
        </w:tc>
        <w:tc>
          <w:tcPr>
            <w:tcW w:w="1177"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14</w:t>
            </w:r>
          </w:p>
        </w:tc>
        <w:tc>
          <w:tcPr>
            <w:tcW w:w="926"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4</w:t>
            </w:r>
          </w:p>
        </w:tc>
      </w:tr>
      <w:tr w:rsidR="000E184F" w:rsidRPr="0074426A" w:rsidTr="0074426A">
        <w:trPr>
          <w:trHeight w:val="254"/>
        </w:trPr>
        <w:tc>
          <w:tcPr>
            <w:tcW w:w="789" w:type="dxa"/>
          </w:tcPr>
          <w:p w:rsidR="000E184F" w:rsidRPr="0074426A" w:rsidRDefault="000E184F" w:rsidP="00F61756">
            <w:pPr>
              <w:spacing w:line="276" w:lineRule="auto"/>
              <w:rPr>
                <w:rFonts w:asciiTheme="majorHAnsi" w:eastAsia="Times New Roman" w:hAnsiTheme="majorHAnsi" w:cstheme="majorHAnsi"/>
                <w:b w:val="0"/>
                <w:bCs w:val="0"/>
                <w:color w:val="000000"/>
                <w:sz w:val="20"/>
                <w:szCs w:val="20"/>
                <w:lang w:bidi="he-IL"/>
              </w:rPr>
            </w:pPr>
            <w:r w:rsidRPr="0074426A">
              <w:rPr>
                <w:rFonts w:asciiTheme="majorHAnsi" w:eastAsia="Times New Roman" w:hAnsiTheme="majorHAnsi" w:cstheme="majorHAnsi"/>
                <w:b w:val="0"/>
                <w:color w:val="000000"/>
                <w:sz w:val="20"/>
                <w:szCs w:val="20"/>
                <w:lang w:bidi="he-IL"/>
              </w:rPr>
              <w:t>2021</w:t>
            </w:r>
          </w:p>
        </w:tc>
        <w:tc>
          <w:tcPr>
            <w:tcW w:w="1203"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2145,6</w:t>
            </w:r>
          </w:p>
        </w:tc>
        <w:tc>
          <w:tcPr>
            <w:tcW w:w="95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2145,6</w:t>
            </w:r>
          </w:p>
        </w:tc>
        <w:tc>
          <w:tcPr>
            <w:tcW w:w="127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18</w:t>
            </w:r>
          </w:p>
        </w:tc>
        <w:tc>
          <w:tcPr>
            <w:tcW w:w="105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12</w:t>
            </w:r>
          </w:p>
        </w:tc>
        <w:tc>
          <w:tcPr>
            <w:tcW w:w="116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18</w:t>
            </w:r>
          </w:p>
        </w:tc>
        <w:tc>
          <w:tcPr>
            <w:tcW w:w="118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12</w:t>
            </w:r>
          </w:p>
        </w:tc>
        <w:tc>
          <w:tcPr>
            <w:tcW w:w="1177"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13</w:t>
            </w:r>
          </w:p>
        </w:tc>
        <w:tc>
          <w:tcPr>
            <w:tcW w:w="926"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w:t>
            </w:r>
          </w:p>
        </w:tc>
      </w:tr>
      <w:tr w:rsidR="000E184F" w:rsidRPr="0074426A" w:rsidTr="0074426A">
        <w:trPr>
          <w:trHeight w:val="243"/>
        </w:trPr>
        <w:tc>
          <w:tcPr>
            <w:tcW w:w="789" w:type="dxa"/>
          </w:tcPr>
          <w:p w:rsidR="000E184F" w:rsidRPr="0074426A" w:rsidRDefault="000E184F" w:rsidP="00F61756">
            <w:pPr>
              <w:spacing w:line="276" w:lineRule="auto"/>
              <w:rPr>
                <w:rFonts w:asciiTheme="majorHAnsi" w:eastAsia="Times New Roman" w:hAnsiTheme="majorHAnsi" w:cstheme="majorHAnsi"/>
                <w:b w:val="0"/>
                <w:bCs w:val="0"/>
                <w:color w:val="000000"/>
                <w:sz w:val="20"/>
                <w:szCs w:val="20"/>
                <w:lang w:bidi="he-IL"/>
              </w:rPr>
            </w:pPr>
            <w:r w:rsidRPr="0074426A">
              <w:rPr>
                <w:rFonts w:asciiTheme="majorHAnsi" w:eastAsia="Times New Roman" w:hAnsiTheme="majorHAnsi" w:cstheme="majorHAnsi"/>
                <w:b w:val="0"/>
                <w:color w:val="000000"/>
                <w:sz w:val="20"/>
                <w:szCs w:val="20"/>
                <w:lang w:bidi="he-IL"/>
              </w:rPr>
              <w:t>2022</w:t>
            </w:r>
          </w:p>
        </w:tc>
        <w:tc>
          <w:tcPr>
            <w:tcW w:w="1203"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2355,3</w:t>
            </w:r>
          </w:p>
        </w:tc>
        <w:tc>
          <w:tcPr>
            <w:tcW w:w="95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2355,3</w:t>
            </w:r>
          </w:p>
        </w:tc>
        <w:tc>
          <w:tcPr>
            <w:tcW w:w="127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20</w:t>
            </w:r>
          </w:p>
        </w:tc>
        <w:tc>
          <w:tcPr>
            <w:tcW w:w="105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10</w:t>
            </w:r>
          </w:p>
        </w:tc>
        <w:tc>
          <w:tcPr>
            <w:tcW w:w="1165"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20</w:t>
            </w:r>
          </w:p>
        </w:tc>
        <w:tc>
          <w:tcPr>
            <w:tcW w:w="1182"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6</w:t>
            </w:r>
          </w:p>
        </w:tc>
        <w:tc>
          <w:tcPr>
            <w:tcW w:w="1177"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18</w:t>
            </w:r>
          </w:p>
        </w:tc>
        <w:tc>
          <w:tcPr>
            <w:tcW w:w="926" w:type="dxa"/>
          </w:tcPr>
          <w:p w:rsidR="000E184F" w:rsidRPr="0074426A" w:rsidRDefault="000056B2" w:rsidP="00F61756">
            <w:pPr>
              <w:spacing w:line="276" w:lineRule="auto"/>
              <w:rPr>
                <w:rFonts w:asciiTheme="majorHAnsi" w:eastAsia="Times New Roman" w:hAnsiTheme="majorHAnsi" w:cstheme="majorHAnsi"/>
                <w:b w:val="0"/>
                <w:bCs w:val="0"/>
                <w:sz w:val="20"/>
                <w:szCs w:val="20"/>
                <w:lang w:bidi="he-IL"/>
              </w:rPr>
            </w:pPr>
            <w:r w:rsidRPr="0074426A">
              <w:rPr>
                <w:rFonts w:asciiTheme="majorHAnsi" w:eastAsia="Times New Roman" w:hAnsiTheme="majorHAnsi" w:cstheme="majorHAnsi"/>
                <w:b w:val="0"/>
                <w:bCs w:val="0"/>
                <w:sz w:val="20"/>
                <w:szCs w:val="20"/>
                <w:lang w:bidi="he-IL"/>
              </w:rPr>
              <w:t>2</w:t>
            </w:r>
          </w:p>
        </w:tc>
      </w:tr>
      <w:tr w:rsidR="000E184F" w:rsidRPr="0074426A" w:rsidTr="0074426A">
        <w:trPr>
          <w:trHeight w:val="254"/>
        </w:trPr>
        <w:tc>
          <w:tcPr>
            <w:tcW w:w="789" w:type="dxa"/>
            <w:shd w:val="clear" w:color="auto" w:fill="BDD6EE" w:themeFill="accent1" w:themeFillTint="66"/>
          </w:tcPr>
          <w:p w:rsidR="000E184F" w:rsidRPr="0074426A" w:rsidRDefault="000E184F" w:rsidP="00F61756">
            <w:pPr>
              <w:spacing w:line="276" w:lineRule="auto"/>
              <w:rPr>
                <w:rFonts w:asciiTheme="majorHAnsi" w:eastAsia="Times New Roman" w:hAnsiTheme="majorHAnsi" w:cstheme="majorHAnsi"/>
                <w:b w:val="0"/>
                <w:color w:val="000000"/>
                <w:sz w:val="20"/>
                <w:szCs w:val="20"/>
                <w:lang w:bidi="he-IL"/>
              </w:rPr>
            </w:pPr>
            <w:r w:rsidRPr="0074426A">
              <w:rPr>
                <w:rFonts w:asciiTheme="majorHAnsi" w:eastAsia="Times New Roman" w:hAnsiTheme="majorHAnsi" w:cstheme="majorHAnsi"/>
                <w:color w:val="000000"/>
                <w:sz w:val="20"/>
                <w:szCs w:val="20"/>
                <w:lang w:bidi="he-IL"/>
              </w:rPr>
              <w:t>TOTAL</w:t>
            </w:r>
          </w:p>
        </w:tc>
        <w:tc>
          <w:tcPr>
            <w:tcW w:w="1203" w:type="dxa"/>
            <w:shd w:val="clear" w:color="auto" w:fill="BDD6EE" w:themeFill="accent1" w:themeFillTint="66"/>
          </w:tcPr>
          <w:p w:rsidR="000E184F" w:rsidRPr="0074426A" w:rsidRDefault="000056B2" w:rsidP="00F61756">
            <w:pPr>
              <w:spacing w:line="276" w:lineRule="auto"/>
              <w:rPr>
                <w:rFonts w:asciiTheme="majorHAnsi" w:eastAsia="Times New Roman" w:hAnsiTheme="majorHAnsi" w:cs="Calibri"/>
                <w:color w:val="000000"/>
                <w:sz w:val="20"/>
                <w:szCs w:val="20"/>
                <w:lang w:bidi="he-IL"/>
              </w:rPr>
            </w:pPr>
            <w:r w:rsidRPr="0074426A">
              <w:rPr>
                <w:rFonts w:asciiTheme="majorHAnsi" w:eastAsia="Times New Roman" w:hAnsiTheme="majorHAnsi" w:cs="Calibri"/>
                <w:color w:val="000000"/>
                <w:sz w:val="20"/>
                <w:szCs w:val="20"/>
                <w:lang w:bidi="he-IL"/>
              </w:rPr>
              <w:t>16322,4</w:t>
            </w:r>
          </w:p>
        </w:tc>
        <w:tc>
          <w:tcPr>
            <w:tcW w:w="955" w:type="dxa"/>
            <w:shd w:val="clear" w:color="auto" w:fill="BDD6EE" w:themeFill="accent1" w:themeFillTint="66"/>
          </w:tcPr>
          <w:p w:rsidR="000E184F" w:rsidRPr="0074426A" w:rsidRDefault="000056B2" w:rsidP="00F61756">
            <w:pPr>
              <w:spacing w:line="276" w:lineRule="auto"/>
              <w:rPr>
                <w:rFonts w:asciiTheme="majorHAnsi" w:eastAsia="Times New Roman" w:hAnsiTheme="majorHAnsi" w:cs="Calibri"/>
                <w:color w:val="000000"/>
                <w:sz w:val="20"/>
                <w:szCs w:val="20"/>
                <w:lang w:bidi="he-IL"/>
              </w:rPr>
            </w:pPr>
            <w:r w:rsidRPr="0074426A">
              <w:rPr>
                <w:rFonts w:asciiTheme="majorHAnsi" w:eastAsia="Times New Roman" w:hAnsiTheme="majorHAnsi" w:cs="Calibri"/>
                <w:color w:val="000000"/>
                <w:sz w:val="20"/>
                <w:szCs w:val="20"/>
                <w:lang w:bidi="he-IL"/>
              </w:rPr>
              <w:t>16322,4</w:t>
            </w:r>
          </w:p>
        </w:tc>
        <w:tc>
          <w:tcPr>
            <w:tcW w:w="1272" w:type="dxa"/>
            <w:shd w:val="clear" w:color="auto" w:fill="BDD6EE" w:themeFill="accent1" w:themeFillTint="66"/>
          </w:tcPr>
          <w:p w:rsidR="000E184F" w:rsidRPr="0074426A" w:rsidRDefault="000056B2" w:rsidP="00F61756">
            <w:pPr>
              <w:spacing w:line="276" w:lineRule="auto"/>
              <w:rPr>
                <w:rFonts w:asciiTheme="majorHAnsi" w:eastAsia="Times New Roman" w:hAnsiTheme="majorHAnsi" w:cs="Calibri"/>
                <w:color w:val="000000"/>
                <w:sz w:val="20"/>
                <w:szCs w:val="20"/>
                <w:lang w:bidi="he-IL"/>
              </w:rPr>
            </w:pPr>
            <w:r w:rsidRPr="0074426A">
              <w:rPr>
                <w:rFonts w:asciiTheme="majorHAnsi" w:eastAsia="Times New Roman" w:hAnsiTheme="majorHAnsi" w:cs="Calibri"/>
                <w:color w:val="000000"/>
                <w:sz w:val="20"/>
                <w:szCs w:val="20"/>
                <w:lang w:bidi="he-IL"/>
              </w:rPr>
              <w:t>171</w:t>
            </w:r>
          </w:p>
        </w:tc>
        <w:tc>
          <w:tcPr>
            <w:tcW w:w="1052" w:type="dxa"/>
            <w:shd w:val="clear" w:color="auto" w:fill="BDD6EE" w:themeFill="accent1" w:themeFillTint="66"/>
          </w:tcPr>
          <w:p w:rsidR="000E184F" w:rsidRPr="0074426A" w:rsidRDefault="000056B2" w:rsidP="00F61756">
            <w:pPr>
              <w:spacing w:line="276" w:lineRule="auto"/>
              <w:rPr>
                <w:rFonts w:asciiTheme="majorHAnsi" w:eastAsia="Times New Roman" w:hAnsiTheme="majorHAnsi" w:cs="Calibri"/>
                <w:color w:val="000000"/>
                <w:sz w:val="20"/>
                <w:szCs w:val="20"/>
                <w:lang w:bidi="he-IL"/>
              </w:rPr>
            </w:pPr>
            <w:r w:rsidRPr="0074426A">
              <w:rPr>
                <w:rFonts w:asciiTheme="majorHAnsi" w:eastAsia="Times New Roman" w:hAnsiTheme="majorHAnsi" w:cs="Calibri"/>
                <w:color w:val="000000"/>
                <w:sz w:val="20"/>
                <w:szCs w:val="20"/>
                <w:lang w:bidi="he-IL"/>
              </w:rPr>
              <w:t>99</w:t>
            </w:r>
          </w:p>
        </w:tc>
        <w:tc>
          <w:tcPr>
            <w:tcW w:w="1165" w:type="dxa"/>
            <w:shd w:val="clear" w:color="auto" w:fill="BDD6EE" w:themeFill="accent1" w:themeFillTint="66"/>
          </w:tcPr>
          <w:p w:rsidR="000E184F" w:rsidRPr="0074426A" w:rsidRDefault="000056B2" w:rsidP="00F61756">
            <w:pPr>
              <w:spacing w:line="276" w:lineRule="auto"/>
              <w:rPr>
                <w:rFonts w:asciiTheme="majorHAnsi" w:eastAsia="Times New Roman" w:hAnsiTheme="majorHAnsi" w:cs="Calibri"/>
                <w:color w:val="000000"/>
                <w:sz w:val="20"/>
                <w:szCs w:val="20"/>
                <w:lang w:bidi="he-IL"/>
              </w:rPr>
            </w:pPr>
            <w:r w:rsidRPr="0074426A">
              <w:rPr>
                <w:rFonts w:asciiTheme="majorHAnsi" w:eastAsia="Times New Roman" w:hAnsiTheme="majorHAnsi" w:cs="Calibri"/>
                <w:color w:val="000000"/>
                <w:sz w:val="20"/>
                <w:szCs w:val="20"/>
                <w:lang w:bidi="he-IL"/>
              </w:rPr>
              <w:t>171</w:t>
            </w:r>
          </w:p>
        </w:tc>
        <w:tc>
          <w:tcPr>
            <w:tcW w:w="1182" w:type="dxa"/>
            <w:shd w:val="clear" w:color="auto" w:fill="BDD6EE" w:themeFill="accent1" w:themeFillTint="66"/>
          </w:tcPr>
          <w:p w:rsidR="000E184F" w:rsidRPr="0074426A" w:rsidRDefault="000056B2" w:rsidP="00F61756">
            <w:pPr>
              <w:spacing w:line="276" w:lineRule="auto"/>
              <w:rPr>
                <w:rFonts w:asciiTheme="majorHAnsi" w:eastAsia="Times New Roman" w:hAnsiTheme="majorHAnsi" w:cs="Calibri"/>
                <w:color w:val="000000"/>
                <w:sz w:val="20"/>
                <w:szCs w:val="20"/>
                <w:lang w:bidi="he-IL"/>
              </w:rPr>
            </w:pPr>
            <w:r w:rsidRPr="0074426A">
              <w:rPr>
                <w:rFonts w:asciiTheme="majorHAnsi" w:eastAsia="Times New Roman" w:hAnsiTheme="majorHAnsi" w:cs="Calibri"/>
                <w:color w:val="000000"/>
                <w:sz w:val="20"/>
                <w:szCs w:val="20"/>
                <w:lang w:bidi="he-IL"/>
              </w:rPr>
              <w:t>84</w:t>
            </w:r>
          </w:p>
        </w:tc>
        <w:tc>
          <w:tcPr>
            <w:tcW w:w="1177" w:type="dxa"/>
            <w:shd w:val="clear" w:color="auto" w:fill="BDD6EE" w:themeFill="accent1" w:themeFillTint="66"/>
          </w:tcPr>
          <w:p w:rsidR="000E184F" w:rsidRPr="0074426A" w:rsidRDefault="000056B2" w:rsidP="00F61756">
            <w:pPr>
              <w:spacing w:line="276" w:lineRule="auto"/>
              <w:rPr>
                <w:rFonts w:asciiTheme="majorHAnsi" w:eastAsia="Times New Roman" w:hAnsiTheme="majorHAnsi" w:cs="Calibri"/>
                <w:color w:val="000000"/>
                <w:sz w:val="20"/>
                <w:szCs w:val="20"/>
                <w:lang w:bidi="he-IL"/>
              </w:rPr>
            </w:pPr>
            <w:r w:rsidRPr="0074426A">
              <w:rPr>
                <w:rFonts w:asciiTheme="majorHAnsi" w:eastAsia="Times New Roman" w:hAnsiTheme="majorHAnsi" w:cs="Calibri"/>
                <w:color w:val="000000"/>
                <w:sz w:val="20"/>
                <w:szCs w:val="20"/>
                <w:lang w:bidi="he-IL"/>
              </w:rPr>
              <w:t>142</w:t>
            </w:r>
          </w:p>
        </w:tc>
        <w:tc>
          <w:tcPr>
            <w:tcW w:w="926" w:type="dxa"/>
            <w:shd w:val="clear" w:color="auto" w:fill="BDD6EE" w:themeFill="accent1" w:themeFillTint="66"/>
          </w:tcPr>
          <w:p w:rsidR="000E184F" w:rsidRPr="0074426A" w:rsidRDefault="000056B2" w:rsidP="00F61756">
            <w:pPr>
              <w:spacing w:line="276" w:lineRule="auto"/>
              <w:rPr>
                <w:rFonts w:asciiTheme="majorHAnsi" w:eastAsia="Times New Roman" w:hAnsiTheme="majorHAnsi" w:cstheme="majorHAnsi"/>
                <w:color w:val="000000"/>
                <w:sz w:val="20"/>
                <w:szCs w:val="20"/>
                <w:lang w:bidi="he-IL"/>
              </w:rPr>
            </w:pPr>
            <w:r w:rsidRPr="0074426A">
              <w:rPr>
                <w:rFonts w:asciiTheme="majorHAnsi" w:eastAsia="Times New Roman" w:hAnsiTheme="majorHAnsi" w:cs="Calibri"/>
                <w:color w:val="000000"/>
                <w:sz w:val="20"/>
                <w:szCs w:val="20"/>
                <w:lang w:bidi="he-IL"/>
              </w:rPr>
              <w:t>50</w:t>
            </w:r>
          </w:p>
        </w:tc>
      </w:tr>
    </w:tbl>
    <w:p w:rsidR="000E184F" w:rsidRPr="008376FC" w:rsidRDefault="000E184F" w:rsidP="00F61756">
      <w:pPr>
        <w:spacing w:line="276" w:lineRule="auto"/>
        <w:rPr>
          <w:rFonts w:asciiTheme="majorHAnsi" w:hAnsiTheme="majorHAnsi" w:cstheme="majorHAnsi"/>
          <w:sz w:val="16"/>
          <w:szCs w:val="16"/>
        </w:rPr>
      </w:pPr>
      <w:r w:rsidRPr="008376FC">
        <w:rPr>
          <w:rFonts w:asciiTheme="majorHAnsi" w:hAnsiTheme="majorHAnsi" w:cstheme="majorHAnsi"/>
          <w:sz w:val="16"/>
          <w:szCs w:val="16"/>
        </w:rPr>
        <w:t xml:space="preserve">Sursa: </w:t>
      </w:r>
      <w:r w:rsidRPr="0074426A">
        <w:rPr>
          <w:rFonts w:asciiTheme="majorHAnsi" w:hAnsiTheme="majorHAnsi" w:cstheme="majorHAnsi"/>
          <w:b w:val="0"/>
          <w:sz w:val="16"/>
          <w:szCs w:val="16"/>
        </w:rPr>
        <w:t>Datele MEC.</w:t>
      </w:r>
      <w:r w:rsidRPr="008376FC">
        <w:rPr>
          <w:rFonts w:asciiTheme="majorHAnsi" w:hAnsiTheme="majorHAnsi" w:cstheme="majorHAnsi"/>
          <w:sz w:val="16"/>
          <w:szCs w:val="16"/>
        </w:rPr>
        <w:t xml:space="preserve"> </w:t>
      </w:r>
    </w:p>
    <w:p w:rsidR="0074426A" w:rsidRDefault="0074426A" w:rsidP="00F61756">
      <w:pPr>
        <w:spacing w:line="276" w:lineRule="auto"/>
      </w:pPr>
    </w:p>
    <w:p w:rsidR="004D7A2D" w:rsidRDefault="004D7A2D" w:rsidP="00F61756">
      <w:pPr>
        <w:spacing w:line="276" w:lineRule="auto"/>
      </w:pPr>
    </w:p>
    <w:p w:rsidR="004D7A2D" w:rsidRPr="008376FC" w:rsidRDefault="004D7A2D" w:rsidP="00F61756">
      <w:pPr>
        <w:spacing w:line="276" w:lineRule="auto"/>
      </w:pPr>
    </w:p>
    <w:bookmarkEnd w:id="57"/>
    <w:p w:rsidR="000E184F" w:rsidRPr="004C1766" w:rsidRDefault="000E184F" w:rsidP="0000070C">
      <w:pPr>
        <w:spacing w:line="276" w:lineRule="auto"/>
        <w:jc w:val="both"/>
        <w:rPr>
          <w:rFonts w:asciiTheme="majorHAnsi" w:eastAsia="Times New Roman" w:hAnsiTheme="majorHAnsi" w:cstheme="majorHAnsi"/>
          <w:b w:val="0"/>
          <w:bCs w:val="0"/>
          <w:color w:val="0070C0"/>
          <w:sz w:val="24"/>
          <w:szCs w:val="24"/>
        </w:rPr>
      </w:pPr>
      <w:r w:rsidRPr="004C1766">
        <w:rPr>
          <w:rFonts w:asciiTheme="majorHAnsi" w:eastAsia="Times New Roman" w:hAnsiTheme="majorHAnsi" w:cstheme="majorHAnsi"/>
          <w:color w:val="0070C0"/>
          <w:sz w:val="24"/>
          <w:szCs w:val="24"/>
        </w:rPr>
        <w:t>Anexa nr. 9 Evoluția lungimii apeductelor și sistemelor de canalizare anul 2021</w:t>
      </w:r>
      <w:r w:rsidR="0032712D" w:rsidRPr="004C1766">
        <w:rPr>
          <w:rFonts w:asciiTheme="majorHAnsi" w:eastAsia="Times New Roman" w:hAnsiTheme="majorHAnsi" w:cstheme="majorHAnsi"/>
          <w:color w:val="0070C0"/>
          <w:sz w:val="24"/>
          <w:szCs w:val="24"/>
        </w:rPr>
        <w:t>,</w:t>
      </w:r>
      <w:r w:rsidRPr="004C1766">
        <w:rPr>
          <w:rFonts w:asciiTheme="majorHAnsi" w:eastAsia="Times New Roman" w:hAnsiTheme="majorHAnsi" w:cstheme="majorHAnsi"/>
          <w:color w:val="0070C0"/>
          <w:sz w:val="24"/>
          <w:szCs w:val="24"/>
        </w:rPr>
        <w:t xml:space="preserve"> față  anul 2016, pe raioane</w:t>
      </w:r>
    </w:p>
    <w:p w:rsidR="000E184F" w:rsidRPr="0074426A" w:rsidRDefault="000E184F" w:rsidP="00F61756">
      <w:pPr>
        <w:widowControl w:val="0"/>
        <w:autoSpaceDE w:val="0"/>
        <w:autoSpaceDN w:val="0"/>
        <w:spacing w:after="0" w:line="276" w:lineRule="auto"/>
        <w:ind w:right="49"/>
        <w:jc w:val="right"/>
        <w:rPr>
          <w:rFonts w:asciiTheme="majorHAnsi" w:eastAsia="Times New Roman" w:hAnsiTheme="majorHAnsi" w:cstheme="majorHAnsi"/>
          <w:b w:val="0"/>
          <w:bCs w:val="0"/>
          <w:sz w:val="20"/>
          <w:szCs w:val="20"/>
        </w:rPr>
      </w:pPr>
      <w:r w:rsidRPr="0074426A">
        <w:rPr>
          <w:rFonts w:asciiTheme="majorHAnsi" w:eastAsia="Times New Roman" w:hAnsiTheme="majorHAnsi" w:cstheme="majorHAnsi"/>
          <w:sz w:val="20"/>
          <w:szCs w:val="20"/>
        </w:rPr>
        <w:t>Figura nr.1</w:t>
      </w:r>
    </w:p>
    <w:p w:rsidR="000E184F" w:rsidRPr="008376FC" w:rsidRDefault="00BE3B68" w:rsidP="00F61756">
      <w:pPr>
        <w:spacing w:line="276" w:lineRule="auto"/>
        <w:rPr>
          <w:rFonts w:asciiTheme="majorHAnsi" w:eastAsia="Calibri" w:hAnsiTheme="majorHAnsi" w:cstheme="majorHAnsi"/>
          <w:b w:val="0"/>
          <w:bCs w:val="0"/>
          <w:noProof/>
          <w:sz w:val="28"/>
          <w:szCs w:val="28"/>
          <w:lang w:eastAsia="ru-RU"/>
        </w:rPr>
      </w:pPr>
      <w:r w:rsidRPr="008376FC">
        <w:rPr>
          <w:rFonts w:asciiTheme="majorHAnsi" w:eastAsia="Calibri" w:hAnsiTheme="majorHAnsi" w:cstheme="majorHAnsi"/>
          <w:b w:val="0"/>
          <w:bCs w:val="0"/>
          <w:noProof/>
          <w:sz w:val="28"/>
          <w:szCs w:val="28"/>
          <w:lang w:val="ru-RU" w:eastAsia="ru-RU"/>
        </w:rPr>
        <w:drawing>
          <wp:inline distT="0" distB="0" distL="0" distR="0">
            <wp:extent cx="6194450" cy="1324052"/>
            <wp:effectExtent l="19050" t="0" r="15850" b="9448"/>
            <wp:docPr id="61"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0E184F" w:rsidRPr="008376FC" w:rsidRDefault="000E184F" w:rsidP="00F61756">
      <w:pPr>
        <w:spacing w:line="276" w:lineRule="auto"/>
        <w:rPr>
          <w:rFonts w:asciiTheme="majorHAnsi" w:eastAsia="Calibri" w:hAnsiTheme="majorHAnsi" w:cstheme="majorHAnsi"/>
          <w:b w:val="0"/>
          <w:bCs w:val="0"/>
          <w:noProof/>
          <w:sz w:val="16"/>
          <w:szCs w:val="16"/>
          <w:lang w:eastAsia="ru-RU"/>
        </w:rPr>
      </w:pPr>
      <w:r w:rsidRPr="008376FC">
        <w:rPr>
          <w:rFonts w:asciiTheme="majorHAnsi" w:eastAsia="Calibri" w:hAnsiTheme="majorHAnsi" w:cstheme="majorHAnsi"/>
          <w:noProof/>
          <w:sz w:val="16"/>
          <w:szCs w:val="16"/>
          <w:lang w:eastAsia="ru-RU"/>
        </w:rPr>
        <w:t xml:space="preserve">Sursa: </w:t>
      </w:r>
      <w:r w:rsidRPr="004D7A2D">
        <w:rPr>
          <w:rFonts w:asciiTheme="majorHAnsi" w:eastAsia="Calibri" w:hAnsiTheme="majorHAnsi" w:cstheme="majorHAnsi"/>
          <w:b w:val="0"/>
          <w:noProof/>
          <w:sz w:val="16"/>
          <w:szCs w:val="16"/>
          <w:lang w:eastAsia="ru-RU"/>
        </w:rPr>
        <w:t>Datele BNS.</w:t>
      </w:r>
    </w:p>
    <w:p w:rsidR="000E184F" w:rsidRPr="008376FC" w:rsidRDefault="000E184F" w:rsidP="00F61756">
      <w:pPr>
        <w:spacing w:after="0" w:line="276" w:lineRule="auto"/>
        <w:jc w:val="right"/>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noProof/>
          <w:sz w:val="20"/>
          <w:szCs w:val="20"/>
          <w:lang w:eastAsia="ru-RU"/>
        </w:rPr>
        <w:t>Figura nr.2</w:t>
      </w:r>
    </w:p>
    <w:p w:rsidR="000E184F" w:rsidRPr="008376FC" w:rsidRDefault="00BE3B68" w:rsidP="00F61756">
      <w:pPr>
        <w:spacing w:after="0" w:line="276" w:lineRule="auto"/>
        <w:rPr>
          <w:rFonts w:asciiTheme="majorHAnsi" w:eastAsia="Calibri" w:hAnsiTheme="majorHAnsi" w:cstheme="majorHAnsi"/>
          <w:b w:val="0"/>
          <w:bCs w:val="0"/>
          <w:noProof/>
          <w:sz w:val="28"/>
          <w:szCs w:val="28"/>
          <w:lang w:eastAsia="ru-RU"/>
        </w:rPr>
      </w:pPr>
      <w:r w:rsidRPr="008376FC">
        <w:rPr>
          <w:rFonts w:asciiTheme="majorHAnsi" w:eastAsia="Calibri" w:hAnsiTheme="majorHAnsi" w:cstheme="majorHAnsi"/>
          <w:b w:val="0"/>
          <w:bCs w:val="0"/>
          <w:noProof/>
          <w:sz w:val="28"/>
          <w:szCs w:val="28"/>
          <w:lang w:val="ru-RU" w:eastAsia="ru-RU"/>
        </w:rPr>
        <w:drawing>
          <wp:inline distT="0" distB="0" distL="0" distR="0">
            <wp:extent cx="6191250" cy="1839595"/>
            <wp:effectExtent l="19050" t="0" r="19050" b="8255"/>
            <wp:docPr id="62"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0E184F" w:rsidRPr="008376FC" w:rsidRDefault="000E184F" w:rsidP="00F61756">
      <w:pPr>
        <w:spacing w:line="276" w:lineRule="auto"/>
        <w:rPr>
          <w:rFonts w:asciiTheme="majorHAnsi" w:eastAsia="Calibri" w:hAnsiTheme="majorHAnsi" w:cstheme="majorHAnsi"/>
          <w:b w:val="0"/>
          <w:bCs w:val="0"/>
          <w:noProof/>
          <w:sz w:val="28"/>
          <w:szCs w:val="28"/>
          <w:lang w:eastAsia="ru-RU"/>
        </w:rPr>
      </w:pPr>
      <w:r w:rsidRPr="008376FC">
        <w:rPr>
          <w:rFonts w:asciiTheme="majorHAnsi" w:eastAsia="Calibri" w:hAnsiTheme="majorHAnsi" w:cstheme="majorHAnsi"/>
          <w:noProof/>
          <w:sz w:val="16"/>
          <w:szCs w:val="16"/>
          <w:lang w:eastAsia="ru-RU"/>
        </w:rPr>
        <w:t xml:space="preserve">Sursa: </w:t>
      </w:r>
      <w:r w:rsidRPr="004D7A2D">
        <w:rPr>
          <w:rFonts w:asciiTheme="majorHAnsi" w:eastAsia="Calibri" w:hAnsiTheme="majorHAnsi" w:cstheme="majorHAnsi"/>
          <w:b w:val="0"/>
          <w:noProof/>
          <w:sz w:val="16"/>
          <w:szCs w:val="16"/>
          <w:lang w:eastAsia="ru-RU"/>
        </w:rPr>
        <w:t>Datele BNS.</w:t>
      </w:r>
    </w:p>
    <w:p w:rsidR="000E184F" w:rsidRPr="008376FC" w:rsidRDefault="000E184F" w:rsidP="00F61756">
      <w:pPr>
        <w:spacing w:after="0" w:line="276" w:lineRule="auto"/>
        <w:jc w:val="right"/>
        <w:rPr>
          <w:rFonts w:asciiTheme="majorHAnsi" w:eastAsia="Calibri" w:hAnsiTheme="majorHAnsi" w:cstheme="majorHAnsi"/>
          <w:b w:val="0"/>
          <w:bCs w:val="0"/>
          <w:noProof/>
          <w:sz w:val="20"/>
          <w:szCs w:val="20"/>
          <w:lang w:eastAsia="ru-RU"/>
        </w:rPr>
      </w:pPr>
      <w:r w:rsidRPr="008376FC">
        <w:rPr>
          <w:rFonts w:asciiTheme="majorHAnsi" w:eastAsia="Calibri" w:hAnsiTheme="majorHAnsi" w:cstheme="majorHAnsi"/>
          <w:noProof/>
          <w:sz w:val="20"/>
          <w:szCs w:val="20"/>
          <w:lang w:eastAsia="ru-RU"/>
        </w:rPr>
        <w:t>Figura nr.3</w:t>
      </w:r>
    </w:p>
    <w:p w:rsidR="000E184F" w:rsidRPr="008376FC" w:rsidRDefault="00BE3B68" w:rsidP="00F61756">
      <w:pPr>
        <w:spacing w:line="276" w:lineRule="auto"/>
        <w:rPr>
          <w:rFonts w:asciiTheme="majorHAnsi" w:eastAsia="Calibri" w:hAnsiTheme="majorHAnsi" w:cstheme="majorHAnsi"/>
          <w:b w:val="0"/>
          <w:bCs w:val="0"/>
          <w:noProof/>
          <w:sz w:val="28"/>
          <w:szCs w:val="28"/>
          <w:lang w:eastAsia="ru-RU"/>
        </w:rPr>
      </w:pPr>
      <w:r w:rsidRPr="008376FC">
        <w:rPr>
          <w:rFonts w:asciiTheme="majorHAnsi" w:eastAsia="Calibri" w:hAnsiTheme="majorHAnsi" w:cstheme="majorHAnsi"/>
          <w:b w:val="0"/>
          <w:bCs w:val="0"/>
          <w:noProof/>
          <w:sz w:val="28"/>
          <w:szCs w:val="28"/>
          <w:lang w:val="ru-RU" w:eastAsia="ru-RU"/>
        </w:rPr>
        <w:drawing>
          <wp:inline distT="0" distB="0" distL="0" distR="0">
            <wp:extent cx="6210300" cy="1508760"/>
            <wp:effectExtent l="19050" t="0" r="19050" b="0"/>
            <wp:docPr id="63"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0E184F" w:rsidRPr="008376FC" w:rsidRDefault="000E184F" w:rsidP="00F61756">
      <w:pPr>
        <w:spacing w:line="276" w:lineRule="auto"/>
        <w:rPr>
          <w:rFonts w:asciiTheme="majorHAnsi" w:eastAsia="Calibri" w:hAnsiTheme="majorHAnsi" w:cstheme="majorHAnsi"/>
          <w:b w:val="0"/>
          <w:bCs w:val="0"/>
          <w:noProof/>
          <w:sz w:val="28"/>
          <w:szCs w:val="28"/>
          <w:lang w:eastAsia="ru-RU"/>
        </w:rPr>
      </w:pPr>
      <w:r w:rsidRPr="008376FC">
        <w:rPr>
          <w:rFonts w:asciiTheme="majorHAnsi" w:eastAsia="Calibri" w:hAnsiTheme="majorHAnsi" w:cstheme="majorHAnsi"/>
          <w:noProof/>
          <w:sz w:val="16"/>
          <w:szCs w:val="16"/>
          <w:lang w:eastAsia="ru-RU"/>
        </w:rPr>
        <w:t xml:space="preserve">Sursa: </w:t>
      </w:r>
      <w:r w:rsidRPr="004D7A2D">
        <w:rPr>
          <w:rFonts w:asciiTheme="majorHAnsi" w:eastAsia="Calibri" w:hAnsiTheme="majorHAnsi" w:cstheme="majorHAnsi"/>
          <w:b w:val="0"/>
          <w:noProof/>
          <w:sz w:val="16"/>
          <w:szCs w:val="16"/>
          <w:lang w:eastAsia="ru-RU"/>
        </w:rPr>
        <w:t>Datele BNS.</w:t>
      </w:r>
    </w:p>
    <w:p w:rsidR="000E184F" w:rsidRPr="008376FC" w:rsidRDefault="000E184F" w:rsidP="00F61756">
      <w:pPr>
        <w:spacing w:after="0" w:line="276" w:lineRule="auto"/>
        <w:jc w:val="right"/>
        <w:rPr>
          <w:rFonts w:asciiTheme="majorHAnsi" w:eastAsia="Calibri" w:hAnsiTheme="majorHAnsi" w:cstheme="majorHAnsi"/>
          <w:b w:val="0"/>
          <w:noProof/>
          <w:sz w:val="28"/>
          <w:szCs w:val="28"/>
          <w:lang w:eastAsia="ru-RU"/>
        </w:rPr>
      </w:pPr>
      <w:r w:rsidRPr="008376FC">
        <w:rPr>
          <w:rFonts w:asciiTheme="majorHAnsi" w:eastAsia="Calibri" w:hAnsiTheme="majorHAnsi" w:cstheme="majorHAnsi"/>
          <w:noProof/>
          <w:sz w:val="20"/>
          <w:szCs w:val="20"/>
          <w:lang w:eastAsia="ru-RU"/>
        </w:rPr>
        <w:t>Figura nr.4</w:t>
      </w:r>
    </w:p>
    <w:p w:rsidR="000E184F" w:rsidRPr="008376FC" w:rsidRDefault="00BE3B68" w:rsidP="00F61756">
      <w:pPr>
        <w:spacing w:after="0" w:line="276" w:lineRule="auto"/>
        <w:rPr>
          <w:rFonts w:asciiTheme="majorHAnsi" w:eastAsia="Calibri" w:hAnsiTheme="majorHAnsi" w:cstheme="majorHAnsi"/>
          <w:b w:val="0"/>
          <w:bCs w:val="0"/>
          <w:noProof/>
          <w:sz w:val="28"/>
          <w:szCs w:val="28"/>
          <w:lang w:eastAsia="ru-RU"/>
        </w:rPr>
      </w:pPr>
      <w:r w:rsidRPr="008376FC">
        <w:rPr>
          <w:rFonts w:asciiTheme="majorHAnsi" w:eastAsia="Calibri" w:hAnsiTheme="majorHAnsi" w:cstheme="majorHAnsi"/>
          <w:b w:val="0"/>
          <w:bCs w:val="0"/>
          <w:noProof/>
          <w:sz w:val="28"/>
          <w:szCs w:val="28"/>
          <w:lang w:val="ru-RU" w:eastAsia="ru-RU"/>
        </w:rPr>
        <w:drawing>
          <wp:inline distT="0" distB="0" distL="0" distR="0">
            <wp:extent cx="6191250" cy="1647825"/>
            <wp:effectExtent l="19050" t="0" r="19050" b="0"/>
            <wp:docPr id="64"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0E184F" w:rsidRDefault="000E184F" w:rsidP="00F61756">
      <w:pPr>
        <w:spacing w:line="276" w:lineRule="auto"/>
        <w:rPr>
          <w:rFonts w:asciiTheme="majorHAnsi" w:eastAsia="Calibri" w:hAnsiTheme="majorHAnsi" w:cstheme="majorHAnsi"/>
          <w:b w:val="0"/>
          <w:bCs w:val="0"/>
          <w:noProof/>
          <w:sz w:val="16"/>
          <w:szCs w:val="16"/>
          <w:lang w:eastAsia="ru-RU"/>
        </w:rPr>
      </w:pPr>
      <w:r w:rsidRPr="008376FC">
        <w:rPr>
          <w:rFonts w:asciiTheme="majorHAnsi" w:eastAsia="Calibri" w:hAnsiTheme="majorHAnsi" w:cstheme="majorHAnsi"/>
          <w:noProof/>
          <w:sz w:val="16"/>
          <w:szCs w:val="16"/>
          <w:lang w:eastAsia="ru-RU"/>
        </w:rPr>
        <w:t xml:space="preserve">Sursa: </w:t>
      </w:r>
      <w:r w:rsidRPr="008376FC">
        <w:rPr>
          <w:rFonts w:asciiTheme="majorHAnsi" w:eastAsia="Calibri" w:hAnsiTheme="majorHAnsi" w:cstheme="majorHAnsi"/>
          <w:b w:val="0"/>
          <w:bCs w:val="0"/>
          <w:noProof/>
          <w:sz w:val="16"/>
          <w:szCs w:val="16"/>
          <w:lang w:eastAsia="ru-RU"/>
        </w:rPr>
        <w:t>Datele BNS.</w:t>
      </w:r>
    </w:p>
    <w:p w:rsidR="000E184F" w:rsidRPr="004C1766" w:rsidRDefault="000E184F" w:rsidP="00F61756">
      <w:pPr>
        <w:pStyle w:val="a3"/>
        <w:spacing w:before="120" w:line="276" w:lineRule="auto"/>
        <w:ind w:left="0"/>
        <w:contextualSpacing w:val="0"/>
        <w:jc w:val="both"/>
        <w:rPr>
          <w:rFonts w:asciiTheme="majorHAnsi" w:hAnsiTheme="majorHAnsi" w:cstheme="majorHAnsi"/>
          <w:b/>
          <w:color w:val="0070C0"/>
          <w:shd w:val="clear" w:color="auto" w:fill="FFFFFF"/>
          <w:lang w:val="en-US"/>
        </w:rPr>
      </w:pPr>
      <w:r w:rsidRPr="004C1766">
        <w:rPr>
          <w:rFonts w:asciiTheme="majorHAnsi" w:hAnsiTheme="majorHAnsi" w:cstheme="majorHAnsi"/>
          <w:b/>
          <w:color w:val="0070C0"/>
          <w:shd w:val="clear" w:color="auto" w:fill="FFFFFF"/>
          <w:lang w:val="en-US"/>
        </w:rPr>
        <w:t>Anexa nr. 10. Tipurile de OITE aferente fiecărui tip de folosință a terenurilor</w:t>
      </w:r>
    </w:p>
    <w:tbl>
      <w:tblPr>
        <w:tblStyle w:val="af2"/>
        <w:tblW w:w="9889" w:type="dxa"/>
        <w:tblLayout w:type="fixed"/>
        <w:tblLook w:val="00A0" w:firstRow="1" w:lastRow="0" w:firstColumn="1" w:lastColumn="0" w:noHBand="0" w:noVBand="0"/>
      </w:tblPr>
      <w:tblGrid>
        <w:gridCol w:w="562"/>
        <w:gridCol w:w="1327"/>
        <w:gridCol w:w="28"/>
        <w:gridCol w:w="669"/>
        <w:gridCol w:w="28"/>
        <w:gridCol w:w="1463"/>
        <w:gridCol w:w="28"/>
        <w:gridCol w:w="5784"/>
      </w:tblGrid>
      <w:tr w:rsidR="000E184F" w:rsidRPr="0074426A" w:rsidTr="0000070C">
        <w:trPr>
          <w:trHeight w:val="382"/>
        </w:trPr>
        <w:tc>
          <w:tcPr>
            <w:tcW w:w="562" w:type="dxa"/>
            <w:shd w:val="clear" w:color="auto" w:fill="BDD6EE" w:themeFill="accent1" w:themeFillTint="66"/>
          </w:tcPr>
          <w:p w:rsidR="000E184F" w:rsidRPr="0074426A" w:rsidRDefault="000E184F" w:rsidP="004D7A2D">
            <w:pPr>
              <w:pStyle w:val="a3"/>
              <w:ind w:left="0" w:right="-108"/>
              <w:jc w:val="center"/>
              <w:rPr>
                <w:rFonts w:asciiTheme="majorHAnsi" w:hAnsiTheme="majorHAnsi" w:cstheme="majorHAnsi"/>
                <w:b/>
                <w:sz w:val="20"/>
                <w:szCs w:val="20"/>
              </w:rPr>
            </w:pPr>
            <w:r w:rsidRPr="0074426A">
              <w:rPr>
                <w:rFonts w:asciiTheme="majorHAnsi" w:hAnsiTheme="majorHAnsi" w:cstheme="majorHAnsi"/>
                <w:b/>
                <w:sz w:val="20"/>
                <w:szCs w:val="20"/>
              </w:rPr>
              <w:t>Nr.  d/o</w:t>
            </w:r>
          </w:p>
        </w:tc>
        <w:tc>
          <w:tcPr>
            <w:tcW w:w="1355" w:type="dxa"/>
            <w:gridSpan w:val="2"/>
            <w:shd w:val="clear" w:color="auto" w:fill="BDD6EE" w:themeFill="accent1" w:themeFillTint="66"/>
          </w:tcPr>
          <w:p w:rsidR="000E184F" w:rsidRPr="0074426A" w:rsidRDefault="000E184F" w:rsidP="004D7A2D">
            <w:pPr>
              <w:pStyle w:val="a3"/>
              <w:ind w:left="0"/>
              <w:jc w:val="center"/>
              <w:rPr>
                <w:rFonts w:asciiTheme="majorHAnsi" w:hAnsiTheme="majorHAnsi" w:cstheme="majorHAnsi"/>
                <w:b/>
                <w:sz w:val="20"/>
                <w:szCs w:val="20"/>
              </w:rPr>
            </w:pPr>
            <w:r w:rsidRPr="0074426A">
              <w:rPr>
                <w:rFonts w:asciiTheme="majorHAnsi" w:hAnsiTheme="majorHAnsi" w:cstheme="majorHAnsi"/>
                <w:b/>
                <w:sz w:val="20"/>
                <w:szCs w:val="20"/>
              </w:rPr>
              <w:t xml:space="preserve">Categoria </w:t>
            </w:r>
          </w:p>
          <w:p w:rsidR="000E184F" w:rsidRPr="0074426A" w:rsidRDefault="000E184F" w:rsidP="004D7A2D">
            <w:pPr>
              <w:pStyle w:val="a3"/>
              <w:ind w:left="0"/>
              <w:jc w:val="center"/>
              <w:rPr>
                <w:rFonts w:asciiTheme="majorHAnsi" w:hAnsiTheme="majorHAnsi" w:cstheme="majorHAnsi"/>
                <w:b/>
                <w:sz w:val="20"/>
                <w:szCs w:val="20"/>
              </w:rPr>
            </w:pPr>
            <w:r w:rsidRPr="0074426A">
              <w:rPr>
                <w:rFonts w:asciiTheme="majorHAnsi" w:hAnsiTheme="majorHAnsi" w:cstheme="majorHAnsi"/>
                <w:b/>
                <w:sz w:val="20"/>
                <w:szCs w:val="20"/>
              </w:rPr>
              <w:t>de destinație</w:t>
            </w:r>
          </w:p>
        </w:tc>
        <w:tc>
          <w:tcPr>
            <w:tcW w:w="697" w:type="dxa"/>
            <w:gridSpan w:val="2"/>
            <w:shd w:val="clear" w:color="auto" w:fill="BDD6EE" w:themeFill="accent1" w:themeFillTint="66"/>
          </w:tcPr>
          <w:p w:rsidR="000E184F" w:rsidRPr="0074426A" w:rsidRDefault="000E184F" w:rsidP="004D7A2D">
            <w:pPr>
              <w:pStyle w:val="a3"/>
              <w:ind w:left="0"/>
              <w:jc w:val="center"/>
              <w:rPr>
                <w:rFonts w:asciiTheme="majorHAnsi" w:hAnsiTheme="majorHAnsi" w:cstheme="majorHAnsi"/>
                <w:b/>
                <w:sz w:val="20"/>
                <w:szCs w:val="20"/>
              </w:rPr>
            </w:pPr>
            <w:r w:rsidRPr="0074426A">
              <w:rPr>
                <w:rFonts w:asciiTheme="majorHAnsi" w:hAnsiTheme="majorHAnsi" w:cstheme="majorHAnsi"/>
                <w:b/>
                <w:sz w:val="20"/>
                <w:szCs w:val="20"/>
              </w:rPr>
              <w:t xml:space="preserve">Cod  </w:t>
            </w:r>
          </w:p>
          <w:p w:rsidR="000E184F" w:rsidRPr="0074426A" w:rsidRDefault="000E184F" w:rsidP="004D7A2D">
            <w:pPr>
              <w:pStyle w:val="a3"/>
              <w:ind w:left="0"/>
              <w:jc w:val="center"/>
              <w:rPr>
                <w:rFonts w:asciiTheme="majorHAnsi" w:hAnsiTheme="majorHAnsi" w:cstheme="majorHAnsi"/>
                <w:b/>
                <w:sz w:val="20"/>
                <w:szCs w:val="20"/>
              </w:rPr>
            </w:pPr>
            <w:r w:rsidRPr="0074426A">
              <w:rPr>
                <w:rFonts w:asciiTheme="majorHAnsi" w:hAnsiTheme="majorHAnsi" w:cstheme="majorHAnsi"/>
                <w:b/>
                <w:sz w:val="20"/>
                <w:szCs w:val="20"/>
              </w:rPr>
              <w:t>unic</w:t>
            </w:r>
          </w:p>
        </w:tc>
        <w:tc>
          <w:tcPr>
            <w:tcW w:w="1491" w:type="dxa"/>
            <w:gridSpan w:val="2"/>
            <w:shd w:val="clear" w:color="auto" w:fill="BDD6EE" w:themeFill="accent1" w:themeFillTint="66"/>
          </w:tcPr>
          <w:p w:rsidR="000E184F" w:rsidRPr="0074426A" w:rsidRDefault="000E184F" w:rsidP="004D7A2D">
            <w:pPr>
              <w:pStyle w:val="a3"/>
              <w:ind w:left="0"/>
              <w:jc w:val="center"/>
              <w:rPr>
                <w:rFonts w:asciiTheme="majorHAnsi" w:hAnsiTheme="majorHAnsi" w:cstheme="majorHAnsi"/>
                <w:b/>
                <w:sz w:val="20"/>
                <w:szCs w:val="20"/>
              </w:rPr>
            </w:pPr>
            <w:r w:rsidRPr="0074426A">
              <w:rPr>
                <w:rFonts w:asciiTheme="majorHAnsi" w:hAnsiTheme="majorHAnsi" w:cstheme="majorHAnsi"/>
                <w:b/>
                <w:sz w:val="20"/>
                <w:szCs w:val="20"/>
              </w:rPr>
              <w:t>Folosinţă</w:t>
            </w:r>
          </w:p>
        </w:tc>
        <w:tc>
          <w:tcPr>
            <w:tcW w:w="5784" w:type="dxa"/>
            <w:shd w:val="clear" w:color="auto" w:fill="BDD6EE" w:themeFill="accent1" w:themeFillTint="66"/>
          </w:tcPr>
          <w:p w:rsidR="000E184F" w:rsidRPr="0074426A" w:rsidRDefault="000E184F" w:rsidP="004D7A2D">
            <w:pPr>
              <w:pStyle w:val="a3"/>
              <w:ind w:left="0"/>
              <w:jc w:val="center"/>
              <w:rPr>
                <w:rFonts w:asciiTheme="majorHAnsi" w:hAnsiTheme="majorHAnsi" w:cstheme="majorHAnsi"/>
                <w:b/>
                <w:sz w:val="20"/>
                <w:szCs w:val="20"/>
              </w:rPr>
            </w:pPr>
            <w:r w:rsidRPr="0074426A">
              <w:rPr>
                <w:rFonts w:asciiTheme="majorHAnsi" w:hAnsiTheme="majorHAnsi" w:cstheme="majorHAnsi"/>
                <w:b/>
                <w:sz w:val="20"/>
                <w:szCs w:val="20"/>
              </w:rPr>
              <w:t>Menţiuni</w:t>
            </w:r>
          </w:p>
        </w:tc>
      </w:tr>
      <w:tr w:rsidR="000E184F" w:rsidRPr="0074426A" w:rsidTr="0000070C">
        <w:trPr>
          <w:trHeight w:val="82"/>
        </w:trPr>
        <w:tc>
          <w:tcPr>
            <w:tcW w:w="9889" w:type="dxa"/>
            <w:gridSpan w:val="8"/>
          </w:tcPr>
          <w:p w:rsidR="000E184F" w:rsidRPr="0074426A" w:rsidRDefault="000E184F" w:rsidP="004D7A2D">
            <w:pPr>
              <w:pStyle w:val="a3"/>
              <w:ind w:left="0"/>
              <w:jc w:val="center"/>
              <w:rPr>
                <w:rFonts w:asciiTheme="majorHAnsi" w:hAnsiTheme="majorHAnsi" w:cstheme="majorHAnsi"/>
                <w:sz w:val="20"/>
                <w:szCs w:val="20"/>
              </w:rPr>
            </w:pPr>
          </w:p>
        </w:tc>
      </w:tr>
      <w:tr w:rsidR="000E184F" w:rsidRPr="0074426A" w:rsidTr="0000070C">
        <w:trPr>
          <w:trHeight w:val="382"/>
        </w:trPr>
        <w:tc>
          <w:tcPr>
            <w:tcW w:w="562" w:type="dxa"/>
          </w:tcPr>
          <w:p w:rsidR="000E184F" w:rsidRPr="0074426A" w:rsidRDefault="000E184F" w:rsidP="004D7A2D">
            <w:pPr>
              <w:pStyle w:val="a3"/>
              <w:ind w:left="0"/>
              <w:rPr>
                <w:rFonts w:asciiTheme="majorHAnsi" w:hAnsiTheme="majorHAnsi" w:cstheme="majorHAnsi"/>
                <w:sz w:val="20"/>
                <w:szCs w:val="20"/>
              </w:rPr>
            </w:pPr>
          </w:p>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2</w:t>
            </w:r>
          </w:p>
        </w:tc>
        <w:tc>
          <w:tcPr>
            <w:tcW w:w="1327" w:type="dxa"/>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 xml:space="preserve">Terenuri </w:t>
            </w:r>
          </w:p>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din intravilanul localităților</w:t>
            </w: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2.2</w:t>
            </w:r>
          </w:p>
        </w:tc>
        <w:tc>
          <w:tcPr>
            <w:tcW w:w="1491"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 xml:space="preserve">aferent obiectivelor gospodăriei comunale </w:t>
            </w:r>
          </w:p>
        </w:tc>
        <w:tc>
          <w:tcPr>
            <w:tcW w:w="5812" w:type="dxa"/>
            <w:gridSpan w:val="2"/>
          </w:tcPr>
          <w:p w:rsidR="000E184F" w:rsidRPr="0074426A" w:rsidRDefault="000E184F" w:rsidP="004D7A2D">
            <w:pPr>
              <w:pStyle w:val="a3"/>
              <w:ind w:left="0"/>
              <w:jc w:val="both"/>
              <w:rPr>
                <w:rFonts w:asciiTheme="majorHAnsi" w:hAnsiTheme="majorHAnsi" w:cstheme="majorHAnsi"/>
                <w:sz w:val="20"/>
                <w:szCs w:val="20"/>
                <w:lang w:val="en-US"/>
              </w:rPr>
            </w:pPr>
            <w:r w:rsidRPr="0074426A">
              <w:rPr>
                <w:rFonts w:asciiTheme="majorHAnsi" w:hAnsiTheme="majorHAnsi" w:cstheme="majorHAnsi"/>
                <w:sz w:val="20"/>
                <w:szCs w:val="20"/>
                <w:lang w:val="en-US"/>
              </w:rPr>
              <w:t>cimitir, sta</w:t>
            </w:r>
            <w:r w:rsidR="0032712D" w:rsidRPr="0074426A">
              <w:rPr>
                <w:rFonts w:asciiTheme="majorHAnsi" w:hAnsiTheme="majorHAnsi" w:cstheme="majorHAnsi"/>
                <w:sz w:val="20"/>
                <w:szCs w:val="20"/>
                <w:lang w:val="en-US"/>
              </w:rPr>
              <w:t>ț</w:t>
            </w:r>
            <w:r w:rsidRPr="0074426A">
              <w:rPr>
                <w:rFonts w:asciiTheme="majorHAnsi" w:hAnsiTheme="majorHAnsi" w:cstheme="majorHAnsi"/>
                <w:sz w:val="20"/>
                <w:szCs w:val="20"/>
                <w:lang w:val="en-US"/>
              </w:rPr>
              <w:t xml:space="preserve">ii de alimentare cu apă potabilă şi industrială,  </w:t>
            </w:r>
            <w:r w:rsidRPr="0074426A">
              <w:rPr>
                <w:rFonts w:asciiTheme="majorHAnsi" w:hAnsiTheme="majorHAnsi" w:cstheme="majorHAnsi"/>
                <w:sz w:val="20"/>
                <w:szCs w:val="20"/>
                <w:shd w:val="clear" w:color="auto" w:fill="FFFFFF"/>
                <w:lang w:val="en-US"/>
              </w:rPr>
              <w:t>canalizare şi epurare a apelor uzate menajere şi pluviale</w:t>
            </w:r>
            <w:r w:rsidRPr="0074426A">
              <w:rPr>
                <w:rFonts w:asciiTheme="majorHAnsi" w:hAnsiTheme="majorHAnsi" w:cstheme="majorHAnsi"/>
                <w:sz w:val="20"/>
                <w:szCs w:val="20"/>
                <w:lang w:val="en-US"/>
              </w:rPr>
              <w:t>, depozite de de</w:t>
            </w:r>
            <w:r w:rsidR="0032712D" w:rsidRPr="0074426A">
              <w:rPr>
                <w:rFonts w:asciiTheme="majorHAnsi" w:hAnsiTheme="majorHAnsi" w:cstheme="majorHAnsi"/>
                <w:sz w:val="20"/>
                <w:szCs w:val="20"/>
                <w:lang w:val="en-US"/>
              </w:rPr>
              <w:t>ș</w:t>
            </w:r>
            <w:r w:rsidRPr="0074426A">
              <w:rPr>
                <w:rFonts w:asciiTheme="majorHAnsi" w:hAnsiTheme="majorHAnsi" w:cstheme="majorHAnsi"/>
                <w:sz w:val="20"/>
                <w:szCs w:val="20"/>
                <w:lang w:val="en-US"/>
              </w:rPr>
              <w:t>euri mena</w:t>
            </w:r>
            <w:r w:rsidR="0032712D" w:rsidRPr="0074426A">
              <w:rPr>
                <w:rFonts w:asciiTheme="majorHAnsi" w:hAnsiTheme="majorHAnsi" w:cstheme="majorHAnsi"/>
                <w:sz w:val="20"/>
                <w:szCs w:val="20"/>
                <w:lang w:val="en-US"/>
              </w:rPr>
              <w:t>j</w:t>
            </w:r>
            <w:r w:rsidRPr="0074426A">
              <w:rPr>
                <w:rFonts w:asciiTheme="majorHAnsi" w:hAnsiTheme="majorHAnsi" w:cstheme="majorHAnsi"/>
                <w:sz w:val="20"/>
                <w:szCs w:val="20"/>
                <w:lang w:val="en-US"/>
              </w:rPr>
              <w:t>ere, puncte de termoficare, cazangerii, stații de pompare a apelor, f</w:t>
            </w:r>
            <w:r w:rsidR="0032712D" w:rsidRPr="0074426A">
              <w:rPr>
                <w:rFonts w:asciiTheme="majorHAnsi" w:hAnsiTheme="majorHAnsi" w:cstheme="majorHAnsi"/>
                <w:sz w:val="20"/>
                <w:szCs w:val="20"/>
                <w:lang w:val="en-US"/>
              </w:rPr>
              <w:t>â</w:t>
            </w:r>
            <w:r w:rsidRPr="0074426A">
              <w:rPr>
                <w:rFonts w:asciiTheme="majorHAnsi" w:hAnsiTheme="majorHAnsi" w:cstheme="majorHAnsi"/>
                <w:sz w:val="20"/>
                <w:szCs w:val="20"/>
                <w:lang w:val="en-US"/>
              </w:rPr>
              <w:t>nt</w:t>
            </w:r>
            <w:r w:rsidR="0032712D" w:rsidRPr="0074426A">
              <w:rPr>
                <w:rFonts w:asciiTheme="majorHAnsi" w:hAnsiTheme="majorHAnsi" w:cstheme="majorHAnsi"/>
                <w:sz w:val="20"/>
                <w:szCs w:val="20"/>
                <w:lang w:val="en-US"/>
              </w:rPr>
              <w:t>â</w:t>
            </w:r>
            <w:r w:rsidRPr="0074426A">
              <w:rPr>
                <w:rFonts w:asciiTheme="majorHAnsi" w:hAnsiTheme="majorHAnsi" w:cstheme="majorHAnsi"/>
                <w:sz w:val="20"/>
                <w:szCs w:val="20"/>
                <w:lang w:val="en-US"/>
              </w:rPr>
              <w:t xml:space="preserve">ni arteziene, prize şi captaje de apă etc. </w:t>
            </w:r>
          </w:p>
        </w:tc>
      </w:tr>
      <w:tr w:rsidR="000E184F" w:rsidRPr="0074426A" w:rsidTr="0000070C">
        <w:trPr>
          <w:trHeight w:val="117"/>
        </w:trPr>
        <w:tc>
          <w:tcPr>
            <w:tcW w:w="9889" w:type="dxa"/>
            <w:gridSpan w:val="8"/>
          </w:tcPr>
          <w:p w:rsidR="000E184F" w:rsidRPr="0074426A" w:rsidRDefault="000E184F" w:rsidP="004D7A2D">
            <w:pPr>
              <w:pStyle w:val="a3"/>
              <w:ind w:left="0"/>
              <w:rPr>
                <w:rFonts w:asciiTheme="majorHAnsi" w:hAnsiTheme="majorHAnsi" w:cstheme="majorHAnsi"/>
                <w:sz w:val="20"/>
                <w:szCs w:val="20"/>
                <w:lang w:val="en-US"/>
              </w:rPr>
            </w:pPr>
          </w:p>
        </w:tc>
      </w:tr>
      <w:tr w:rsidR="000E184F" w:rsidRPr="0074426A" w:rsidTr="0000070C">
        <w:trPr>
          <w:trHeight w:val="894"/>
        </w:trPr>
        <w:tc>
          <w:tcPr>
            <w:tcW w:w="562" w:type="dxa"/>
            <w:vMerge w:val="restart"/>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w:t>
            </w:r>
          </w:p>
        </w:tc>
        <w:tc>
          <w:tcPr>
            <w:tcW w:w="1327" w:type="dxa"/>
            <w:vMerge w:val="restart"/>
          </w:tcPr>
          <w:p w:rsidR="000E184F" w:rsidRPr="0074426A" w:rsidRDefault="000E184F" w:rsidP="004D7A2D">
            <w:pPr>
              <w:pStyle w:val="a3"/>
              <w:ind w:left="0"/>
              <w:rPr>
                <w:rFonts w:asciiTheme="majorHAnsi" w:hAnsiTheme="majorHAnsi" w:cstheme="majorHAnsi"/>
                <w:sz w:val="20"/>
                <w:szCs w:val="20"/>
                <w:lang w:val="en-US"/>
              </w:rPr>
            </w:pPr>
            <w:r w:rsidRPr="0074426A">
              <w:rPr>
                <w:rFonts w:asciiTheme="majorHAnsi" w:hAnsiTheme="majorHAnsi" w:cstheme="majorHAnsi"/>
                <w:sz w:val="20"/>
                <w:szCs w:val="20"/>
                <w:shd w:val="clear" w:color="auto" w:fill="FFFFFF"/>
                <w:lang w:val="en-US"/>
              </w:rPr>
              <w:t>Terenuri destinate industriei, transporturilor</w:t>
            </w:r>
            <w:r w:rsidR="0032712D" w:rsidRPr="0074426A">
              <w:rPr>
                <w:rFonts w:asciiTheme="majorHAnsi" w:hAnsiTheme="majorHAnsi" w:cstheme="majorHAnsi"/>
                <w:sz w:val="20"/>
                <w:szCs w:val="20"/>
                <w:shd w:val="clear" w:color="auto" w:fill="FFFFFF"/>
                <w:lang w:val="en-US"/>
              </w:rPr>
              <w:t>,</w:t>
            </w:r>
            <w:r w:rsidRPr="0074426A">
              <w:rPr>
                <w:rFonts w:asciiTheme="majorHAnsi" w:hAnsiTheme="majorHAnsi" w:cstheme="majorHAnsi"/>
                <w:sz w:val="20"/>
                <w:szCs w:val="20"/>
                <w:shd w:val="clear" w:color="auto" w:fill="FFFFFF"/>
                <w:lang w:val="en-US"/>
              </w:rPr>
              <w:t xml:space="preserve"> telecomunicaţiilor şi cu alte destinaţii speciale</w:t>
            </w: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3.1</w:t>
            </w:r>
          </w:p>
        </w:tc>
        <w:tc>
          <w:tcPr>
            <w:tcW w:w="1491" w:type="dxa"/>
            <w:gridSpan w:val="2"/>
          </w:tcPr>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 xml:space="preserve">aferent drumurilor </w:t>
            </w:r>
          </w:p>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publice din extravilan</w:t>
            </w:r>
          </w:p>
        </w:tc>
        <w:tc>
          <w:tcPr>
            <w:tcW w:w="5812" w:type="dxa"/>
            <w:gridSpan w:val="2"/>
          </w:tcPr>
          <w:p w:rsidR="000E184F" w:rsidRPr="0074426A" w:rsidRDefault="000E184F" w:rsidP="004D7A2D">
            <w:pPr>
              <w:pStyle w:val="a3"/>
              <w:ind w:left="0"/>
              <w:jc w:val="both"/>
              <w:rPr>
                <w:rFonts w:asciiTheme="majorHAnsi" w:hAnsiTheme="majorHAnsi" w:cstheme="majorHAnsi"/>
                <w:sz w:val="20"/>
                <w:szCs w:val="20"/>
                <w:lang w:val="en-US"/>
              </w:rPr>
            </w:pPr>
            <w:r w:rsidRPr="0074426A">
              <w:rPr>
                <w:rFonts w:asciiTheme="majorHAnsi" w:hAnsiTheme="majorHAnsi" w:cstheme="majorHAnsi"/>
                <w:sz w:val="20"/>
                <w:szCs w:val="20"/>
                <w:lang w:val="en-US" w:eastAsia="ro-RO"/>
              </w:rPr>
              <w:t>teren ocupat de elemente constructive ale drumului - partea carosabilă, trotuare, piste pentru ciclişti, acostamente, şanţuri</w:t>
            </w:r>
            <w:r w:rsidR="0032712D" w:rsidRPr="0074426A">
              <w:rPr>
                <w:rFonts w:asciiTheme="majorHAnsi" w:hAnsiTheme="majorHAnsi" w:cstheme="majorHAnsi"/>
                <w:sz w:val="20"/>
                <w:szCs w:val="20"/>
                <w:lang w:val="en-US" w:eastAsia="ro-RO"/>
              </w:rPr>
              <w:t>,</w:t>
            </w:r>
            <w:r w:rsidRPr="0074426A">
              <w:rPr>
                <w:rFonts w:asciiTheme="majorHAnsi" w:hAnsiTheme="majorHAnsi" w:cstheme="majorHAnsi"/>
                <w:sz w:val="20"/>
                <w:szCs w:val="20"/>
                <w:lang w:val="en-US" w:eastAsia="ro-RO"/>
              </w:rPr>
              <w:t xml:space="preserve"> rigole, taluzu</w:t>
            </w:r>
            <w:r w:rsidR="00CF51F9" w:rsidRPr="0074426A">
              <w:rPr>
                <w:rFonts w:asciiTheme="majorHAnsi" w:hAnsiTheme="majorHAnsi" w:cstheme="majorHAnsi"/>
                <w:sz w:val="20"/>
                <w:szCs w:val="20"/>
                <w:lang w:val="en-US" w:eastAsia="ro-RO"/>
              </w:rPr>
              <w:t>ri</w:t>
            </w:r>
            <w:r w:rsidRPr="0074426A">
              <w:rPr>
                <w:rFonts w:asciiTheme="majorHAnsi" w:hAnsiTheme="majorHAnsi" w:cstheme="majorHAnsi"/>
                <w:sz w:val="20"/>
                <w:szCs w:val="20"/>
                <w:lang w:val="en-US" w:eastAsia="ro-RO"/>
              </w:rPr>
              <w:t>, şanţuri de gardă, pavilioane pentru pasageri, parcaje şi platforme pentru staţionarea mijloacelor de transport, ziduri de sprijin şi alte lucrări de artă, destinate semnalizării rutiere, plantaţiilor rutiere, altor scopuri legate de întreţinerea în condiţii de siguranţă a circulaţiei</w:t>
            </w:r>
          </w:p>
        </w:tc>
      </w:tr>
      <w:tr w:rsidR="000E184F" w:rsidRPr="0074426A" w:rsidTr="0000070C">
        <w:trPr>
          <w:trHeight w:val="1204"/>
        </w:trPr>
        <w:tc>
          <w:tcPr>
            <w:tcW w:w="562" w:type="dxa"/>
            <w:vMerge/>
          </w:tcPr>
          <w:p w:rsidR="000E184F" w:rsidRPr="0074426A" w:rsidRDefault="000E184F" w:rsidP="004D7A2D">
            <w:pPr>
              <w:pStyle w:val="a3"/>
              <w:ind w:left="0"/>
              <w:rPr>
                <w:rFonts w:asciiTheme="majorHAnsi" w:hAnsiTheme="majorHAnsi" w:cstheme="majorHAnsi"/>
                <w:sz w:val="20"/>
                <w:szCs w:val="20"/>
                <w:lang w:val="en-US"/>
              </w:rPr>
            </w:pPr>
          </w:p>
        </w:tc>
        <w:tc>
          <w:tcPr>
            <w:tcW w:w="1327" w:type="dxa"/>
            <w:vMerge/>
          </w:tcPr>
          <w:p w:rsidR="000E184F" w:rsidRPr="0074426A" w:rsidRDefault="000E184F" w:rsidP="004D7A2D">
            <w:pPr>
              <w:pStyle w:val="a3"/>
              <w:ind w:left="0"/>
              <w:rPr>
                <w:rFonts w:asciiTheme="majorHAnsi" w:hAnsiTheme="majorHAnsi" w:cstheme="majorHAnsi"/>
                <w:sz w:val="20"/>
                <w:szCs w:val="20"/>
                <w:lang w:val="en-US"/>
              </w:rPr>
            </w:pP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3.2</w:t>
            </w:r>
          </w:p>
        </w:tc>
        <w:tc>
          <w:tcPr>
            <w:tcW w:w="1491" w:type="dxa"/>
            <w:gridSpan w:val="2"/>
          </w:tcPr>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 xml:space="preserve">aferent obiectivelor  transportului </w:t>
            </w:r>
          </w:p>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feroviar</w:t>
            </w:r>
          </w:p>
        </w:tc>
        <w:tc>
          <w:tcPr>
            <w:tcW w:w="5812" w:type="dxa"/>
            <w:gridSpan w:val="2"/>
          </w:tcPr>
          <w:p w:rsidR="000E184F" w:rsidRPr="0074426A" w:rsidRDefault="000E184F" w:rsidP="004D7A2D">
            <w:pPr>
              <w:pStyle w:val="a3"/>
              <w:ind w:left="0"/>
              <w:jc w:val="both"/>
              <w:rPr>
                <w:rFonts w:asciiTheme="majorHAnsi" w:hAnsiTheme="majorHAnsi" w:cstheme="majorHAnsi"/>
                <w:sz w:val="20"/>
                <w:szCs w:val="20"/>
                <w:lang w:val="en-US"/>
              </w:rPr>
            </w:pPr>
            <w:r w:rsidRPr="0074426A">
              <w:rPr>
                <w:rFonts w:asciiTheme="majorHAnsi" w:hAnsiTheme="majorHAnsi" w:cstheme="majorHAnsi"/>
                <w:sz w:val="20"/>
                <w:szCs w:val="20"/>
                <w:lang w:val="en-US" w:eastAsia="ro-RO"/>
              </w:rPr>
              <w:t>teren ocupat de liniile şi staţiile de cale ferată, plantaţiile forestiere de protecţie şi consolidare, construcţiile şi edificiile aferente, terasament, poduri, tuneluri, viaducte, instalaţii de semnalizare, instalaţii de telecomunicaţii feroviare, clădiri tehnice de serviciu, căi ferate de acces, construcţiile şi edificiile gospodăriilor energetice, de locomotive, de vagoane, de întreţinere a căii ferate, de aprovizionare cu apă şi canalizare, obiectele de semnalizare şi telecomunicaţii, clădiri administrative, locative, social-culturale şi alte edificii cu destinaţie specială pentru deservirea transportului feroviar, care sunt amplasate în zona de exploatarea a acesteia</w:t>
            </w:r>
          </w:p>
        </w:tc>
      </w:tr>
      <w:tr w:rsidR="000E184F" w:rsidRPr="0074426A" w:rsidTr="0000070C">
        <w:trPr>
          <w:trHeight w:val="726"/>
        </w:trPr>
        <w:tc>
          <w:tcPr>
            <w:tcW w:w="562" w:type="dxa"/>
            <w:vMerge/>
          </w:tcPr>
          <w:p w:rsidR="000E184F" w:rsidRPr="0074426A" w:rsidRDefault="000E184F" w:rsidP="004D7A2D">
            <w:pPr>
              <w:pStyle w:val="a3"/>
              <w:ind w:left="0"/>
              <w:rPr>
                <w:rFonts w:asciiTheme="majorHAnsi" w:hAnsiTheme="majorHAnsi" w:cstheme="majorHAnsi"/>
                <w:sz w:val="20"/>
                <w:szCs w:val="20"/>
                <w:lang w:val="en-US"/>
              </w:rPr>
            </w:pPr>
          </w:p>
        </w:tc>
        <w:tc>
          <w:tcPr>
            <w:tcW w:w="1327" w:type="dxa"/>
            <w:vMerge/>
          </w:tcPr>
          <w:p w:rsidR="000E184F" w:rsidRPr="0074426A" w:rsidRDefault="000E184F" w:rsidP="004D7A2D">
            <w:pPr>
              <w:pStyle w:val="a3"/>
              <w:ind w:left="0"/>
              <w:rPr>
                <w:rFonts w:asciiTheme="majorHAnsi" w:hAnsiTheme="majorHAnsi" w:cstheme="majorHAnsi"/>
                <w:sz w:val="20"/>
                <w:szCs w:val="20"/>
                <w:lang w:val="en-US"/>
              </w:rPr>
            </w:pP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3.3</w:t>
            </w:r>
          </w:p>
        </w:tc>
        <w:tc>
          <w:tcPr>
            <w:tcW w:w="1491" w:type="dxa"/>
            <w:gridSpan w:val="2"/>
          </w:tcPr>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aferent obiectivelor  transportului</w:t>
            </w:r>
          </w:p>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aerian</w:t>
            </w:r>
          </w:p>
        </w:tc>
        <w:tc>
          <w:tcPr>
            <w:tcW w:w="5812" w:type="dxa"/>
            <w:gridSpan w:val="2"/>
          </w:tcPr>
          <w:p w:rsidR="000E184F" w:rsidRPr="0074426A" w:rsidRDefault="000E184F" w:rsidP="004D7A2D">
            <w:pPr>
              <w:autoSpaceDE w:val="0"/>
              <w:autoSpaceDN w:val="0"/>
              <w:adjustRightInd w:val="0"/>
              <w:jc w:val="both"/>
              <w:rPr>
                <w:rFonts w:asciiTheme="majorHAnsi" w:hAnsiTheme="majorHAnsi" w:cstheme="majorHAnsi"/>
                <w:b w:val="0"/>
                <w:sz w:val="20"/>
                <w:szCs w:val="20"/>
              </w:rPr>
            </w:pPr>
            <w:r w:rsidRPr="0074426A">
              <w:rPr>
                <w:rFonts w:asciiTheme="majorHAnsi" w:hAnsiTheme="majorHAnsi" w:cstheme="majorHAnsi"/>
                <w:b w:val="0"/>
                <w:sz w:val="20"/>
                <w:szCs w:val="20"/>
                <w:lang w:eastAsia="ro-RO"/>
              </w:rPr>
              <w:t>teren ocupat de aeroporturi, aerodromuri, instalaţii inginereşti (obiectele de dirijare a transportului aerian, de radionavigaţie şi aterizare), obiectele serviciului tehnic, obiective de întreţinere şi de deservire a aeronavelor, obiective de serviciu care asigură funcţionarea transportului aerian</w:t>
            </w:r>
          </w:p>
        </w:tc>
      </w:tr>
      <w:tr w:rsidR="000E184F" w:rsidRPr="0074426A" w:rsidTr="0000070C">
        <w:trPr>
          <w:trHeight w:val="1204"/>
        </w:trPr>
        <w:tc>
          <w:tcPr>
            <w:tcW w:w="562" w:type="dxa"/>
            <w:vMerge/>
          </w:tcPr>
          <w:p w:rsidR="000E184F" w:rsidRPr="0074426A" w:rsidRDefault="000E184F" w:rsidP="004D7A2D">
            <w:pPr>
              <w:pStyle w:val="a3"/>
              <w:ind w:left="0"/>
              <w:rPr>
                <w:rFonts w:asciiTheme="majorHAnsi" w:hAnsiTheme="majorHAnsi" w:cstheme="majorHAnsi"/>
                <w:sz w:val="20"/>
                <w:szCs w:val="20"/>
                <w:lang w:val="en-US"/>
              </w:rPr>
            </w:pPr>
          </w:p>
        </w:tc>
        <w:tc>
          <w:tcPr>
            <w:tcW w:w="1327" w:type="dxa"/>
            <w:vMerge/>
          </w:tcPr>
          <w:p w:rsidR="000E184F" w:rsidRPr="0074426A" w:rsidRDefault="000E184F" w:rsidP="004D7A2D">
            <w:pPr>
              <w:pStyle w:val="a3"/>
              <w:ind w:left="0"/>
              <w:rPr>
                <w:rFonts w:asciiTheme="majorHAnsi" w:hAnsiTheme="majorHAnsi" w:cstheme="majorHAnsi"/>
                <w:sz w:val="20"/>
                <w:szCs w:val="20"/>
                <w:lang w:val="en-US"/>
              </w:rPr>
            </w:pP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3.4</w:t>
            </w:r>
          </w:p>
        </w:tc>
        <w:tc>
          <w:tcPr>
            <w:tcW w:w="1491" w:type="dxa"/>
            <w:gridSpan w:val="2"/>
          </w:tcPr>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 xml:space="preserve">aferent obiectivelor  transportului </w:t>
            </w:r>
          </w:p>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naval</w:t>
            </w:r>
          </w:p>
        </w:tc>
        <w:tc>
          <w:tcPr>
            <w:tcW w:w="5812" w:type="dxa"/>
            <w:gridSpan w:val="2"/>
          </w:tcPr>
          <w:p w:rsidR="000E184F" w:rsidRPr="0074426A" w:rsidRDefault="000E184F" w:rsidP="004D7A2D">
            <w:pPr>
              <w:autoSpaceDE w:val="0"/>
              <w:autoSpaceDN w:val="0"/>
              <w:adjustRightInd w:val="0"/>
              <w:jc w:val="both"/>
              <w:rPr>
                <w:rFonts w:asciiTheme="majorHAnsi" w:hAnsiTheme="majorHAnsi" w:cstheme="majorHAnsi"/>
                <w:b w:val="0"/>
                <w:sz w:val="20"/>
                <w:szCs w:val="20"/>
              </w:rPr>
            </w:pPr>
            <w:r w:rsidRPr="0074426A">
              <w:rPr>
                <w:rFonts w:asciiTheme="majorHAnsi" w:hAnsiTheme="majorHAnsi" w:cstheme="majorHAnsi"/>
                <w:b w:val="0"/>
                <w:sz w:val="20"/>
                <w:szCs w:val="20"/>
                <w:lang w:eastAsia="ro-RO"/>
              </w:rPr>
              <w:t>teren ocupat de porturi, acostări specializate, debarcadere împreună cu toate instalaţiile şi amenajările, construcţiile ce deservesc transportul fluvial, gările fluviale, pavilioanele,  instalaţiile inginereşti, construcţiile serviciului tehnic, centrele de legătură (tele-, radio- etc</w:t>
            </w:r>
            <w:r w:rsidR="00CF51F9" w:rsidRPr="0074426A">
              <w:rPr>
                <w:rFonts w:asciiTheme="majorHAnsi" w:hAnsiTheme="majorHAnsi" w:cstheme="majorHAnsi"/>
                <w:b w:val="0"/>
                <w:sz w:val="20"/>
                <w:szCs w:val="20"/>
                <w:lang w:eastAsia="ro-RO"/>
              </w:rPr>
              <w:t>.</w:t>
            </w:r>
            <w:r w:rsidRPr="0074426A">
              <w:rPr>
                <w:rFonts w:asciiTheme="majorHAnsi" w:hAnsiTheme="majorHAnsi" w:cstheme="majorHAnsi"/>
                <w:b w:val="0"/>
                <w:sz w:val="20"/>
                <w:szCs w:val="20"/>
                <w:lang w:eastAsia="ro-RO"/>
              </w:rPr>
              <w:t>), construcţiile şi semnele de navigare de pe maluri şi alte instalaţii destinate deservirii traseelor pe apă, centrele de reparaţie-exploatare, depozitele, bazele tehnico-materiale, construcţiile social-culturale, alte obiecte necesare funcţionării normale a transportului fluvial</w:t>
            </w:r>
          </w:p>
        </w:tc>
      </w:tr>
      <w:tr w:rsidR="000E184F" w:rsidRPr="0074426A" w:rsidTr="0000070C">
        <w:trPr>
          <w:trHeight w:val="143"/>
        </w:trPr>
        <w:tc>
          <w:tcPr>
            <w:tcW w:w="562" w:type="dxa"/>
            <w:vMerge/>
          </w:tcPr>
          <w:p w:rsidR="000E184F" w:rsidRPr="0074426A" w:rsidRDefault="000E184F" w:rsidP="004D7A2D">
            <w:pPr>
              <w:pStyle w:val="a3"/>
              <w:ind w:left="0"/>
              <w:rPr>
                <w:rFonts w:asciiTheme="majorHAnsi" w:hAnsiTheme="majorHAnsi" w:cstheme="majorHAnsi"/>
                <w:sz w:val="20"/>
                <w:szCs w:val="20"/>
                <w:lang w:val="en-US"/>
              </w:rPr>
            </w:pPr>
          </w:p>
        </w:tc>
        <w:tc>
          <w:tcPr>
            <w:tcW w:w="1327" w:type="dxa"/>
            <w:vMerge/>
          </w:tcPr>
          <w:p w:rsidR="000E184F" w:rsidRPr="0074426A" w:rsidRDefault="000E184F" w:rsidP="004D7A2D">
            <w:pPr>
              <w:pStyle w:val="a3"/>
              <w:ind w:left="0"/>
              <w:rPr>
                <w:rFonts w:asciiTheme="majorHAnsi" w:hAnsiTheme="majorHAnsi" w:cstheme="majorHAnsi"/>
                <w:sz w:val="20"/>
                <w:szCs w:val="20"/>
                <w:lang w:val="en-US"/>
              </w:rPr>
            </w:pP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3.5</w:t>
            </w:r>
          </w:p>
        </w:tc>
        <w:tc>
          <w:tcPr>
            <w:tcW w:w="1491" w:type="dxa"/>
            <w:gridSpan w:val="2"/>
          </w:tcPr>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 xml:space="preserve">aferent obiectivelor  transportului </w:t>
            </w:r>
          </w:p>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 xml:space="preserve">prin conducte </w:t>
            </w:r>
          </w:p>
        </w:tc>
        <w:tc>
          <w:tcPr>
            <w:tcW w:w="5812" w:type="dxa"/>
            <w:gridSpan w:val="2"/>
          </w:tcPr>
          <w:p w:rsidR="000E184F" w:rsidRPr="0074426A" w:rsidRDefault="000E184F" w:rsidP="004D7A2D">
            <w:pPr>
              <w:autoSpaceDE w:val="0"/>
              <w:autoSpaceDN w:val="0"/>
              <w:adjustRightInd w:val="0"/>
              <w:jc w:val="both"/>
              <w:rPr>
                <w:rFonts w:asciiTheme="majorHAnsi" w:hAnsiTheme="majorHAnsi" w:cstheme="majorHAnsi"/>
                <w:b w:val="0"/>
                <w:sz w:val="20"/>
                <w:szCs w:val="20"/>
                <w:lang w:eastAsia="ro-RO"/>
              </w:rPr>
            </w:pPr>
            <w:r w:rsidRPr="0074426A">
              <w:rPr>
                <w:rFonts w:asciiTheme="majorHAnsi" w:hAnsiTheme="majorHAnsi" w:cstheme="majorHAnsi"/>
                <w:b w:val="0"/>
                <w:sz w:val="20"/>
                <w:szCs w:val="20"/>
                <w:lang w:eastAsia="ro-RO"/>
              </w:rPr>
              <w:t xml:space="preserve">teren ocupat de: </w:t>
            </w:r>
            <w:r w:rsidRPr="0074426A">
              <w:rPr>
                <w:rFonts w:asciiTheme="majorHAnsi" w:hAnsiTheme="majorHAnsi" w:cstheme="majorHAnsi"/>
                <w:b w:val="0"/>
                <w:sz w:val="20"/>
                <w:szCs w:val="20"/>
              </w:rPr>
              <w:t xml:space="preserve">conducte magistrale terestre şi subterane, instalaţii terestre de </w:t>
            </w:r>
            <w:r w:rsidRPr="0074426A">
              <w:rPr>
                <w:rFonts w:asciiTheme="majorHAnsi" w:hAnsiTheme="majorHAnsi" w:cstheme="majorHAnsi"/>
                <w:b w:val="0"/>
                <w:sz w:val="20"/>
                <w:szCs w:val="20"/>
                <w:lang w:eastAsia="ro-RO"/>
              </w:rPr>
              <w:t xml:space="preserve">automatică şi telemecanică, </w:t>
            </w:r>
            <w:r w:rsidRPr="0074426A">
              <w:rPr>
                <w:rFonts w:asciiTheme="majorHAnsi" w:hAnsiTheme="majorHAnsi" w:cstheme="majorHAnsi"/>
                <w:b w:val="0"/>
                <w:sz w:val="20"/>
                <w:szCs w:val="20"/>
              </w:rPr>
              <w:t xml:space="preserve">aprovizionare cu </w:t>
            </w:r>
            <w:r w:rsidRPr="0074426A">
              <w:rPr>
                <w:rFonts w:asciiTheme="majorHAnsi" w:hAnsiTheme="majorHAnsi" w:cstheme="majorHAnsi"/>
                <w:b w:val="0"/>
                <w:sz w:val="20"/>
                <w:szCs w:val="20"/>
                <w:lang w:eastAsia="ro-RO"/>
              </w:rPr>
              <w:t>energie, mijloace antiincendiare, instalaţii antierozionale şi de protecţie, reţele de comunicaţii electronice şi/ sau infrastructura  asociată  acestor  reţele;</w:t>
            </w:r>
          </w:p>
          <w:p w:rsidR="000E184F" w:rsidRPr="0074426A" w:rsidRDefault="000E184F" w:rsidP="004D7A2D">
            <w:pPr>
              <w:autoSpaceDE w:val="0"/>
              <w:autoSpaceDN w:val="0"/>
              <w:adjustRightInd w:val="0"/>
              <w:jc w:val="both"/>
              <w:rPr>
                <w:rFonts w:asciiTheme="majorHAnsi" w:hAnsiTheme="majorHAnsi" w:cstheme="majorHAnsi"/>
                <w:b w:val="0"/>
                <w:sz w:val="20"/>
                <w:szCs w:val="20"/>
                <w:lang w:eastAsia="ro-RO"/>
              </w:rPr>
            </w:pPr>
            <w:r w:rsidRPr="0074426A">
              <w:rPr>
                <w:rFonts w:asciiTheme="majorHAnsi" w:hAnsiTheme="majorHAnsi" w:cstheme="majorHAnsi"/>
                <w:b w:val="0"/>
                <w:sz w:val="20"/>
                <w:szCs w:val="20"/>
                <w:lang w:eastAsia="ro-RO"/>
              </w:rPr>
              <w:t>- recipiente şi rezervoare pentru păstrarea şi decondensarea gazului, hambare de păm</w:t>
            </w:r>
            <w:r w:rsidR="00CF51F9" w:rsidRPr="0074426A">
              <w:rPr>
                <w:rFonts w:asciiTheme="majorHAnsi" w:hAnsiTheme="majorHAnsi" w:cstheme="majorHAnsi"/>
                <w:b w:val="0"/>
                <w:sz w:val="20"/>
                <w:szCs w:val="20"/>
                <w:lang w:eastAsia="ro-RO"/>
              </w:rPr>
              <w:t>â</w:t>
            </w:r>
            <w:r w:rsidRPr="0074426A">
              <w:rPr>
                <w:rFonts w:asciiTheme="majorHAnsi" w:hAnsiTheme="majorHAnsi" w:cstheme="majorHAnsi"/>
                <w:b w:val="0"/>
                <w:sz w:val="20"/>
                <w:szCs w:val="20"/>
                <w:lang w:eastAsia="ro-RO"/>
              </w:rPr>
              <w:t>nt pentru evacuarea petrolului şi produselor petroliere în caz de avarie, instalaţi</w:t>
            </w:r>
            <w:r w:rsidR="00CF51F9" w:rsidRPr="0074426A">
              <w:rPr>
                <w:rFonts w:asciiTheme="majorHAnsi" w:hAnsiTheme="majorHAnsi" w:cstheme="majorHAnsi"/>
                <w:b w:val="0"/>
                <w:sz w:val="20"/>
                <w:szCs w:val="20"/>
                <w:lang w:eastAsia="ro-RO"/>
              </w:rPr>
              <w:t>i</w:t>
            </w:r>
            <w:r w:rsidRPr="0074426A">
              <w:rPr>
                <w:rFonts w:asciiTheme="majorHAnsi" w:hAnsiTheme="majorHAnsi" w:cstheme="majorHAnsi"/>
                <w:b w:val="0"/>
                <w:sz w:val="20"/>
                <w:szCs w:val="20"/>
                <w:lang w:eastAsia="ro-RO"/>
              </w:rPr>
              <w:t xml:space="preserve"> ale serviciului liniar de exploatare;</w:t>
            </w:r>
          </w:p>
          <w:p w:rsidR="00CF51F9" w:rsidRPr="0074426A" w:rsidRDefault="000E184F" w:rsidP="004D7A2D">
            <w:pPr>
              <w:autoSpaceDE w:val="0"/>
              <w:autoSpaceDN w:val="0"/>
              <w:adjustRightInd w:val="0"/>
              <w:jc w:val="both"/>
              <w:rPr>
                <w:rFonts w:asciiTheme="majorHAnsi" w:hAnsiTheme="majorHAnsi" w:cstheme="majorHAnsi"/>
                <w:b w:val="0"/>
                <w:sz w:val="20"/>
                <w:szCs w:val="20"/>
                <w:lang w:eastAsia="ro-RO"/>
              </w:rPr>
            </w:pPr>
            <w:r w:rsidRPr="0074426A">
              <w:rPr>
                <w:rFonts w:asciiTheme="majorHAnsi" w:hAnsiTheme="majorHAnsi" w:cstheme="majorHAnsi"/>
                <w:b w:val="0"/>
                <w:sz w:val="20"/>
                <w:szCs w:val="20"/>
                <w:lang w:eastAsia="ro-RO"/>
              </w:rPr>
              <w:t xml:space="preserve">- drumuri permanente, platforme pentru elicoptere, plasate în lungul traseelor conductelor; </w:t>
            </w:r>
          </w:p>
          <w:p w:rsidR="000E184F" w:rsidRPr="0074426A" w:rsidRDefault="000E184F" w:rsidP="004D7A2D">
            <w:pPr>
              <w:autoSpaceDE w:val="0"/>
              <w:autoSpaceDN w:val="0"/>
              <w:adjustRightInd w:val="0"/>
              <w:jc w:val="both"/>
              <w:rPr>
                <w:rFonts w:asciiTheme="majorHAnsi" w:hAnsiTheme="majorHAnsi" w:cstheme="majorHAnsi"/>
                <w:b w:val="0"/>
                <w:sz w:val="20"/>
                <w:szCs w:val="20"/>
                <w:lang w:eastAsia="ro-RO"/>
              </w:rPr>
            </w:pPr>
            <w:r w:rsidRPr="0074426A">
              <w:rPr>
                <w:rFonts w:asciiTheme="majorHAnsi" w:hAnsiTheme="majorHAnsi" w:cstheme="majorHAnsi"/>
                <w:b w:val="0"/>
                <w:sz w:val="20"/>
                <w:szCs w:val="20"/>
                <w:lang w:eastAsia="ro-RO"/>
              </w:rPr>
              <w:t>- estacade şi cheiuri de acostare, de turnare şi scurgere;</w:t>
            </w:r>
          </w:p>
          <w:p w:rsidR="000E184F" w:rsidRPr="0074426A" w:rsidRDefault="000E184F" w:rsidP="004D7A2D">
            <w:pPr>
              <w:autoSpaceDE w:val="0"/>
              <w:autoSpaceDN w:val="0"/>
              <w:adjustRightInd w:val="0"/>
              <w:jc w:val="both"/>
              <w:rPr>
                <w:rFonts w:asciiTheme="majorHAnsi" w:hAnsiTheme="majorHAnsi" w:cstheme="majorHAnsi"/>
                <w:b w:val="0"/>
                <w:sz w:val="20"/>
                <w:szCs w:val="20"/>
                <w:lang w:eastAsia="ro-RO"/>
              </w:rPr>
            </w:pPr>
            <w:r w:rsidRPr="0074426A">
              <w:rPr>
                <w:rFonts w:asciiTheme="majorHAnsi" w:hAnsiTheme="majorHAnsi" w:cstheme="majorHAnsi"/>
                <w:b w:val="0"/>
                <w:sz w:val="20"/>
                <w:szCs w:val="20"/>
                <w:lang w:eastAsia="ro-RO"/>
              </w:rPr>
              <w:t>- centrale, staţii intermediare şi de pompare şi staţii de alimentare şi transbordare, parcuri de rezervoare, staţii de compresoare, centrale şi puncte de distribuţie a gazelor;</w:t>
            </w:r>
          </w:p>
          <w:p w:rsidR="000E184F" w:rsidRPr="0074426A" w:rsidRDefault="000E184F" w:rsidP="004D7A2D">
            <w:pPr>
              <w:autoSpaceDE w:val="0"/>
              <w:autoSpaceDN w:val="0"/>
              <w:adjustRightInd w:val="0"/>
              <w:jc w:val="both"/>
              <w:rPr>
                <w:rFonts w:asciiTheme="majorHAnsi" w:hAnsiTheme="majorHAnsi" w:cstheme="majorHAnsi"/>
                <w:b w:val="0"/>
                <w:sz w:val="20"/>
                <w:szCs w:val="20"/>
                <w:lang w:eastAsia="ro-RO"/>
              </w:rPr>
            </w:pPr>
            <w:r w:rsidRPr="0074426A">
              <w:rPr>
                <w:rFonts w:asciiTheme="majorHAnsi" w:hAnsiTheme="majorHAnsi" w:cstheme="majorHAnsi"/>
                <w:b w:val="0"/>
                <w:sz w:val="20"/>
                <w:szCs w:val="20"/>
                <w:lang w:eastAsia="ro-RO"/>
              </w:rPr>
              <w:t>- obiecte administrative, de producere, reparaţie, substaţii de transformatoare, căi de acces şi alte instalaţii, destinate special deservirii transportului prin conducte şi întreprinderi de gazificare</w:t>
            </w:r>
          </w:p>
        </w:tc>
      </w:tr>
      <w:tr w:rsidR="000E184F" w:rsidRPr="0074426A" w:rsidTr="0000070C">
        <w:trPr>
          <w:trHeight w:val="94"/>
        </w:trPr>
        <w:tc>
          <w:tcPr>
            <w:tcW w:w="562" w:type="dxa"/>
            <w:vMerge/>
          </w:tcPr>
          <w:p w:rsidR="000E184F" w:rsidRPr="0074426A" w:rsidRDefault="000E184F" w:rsidP="004D7A2D">
            <w:pPr>
              <w:pStyle w:val="a3"/>
              <w:ind w:left="0"/>
              <w:rPr>
                <w:rFonts w:asciiTheme="majorHAnsi" w:hAnsiTheme="majorHAnsi" w:cstheme="majorHAnsi"/>
                <w:sz w:val="20"/>
                <w:szCs w:val="20"/>
                <w:lang w:val="en-US"/>
              </w:rPr>
            </w:pPr>
          </w:p>
        </w:tc>
        <w:tc>
          <w:tcPr>
            <w:tcW w:w="1327" w:type="dxa"/>
            <w:vMerge/>
          </w:tcPr>
          <w:p w:rsidR="000E184F" w:rsidRPr="0074426A" w:rsidRDefault="000E184F" w:rsidP="004D7A2D">
            <w:pPr>
              <w:pStyle w:val="a3"/>
              <w:ind w:left="0"/>
              <w:rPr>
                <w:rFonts w:asciiTheme="majorHAnsi" w:hAnsiTheme="majorHAnsi" w:cstheme="majorHAnsi"/>
                <w:sz w:val="20"/>
                <w:szCs w:val="20"/>
                <w:lang w:val="en-US"/>
              </w:rPr>
            </w:pP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3.6</w:t>
            </w:r>
          </w:p>
        </w:tc>
        <w:tc>
          <w:tcPr>
            <w:tcW w:w="1491" w:type="dxa"/>
            <w:gridSpan w:val="2"/>
          </w:tcPr>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 xml:space="preserve">aferent obiectivelor  reţelelor </w:t>
            </w:r>
          </w:p>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electrice</w:t>
            </w:r>
          </w:p>
        </w:tc>
        <w:tc>
          <w:tcPr>
            <w:tcW w:w="5812" w:type="dxa"/>
            <w:gridSpan w:val="2"/>
          </w:tcPr>
          <w:p w:rsidR="000E184F" w:rsidRPr="0074426A" w:rsidRDefault="000E184F" w:rsidP="004D7A2D">
            <w:pPr>
              <w:pStyle w:val="a3"/>
              <w:ind w:left="0"/>
              <w:jc w:val="both"/>
              <w:rPr>
                <w:rFonts w:asciiTheme="majorHAnsi" w:hAnsiTheme="majorHAnsi" w:cstheme="majorHAnsi"/>
                <w:sz w:val="20"/>
                <w:szCs w:val="20"/>
                <w:lang w:val="en-US"/>
              </w:rPr>
            </w:pPr>
            <w:r w:rsidRPr="0074426A">
              <w:rPr>
                <w:rFonts w:asciiTheme="majorHAnsi" w:hAnsiTheme="majorHAnsi" w:cstheme="majorHAnsi"/>
                <w:sz w:val="20"/>
                <w:szCs w:val="20"/>
                <w:lang w:val="en-US" w:eastAsia="ro-RO"/>
              </w:rPr>
              <w:t>teren ocupat de obiecte administrative, de producere  şi social-culturale, baze de producţie şi reparaţie, staţii de transformatoare, căi de acces, suporturi pentru reţelele electrice (indiferent de tensiune) şi alte instalaţii/ obiecte aferente activităţilor de distribuţie şi transport a energiei electrice</w:t>
            </w:r>
          </w:p>
        </w:tc>
      </w:tr>
      <w:tr w:rsidR="000E184F" w:rsidRPr="0074426A" w:rsidTr="0000070C">
        <w:trPr>
          <w:trHeight w:val="488"/>
        </w:trPr>
        <w:tc>
          <w:tcPr>
            <w:tcW w:w="562" w:type="dxa"/>
            <w:vMerge/>
          </w:tcPr>
          <w:p w:rsidR="000E184F" w:rsidRPr="0074426A" w:rsidRDefault="000E184F" w:rsidP="004D7A2D">
            <w:pPr>
              <w:pStyle w:val="a3"/>
              <w:ind w:left="0"/>
              <w:rPr>
                <w:rFonts w:asciiTheme="majorHAnsi" w:hAnsiTheme="majorHAnsi" w:cstheme="majorHAnsi"/>
                <w:sz w:val="20"/>
                <w:szCs w:val="20"/>
                <w:lang w:val="en-US"/>
              </w:rPr>
            </w:pPr>
          </w:p>
        </w:tc>
        <w:tc>
          <w:tcPr>
            <w:tcW w:w="1327" w:type="dxa"/>
            <w:vMerge/>
          </w:tcPr>
          <w:p w:rsidR="000E184F" w:rsidRPr="0074426A" w:rsidRDefault="000E184F" w:rsidP="004D7A2D">
            <w:pPr>
              <w:pStyle w:val="a3"/>
              <w:ind w:left="0"/>
              <w:rPr>
                <w:rFonts w:asciiTheme="majorHAnsi" w:hAnsiTheme="majorHAnsi" w:cstheme="majorHAnsi"/>
                <w:sz w:val="20"/>
                <w:szCs w:val="20"/>
                <w:lang w:val="en-US"/>
              </w:rPr>
            </w:pP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3.7</w:t>
            </w:r>
          </w:p>
        </w:tc>
        <w:tc>
          <w:tcPr>
            <w:tcW w:w="1491"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aferent obiectivelor  comunicaţiilor</w:t>
            </w:r>
          </w:p>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electronice</w:t>
            </w:r>
          </w:p>
        </w:tc>
        <w:tc>
          <w:tcPr>
            <w:tcW w:w="5812" w:type="dxa"/>
            <w:gridSpan w:val="2"/>
          </w:tcPr>
          <w:p w:rsidR="000E184F" w:rsidRPr="0074426A" w:rsidRDefault="000E184F" w:rsidP="004D7A2D">
            <w:pPr>
              <w:autoSpaceDE w:val="0"/>
              <w:autoSpaceDN w:val="0"/>
              <w:adjustRightInd w:val="0"/>
              <w:jc w:val="both"/>
              <w:rPr>
                <w:rFonts w:asciiTheme="majorHAnsi" w:hAnsiTheme="majorHAnsi" w:cstheme="majorHAnsi"/>
                <w:b w:val="0"/>
                <w:sz w:val="20"/>
                <w:szCs w:val="20"/>
              </w:rPr>
            </w:pPr>
            <w:r w:rsidRPr="0074426A">
              <w:rPr>
                <w:rFonts w:asciiTheme="majorHAnsi" w:hAnsiTheme="majorHAnsi" w:cstheme="majorHAnsi"/>
                <w:b w:val="0"/>
                <w:sz w:val="20"/>
                <w:szCs w:val="20"/>
                <w:lang w:eastAsia="ro-RO"/>
              </w:rPr>
              <w:t>teren ocupat de obiecte administrative, baze de producţie, ateliere de reparaţie, turnuri de retranslare, staţii de radioreleu, depozite, instalaţii de distribuţie şi alte construcţii, destinate special întreprinderilor de telecomunicaţie</w:t>
            </w:r>
          </w:p>
        </w:tc>
      </w:tr>
      <w:tr w:rsidR="000E184F" w:rsidRPr="0074426A" w:rsidTr="0000070C">
        <w:trPr>
          <w:trHeight w:val="796"/>
        </w:trPr>
        <w:tc>
          <w:tcPr>
            <w:tcW w:w="562" w:type="dxa"/>
            <w:vMerge/>
          </w:tcPr>
          <w:p w:rsidR="000E184F" w:rsidRPr="0074426A" w:rsidRDefault="000E184F" w:rsidP="004D7A2D">
            <w:pPr>
              <w:pStyle w:val="a3"/>
              <w:ind w:left="0"/>
              <w:rPr>
                <w:rFonts w:asciiTheme="majorHAnsi" w:hAnsiTheme="majorHAnsi" w:cstheme="majorHAnsi"/>
                <w:sz w:val="20"/>
                <w:szCs w:val="20"/>
                <w:lang w:val="en-US"/>
              </w:rPr>
            </w:pPr>
          </w:p>
        </w:tc>
        <w:tc>
          <w:tcPr>
            <w:tcW w:w="1327" w:type="dxa"/>
            <w:vMerge/>
          </w:tcPr>
          <w:p w:rsidR="000E184F" w:rsidRPr="0074426A" w:rsidRDefault="000E184F" w:rsidP="004D7A2D">
            <w:pPr>
              <w:pStyle w:val="a3"/>
              <w:ind w:left="0"/>
              <w:rPr>
                <w:rFonts w:asciiTheme="majorHAnsi" w:hAnsiTheme="majorHAnsi" w:cstheme="majorHAnsi"/>
                <w:sz w:val="20"/>
                <w:szCs w:val="20"/>
                <w:lang w:val="en-US"/>
              </w:rPr>
            </w:pP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3.8</w:t>
            </w:r>
          </w:p>
        </w:tc>
        <w:tc>
          <w:tcPr>
            <w:tcW w:w="1491" w:type="dxa"/>
            <w:gridSpan w:val="2"/>
          </w:tcPr>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 xml:space="preserve">aferent obiectivelor  </w:t>
            </w:r>
          </w:p>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 xml:space="preserve">cu destinaţie </w:t>
            </w:r>
          </w:p>
          <w:p w:rsidR="000E184F" w:rsidRPr="0074426A" w:rsidRDefault="000E184F" w:rsidP="004D7A2D">
            <w:pPr>
              <w:rPr>
                <w:rFonts w:asciiTheme="majorHAnsi" w:hAnsiTheme="majorHAnsi" w:cstheme="majorHAnsi"/>
                <w:b w:val="0"/>
                <w:sz w:val="20"/>
                <w:szCs w:val="20"/>
              </w:rPr>
            </w:pPr>
            <w:r w:rsidRPr="0074426A">
              <w:rPr>
                <w:rFonts w:asciiTheme="majorHAnsi" w:hAnsiTheme="majorHAnsi" w:cstheme="majorHAnsi"/>
                <w:b w:val="0"/>
                <w:sz w:val="20"/>
                <w:szCs w:val="20"/>
              </w:rPr>
              <w:t>specială</w:t>
            </w:r>
          </w:p>
        </w:tc>
        <w:tc>
          <w:tcPr>
            <w:tcW w:w="5812" w:type="dxa"/>
            <w:gridSpan w:val="2"/>
          </w:tcPr>
          <w:p w:rsidR="000E184F" w:rsidRPr="0074426A" w:rsidRDefault="000E184F" w:rsidP="004D7A2D">
            <w:pPr>
              <w:jc w:val="both"/>
              <w:rPr>
                <w:rFonts w:asciiTheme="majorHAnsi" w:hAnsiTheme="majorHAnsi" w:cstheme="majorHAnsi"/>
                <w:b w:val="0"/>
                <w:sz w:val="20"/>
                <w:szCs w:val="20"/>
              </w:rPr>
            </w:pPr>
            <w:r w:rsidRPr="0074426A">
              <w:rPr>
                <w:rFonts w:asciiTheme="majorHAnsi" w:hAnsiTheme="majorHAnsi" w:cstheme="majorHAnsi"/>
                <w:b w:val="0"/>
                <w:sz w:val="20"/>
                <w:szCs w:val="20"/>
                <w:lang w:eastAsia="ru-RU"/>
              </w:rPr>
              <w:t xml:space="preserve">teren al </w:t>
            </w:r>
            <w:r w:rsidR="00CF51F9" w:rsidRPr="0074426A">
              <w:rPr>
                <w:rFonts w:asciiTheme="majorHAnsi" w:hAnsiTheme="majorHAnsi" w:cstheme="majorHAnsi"/>
                <w:b w:val="0"/>
                <w:sz w:val="20"/>
                <w:szCs w:val="20"/>
                <w:lang w:eastAsia="ru-RU"/>
              </w:rPr>
              <w:t>M</w:t>
            </w:r>
            <w:r w:rsidRPr="0074426A">
              <w:rPr>
                <w:rFonts w:asciiTheme="majorHAnsi" w:hAnsiTheme="majorHAnsi" w:cstheme="majorHAnsi"/>
                <w:b w:val="0"/>
                <w:sz w:val="20"/>
                <w:szCs w:val="20"/>
                <w:lang w:eastAsia="ru-RU"/>
              </w:rPr>
              <w:t xml:space="preserve">inisterului </w:t>
            </w:r>
            <w:r w:rsidR="00CF51F9" w:rsidRPr="0074426A">
              <w:rPr>
                <w:rFonts w:asciiTheme="majorHAnsi" w:hAnsiTheme="majorHAnsi" w:cstheme="majorHAnsi"/>
                <w:b w:val="0"/>
                <w:sz w:val="20"/>
                <w:szCs w:val="20"/>
                <w:lang w:eastAsia="ru-RU"/>
              </w:rPr>
              <w:t>A</w:t>
            </w:r>
            <w:r w:rsidRPr="0074426A">
              <w:rPr>
                <w:rFonts w:asciiTheme="majorHAnsi" w:hAnsiTheme="majorHAnsi" w:cstheme="majorHAnsi"/>
                <w:b w:val="0"/>
                <w:sz w:val="20"/>
                <w:szCs w:val="20"/>
                <w:lang w:eastAsia="ru-RU"/>
              </w:rPr>
              <w:t>părării, de interne (u</w:t>
            </w:r>
            <w:r w:rsidRPr="0074426A">
              <w:rPr>
                <w:rFonts w:asciiTheme="majorHAnsi" w:hAnsiTheme="majorHAnsi" w:cstheme="majorHAnsi"/>
                <w:b w:val="0"/>
                <w:sz w:val="20"/>
                <w:szCs w:val="20"/>
              </w:rPr>
              <w:t xml:space="preserve">nităţi şi instituţii militare, închisori, centre de detenţie, trupelor de carabineri, trupelor de grăniceri, centrelor de situaţii excepţionale, aferente instalaţiilor antigrindină, posturilor vamale, punctelor reţelei geodezice naţionale) </w:t>
            </w:r>
          </w:p>
        </w:tc>
      </w:tr>
      <w:tr w:rsidR="000E184F" w:rsidRPr="0074426A" w:rsidTr="0000070C">
        <w:trPr>
          <w:trHeight w:val="264"/>
        </w:trPr>
        <w:tc>
          <w:tcPr>
            <w:tcW w:w="562" w:type="dxa"/>
            <w:vMerge/>
          </w:tcPr>
          <w:p w:rsidR="000E184F" w:rsidRPr="0074426A" w:rsidRDefault="000E184F" w:rsidP="004D7A2D">
            <w:pPr>
              <w:pStyle w:val="a3"/>
              <w:ind w:left="0"/>
              <w:rPr>
                <w:rFonts w:asciiTheme="majorHAnsi" w:hAnsiTheme="majorHAnsi" w:cstheme="majorHAnsi"/>
                <w:sz w:val="20"/>
                <w:szCs w:val="20"/>
                <w:lang w:val="en-US"/>
              </w:rPr>
            </w:pPr>
          </w:p>
        </w:tc>
        <w:tc>
          <w:tcPr>
            <w:tcW w:w="1327" w:type="dxa"/>
            <w:vMerge/>
          </w:tcPr>
          <w:p w:rsidR="000E184F" w:rsidRPr="0074426A" w:rsidRDefault="000E184F" w:rsidP="004D7A2D">
            <w:pPr>
              <w:pStyle w:val="a3"/>
              <w:ind w:left="0"/>
              <w:rPr>
                <w:rFonts w:asciiTheme="majorHAnsi" w:hAnsiTheme="majorHAnsi" w:cstheme="majorHAnsi"/>
                <w:sz w:val="20"/>
                <w:szCs w:val="20"/>
                <w:lang w:val="en-US"/>
              </w:rPr>
            </w:pP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3.9</w:t>
            </w:r>
          </w:p>
        </w:tc>
        <w:tc>
          <w:tcPr>
            <w:tcW w:w="1491" w:type="dxa"/>
            <w:gridSpan w:val="2"/>
          </w:tcPr>
          <w:p w:rsidR="000E184F" w:rsidRPr="0074426A" w:rsidRDefault="000E184F" w:rsidP="004D7A2D">
            <w:pPr>
              <w:pStyle w:val="a3"/>
              <w:ind w:left="0"/>
              <w:rPr>
                <w:rFonts w:asciiTheme="majorHAnsi" w:hAnsiTheme="majorHAnsi" w:cstheme="majorHAnsi"/>
                <w:sz w:val="20"/>
                <w:szCs w:val="20"/>
                <w:lang w:val="en-US"/>
              </w:rPr>
            </w:pPr>
            <w:r w:rsidRPr="0074426A">
              <w:rPr>
                <w:rFonts w:asciiTheme="majorHAnsi" w:hAnsiTheme="majorHAnsi" w:cstheme="majorHAnsi"/>
                <w:sz w:val="20"/>
                <w:szCs w:val="20"/>
                <w:lang w:val="en-US"/>
              </w:rPr>
              <w:t xml:space="preserve">pentru </w:t>
            </w:r>
          </w:p>
          <w:p w:rsidR="000E184F" w:rsidRPr="0074426A" w:rsidRDefault="000E184F" w:rsidP="004D7A2D">
            <w:pPr>
              <w:pStyle w:val="a3"/>
              <w:ind w:left="0"/>
              <w:rPr>
                <w:rFonts w:asciiTheme="majorHAnsi" w:hAnsiTheme="majorHAnsi" w:cstheme="majorHAnsi"/>
                <w:sz w:val="20"/>
                <w:szCs w:val="20"/>
                <w:lang w:val="en-US"/>
              </w:rPr>
            </w:pPr>
            <w:r w:rsidRPr="0074426A">
              <w:rPr>
                <w:rFonts w:asciiTheme="majorHAnsi" w:hAnsiTheme="majorHAnsi" w:cstheme="majorHAnsi"/>
                <w:sz w:val="20"/>
                <w:szCs w:val="20"/>
                <w:lang w:val="en-US"/>
              </w:rPr>
              <w:t xml:space="preserve">amplasarea </w:t>
            </w:r>
          </w:p>
          <w:p w:rsidR="000E184F" w:rsidRPr="0074426A" w:rsidRDefault="000E184F" w:rsidP="004D7A2D">
            <w:pPr>
              <w:pStyle w:val="a3"/>
              <w:ind w:left="0"/>
              <w:rPr>
                <w:rFonts w:asciiTheme="majorHAnsi" w:hAnsiTheme="majorHAnsi" w:cstheme="majorHAnsi"/>
                <w:sz w:val="20"/>
                <w:szCs w:val="20"/>
                <w:lang w:val="en-US"/>
              </w:rPr>
            </w:pPr>
            <w:r w:rsidRPr="0074426A">
              <w:rPr>
                <w:rFonts w:asciiTheme="majorHAnsi" w:hAnsiTheme="majorHAnsi" w:cstheme="majorHAnsi"/>
                <w:sz w:val="20"/>
                <w:szCs w:val="20"/>
                <w:lang w:val="en-US"/>
              </w:rPr>
              <w:t xml:space="preserve">şi exploatarea </w:t>
            </w:r>
          </w:p>
          <w:p w:rsidR="000E184F" w:rsidRPr="0074426A" w:rsidRDefault="000E184F" w:rsidP="004D7A2D">
            <w:pPr>
              <w:pStyle w:val="a3"/>
              <w:ind w:left="0"/>
              <w:rPr>
                <w:rFonts w:asciiTheme="majorHAnsi" w:hAnsiTheme="majorHAnsi" w:cstheme="majorHAnsi"/>
                <w:sz w:val="20"/>
                <w:szCs w:val="20"/>
                <w:lang w:val="en-US"/>
              </w:rPr>
            </w:pPr>
            <w:r w:rsidRPr="0074426A">
              <w:rPr>
                <w:rFonts w:asciiTheme="majorHAnsi" w:hAnsiTheme="majorHAnsi" w:cstheme="majorHAnsi"/>
                <w:sz w:val="20"/>
                <w:szCs w:val="20"/>
                <w:lang w:val="en-US"/>
              </w:rPr>
              <w:t xml:space="preserve">obiectivelor </w:t>
            </w:r>
          </w:p>
          <w:p w:rsidR="000E184F" w:rsidRPr="0074426A" w:rsidRDefault="000E184F" w:rsidP="004D7A2D">
            <w:pPr>
              <w:pStyle w:val="a3"/>
              <w:ind w:left="0"/>
              <w:rPr>
                <w:rFonts w:asciiTheme="majorHAnsi" w:hAnsiTheme="majorHAnsi" w:cstheme="majorHAnsi"/>
                <w:sz w:val="20"/>
                <w:szCs w:val="20"/>
                <w:lang w:val="en-US"/>
              </w:rPr>
            </w:pPr>
            <w:r w:rsidRPr="0074426A">
              <w:rPr>
                <w:rFonts w:asciiTheme="majorHAnsi" w:hAnsiTheme="majorHAnsi" w:cstheme="majorHAnsi"/>
                <w:sz w:val="20"/>
                <w:szCs w:val="20"/>
                <w:lang w:val="en-US"/>
              </w:rPr>
              <w:t>industriale</w:t>
            </w:r>
          </w:p>
        </w:tc>
        <w:tc>
          <w:tcPr>
            <w:tcW w:w="5812" w:type="dxa"/>
            <w:gridSpan w:val="2"/>
          </w:tcPr>
          <w:p w:rsidR="000E184F" w:rsidRPr="0074426A" w:rsidRDefault="000E184F" w:rsidP="004D7A2D">
            <w:pPr>
              <w:pStyle w:val="a3"/>
              <w:ind w:left="0"/>
              <w:jc w:val="both"/>
              <w:rPr>
                <w:rFonts w:asciiTheme="majorHAnsi" w:hAnsiTheme="majorHAnsi" w:cstheme="majorHAnsi"/>
                <w:sz w:val="20"/>
                <w:szCs w:val="20"/>
                <w:lang w:val="en-US"/>
              </w:rPr>
            </w:pPr>
            <w:r w:rsidRPr="0074426A">
              <w:rPr>
                <w:rFonts w:asciiTheme="majorHAnsi" w:hAnsiTheme="majorHAnsi" w:cstheme="majorHAnsi"/>
                <w:sz w:val="20"/>
                <w:szCs w:val="20"/>
                <w:lang w:val="en-US"/>
              </w:rPr>
              <w:t>teren destinat clădirilor de producere (industria alimentară, industria de mașini, industria de producere, precum și a construcțiilor tehnice industriale (silozuri pentru ciment, buncăre, rezervoare, castele de apă, platforme, turnuri de răcire, coşuri de fum, gazgoldere, elevator)), precum şi a obiectivelor de generare a energiei electrice şi, după caz, termice (inclusiv obiective de valorificare a potenţialului energiei din surse regenerabile)</w:t>
            </w:r>
          </w:p>
        </w:tc>
      </w:tr>
      <w:tr w:rsidR="000E184F" w:rsidRPr="0074426A" w:rsidTr="0000070C">
        <w:trPr>
          <w:trHeight w:val="397"/>
        </w:trPr>
        <w:tc>
          <w:tcPr>
            <w:tcW w:w="562" w:type="dxa"/>
            <w:vMerge/>
          </w:tcPr>
          <w:p w:rsidR="000E184F" w:rsidRPr="0074426A" w:rsidRDefault="000E184F" w:rsidP="004D7A2D">
            <w:pPr>
              <w:pStyle w:val="a3"/>
              <w:ind w:left="0"/>
              <w:rPr>
                <w:rFonts w:asciiTheme="majorHAnsi" w:hAnsiTheme="majorHAnsi" w:cstheme="majorHAnsi"/>
                <w:sz w:val="20"/>
                <w:szCs w:val="20"/>
                <w:lang w:val="en-US"/>
              </w:rPr>
            </w:pPr>
          </w:p>
        </w:tc>
        <w:tc>
          <w:tcPr>
            <w:tcW w:w="1327" w:type="dxa"/>
            <w:vMerge/>
          </w:tcPr>
          <w:p w:rsidR="000E184F" w:rsidRPr="0074426A" w:rsidRDefault="000E184F" w:rsidP="004D7A2D">
            <w:pPr>
              <w:pStyle w:val="a3"/>
              <w:ind w:left="0"/>
              <w:rPr>
                <w:rFonts w:asciiTheme="majorHAnsi" w:hAnsiTheme="majorHAnsi" w:cstheme="majorHAnsi"/>
                <w:sz w:val="20"/>
                <w:szCs w:val="20"/>
                <w:lang w:val="en-US"/>
              </w:rPr>
            </w:pP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3.10</w:t>
            </w:r>
          </w:p>
        </w:tc>
        <w:tc>
          <w:tcPr>
            <w:tcW w:w="1491"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 xml:space="preserve">pentru exploatări </w:t>
            </w:r>
          </w:p>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miniere</w:t>
            </w:r>
          </w:p>
        </w:tc>
        <w:tc>
          <w:tcPr>
            <w:tcW w:w="5812" w:type="dxa"/>
            <w:gridSpan w:val="2"/>
          </w:tcPr>
          <w:p w:rsidR="000E184F" w:rsidRPr="0074426A" w:rsidRDefault="000E184F" w:rsidP="004D7A2D">
            <w:pPr>
              <w:pStyle w:val="a3"/>
              <w:ind w:left="0"/>
              <w:jc w:val="both"/>
              <w:rPr>
                <w:rFonts w:asciiTheme="majorHAnsi" w:hAnsiTheme="majorHAnsi" w:cstheme="majorHAnsi"/>
                <w:sz w:val="20"/>
                <w:szCs w:val="20"/>
                <w:lang w:val="en-US"/>
              </w:rPr>
            </w:pPr>
            <w:r w:rsidRPr="0074426A">
              <w:rPr>
                <w:rFonts w:asciiTheme="majorHAnsi" w:hAnsiTheme="majorHAnsi" w:cstheme="majorHAnsi"/>
                <w:sz w:val="20"/>
                <w:szCs w:val="20"/>
                <w:lang w:val="en-US"/>
              </w:rPr>
              <w:t xml:space="preserve">teren utilizat pentru prospecţiuni, exploatări sau extragerea  zăcămintelor (mine, cariere) </w:t>
            </w:r>
          </w:p>
        </w:tc>
      </w:tr>
      <w:tr w:rsidR="000E184F" w:rsidRPr="0074426A" w:rsidTr="0000070C">
        <w:trPr>
          <w:trHeight w:val="154"/>
        </w:trPr>
        <w:tc>
          <w:tcPr>
            <w:tcW w:w="562" w:type="dxa"/>
            <w:vMerge/>
          </w:tcPr>
          <w:p w:rsidR="000E184F" w:rsidRPr="0074426A" w:rsidRDefault="000E184F" w:rsidP="004D7A2D">
            <w:pPr>
              <w:pStyle w:val="a3"/>
              <w:ind w:left="0"/>
              <w:rPr>
                <w:rFonts w:asciiTheme="majorHAnsi" w:hAnsiTheme="majorHAnsi" w:cstheme="majorHAnsi"/>
                <w:sz w:val="20"/>
                <w:szCs w:val="20"/>
                <w:lang w:val="en-US"/>
              </w:rPr>
            </w:pPr>
          </w:p>
        </w:tc>
        <w:tc>
          <w:tcPr>
            <w:tcW w:w="1327" w:type="dxa"/>
            <w:vMerge/>
          </w:tcPr>
          <w:p w:rsidR="000E184F" w:rsidRPr="0074426A" w:rsidRDefault="000E184F" w:rsidP="004D7A2D">
            <w:pPr>
              <w:pStyle w:val="a3"/>
              <w:ind w:left="0"/>
              <w:rPr>
                <w:rFonts w:asciiTheme="majorHAnsi" w:hAnsiTheme="majorHAnsi" w:cstheme="majorHAnsi"/>
                <w:sz w:val="20"/>
                <w:szCs w:val="20"/>
                <w:lang w:val="en-US"/>
              </w:rPr>
            </w:pPr>
          </w:p>
        </w:tc>
        <w:tc>
          <w:tcPr>
            <w:tcW w:w="697" w:type="dxa"/>
            <w:gridSpan w:val="2"/>
          </w:tcPr>
          <w:p w:rsidR="000E184F" w:rsidRPr="0074426A" w:rsidRDefault="000E184F" w:rsidP="004D7A2D">
            <w:pPr>
              <w:pStyle w:val="a3"/>
              <w:ind w:left="0"/>
              <w:rPr>
                <w:rFonts w:asciiTheme="majorHAnsi" w:hAnsiTheme="majorHAnsi" w:cstheme="majorHAnsi"/>
                <w:sz w:val="20"/>
                <w:szCs w:val="20"/>
              </w:rPr>
            </w:pPr>
            <w:r w:rsidRPr="0074426A">
              <w:rPr>
                <w:rFonts w:asciiTheme="majorHAnsi" w:hAnsiTheme="majorHAnsi" w:cstheme="majorHAnsi"/>
                <w:sz w:val="20"/>
                <w:szCs w:val="20"/>
              </w:rPr>
              <w:t>3.11</w:t>
            </w:r>
          </w:p>
          <w:p w:rsidR="000E184F" w:rsidRPr="0074426A" w:rsidRDefault="000E184F" w:rsidP="004D7A2D">
            <w:pPr>
              <w:pStyle w:val="a3"/>
              <w:ind w:left="0"/>
              <w:rPr>
                <w:rFonts w:asciiTheme="majorHAnsi" w:hAnsiTheme="majorHAnsi" w:cstheme="majorHAnsi"/>
                <w:sz w:val="20"/>
                <w:szCs w:val="20"/>
              </w:rPr>
            </w:pPr>
          </w:p>
        </w:tc>
        <w:tc>
          <w:tcPr>
            <w:tcW w:w="1491" w:type="dxa"/>
            <w:gridSpan w:val="2"/>
          </w:tcPr>
          <w:p w:rsidR="000E184F" w:rsidRPr="0074426A" w:rsidRDefault="000E184F" w:rsidP="004D7A2D">
            <w:pPr>
              <w:pStyle w:val="a3"/>
              <w:ind w:left="0"/>
              <w:rPr>
                <w:rFonts w:asciiTheme="majorHAnsi" w:hAnsiTheme="majorHAnsi" w:cstheme="majorHAnsi"/>
                <w:sz w:val="20"/>
                <w:szCs w:val="20"/>
                <w:lang w:val="en-US"/>
              </w:rPr>
            </w:pPr>
            <w:r w:rsidRPr="0074426A">
              <w:rPr>
                <w:rFonts w:asciiTheme="majorHAnsi" w:hAnsiTheme="majorHAnsi" w:cstheme="majorHAnsi"/>
                <w:sz w:val="20"/>
                <w:szCs w:val="20"/>
                <w:lang w:val="en-US"/>
              </w:rPr>
              <w:t>aferent obiectivelor  de prestări servicii rutiere, inclusiv comunicaţii inginereşti</w:t>
            </w:r>
          </w:p>
        </w:tc>
        <w:tc>
          <w:tcPr>
            <w:tcW w:w="5812" w:type="dxa"/>
            <w:gridSpan w:val="2"/>
          </w:tcPr>
          <w:p w:rsidR="000E184F" w:rsidRPr="0074426A" w:rsidRDefault="000E184F" w:rsidP="004D7A2D">
            <w:pPr>
              <w:pStyle w:val="a3"/>
              <w:ind w:left="0"/>
              <w:jc w:val="both"/>
              <w:rPr>
                <w:rFonts w:asciiTheme="majorHAnsi" w:hAnsiTheme="majorHAnsi" w:cstheme="majorHAnsi"/>
                <w:sz w:val="20"/>
                <w:szCs w:val="20"/>
                <w:lang w:val="en-US"/>
              </w:rPr>
            </w:pPr>
            <w:r w:rsidRPr="0074426A">
              <w:rPr>
                <w:rFonts w:asciiTheme="majorHAnsi" w:hAnsiTheme="majorHAnsi" w:cstheme="majorHAnsi"/>
                <w:sz w:val="20"/>
                <w:szCs w:val="20"/>
                <w:lang w:val="en-US"/>
              </w:rPr>
              <w:t>staţii de alimentare cu combustibil, staţii de deservire tehnică, puncte de vulcanizare, unităţi de comerţ cu amănuntul, întreprinderi de alimentaţie publică, structuri de primire turistică cu funcţii de cazare şi de servire a mesei, tarabe (puncte comerciale), conducte de gaze, apeducte, canalizări, linii de telecomunicaţii şi de transport al energiei electrice, sisteme de monitorizare a traficului, parcaje, benzi suplimentare, obiective arhitecturale şi de cult, cale de acces la drumul public – drum special amenajat pentru intrarea pe (ieşirea din) teritoriul obiectivului</w:t>
            </w:r>
          </w:p>
        </w:tc>
      </w:tr>
    </w:tbl>
    <w:tbl>
      <w:tblPr>
        <w:tblStyle w:val="TableGrid8"/>
        <w:tblW w:w="9603" w:type="dxa"/>
        <w:tblInd w:w="250" w:type="dxa"/>
        <w:tblLayout w:type="fixed"/>
        <w:tblLook w:val="04A0" w:firstRow="1" w:lastRow="0" w:firstColumn="1" w:lastColumn="0" w:noHBand="0" w:noVBand="1"/>
      </w:tblPr>
      <w:tblGrid>
        <w:gridCol w:w="9603"/>
      </w:tblGrid>
      <w:tr w:rsidR="000E184F" w:rsidRPr="008376FC" w:rsidTr="00EC1A68">
        <w:trPr>
          <w:trHeight w:val="346"/>
        </w:trPr>
        <w:tc>
          <w:tcPr>
            <w:tcW w:w="9603" w:type="dxa"/>
            <w:tcBorders>
              <w:top w:val="nil"/>
              <w:left w:val="nil"/>
              <w:bottom w:val="nil"/>
              <w:right w:val="nil"/>
            </w:tcBorders>
            <w:shd w:val="clear" w:color="auto" w:fill="auto"/>
          </w:tcPr>
          <w:p w:rsidR="000E184F" w:rsidRPr="00182E86" w:rsidRDefault="000E184F" w:rsidP="004D7A2D">
            <w:pPr>
              <w:shd w:val="clear" w:color="auto" w:fill="FFFFFF"/>
              <w:ind w:firstLine="34"/>
              <w:jc w:val="both"/>
              <w:rPr>
                <w:rFonts w:asciiTheme="majorHAnsi" w:eastAsia="Times New Roman" w:hAnsiTheme="majorHAnsi" w:cstheme="majorHAnsi"/>
                <w:b w:val="0"/>
                <w:bCs w:val="0"/>
                <w:sz w:val="16"/>
                <w:szCs w:val="16"/>
                <w:shd w:val="clear" w:color="auto" w:fill="FFFFFF"/>
              </w:rPr>
            </w:pPr>
            <w:r w:rsidRPr="00182E86">
              <w:rPr>
                <w:rFonts w:asciiTheme="majorHAnsi" w:eastAsia="Times New Roman" w:hAnsiTheme="majorHAnsi" w:cstheme="majorHAnsi"/>
                <w:b w:val="0"/>
                <w:sz w:val="16"/>
                <w:szCs w:val="16"/>
                <w:shd w:val="clear" w:color="auto" w:fill="FFFFFF"/>
              </w:rPr>
              <w:t>Sursa: cadrul normativ în domeniul delimitării terenurilor.</w:t>
            </w:r>
          </w:p>
        </w:tc>
      </w:tr>
    </w:tbl>
    <w:p w:rsidR="000E184F" w:rsidRPr="008376FC" w:rsidRDefault="000E184F" w:rsidP="00F61756">
      <w:pPr>
        <w:pStyle w:val="a3"/>
        <w:spacing w:before="120" w:line="276" w:lineRule="auto"/>
        <w:ind w:left="0"/>
        <w:contextualSpacing w:val="0"/>
        <w:jc w:val="both"/>
        <w:rPr>
          <w:rFonts w:asciiTheme="majorHAnsi" w:hAnsiTheme="majorHAnsi" w:cstheme="majorHAnsi"/>
          <w:shd w:val="clear" w:color="auto" w:fill="FFFFFF"/>
          <w:lang w:val="en-US"/>
        </w:rPr>
      </w:pPr>
    </w:p>
    <w:p w:rsidR="000E184F" w:rsidRPr="00EC1A68" w:rsidRDefault="000E184F" w:rsidP="00F61756">
      <w:pPr>
        <w:spacing w:line="276" w:lineRule="auto"/>
        <w:rPr>
          <w:rFonts w:asciiTheme="majorHAnsi" w:eastAsia="Times New Roman" w:hAnsiTheme="majorHAnsi" w:cstheme="majorHAnsi"/>
          <w:b w:val="0"/>
          <w:bCs w:val="0"/>
          <w:iCs/>
          <w:color w:val="0070C0"/>
          <w:sz w:val="24"/>
          <w:szCs w:val="24"/>
        </w:rPr>
      </w:pPr>
      <w:r w:rsidRPr="00EC1A68">
        <w:rPr>
          <w:rFonts w:asciiTheme="majorHAnsi" w:eastAsia="Times New Roman" w:hAnsiTheme="majorHAnsi" w:cstheme="majorHAnsi"/>
          <w:iCs/>
          <w:color w:val="0070C0"/>
          <w:sz w:val="24"/>
          <w:szCs w:val="24"/>
        </w:rPr>
        <w:t xml:space="preserve">Anexa nr.11 </w:t>
      </w:r>
      <w:r w:rsidRPr="00EC1A68">
        <w:rPr>
          <w:rFonts w:asciiTheme="majorHAnsi" w:eastAsia="Times New Roman" w:hAnsiTheme="majorHAnsi" w:cstheme="majorHAnsi"/>
          <w:color w:val="0070C0"/>
          <w:sz w:val="24"/>
          <w:szCs w:val="24"/>
        </w:rPr>
        <w:t>Dinamica</w:t>
      </w:r>
      <w:r w:rsidRPr="00EC1A68">
        <w:rPr>
          <w:rFonts w:asciiTheme="majorHAnsi" w:eastAsia="Times New Roman" w:hAnsiTheme="majorHAnsi" w:cstheme="majorHAnsi"/>
          <w:color w:val="0070C0"/>
          <w:spacing w:val="-2"/>
          <w:sz w:val="24"/>
          <w:szCs w:val="24"/>
        </w:rPr>
        <w:t xml:space="preserve"> </w:t>
      </w:r>
      <w:r w:rsidRPr="00EC1A68">
        <w:rPr>
          <w:rFonts w:asciiTheme="majorHAnsi" w:eastAsia="Times New Roman" w:hAnsiTheme="majorHAnsi" w:cstheme="majorHAnsi"/>
          <w:color w:val="0070C0"/>
          <w:sz w:val="24"/>
          <w:szCs w:val="24"/>
        </w:rPr>
        <w:t>tarifului</w:t>
      </w:r>
      <w:r w:rsidRPr="00EC1A68">
        <w:rPr>
          <w:rFonts w:asciiTheme="majorHAnsi" w:eastAsia="Times New Roman" w:hAnsiTheme="majorHAnsi" w:cstheme="majorHAnsi"/>
          <w:color w:val="0070C0"/>
          <w:spacing w:val="-1"/>
          <w:sz w:val="24"/>
          <w:szCs w:val="24"/>
        </w:rPr>
        <w:t xml:space="preserve"> </w:t>
      </w:r>
      <w:r w:rsidRPr="00EC1A68">
        <w:rPr>
          <w:rFonts w:asciiTheme="majorHAnsi" w:eastAsia="Times New Roman" w:hAnsiTheme="majorHAnsi" w:cstheme="majorHAnsi"/>
          <w:color w:val="0070C0"/>
          <w:sz w:val="24"/>
          <w:szCs w:val="24"/>
        </w:rPr>
        <w:t>pentru</w:t>
      </w:r>
      <w:r w:rsidRPr="00EC1A68">
        <w:rPr>
          <w:rFonts w:asciiTheme="majorHAnsi" w:eastAsia="Times New Roman" w:hAnsiTheme="majorHAnsi" w:cstheme="majorHAnsi"/>
          <w:color w:val="0070C0"/>
          <w:spacing w:val="-2"/>
          <w:sz w:val="24"/>
          <w:szCs w:val="24"/>
        </w:rPr>
        <w:t xml:space="preserve"> </w:t>
      </w:r>
      <w:r w:rsidRPr="00EC1A68">
        <w:rPr>
          <w:rFonts w:asciiTheme="majorHAnsi" w:eastAsia="Times New Roman" w:hAnsiTheme="majorHAnsi" w:cstheme="majorHAnsi"/>
          <w:color w:val="0070C0"/>
          <w:sz w:val="24"/>
          <w:szCs w:val="24"/>
        </w:rPr>
        <w:t>serviciile</w:t>
      </w:r>
      <w:r w:rsidRPr="00EC1A68">
        <w:rPr>
          <w:rFonts w:asciiTheme="majorHAnsi" w:eastAsia="Times New Roman" w:hAnsiTheme="majorHAnsi" w:cstheme="majorHAnsi"/>
          <w:color w:val="0070C0"/>
          <w:spacing w:val="-2"/>
          <w:sz w:val="24"/>
          <w:szCs w:val="24"/>
        </w:rPr>
        <w:t xml:space="preserve"> </w:t>
      </w:r>
      <w:r w:rsidRPr="00EC1A68">
        <w:rPr>
          <w:rFonts w:asciiTheme="majorHAnsi" w:eastAsia="Times New Roman" w:hAnsiTheme="majorHAnsi" w:cstheme="majorHAnsi"/>
          <w:color w:val="0070C0"/>
          <w:sz w:val="24"/>
          <w:szCs w:val="24"/>
        </w:rPr>
        <w:t>de</w:t>
      </w:r>
      <w:r w:rsidRPr="00EC1A68">
        <w:rPr>
          <w:rFonts w:asciiTheme="majorHAnsi" w:eastAsia="Times New Roman" w:hAnsiTheme="majorHAnsi" w:cstheme="majorHAnsi"/>
          <w:color w:val="0070C0"/>
          <w:spacing w:val="-2"/>
          <w:sz w:val="24"/>
          <w:szCs w:val="24"/>
        </w:rPr>
        <w:t xml:space="preserve"> </w:t>
      </w:r>
      <w:r w:rsidRPr="00EC1A68">
        <w:rPr>
          <w:rFonts w:asciiTheme="majorHAnsi" w:eastAsia="Times New Roman" w:hAnsiTheme="majorHAnsi" w:cstheme="majorHAnsi"/>
          <w:color w:val="0070C0"/>
          <w:sz w:val="24"/>
          <w:szCs w:val="24"/>
        </w:rPr>
        <w:t>aprovizionare</w:t>
      </w:r>
      <w:r w:rsidRPr="00EC1A68">
        <w:rPr>
          <w:rFonts w:asciiTheme="majorHAnsi" w:eastAsia="Times New Roman" w:hAnsiTheme="majorHAnsi" w:cstheme="majorHAnsi"/>
          <w:color w:val="0070C0"/>
          <w:spacing w:val="-4"/>
          <w:sz w:val="24"/>
          <w:szCs w:val="24"/>
        </w:rPr>
        <w:t xml:space="preserve"> </w:t>
      </w:r>
      <w:r w:rsidRPr="00EC1A68">
        <w:rPr>
          <w:rFonts w:asciiTheme="majorHAnsi" w:eastAsia="Times New Roman" w:hAnsiTheme="majorHAnsi" w:cstheme="majorHAnsi"/>
          <w:color w:val="0070C0"/>
          <w:sz w:val="24"/>
          <w:szCs w:val="24"/>
        </w:rPr>
        <w:t>cu</w:t>
      </w:r>
      <w:r w:rsidRPr="00EC1A68">
        <w:rPr>
          <w:rFonts w:asciiTheme="majorHAnsi" w:eastAsia="Times New Roman" w:hAnsiTheme="majorHAnsi" w:cstheme="majorHAnsi"/>
          <w:color w:val="0070C0"/>
          <w:spacing w:val="-3"/>
          <w:sz w:val="24"/>
          <w:szCs w:val="24"/>
        </w:rPr>
        <w:t xml:space="preserve"> </w:t>
      </w:r>
      <w:r w:rsidRPr="00EC1A68">
        <w:rPr>
          <w:rFonts w:asciiTheme="majorHAnsi" w:eastAsia="Times New Roman" w:hAnsiTheme="majorHAnsi" w:cstheme="majorHAnsi"/>
          <w:color w:val="0070C0"/>
          <w:sz w:val="24"/>
          <w:szCs w:val="24"/>
        </w:rPr>
        <w:t>apă,</w:t>
      </w:r>
      <w:r w:rsidRPr="00EC1A68">
        <w:rPr>
          <w:rFonts w:asciiTheme="majorHAnsi" w:eastAsia="Times New Roman" w:hAnsiTheme="majorHAnsi" w:cstheme="majorHAnsi"/>
          <w:color w:val="0070C0"/>
          <w:spacing w:val="-4"/>
          <w:sz w:val="24"/>
          <w:szCs w:val="24"/>
        </w:rPr>
        <w:t xml:space="preserve"> </w:t>
      </w:r>
      <w:r w:rsidRPr="00EC1A68">
        <w:rPr>
          <w:rFonts w:asciiTheme="majorHAnsi" w:eastAsia="Times New Roman" w:hAnsiTheme="majorHAnsi" w:cstheme="majorHAnsi"/>
          <w:color w:val="0070C0"/>
          <w:sz w:val="24"/>
          <w:szCs w:val="24"/>
        </w:rPr>
        <w:t>lei/m</w:t>
      </w:r>
      <w:r w:rsidRPr="00EC1A68">
        <w:rPr>
          <w:rFonts w:asciiTheme="majorHAnsi" w:eastAsia="Times New Roman" w:hAnsiTheme="majorHAnsi" w:cstheme="majorHAnsi"/>
          <w:color w:val="0070C0"/>
          <w:sz w:val="24"/>
          <w:szCs w:val="24"/>
          <w:vertAlign w:val="superscript"/>
        </w:rPr>
        <w:t>3</w:t>
      </w:r>
    </w:p>
    <w:tbl>
      <w:tblPr>
        <w:tblStyle w:val="TableGrid7"/>
        <w:tblW w:w="9568" w:type="dxa"/>
        <w:tblInd w:w="-5" w:type="dxa"/>
        <w:tblLayout w:type="fixed"/>
        <w:tblLook w:val="04A0" w:firstRow="1" w:lastRow="0" w:firstColumn="1" w:lastColumn="0" w:noHBand="0" w:noVBand="1"/>
      </w:tblPr>
      <w:tblGrid>
        <w:gridCol w:w="500"/>
        <w:gridCol w:w="954"/>
        <w:gridCol w:w="647"/>
        <w:gridCol w:w="691"/>
        <w:gridCol w:w="698"/>
        <w:gridCol w:w="699"/>
        <w:gridCol w:w="742"/>
        <w:gridCol w:w="742"/>
        <w:gridCol w:w="682"/>
        <w:gridCol w:w="847"/>
        <w:gridCol w:w="698"/>
        <w:gridCol w:w="683"/>
        <w:gridCol w:w="985"/>
      </w:tblGrid>
      <w:tr w:rsidR="000E184F" w:rsidRPr="008376FC" w:rsidTr="00F03199">
        <w:trPr>
          <w:cantSplit/>
          <w:trHeight w:val="395"/>
        </w:trPr>
        <w:tc>
          <w:tcPr>
            <w:tcW w:w="500"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 xml:space="preserve">Nr. </w:t>
            </w:r>
            <w:r w:rsidR="00C41792">
              <w:rPr>
                <w:rFonts w:asciiTheme="majorHAnsi" w:eastAsia="Times New Roman" w:hAnsiTheme="majorHAnsi" w:cstheme="majorHAnsi"/>
                <w:sz w:val="16"/>
                <w:szCs w:val="16"/>
              </w:rPr>
              <w:t>crt.</w:t>
            </w:r>
          </w:p>
        </w:tc>
        <w:tc>
          <w:tcPr>
            <w:tcW w:w="954"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Localități</w:t>
            </w:r>
          </w:p>
        </w:tc>
        <w:tc>
          <w:tcPr>
            <w:tcW w:w="647"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Tarif</w:t>
            </w:r>
          </w:p>
        </w:tc>
        <w:tc>
          <w:tcPr>
            <w:tcW w:w="691"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2014</w:t>
            </w:r>
          </w:p>
        </w:tc>
        <w:tc>
          <w:tcPr>
            <w:tcW w:w="698"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2015</w:t>
            </w:r>
          </w:p>
        </w:tc>
        <w:tc>
          <w:tcPr>
            <w:tcW w:w="699"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2016</w:t>
            </w:r>
          </w:p>
        </w:tc>
        <w:tc>
          <w:tcPr>
            <w:tcW w:w="742"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2017</w:t>
            </w:r>
          </w:p>
        </w:tc>
        <w:tc>
          <w:tcPr>
            <w:tcW w:w="742"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2018</w:t>
            </w:r>
          </w:p>
        </w:tc>
        <w:tc>
          <w:tcPr>
            <w:tcW w:w="682"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2019</w:t>
            </w:r>
          </w:p>
        </w:tc>
        <w:tc>
          <w:tcPr>
            <w:tcW w:w="847"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2020</w:t>
            </w:r>
          </w:p>
        </w:tc>
        <w:tc>
          <w:tcPr>
            <w:tcW w:w="698"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2021</w:t>
            </w:r>
          </w:p>
        </w:tc>
        <w:tc>
          <w:tcPr>
            <w:tcW w:w="683"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2022</w:t>
            </w:r>
          </w:p>
        </w:tc>
        <w:tc>
          <w:tcPr>
            <w:tcW w:w="985" w:type="dxa"/>
            <w:shd w:val="clear" w:color="auto" w:fill="9CC2E5" w:themeFill="accent1"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b w:val="0"/>
                <w:sz w:val="16"/>
                <w:szCs w:val="16"/>
              </w:rPr>
            </w:pPr>
            <w:r w:rsidRPr="008376FC">
              <w:rPr>
                <w:rFonts w:asciiTheme="majorHAnsi" w:eastAsia="Times New Roman" w:hAnsiTheme="majorHAnsi" w:cstheme="majorHAnsi"/>
                <w:sz w:val="16"/>
                <w:szCs w:val="16"/>
              </w:rPr>
              <w:t>Consuma-torii</w:t>
            </w:r>
          </w:p>
        </w:tc>
      </w:tr>
      <w:tr w:rsidR="000E184F" w:rsidRPr="008376FC" w:rsidTr="00F03199">
        <w:trPr>
          <w:trHeight w:val="12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Şoldăneşti</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12,0</w:t>
            </w:r>
          </w:p>
        </w:tc>
        <w:tc>
          <w:tcPr>
            <w:tcW w:w="683"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17,6/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20,98</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r w:rsidRPr="008376FC">
              <w:rPr>
                <w:rFonts w:asciiTheme="majorHAnsi" w:eastAsia="Times New Roman" w:hAnsiTheme="majorHAnsi" w:cstheme="majorHAnsi"/>
                <w:sz w:val="16"/>
                <w:szCs w:val="16"/>
                <w:vertAlign w:val="superscript"/>
              </w:rPr>
              <w:footnoteReference w:id="162"/>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20,0</w:t>
            </w:r>
          </w:p>
        </w:tc>
        <w:tc>
          <w:tcPr>
            <w:tcW w:w="683"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21,12/</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25,18</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r w:rsidRPr="008376FC">
              <w:rPr>
                <w:rFonts w:asciiTheme="majorHAnsi" w:eastAsia="Times New Roman" w:hAnsiTheme="majorHAnsi" w:cstheme="majorHAnsi"/>
                <w:sz w:val="16"/>
                <w:szCs w:val="16"/>
                <w:vertAlign w:val="superscript"/>
              </w:rPr>
              <w:footnoteReference w:id="163"/>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5,1</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5,1</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5,1</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5,1</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5,1</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5,1</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5,1</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5,1</w:t>
            </w:r>
          </w:p>
        </w:tc>
        <w:tc>
          <w:tcPr>
            <w:tcW w:w="683"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5,1/</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8,11/</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9,50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683"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11,4</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Telenești</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46,0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46,0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46,0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46,0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46,0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46,0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9,15</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9,15</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9,15</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26,0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26,0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26,0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26,0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22,7</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22,7</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22,7</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22,7</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22,7</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Strășeni</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14,6</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14,6</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14,6</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14,6</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14,6</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14,6</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14,6</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14,6</w:t>
            </w:r>
          </w:p>
        </w:tc>
        <w:tc>
          <w:tcPr>
            <w:tcW w:w="683"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16,29</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10,7</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10,7</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10,7</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10,7</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10,7</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10,7</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10,7</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10,7</w:t>
            </w:r>
          </w:p>
        </w:tc>
        <w:tc>
          <w:tcPr>
            <w:tcW w:w="683"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10,93</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Nisporeni</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847"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17,99</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17,99</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17,99</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37,23</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37,23</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37,23</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37,23</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37,23</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37,23</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37,23</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37,23</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37,23</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14,8</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14,8</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14,8</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14,8</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14,8</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14,8</w:t>
            </w:r>
          </w:p>
        </w:tc>
        <w:tc>
          <w:tcPr>
            <w:tcW w:w="847"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18,02</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18,02</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18,02</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28,0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28,0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28,0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28,0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28,0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28,0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28,0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28,0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28,0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Ștefan Vodă</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tc>
        <w:tc>
          <w:tcPr>
            <w:tcW w:w="682"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18,96</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18,96</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18,96</w:t>
            </w:r>
          </w:p>
        </w:tc>
        <w:tc>
          <w:tcPr>
            <w:tcW w:w="683"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18,96/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20,51</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48,75</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48,75</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48,75</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48,75</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48,75</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48,75</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48,75</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48,75</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48,75</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tc>
        <w:tc>
          <w:tcPr>
            <w:tcW w:w="682"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11,75</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11,75</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11,75</w:t>
            </w:r>
          </w:p>
        </w:tc>
        <w:tc>
          <w:tcPr>
            <w:tcW w:w="683"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11,75/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18,34</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27,0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27,0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27,0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27,0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27,0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27,0</w:t>
            </w:r>
          </w:p>
        </w:tc>
        <w:tc>
          <w:tcPr>
            <w:tcW w:w="847"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24,5</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24,5</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24,5</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Dondușeni</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6,5</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6,5</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6,5</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6,5</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6,5</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6,5</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6,5</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6,5</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6,5</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24,0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Basarabeasca</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tc>
        <w:tc>
          <w:tcPr>
            <w:tcW w:w="847"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15,77</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15,77</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15,77</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36,0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36,0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36,0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36,0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36,0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36,0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36,0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36,0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36,0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9</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Chișinău</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8,06</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8,06</w:t>
            </w:r>
          </w:p>
        </w:tc>
        <w:tc>
          <w:tcPr>
            <w:tcW w:w="699"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8,06/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8,55</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8,55</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8,55</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8,55</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8,55</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8,55</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8,55</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12,7</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12,7</w:t>
            </w:r>
          </w:p>
        </w:tc>
        <w:tc>
          <w:tcPr>
            <w:tcW w:w="699"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12,7/</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13,29</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13,29</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13,29</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13,29</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13,29</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13,29</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13,29</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1,13</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1,13</w:t>
            </w:r>
          </w:p>
        </w:tc>
        <w:tc>
          <w:tcPr>
            <w:tcW w:w="699"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1,13/</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2,04</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2,04</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2,04</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2,04</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2,04</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2,04</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2,04</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10,26</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10,26</w:t>
            </w:r>
          </w:p>
        </w:tc>
        <w:tc>
          <w:tcPr>
            <w:tcW w:w="699"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10,26/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11,17</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11,17</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11,17</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11,17</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11,17</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11,17</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11,17</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Soroca</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10,90/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15,26</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10,90/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15,26</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10,90/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15,26</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10,90/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15,26</w:t>
            </w:r>
          </w:p>
        </w:tc>
        <w:tc>
          <w:tcPr>
            <w:tcW w:w="742"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15,26</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15,26</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15,26</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15,26</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15,26</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12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35,2</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/40,94</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35,2/</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40,94</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35,2/</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40,94</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35,2/</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40,94</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35,2/</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40,94</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35,2/</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40,94</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35,2/</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40,94</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35,2/</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40,94</w:t>
            </w:r>
          </w:p>
        </w:tc>
        <w:tc>
          <w:tcPr>
            <w:tcW w:w="683"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35,2</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tc>
        <w:tc>
          <w:tcPr>
            <w:tcW w:w="683"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12,33</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Bălți</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11,08</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11,08</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11,08</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11,08</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11,08</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11,08</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11,08</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11,08</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11,08</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23,64</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23,64</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23,64</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23,64</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23,64</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23,64</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23,64</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23,64</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23,64</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Orhei</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2,9/  16,2/   26,1</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2,9/  16,2/   26,1</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2,9/  16,2/   26,1</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2,9/  16,2/   26,1</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2,9/  16,2/   26,1</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2,9/  16,2/   26,1</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2,9/  16,2/   26,1</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2,9/  16,2/   26,1</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2,9/  16,2/   26,1</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32,6/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42,0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32,6/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42,0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32,6/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42,0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32,6/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42,0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32,6/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42,0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32,6/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42,0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32,6/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42,0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32,6/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42,0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15,5/</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32,6/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33,0/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42,0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Florești</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17,06/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19,36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8"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19,36/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14,50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19,36/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14,50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19,36/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14,50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19,36/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14,50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19,36/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14,50</w:t>
            </w:r>
          </w:p>
        </w:tc>
        <w:tc>
          <w:tcPr>
            <w:tcW w:w="847"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19,36/</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20,69/</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14,50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20,69/</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14,50</w:t>
            </w:r>
          </w:p>
        </w:tc>
        <w:tc>
          <w:tcPr>
            <w:tcW w:w="683"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20,69/</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23,7/</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14,50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32,47/</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35,09</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35,09</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35,09</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35,09</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35,09</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35,09</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35,09</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35,09</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35,09</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5,20/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5,89/</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5,89</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5,89</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5,89</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5,89</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5,89</w:t>
            </w:r>
          </w:p>
        </w:tc>
        <w:tc>
          <w:tcPr>
            <w:tcW w:w="847"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5,89/</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11,74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11,74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83"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11,74/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17,67</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34,94/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37,76</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37,76</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37,76</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37,76</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37,76</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37,76</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37,76</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37,76</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37,76</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Ungheni</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5,84</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5,84</w:t>
            </w:r>
          </w:p>
        </w:tc>
        <w:tc>
          <w:tcPr>
            <w:tcW w:w="699"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6,56</w:t>
            </w:r>
          </w:p>
        </w:tc>
        <w:tc>
          <w:tcPr>
            <w:tcW w:w="742"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13,40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13,40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13,40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13,40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13,40</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13,40</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13,90/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22,04</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13,90/</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22,04</w:t>
            </w:r>
          </w:p>
        </w:tc>
        <w:tc>
          <w:tcPr>
            <w:tcW w:w="699"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13,97/</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22,15</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22,15</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22,15</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22,15</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22,15</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22,15</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22,15</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5,58</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5,58</w:t>
            </w:r>
          </w:p>
        </w:tc>
        <w:tc>
          <w:tcPr>
            <w:tcW w:w="699"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6,39</w:t>
            </w:r>
          </w:p>
        </w:tc>
        <w:tc>
          <w:tcPr>
            <w:tcW w:w="742" w:type="dxa"/>
            <w:shd w:val="clear" w:color="auto" w:fill="F4B083" w:themeFill="accent2" w:themeFillTint="99"/>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w:t>
            </w:r>
            <w:r w:rsidRPr="008376FC">
              <w:rPr>
                <w:rFonts w:asciiTheme="majorHAnsi" w:eastAsia="Times New Roman" w:hAnsiTheme="majorHAnsi" w:cstheme="majorHAnsi"/>
                <w:sz w:val="16"/>
                <w:szCs w:val="16"/>
                <w:shd w:val="clear" w:color="auto" w:fill="F4B083" w:themeFill="accent2" w:themeFillTint="99"/>
              </w:rPr>
              <w:t>,07</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7,07</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7,07</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7,07</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7,07</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7,07</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12,94/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16,21</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12,94/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16,21</w:t>
            </w:r>
          </w:p>
        </w:tc>
        <w:tc>
          <w:tcPr>
            <w:tcW w:w="699" w:type="dxa"/>
            <w:shd w:val="clear" w:color="auto" w:fill="F7CAAC" w:themeFill="accent2" w:themeFillTint="66"/>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13,02/</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16,32</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16,32</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16,32</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16,32</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16,32</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16,32</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16,32</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15</w:t>
            </w:r>
          </w:p>
        </w:tc>
        <w:tc>
          <w:tcPr>
            <w:tcW w:w="954"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H</w:t>
            </w:r>
            <w:r w:rsidR="00C41792">
              <w:rPr>
                <w:rFonts w:asciiTheme="majorHAnsi" w:eastAsia="Times New Roman" w:hAnsiTheme="majorHAnsi" w:cstheme="majorHAnsi"/>
                <w:sz w:val="16"/>
                <w:szCs w:val="16"/>
              </w:rPr>
              <w:t>â</w:t>
            </w:r>
            <w:r w:rsidRPr="008376FC">
              <w:rPr>
                <w:rFonts w:asciiTheme="majorHAnsi" w:eastAsia="Times New Roman" w:hAnsiTheme="majorHAnsi" w:cstheme="majorHAnsi"/>
                <w:sz w:val="16"/>
                <w:szCs w:val="16"/>
              </w:rPr>
              <w:t>nceşti</w:t>
            </w: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SAA</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18,40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18,40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18,40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18,40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18,40</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18,40</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18,40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18,40</w:t>
            </w:r>
          </w:p>
        </w:tc>
        <w:tc>
          <w:tcPr>
            <w:tcW w:w="683" w:type="dxa"/>
            <w:shd w:val="clear" w:color="auto" w:fill="F7CAAC" w:themeFill="accent2" w:themeFillTint="66"/>
          </w:tcPr>
          <w:p w:rsidR="000E184F" w:rsidRPr="008376FC" w:rsidRDefault="000E184F" w:rsidP="00F61756">
            <w:pPr>
              <w:widowControl w:val="0"/>
              <w:shd w:val="clear" w:color="auto" w:fill="F7CAAC" w:themeFill="accent2" w:themeFillTint="66"/>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18,40/</w:t>
            </w:r>
          </w:p>
          <w:p w:rsidR="000E184F" w:rsidRPr="008376FC" w:rsidRDefault="000E184F" w:rsidP="00F61756">
            <w:pPr>
              <w:widowControl w:val="0"/>
              <w:shd w:val="clear" w:color="auto" w:fill="F7CAAC" w:themeFill="accent2" w:themeFillTint="66"/>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18,85/</w:t>
            </w:r>
          </w:p>
          <w:p w:rsidR="000E184F" w:rsidRPr="008376FC" w:rsidRDefault="000E184F" w:rsidP="00F61756">
            <w:pPr>
              <w:widowControl w:val="0"/>
              <w:shd w:val="clear" w:color="auto" w:fill="F7CAAC" w:themeFill="accent2" w:themeFillTint="66"/>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21,82</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50,40</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50,40</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50,40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50,40</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50,40</w:t>
            </w:r>
          </w:p>
        </w:tc>
        <w:tc>
          <w:tcPr>
            <w:tcW w:w="682" w:type="dxa"/>
            <w:shd w:val="clear" w:color="auto" w:fill="F7CAAC" w:themeFill="accent2" w:themeFillTint="66"/>
          </w:tcPr>
          <w:p w:rsidR="000E184F" w:rsidRPr="008376FC" w:rsidRDefault="000E184F" w:rsidP="00F61756">
            <w:pPr>
              <w:widowControl w:val="0"/>
              <w:shd w:val="clear" w:color="auto" w:fill="F7CAAC" w:themeFill="accent2" w:themeFillTint="66"/>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50,40/</w:t>
            </w:r>
          </w:p>
          <w:p w:rsidR="000E184F" w:rsidRPr="008376FC" w:rsidRDefault="000E184F" w:rsidP="00F61756">
            <w:pPr>
              <w:widowControl w:val="0"/>
              <w:shd w:val="clear" w:color="auto" w:fill="F7CAAC" w:themeFill="accent2" w:themeFillTint="66"/>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50,28</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50,28</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50,28</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50,28</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val="restart"/>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SC</w:t>
            </w: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7,35</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7,35</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7,35</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7,35</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7,35</w:t>
            </w:r>
          </w:p>
        </w:tc>
        <w:tc>
          <w:tcPr>
            <w:tcW w:w="68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7,35</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7,35</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7,35</w:t>
            </w:r>
          </w:p>
        </w:tc>
        <w:tc>
          <w:tcPr>
            <w:tcW w:w="683" w:type="dxa"/>
            <w:shd w:val="clear" w:color="auto" w:fill="F7CAAC" w:themeFill="accent2" w:themeFillTint="66"/>
          </w:tcPr>
          <w:p w:rsidR="000E184F" w:rsidRPr="008376FC" w:rsidRDefault="000E184F" w:rsidP="00F61756">
            <w:pPr>
              <w:widowControl w:val="0"/>
              <w:shd w:val="clear" w:color="auto" w:fill="F7CAAC" w:themeFill="accent2" w:themeFillTint="66"/>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7,35/</w:t>
            </w:r>
          </w:p>
          <w:p w:rsidR="000E184F" w:rsidRPr="008376FC" w:rsidRDefault="000E184F" w:rsidP="00F61756">
            <w:pPr>
              <w:widowControl w:val="0"/>
              <w:shd w:val="clear" w:color="auto" w:fill="F7CAAC" w:themeFill="accent2" w:themeFillTint="66"/>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11,33/</w:t>
            </w:r>
          </w:p>
          <w:p w:rsidR="000E184F" w:rsidRPr="008376FC" w:rsidRDefault="000E184F" w:rsidP="00F61756">
            <w:pPr>
              <w:widowControl w:val="0"/>
              <w:shd w:val="clear" w:color="auto" w:fill="F7CAAC" w:themeFill="accent2" w:themeFillTint="66"/>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14,65</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c</w:t>
            </w:r>
          </w:p>
        </w:tc>
      </w:tr>
      <w:tr w:rsidR="000E184F" w:rsidRPr="008376FC" w:rsidTr="00F03199">
        <w:trPr>
          <w:trHeight w:val="258"/>
        </w:trPr>
        <w:tc>
          <w:tcPr>
            <w:tcW w:w="500"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954"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47" w:type="dxa"/>
            <w:vMerge/>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p>
        </w:tc>
        <w:tc>
          <w:tcPr>
            <w:tcW w:w="691"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25,94</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25,94</w:t>
            </w:r>
          </w:p>
        </w:tc>
        <w:tc>
          <w:tcPr>
            <w:tcW w:w="699"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25,94</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25,94</w:t>
            </w:r>
          </w:p>
        </w:tc>
        <w:tc>
          <w:tcPr>
            <w:tcW w:w="742"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25,94</w:t>
            </w:r>
          </w:p>
        </w:tc>
        <w:tc>
          <w:tcPr>
            <w:tcW w:w="682" w:type="dxa"/>
            <w:shd w:val="clear" w:color="auto" w:fill="F7CAAC" w:themeFill="accent2" w:themeFillTint="66"/>
          </w:tcPr>
          <w:p w:rsidR="000E184F" w:rsidRPr="008376FC" w:rsidRDefault="000E184F" w:rsidP="00F61756">
            <w:pPr>
              <w:widowControl w:val="0"/>
              <w:shd w:val="clear" w:color="auto" w:fill="F7CAAC" w:themeFill="accent2" w:themeFillTint="66"/>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25,94/</w:t>
            </w:r>
          </w:p>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23,51</w:t>
            </w:r>
          </w:p>
        </w:tc>
        <w:tc>
          <w:tcPr>
            <w:tcW w:w="847"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23,51</w:t>
            </w:r>
          </w:p>
        </w:tc>
        <w:tc>
          <w:tcPr>
            <w:tcW w:w="698"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23,51</w:t>
            </w:r>
          </w:p>
        </w:tc>
        <w:tc>
          <w:tcPr>
            <w:tcW w:w="683" w:type="dxa"/>
            <w:shd w:val="clear" w:color="auto" w:fill="E2EFD9" w:themeFill="accent6" w:themeFillTint="33"/>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23,51</w:t>
            </w:r>
          </w:p>
        </w:tc>
        <w:tc>
          <w:tcPr>
            <w:tcW w:w="985" w:type="dxa"/>
            <w:shd w:val="clear" w:color="auto" w:fill="FFFFFF" w:themeFill="background1"/>
          </w:tcPr>
          <w:p w:rsidR="000E184F" w:rsidRPr="008376FC" w:rsidRDefault="000E184F" w:rsidP="00F61756">
            <w:pPr>
              <w:widowControl w:val="0"/>
              <w:autoSpaceDE w:val="0"/>
              <w:autoSpaceDN w:val="0"/>
              <w:spacing w:before="9" w:after="10" w:line="276" w:lineRule="auto"/>
              <w:jc w:val="both"/>
              <w:rPr>
                <w:rFonts w:asciiTheme="majorHAnsi" w:eastAsia="Times New Roman" w:hAnsiTheme="majorHAnsi" w:cstheme="majorHAnsi"/>
                <w:sz w:val="16"/>
                <w:szCs w:val="16"/>
              </w:rPr>
            </w:pPr>
            <w:r w:rsidRPr="008376FC">
              <w:rPr>
                <w:rFonts w:asciiTheme="majorHAnsi" w:eastAsia="Times New Roman" w:hAnsiTheme="majorHAnsi" w:cstheme="majorHAnsi"/>
                <w:sz w:val="16"/>
                <w:szCs w:val="16"/>
              </w:rPr>
              <w:t>n/c</w:t>
            </w:r>
          </w:p>
        </w:tc>
      </w:tr>
    </w:tbl>
    <w:p w:rsidR="000E184F" w:rsidRPr="008376FC" w:rsidRDefault="000E184F" w:rsidP="00F61756">
      <w:pPr>
        <w:widowControl w:val="0"/>
        <w:autoSpaceDE w:val="0"/>
        <w:autoSpaceDN w:val="0"/>
        <w:spacing w:before="120" w:line="276" w:lineRule="auto"/>
        <w:ind w:right="112"/>
        <w:rPr>
          <w:rFonts w:asciiTheme="majorHAnsi" w:eastAsia="Times New Roman" w:hAnsiTheme="majorHAnsi" w:cstheme="majorHAnsi"/>
          <w:iCs/>
          <w:sz w:val="20"/>
          <w:szCs w:val="20"/>
        </w:rPr>
      </w:pPr>
      <w:r w:rsidRPr="008376FC">
        <w:rPr>
          <w:rFonts w:asciiTheme="majorHAnsi" w:eastAsia="Times New Roman" w:hAnsiTheme="majorHAnsi" w:cstheme="majorHAnsi"/>
          <w:sz w:val="16"/>
          <w:szCs w:val="16"/>
        </w:rPr>
        <w:t xml:space="preserve">Sursa: </w:t>
      </w:r>
      <w:r w:rsidRPr="008376FC">
        <w:rPr>
          <w:rFonts w:asciiTheme="majorHAnsi" w:eastAsia="Times New Roman" w:hAnsiTheme="majorHAnsi" w:cstheme="majorHAnsi"/>
          <w:b w:val="0"/>
          <w:bCs w:val="0"/>
          <w:sz w:val="16"/>
          <w:szCs w:val="16"/>
        </w:rPr>
        <w:t>Datele operatorilor.</w:t>
      </w:r>
    </w:p>
    <w:p w:rsidR="000E184F" w:rsidRPr="00EC1A68" w:rsidRDefault="000E184F" w:rsidP="00F61756">
      <w:pPr>
        <w:spacing w:line="276" w:lineRule="auto"/>
        <w:rPr>
          <w:rFonts w:asciiTheme="majorHAnsi" w:eastAsia="Times New Roman" w:hAnsiTheme="majorHAnsi" w:cstheme="majorHAnsi"/>
          <w:b w:val="0"/>
          <w:bCs w:val="0"/>
          <w:color w:val="0070C0"/>
          <w:sz w:val="24"/>
          <w:szCs w:val="24"/>
          <w:shd w:val="clear" w:color="auto" w:fill="FFFFFF"/>
        </w:rPr>
      </w:pPr>
      <w:r w:rsidRPr="00EC1A68">
        <w:rPr>
          <w:rFonts w:asciiTheme="majorHAnsi" w:eastAsia="Times New Roman" w:hAnsiTheme="majorHAnsi" w:cstheme="majorHAnsi"/>
          <w:color w:val="0070C0"/>
          <w:sz w:val="24"/>
          <w:szCs w:val="24"/>
          <w:shd w:val="clear" w:color="auto" w:fill="FFFFFF"/>
        </w:rPr>
        <w:t>Anexa nr.12. Sinteza numărului de PV încheiate în urma controalelor efectuate în anii 2014-2020</w:t>
      </w:r>
    </w:p>
    <w:tbl>
      <w:tblPr>
        <w:tblStyle w:val="TableGrid8"/>
        <w:tblW w:w="9639" w:type="dxa"/>
        <w:tblInd w:w="-5" w:type="dxa"/>
        <w:tblLayout w:type="fixed"/>
        <w:tblLook w:val="04A0" w:firstRow="1" w:lastRow="0" w:firstColumn="1" w:lastColumn="0" w:noHBand="0" w:noVBand="1"/>
      </w:tblPr>
      <w:tblGrid>
        <w:gridCol w:w="478"/>
        <w:gridCol w:w="1507"/>
        <w:gridCol w:w="3544"/>
        <w:gridCol w:w="851"/>
        <w:gridCol w:w="709"/>
        <w:gridCol w:w="537"/>
        <w:gridCol w:w="601"/>
        <w:gridCol w:w="616"/>
        <w:gridCol w:w="566"/>
        <w:gridCol w:w="230"/>
      </w:tblGrid>
      <w:tr w:rsidR="000E184F" w:rsidRPr="008376FC" w:rsidTr="00EC1A68">
        <w:trPr>
          <w:trHeight w:val="292"/>
        </w:trPr>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84F" w:rsidRPr="008376FC" w:rsidRDefault="000E184F" w:rsidP="004D7A2D">
            <w:pPr>
              <w:jc w:val="center"/>
              <w:rPr>
                <w:rFonts w:asciiTheme="majorHAnsi" w:eastAsia="Times New Roman" w:hAnsiTheme="majorHAnsi" w:cstheme="majorHAnsi"/>
                <w:sz w:val="18"/>
                <w:szCs w:val="18"/>
                <w:shd w:val="clear" w:color="auto" w:fill="FFFFFF"/>
              </w:rPr>
            </w:pPr>
            <w:r w:rsidRPr="008376FC">
              <w:rPr>
                <w:rFonts w:asciiTheme="majorHAnsi" w:eastAsia="Times New Roman" w:hAnsiTheme="majorHAnsi" w:cstheme="majorHAnsi"/>
                <w:sz w:val="18"/>
                <w:szCs w:val="18"/>
                <w:shd w:val="clear" w:color="auto" w:fill="FFFFFF"/>
              </w:rPr>
              <w:t>Nr. d/o</w:t>
            </w: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84F" w:rsidRPr="008376FC" w:rsidRDefault="000E184F" w:rsidP="004D7A2D">
            <w:pPr>
              <w:jc w:val="center"/>
              <w:rPr>
                <w:rFonts w:asciiTheme="majorHAnsi" w:eastAsia="Times New Roman" w:hAnsiTheme="majorHAnsi" w:cstheme="majorHAnsi"/>
                <w:sz w:val="18"/>
                <w:szCs w:val="18"/>
                <w:shd w:val="clear" w:color="auto" w:fill="FFFFFF"/>
              </w:rPr>
            </w:pPr>
            <w:r w:rsidRPr="008376FC">
              <w:rPr>
                <w:rFonts w:asciiTheme="majorHAnsi" w:eastAsia="Times New Roman" w:hAnsiTheme="majorHAnsi" w:cstheme="majorHAnsi"/>
                <w:sz w:val="18"/>
                <w:szCs w:val="18"/>
                <w:shd w:val="clear" w:color="auto" w:fill="FFFFFF"/>
              </w:rPr>
              <w:t xml:space="preserve">Art. din Codul </w:t>
            </w:r>
            <w:r w:rsidR="00C41792">
              <w:rPr>
                <w:rFonts w:asciiTheme="majorHAnsi" w:eastAsia="Times New Roman" w:hAnsiTheme="majorHAnsi" w:cstheme="majorHAnsi"/>
                <w:sz w:val="18"/>
                <w:szCs w:val="18"/>
                <w:shd w:val="clear" w:color="auto" w:fill="FFFFFF"/>
              </w:rPr>
              <w:t>c</w:t>
            </w:r>
            <w:r w:rsidRPr="008376FC">
              <w:rPr>
                <w:rFonts w:asciiTheme="majorHAnsi" w:eastAsia="Times New Roman" w:hAnsiTheme="majorHAnsi" w:cstheme="majorHAnsi"/>
                <w:sz w:val="18"/>
                <w:szCs w:val="18"/>
                <w:shd w:val="clear" w:color="auto" w:fill="FFFFFF"/>
              </w:rPr>
              <w:t>ontravențional</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84F" w:rsidRPr="008376FC" w:rsidRDefault="000E184F" w:rsidP="004D7A2D">
            <w:pPr>
              <w:jc w:val="center"/>
              <w:rPr>
                <w:rFonts w:asciiTheme="majorHAnsi" w:eastAsia="Times New Roman" w:hAnsiTheme="majorHAnsi" w:cstheme="majorHAnsi"/>
                <w:sz w:val="18"/>
                <w:szCs w:val="18"/>
                <w:shd w:val="clear" w:color="auto" w:fill="FFFFFF"/>
              </w:rPr>
            </w:pPr>
            <w:r w:rsidRPr="008376FC">
              <w:rPr>
                <w:rFonts w:asciiTheme="majorHAnsi" w:eastAsia="Times New Roman" w:hAnsiTheme="majorHAnsi" w:cstheme="majorHAnsi"/>
                <w:sz w:val="18"/>
                <w:szCs w:val="18"/>
                <w:shd w:val="clear" w:color="auto" w:fill="FFFFFF"/>
              </w:rPr>
              <w:t>Conținutul articolului</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84F" w:rsidRPr="008376FC" w:rsidRDefault="000E184F" w:rsidP="004D7A2D">
            <w:pPr>
              <w:jc w:val="center"/>
              <w:rPr>
                <w:rFonts w:asciiTheme="majorHAnsi" w:eastAsia="Times New Roman" w:hAnsiTheme="majorHAnsi" w:cstheme="majorHAnsi"/>
                <w:sz w:val="18"/>
                <w:szCs w:val="18"/>
                <w:shd w:val="clear" w:color="auto" w:fill="FFFFFF"/>
              </w:rPr>
            </w:pPr>
            <w:r w:rsidRPr="008376FC">
              <w:rPr>
                <w:rFonts w:asciiTheme="majorHAnsi" w:eastAsia="Times New Roman" w:hAnsiTheme="majorHAnsi" w:cstheme="majorHAnsi"/>
                <w:sz w:val="18"/>
                <w:szCs w:val="18"/>
                <w:shd w:val="clear" w:color="auto" w:fill="FFFFFF"/>
              </w:rPr>
              <w:t>2015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84F" w:rsidRPr="008376FC" w:rsidRDefault="000E184F" w:rsidP="004D7A2D">
            <w:pPr>
              <w:jc w:val="center"/>
              <w:rPr>
                <w:rFonts w:asciiTheme="majorHAnsi" w:eastAsia="Times New Roman" w:hAnsiTheme="majorHAnsi" w:cstheme="majorHAnsi"/>
                <w:sz w:val="18"/>
                <w:szCs w:val="18"/>
                <w:shd w:val="clear" w:color="auto" w:fill="FFFFFF"/>
              </w:rPr>
            </w:pPr>
            <w:r w:rsidRPr="008376FC">
              <w:rPr>
                <w:rFonts w:asciiTheme="majorHAnsi" w:eastAsia="Times New Roman" w:hAnsiTheme="majorHAnsi" w:cstheme="majorHAnsi"/>
                <w:sz w:val="18"/>
                <w:szCs w:val="18"/>
                <w:shd w:val="clear" w:color="auto" w:fill="FFFFFF"/>
              </w:rPr>
              <w:t>2016</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84F" w:rsidRPr="008376FC" w:rsidRDefault="000E184F" w:rsidP="004D7A2D">
            <w:pPr>
              <w:jc w:val="center"/>
              <w:rPr>
                <w:rFonts w:asciiTheme="majorHAnsi" w:eastAsia="Times New Roman" w:hAnsiTheme="majorHAnsi" w:cstheme="majorHAnsi"/>
                <w:sz w:val="18"/>
                <w:szCs w:val="18"/>
                <w:shd w:val="clear" w:color="auto" w:fill="FFFFFF"/>
              </w:rPr>
            </w:pPr>
            <w:r w:rsidRPr="008376FC">
              <w:rPr>
                <w:rFonts w:asciiTheme="majorHAnsi" w:eastAsia="Times New Roman" w:hAnsiTheme="majorHAnsi" w:cstheme="majorHAnsi"/>
                <w:sz w:val="18"/>
                <w:szCs w:val="18"/>
                <w:shd w:val="clear" w:color="auto" w:fill="FFFFFF"/>
              </w:rPr>
              <w:t>2017</w:t>
            </w: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84F" w:rsidRPr="008376FC" w:rsidRDefault="000E184F" w:rsidP="004D7A2D">
            <w:pPr>
              <w:jc w:val="center"/>
              <w:rPr>
                <w:rFonts w:asciiTheme="majorHAnsi" w:eastAsia="Times New Roman" w:hAnsiTheme="majorHAnsi" w:cstheme="majorHAnsi"/>
                <w:sz w:val="18"/>
                <w:szCs w:val="18"/>
                <w:shd w:val="clear" w:color="auto" w:fill="FFFFFF"/>
              </w:rPr>
            </w:pPr>
            <w:r w:rsidRPr="008376FC">
              <w:rPr>
                <w:rFonts w:asciiTheme="majorHAnsi" w:eastAsia="Times New Roman" w:hAnsiTheme="majorHAnsi" w:cstheme="majorHAnsi"/>
                <w:sz w:val="18"/>
                <w:szCs w:val="18"/>
                <w:shd w:val="clear" w:color="auto" w:fill="FFFFFF"/>
              </w:rPr>
              <w:t>2018</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84F" w:rsidRPr="008376FC" w:rsidRDefault="000E184F" w:rsidP="004D7A2D">
            <w:pPr>
              <w:jc w:val="center"/>
              <w:rPr>
                <w:rFonts w:asciiTheme="majorHAnsi" w:eastAsia="Times New Roman" w:hAnsiTheme="majorHAnsi" w:cstheme="majorHAnsi"/>
                <w:sz w:val="18"/>
                <w:szCs w:val="18"/>
                <w:shd w:val="clear" w:color="auto" w:fill="FFFFFF"/>
              </w:rPr>
            </w:pPr>
            <w:r w:rsidRPr="008376FC">
              <w:rPr>
                <w:rFonts w:asciiTheme="majorHAnsi" w:eastAsia="Times New Roman" w:hAnsiTheme="majorHAnsi" w:cstheme="majorHAnsi"/>
                <w:sz w:val="18"/>
                <w:szCs w:val="18"/>
                <w:shd w:val="clear" w:color="auto" w:fill="FFFFFF"/>
              </w:rPr>
              <w:t>2019</w:t>
            </w:r>
          </w:p>
        </w:tc>
        <w:tc>
          <w:tcPr>
            <w:tcW w:w="796"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E184F" w:rsidRPr="008376FC" w:rsidRDefault="000E184F" w:rsidP="004D7A2D">
            <w:pPr>
              <w:jc w:val="center"/>
              <w:rPr>
                <w:rFonts w:asciiTheme="majorHAnsi" w:eastAsia="Times New Roman" w:hAnsiTheme="majorHAnsi" w:cstheme="majorHAnsi"/>
                <w:sz w:val="18"/>
                <w:szCs w:val="18"/>
                <w:shd w:val="clear" w:color="auto" w:fill="FFFFFF"/>
              </w:rPr>
            </w:pPr>
            <w:r w:rsidRPr="008376FC">
              <w:rPr>
                <w:rFonts w:asciiTheme="majorHAnsi" w:eastAsia="Times New Roman" w:hAnsiTheme="majorHAnsi" w:cstheme="majorHAnsi"/>
                <w:sz w:val="18"/>
                <w:szCs w:val="18"/>
                <w:shd w:val="clear" w:color="auto" w:fill="FFFFFF"/>
              </w:rPr>
              <w:t>2020</w:t>
            </w:r>
          </w:p>
        </w:tc>
      </w:tr>
      <w:tr w:rsidR="000E184F" w:rsidRPr="008376FC" w:rsidTr="00EC1A68">
        <w:trPr>
          <w:trHeight w:val="170"/>
        </w:trPr>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Art.109 (1)</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Încălcarea regimului de protecţie a apelor av</w:t>
            </w:r>
            <w:r w:rsidR="00C41792">
              <w:rPr>
                <w:rFonts w:asciiTheme="majorHAnsi" w:eastAsia="Times New Roman" w:hAnsiTheme="majorHAnsi" w:cstheme="majorHAnsi"/>
                <w:b w:val="0"/>
                <w:bCs w:val="0"/>
                <w:sz w:val="20"/>
                <w:szCs w:val="20"/>
                <w:shd w:val="clear" w:color="auto" w:fill="FFFFFF"/>
              </w:rPr>
              <w:t>â</w:t>
            </w:r>
            <w:r w:rsidRPr="008376FC">
              <w:rPr>
                <w:rFonts w:asciiTheme="majorHAnsi" w:eastAsia="Times New Roman" w:hAnsiTheme="majorHAnsi" w:cstheme="majorHAnsi"/>
                <w:b w:val="0"/>
                <w:bCs w:val="0"/>
                <w:sz w:val="20"/>
                <w:szCs w:val="20"/>
                <w:shd w:val="clear" w:color="auto" w:fill="FFFFFF"/>
              </w:rPr>
              <w:t>nd drept urmare poluarea acestora, eroziunea solurilor şi alte fenomene dăunătoare se sancţionează cu amendă de la 60 la 120 de unităţi convenţionale aplicată persoanei fizice sau cu muncă neremunerată în folosul comunităţii de la 10 la 40 de ore, cu amendă de la 600 la 800 de unităţi convenţionale aplicată persoanei juridice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611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359</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73</w:t>
            </w: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26</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31</w:t>
            </w:r>
          </w:p>
        </w:tc>
        <w:tc>
          <w:tcPr>
            <w:tcW w:w="79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46</w:t>
            </w:r>
          </w:p>
        </w:tc>
      </w:tr>
      <w:tr w:rsidR="000E184F" w:rsidRPr="008376FC" w:rsidTr="00EC1A68">
        <w:trPr>
          <w:trHeight w:val="203"/>
        </w:trPr>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Art.109 (2)</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Darea în exploatare a întreprinderilor, a imobilelor comunale şi de altă natură fără construcţiile şi instalaţiile care să prevină impurificarea şi infectarea apelor sau influenţa lor dăunătoare se sancționează cu amendă de la 24 la 30 de unităţi convenţionale aplicată persoanei fizice sau cu muncă neremunerată în folosul comunităţii de la 20 la 40 de ore, cu amendă de la 42 la 90 de unităţi convenţionale aplicată persoanei cu funcţie de răspundere, cu amendă de la 240 la 300 de unităţi convenţionale aplicată persoanei juridice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10</w:t>
            </w: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w:t>
            </w:r>
          </w:p>
        </w:tc>
        <w:tc>
          <w:tcPr>
            <w:tcW w:w="79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r>
      <w:tr w:rsidR="000E184F" w:rsidRPr="008376FC" w:rsidTr="00EC1A68">
        <w:trPr>
          <w:trHeight w:val="249"/>
        </w:trPr>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w:t>
            </w: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Art.109 (3)</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Spălarea vehiculelor, utilajelor şi ambalajelor în apele naturale, în preajma lor şi în alte locuri neautorizate se sancţionează cu amendă de la 12 la 30 de unităţi convenţionale aplicată persoanei fizice sau cu muncă neremunerată în folosul comunităţii de la 40 la 60 de ore, cu amendă de la 60 la 120 de unităţi convenţionale aplicată persoanei juridice cu sau fără privarea, în ambele cazuri, de dreptul de a desfăşura o anumită activitate pe un termen de la 3 luni la un an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345</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189</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51</w:t>
            </w: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52</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86</w:t>
            </w:r>
          </w:p>
        </w:tc>
        <w:tc>
          <w:tcPr>
            <w:tcW w:w="79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55</w:t>
            </w:r>
          </w:p>
        </w:tc>
      </w:tr>
      <w:tr w:rsidR="000E184F" w:rsidRPr="008376FC" w:rsidTr="00EC1A68">
        <w:trPr>
          <w:trHeight w:val="249"/>
        </w:trPr>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w:t>
            </w: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Art.109 (3</w:t>
            </w:r>
            <w:r w:rsidRPr="008376FC">
              <w:rPr>
                <w:rFonts w:asciiTheme="majorHAnsi" w:eastAsia="Times New Roman" w:hAnsiTheme="majorHAnsi" w:cstheme="majorHAnsi"/>
                <w:b w:val="0"/>
                <w:bCs w:val="0"/>
                <w:sz w:val="20"/>
                <w:szCs w:val="20"/>
                <w:shd w:val="clear" w:color="auto" w:fill="FFFFFF"/>
                <w:vertAlign w:val="superscript"/>
              </w:rPr>
              <w:t>1</w:t>
            </w:r>
            <w:r w:rsidRPr="008376FC">
              <w:rPr>
                <w:rFonts w:asciiTheme="majorHAnsi" w:eastAsia="Times New Roman" w:hAnsiTheme="majorHAnsi" w:cstheme="majorHAnsi"/>
                <w:b w:val="0"/>
                <w:bCs w:val="0"/>
                <w:sz w:val="20"/>
                <w:szCs w:val="20"/>
                <w:shd w:val="clear" w:color="auto" w:fill="FFFFFF"/>
              </w:rPr>
              <w:t>)</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Acceptarea directă sau indirectă, prin acţiuni sau inacţiuni implicite, sau beneficierea de servicii de spălare a vehiculelor, utilajelor şi ambalajelor în apele naturale, în preajma lor şi în alte locuri neautorizate se sancţionează cu amendă de la 20 la 50 de unităţi convenţionale aplicată persoanei fizice sau cu muncă neremunerată în folosul comunităţii de la 40 la 60 de ore, cu amendă de la 100 la 200 de unităţi convenţionale aplicată persoanei juridice cu sau fără privarea, în ambele cazuri, de dreptul de a desfăşura o anumită activitate pe un termen de la 3 luni la un an</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w:t>
            </w: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0</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79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r>
      <w:tr w:rsidR="000E184F" w:rsidRPr="008376FC" w:rsidTr="00EC1A68">
        <w:trPr>
          <w:trHeight w:val="138"/>
        </w:trPr>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w:t>
            </w: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Art.109 (4)</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Nerespectarea dimensiunilor şi regimului de protecţie a zonelor de protecţie a apelor r</w:t>
            </w:r>
            <w:r w:rsidR="00C41792">
              <w:rPr>
                <w:rFonts w:asciiTheme="majorHAnsi" w:eastAsia="Times New Roman" w:hAnsiTheme="majorHAnsi" w:cstheme="majorHAnsi"/>
                <w:b w:val="0"/>
                <w:bCs w:val="0"/>
                <w:sz w:val="20"/>
                <w:szCs w:val="20"/>
                <w:shd w:val="clear" w:color="auto" w:fill="FFFFFF"/>
              </w:rPr>
              <w:t>â</w:t>
            </w:r>
            <w:r w:rsidRPr="008376FC">
              <w:rPr>
                <w:rFonts w:asciiTheme="majorHAnsi" w:eastAsia="Times New Roman" w:hAnsiTheme="majorHAnsi" w:cstheme="majorHAnsi"/>
                <w:b w:val="0"/>
                <w:bCs w:val="0"/>
                <w:sz w:val="20"/>
                <w:szCs w:val="20"/>
                <w:shd w:val="clear" w:color="auto" w:fill="FFFFFF"/>
              </w:rPr>
              <w:t>urilor şi bazinelor de apă şi a f</w:t>
            </w:r>
            <w:r w:rsidR="00C41792">
              <w:rPr>
                <w:rFonts w:asciiTheme="majorHAnsi" w:eastAsia="Times New Roman" w:hAnsiTheme="majorHAnsi" w:cstheme="majorHAnsi"/>
                <w:b w:val="0"/>
                <w:bCs w:val="0"/>
                <w:sz w:val="20"/>
                <w:szCs w:val="20"/>
                <w:shd w:val="clear" w:color="auto" w:fill="FFFFFF"/>
              </w:rPr>
              <w:t>â</w:t>
            </w:r>
            <w:r w:rsidRPr="008376FC">
              <w:rPr>
                <w:rFonts w:asciiTheme="majorHAnsi" w:eastAsia="Times New Roman" w:hAnsiTheme="majorHAnsi" w:cstheme="majorHAnsi"/>
                <w:b w:val="0"/>
                <w:bCs w:val="0"/>
                <w:sz w:val="20"/>
                <w:szCs w:val="20"/>
                <w:shd w:val="clear" w:color="auto" w:fill="FFFFFF"/>
              </w:rPr>
              <w:t>şiilor riverane de protecţie a apelor se sancţionează cu amendă de la 6 la 18 unităţi convenţionale aplicată persoanei fizice, cu amendă de la 60 la 120 de unităţi convenţionale aplicată persoanei juridice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451</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370</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104</w:t>
            </w: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86</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143</w:t>
            </w:r>
          </w:p>
        </w:tc>
        <w:tc>
          <w:tcPr>
            <w:tcW w:w="79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67</w:t>
            </w:r>
          </w:p>
        </w:tc>
      </w:tr>
      <w:tr w:rsidR="000E184F" w:rsidRPr="008376FC" w:rsidTr="00EC1A68">
        <w:trPr>
          <w:trHeight w:val="44"/>
        </w:trPr>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w:t>
            </w: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Art.109 (5)</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Nerespectarea limitelor şi regimului de protecţie a perdelelor forestiere de protecţie a apelor se sancţionează cu amendă de la 6 la 18 unităţi convenţionale aplicată persoanei fizice, cu amendă de la 60 la 120 de unităţi convenţionale aplicată persoanei juridice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0</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w:t>
            </w:r>
          </w:p>
        </w:tc>
        <w:tc>
          <w:tcPr>
            <w:tcW w:w="79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w:t>
            </w:r>
          </w:p>
        </w:tc>
      </w:tr>
      <w:tr w:rsidR="000E184F" w:rsidRPr="008376FC" w:rsidTr="00EC1A68">
        <w:trPr>
          <w:trHeight w:val="86"/>
        </w:trPr>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w:t>
            </w: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Art.109 (6)</w:t>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Neîndeplinirea de către căpitan sau de către alţi membri ai personalului de comandă al unei nave a obligaţiilor prevăzute de legislaţie privind înregistrarea în actele de bord a operaţiunilor cu substanţe nocive pentru oameni şi pentru resursele vii ale mării ori cu amestecuri ce conţin astfel de substanţe peste normele stabilite, introducerea în actele de bord a unor menţiuni false referitor la astfel de operaţiuni sau refuzul nelegitim de a prezenta actele persoanelor cu funcţie de răspundere se sancţionează cu amendă de la 30 la 42 de unităţi convenţionale sau cu muncă neremunerată în folosul comunităţii de la 40 la 60 de ore</w:t>
            </w: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0</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0</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0</w:t>
            </w: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0</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0</w:t>
            </w:r>
          </w:p>
        </w:tc>
        <w:tc>
          <w:tcPr>
            <w:tcW w:w="79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exclus</w:t>
            </w:r>
          </w:p>
        </w:tc>
      </w:tr>
      <w:tr w:rsidR="000E184F" w:rsidRPr="008376FC" w:rsidTr="00EC1A68">
        <w:trPr>
          <w:trHeight w:val="309"/>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8</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Art.110 alin.1</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Captarea şi folosirea apei cu încălcarea limitelor stabilite, folosirea apei potabile în scopuri tehnice se sancţionează cu amendă de la 12 la 24 de unităţi convenţionale aplicată persoanei fizice sau cu muncă neremunerată în folosul comunităţii de la 20 la 40 de ore, cu amendă de la 120 la 240 de unităţi convenţionale aplicată persoanei juridice cu sau fără privarea, în ambele cazuri, de dreptul de a desfăşura o anumită activitate pe un termen de la 3 luni la un an</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20</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37</w:t>
            </w:r>
          </w:p>
        </w:tc>
        <w:tc>
          <w:tcPr>
            <w:tcW w:w="53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37</w:t>
            </w: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19</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13</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24</w:t>
            </w:r>
          </w:p>
        </w:tc>
      </w:tr>
      <w:tr w:rsidR="000E184F" w:rsidRPr="008376FC" w:rsidTr="00EC1A68">
        <w:trPr>
          <w:trHeight w:val="309"/>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Art.110 (2)</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Folosirea obiectivelor acvatice fără autorizaţia de folosinţă special se sancţionează cu amendă de la 24 la 30 de unităţi convenţionale aplicată persoanei fizice, cu amendă de la 240 la 300 de unităţi convenţionale aplicată persoanei juridice cu sau fără privarea de dreptul de a desfăşura o anumită activitate pe un termen de la 3 luni la un an</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142</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112</w:t>
            </w:r>
          </w:p>
        </w:tc>
        <w:tc>
          <w:tcPr>
            <w:tcW w:w="53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406</w:t>
            </w: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111</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111</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137</w:t>
            </w:r>
          </w:p>
        </w:tc>
      </w:tr>
      <w:tr w:rsidR="000E184F" w:rsidRPr="008376FC" w:rsidTr="00EC1A68">
        <w:trPr>
          <w:trHeight w:val="297"/>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10</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Art.111</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Nerespectarea regulilor şi instrucţiunilor privind exploatarea construcţiilor, instalaţiilor şi aparatelor de măsurat hidrotehnice, de gospodărire şi de protecţie a apelor se sancţionează cu amendă de la 6 la 12 unităţi convenţionale aplicată persoanei fizice, cu amendă de la 24 la 30 de unităţi convenţionale aplicată persoanei cu funcţie de răspundere, cu amendă de la 60 la 120 de unităţi convenţionale aplicată persoanei juridice</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100</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70</w:t>
            </w:r>
          </w:p>
        </w:tc>
        <w:tc>
          <w:tcPr>
            <w:tcW w:w="53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54</w:t>
            </w: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44</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44</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81</w:t>
            </w:r>
          </w:p>
        </w:tc>
      </w:tr>
      <w:tr w:rsidR="000E184F" w:rsidRPr="008376FC" w:rsidTr="00EC1A68">
        <w:trPr>
          <w:trHeight w:val="309"/>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Art.112</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Deteriorarea  construcţiilor şi instalaţiilor hidrotehnice, de gospodărire şi de protecţie a apelor, inclusiv a reţelelor şi instalaţiilor sistemelor de alimentare cu apă potabilă, se sancţionează cu amendă de la 12 la 18 unităţi convenţionale aplicată persoanei fizice, cu amendă de la 120 la 240 de unităţi convenţionale aplicată persoanei juridice</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13</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53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w:t>
            </w: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38</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r>
      <w:tr w:rsidR="000E184F" w:rsidRPr="008376FC" w:rsidTr="00EC1A68">
        <w:trPr>
          <w:trHeight w:val="309"/>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12</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Art.113 (1)</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Aplicarea neautorizată a pesticidelor şi îngrăşămintelor pe f</w:t>
            </w:r>
            <w:r w:rsidR="00C41792">
              <w:rPr>
                <w:rFonts w:asciiTheme="majorHAnsi" w:eastAsia="Times New Roman" w:hAnsiTheme="majorHAnsi" w:cstheme="majorHAnsi"/>
                <w:b w:val="0"/>
                <w:bCs w:val="0"/>
                <w:sz w:val="20"/>
                <w:szCs w:val="20"/>
                <w:shd w:val="clear" w:color="auto" w:fill="FFFFFF"/>
              </w:rPr>
              <w:t>â</w:t>
            </w:r>
            <w:r w:rsidRPr="008376FC">
              <w:rPr>
                <w:rFonts w:asciiTheme="majorHAnsi" w:eastAsia="Times New Roman" w:hAnsiTheme="majorHAnsi" w:cstheme="majorHAnsi"/>
                <w:b w:val="0"/>
                <w:bCs w:val="0"/>
                <w:sz w:val="20"/>
                <w:szCs w:val="20"/>
                <w:shd w:val="clear" w:color="auto" w:fill="FFFFFF"/>
              </w:rPr>
              <w:t>şii cu o lăţime de 300 de metri de la muchia taluzului riveran al albiei se sancţionează cu amendă de la 18 la 24 de unităţi convenţionale aplicată persoanei fizice, cu amendă de la 180 la 240 de unităţi convenţionale aplicată persoanei juridice cu sau fără privarea, în ambele cazuri, de dreptul de a desfăşura o anumită activitate pe un termen de la 3 luni la un an</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537" w:type="dxa"/>
            <w:tcBorders>
              <w:top w:val="single" w:sz="4" w:space="0" w:color="auto"/>
              <w:left w:val="single" w:sz="4" w:space="0" w:color="auto"/>
              <w:bottom w:val="single" w:sz="4" w:space="0" w:color="auto"/>
              <w:right w:val="single" w:sz="4" w:space="0" w:color="auto"/>
            </w:tcBorders>
          </w:tcPr>
          <w:p w:rsidR="000E184F" w:rsidRPr="008376FC" w:rsidRDefault="000E184F" w:rsidP="004D7A2D">
            <w:pPr>
              <w:jc w:val="both"/>
              <w:rPr>
                <w:rFonts w:asciiTheme="majorHAnsi" w:eastAsia="Times New Roman" w:hAnsiTheme="majorHAnsi" w:cstheme="majorHAnsi"/>
                <w:b w:val="0"/>
                <w:bCs w:val="0"/>
                <w:sz w:val="20"/>
                <w:szCs w:val="20"/>
                <w:shd w:val="clear" w:color="auto" w:fill="FFFFFF"/>
              </w:rPr>
            </w:pP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w:t>
            </w:r>
          </w:p>
        </w:tc>
      </w:tr>
      <w:tr w:rsidR="000E184F" w:rsidRPr="008376FC" w:rsidTr="00EC1A68">
        <w:trPr>
          <w:trHeight w:val="297"/>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13</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Art.113(2)</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Construcţia şi amplasarea, în zona de protecţie a apelor, a depozitelor de îngrăşăminte şi pesticide, a obiectivelor pentru prepararea soluţiilor chimice, a depozitelor de produse petroliere, a staţiilor de alimentare cu combustibil, a colectoarelor de ape reziduale de la fermele şi complexele zootehnice, a punctelor de deservire tehnică şi de spălare a tehnicii şi vehiculelor, repartizarea de terenuri, într-o astfel de zonă, pentru depozitarea deşeurilor de orice provenienţă, construcţia neautorizată de instalaţii de canalizare, de colectoare şi de instalaţii de epurare a apelor reziduale se sancţionează cu amendă de la 18 la 30 de unităţi convenţionale aplicată persoanei fizice, cu amendă de la 180 la 240 de unităţi convenţionale aplicată persoanei juridice cu sau fără privarea, în ambele cazuri, de dreptul de a desfăşura o anumită activitate pe un termen de la 3 luni la un an</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53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w:t>
            </w:r>
          </w:p>
        </w:tc>
      </w:tr>
      <w:tr w:rsidR="000E184F" w:rsidRPr="008376FC" w:rsidTr="00EC1A68">
        <w:trPr>
          <w:trHeight w:val="309"/>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14</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Art.113 (3)</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Desfăşurarea neautorizată a lucrărilor de astupare a luncilor şi braţelor uscate ale r</w:t>
            </w:r>
            <w:r w:rsidR="00C41792">
              <w:rPr>
                <w:rFonts w:asciiTheme="majorHAnsi" w:eastAsia="Times New Roman" w:hAnsiTheme="majorHAnsi" w:cstheme="majorHAnsi"/>
                <w:b w:val="0"/>
                <w:bCs w:val="0"/>
                <w:sz w:val="20"/>
                <w:szCs w:val="20"/>
                <w:shd w:val="clear" w:color="auto" w:fill="FFFFFF"/>
              </w:rPr>
              <w:t>â</w:t>
            </w:r>
            <w:r w:rsidRPr="008376FC">
              <w:rPr>
                <w:rFonts w:asciiTheme="majorHAnsi" w:eastAsia="Times New Roman" w:hAnsiTheme="majorHAnsi" w:cstheme="majorHAnsi"/>
                <w:b w:val="0"/>
                <w:bCs w:val="0"/>
                <w:sz w:val="20"/>
                <w:szCs w:val="20"/>
                <w:shd w:val="clear" w:color="auto" w:fill="FFFFFF"/>
              </w:rPr>
              <w:t>urilor, a lucrărilor de regularizare a cursurilor r</w:t>
            </w:r>
            <w:r w:rsidR="00C41792">
              <w:rPr>
                <w:rFonts w:asciiTheme="majorHAnsi" w:eastAsia="Times New Roman" w:hAnsiTheme="majorHAnsi" w:cstheme="majorHAnsi"/>
                <w:b w:val="0"/>
                <w:bCs w:val="0"/>
                <w:sz w:val="20"/>
                <w:szCs w:val="20"/>
                <w:shd w:val="clear" w:color="auto" w:fill="FFFFFF"/>
              </w:rPr>
              <w:t>â</w:t>
            </w:r>
            <w:r w:rsidRPr="008376FC">
              <w:rPr>
                <w:rFonts w:asciiTheme="majorHAnsi" w:eastAsia="Times New Roman" w:hAnsiTheme="majorHAnsi" w:cstheme="majorHAnsi"/>
                <w:b w:val="0"/>
                <w:bCs w:val="0"/>
                <w:sz w:val="20"/>
                <w:szCs w:val="20"/>
                <w:shd w:val="clear" w:color="auto" w:fill="FFFFFF"/>
              </w:rPr>
              <w:t>urilor, de extragere a substanţelor utile, a materialelor de construcţie şi de instalare a comunicaţiilor în zona de protecţie a apelor se sancţionează cu amendă de la 24 la 30 de unităţi convenţionale aplicată persoanei fizice, cu amendă de la 180 la 240 de unităţi convenţionale aplicată persoanei juridice</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48</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27</w:t>
            </w:r>
          </w:p>
        </w:tc>
        <w:tc>
          <w:tcPr>
            <w:tcW w:w="53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w:t>
            </w: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14</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13</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28</w:t>
            </w:r>
          </w:p>
        </w:tc>
      </w:tr>
      <w:tr w:rsidR="000E184F" w:rsidRPr="008376FC" w:rsidTr="00EC1A68">
        <w:trPr>
          <w:trHeight w:val="309"/>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15</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Art.113 (4)</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Prelucrarea terenurilor, organizarea taberelor pentru animale şi păsări, amenajarea campingurilor şi a taberelor de corturi în limitele f</w:t>
            </w:r>
            <w:r w:rsidR="00C41792">
              <w:rPr>
                <w:rFonts w:asciiTheme="majorHAnsi" w:eastAsia="Times New Roman" w:hAnsiTheme="majorHAnsi" w:cstheme="majorHAnsi"/>
                <w:b w:val="0"/>
                <w:bCs w:val="0"/>
                <w:sz w:val="20"/>
                <w:szCs w:val="20"/>
                <w:shd w:val="clear" w:color="auto" w:fill="FFFFFF"/>
              </w:rPr>
              <w:t>â</w:t>
            </w:r>
            <w:r w:rsidRPr="008376FC">
              <w:rPr>
                <w:rFonts w:asciiTheme="majorHAnsi" w:eastAsia="Times New Roman" w:hAnsiTheme="majorHAnsi" w:cstheme="majorHAnsi"/>
                <w:b w:val="0"/>
                <w:bCs w:val="0"/>
                <w:sz w:val="20"/>
                <w:szCs w:val="20"/>
                <w:shd w:val="clear" w:color="auto" w:fill="FFFFFF"/>
              </w:rPr>
              <w:t>şiilor riverane de protecţie a apelor se sancţionează cu amendă de la 18 la 30 de unităţi convenţionale aplicată persoanei fizice, cu amendă de la 180 la 240 de unităţi convenţionale aplicată persoanei juridice</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53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w:t>
            </w: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w:t>
            </w:r>
          </w:p>
        </w:tc>
      </w:tr>
      <w:tr w:rsidR="000E184F" w:rsidRPr="008376FC" w:rsidTr="00EC1A68">
        <w:trPr>
          <w:trHeight w:val="297"/>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16</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Art.113 (5)</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Deversarea, în apele de suprafaţă, în canalele de irigare şi de desecare, pe terenuri, indiferent de modul lor de folosință, și în rețeaua publică de canalizare sau în alte locuri neautorizate, a apelor uzate neepurate, provenite din activități casnice și noncasnice, a celor poluate termic, a apelor contaminate cu germeni patogeni şi cu paraziţi, a produselor sau reziduurilor petroliere şi a altor poluanţi se sancţionează cu amendă de la 18 la 30 de unităţi convenţionale aplicată persoanei fizice, cu amendă de la 180 la 300 de unităţi convenţionale aplicată persoanei juridice</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67</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87</w:t>
            </w:r>
          </w:p>
        </w:tc>
        <w:tc>
          <w:tcPr>
            <w:tcW w:w="53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53</w:t>
            </w: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67</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78</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49</w:t>
            </w:r>
          </w:p>
        </w:tc>
      </w:tr>
      <w:tr w:rsidR="000E184F" w:rsidRPr="008376FC" w:rsidTr="00EC1A68">
        <w:trPr>
          <w:trHeight w:val="309"/>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17</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Art.113 (6)</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Desfăşurarea activităţii economice de către întreprinderi cu impact asupra mediului fără dispozitive de ţinere a evidenţei cantitative şi calitative a consumului şi a evacuărilor de ape, precum şi de prevenire a poluării apelor sau a efectelor lor distructive, se sancţionează cu amendă de la 18 la 30 de unităţi convenţionale aplicată persoanei fizice, cu amendă de la 180 la 300 de unităţi convenţionale aplicată persoanei juridice</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0</w:t>
            </w:r>
          </w:p>
        </w:tc>
        <w:tc>
          <w:tcPr>
            <w:tcW w:w="53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w:t>
            </w:r>
          </w:p>
        </w:tc>
      </w:tr>
      <w:tr w:rsidR="000E184F" w:rsidRPr="008376FC" w:rsidTr="00EC1A68">
        <w:trPr>
          <w:trHeight w:val="309"/>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18</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Art.146</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Nefolosirea instalaţiilor, utilajului, aparatajului prevăzute pentru purificarea de poluanţi şi controlul emisiilor în atmosferă, pentru epurarea apelor uzate ce se evacuează în obiectivele acvatice sau în rețeaua publică de canalizare, pentru controlul calității lor și controlul nedepășirii concentrației maxim admisibile de poluanți în apele uzate evacuate, precum şi încălcarea regulilor şi instrucţiunilor de exploatare a instalaţiilor indicate se sancţionează cu amendă de la 6 la 12 unităţi convenţionale aplicată persoanei fizice, cu amendă de la 120 la 240 de unităţi convenţionale aplicată persoanei juridice cu sau fără privarea, în ambele cazuri, de dreptul de a desfăşura o anumită activitate pe un termen de la 3 luni la un an</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35</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11</w:t>
            </w:r>
          </w:p>
        </w:tc>
        <w:tc>
          <w:tcPr>
            <w:tcW w:w="53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10</w:t>
            </w: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12</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28</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38</w:t>
            </w:r>
          </w:p>
        </w:tc>
      </w:tr>
      <w:tr w:rsidR="000E184F" w:rsidRPr="008376FC" w:rsidTr="00EC1A68">
        <w:trPr>
          <w:trHeight w:val="309"/>
        </w:trPr>
        <w:tc>
          <w:tcPr>
            <w:tcW w:w="478"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19</w:t>
            </w:r>
          </w:p>
        </w:tc>
        <w:tc>
          <w:tcPr>
            <w:tcW w:w="150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Alte art. din CC (art.149, art.156)</w:t>
            </w:r>
            <w:r w:rsidRPr="008376FC">
              <w:rPr>
                <w:rFonts w:asciiTheme="majorHAnsi" w:eastAsia="Times New Roman" w:hAnsiTheme="majorHAnsi" w:cstheme="majorHAnsi"/>
                <w:b w:val="0"/>
                <w:bCs w:val="0"/>
                <w:sz w:val="20"/>
                <w:szCs w:val="20"/>
                <w:shd w:val="clear" w:color="auto" w:fill="FFFFFF"/>
                <w:vertAlign w:val="superscript"/>
              </w:rPr>
              <w:footnoteReference w:id="164"/>
            </w:r>
            <w:r w:rsidRPr="008376FC">
              <w:rPr>
                <w:rFonts w:asciiTheme="majorHAnsi" w:eastAsia="Times New Roman" w:hAnsiTheme="majorHAnsi" w:cstheme="majorHAnsi"/>
                <w:b w:val="0"/>
                <w:bCs w:val="0"/>
                <w:sz w:val="20"/>
                <w:szCs w:val="20"/>
                <w:shd w:val="clear" w:color="auto" w:fill="FFFFFF"/>
              </w:rPr>
              <w:t xml:space="preserve"> (rd.20 - suma rd.1+ rd.2 +  … + rd.18) </w:t>
            </w:r>
          </w:p>
        </w:tc>
        <w:tc>
          <w:tcPr>
            <w:tcW w:w="3544"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 149. Poluarea mediului (aerului atmosferic, a bazinelor acvatice de suprafaţă şi subterane, a terenurilor) cu deşeuri industriale, de construcţie sau menajere, cu ape menajere, cu emisii de poluanţi ce au cauzat prejudicii, dacă această acțiune nu constituie infracțiune, se sancţionează cu amendă de la 24 la 36 de unităţi convenţionale aplicată persoanei fizice, cu amendă de la 210 la 300 de unităţi convenţionale aplicată persoanei juridice cu sau fără privarea, în ambele cazuri, de dreptul de a desfăşura o anumită activitate pe un termen de la 6 luni la un an.</w:t>
            </w:r>
          </w:p>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Art. 156</w:t>
            </w:r>
            <w:r w:rsidR="00EF6E85">
              <w:rPr>
                <w:rFonts w:asciiTheme="majorHAnsi" w:eastAsia="Times New Roman" w:hAnsiTheme="majorHAnsi" w:cstheme="majorHAnsi"/>
                <w:b w:val="0"/>
                <w:bCs w:val="0"/>
                <w:sz w:val="20"/>
                <w:szCs w:val="20"/>
                <w:shd w:val="clear" w:color="auto" w:fill="FFFFFF"/>
              </w:rPr>
              <w:t>.</w:t>
            </w:r>
            <w:r w:rsidRPr="008376FC">
              <w:rPr>
                <w:rFonts w:asciiTheme="majorHAnsi" w:eastAsia="Times New Roman" w:hAnsiTheme="majorHAnsi" w:cstheme="majorHAnsi"/>
                <w:b w:val="0"/>
                <w:bCs w:val="0"/>
                <w:sz w:val="20"/>
                <w:szCs w:val="20"/>
                <w:shd w:val="clear" w:color="auto" w:fill="FFFFFF"/>
              </w:rPr>
              <w:t xml:space="preserve"> Neîndeplinirea prevederilor legislaţiei privind expertiza ecologică de stat şi evaluarea impactului asupra mediului sau a cerinţelor incluse în concluziile expertizei ecologice de stat şi evaluarea impactului asupra mediului, finanţarea sau executarea proiectelor şi programelor care nu au trecut expertiza ecologică de stat şi evaluarea impactului asupra mediului se sancţionează cu amendă de la 30 la 60 de unităţi convenţionale aplicată persoanei fizice, cu amendă de la 180 la 240 de unităţi convenţionale aplicată persoanei juridice</w:t>
            </w:r>
          </w:p>
        </w:tc>
        <w:tc>
          <w:tcPr>
            <w:tcW w:w="85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76</w:t>
            </w:r>
          </w:p>
        </w:tc>
        <w:tc>
          <w:tcPr>
            <w:tcW w:w="709"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93</w:t>
            </w:r>
          </w:p>
        </w:tc>
        <w:tc>
          <w:tcPr>
            <w:tcW w:w="537"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65</w:t>
            </w:r>
          </w:p>
        </w:tc>
        <w:tc>
          <w:tcPr>
            <w:tcW w:w="601"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sz w:val="20"/>
                <w:szCs w:val="20"/>
                <w:shd w:val="clear" w:color="auto" w:fill="FFFFFF"/>
              </w:rPr>
            </w:pPr>
            <w:r w:rsidRPr="008376FC">
              <w:rPr>
                <w:rFonts w:asciiTheme="majorHAnsi" w:eastAsia="Times New Roman" w:hAnsiTheme="majorHAnsi" w:cstheme="majorHAnsi"/>
                <w:b w:val="0"/>
                <w:bCs w:val="0"/>
                <w:sz w:val="20"/>
                <w:szCs w:val="20"/>
                <w:shd w:val="clear" w:color="auto" w:fill="FFFFFF"/>
              </w:rPr>
              <w:t>9</w:t>
            </w:r>
          </w:p>
        </w:tc>
        <w:tc>
          <w:tcPr>
            <w:tcW w:w="616" w:type="dxa"/>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color w:val="FF0000"/>
                <w:sz w:val="20"/>
                <w:szCs w:val="20"/>
                <w:shd w:val="clear" w:color="auto" w:fill="FFFFFF"/>
              </w:rPr>
            </w:pPr>
            <w:r w:rsidRPr="008376FC">
              <w:rPr>
                <w:rFonts w:asciiTheme="majorHAnsi" w:eastAsia="Times New Roman" w:hAnsiTheme="majorHAnsi" w:cstheme="majorHAnsi"/>
                <w:b w:val="0"/>
                <w:bCs w:val="0"/>
                <w:color w:val="FF0000"/>
                <w:sz w:val="20"/>
                <w:szCs w:val="20"/>
                <w:shd w:val="clear" w:color="auto" w:fill="FFFFFF"/>
              </w:rPr>
              <w:t>-52</w:t>
            </w:r>
          </w:p>
        </w:tc>
        <w:tc>
          <w:tcPr>
            <w:tcW w:w="796" w:type="dxa"/>
            <w:gridSpan w:val="2"/>
            <w:tcBorders>
              <w:top w:val="single" w:sz="4" w:space="0" w:color="auto"/>
              <w:left w:val="single" w:sz="4" w:space="0" w:color="auto"/>
              <w:bottom w:val="single" w:sz="4" w:space="0" w:color="auto"/>
              <w:right w:val="single" w:sz="4" w:space="0" w:color="auto"/>
            </w:tcBorders>
            <w:hideMark/>
          </w:tcPr>
          <w:p w:rsidR="000E184F" w:rsidRPr="008376FC" w:rsidRDefault="000056B2" w:rsidP="004D7A2D">
            <w:pPr>
              <w:jc w:val="both"/>
              <w:rPr>
                <w:rFonts w:asciiTheme="majorHAnsi" w:eastAsia="Times New Roman" w:hAnsiTheme="majorHAnsi" w:cstheme="majorHAnsi"/>
                <w:b w:val="0"/>
                <w:bCs w:val="0"/>
                <w:color w:val="FF0000"/>
                <w:sz w:val="20"/>
                <w:szCs w:val="20"/>
                <w:shd w:val="clear" w:color="auto" w:fill="FFFFFF"/>
              </w:rPr>
            </w:pPr>
            <w:r w:rsidRPr="008376FC">
              <w:rPr>
                <w:rFonts w:asciiTheme="majorHAnsi" w:eastAsia="Times New Roman" w:hAnsiTheme="majorHAnsi" w:cstheme="majorHAnsi"/>
                <w:b w:val="0"/>
                <w:bCs w:val="0"/>
                <w:color w:val="FF0000"/>
                <w:sz w:val="20"/>
                <w:szCs w:val="20"/>
                <w:shd w:val="clear" w:color="auto" w:fill="FFFFFF"/>
              </w:rPr>
              <w:t>-72</w:t>
            </w:r>
          </w:p>
        </w:tc>
      </w:tr>
      <w:tr w:rsidR="000E184F" w:rsidRPr="008376FC" w:rsidTr="0074426A">
        <w:trPr>
          <w:trHeight w:val="231"/>
        </w:trPr>
        <w:tc>
          <w:tcPr>
            <w:tcW w:w="478"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E184F" w:rsidP="004D7A2D">
            <w:pPr>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20</w:t>
            </w:r>
          </w:p>
        </w:tc>
        <w:tc>
          <w:tcPr>
            <w:tcW w:w="150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E184F" w:rsidP="004D7A2D">
            <w:pPr>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Total general</w:t>
            </w:r>
            <w:r w:rsidRPr="008376FC">
              <w:rPr>
                <w:rFonts w:asciiTheme="majorHAnsi" w:eastAsia="Times New Roman" w:hAnsiTheme="majorHAnsi" w:cstheme="majorHAnsi"/>
                <w:sz w:val="20"/>
                <w:szCs w:val="20"/>
                <w:shd w:val="clear" w:color="auto" w:fill="FFFFFF"/>
                <w:vertAlign w:val="superscript"/>
              </w:rPr>
              <w:footnoteReference w:id="165"/>
            </w:r>
          </w:p>
        </w:tc>
        <w:tc>
          <w:tcPr>
            <w:tcW w:w="3544" w:type="dxa"/>
            <w:tcBorders>
              <w:top w:val="single" w:sz="4" w:space="0" w:color="auto"/>
              <w:left w:val="single" w:sz="4" w:space="0" w:color="auto"/>
              <w:bottom w:val="single" w:sz="4" w:space="0" w:color="auto"/>
              <w:right w:val="single" w:sz="4" w:space="0" w:color="auto"/>
            </w:tcBorders>
            <w:shd w:val="clear" w:color="auto" w:fill="FFFFFF" w:themeFill="background1"/>
          </w:tcPr>
          <w:p w:rsidR="000E184F" w:rsidRPr="008376FC" w:rsidRDefault="000E184F" w:rsidP="004D7A2D">
            <w:pPr>
              <w:jc w:val="both"/>
              <w:rPr>
                <w:rFonts w:asciiTheme="majorHAnsi" w:eastAsia="Times New Roman" w:hAnsiTheme="majorHAnsi" w:cstheme="majorHAnsi"/>
                <w:sz w:val="20"/>
                <w:szCs w:val="20"/>
                <w:shd w:val="clear" w:color="auto" w:fill="FFFFFF"/>
              </w:rPr>
            </w:pPr>
          </w:p>
        </w:tc>
        <w:tc>
          <w:tcPr>
            <w:tcW w:w="85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E184F" w:rsidP="004D7A2D">
            <w:pPr>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1927</w:t>
            </w:r>
          </w:p>
        </w:tc>
        <w:tc>
          <w:tcPr>
            <w:tcW w:w="709"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E184F" w:rsidP="004D7A2D">
            <w:pPr>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1368</w:t>
            </w:r>
          </w:p>
        </w:tc>
        <w:tc>
          <w:tcPr>
            <w:tcW w:w="537"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E184F" w:rsidP="004D7A2D">
            <w:pPr>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885</w:t>
            </w:r>
          </w:p>
        </w:tc>
        <w:tc>
          <w:tcPr>
            <w:tcW w:w="601"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E184F" w:rsidP="004D7A2D">
            <w:pPr>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467</w:t>
            </w:r>
          </w:p>
        </w:tc>
        <w:tc>
          <w:tcPr>
            <w:tcW w:w="616"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E184F" w:rsidP="004D7A2D">
            <w:pPr>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553</w:t>
            </w:r>
          </w:p>
        </w:tc>
        <w:tc>
          <w:tcPr>
            <w:tcW w:w="796" w:type="dxa"/>
            <w:gridSpan w:val="2"/>
            <w:tcBorders>
              <w:top w:val="single" w:sz="4" w:space="0" w:color="auto"/>
              <w:left w:val="single" w:sz="4" w:space="0" w:color="auto"/>
              <w:bottom w:val="single" w:sz="4" w:space="0" w:color="auto"/>
              <w:right w:val="single" w:sz="4" w:space="0" w:color="auto"/>
            </w:tcBorders>
            <w:shd w:val="clear" w:color="auto" w:fill="FFFFFF" w:themeFill="background1"/>
            <w:hideMark/>
          </w:tcPr>
          <w:p w:rsidR="000E184F" w:rsidRPr="008376FC" w:rsidRDefault="000E184F" w:rsidP="004D7A2D">
            <w:pPr>
              <w:jc w:val="both"/>
              <w:rPr>
                <w:rFonts w:asciiTheme="majorHAnsi" w:eastAsia="Times New Roman" w:hAnsiTheme="majorHAnsi" w:cstheme="majorHAnsi"/>
                <w:sz w:val="20"/>
                <w:szCs w:val="20"/>
                <w:shd w:val="clear" w:color="auto" w:fill="FFFFFF"/>
              </w:rPr>
            </w:pPr>
            <w:r w:rsidRPr="008376FC">
              <w:rPr>
                <w:rFonts w:asciiTheme="majorHAnsi" w:eastAsia="Times New Roman" w:hAnsiTheme="majorHAnsi" w:cstheme="majorHAnsi"/>
                <w:sz w:val="20"/>
                <w:szCs w:val="20"/>
                <w:shd w:val="clear" w:color="auto" w:fill="FFFFFF"/>
              </w:rPr>
              <w:t>476</w:t>
            </w:r>
          </w:p>
        </w:tc>
      </w:tr>
      <w:tr w:rsidR="000E184F" w:rsidRPr="008376FC" w:rsidTr="00F03199">
        <w:trPr>
          <w:gridAfter w:val="1"/>
          <w:wAfter w:w="230" w:type="dxa"/>
          <w:trHeight w:val="297"/>
        </w:trPr>
        <w:tc>
          <w:tcPr>
            <w:tcW w:w="9409" w:type="dxa"/>
            <w:gridSpan w:val="9"/>
            <w:tcBorders>
              <w:top w:val="nil"/>
              <w:left w:val="nil"/>
              <w:bottom w:val="nil"/>
              <w:right w:val="nil"/>
            </w:tcBorders>
            <w:shd w:val="clear" w:color="auto" w:fill="auto"/>
          </w:tcPr>
          <w:p w:rsidR="000E184F" w:rsidRPr="008376FC" w:rsidRDefault="000056B2" w:rsidP="004D7A2D">
            <w:pPr>
              <w:shd w:val="clear" w:color="auto" w:fill="FFFFFF"/>
              <w:ind w:firstLine="540"/>
              <w:jc w:val="both"/>
              <w:rPr>
                <w:rFonts w:asciiTheme="majorHAnsi" w:eastAsia="Times New Roman" w:hAnsiTheme="majorHAnsi" w:cstheme="majorHAnsi"/>
                <w:b w:val="0"/>
                <w:bCs w:val="0"/>
                <w:sz w:val="16"/>
                <w:szCs w:val="16"/>
                <w:shd w:val="clear" w:color="auto" w:fill="FFFFFF"/>
              </w:rPr>
            </w:pPr>
            <w:r w:rsidRPr="008376FC">
              <w:rPr>
                <w:rFonts w:asciiTheme="majorHAnsi" w:eastAsia="Times New Roman" w:hAnsiTheme="majorHAnsi" w:cstheme="majorHAnsi"/>
                <w:b w:val="0"/>
                <w:bCs w:val="0"/>
                <w:sz w:val="16"/>
                <w:szCs w:val="16"/>
                <w:shd w:val="clear" w:color="auto" w:fill="FFFFFF"/>
              </w:rPr>
              <w:t>Sursa: Datele IPM.</w:t>
            </w:r>
          </w:p>
        </w:tc>
      </w:tr>
    </w:tbl>
    <w:p w:rsidR="000E184F" w:rsidRPr="00EC1A68" w:rsidRDefault="000E184F" w:rsidP="00F61756">
      <w:pPr>
        <w:spacing w:line="276" w:lineRule="auto"/>
        <w:jc w:val="both"/>
        <w:rPr>
          <w:rFonts w:asciiTheme="majorHAnsi" w:hAnsiTheme="majorHAnsi" w:cstheme="majorHAnsi"/>
          <w:bCs w:val="0"/>
          <w:color w:val="0070C0"/>
          <w:sz w:val="24"/>
          <w:szCs w:val="24"/>
        </w:rPr>
      </w:pPr>
      <w:r w:rsidRPr="00EC1A68">
        <w:rPr>
          <w:rFonts w:asciiTheme="majorHAnsi" w:eastAsia="Times New Roman" w:hAnsiTheme="majorHAnsi" w:cstheme="majorHAnsi"/>
          <w:bCs w:val="0"/>
          <w:color w:val="0070C0"/>
          <w:sz w:val="24"/>
          <w:szCs w:val="24"/>
          <w:lang w:bidi="he-IL"/>
        </w:rPr>
        <w:t xml:space="preserve">Anexa nr.13 </w:t>
      </w:r>
      <w:r w:rsidRPr="00EC1A68">
        <w:rPr>
          <w:rFonts w:asciiTheme="majorHAnsi" w:hAnsiTheme="majorHAnsi" w:cstheme="majorHAnsi"/>
          <w:bCs w:val="0"/>
          <w:color w:val="0070C0"/>
          <w:sz w:val="24"/>
          <w:szCs w:val="24"/>
        </w:rPr>
        <w:t>Informația privind creditele contractate/achitate de operatorii apă</w:t>
      </w:r>
      <w:r w:rsidR="00EF6E85" w:rsidRPr="00EC1A68">
        <w:rPr>
          <w:rFonts w:asciiTheme="majorHAnsi" w:hAnsiTheme="majorHAnsi" w:cstheme="majorHAnsi"/>
          <w:bCs w:val="0"/>
          <w:color w:val="0070C0"/>
          <w:sz w:val="24"/>
          <w:szCs w:val="24"/>
        </w:rPr>
        <w:t>-</w:t>
      </w:r>
      <w:r w:rsidRPr="00EC1A68">
        <w:rPr>
          <w:rFonts w:asciiTheme="majorHAnsi" w:hAnsiTheme="majorHAnsi" w:cstheme="majorHAnsi"/>
          <w:bCs w:val="0"/>
          <w:color w:val="0070C0"/>
          <w:sz w:val="24"/>
          <w:szCs w:val="24"/>
        </w:rPr>
        <w:t>canal în perioada 2014-2022</w:t>
      </w:r>
    </w:p>
    <w:tbl>
      <w:tblPr>
        <w:tblStyle w:val="TableGrid7"/>
        <w:tblW w:w="9747" w:type="dxa"/>
        <w:tblLayout w:type="fixed"/>
        <w:tblLook w:val="04A0" w:firstRow="1" w:lastRow="0" w:firstColumn="1" w:lastColumn="0" w:noHBand="0" w:noVBand="1"/>
      </w:tblPr>
      <w:tblGrid>
        <w:gridCol w:w="675"/>
        <w:gridCol w:w="1557"/>
        <w:gridCol w:w="1537"/>
        <w:gridCol w:w="1648"/>
        <w:gridCol w:w="1668"/>
        <w:gridCol w:w="1482"/>
        <w:gridCol w:w="1180"/>
      </w:tblGrid>
      <w:tr w:rsidR="000E184F" w:rsidRPr="008376FC" w:rsidTr="00BE3B68">
        <w:tc>
          <w:tcPr>
            <w:tcW w:w="675" w:type="dxa"/>
            <w:shd w:val="clear" w:color="auto" w:fill="BDD6EE" w:themeFill="accent1" w:themeFillTint="66"/>
            <w:vAlign w:val="center"/>
          </w:tcPr>
          <w:p w:rsidR="000E184F" w:rsidRPr="008376FC" w:rsidRDefault="000E184F" w:rsidP="0026667F">
            <w:pPr>
              <w:widowControl w:val="0"/>
              <w:autoSpaceDE w:val="0"/>
              <w:autoSpaceDN w:val="0"/>
              <w:jc w:val="center"/>
              <w:rPr>
                <w:rFonts w:asciiTheme="majorHAnsi" w:eastAsia="Times New Roman" w:hAnsiTheme="majorHAnsi" w:cstheme="majorHAnsi"/>
                <w:b w:val="0"/>
                <w:sz w:val="20"/>
                <w:szCs w:val="20"/>
              </w:rPr>
            </w:pPr>
            <w:r w:rsidRPr="008376FC">
              <w:rPr>
                <w:rFonts w:asciiTheme="majorHAnsi" w:eastAsia="Times New Roman" w:hAnsiTheme="majorHAnsi" w:cstheme="majorHAnsi"/>
                <w:sz w:val="20"/>
                <w:szCs w:val="20"/>
              </w:rPr>
              <w:t xml:space="preserve">Nr. </w:t>
            </w:r>
            <w:r w:rsidR="00EF6E85">
              <w:rPr>
                <w:rFonts w:asciiTheme="majorHAnsi" w:eastAsia="Times New Roman" w:hAnsiTheme="majorHAnsi" w:cstheme="majorHAnsi"/>
                <w:sz w:val="20"/>
                <w:szCs w:val="20"/>
              </w:rPr>
              <w:t>crt.</w:t>
            </w:r>
          </w:p>
        </w:tc>
        <w:tc>
          <w:tcPr>
            <w:tcW w:w="1557" w:type="dxa"/>
            <w:shd w:val="clear" w:color="auto" w:fill="BDD6EE" w:themeFill="accent1" w:themeFillTint="66"/>
            <w:vAlign w:val="center"/>
          </w:tcPr>
          <w:p w:rsidR="000E184F" w:rsidRPr="008376FC" w:rsidRDefault="000E184F" w:rsidP="0026667F">
            <w:pPr>
              <w:widowControl w:val="0"/>
              <w:autoSpaceDE w:val="0"/>
              <w:autoSpaceDN w:val="0"/>
              <w:jc w:val="center"/>
              <w:rPr>
                <w:rFonts w:asciiTheme="majorHAnsi" w:eastAsia="Times New Roman" w:hAnsiTheme="majorHAnsi" w:cstheme="majorHAnsi"/>
                <w:b w:val="0"/>
                <w:sz w:val="20"/>
                <w:szCs w:val="20"/>
              </w:rPr>
            </w:pPr>
            <w:r w:rsidRPr="008376FC">
              <w:rPr>
                <w:rFonts w:asciiTheme="majorHAnsi" w:eastAsia="Times New Roman" w:hAnsiTheme="majorHAnsi" w:cstheme="majorHAnsi"/>
                <w:sz w:val="20"/>
                <w:szCs w:val="20"/>
              </w:rPr>
              <w:t>Destinaţia creditului</w:t>
            </w:r>
          </w:p>
        </w:tc>
        <w:tc>
          <w:tcPr>
            <w:tcW w:w="1537" w:type="dxa"/>
            <w:shd w:val="clear" w:color="auto" w:fill="BDD6EE" w:themeFill="accent1" w:themeFillTint="66"/>
            <w:vAlign w:val="center"/>
          </w:tcPr>
          <w:p w:rsidR="000E184F" w:rsidRPr="008376FC" w:rsidRDefault="000E184F" w:rsidP="0026667F">
            <w:pPr>
              <w:widowControl w:val="0"/>
              <w:autoSpaceDE w:val="0"/>
              <w:autoSpaceDN w:val="0"/>
              <w:jc w:val="center"/>
              <w:rPr>
                <w:rFonts w:asciiTheme="majorHAnsi" w:eastAsia="Times New Roman" w:hAnsiTheme="majorHAnsi" w:cstheme="majorHAnsi"/>
                <w:b w:val="0"/>
                <w:sz w:val="20"/>
                <w:szCs w:val="20"/>
              </w:rPr>
            </w:pPr>
            <w:r w:rsidRPr="008376FC">
              <w:rPr>
                <w:rFonts w:asciiTheme="majorHAnsi" w:eastAsia="Times New Roman" w:hAnsiTheme="majorHAnsi" w:cstheme="majorHAnsi"/>
                <w:sz w:val="20"/>
                <w:szCs w:val="20"/>
              </w:rPr>
              <w:t>Valoarea împrumutului</w:t>
            </w:r>
          </w:p>
        </w:tc>
        <w:tc>
          <w:tcPr>
            <w:tcW w:w="1648" w:type="dxa"/>
            <w:shd w:val="clear" w:color="auto" w:fill="BDD6EE" w:themeFill="accent1" w:themeFillTint="66"/>
            <w:vAlign w:val="center"/>
          </w:tcPr>
          <w:p w:rsidR="000E184F" w:rsidRPr="008376FC" w:rsidRDefault="000E184F" w:rsidP="0026667F">
            <w:pPr>
              <w:widowControl w:val="0"/>
              <w:autoSpaceDE w:val="0"/>
              <w:autoSpaceDN w:val="0"/>
              <w:jc w:val="center"/>
              <w:rPr>
                <w:rFonts w:asciiTheme="majorHAnsi" w:eastAsia="Times New Roman" w:hAnsiTheme="majorHAnsi" w:cstheme="majorHAnsi"/>
                <w:b w:val="0"/>
                <w:sz w:val="20"/>
                <w:szCs w:val="20"/>
              </w:rPr>
            </w:pPr>
            <w:r w:rsidRPr="008376FC">
              <w:rPr>
                <w:rFonts w:asciiTheme="majorHAnsi" w:eastAsia="Times New Roman" w:hAnsiTheme="majorHAnsi" w:cstheme="majorHAnsi"/>
                <w:sz w:val="20"/>
                <w:szCs w:val="20"/>
              </w:rPr>
              <w:t>De la cine a fost contractat împrumutul</w:t>
            </w:r>
          </w:p>
        </w:tc>
        <w:tc>
          <w:tcPr>
            <w:tcW w:w="1668" w:type="dxa"/>
            <w:shd w:val="clear" w:color="auto" w:fill="BDD6EE" w:themeFill="accent1" w:themeFillTint="66"/>
            <w:vAlign w:val="center"/>
          </w:tcPr>
          <w:p w:rsidR="000E184F" w:rsidRPr="008376FC" w:rsidRDefault="000E184F" w:rsidP="0026667F">
            <w:pPr>
              <w:widowControl w:val="0"/>
              <w:autoSpaceDE w:val="0"/>
              <w:autoSpaceDN w:val="0"/>
              <w:jc w:val="center"/>
              <w:rPr>
                <w:rFonts w:asciiTheme="majorHAnsi" w:eastAsia="Times New Roman" w:hAnsiTheme="majorHAnsi" w:cstheme="majorHAnsi"/>
                <w:b w:val="0"/>
                <w:sz w:val="20"/>
                <w:szCs w:val="20"/>
              </w:rPr>
            </w:pPr>
            <w:r w:rsidRPr="008376FC">
              <w:rPr>
                <w:rFonts w:asciiTheme="majorHAnsi" w:eastAsia="Times New Roman" w:hAnsiTheme="majorHAnsi" w:cstheme="majorHAnsi"/>
                <w:sz w:val="20"/>
                <w:szCs w:val="20"/>
              </w:rPr>
              <w:t>Termenul împrumutului</w:t>
            </w:r>
          </w:p>
        </w:tc>
        <w:tc>
          <w:tcPr>
            <w:tcW w:w="1482" w:type="dxa"/>
            <w:shd w:val="clear" w:color="auto" w:fill="BDD6EE" w:themeFill="accent1" w:themeFillTint="66"/>
            <w:vAlign w:val="center"/>
          </w:tcPr>
          <w:p w:rsidR="000E184F" w:rsidRPr="008376FC" w:rsidRDefault="000E184F" w:rsidP="0026667F">
            <w:pPr>
              <w:widowControl w:val="0"/>
              <w:autoSpaceDE w:val="0"/>
              <w:autoSpaceDN w:val="0"/>
              <w:jc w:val="center"/>
              <w:rPr>
                <w:rFonts w:asciiTheme="majorHAnsi" w:eastAsia="Times New Roman" w:hAnsiTheme="majorHAnsi" w:cstheme="majorHAnsi"/>
                <w:b w:val="0"/>
                <w:sz w:val="20"/>
                <w:szCs w:val="20"/>
              </w:rPr>
            </w:pPr>
            <w:r w:rsidRPr="008376FC">
              <w:rPr>
                <w:rFonts w:asciiTheme="majorHAnsi" w:eastAsia="Times New Roman" w:hAnsiTheme="majorHAnsi" w:cstheme="majorHAnsi"/>
                <w:sz w:val="20"/>
                <w:szCs w:val="20"/>
              </w:rPr>
              <w:t>Dobânda</w:t>
            </w:r>
          </w:p>
        </w:tc>
        <w:tc>
          <w:tcPr>
            <w:tcW w:w="1180" w:type="dxa"/>
            <w:shd w:val="clear" w:color="auto" w:fill="BDD6EE" w:themeFill="accent1" w:themeFillTint="66"/>
            <w:vAlign w:val="center"/>
          </w:tcPr>
          <w:p w:rsidR="000E184F" w:rsidRPr="008376FC" w:rsidRDefault="000E184F" w:rsidP="0026667F">
            <w:pPr>
              <w:widowControl w:val="0"/>
              <w:autoSpaceDE w:val="0"/>
              <w:autoSpaceDN w:val="0"/>
              <w:jc w:val="center"/>
              <w:rPr>
                <w:rFonts w:asciiTheme="majorHAnsi" w:eastAsia="Times New Roman" w:hAnsiTheme="majorHAnsi" w:cstheme="majorHAnsi"/>
                <w:b w:val="0"/>
                <w:sz w:val="20"/>
                <w:szCs w:val="20"/>
              </w:rPr>
            </w:pPr>
            <w:r w:rsidRPr="008376FC">
              <w:rPr>
                <w:rFonts w:asciiTheme="majorHAnsi" w:eastAsia="Times New Roman" w:hAnsiTheme="majorHAnsi" w:cstheme="majorHAnsi"/>
                <w:sz w:val="20"/>
                <w:szCs w:val="20"/>
              </w:rPr>
              <w:t>Destinația creditului</w:t>
            </w:r>
          </w:p>
        </w:tc>
      </w:tr>
      <w:tr w:rsidR="000E184F" w:rsidRPr="008376FC" w:rsidTr="00BE3B68">
        <w:tc>
          <w:tcPr>
            <w:tcW w:w="9747" w:type="dxa"/>
            <w:gridSpan w:val="7"/>
            <w:vAlign w:val="center"/>
          </w:tcPr>
          <w:p w:rsidR="000E184F" w:rsidRPr="008376FC" w:rsidRDefault="000E184F" w:rsidP="0026667F">
            <w:pPr>
              <w:widowControl w:val="0"/>
              <w:autoSpaceDE w:val="0"/>
              <w:autoSpaceDN w:val="0"/>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sz w:val="20"/>
                <w:szCs w:val="20"/>
              </w:rPr>
              <w:t>Î.M. „Direcţia de producţie apă-canal Ştefan Vodă”</w:t>
            </w:r>
          </w:p>
        </w:tc>
      </w:tr>
      <w:tr w:rsidR="000E184F" w:rsidRPr="008376FC" w:rsidTr="00BE3B68">
        <w:tc>
          <w:tcPr>
            <w:tcW w:w="675"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1</w:t>
            </w:r>
          </w:p>
        </w:tc>
        <w:tc>
          <w:tcPr>
            <w:tcW w:w="1557"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Extinderea şi reabilitarea sistemelor de alimentare cu apă şi canalizare</w:t>
            </w:r>
          </w:p>
        </w:tc>
        <w:tc>
          <w:tcPr>
            <w:tcW w:w="1537"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1225,0 mii dolari SUA</w:t>
            </w:r>
          </w:p>
        </w:tc>
        <w:tc>
          <w:tcPr>
            <w:tcW w:w="1648" w:type="dxa"/>
          </w:tcPr>
          <w:p w:rsidR="000E184F"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Contract de credit subsidiar între MF, Ministerul Ecologiei, Construcţiilor şi Dezvoltării Teritoriului şi operatorul apă-canal</w:t>
            </w:r>
          </w:p>
          <w:p w:rsidR="00EC1A68" w:rsidRPr="008376FC" w:rsidRDefault="00EC1A68"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Donator: Asociaţia Internaţională pentru Dezvoltare</w:t>
            </w:r>
          </w:p>
        </w:tc>
        <w:tc>
          <w:tcPr>
            <w:tcW w:w="166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 30 ani (din 14.08.2003 până la 15.04.2033);</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de graţie – 6 ani</w:t>
            </w:r>
          </w:p>
        </w:tc>
        <w:tc>
          <w:tcPr>
            <w:tcW w:w="1482"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 1,5%</w:t>
            </w:r>
          </w:p>
          <w:p w:rsidR="000E184F"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se achită semestrial pe data de 15 aprilie şi 15 octombrie a fiecărui an</w:t>
            </w:r>
          </w:p>
          <w:p w:rsidR="00EC1A68" w:rsidRDefault="00EC1A68" w:rsidP="0026667F">
            <w:pPr>
              <w:widowControl w:val="0"/>
              <w:autoSpaceDE w:val="0"/>
              <w:autoSpaceDN w:val="0"/>
              <w:jc w:val="both"/>
              <w:rPr>
                <w:rFonts w:asciiTheme="majorHAnsi" w:eastAsia="Times New Roman" w:hAnsiTheme="majorHAnsi" w:cstheme="majorHAnsi"/>
                <w:b w:val="0"/>
                <w:bCs w:val="0"/>
                <w:sz w:val="20"/>
                <w:szCs w:val="20"/>
              </w:rPr>
            </w:pPr>
          </w:p>
          <w:p w:rsidR="00EC1A68" w:rsidRPr="008376FC" w:rsidRDefault="00EC1A68"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Penalitate pentru neachitarea la timp a împrumutului, dobânzii şi taxei pentru angajament – 0,01% pentru fiecare şi de întârziere</w:t>
            </w:r>
          </w:p>
        </w:tc>
        <w:tc>
          <w:tcPr>
            <w:tcW w:w="1180"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w:t>
            </w:r>
          </w:p>
        </w:tc>
      </w:tr>
      <w:tr w:rsidR="000E184F" w:rsidRPr="008376FC" w:rsidTr="00BE3B68">
        <w:tc>
          <w:tcPr>
            <w:tcW w:w="9747" w:type="dxa"/>
            <w:gridSpan w:val="7"/>
          </w:tcPr>
          <w:p w:rsidR="000E184F" w:rsidRPr="008376FC" w:rsidRDefault="000E184F" w:rsidP="0026667F">
            <w:pPr>
              <w:widowControl w:val="0"/>
              <w:autoSpaceDE w:val="0"/>
              <w:autoSpaceDN w:val="0"/>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sz w:val="20"/>
                <w:szCs w:val="20"/>
              </w:rPr>
              <w:t>Î.M. „Apă</w:t>
            </w:r>
            <w:r w:rsidR="00EF6E85">
              <w:rPr>
                <w:rFonts w:asciiTheme="majorHAnsi" w:eastAsia="Times New Roman" w:hAnsiTheme="majorHAnsi" w:cstheme="majorHAnsi"/>
                <w:sz w:val="20"/>
                <w:szCs w:val="20"/>
              </w:rPr>
              <w:t>-</w:t>
            </w:r>
            <w:r w:rsidRPr="008376FC">
              <w:rPr>
                <w:rFonts w:asciiTheme="majorHAnsi" w:eastAsia="Times New Roman" w:hAnsiTheme="majorHAnsi" w:cstheme="majorHAnsi"/>
                <w:sz w:val="20"/>
                <w:szCs w:val="20"/>
              </w:rPr>
              <w:t>Canal Căuşeni”</w:t>
            </w:r>
          </w:p>
        </w:tc>
      </w:tr>
      <w:tr w:rsidR="000E184F" w:rsidRPr="008376FC" w:rsidTr="00BE3B68">
        <w:tc>
          <w:tcPr>
            <w:tcW w:w="675"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2</w:t>
            </w:r>
          </w:p>
        </w:tc>
        <w:tc>
          <w:tcPr>
            <w:tcW w:w="1557"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Extinderea şi reabilitarea sistemelor de alimentare cu apă şi canalizare</w:t>
            </w:r>
          </w:p>
        </w:tc>
        <w:tc>
          <w:tcPr>
            <w:tcW w:w="1537"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1000,0 mii dolari SUA</w:t>
            </w:r>
          </w:p>
        </w:tc>
        <w:tc>
          <w:tcPr>
            <w:tcW w:w="1648" w:type="dxa"/>
          </w:tcPr>
          <w:p w:rsidR="000E184F"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Contract de recreditare a împrumutului între MF şi operatorul apă-canal</w:t>
            </w:r>
          </w:p>
          <w:p w:rsidR="00EC1A68" w:rsidRDefault="00EC1A68"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Donator: Asociaţia Internaţională pentru Dezvoltare</w:t>
            </w:r>
          </w:p>
        </w:tc>
        <w:tc>
          <w:tcPr>
            <w:tcW w:w="166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 30 ani (din 28.12.2009-15.05.2042);</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de graţie – 6 ani</w:t>
            </w:r>
          </w:p>
        </w:tc>
        <w:tc>
          <w:tcPr>
            <w:tcW w:w="1482"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 1,5%</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se achită semestrial pe data de 15 aprilie şi 15 octombrie a fiecărui an</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Taxa de angajament pentru suma împrumutului neretrasă – 0,5%</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Penalitate pentru neachitarea la timp a împrumutului, dobânzii şi taxei pentru angajament – 0,01% pentru fiecare şi de întârziere</w:t>
            </w:r>
          </w:p>
        </w:tc>
        <w:tc>
          <w:tcPr>
            <w:tcW w:w="1180"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Împrumutatul nu are dreptul să transmită în gaj bunurile obținute în urma împrumutului până la achitarea completă a sumei principale</w:t>
            </w:r>
          </w:p>
        </w:tc>
      </w:tr>
      <w:tr w:rsidR="000E184F" w:rsidRPr="008376FC" w:rsidTr="00BE3B68">
        <w:tc>
          <w:tcPr>
            <w:tcW w:w="9747" w:type="dxa"/>
            <w:gridSpan w:val="7"/>
          </w:tcPr>
          <w:p w:rsidR="000E184F" w:rsidRPr="008376FC" w:rsidRDefault="000E184F" w:rsidP="0026667F">
            <w:pPr>
              <w:widowControl w:val="0"/>
              <w:autoSpaceDE w:val="0"/>
              <w:autoSpaceDN w:val="0"/>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sz w:val="20"/>
                <w:szCs w:val="20"/>
              </w:rPr>
              <w:t>S.A. Regia „Apă-Canal” Orhei</w:t>
            </w:r>
          </w:p>
        </w:tc>
      </w:tr>
      <w:tr w:rsidR="000E184F" w:rsidRPr="008376FC" w:rsidTr="00BE3B68">
        <w:tc>
          <w:tcPr>
            <w:tcW w:w="675"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3.1</w:t>
            </w:r>
          </w:p>
        </w:tc>
        <w:tc>
          <w:tcPr>
            <w:tcW w:w="1557"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Extinderea şi reabilitarea sistemelor de alimentare cu apă şi canalizare</w:t>
            </w:r>
          </w:p>
        </w:tc>
        <w:tc>
          <w:tcPr>
            <w:tcW w:w="1537"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2000,0 mii dolari SUA</w:t>
            </w:r>
          </w:p>
        </w:tc>
        <w:tc>
          <w:tcPr>
            <w:tcW w:w="164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Contract de credit subsidiar între MF, Ministerul Ecologiei, Construcţiilor şi Dezvoltării Teritoriului şi operatorul apă-canal</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Donator: Asociaţia Internaţională pentru Dezvoltare</w:t>
            </w:r>
          </w:p>
        </w:tc>
        <w:tc>
          <w:tcPr>
            <w:tcW w:w="166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 37 ani (din 15.04.2004 până la 15.04.2040);</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de graţie – 6 ani</w:t>
            </w:r>
          </w:p>
        </w:tc>
        <w:tc>
          <w:tcPr>
            <w:tcW w:w="1482"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 1,5%</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se achită semestrial pe data de 15 aprilie şi 15 octombrie a fiecărui an</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Penalitate pentru neachitarea la timp a împrumutului, dobânzii şi taxei pentru angajament – 0,01% pentru fiecare şi de întârziere</w:t>
            </w:r>
          </w:p>
        </w:tc>
        <w:tc>
          <w:tcPr>
            <w:tcW w:w="1180"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w:t>
            </w:r>
          </w:p>
        </w:tc>
      </w:tr>
      <w:tr w:rsidR="000E184F" w:rsidRPr="008376FC" w:rsidTr="00BE3B68">
        <w:tc>
          <w:tcPr>
            <w:tcW w:w="675"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3.2</w:t>
            </w:r>
          </w:p>
        </w:tc>
        <w:tc>
          <w:tcPr>
            <w:tcW w:w="1557"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Extinderea şi reabilitarea sistemelor de alimentare cu apă şi canalizare</w:t>
            </w:r>
          </w:p>
        </w:tc>
        <w:tc>
          <w:tcPr>
            <w:tcW w:w="1537"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500,0 mii dolari SUA</w:t>
            </w:r>
          </w:p>
        </w:tc>
        <w:tc>
          <w:tcPr>
            <w:tcW w:w="164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Contract de recreditare a împrumutului între MF şi operatorul apă-canal</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Donator: BERD, BEI</w:t>
            </w:r>
          </w:p>
        </w:tc>
        <w:tc>
          <w:tcPr>
            <w:tcW w:w="166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 30 ani (din 26.06.2009 până la 15.05.2039);</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de graţie – 6 ani</w:t>
            </w:r>
          </w:p>
        </w:tc>
        <w:tc>
          <w:tcPr>
            <w:tcW w:w="1482"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 1,5%</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se achită semestrial pe data de 15 mai şi 15 noiembrie a fiecărui an</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Taxa de angajament pentru suma împrumutului neretrasă – 0,5%</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Penalitate pentru neachitarea la timp a împrumutului, dobânzii şi taxei pentru angajament – 0,01% pentru fiecare şi de întârziere</w:t>
            </w:r>
          </w:p>
        </w:tc>
        <w:tc>
          <w:tcPr>
            <w:tcW w:w="1180"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w:t>
            </w:r>
          </w:p>
        </w:tc>
      </w:tr>
      <w:tr w:rsidR="000E184F" w:rsidRPr="008376FC" w:rsidTr="00BE3B68">
        <w:tc>
          <w:tcPr>
            <w:tcW w:w="675"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3.3</w:t>
            </w:r>
          </w:p>
        </w:tc>
        <w:tc>
          <w:tcPr>
            <w:tcW w:w="1557"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Extinderea şi reabilitarea sistemelor de alimentare cu apă şi canalizare</w:t>
            </w:r>
          </w:p>
        </w:tc>
        <w:tc>
          <w:tcPr>
            <w:tcW w:w="1537"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2000,0 mii EUR</w:t>
            </w:r>
          </w:p>
        </w:tc>
        <w:tc>
          <w:tcPr>
            <w:tcW w:w="164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Contract de recreditare a împrumutului între MF şi operatorul apă-canal</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Donator: BERD, BEI</w:t>
            </w:r>
          </w:p>
        </w:tc>
        <w:tc>
          <w:tcPr>
            <w:tcW w:w="166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 22 ani (din 26.11.2010 până la 19.06.2032);</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de graţie – 3 ani</w:t>
            </w:r>
          </w:p>
        </w:tc>
        <w:tc>
          <w:tcPr>
            <w:tcW w:w="1482"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 dobânda flotantă EURIBOR + 1% marja</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se achită semestrial pe data de 19 iunie şi 19 decembrie a fiecărui an</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Comision unic 1% din suma principală a împrumutului</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Comisionul de angajament pentru suma împrumutului neretrasă – 0,5%</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Comision de anulare – 0,125% din suma împrumutului anulată</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Penalitate pentru neachitarea la timp a împrumutului, dobânzii şi taxei pentru angajament – 2% anual</w:t>
            </w:r>
          </w:p>
        </w:tc>
        <w:tc>
          <w:tcPr>
            <w:tcW w:w="1180" w:type="dxa"/>
          </w:tcPr>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tc>
      </w:tr>
      <w:tr w:rsidR="000E184F" w:rsidRPr="008376FC" w:rsidTr="00BE3B68">
        <w:tc>
          <w:tcPr>
            <w:tcW w:w="9747" w:type="dxa"/>
            <w:gridSpan w:val="7"/>
          </w:tcPr>
          <w:p w:rsidR="000E184F" w:rsidRPr="008376FC" w:rsidRDefault="000E184F" w:rsidP="0026667F">
            <w:pPr>
              <w:widowControl w:val="0"/>
              <w:autoSpaceDE w:val="0"/>
              <w:autoSpaceDN w:val="0"/>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sz w:val="20"/>
                <w:szCs w:val="20"/>
              </w:rPr>
              <w:t>S.A. „Servici</w:t>
            </w:r>
            <w:r w:rsidR="00EF6E85">
              <w:rPr>
                <w:rFonts w:asciiTheme="majorHAnsi" w:eastAsia="Times New Roman" w:hAnsiTheme="majorHAnsi" w:cstheme="majorHAnsi"/>
                <w:sz w:val="20"/>
                <w:szCs w:val="20"/>
              </w:rPr>
              <w:t>i</w:t>
            </w:r>
            <w:r w:rsidRPr="008376FC">
              <w:rPr>
                <w:rFonts w:asciiTheme="majorHAnsi" w:eastAsia="Times New Roman" w:hAnsiTheme="majorHAnsi" w:cstheme="majorHAnsi"/>
                <w:sz w:val="20"/>
                <w:szCs w:val="20"/>
              </w:rPr>
              <w:t xml:space="preserve"> Comunale Florești”</w:t>
            </w:r>
          </w:p>
        </w:tc>
      </w:tr>
      <w:tr w:rsidR="000E184F" w:rsidRPr="008376FC" w:rsidTr="00BE3B68">
        <w:tc>
          <w:tcPr>
            <w:tcW w:w="675"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4</w:t>
            </w:r>
          </w:p>
        </w:tc>
        <w:tc>
          <w:tcPr>
            <w:tcW w:w="1557"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Extinderea şi reabilitarea sistemelor de alimentare cu apă şi canalizare</w:t>
            </w:r>
          </w:p>
        </w:tc>
        <w:tc>
          <w:tcPr>
            <w:tcW w:w="1537"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1000,0 mii EUR</w:t>
            </w:r>
          </w:p>
        </w:tc>
        <w:tc>
          <w:tcPr>
            <w:tcW w:w="164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Contract de recreditare a împrumutului între MF şi operatorul apă-canal</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Donator: BERD, BEI</w:t>
            </w:r>
          </w:p>
        </w:tc>
        <w:tc>
          <w:tcPr>
            <w:tcW w:w="166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 30 ani (din 26.06.2009 până la 15.05.2039);</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de graţie – 6 ani</w:t>
            </w:r>
          </w:p>
        </w:tc>
        <w:tc>
          <w:tcPr>
            <w:tcW w:w="1482"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 1,5%</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se achită semestrial pe data de 15 mai şi 15 noiembrie a fiecărui an</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Taxa de angajament pentru suma împrumutului neretrasă – 0,5%</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Penalitate pentru neachitarea la timp a împrumutului, dobânzii şi taxei pentru angajament – 0,01% pentru fiecare şi de întârziere</w:t>
            </w:r>
          </w:p>
        </w:tc>
        <w:tc>
          <w:tcPr>
            <w:tcW w:w="1180"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w:t>
            </w:r>
          </w:p>
        </w:tc>
      </w:tr>
      <w:tr w:rsidR="000E184F" w:rsidRPr="008376FC" w:rsidTr="00BE3B68">
        <w:tc>
          <w:tcPr>
            <w:tcW w:w="9747" w:type="dxa"/>
            <w:gridSpan w:val="7"/>
          </w:tcPr>
          <w:p w:rsidR="000E184F" w:rsidRPr="008376FC" w:rsidRDefault="000E184F" w:rsidP="0026667F">
            <w:pPr>
              <w:widowControl w:val="0"/>
              <w:autoSpaceDE w:val="0"/>
              <w:autoSpaceDN w:val="0"/>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sz w:val="20"/>
                <w:szCs w:val="20"/>
              </w:rPr>
              <w:t>S.A. „Operator Regional Apă</w:t>
            </w:r>
            <w:r w:rsidR="00EF6E85">
              <w:rPr>
                <w:rFonts w:asciiTheme="majorHAnsi" w:eastAsia="Times New Roman" w:hAnsiTheme="majorHAnsi" w:cstheme="majorHAnsi"/>
                <w:sz w:val="20"/>
                <w:szCs w:val="20"/>
              </w:rPr>
              <w:t>-</w:t>
            </w:r>
            <w:r w:rsidRPr="008376FC">
              <w:rPr>
                <w:rFonts w:asciiTheme="majorHAnsi" w:eastAsia="Times New Roman" w:hAnsiTheme="majorHAnsi" w:cstheme="majorHAnsi"/>
                <w:sz w:val="20"/>
                <w:szCs w:val="20"/>
              </w:rPr>
              <w:t>Canal H</w:t>
            </w:r>
            <w:r w:rsidR="00EF6E85">
              <w:rPr>
                <w:rFonts w:asciiTheme="majorHAnsi" w:eastAsia="Times New Roman" w:hAnsiTheme="majorHAnsi" w:cstheme="majorHAnsi"/>
                <w:sz w:val="20"/>
                <w:szCs w:val="20"/>
              </w:rPr>
              <w:t>â</w:t>
            </w:r>
            <w:r w:rsidRPr="008376FC">
              <w:rPr>
                <w:rFonts w:asciiTheme="majorHAnsi" w:eastAsia="Times New Roman" w:hAnsiTheme="majorHAnsi" w:cstheme="majorHAnsi"/>
                <w:sz w:val="20"/>
                <w:szCs w:val="20"/>
              </w:rPr>
              <w:t>nceşti”</w:t>
            </w:r>
          </w:p>
        </w:tc>
      </w:tr>
      <w:tr w:rsidR="000E184F" w:rsidRPr="008376FC" w:rsidTr="00BE3B68">
        <w:tc>
          <w:tcPr>
            <w:tcW w:w="675"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5</w:t>
            </w:r>
          </w:p>
        </w:tc>
        <w:tc>
          <w:tcPr>
            <w:tcW w:w="1557"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Extinderea şi reabilitarea sistemelor de alimentare cu apă şi canalizare</w:t>
            </w:r>
          </w:p>
        </w:tc>
        <w:tc>
          <w:tcPr>
            <w:tcW w:w="1537"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1100,0 mii EUR</w:t>
            </w:r>
            <w:r w:rsidR="00EF6E85">
              <w:rPr>
                <w:rFonts w:asciiTheme="majorHAnsi" w:eastAsia="Times New Roman" w:hAnsiTheme="majorHAnsi" w:cstheme="majorHAnsi"/>
                <w:b w:val="0"/>
                <w:bCs w:val="0"/>
                <w:sz w:val="20"/>
                <w:szCs w:val="20"/>
              </w:rPr>
              <w:t>O</w:t>
            </w:r>
          </w:p>
        </w:tc>
        <w:tc>
          <w:tcPr>
            <w:tcW w:w="164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Contract de recreditare a împrumutului între MF şi operatorul apă-canal</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Donator: BERD, BEI</w:t>
            </w:r>
          </w:p>
        </w:tc>
        <w:tc>
          <w:tcPr>
            <w:tcW w:w="166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 15 ani (din 30.09.2010 până la 19.06.2025);</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de graţie – 3 ani</w:t>
            </w:r>
          </w:p>
        </w:tc>
        <w:tc>
          <w:tcPr>
            <w:tcW w:w="1482"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 dobânda flotantă EURIBOR + 1% marja</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se achită semestrial pe data de 19 iunie şi 19 decembrie a fiecărui an</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Comision unic 1% din suma principală a împrumutului</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Comisionul de angajament pentru suma împrumutului neretrasă – 0,5%</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Comision de anulare – 0,125% din suma împrumutului anulată</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Penalitate pentru neachitarea la timp a împrumutului, dobânzii şi taxei pentru angajament – 2% anual</w:t>
            </w:r>
          </w:p>
        </w:tc>
        <w:tc>
          <w:tcPr>
            <w:tcW w:w="1180"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w:t>
            </w:r>
          </w:p>
        </w:tc>
      </w:tr>
      <w:tr w:rsidR="000E184F" w:rsidRPr="008376FC" w:rsidTr="00BE3B68">
        <w:tc>
          <w:tcPr>
            <w:tcW w:w="9747" w:type="dxa"/>
            <w:gridSpan w:val="7"/>
          </w:tcPr>
          <w:p w:rsidR="000E184F" w:rsidRPr="008376FC" w:rsidRDefault="000E184F" w:rsidP="0026667F">
            <w:pPr>
              <w:widowControl w:val="0"/>
              <w:autoSpaceDE w:val="0"/>
              <w:autoSpaceDN w:val="0"/>
              <w:jc w:val="center"/>
              <w:rPr>
                <w:rFonts w:asciiTheme="majorHAnsi" w:eastAsia="Times New Roman" w:hAnsiTheme="majorHAnsi" w:cstheme="majorHAnsi"/>
                <w:b w:val="0"/>
                <w:bCs w:val="0"/>
                <w:sz w:val="20"/>
                <w:szCs w:val="20"/>
              </w:rPr>
            </w:pPr>
            <w:r w:rsidRPr="008376FC">
              <w:rPr>
                <w:rFonts w:asciiTheme="majorHAnsi" w:eastAsia="Times New Roman" w:hAnsiTheme="majorHAnsi" w:cstheme="majorHAnsi"/>
                <w:sz w:val="20"/>
                <w:szCs w:val="20"/>
              </w:rPr>
              <w:t>S.A. Regia „Apă-Canal” Soroca</w:t>
            </w:r>
          </w:p>
        </w:tc>
      </w:tr>
      <w:tr w:rsidR="000E184F" w:rsidRPr="008376FC" w:rsidTr="00BE3B68">
        <w:tc>
          <w:tcPr>
            <w:tcW w:w="675"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6.1</w:t>
            </w:r>
          </w:p>
        </w:tc>
        <w:tc>
          <w:tcPr>
            <w:tcW w:w="1557" w:type="dxa"/>
          </w:tcPr>
          <w:p w:rsidR="000E184F" w:rsidRPr="006C2B89" w:rsidRDefault="000056B2" w:rsidP="0026667F">
            <w:pPr>
              <w:widowControl w:val="0"/>
              <w:autoSpaceDE w:val="0"/>
              <w:autoSpaceDN w:val="0"/>
              <w:jc w:val="both"/>
              <w:rPr>
                <w:rFonts w:asciiTheme="majorHAnsi" w:eastAsia="Times New Roman" w:hAnsiTheme="majorHAnsi" w:cstheme="majorHAnsi"/>
                <w:bCs w:val="0"/>
                <w:sz w:val="20"/>
                <w:szCs w:val="20"/>
              </w:rPr>
            </w:pPr>
            <w:r w:rsidRPr="006C2B89">
              <w:rPr>
                <w:rFonts w:asciiTheme="majorHAnsi" w:eastAsia="Times New Roman" w:hAnsiTheme="majorHAnsi" w:cstheme="majorHAnsi"/>
                <w:bCs w:val="0"/>
                <w:sz w:val="20"/>
                <w:szCs w:val="20"/>
              </w:rPr>
              <w:t>Extinderea şi reabilitarea sistemelor de alimentare cu apă şi canalizare</w:t>
            </w:r>
          </w:p>
        </w:tc>
        <w:tc>
          <w:tcPr>
            <w:tcW w:w="1537"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2265,0 mii dolari SUA</w:t>
            </w:r>
          </w:p>
        </w:tc>
        <w:tc>
          <w:tcPr>
            <w:tcW w:w="164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Contract de credit subsidiar între MF, Ministerul Ecologiei, Construcţiilor şi Dezvoltării Teritoriului şi operatorul apă-canal</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Donator: Asociaţia Internaţională pentru Dezvoltare</w:t>
            </w:r>
          </w:p>
        </w:tc>
        <w:tc>
          <w:tcPr>
            <w:tcW w:w="166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 30 ani (din 15.04.2004 până la 15.04.2033);</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de graţie – 6 ani</w:t>
            </w:r>
          </w:p>
        </w:tc>
        <w:tc>
          <w:tcPr>
            <w:tcW w:w="1482"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 1,5%</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se achită semestrial pe data de 15 aprilie şi 15 octombrie a fiecărui an</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Penalitate pentru neachitarea la timp a împrumutului, dobânzii şi taxei pentru angajament – 0,01% pentru fiecare şi de întârziere</w:t>
            </w:r>
          </w:p>
        </w:tc>
        <w:tc>
          <w:tcPr>
            <w:tcW w:w="1180"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w:t>
            </w:r>
          </w:p>
        </w:tc>
      </w:tr>
      <w:tr w:rsidR="000E184F" w:rsidRPr="008376FC" w:rsidTr="00BE3B68">
        <w:tc>
          <w:tcPr>
            <w:tcW w:w="675" w:type="dxa"/>
          </w:tcPr>
          <w:p w:rsidR="000E184F" w:rsidRPr="008376FC" w:rsidRDefault="000E184F" w:rsidP="0026667F">
            <w:pPr>
              <w:widowControl w:val="0"/>
              <w:autoSpaceDE w:val="0"/>
              <w:autoSpaceDN w:val="0"/>
              <w:jc w:val="both"/>
              <w:rPr>
                <w:rFonts w:asciiTheme="majorHAnsi" w:eastAsia="Times New Roman" w:hAnsiTheme="majorHAnsi" w:cstheme="majorHAnsi"/>
                <w:bCs w:val="0"/>
                <w:sz w:val="20"/>
                <w:szCs w:val="20"/>
              </w:rPr>
            </w:pPr>
            <w:r w:rsidRPr="008376FC">
              <w:rPr>
                <w:rFonts w:asciiTheme="majorHAnsi" w:eastAsia="Times New Roman" w:hAnsiTheme="majorHAnsi" w:cstheme="majorHAnsi"/>
                <w:sz w:val="20"/>
                <w:szCs w:val="20"/>
              </w:rPr>
              <w:t>6.2</w:t>
            </w:r>
          </w:p>
        </w:tc>
        <w:tc>
          <w:tcPr>
            <w:tcW w:w="1557" w:type="dxa"/>
          </w:tcPr>
          <w:p w:rsidR="000E184F" w:rsidRPr="006C2B89" w:rsidRDefault="000056B2" w:rsidP="0026667F">
            <w:pPr>
              <w:widowControl w:val="0"/>
              <w:autoSpaceDE w:val="0"/>
              <w:autoSpaceDN w:val="0"/>
              <w:jc w:val="both"/>
              <w:rPr>
                <w:rFonts w:asciiTheme="majorHAnsi" w:eastAsia="Times New Roman" w:hAnsiTheme="majorHAnsi" w:cstheme="majorHAnsi"/>
                <w:bCs w:val="0"/>
                <w:sz w:val="20"/>
                <w:szCs w:val="20"/>
              </w:rPr>
            </w:pPr>
            <w:r w:rsidRPr="006C2B89">
              <w:rPr>
                <w:rFonts w:asciiTheme="majorHAnsi" w:eastAsia="Times New Roman" w:hAnsiTheme="majorHAnsi" w:cstheme="majorHAnsi"/>
                <w:bCs w:val="0"/>
                <w:sz w:val="20"/>
                <w:szCs w:val="20"/>
              </w:rPr>
              <w:t>Extinderea şi reabilitarea sistemelor de alimentare cu apă şi canalizare</w:t>
            </w:r>
            <w:r w:rsidR="00EF6E85">
              <w:rPr>
                <w:rFonts w:asciiTheme="majorHAnsi" w:eastAsia="Times New Roman" w:hAnsiTheme="majorHAnsi" w:cstheme="majorHAnsi"/>
                <w:bCs w:val="0"/>
                <w:sz w:val="20"/>
                <w:szCs w:val="20"/>
              </w:rPr>
              <w:t xml:space="preserve"> </w:t>
            </w:r>
          </w:p>
        </w:tc>
        <w:tc>
          <w:tcPr>
            <w:tcW w:w="1537"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1333,3 mii EUR</w:t>
            </w:r>
            <w:r w:rsidR="00EF6E85">
              <w:rPr>
                <w:rFonts w:asciiTheme="majorHAnsi" w:eastAsia="Times New Roman" w:hAnsiTheme="majorHAnsi" w:cstheme="majorHAnsi"/>
                <w:b w:val="0"/>
                <w:bCs w:val="0"/>
                <w:sz w:val="20"/>
                <w:szCs w:val="20"/>
              </w:rPr>
              <w:t>O</w:t>
            </w:r>
          </w:p>
        </w:tc>
        <w:tc>
          <w:tcPr>
            <w:tcW w:w="164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Contract de recreditare a împrumutului între MF şi operatorul apă-canal</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Donator: BERD, BEI</w:t>
            </w:r>
          </w:p>
        </w:tc>
        <w:tc>
          <w:tcPr>
            <w:tcW w:w="1668"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 15 ani (din 19.01.2011 până la 19.06.2025);</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Perioada de graţie – 3 ani</w:t>
            </w:r>
          </w:p>
        </w:tc>
        <w:tc>
          <w:tcPr>
            <w:tcW w:w="1482"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 dobânda flotantă EURIBOR + 1% marja</w:t>
            </w: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Dobânda se achită semestrial pe data de 19 iunie şi 19 decembrie a fiecărui an</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Comision unic 1% din suma principală a împrumutului</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Comisionul de angajament pentru suma împrumutului neretrasă – 0,5%</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Comision de anulare – 0,125% din suma împrumutului anulată</w:t>
            </w:r>
          </w:p>
          <w:p w:rsidR="000E184F" w:rsidRPr="008376FC" w:rsidRDefault="000E184F" w:rsidP="0026667F">
            <w:pPr>
              <w:widowControl w:val="0"/>
              <w:autoSpaceDE w:val="0"/>
              <w:autoSpaceDN w:val="0"/>
              <w:jc w:val="both"/>
              <w:rPr>
                <w:rFonts w:asciiTheme="majorHAnsi" w:eastAsia="Times New Roman" w:hAnsiTheme="majorHAnsi" w:cstheme="majorHAnsi"/>
                <w:b w:val="0"/>
                <w:bCs w:val="0"/>
                <w:sz w:val="20"/>
                <w:szCs w:val="20"/>
              </w:rPr>
            </w:pPr>
          </w:p>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Penalitate pentru neachitarea la timp a împrumutului, dobânzii şi taxei pentru angajament – 2% anual</w:t>
            </w:r>
          </w:p>
        </w:tc>
        <w:tc>
          <w:tcPr>
            <w:tcW w:w="1180" w:type="dxa"/>
          </w:tcPr>
          <w:p w:rsidR="000E184F" w:rsidRPr="008376FC" w:rsidRDefault="000056B2" w:rsidP="0026667F">
            <w:pPr>
              <w:widowControl w:val="0"/>
              <w:autoSpaceDE w:val="0"/>
              <w:autoSpaceDN w:val="0"/>
              <w:jc w:val="both"/>
              <w:rPr>
                <w:rFonts w:asciiTheme="majorHAnsi" w:eastAsia="Times New Roman" w:hAnsiTheme="majorHAnsi" w:cstheme="majorHAnsi"/>
                <w:b w:val="0"/>
                <w:bCs w:val="0"/>
                <w:sz w:val="20"/>
                <w:szCs w:val="20"/>
              </w:rPr>
            </w:pPr>
            <w:r w:rsidRPr="008376FC">
              <w:rPr>
                <w:rFonts w:asciiTheme="majorHAnsi" w:eastAsia="Times New Roman" w:hAnsiTheme="majorHAnsi" w:cstheme="majorHAnsi"/>
                <w:b w:val="0"/>
                <w:bCs w:val="0"/>
                <w:sz w:val="20"/>
                <w:szCs w:val="20"/>
              </w:rPr>
              <w:t>-</w:t>
            </w:r>
          </w:p>
        </w:tc>
      </w:tr>
    </w:tbl>
    <w:p w:rsidR="000E184F" w:rsidRPr="008376FC" w:rsidRDefault="000E184F" w:rsidP="00F61756">
      <w:pPr>
        <w:widowControl w:val="0"/>
        <w:autoSpaceDE w:val="0"/>
        <w:autoSpaceDN w:val="0"/>
        <w:spacing w:before="11" w:line="276" w:lineRule="auto"/>
        <w:ind w:right="112" w:firstLine="709"/>
        <w:rPr>
          <w:rFonts w:asciiTheme="majorHAnsi" w:eastAsia="Times New Roman" w:hAnsiTheme="majorHAnsi" w:cstheme="majorHAnsi"/>
          <w:sz w:val="20"/>
          <w:szCs w:val="20"/>
        </w:rPr>
      </w:pPr>
      <w:r w:rsidRPr="008376FC">
        <w:rPr>
          <w:rFonts w:asciiTheme="majorHAnsi" w:eastAsia="Times New Roman" w:hAnsiTheme="majorHAnsi" w:cstheme="majorHAnsi"/>
          <w:sz w:val="20"/>
          <w:szCs w:val="20"/>
        </w:rPr>
        <w:t xml:space="preserve">Sursa: </w:t>
      </w:r>
      <w:r w:rsidR="000056B2" w:rsidRPr="008376FC">
        <w:rPr>
          <w:rFonts w:asciiTheme="majorHAnsi" w:eastAsia="Times New Roman" w:hAnsiTheme="majorHAnsi" w:cstheme="majorHAnsi"/>
          <w:b w:val="0"/>
          <w:bCs w:val="0"/>
          <w:sz w:val="20"/>
          <w:szCs w:val="20"/>
        </w:rPr>
        <w:t>Contractele de împrumut/recreditare ale operatorilor apă-canal.</w:t>
      </w:r>
    </w:p>
    <w:p w:rsidR="000E184F" w:rsidRPr="00EC1A68" w:rsidRDefault="000E184F" w:rsidP="00F61756">
      <w:pPr>
        <w:spacing w:line="276" w:lineRule="auto"/>
        <w:rPr>
          <w:rFonts w:asciiTheme="majorHAnsi" w:hAnsiTheme="majorHAnsi" w:cstheme="majorHAnsi"/>
          <w:b w:val="0"/>
          <w:bCs w:val="0"/>
          <w:color w:val="0070C0"/>
          <w:sz w:val="24"/>
          <w:szCs w:val="24"/>
        </w:rPr>
      </w:pPr>
      <w:r w:rsidRPr="00EC1A68">
        <w:rPr>
          <w:rFonts w:asciiTheme="majorHAnsi" w:hAnsiTheme="majorHAnsi" w:cstheme="majorHAnsi"/>
          <w:color w:val="0070C0"/>
          <w:sz w:val="24"/>
          <w:szCs w:val="24"/>
        </w:rPr>
        <w:t>Anexa nr.14 Responsabilitățile părților implicate în asigurarea calității apei</w:t>
      </w:r>
    </w:p>
    <w:p w:rsidR="000E184F" w:rsidRPr="008376FC" w:rsidRDefault="000E184F" w:rsidP="00F61756">
      <w:pPr>
        <w:pStyle w:val="a3"/>
        <w:numPr>
          <w:ilvl w:val="0"/>
          <w:numId w:val="65"/>
        </w:numPr>
        <w:spacing w:line="276" w:lineRule="auto"/>
        <w:ind w:left="0" w:firstLine="709"/>
        <w:jc w:val="both"/>
        <w:rPr>
          <w:rFonts w:asciiTheme="majorHAnsi" w:hAnsiTheme="majorHAnsi" w:cstheme="majorHAnsi"/>
          <w:lang w:val="en-US"/>
        </w:rPr>
      </w:pPr>
      <w:r w:rsidRPr="008376FC">
        <w:rPr>
          <w:rFonts w:asciiTheme="majorHAnsi" w:hAnsiTheme="majorHAnsi" w:cstheme="majorHAnsi"/>
          <w:b/>
          <w:lang w:val="en-US"/>
        </w:rPr>
        <w:t>Ministerul Mediului</w:t>
      </w:r>
      <w:r w:rsidRPr="008376FC">
        <w:rPr>
          <w:rFonts w:asciiTheme="majorHAnsi" w:hAnsiTheme="majorHAnsi" w:cstheme="majorHAnsi"/>
          <w:lang w:val="en-US"/>
        </w:rPr>
        <w:t xml:space="preserve"> - în calitate de instituţie publică centrală de stat responsabilă de elaborarea politicilor naţionale, cadrului legislativ şi normativ, precum şi de punerea în aplicare a prevederilor documentelor de politici, planificarea investiţiilor necesare în dezvoltarea sectorului (infrastructura de alimentare cu apă şi canalizare) şi gestionarea resurselor de apă</w:t>
      </w:r>
      <w:r w:rsidR="00EF6E85">
        <w:rPr>
          <w:rFonts w:asciiTheme="majorHAnsi" w:hAnsiTheme="majorHAnsi" w:cstheme="majorHAnsi"/>
          <w:lang w:val="en-US"/>
        </w:rPr>
        <w:t>;</w:t>
      </w:r>
    </w:p>
    <w:p w:rsidR="000E184F" w:rsidRPr="008376FC" w:rsidRDefault="000E184F" w:rsidP="00F61756">
      <w:pPr>
        <w:pStyle w:val="a3"/>
        <w:numPr>
          <w:ilvl w:val="0"/>
          <w:numId w:val="65"/>
        </w:numPr>
        <w:spacing w:line="276" w:lineRule="auto"/>
        <w:ind w:left="0" w:firstLine="709"/>
        <w:jc w:val="both"/>
        <w:rPr>
          <w:rFonts w:asciiTheme="majorHAnsi" w:hAnsiTheme="majorHAnsi" w:cstheme="majorHAnsi"/>
          <w:lang w:val="en-US"/>
        </w:rPr>
      </w:pPr>
      <w:r w:rsidRPr="008376FC">
        <w:rPr>
          <w:rFonts w:asciiTheme="majorHAnsi" w:hAnsiTheme="majorHAnsi" w:cstheme="majorHAnsi"/>
          <w:b/>
          <w:bCs/>
          <w:lang w:val="en-US"/>
        </w:rPr>
        <w:t>Ministerul Infrastructurii și Dezvoltării Regionale</w:t>
      </w:r>
      <w:r w:rsidRPr="008376FC">
        <w:rPr>
          <w:rFonts w:asciiTheme="majorHAnsi" w:hAnsiTheme="majorHAnsi" w:cstheme="majorHAnsi"/>
          <w:lang w:val="en-US"/>
        </w:rPr>
        <w:t xml:space="preserve"> - planificarea şi dezvoltarea sectorului de alimentare cu apă şi canalizare la nivel regional şi este implicat în mod substanţial în planificarea şi dezvoltarea infrastructurii de alimentare cu apă şi canalizare prin cele trei agenţii de dezvoltare regională;</w:t>
      </w:r>
    </w:p>
    <w:p w:rsidR="000E184F" w:rsidRPr="008376FC" w:rsidRDefault="000E184F" w:rsidP="00F61756">
      <w:pPr>
        <w:pStyle w:val="a3"/>
        <w:numPr>
          <w:ilvl w:val="0"/>
          <w:numId w:val="65"/>
        </w:numPr>
        <w:spacing w:line="276" w:lineRule="auto"/>
        <w:ind w:left="0" w:firstLine="709"/>
        <w:jc w:val="both"/>
        <w:rPr>
          <w:rFonts w:asciiTheme="majorHAnsi" w:hAnsiTheme="majorHAnsi" w:cstheme="majorHAnsi"/>
          <w:lang w:val="en-US"/>
        </w:rPr>
      </w:pPr>
      <w:r w:rsidRPr="008376FC">
        <w:rPr>
          <w:rFonts w:asciiTheme="majorHAnsi" w:hAnsiTheme="majorHAnsi" w:cstheme="majorHAnsi"/>
          <w:b/>
          <w:lang w:val="en-US"/>
        </w:rPr>
        <w:t>Ministerul Sănătății</w:t>
      </w:r>
      <w:r w:rsidRPr="008376FC">
        <w:rPr>
          <w:rFonts w:asciiTheme="majorHAnsi" w:hAnsiTheme="majorHAnsi" w:cstheme="majorHAnsi"/>
          <w:lang w:val="en-US"/>
        </w:rPr>
        <w:t xml:space="preserve"> - elaborarea cadrului regulator privind normarea calităţii apei potabile, apelor de suprafaţă şi subterane folosite pentru potabilizare, în scopuri de recreere şi în scopuri de irigare, privind monitorizarea calităţii acestora, planurilor de siguranţă a apei potabile, precum şi de evaluare</w:t>
      </w:r>
      <w:r w:rsidR="00EF6E85">
        <w:rPr>
          <w:rFonts w:asciiTheme="majorHAnsi" w:hAnsiTheme="majorHAnsi" w:cstheme="majorHAnsi"/>
          <w:lang w:val="en-US"/>
        </w:rPr>
        <w:t xml:space="preserve"> </w:t>
      </w:r>
      <w:r w:rsidRPr="008376FC">
        <w:rPr>
          <w:rFonts w:asciiTheme="majorHAnsi" w:hAnsiTheme="majorHAnsi" w:cstheme="majorHAnsi"/>
          <w:lang w:val="en-US"/>
        </w:rPr>
        <w:t>a riscurilor şi impactului pentru sănătate a apelor şi ţine evidenţa bolilor condiţionate de apă; monitorizează accesul populaţiei la sisteme îmbunătăţite de apă, sanitaţie şi practici de igienă, informează populaţia privind calitatea apelor şi promovează deprinderile sănătoase de viaţă</w:t>
      </w:r>
      <w:r w:rsidR="00EF6E85">
        <w:rPr>
          <w:rFonts w:asciiTheme="majorHAnsi" w:hAnsiTheme="majorHAnsi" w:cstheme="majorHAnsi"/>
          <w:lang w:val="en-US"/>
        </w:rPr>
        <w:t>;</w:t>
      </w:r>
    </w:p>
    <w:p w:rsidR="000E184F" w:rsidRPr="008376FC" w:rsidRDefault="000E184F" w:rsidP="00F61756">
      <w:pPr>
        <w:pStyle w:val="a3"/>
        <w:numPr>
          <w:ilvl w:val="0"/>
          <w:numId w:val="65"/>
        </w:numPr>
        <w:spacing w:line="276" w:lineRule="auto"/>
        <w:ind w:left="0" w:firstLine="709"/>
        <w:jc w:val="both"/>
        <w:rPr>
          <w:rFonts w:asciiTheme="majorHAnsi" w:hAnsiTheme="majorHAnsi" w:cstheme="majorHAnsi"/>
          <w:lang w:val="en-US"/>
        </w:rPr>
      </w:pPr>
      <w:r w:rsidRPr="008376FC">
        <w:rPr>
          <w:rFonts w:asciiTheme="majorHAnsi" w:hAnsiTheme="majorHAnsi" w:cstheme="majorHAnsi"/>
          <w:b/>
          <w:lang w:val="en-US"/>
        </w:rPr>
        <w:t xml:space="preserve">Agenția Națională pentru Sănătate </w:t>
      </w:r>
      <w:r w:rsidR="00EF6E85">
        <w:rPr>
          <w:rFonts w:asciiTheme="majorHAnsi" w:hAnsiTheme="majorHAnsi" w:cstheme="majorHAnsi"/>
          <w:b/>
          <w:lang w:val="en-US"/>
        </w:rPr>
        <w:t>P</w:t>
      </w:r>
      <w:r w:rsidRPr="008376FC">
        <w:rPr>
          <w:rFonts w:asciiTheme="majorHAnsi" w:hAnsiTheme="majorHAnsi" w:cstheme="majorHAnsi"/>
          <w:b/>
          <w:lang w:val="en-US"/>
        </w:rPr>
        <w:t>ublică</w:t>
      </w:r>
      <w:r w:rsidRPr="008376FC">
        <w:rPr>
          <w:rFonts w:asciiTheme="majorHAnsi" w:hAnsiTheme="majorHAnsi" w:cstheme="majorHAnsi"/>
          <w:lang w:val="en-US"/>
        </w:rPr>
        <w:t xml:space="preserve"> -  asigură monitorizarea calității apei potabile la orice etapă de producere a apei (extragere, tratare, înmagazinare, distribuire) și a calității surselor de apă destinate îmbutelierii, precum și a calității apelor potabile îmbuteliate înainte de plasarea lor pe piață, cu scopul de a verifica conformitatea apei care urmează a fi distribuită consumatorului cu cerințele de calitate și de a preveni riscurile pentru sănătatea publică; </w:t>
      </w:r>
    </w:p>
    <w:p w:rsidR="000E184F" w:rsidRPr="008376FC" w:rsidRDefault="000E184F" w:rsidP="00F61756">
      <w:pPr>
        <w:pStyle w:val="a3"/>
        <w:numPr>
          <w:ilvl w:val="0"/>
          <w:numId w:val="65"/>
        </w:numPr>
        <w:spacing w:line="276" w:lineRule="auto"/>
        <w:ind w:left="0" w:firstLine="709"/>
        <w:jc w:val="both"/>
        <w:rPr>
          <w:rFonts w:asciiTheme="majorHAnsi" w:hAnsiTheme="majorHAnsi" w:cstheme="majorHAnsi"/>
          <w:lang w:val="en-US"/>
        </w:rPr>
      </w:pPr>
      <w:r w:rsidRPr="008376FC">
        <w:rPr>
          <w:rFonts w:asciiTheme="majorHAnsi" w:hAnsiTheme="majorHAnsi" w:cstheme="majorHAnsi"/>
          <w:b/>
          <w:lang w:val="en-US"/>
        </w:rPr>
        <w:t>Agenţia Naţională pentru Reglementare în Energetică</w:t>
      </w:r>
      <w:r w:rsidRPr="008376FC">
        <w:rPr>
          <w:rFonts w:asciiTheme="majorHAnsi" w:hAnsiTheme="majorHAnsi" w:cstheme="majorHAnsi"/>
          <w:lang w:val="en-US"/>
        </w:rPr>
        <w:t xml:space="preserve"> -  reglementarea serviciului de alimentare cu apă şi de canalizare și licenţierea operatorilor şi reglementarea politicilor tarifare;</w:t>
      </w:r>
    </w:p>
    <w:p w:rsidR="000E184F" w:rsidRPr="008376FC" w:rsidRDefault="000E184F" w:rsidP="0000070C">
      <w:pPr>
        <w:pStyle w:val="a3"/>
        <w:numPr>
          <w:ilvl w:val="0"/>
          <w:numId w:val="65"/>
        </w:numPr>
        <w:spacing w:line="276" w:lineRule="auto"/>
        <w:ind w:left="0" w:firstLine="709"/>
        <w:jc w:val="both"/>
        <w:rPr>
          <w:rFonts w:asciiTheme="majorHAnsi" w:hAnsiTheme="majorHAnsi" w:cstheme="majorHAnsi"/>
          <w:lang w:val="en-US"/>
        </w:rPr>
      </w:pPr>
      <w:r w:rsidRPr="008376FC">
        <w:rPr>
          <w:rFonts w:asciiTheme="majorHAnsi" w:hAnsiTheme="majorHAnsi" w:cstheme="majorHAnsi"/>
          <w:b/>
          <w:bCs/>
          <w:lang w:val="en-US"/>
        </w:rPr>
        <w:t>Producătorii de apă potabilă și operatorii</w:t>
      </w:r>
      <w:r w:rsidRPr="008376FC">
        <w:rPr>
          <w:rFonts w:asciiTheme="majorHAnsi" w:hAnsiTheme="majorHAnsi" w:cstheme="majorHAnsi"/>
          <w:lang w:val="en-US"/>
        </w:rPr>
        <w:t xml:space="preserve"> - monitorizarea operațională, conformarea la parametrii de calitate și finanțarea monitorizării de audit și de control al calității apei potabile</w:t>
      </w:r>
      <w:r w:rsidR="00EF6E85">
        <w:rPr>
          <w:rFonts w:asciiTheme="majorHAnsi" w:hAnsiTheme="majorHAnsi" w:cstheme="majorHAnsi"/>
          <w:lang w:val="en-US"/>
        </w:rPr>
        <w:t>.</w:t>
      </w:r>
    </w:p>
    <w:p w:rsidR="0000070C" w:rsidRDefault="0000070C" w:rsidP="0000070C">
      <w:pPr>
        <w:spacing w:after="0" w:line="276" w:lineRule="auto"/>
        <w:jc w:val="both"/>
        <w:rPr>
          <w:rFonts w:asciiTheme="majorHAnsi" w:hAnsiTheme="majorHAnsi" w:cstheme="majorHAnsi"/>
          <w:bCs w:val="0"/>
          <w:color w:val="0070C0"/>
          <w:sz w:val="24"/>
          <w:szCs w:val="24"/>
        </w:rPr>
      </w:pPr>
    </w:p>
    <w:p w:rsidR="0026667F" w:rsidRDefault="0026667F" w:rsidP="0000070C">
      <w:pPr>
        <w:spacing w:after="0" w:line="276" w:lineRule="auto"/>
        <w:jc w:val="both"/>
        <w:rPr>
          <w:rFonts w:asciiTheme="majorHAnsi" w:hAnsiTheme="majorHAnsi" w:cstheme="majorHAnsi"/>
          <w:bCs w:val="0"/>
          <w:color w:val="0070C0"/>
          <w:sz w:val="24"/>
          <w:szCs w:val="24"/>
        </w:rPr>
      </w:pPr>
    </w:p>
    <w:p w:rsidR="0026667F" w:rsidRDefault="0026667F" w:rsidP="0000070C">
      <w:pPr>
        <w:spacing w:after="0" w:line="276" w:lineRule="auto"/>
        <w:jc w:val="both"/>
        <w:rPr>
          <w:rFonts w:asciiTheme="majorHAnsi" w:hAnsiTheme="majorHAnsi" w:cstheme="majorHAnsi"/>
          <w:bCs w:val="0"/>
          <w:color w:val="0070C0"/>
          <w:sz w:val="24"/>
          <w:szCs w:val="24"/>
        </w:rPr>
      </w:pPr>
    </w:p>
    <w:p w:rsidR="000E184F" w:rsidRPr="00EC1A68" w:rsidRDefault="000E184F" w:rsidP="0000070C">
      <w:pPr>
        <w:spacing w:after="0" w:line="276" w:lineRule="auto"/>
        <w:jc w:val="both"/>
        <w:rPr>
          <w:rFonts w:asciiTheme="majorHAnsi" w:hAnsiTheme="majorHAnsi" w:cstheme="majorHAnsi"/>
          <w:bCs w:val="0"/>
          <w:color w:val="0070C0"/>
          <w:sz w:val="24"/>
          <w:szCs w:val="24"/>
        </w:rPr>
      </w:pPr>
      <w:r w:rsidRPr="00EC1A68">
        <w:rPr>
          <w:rFonts w:asciiTheme="majorHAnsi" w:hAnsiTheme="majorHAnsi" w:cstheme="majorHAnsi"/>
          <w:bCs w:val="0"/>
          <w:color w:val="0070C0"/>
          <w:sz w:val="24"/>
          <w:szCs w:val="24"/>
        </w:rPr>
        <w:t>Anexa nr.15. Măsuri eligibile de finanţare aplicabile proiectelor de infrastructură în domeniul alimentării cu apă şi sanitaţie din fondurile bugetului de stat</w:t>
      </w:r>
    </w:p>
    <w:tbl>
      <w:tblPr>
        <w:tblStyle w:val="af2"/>
        <w:tblW w:w="0" w:type="auto"/>
        <w:tblInd w:w="108" w:type="dxa"/>
        <w:tblLook w:val="04A0" w:firstRow="1" w:lastRow="0" w:firstColumn="1" w:lastColumn="0" w:noHBand="0" w:noVBand="1"/>
      </w:tblPr>
      <w:tblGrid>
        <w:gridCol w:w="1331"/>
        <w:gridCol w:w="1372"/>
        <w:gridCol w:w="1495"/>
        <w:gridCol w:w="2017"/>
        <w:gridCol w:w="1589"/>
        <w:gridCol w:w="1766"/>
      </w:tblGrid>
      <w:tr w:rsidR="000E184F" w:rsidRPr="008376FC" w:rsidTr="00312935">
        <w:tc>
          <w:tcPr>
            <w:tcW w:w="4253" w:type="dxa"/>
            <w:gridSpan w:val="3"/>
            <w:shd w:val="clear" w:color="auto" w:fill="BDD6EE" w:themeFill="accent1" w:themeFillTint="66"/>
          </w:tcPr>
          <w:p w:rsidR="000E184F" w:rsidRPr="008376FC" w:rsidRDefault="000E184F" w:rsidP="00F61756">
            <w:pPr>
              <w:spacing w:line="276" w:lineRule="auto"/>
              <w:jc w:val="center"/>
              <w:rPr>
                <w:rFonts w:asciiTheme="majorHAnsi" w:hAnsiTheme="majorHAnsi" w:cstheme="majorHAnsi"/>
                <w:b w:val="0"/>
                <w:bCs w:val="0"/>
                <w:sz w:val="18"/>
                <w:szCs w:val="18"/>
              </w:rPr>
            </w:pPr>
            <w:r w:rsidRPr="008376FC">
              <w:rPr>
                <w:rFonts w:asciiTheme="majorHAnsi" w:hAnsiTheme="majorHAnsi" w:cstheme="majorHAnsi"/>
                <w:sz w:val="18"/>
                <w:szCs w:val="18"/>
              </w:rPr>
              <w:t>Anii 2014-2021</w:t>
            </w:r>
          </w:p>
        </w:tc>
        <w:tc>
          <w:tcPr>
            <w:tcW w:w="5528" w:type="dxa"/>
            <w:gridSpan w:val="3"/>
            <w:shd w:val="clear" w:color="auto" w:fill="BDD6EE" w:themeFill="accent1" w:themeFillTint="66"/>
          </w:tcPr>
          <w:p w:rsidR="000E184F" w:rsidRPr="008376FC" w:rsidRDefault="000E184F" w:rsidP="00F61756">
            <w:pPr>
              <w:spacing w:line="276" w:lineRule="auto"/>
              <w:jc w:val="center"/>
              <w:rPr>
                <w:rFonts w:asciiTheme="majorHAnsi" w:hAnsiTheme="majorHAnsi" w:cstheme="majorHAnsi"/>
                <w:b w:val="0"/>
                <w:bCs w:val="0"/>
                <w:sz w:val="18"/>
                <w:szCs w:val="18"/>
              </w:rPr>
            </w:pPr>
            <w:r w:rsidRPr="008376FC">
              <w:rPr>
                <w:rFonts w:asciiTheme="majorHAnsi" w:hAnsiTheme="majorHAnsi" w:cstheme="majorHAnsi"/>
                <w:sz w:val="18"/>
                <w:szCs w:val="18"/>
              </w:rPr>
              <w:t>Începând cu anul 2022</w:t>
            </w:r>
          </w:p>
        </w:tc>
      </w:tr>
      <w:tr w:rsidR="000E184F" w:rsidRPr="008376FC" w:rsidTr="00312935">
        <w:tc>
          <w:tcPr>
            <w:tcW w:w="1339" w:type="dxa"/>
            <w:vMerge w:val="restart"/>
            <w:shd w:val="clear" w:color="auto" w:fill="BDD6EE" w:themeFill="accent1" w:themeFillTint="66"/>
            <w:vAlign w:val="center"/>
          </w:tcPr>
          <w:p w:rsidR="000E184F" w:rsidRPr="008376FC" w:rsidRDefault="000E184F" w:rsidP="00F61756">
            <w:pPr>
              <w:spacing w:line="276" w:lineRule="auto"/>
              <w:jc w:val="center"/>
              <w:rPr>
                <w:rFonts w:asciiTheme="majorHAnsi" w:hAnsiTheme="majorHAnsi" w:cstheme="majorHAnsi"/>
                <w:b w:val="0"/>
                <w:bCs w:val="0"/>
                <w:sz w:val="18"/>
                <w:szCs w:val="18"/>
              </w:rPr>
            </w:pPr>
            <w:r w:rsidRPr="008376FC">
              <w:rPr>
                <w:rFonts w:asciiTheme="majorHAnsi" w:hAnsiTheme="majorHAnsi" w:cstheme="majorHAnsi"/>
                <w:sz w:val="18"/>
                <w:szCs w:val="18"/>
              </w:rPr>
              <w:t>FEN</w:t>
            </w:r>
          </w:p>
        </w:tc>
        <w:tc>
          <w:tcPr>
            <w:tcW w:w="1384" w:type="dxa"/>
            <w:vMerge w:val="restart"/>
            <w:shd w:val="clear" w:color="auto" w:fill="BDD6EE" w:themeFill="accent1" w:themeFillTint="66"/>
            <w:vAlign w:val="center"/>
          </w:tcPr>
          <w:p w:rsidR="000E184F" w:rsidRPr="008376FC" w:rsidRDefault="000E184F" w:rsidP="00F61756">
            <w:pPr>
              <w:spacing w:line="276" w:lineRule="auto"/>
              <w:jc w:val="center"/>
              <w:rPr>
                <w:rFonts w:asciiTheme="majorHAnsi" w:hAnsiTheme="majorHAnsi" w:cstheme="majorHAnsi"/>
                <w:b w:val="0"/>
                <w:bCs w:val="0"/>
                <w:sz w:val="18"/>
                <w:szCs w:val="18"/>
              </w:rPr>
            </w:pPr>
            <w:r w:rsidRPr="008376FC">
              <w:rPr>
                <w:rFonts w:asciiTheme="majorHAnsi" w:hAnsiTheme="majorHAnsi" w:cstheme="majorHAnsi"/>
                <w:sz w:val="18"/>
                <w:szCs w:val="18"/>
              </w:rPr>
              <w:t>FNDR</w:t>
            </w:r>
          </w:p>
        </w:tc>
        <w:tc>
          <w:tcPr>
            <w:tcW w:w="1530" w:type="dxa"/>
            <w:vMerge w:val="restart"/>
            <w:shd w:val="clear" w:color="auto" w:fill="BDD6EE" w:themeFill="accent1" w:themeFillTint="66"/>
            <w:vAlign w:val="center"/>
          </w:tcPr>
          <w:p w:rsidR="000E184F" w:rsidRPr="008376FC" w:rsidRDefault="000E184F" w:rsidP="00F61756">
            <w:pPr>
              <w:spacing w:line="276" w:lineRule="auto"/>
              <w:jc w:val="center"/>
              <w:rPr>
                <w:rFonts w:asciiTheme="majorHAnsi" w:hAnsiTheme="majorHAnsi" w:cstheme="majorHAnsi"/>
                <w:b w:val="0"/>
                <w:bCs w:val="0"/>
                <w:sz w:val="18"/>
                <w:szCs w:val="18"/>
              </w:rPr>
            </w:pPr>
            <w:r w:rsidRPr="008376FC">
              <w:rPr>
                <w:rFonts w:asciiTheme="majorHAnsi" w:hAnsiTheme="majorHAnsi" w:cstheme="majorHAnsi"/>
                <w:sz w:val="18"/>
                <w:szCs w:val="18"/>
              </w:rPr>
              <w:t>FNDAMR</w:t>
            </w:r>
          </w:p>
        </w:tc>
        <w:tc>
          <w:tcPr>
            <w:tcW w:w="3685" w:type="dxa"/>
            <w:gridSpan w:val="2"/>
            <w:shd w:val="clear" w:color="auto" w:fill="BDD6EE" w:themeFill="accent1" w:themeFillTint="66"/>
            <w:vAlign w:val="center"/>
          </w:tcPr>
          <w:p w:rsidR="000E184F" w:rsidRPr="008376FC" w:rsidRDefault="000E184F" w:rsidP="00F61756">
            <w:pPr>
              <w:spacing w:line="276" w:lineRule="auto"/>
              <w:jc w:val="center"/>
              <w:rPr>
                <w:rFonts w:asciiTheme="majorHAnsi" w:hAnsiTheme="majorHAnsi" w:cstheme="majorHAnsi"/>
                <w:b w:val="0"/>
                <w:bCs w:val="0"/>
                <w:sz w:val="18"/>
                <w:szCs w:val="18"/>
              </w:rPr>
            </w:pPr>
            <w:r w:rsidRPr="008376FC">
              <w:rPr>
                <w:rFonts w:asciiTheme="majorHAnsi" w:hAnsiTheme="majorHAnsi" w:cstheme="majorHAnsi"/>
                <w:sz w:val="18"/>
                <w:szCs w:val="18"/>
              </w:rPr>
              <w:t>FNDRL</w:t>
            </w:r>
          </w:p>
        </w:tc>
        <w:tc>
          <w:tcPr>
            <w:tcW w:w="1843" w:type="dxa"/>
            <w:vMerge w:val="restart"/>
            <w:shd w:val="clear" w:color="auto" w:fill="BDD6EE" w:themeFill="accent1" w:themeFillTint="66"/>
            <w:vAlign w:val="center"/>
          </w:tcPr>
          <w:p w:rsidR="000E184F" w:rsidRPr="008376FC" w:rsidRDefault="000E184F" w:rsidP="00F61756">
            <w:pPr>
              <w:spacing w:line="276" w:lineRule="auto"/>
              <w:jc w:val="center"/>
              <w:rPr>
                <w:rFonts w:asciiTheme="majorHAnsi" w:hAnsiTheme="majorHAnsi" w:cstheme="majorHAnsi"/>
                <w:b w:val="0"/>
                <w:bCs w:val="0"/>
                <w:sz w:val="18"/>
                <w:szCs w:val="18"/>
              </w:rPr>
            </w:pPr>
            <w:r w:rsidRPr="008376FC">
              <w:rPr>
                <w:rFonts w:asciiTheme="majorHAnsi" w:hAnsiTheme="majorHAnsi" w:cstheme="majorHAnsi"/>
                <w:sz w:val="18"/>
                <w:szCs w:val="18"/>
              </w:rPr>
              <w:t>FNDAMR</w:t>
            </w:r>
          </w:p>
        </w:tc>
      </w:tr>
      <w:tr w:rsidR="000E184F" w:rsidRPr="008376FC" w:rsidTr="00312935">
        <w:tc>
          <w:tcPr>
            <w:tcW w:w="1339" w:type="dxa"/>
            <w:vMerge/>
            <w:shd w:val="clear" w:color="auto" w:fill="BDD6EE" w:themeFill="accent1" w:themeFillTint="66"/>
            <w:vAlign w:val="center"/>
          </w:tcPr>
          <w:p w:rsidR="000E184F" w:rsidRPr="008376FC" w:rsidRDefault="000E184F" w:rsidP="00F61756">
            <w:pPr>
              <w:spacing w:line="276" w:lineRule="auto"/>
              <w:jc w:val="center"/>
              <w:rPr>
                <w:rFonts w:asciiTheme="majorHAnsi" w:hAnsiTheme="majorHAnsi" w:cstheme="majorHAnsi"/>
                <w:b w:val="0"/>
                <w:bCs w:val="0"/>
                <w:sz w:val="18"/>
                <w:szCs w:val="18"/>
              </w:rPr>
            </w:pPr>
          </w:p>
        </w:tc>
        <w:tc>
          <w:tcPr>
            <w:tcW w:w="1384" w:type="dxa"/>
            <w:vMerge/>
            <w:shd w:val="clear" w:color="auto" w:fill="BDD6EE" w:themeFill="accent1" w:themeFillTint="66"/>
            <w:vAlign w:val="center"/>
          </w:tcPr>
          <w:p w:rsidR="000E184F" w:rsidRPr="008376FC" w:rsidRDefault="000E184F" w:rsidP="00F61756">
            <w:pPr>
              <w:spacing w:line="276" w:lineRule="auto"/>
              <w:jc w:val="center"/>
              <w:rPr>
                <w:rFonts w:asciiTheme="majorHAnsi" w:hAnsiTheme="majorHAnsi" w:cstheme="majorHAnsi"/>
                <w:b w:val="0"/>
                <w:bCs w:val="0"/>
                <w:sz w:val="18"/>
                <w:szCs w:val="18"/>
              </w:rPr>
            </w:pPr>
          </w:p>
        </w:tc>
        <w:tc>
          <w:tcPr>
            <w:tcW w:w="1530" w:type="dxa"/>
            <w:vMerge/>
            <w:shd w:val="clear" w:color="auto" w:fill="BDD6EE" w:themeFill="accent1" w:themeFillTint="66"/>
            <w:vAlign w:val="center"/>
          </w:tcPr>
          <w:p w:rsidR="000E184F" w:rsidRPr="008376FC" w:rsidRDefault="000E184F" w:rsidP="00F61756">
            <w:pPr>
              <w:spacing w:line="276" w:lineRule="auto"/>
              <w:jc w:val="center"/>
              <w:rPr>
                <w:rFonts w:asciiTheme="majorHAnsi" w:hAnsiTheme="majorHAnsi" w:cstheme="majorHAnsi"/>
                <w:b w:val="0"/>
                <w:bCs w:val="0"/>
                <w:sz w:val="18"/>
                <w:szCs w:val="18"/>
              </w:rPr>
            </w:pPr>
          </w:p>
        </w:tc>
        <w:tc>
          <w:tcPr>
            <w:tcW w:w="2046" w:type="dxa"/>
            <w:shd w:val="clear" w:color="auto" w:fill="BDD6EE" w:themeFill="accent1" w:themeFillTint="66"/>
            <w:vAlign w:val="center"/>
          </w:tcPr>
          <w:p w:rsidR="000E184F" w:rsidRPr="008376FC" w:rsidRDefault="000E184F" w:rsidP="00F61756">
            <w:pPr>
              <w:spacing w:line="276" w:lineRule="auto"/>
              <w:jc w:val="center"/>
              <w:rPr>
                <w:rFonts w:asciiTheme="majorHAnsi" w:hAnsiTheme="majorHAnsi" w:cstheme="majorHAnsi"/>
                <w:b w:val="0"/>
                <w:bCs w:val="0"/>
                <w:sz w:val="18"/>
                <w:szCs w:val="18"/>
              </w:rPr>
            </w:pPr>
            <w:r w:rsidRPr="008376FC">
              <w:rPr>
                <w:rFonts w:asciiTheme="majorHAnsi" w:hAnsiTheme="majorHAnsi" w:cstheme="majorHAnsi"/>
                <w:sz w:val="18"/>
                <w:szCs w:val="18"/>
              </w:rPr>
              <w:t>Componenta regională</w:t>
            </w:r>
          </w:p>
        </w:tc>
        <w:tc>
          <w:tcPr>
            <w:tcW w:w="1639" w:type="dxa"/>
            <w:shd w:val="clear" w:color="auto" w:fill="BDD6EE" w:themeFill="accent1" w:themeFillTint="66"/>
            <w:vAlign w:val="center"/>
          </w:tcPr>
          <w:p w:rsidR="000E184F" w:rsidRPr="008376FC" w:rsidRDefault="000E184F" w:rsidP="00F61756">
            <w:pPr>
              <w:spacing w:line="276" w:lineRule="auto"/>
              <w:jc w:val="center"/>
              <w:rPr>
                <w:rFonts w:asciiTheme="majorHAnsi" w:hAnsiTheme="majorHAnsi" w:cstheme="majorHAnsi"/>
                <w:b w:val="0"/>
                <w:bCs w:val="0"/>
                <w:sz w:val="18"/>
                <w:szCs w:val="18"/>
              </w:rPr>
            </w:pPr>
            <w:r w:rsidRPr="008376FC">
              <w:rPr>
                <w:rFonts w:asciiTheme="majorHAnsi" w:hAnsiTheme="majorHAnsi" w:cstheme="majorHAnsi"/>
                <w:sz w:val="18"/>
                <w:szCs w:val="18"/>
              </w:rPr>
              <w:t>Componenta locală</w:t>
            </w:r>
          </w:p>
        </w:tc>
        <w:tc>
          <w:tcPr>
            <w:tcW w:w="1843" w:type="dxa"/>
            <w:vMerge/>
          </w:tcPr>
          <w:p w:rsidR="000E184F" w:rsidRPr="008376FC" w:rsidRDefault="000E184F" w:rsidP="00F61756">
            <w:pPr>
              <w:spacing w:line="276" w:lineRule="auto"/>
              <w:jc w:val="center"/>
              <w:rPr>
                <w:rFonts w:asciiTheme="majorHAnsi" w:hAnsiTheme="majorHAnsi" w:cstheme="majorHAnsi"/>
                <w:b w:val="0"/>
                <w:bCs w:val="0"/>
                <w:sz w:val="18"/>
                <w:szCs w:val="18"/>
              </w:rPr>
            </w:pPr>
          </w:p>
        </w:tc>
      </w:tr>
      <w:tr w:rsidR="000E184F" w:rsidRPr="008376FC" w:rsidTr="00312935">
        <w:tc>
          <w:tcPr>
            <w:tcW w:w="1339" w:type="dxa"/>
          </w:tcPr>
          <w:p w:rsidR="000E184F" w:rsidRPr="008376FC" w:rsidRDefault="000056B2" w:rsidP="00F61756">
            <w:pPr>
              <w:tabs>
                <w:tab w:val="left" w:pos="316"/>
              </w:tabs>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1.Construcţia sau reconstrucţia sistemului de apeduct. Una din condiţiile principale de finanţare este existenţa sau construcţia staţiei de epurare a apelor uzate cu reţele de canalizare în paralel cu reţelele de apeduct.</w:t>
            </w:r>
          </w:p>
          <w:p w:rsidR="000E184F" w:rsidRPr="008376FC" w:rsidRDefault="000056B2" w:rsidP="00F61756">
            <w:pPr>
              <w:tabs>
                <w:tab w:val="left" w:pos="316"/>
              </w:tabs>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2.</w:t>
            </w:r>
            <w:r w:rsidRPr="008376FC">
              <w:rPr>
                <w:rFonts w:asciiTheme="majorHAnsi" w:hAnsiTheme="majorHAnsi" w:cstheme="majorHAnsi"/>
                <w:b w:val="0"/>
                <w:bCs w:val="0"/>
                <w:sz w:val="18"/>
                <w:szCs w:val="18"/>
              </w:rPr>
              <w:tab/>
              <w:t>Construcţia sau reconstrucţia sistemului de canalizare.</w:t>
            </w:r>
          </w:p>
          <w:p w:rsidR="000E184F" w:rsidRPr="008376FC" w:rsidRDefault="000056B2" w:rsidP="00F61756">
            <w:pPr>
              <w:tabs>
                <w:tab w:val="left" w:pos="316"/>
              </w:tabs>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3.</w:t>
            </w:r>
            <w:r w:rsidRPr="008376FC">
              <w:rPr>
                <w:rFonts w:asciiTheme="majorHAnsi" w:hAnsiTheme="majorHAnsi" w:cstheme="majorHAnsi"/>
                <w:b w:val="0"/>
                <w:bCs w:val="0"/>
                <w:sz w:val="18"/>
                <w:szCs w:val="18"/>
              </w:rPr>
              <w:tab/>
              <w:t>Construcţia sau reconstrucţia sistemului de epurare.</w:t>
            </w:r>
          </w:p>
          <w:p w:rsidR="000E184F" w:rsidRPr="008376FC" w:rsidRDefault="000056B2" w:rsidP="00F61756">
            <w:pPr>
              <w:tabs>
                <w:tab w:val="left" w:pos="316"/>
              </w:tabs>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4.</w:t>
            </w:r>
            <w:r w:rsidRPr="008376FC">
              <w:rPr>
                <w:rFonts w:asciiTheme="majorHAnsi" w:hAnsiTheme="majorHAnsi" w:cstheme="majorHAnsi"/>
                <w:b w:val="0"/>
                <w:bCs w:val="0"/>
                <w:sz w:val="18"/>
                <w:szCs w:val="18"/>
              </w:rPr>
              <w:tab/>
              <w:t>Construcţia (sau reconstrucţia) şi amenajarea f</w:t>
            </w:r>
            <w:r w:rsidR="003F602A">
              <w:rPr>
                <w:rFonts w:asciiTheme="majorHAnsi" w:hAnsiTheme="majorHAnsi" w:cstheme="majorHAnsi"/>
                <w:b w:val="0"/>
                <w:bCs w:val="0"/>
                <w:sz w:val="18"/>
                <w:szCs w:val="18"/>
              </w:rPr>
              <w:t>â</w:t>
            </w:r>
            <w:r w:rsidRPr="008376FC">
              <w:rPr>
                <w:rFonts w:asciiTheme="majorHAnsi" w:hAnsiTheme="majorHAnsi" w:cstheme="majorHAnsi"/>
                <w:b w:val="0"/>
                <w:bCs w:val="0"/>
                <w:sz w:val="18"/>
                <w:szCs w:val="18"/>
              </w:rPr>
              <w:t>nt</w:t>
            </w:r>
            <w:r w:rsidR="003F602A">
              <w:rPr>
                <w:rFonts w:asciiTheme="majorHAnsi" w:hAnsiTheme="majorHAnsi" w:cstheme="majorHAnsi"/>
                <w:b w:val="0"/>
                <w:bCs w:val="0"/>
                <w:sz w:val="18"/>
                <w:szCs w:val="18"/>
              </w:rPr>
              <w:t>â</w:t>
            </w:r>
            <w:r w:rsidRPr="008376FC">
              <w:rPr>
                <w:rFonts w:asciiTheme="majorHAnsi" w:hAnsiTheme="majorHAnsi" w:cstheme="majorHAnsi"/>
                <w:b w:val="0"/>
                <w:bCs w:val="0"/>
                <w:sz w:val="18"/>
                <w:szCs w:val="18"/>
              </w:rPr>
              <w:t>nii publice sau izvorului.</w:t>
            </w:r>
          </w:p>
          <w:p w:rsidR="000E184F" w:rsidRPr="008376FC" w:rsidRDefault="000056B2" w:rsidP="00F61756">
            <w:pPr>
              <w:tabs>
                <w:tab w:val="left" w:pos="316"/>
              </w:tabs>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5.</w:t>
            </w:r>
            <w:r w:rsidRPr="008376FC">
              <w:rPr>
                <w:rFonts w:asciiTheme="majorHAnsi" w:hAnsiTheme="majorHAnsi" w:cstheme="majorHAnsi"/>
                <w:b w:val="0"/>
                <w:bCs w:val="0"/>
                <w:sz w:val="18"/>
                <w:szCs w:val="18"/>
              </w:rPr>
              <w:tab/>
              <w:t>Activităţi ce ţin de amenajarea zonelor şi f</w:t>
            </w:r>
            <w:r w:rsidR="003F602A">
              <w:rPr>
                <w:rFonts w:asciiTheme="majorHAnsi" w:hAnsiTheme="majorHAnsi" w:cstheme="majorHAnsi"/>
                <w:b w:val="0"/>
                <w:bCs w:val="0"/>
                <w:sz w:val="18"/>
                <w:szCs w:val="18"/>
              </w:rPr>
              <w:t>â</w:t>
            </w:r>
            <w:r w:rsidRPr="008376FC">
              <w:rPr>
                <w:rFonts w:asciiTheme="majorHAnsi" w:hAnsiTheme="majorHAnsi" w:cstheme="majorHAnsi"/>
                <w:b w:val="0"/>
                <w:bCs w:val="0"/>
                <w:sz w:val="18"/>
                <w:szCs w:val="18"/>
              </w:rPr>
              <w:t>şiilor de protecţie a r</w:t>
            </w:r>
            <w:r w:rsidR="003F602A">
              <w:rPr>
                <w:rFonts w:asciiTheme="majorHAnsi" w:hAnsiTheme="majorHAnsi" w:cstheme="majorHAnsi"/>
                <w:b w:val="0"/>
                <w:bCs w:val="0"/>
                <w:sz w:val="18"/>
                <w:szCs w:val="18"/>
              </w:rPr>
              <w:t>â</w:t>
            </w:r>
            <w:r w:rsidRPr="008376FC">
              <w:rPr>
                <w:rFonts w:asciiTheme="majorHAnsi" w:hAnsiTheme="majorHAnsi" w:cstheme="majorHAnsi"/>
                <w:b w:val="0"/>
                <w:bCs w:val="0"/>
                <w:sz w:val="18"/>
                <w:szCs w:val="18"/>
              </w:rPr>
              <w:t>urilor şi cursurilor de apă.</w:t>
            </w:r>
          </w:p>
          <w:p w:rsidR="000E184F" w:rsidRPr="008376FC" w:rsidRDefault="000056B2" w:rsidP="00F61756">
            <w:pPr>
              <w:tabs>
                <w:tab w:val="left" w:pos="316"/>
              </w:tabs>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6.</w:t>
            </w:r>
            <w:r w:rsidRPr="008376FC">
              <w:rPr>
                <w:rFonts w:asciiTheme="majorHAnsi" w:hAnsiTheme="majorHAnsi" w:cstheme="majorHAnsi"/>
                <w:b w:val="0"/>
                <w:bCs w:val="0"/>
                <w:sz w:val="18"/>
                <w:szCs w:val="18"/>
              </w:rPr>
              <w:tab/>
              <w:t>Procurarea şi instalarea utilajului de tratare a apei, de pompare, de epurare a apelor uzate, etc.</w:t>
            </w:r>
          </w:p>
          <w:p w:rsidR="000E184F" w:rsidRPr="008376FC" w:rsidRDefault="000056B2" w:rsidP="00F61756">
            <w:pPr>
              <w:tabs>
                <w:tab w:val="left" w:pos="316"/>
              </w:tabs>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7.</w:t>
            </w:r>
            <w:r w:rsidRPr="008376FC">
              <w:rPr>
                <w:rFonts w:asciiTheme="majorHAnsi" w:hAnsiTheme="majorHAnsi" w:cstheme="majorHAnsi"/>
                <w:b w:val="0"/>
                <w:bCs w:val="0"/>
                <w:sz w:val="18"/>
                <w:szCs w:val="18"/>
              </w:rPr>
              <w:tab/>
              <w:t>Construcţia sau reconstrucţia turnului de apă.</w:t>
            </w:r>
          </w:p>
          <w:p w:rsidR="000E184F" w:rsidRPr="008376FC" w:rsidRDefault="000056B2" w:rsidP="00F61756">
            <w:pPr>
              <w:tabs>
                <w:tab w:val="left" w:pos="316"/>
              </w:tabs>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8.</w:t>
            </w:r>
            <w:r w:rsidRPr="008376FC">
              <w:rPr>
                <w:rFonts w:asciiTheme="majorHAnsi" w:hAnsiTheme="majorHAnsi" w:cstheme="majorHAnsi"/>
                <w:b w:val="0"/>
                <w:bCs w:val="0"/>
                <w:sz w:val="18"/>
                <w:szCs w:val="18"/>
              </w:rPr>
              <w:tab/>
              <w:t>Construcţia, tamponarea sau reconstrucţia f</w:t>
            </w:r>
            <w:r w:rsidR="003F602A">
              <w:rPr>
                <w:rFonts w:asciiTheme="majorHAnsi" w:hAnsiTheme="majorHAnsi" w:cstheme="majorHAnsi"/>
                <w:b w:val="0"/>
                <w:bCs w:val="0"/>
                <w:sz w:val="18"/>
                <w:szCs w:val="18"/>
              </w:rPr>
              <w:t>â</w:t>
            </w:r>
            <w:r w:rsidRPr="008376FC">
              <w:rPr>
                <w:rFonts w:asciiTheme="majorHAnsi" w:hAnsiTheme="majorHAnsi" w:cstheme="majorHAnsi"/>
                <w:b w:val="0"/>
                <w:bCs w:val="0"/>
                <w:sz w:val="18"/>
                <w:szCs w:val="18"/>
              </w:rPr>
              <w:t>nt</w:t>
            </w:r>
            <w:r w:rsidR="003F602A">
              <w:rPr>
                <w:rFonts w:asciiTheme="majorHAnsi" w:hAnsiTheme="majorHAnsi" w:cstheme="majorHAnsi"/>
                <w:b w:val="0"/>
                <w:bCs w:val="0"/>
                <w:sz w:val="18"/>
                <w:szCs w:val="18"/>
              </w:rPr>
              <w:t>â</w:t>
            </w:r>
            <w:r w:rsidRPr="008376FC">
              <w:rPr>
                <w:rFonts w:asciiTheme="majorHAnsi" w:hAnsiTheme="majorHAnsi" w:cstheme="majorHAnsi"/>
                <w:b w:val="0"/>
                <w:bCs w:val="0"/>
                <w:sz w:val="18"/>
                <w:szCs w:val="18"/>
              </w:rPr>
              <w:t>nii arteziene.</w:t>
            </w:r>
          </w:p>
        </w:tc>
        <w:tc>
          <w:tcPr>
            <w:tcW w:w="1384" w:type="dxa"/>
          </w:tcPr>
          <w:p w:rsidR="000E184F" w:rsidRPr="008376FC" w:rsidRDefault="000056B2" w:rsidP="00F61756">
            <w:pPr>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1. Dezvoltarea sistemelor regionale de alimentare cu apă, a epurării apei și canalizării în conformitate cu Planurile regionale sectoriale;</w:t>
            </w: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2. Reabilitarea, extinderea/ regionalizarea, modernizarea infrastructurii de alimentare cu apă și canalizare, dezvoltarea capacităților prestatorilor de servicii regionali.</w:t>
            </w:r>
          </w:p>
          <w:p w:rsidR="000E184F" w:rsidRPr="008376FC" w:rsidRDefault="000E184F" w:rsidP="00F61756">
            <w:pPr>
              <w:spacing w:line="276" w:lineRule="auto"/>
              <w:rPr>
                <w:rFonts w:asciiTheme="majorHAnsi" w:hAnsiTheme="majorHAnsi" w:cstheme="majorHAnsi"/>
                <w:b w:val="0"/>
                <w:bCs w:val="0"/>
                <w:sz w:val="18"/>
                <w:szCs w:val="18"/>
              </w:rPr>
            </w:pPr>
          </w:p>
          <w:p w:rsidR="000E184F" w:rsidRPr="008376FC" w:rsidRDefault="000E184F" w:rsidP="00F61756">
            <w:pPr>
              <w:pStyle w:val="Default"/>
              <w:spacing w:line="276" w:lineRule="auto"/>
              <w:jc w:val="both"/>
              <w:rPr>
                <w:rFonts w:asciiTheme="majorHAnsi" w:hAnsiTheme="majorHAnsi" w:cstheme="majorHAnsi"/>
                <w:color w:val="auto"/>
                <w:sz w:val="18"/>
                <w:szCs w:val="18"/>
              </w:rPr>
            </w:pPr>
            <w:r w:rsidRPr="008376FC">
              <w:rPr>
                <w:rFonts w:asciiTheme="majorHAnsi" w:hAnsiTheme="majorHAnsi" w:cstheme="majorHAnsi"/>
                <w:color w:val="auto"/>
                <w:sz w:val="18"/>
                <w:szCs w:val="18"/>
              </w:rPr>
              <w:t>Proiectele propuse pentru finanţare trebuie să ţină cont de:</w:t>
            </w:r>
          </w:p>
          <w:p w:rsidR="000E184F" w:rsidRPr="008376FC" w:rsidRDefault="000E184F" w:rsidP="00F61756">
            <w:pPr>
              <w:pStyle w:val="Default"/>
              <w:spacing w:line="276" w:lineRule="auto"/>
              <w:jc w:val="both"/>
              <w:rPr>
                <w:rFonts w:asciiTheme="majorHAnsi" w:hAnsiTheme="majorHAnsi" w:cstheme="majorHAnsi"/>
                <w:sz w:val="18"/>
                <w:szCs w:val="18"/>
              </w:rPr>
            </w:pPr>
            <w:r w:rsidRPr="008376FC">
              <w:rPr>
                <w:rFonts w:asciiTheme="majorHAnsi" w:hAnsiTheme="majorHAnsi" w:cstheme="majorHAnsi"/>
                <w:sz w:val="18"/>
                <w:szCs w:val="18"/>
              </w:rPr>
              <w:t xml:space="preserve">• abordarea integrată de dezvoltare a serviciilor de apă și de canalizare; </w:t>
            </w:r>
          </w:p>
          <w:p w:rsidR="000E184F" w:rsidRPr="008376FC" w:rsidRDefault="000E184F" w:rsidP="00F61756">
            <w:pPr>
              <w:pStyle w:val="Default"/>
              <w:spacing w:line="276" w:lineRule="auto"/>
              <w:jc w:val="both"/>
              <w:rPr>
                <w:rFonts w:asciiTheme="majorHAnsi" w:hAnsiTheme="majorHAnsi" w:cstheme="majorHAnsi"/>
                <w:sz w:val="18"/>
                <w:szCs w:val="18"/>
              </w:rPr>
            </w:pPr>
            <w:r w:rsidRPr="008376FC">
              <w:rPr>
                <w:rFonts w:asciiTheme="majorHAnsi" w:hAnsiTheme="majorHAnsi" w:cstheme="majorHAnsi"/>
                <w:sz w:val="18"/>
                <w:szCs w:val="18"/>
              </w:rPr>
              <w:t>• regionalizarea și dimensiunea proiectului –centrele raionale cu satele asociate și aglomerările urbane/rurale mai mari de 10 mii de locuitori vor fi considerate;</w:t>
            </w:r>
          </w:p>
          <w:p w:rsidR="000E184F" w:rsidRPr="008376FC" w:rsidRDefault="000E184F" w:rsidP="00F61756">
            <w:pPr>
              <w:pStyle w:val="Default"/>
              <w:spacing w:line="276" w:lineRule="auto"/>
              <w:jc w:val="both"/>
              <w:rPr>
                <w:rFonts w:asciiTheme="majorHAnsi" w:hAnsiTheme="majorHAnsi" w:cstheme="majorHAnsi"/>
                <w:sz w:val="18"/>
                <w:szCs w:val="18"/>
              </w:rPr>
            </w:pPr>
            <w:r w:rsidRPr="008376FC">
              <w:rPr>
                <w:rFonts w:asciiTheme="majorHAnsi" w:hAnsiTheme="majorHAnsi" w:cstheme="majorHAnsi"/>
                <w:sz w:val="18"/>
                <w:szCs w:val="18"/>
              </w:rPr>
              <w:t>• prezența unei surse de apă potabilă tratabilă, inclusiv captările și stațiile de tratare existente;</w:t>
            </w:r>
          </w:p>
          <w:p w:rsidR="000E184F" w:rsidRPr="008376FC" w:rsidRDefault="000E184F" w:rsidP="00F61756">
            <w:pPr>
              <w:pStyle w:val="Default"/>
              <w:spacing w:line="276" w:lineRule="auto"/>
              <w:jc w:val="both"/>
              <w:rPr>
                <w:rFonts w:asciiTheme="majorHAnsi" w:hAnsiTheme="majorHAnsi" w:cstheme="majorHAnsi"/>
                <w:sz w:val="18"/>
                <w:szCs w:val="18"/>
              </w:rPr>
            </w:pPr>
            <w:r w:rsidRPr="008376FC">
              <w:rPr>
                <w:rFonts w:asciiTheme="majorHAnsi" w:hAnsiTheme="majorHAnsi" w:cstheme="majorHAnsi"/>
                <w:sz w:val="18"/>
                <w:szCs w:val="18"/>
              </w:rPr>
              <w:t>• prezența unui sistem funcțional de colectare a apelor uzate cu existența stației de epurare;</w:t>
            </w:r>
          </w:p>
          <w:p w:rsidR="000E184F" w:rsidRPr="008376FC" w:rsidRDefault="000E184F" w:rsidP="00F61756">
            <w:pPr>
              <w:pStyle w:val="Default"/>
              <w:spacing w:line="276" w:lineRule="auto"/>
              <w:jc w:val="both"/>
              <w:rPr>
                <w:rFonts w:asciiTheme="majorHAnsi" w:hAnsiTheme="majorHAnsi" w:cstheme="majorHAnsi"/>
                <w:sz w:val="18"/>
                <w:szCs w:val="18"/>
              </w:rPr>
            </w:pPr>
            <w:r w:rsidRPr="008376FC">
              <w:rPr>
                <w:rFonts w:asciiTheme="majorHAnsi" w:hAnsiTheme="majorHAnsi" w:cstheme="majorHAnsi"/>
                <w:sz w:val="18"/>
                <w:szCs w:val="18"/>
              </w:rPr>
              <w:t>• acordul dintre beneficiari și un operator certificat de AAC.</w:t>
            </w:r>
          </w:p>
        </w:tc>
        <w:tc>
          <w:tcPr>
            <w:tcW w:w="1530" w:type="dxa"/>
          </w:tcPr>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Extinderea/ reabilitarea/ modernizarea sistemelor de alimentare cu apă, de epurare a apei şi de canalizare, destinate obiectivelor publice de interes local.</w:t>
            </w:r>
          </w:p>
        </w:tc>
        <w:tc>
          <w:tcPr>
            <w:tcW w:w="2046" w:type="dxa"/>
          </w:tcPr>
          <w:p w:rsidR="000E184F" w:rsidRPr="008376FC" w:rsidRDefault="000056B2" w:rsidP="00F61756">
            <w:pPr>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1. Construcția/ reconstrucția sau extinderea apeductelor magistrale, a aducțiunilor către localități, cu sursa de captare a apei de suprafață, inclusiv a proiectelor de dezvoltare a infrastructurii de canalizare.</w:t>
            </w:r>
          </w:p>
          <w:p w:rsidR="000E184F" w:rsidRPr="008376FC" w:rsidRDefault="000056B2" w:rsidP="00F61756">
            <w:pPr>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 xml:space="preserve">2. Proiecte ce prevăd construcția sistemelor de canalizare (inclusiv elemente separate ale acestora) și apeducte magistrale (cu surse de ape de suprafață și rețele interne), pentru conectarea localităților la apeductele magistrale. </w:t>
            </w: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Proiectele de alimentare cu apă la care sursa este din ape subterane nu sunt admise.</w:t>
            </w:r>
          </w:p>
          <w:p w:rsidR="000E184F" w:rsidRPr="008376FC" w:rsidRDefault="000E184F" w:rsidP="00F61756">
            <w:pPr>
              <w:spacing w:line="276" w:lineRule="auto"/>
              <w:rPr>
                <w:rFonts w:asciiTheme="majorHAnsi" w:hAnsiTheme="majorHAnsi" w:cstheme="majorHAnsi"/>
                <w:b w:val="0"/>
                <w:bCs w:val="0"/>
                <w:sz w:val="18"/>
                <w:szCs w:val="18"/>
              </w:rPr>
            </w:pP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Criterii de definire a impactului regional sunt:</w:t>
            </w:r>
          </w:p>
          <w:p w:rsidR="000E184F" w:rsidRPr="008376FC" w:rsidRDefault="000056B2" w:rsidP="00F61756">
            <w:pPr>
              <w:spacing w:line="276" w:lineRule="auto"/>
              <w:rPr>
                <w:rFonts w:asciiTheme="majorHAnsi" w:hAnsiTheme="majorHAnsi" w:cstheme="majorHAnsi"/>
                <w:b w:val="0"/>
                <w:bCs w:val="0"/>
                <w:i/>
                <w:iCs/>
                <w:sz w:val="18"/>
                <w:szCs w:val="18"/>
              </w:rPr>
            </w:pPr>
            <w:r w:rsidRPr="008376FC">
              <w:rPr>
                <w:rFonts w:asciiTheme="majorHAnsi" w:hAnsiTheme="majorHAnsi" w:cstheme="majorHAnsi"/>
                <w:b w:val="0"/>
                <w:bCs w:val="0"/>
                <w:i/>
                <w:iCs/>
                <w:sz w:val="18"/>
                <w:szCs w:val="18"/>
              </w:rPr>
              <w:t>a) teritorialitate:</w:t>
            </w: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 serviciile create pot acoperi cel puțin 2 raioane;</w:t>
            </w: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 cel puțin 60 mii de locuitori pot avea acces la serviciile create;</w:t>
            </w:r>
          </w:p>
          <w:p w:rsidR="000E184F" w:rsidRPr="008376FC" w:rsidRDefault="000056B2" w:rsidP="00F61756">
            <w:pPr>
              <w:spacing w:line="276" w:lineRule="auto"/>
              <w:rPr>
                <w:rFonts w:asciiTheme="majorHAnsi" w:hAnsiTheme="majorHAnsi" w:cstheme="majorHAnsi"/>
                <w:b w:val="0"/>
                <w:bCs w:val="0"/>
                <w:i/>
                <w:iCs/>
                <w:sz w:val="18"/>
                <w:szCs w:val="18"/>
              </w:rPr>
            </w:pPr>
            <w:r w:rsidRPr="008376FC">
              <w:rPr>
                <w:rFonts w:asciiTheme="majorHAnsi" w:hAnsiTheme="majorHAnsi" w:cstheme="majorHAnsi"/>
                <w:b w:val="0"/>
                <w:bCs w:val="0"/>
                <w:i/>
                <w:iCs/>
                <w:sz w:val="18"/>
                <w:szCs w:val="18"/>
              </w:rPr>
              <w:t>b) accesibilitate:</w:t>
            </w: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 acțiunile ce presupun exploatarea unei surse de apă potabilă tratabilă, inclusiv captările și stațiile de tratare existente;</w:t>
            </w: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 acțiunile ce presupun prezența unui sistem funcțional de colectare a apelor uzate cu existența stației de epurare;</w:t>
            </w:r>
          </w:p>
          <w:p w:rsidR="000E184F" w:rsidRPr="008376FC" w:rsidRDefault="000056B2" w:rsidP="00F61756">
            <w:pPr>
              <w:spacing w:line="276" w:lineRule="auto"/>
              <w:rPr>
                <w:rFonts w:asciiTheme="majorHAnsi" w:hAnsiTheme="majorHAnsi" w:cstheme="majorHAnsi"/>
                <w:b w:val="0"/>
                <w:bCs w:val="0"/>
                <w:i/>
                <w:iCs/>
                <w:sz w:val="18"/>
                <w:szCs w:val="18"/>
              </w:rPr>
            </w:pPr>
            <w:r w:rsidRPr="008376FC">
              <w:rPr>
                <w:rFonts w:asciiTheme="majorHAnsi" w:hAnsiTheme="majorHAnsi" w:cstheme="majorHAnsi"/>
                <w:b w:val="0"/>
                <w:bCs w:val="0"/>
                <w:i/>
                <w:iCs/>
                <w:sz w:val="18"/>
                <w:szCs w:val="18"/>
              </w:rPr>
              <w:t>c) cooperare:</w:t>
            </w: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 implementarea proiectului prin abordarea intermunicipală;</w:t>
            </w: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 aplicantul are stabilite parteneriate/acorduri de colaborare cu autoritățile publice locale din proximitate;</w:t>
            </w: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i/>
                <w:iCs/>
                <w:sz w:val="18"/>
                <w:szCs w:val="18"/>
              </w:rPr>
              <w:t>d) sustenabilitate</w:t>
            </w:r>
            <w:r w:rsidRPr="008376FC">
              <w:rPr>
                <w:rFonts w:asciiTheme="majorHAnsi" w:hAnsiTheme="majorHAnsi" w:cstheme="majorHAnsi"/>
                <w:b w:val="0"/>
                <w:bCs w:val="0"/>
                <w:sz w:val="18"/>
                <w:szCs w:val="18"/>
              </w:rPr>
              <w:t>:</w:t>
            </w: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 aplicantul poate demonstra:</w:t>
            </w:r>
          </w:p>
          <w:p w:rsidR="000E184F" w:rsidRPr="008376FC" w:rsidRDefault="000E184F" w:rsidP="00F61756">
            <w:pPr>
              <w:pStyle w:val="a3"/>
              <w:numPr>
                <w:ilvl w:val="0"/>
                <w:numId w:val="11"/>
              </w:numPr>
              <w:tabs>
                <w:tab w:val="left" w:pos="322"/>
              </w:tabs>
              <w:spacing w:line="276" w:lineRule="auto"/>
              <w:ind w:left="39" w:hanging="39"/>
              <w:jc w:val="both"/>
              <w:rPr>
                <w:rFonts w:asciiTheme="majorHAnsi" w:hAnsiTheme="majorHAnsi" w:cstheme="majorHAnsi"/>
                <w:sz w:val="18"/>
                <w:szCs w:val="18"/>
                <w:lang w:val="en-US"/>
              </w:rPr>
            </w:pPr>
            <w:r w:rsidRPr="008376FC">
              <w:rPr>
                <w:rFonts w:asciiTheme="majorHAnsi" w:hAnsiTheme="majorHAnsi" w:cstheme="majorHAnsi"/>
                <w:sz w:val="18"/>
                <w:szCs w:val="18"/>
                <w:lang w:val="en-US"/>
              </w:rPr>
              <w:t>acordul dintre beneficiari și un operator certificat de alimentare cu apă și canalizare;</w:t>
            </w:r>
          </w:p>
          <w:p w:rsidR="000E184F" w:rsidRPr="008376FC" w:rsidRDefault="000E184F" w:rsidP="00F61756">
            <w:pPr>
              <w:pStyle w:val="a3"/>
              <w:numPr>
                <w:ilvl w:val="0"/>
                <w:numId w:val="11"/>
              </w:numPr>
              <w:tabs>
                <w:tab w:val="left" w:pos="322"/>
              </w:tabs>
              <w:spacing w:line="276" w:lineRule="auto"/>
              <w:ind w:left="39" w:hanging="39"/>
              <w:jc w:val="both"/>
              <w:rPr>
                <w:rFonts w:asciiTheme="majorHAnsi" w:hAnsiTheme="majorHAnsi" w:cstheme="majorHAnsi"/>
                <w:sz w:val="18"/>
                <w:szCs w:val="18"/>
              </w:rPr>
            </w:pPr>
            <w:r w:rsidRPr="008376FC">
              <w:rPr>
                <w:rFonts w:asciiTheme="majorHAnsi" w:hAnsiTheme="majorHAnsi" w:cstheme="majorHAnsi"/>
                <w:sz w:val="18"/>
                <w:szCs w:val="18"/>
              </w:rPr>
              <w:t>planul de dezvoltare instituțională;</w:t>
            </w:r>
          </w:p>
          <w:p w:rsidR="000E184F" w:rsidRPr="008376FC" w:rsidRDefault="000E184F" w:rsidP="00F61756">
            <w:pPr>
              <w:pStyle w:val="a3"/>
              <w:numPr>
                <w:ilvl w:val="0"/>
                <w:numId w:val="11"/>
              </w:numPr>
              <w:tabs>
                <w:tab w:val="left" w:pos="322"/>
              </w:tabs>
              <w:spacing w:line="276" w:lineRule="auto"/>
              <w:ind w:left="39" w:hanging="39"/>
              <w:jc w:val="both"/>
              <w:rPr>
                <w:rFonts w:asciiTheme="majorHAnsi" w:hAnsiTheme="majorHAnsi" w:cstheme="majorHAnsi"/>
                <w:sz w:val="18"/>
                <w:szCs w:val="18"/>
              </w:rPr>
            </w:pPr>
            <w:r w:rsidRPr="008376FC">
              <w:rPr>
                <w:rFonts w:asciiTheme="majorHAnsi" w:hAnsiTheme="majorHAnsi" w:cstheme="majorHAnsi"/>
                <w:sz w:val="18"/>
                <w:szCs w:val="18"/>
              </w:rPr>
              <w:t>proiectarea zonală;</w:t>
            </w:r>
          </w:p>
          <w:p w:rsidR="000E184F" w:rsidRPr="008376FC" w:rsidRDefault="000E184F" w:rsidP="00F61756">
            <w:pPr>
              <w:pStyle w:val="a3"/>
              <w:numPr>
                <w:ilvl w:val="0"/>
                <w:numId w:val="11"/>
              </w:numPr>
              <w:tabs>
                <w:tab w:val="left" w:pos="322"/>
              </w:tabs>
              <w:spacing w:line="276" w:lineRule="auto"/>
              <w:ind w:left="39" w:hanging="39"/>
              <w:jc w:val="both"/>
              <w:rPr>
                <w:rFonts w:asciiTheme="majorHAnsi" w:hAnsiTheme="majorHAnsi" w:cstheme="majorHAnsi"/>
                <w:sz w:val="18"/>
                <w:szCs w:val="18"/>
              </w:rPr>
            </w:pPr>
            <w:r w:rsidRPr="008376FC">
              <w:rPr>
                <w:rFonts w:asciiTheme="majorHAnsi" w:hAnsiTheme="majorHAnsi" w:cstheme="majorHAnsi"/>
                <w:sz w:val="18"/>
                <w:szCs w:val="18"/>
              </w:rPr>
              <w:t>strategia de promovare/ marketing;</w:t>
            </w:r>
          </w:p>
          <w:p w:rsidR="000E184F" w:rsidRPr="008376FC" w:rsidRDefault="000E184F" w:rsidP="00F61756">
            <w:pPr>
              <w:pStyle w:val="a3"/>
              <w:numPr>
                <w:ilvl w:val="0"/>
                <w:numId w:val="11"/>
              </w:numPr>
              <w:tabs>
                <w:tab w:val="left" w:pos="322"/>
              </w:tabs>
              <w:spacing w:line="276" w:lineRule="auto"/>
              <w:ind w:left="39" w:hanging="39"/>
              <w:jc w:val="both"/>
              <w:rPr>
                <w:rFonts w:asciiTheme="majorHAnsi" w:hAnsiTheme="majorHAnsi" w:cstheme="majorHAnsi"/>
                <w:sz w:val="18"/>
                <w:szCs w:val="18"/>
                <w:lang w:val="en-US"/>
              </w:rPr>
            </w:pPr>
            <w:r w:rsidRPr="008376FC">
              <w:rPr>
                <w:rFonts w:asciiTheme="majorHAnsi" w:hAnsiTheme="majorHAnsi" w:cstheme="majorHAnsi"/>
                <w:sz w:val="18"/>
                <w:szCs w:val="18"/>
                <w:lang w:val="en-US"/>
              </w:rPr>
              <w:t>planul de sporire a conștientizării populației;</w:t>
            </w:r>
          </w:p>
          <w:p w:rsidR="000E184F" w:rsidRPr="008376FC" w:rsidRDefault="000E184F" w:rsidP="00F61756">
            <w:pPr>
              <w:pStyle w:val="a3"/>
              <w:numPr>
                <w:ilvl w:val="0"/>
                <w:numId w:val="11"/>
              </w:numPr>
              <w:tabs>
                <w:tab w:val="left" w:pos="251"/>
              </w:tabs>
              <w:spacing w:line="276" w:lineRule="auto"/>
              <w:ind w:left="39" w:firstLine="0"/>
              <w:rPr>
                <w:rFonts w:asciiTheme="majorHAnsi" w:hAnsiTheme="majorHAnsi" w:cstheme="majorHAnsi"/>
                <w:sz w:val="18"/>
                <w:szCs w:val="18"/>
                <w:lang w:val="en-US"/>
              </w:rPr>
            </w:pPr>
            <w:r w:rsidRPr="008376FC">
              <w:rPr>
                <w:rFonts w:asciiTheme="majorHAnsi" w:hAnsiTheme="majorHAnsi" w:cstheme="majorHAnsi"/>
                <w:sz w:val="18"/>
                <w:szCs w:val="18"/>
                <w:lang w:val="en-US"/>
              </w:rPr>
              <w:t>bunurile create se vor afla în proprietate publică minimum 10 ani și nu vor putea fi înstrăinate.</w:t>
            </w:r>
          </w:p>
        </w:tc>
        <w:tc>
          <w:tcPr>
            <w:tcW w:w="1639" w:type="dxa"/>
          </w:tcPr>
          <w:p w:rsidR="000E184F" w:rsidRPr="008376FC" w:rsidRDefault="000056B2" w:rsidP="00F61756">
            <w:pPr>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1.Construcția sistemelor interne de aprovizionare cu apă;</w:t>
            </w:r>
          </w:p>
          <w:p w:rsidR="000E184F" w:rsidRPr="008376FC" w:rsidRDefault="000056B2" w:rsidP="00F61756">
            <w:pPr>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2. Construcția stațiilor de tratare;</w:t>
            </w:r>
          </w:p>
          <w:p w:rsidR="000E184F" w:rsidRPr="008376FC" w:rsidRDefault="000056B2" w:rsidP="00F61756">
            <w:pPr>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3. Construcția altor componente ale sistemelor de aprovizionare cu apă la nivel local;</w:t>
            </w:r>
          </w:p>
          <w:p w:rsidR="000E184F" w:rsidRPr="008376FC" w:rsidRDefault="000056B2" w:rsidP="00F61756">
            <w:pPr>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4. Construcția sistemelor interne de canalizare;</w:t>
            </w:r>
          </w:p>
          <w:p w:rsidR="000E184F" w:rsidRPr="008376FC" w:rsidRDefault="000056B2" w:rsidP="00F61756">
            <w:pPr>
              <w:spacing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5. Construcția stațiilor de epurare.</w:t>
            </w:r>
          </w:p>
        </w:tc>
        <w:tc>
          <w:tcPr>
            <w:tcW w:w="1843" w:type="dxa"/>
          </w:tcPr>
          <w:p w:rsidR="000E184F" w:rsidRPr="008376FC" w:rsidRDefault="000056B2" w:rsidP="00F61756">
            <w:pPr>
              <w:spacing w:after="120" w:line="276" w:lineRule="auto"/>
              <w:rPr>
                <w:rFonts w:asciiTheme="majorHAnsi" w:hAnsiTheme="majorHAnsi" w:cstheme="majorHAnsi"/>
                <w:b w:val="0"/>
                <w:bCs w:val="0"/>
                <w:sz w:val="18"/>
                <w:szCs w:val="18"/>
              </w:rPr>
            </w:pPr>
            <w:r w:rsidRPr="008376FC">
              <w:rPr>
                <w:rFonts w:asciiTheme="majorHAnsi" w:hAnsiTheme="majorHAnsi" w:cstheme="majorHAnsi"/>
                <w:b w:val="0"/>
                <w:bCs w:val="0"/>
                <w:sz w:val="18"/>
                <w:szCs w:val="18"/>
              </w:rPr>
              <w:t>Construcția și reabilitarea sistemelor de alimentare cu apă, de epurare a apei și de canalizare, destinate exploatațiilor agricole.</w:t>
            </w:r>
          </w:p>
        </w:tc>
      </w:tr>
    </w:tbl>
    <w:p w:rsidR="000E184F" w:rsidRDefault="000E184F" w:rsidP="00F61756">
      <w:pPr>
        <w:spacing w:line="276" w:lineRule="auto"/>
        <w:rPr>
          <w:rFonts w:asciiTheme="majorHAnsi" w:eastAsia="MS Mincho" w:hAnsiTheme="majorHAnsi" w:cstheme="majorHAnsi"/>
          <w:b w:val="0"/>
          <w:sz w:val="16"/>
          <w:szCs w:val="16"/>
        </w:rPr>
      </w:pPr>
      <w:r w:rsidRPr="006C2B89">
        <w:rPr>
          <w:rFonts w:asciiTheme="majorHAnsi" w:eastAsia="MS Mincho" w:hAnsiTheme="majorHAnsi" w:cstheme="majorHAnsi"/>
          <w:b w:val="0"/>
          <w:sz w:val="16"/>
          <w:szCs w:val="16"/>
        </w:rPr>
        <w:t>Sursa: cadrul legislativ-normativ de aprobare a Fondurilor.</w:t>
      </w:r>
    </w:p>
    <w:p w:rsidR="000E184F" w:rsidRPr="00EC1A68" w:rsidRDefault="000E184F" w:rsidP="00F61756">
      <w:pPr>
        <w:spacing w:line="276" w:lineRule="auto"/>
        <w:jc w:val="both"/>
        <w:rPr>
          <w:rFonts w:asciiTheme="majorHAnsi" w:hAnsiTheme="majorHAnsi" w:cstheme="majorHAnsi"/>
          <w:bCs w:val="0"/>
          <w:color w:val="0070C0"/>
          <w:sz w:val="24"/>
          <w:szCs w:val="24"/>
        </w:rPr>
      </w:pPr>
      <w:r w:rsidRPr="00EC1A68">
        <w:rPr>
          <w:rFonts w:asciiTheme="majorHAnsi" w:hAnsiTheme="majorHAnsi" w:cstheme="majorHAnsi"/>
          <w:bCs w:val="0"/>
          <w:color w:val="0070C0"/>
          <w:sz w:val="24"/>
          <w:szCs w:val="24"/>
        </w:rPr>
        <w:t>Anexa nr.16  Condițiile de finanțare a proiectelor de infrastructură în domeniul alimentării cu apă şi sanitație</w:t>
      </w:r>
      <w:r w:rsidR="003F602A" w:rsidRPr="00EC1A68">
        <w:rPr>
          <w:rFonts w:asciiTheme="majorHAnsi" w:hAnsiTheme="majorHAnsi" w:cstheme="majorHAnsi"/>
          <w:bCs w:val="0"/>
          <w:color w:val="0070C0"/>
          <w:sz w:val="24"/>
          <w:szCs w:val="24"/>
        </w:rPr>
        <w:t>i</w:t>
      </w:r>
      <w:r w:rsidRPr="00EC1A68">
        <w:rPr>
          <w:rFonts w:asciiTheme="majorHAnsi" w:hAnsiTheme="majorHAnsi" w:cstheme="majorHAnsi"/>
          <w:bCs w:val="0"/>
          <w:color w:val="0070C0"/>
          <w:sz w:val="24"/>
          <w:szCs w:val="24"/>
        </w:rPr>
        <w:t xml:space="preserve"> din fondurile bugetului de stat</w:t>
      </w:r>
    </w:p>
    <w:tbl>
      <w:tblPr>
        <w:tblStyle w:val="af2"/>
        <w:tblW w:w="0" w:type="auto"/>
        <w:tblInd w:w="-5" w:type="dxa"/>
        <w:tblLook w:val="04A0" w:firstRow="1" w:lastRow="0" w:firstColumn="1" w:lastColumn="0" w:noHBand="0" w:noVBand="1"/>
      </w:tblPr>
      <w:tblGrid>
        <w:gridCol w:w="1132"/>
        <w:gridCol w:w="1221"/>
        <w:gridCol w:w="911"/>
        <w:gridCol w:w="579"/>
        <w:gridCol w:w="1114"/>
        <w:gridCol w:w="1117"/>
        <w:gridCol w:w="1088"/>
        <w:gridCol w:w="921"/>
        <w:gridCol w:w="1458"/>
      </w:tblGrid>
      <w:tr w:rsidR="000E184F" w:rsidRPr="008376FC" w:rsidTr="0026667F">
        <w:trPr>
          <w:cantSplit/>
          <w:trHeight w:val="3002"/>
        </w:trPr>
        <w:tc>
          <w:tcPr>
            <w:tcW w:w="1132" w:type="dxa"/>
            <w:shd w:val="clear" w:color="auto" w:fill="BDD6EE" w:themeFill="accent1" w:themeFillTint="66"/>
            <w:textDirection w:val="btLr"/>
            <w:vAlign w:val="center"/>
          </w:tcPr>
          <w:p w:rsidR="000E184F" w:rsidRPr="008376FC" w:rsidRDefault="000E184F" w:rsidP="0026667F">
            <w:pPr>
              <w:ind w:left="113" w:right="113"/>
              <w:jc w:val="center"/>
              <w:rPr>
                <w:rFonts w:asciiTheme="majorHAnsi" w:hAnsiTheme="majorHAnsi" w:cstheme="majorHAnsi"/>
                <w:b w:val="0"/>
                <w:bCs w:val="0"/>
                <w:sz w:val="18"/>
                <w:szCs w:val="18"/>
              </w:rPr>
            </w:pPr>
            <w:r w:rsidRPr="008376FC">
              <w:rPr>
                <w:rFonts w:asciiTheme="majorHAnsi" w:hAnsiTheme="majorHAnsi" w:cstheme="majorHAnsi"/>
                <w:sz w:val="18"/>
                <w:szCs w:val="18"/>
              </w:rPr>
              <w:t>Fond de finanţare din bugetul de stat</w:t>
            </w:r>
          </w:p>
        </w:tc>
        <w:tc>
          <w:tcPr>
            <w:tcW w:w="1221" w:type="dxa"/>
            <w:shd w:val="clear" w:color="auto" w:fill="BDD6EE" w:themeFill="accent1" w:themeFillTint="66"/>
            <w:textDirection w:val="btLr"/>
            <w:vAlign w:val="center"/>
          </w:tcPr>
          <w:p w:rsidR="000E184F" w:rsidRPr="008376FC" w:rsidRDefault="000E184F" w:rsidP="0026667F">
            <w:pPr>
              <w:ind w:left="113" w:right="113"/>
              <w:jc w:val="center"/>
              <w:rPr>
                <w:rFonts w:asciiTheme="majorHAnsi" w:hAnsiTheme="majorHAnsi" w:cstheme="majorHAnsi"/>
                <w:b w:val="0"/>
                <w:bCs w:val="0"/>
                <w:sz w:val="18"/>
                <w:szCs w:val="18"/>
              </w:rPr>
            </w:pPr>
            <w:r w:rsidRPr="008376FC">
              <w:rPr>
                <w:rFonts w:asciiTheme="majorHAnsi" w:hAnsiTheme="majorHAnsi" w:cstheme="majorHAnsi"/>
                <w:sz w:val="18"/>
                <w:szCs w:val="18"/>
              </w:rPr>
              <w:t>Beneficiar</w:t>
            </w:r>
          </w:p>
        </w:tc>
        <w:tc>
          <w:tcPr>
            <w:tcW w:w="911" w:type="dxa"/>
            <w:shd w:val="clear" w:color="auto" w:fill="BDD6EE" w:themeFill="accent1" w:themeFillTint="66"/>
            <w:textDirection w:val="btLr"/>
            <w:vAlign w:val="center"/>
          </w:tcPr>
          <w:p w:rsidR="000E184F" w:rsidRPr="008376FC" w:rsidRDefault="000E184F" w:rsidP="0026667F">
            <w:pPr>
              <w:ind w:left="113" w:right="113"/>
              <w:jc w:val="center"/>
              <w:rPr>
                <w:rFonts w:asciiTheme="majorHAnsi" w:hAnsiTheme="majorHAnsi" w:cstheme="majorHAnsi"/>
                <w:b w:val="0"/>
                <w:bCs w:val="0"/>
                <w:sz w:val="18"/>
                <w:szCs w:val="18"/>
              </w:rPr>
            </w:pPr>
            <w:r w:rsidRPr="008376FC">
              <w:rPr>
                <w:rFonts w:asciiTheme="majorHAnsi" w:hAnsiTheme="majorHAnsi" w:cstheme="majorHAnsi"/>
                <w:sz w:val="18"/>
                <w:szCs w:val="18"/>
              </w:rPr>
              <w:t>Suma maximă de finanţare, mil.lei</w:t>
            </w:r>
          </w:p>
        </w:tc>
        <w:tc>
          <w:tcPr>
            <w:tcW w:w="579" w:type="dxa"/>
            <w:shd w:val="clear" w:color="auto" w:fill="BDD6EE" w:themeFill="accent1" w:themeFillTint="66"/>
            <w:textDirection w:val="btLr"/>
            <w:vAlign w:val="center"/>
          </w:tcPr>
          <w:p w:rsidR="000E184F" w:rsidRPr="008376FC" w:rsidRDefault="000E184F" w:rsidP="0026667F">
            <w:pPr>
              <w:ind w:left="113" w:right="113"/>
              <w:jc w:val="center"/>
              <w:rPr>
                <w:rFonts w:asciiTheme="majorHAnsi" w:hAnsiTheme="majorHAnsi" w:cstheme="majorHAnsi"/>
                <w:b w:val="0"/>
                <w:bCs w:val="0"/>
                <w:sz w:val="18"/>
                <w:szCs w:val="18"/>
              </w:rPr>
            </w:pPr>
            <w:r w:rsidRPr="008376FC">
              <w:rPr>
                <w:rFonts w:asciiTheme="majorHAnsi" w:hAnsiTheme="majorHAnsi" w:cstheme="majorHAnsi"/>
                <w:sz w:val="18"/>
                <w:szCs w:val="18"/>
              </w:rPr>
              <w:t>Contribuţia proprie a beneficiarului</w:t>
            </w:r>
          </w:p>
        </w:tc>
        <w:tc>
          <w:tcPr>
            <w:tcW w:w="1114" w:type="dxa"/>
            <w:shd w:val="clear" w:color="auto" w:fill="BDD6EE" w:themeFill="accent1" w:themeFillTint="66"/>
            <w:textDirection w:val="btLr"/>
            <w:vAlign w:val="center"/>
          </w:tcPr>
          <w:p w:rsidR="000E184F" w:rsidRPr="008376FC" w:rsidRDefault="000E184F" w:rsidP="0026667F">
            <w:pPr>
              <w:ind w:left="113" w:right="113"/>
              <w:jc w:val="center"/>
              <w:rPr>
                <w:rFonts w:asciiTheme="majorHAnsi" w:hAnsiTheme="majorHAnsi" w:cstheme="majorHAnsi"/>
                <w:b w:val="0"/>
                <w:bCs w:val="0"/>
                <w:sz w:val="18"/>
                <w:szCs w:val="18"/>
              </w:rPr>
            </w:pPr>
            <w:r w:rsidRPr="008376FC">
              <w:rPr>
                <w:rFonts w:asciiTheme="majorHAnsi" w:hAnsiTheme="majorHAnsi" w:cstheme="majorHAnsi"/>
                <w:sz w:val="18"/>
                <w:szCs w:val="18"/>
              </w:rPr>
              <w:t>Se acceptă ca cofinanţare costurile de elaborare a documentaţiei de proiect?</w:t>
            </w:r>
          </w:p>
        </w:tc>
        <w:tc>
          <w:tcPr>
            <w:tcW w:w="1117" w:type="dxa"/>
            <w:shd w:val="clear" w:color="auto" w:fill="BDD6EE" w:themeFill="accent1" w:themeFillTint="66"/>
            <w:textDirection w:val="btLr"/>
            <w:vAlign w:val="center"/>
          </w:tcPr>
          <w:p w:rsidR="000E184F" w:rsidRPr="008376FC" w:rsidRDefault="000E184F" w:rsidP="0026667F">
            <w:pPr>
              <w:ind w:left="113" w:right="113"/>
              <w:jc w:val="center"/>
              <w:rPr>
                <w:rFonts w:asciiTheme="majorHAnsi" w:hAnsiTheme="majorHAnsi" w:cstheme="majorHAnsi"/>
                <w:b w:val="0"/>
                <w:bCs w:val="0"/>
                <w:sz w:val="18"/>
                <w:szCs w:val="18"/>
              </w:rPr>
            </w:pPr>
            <w:r w:rsidRPr="008376FC">
              <w:rPr>
                <w:rFonts w:asciiTheme="majorHAnsi" w:hAnsiTheme="majorHAnsi" w:cstheme="majorHAnsi"/>
                <w:sz w:val="18"/>
                <w:szCs w:val="18"/>
              </w:rPr>
              <w:t>Perioada de finalizare a lucrărilor de construcţii</w:t>
            </w:r>
          </w:p>
        </w:tc>
        <w:tc>
          <w:tcPr>
            <w:tcW w:w="1088" w:type="dxa"/>
            <w:shd w:val="clear" w:color="auto" w:fill="BDD6EE" w:themeFill="accent1" w:themeFillTint="66"/>
            <w:textDirection w:val="btLr"/>
            <w:vAlign w:val="center"/>
          </w:tcPr>
          <w:p w:rsidR="000E184F" w:rsidRPr="008376FC" w:rsidRDefault="000E184F" w:rsidP="0026667F">
            <w:pPr>
              <w:ind w:left="113" w:right="113"/>
              <w:jc w:val="center"/>
              <w:rPr>
                <w:rFonts w:asciiTheme="majorHAnsi" w:hAnsiTheme="majorHAnsi" w:cstheme="majorHAnsi"/>
                <w:b w:val="0"/>
                <w:bCs w:val="0"/>
                <w:sz w:val="18"/>
                <w:szCs w:val="18"/>
              </w:rPr>
            </w:pPr>
            <w:r w:rsidRPr="008376FC">
              <w:rPr>
                <w:rFonts w:asciiTheme="majorHAnsi" w:hAnsiTheme="majorHAnsi" w:cstheme="majorHAnsi"/>
                <w:sz w:val="18"/>
                <w:szCs w:val="18"/>
              </w:rPr>
              <w:t>Responsabil de efectuarea achiziţiilor publice şi supravegherea lucrărilor de construcţii</w:t>
            </w:r>
          </w:p>
        </w:tc>
        <w:tc>
          <w:tcPr>
            <w:tcW w:w="921" w:type="dxa"/>
            <w:shd w:val="clear" w:color="auto" w:fill="BDD6EE" w:themeFill="accent1" w:themeFillTint="66"/>
            <w:textDirection w:val="btLr"/>
            <w:vAlign w:val="center"/>
          </w:tcPr>
          <w:p w:rsidR="000E184F" w:rsidRPr="008376FC" w:rsidRDefault="000E184F" w:rsidP="0026667F">
            <w:pPr>
              <w:ind w:left="113" w:right="113"/>
              <w:jc w:val="center"/>
              <w:rPr>
                <w:rFonts w:asciiTheme="majorHAnsi" w:hAnsiTheme="majorHAnsi" w:cstheme="majorHAnsi"/>
                <w:b w:val="0"/>
                <w:bCs w:val="0"/>
                <w:sz w:val="18"/>
                <w:szCs w:val="18"/>
              </w:rPr>
            </w:pPr>
            <w:r w:rsidRPr="008376FC">
              <w:rPr>
                <w:rFonts w:asciiTheme="majorHAnsi" w:hAnsiTheme="majorHAnsi" w:cstheme="majorHAnsi"/>
                <w:sz w:val="18"/>
                <w:szCs w:val="18"/>
              </w:rPr>
              <w:t>Monitorizarea durabilităţii proiectului după finalizarea lucrărilor de constrcucţie</w:t>
            </w:r>
          </w:p>
        </w:tc>
        <w:tc>
          <w:tcPr>
            <w:tcW w:w="1458" w:type="dxa"/>
            <w:shd w:val="clear" w:color="auto" w:fill="BDD6EE" w:themeFill="accent1" w:themeFillTint="66"/>
            <w:textDirection w:val="btLr"/>
            <w:vAlign w:val="center"/>
          </w:tcPr>
          <w:p w:rsidR="000E184F" w:rsidRPr="008376FC" w:rsidRDefault="000E184F" w:rsidP="0026667F">
            <w:pPr>
              <w:ind w:left="113" w:right="113"/>
              <w:jc w:val="center"/>
              <w:rPr>
                <w:rFonts w:asciiTheme="majorHAnsi" w:hAnsiTheme="majorHAnsi" w:cstheme="majorHAnsi"/>
                <w:b w:val="0"/>
                <w:bCs w:val="0"/>
                <w:sz w:val="18"/>
                <w:szCs w:val="18"/>
              </w:rPr>
            </w:pPr>
            <w:r w:rsidRPr="008376FC">
              <w:rPr>
                <w:rFonts w:asciiTheme="majorHAnsi" w:hAnsiTheme="majorHAnsi" w:cstheme="majorHAnsi"/>
                <w:sz w:val="18"/>
                <w:szCs w:val="18"/>
              </w:rPr>
              <w:t>Actul normativ</w:t>
            </w:r>
          </w:p>
        </w:tc>
      </w:tr>
      <w:tr w:rsidR="000E184F" w:rsidRPr="008376FC" w:rsidTr="0026667F">
        <w:tc>
          <w:tcPr>
            <w:tcW w:w="9541" w:type="dxa"/>
            <w:gridSpan w:val="9"/>
            <w:vAlign w:val="center"/>
          </w:tcPr>
          <w:p w:rsidR="000E184F" w:rsidRPr="008376FC" w:rsidRDefault="000E184F" w:rsidP="0026667F">
            <w:pPr>
              <w:jc w:val="center"/>
              <w:rPr>
                <w:rFonts w:asciiTheme="majorHAnsi" w:hAnsiTheme="majorHAnsi" w:cstheme="majorHAnsi"/>
                <w:b w:val="0"/>
                <w:bCs w:val="0"/>
                <w:sz w:val="18"/>
                <w:szCs w:val="18"/>
              </w:rPr>
            </w:pPr>
            <w:r w:rsidRPr="008376FC">
              <w:rPr>
                <w:rFonts w:asciiTheme="majorHAnsi" w:hAnsiTheme="majorHAnsi" w:cstheme="majorHAnsi"/>
                <w:sz w:val="18"/>
                <w:szCs w:val="18"/>
              </w:rPr>
              <w:t>Anii 2014-2021</w:t>
            </w:r>
          </w:p>
        </w:tc>
      </w:tr>
      <w:tr w:rsidR="000E184F" w:rsidRPr="008376FC" w:rsidTr="0026667F">
        <w:tc>
          <w:tcPr>
            <w:tcW w:w="1132" w:type="dxa"/>
            <w:vAlign w:val="center"/>
          </w:tcPr>
          <w:p w:rsidR="000E184F" w:rsidRPr="008376FC" w:rsidRDefault="000E184F" w:rsidP="0026667F">
            <w:pPr>
              <w:rPr>
                <w:rFonts w:asciiTheme="majorHAnsi" w:hAnsiTheme="majorHAnsi" w:cstheme="majorHAnsi"/>
                <w:b w:val="0"/>
                <w:bCs w:val="0"/>
                <w:sz w:val="18"/>
                <w:szCs w:val="18"/>
              </w:rPr>
            </w:pPr>
            <w:r w:rsidRPr="008376FC">
              <w:rPr>
                <w:rFonts w:asciiTheme="majorHAnsi" w:hAnsiTheme="majorHAnsi" w:cstheme="majorHAnsi"/>
                <w:sz w:val="18"/>
                <w:szCs w:val="18"/>
              </w:rPr>
              <w:t>FEN</w:t>
            </w:r>
          </w:p>
        </w:tc>
        <w:tc>
          <w:tcPr>
            <w:tcW w:w="12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APL niv</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I  şi II, instituții, întreprinderi, organizații (indiferent de forma de proprietate), ONG-uri de mediu</w:t>
            </w:r>
          </w:p>
        </w:tc>
        <w:tc>
          <w:tcPr>
            <w:tcW w:w="91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nu este specificat</w:t>
            </w:r>
          </w:p>
        </w:tc>
        <w:tc>
          <w:tcPr>
            <w:tcW w:w="579" w:type="dxa"/>
            <w:vAlign w:val="center"/>
          </w:tcPr>
          <w:p w:rsidR="000E184F" w:rsidRPr="008376FC" w:rsidRDefault="003F602A"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w:t>
            </w:r>
            <w:r w:rsidR="000056B2" w:rsidRPr="008376FC">
              <w:rPr>
                <w:rFonts w:asciiTheme="majorHAnsi" w:hAnsiTheme="majorHAnsi" w:cstheme="majorHAnsi"/>
                <w:b w:val="0"/>
                <w:bCs w:val="0"/>
                <w:sz w:val="18"/>
                <w:szCs w:val="18"/>
              </w:rPr>
              <w:t>in</w:t>
            </w:r>
            <w:r>
              <w:rPr>
                <w:rFonts w:asciiTheme="majorHAnsi" w:hAnsiTheme="majorHAnsi" w:cstheme="majorHAnsi"/>
                <w:b w:val="0"/>
                <w:bCs w:val="0"/>
                <w:sz w:val="18"/>
                <w:szCs w:val="18"/>
              </w:rPr>
              <w:t>.</w:t>
            </w:r>
            <w:r w:rsidR="000056B2" w:rsidRPr="008376FC">
              <w:rPr>
                <w:rFonts w:asciiTheme="majorHAnsi" w:hAnsiTheme="majorHAnsi" w:cstheme="majorHAnsi"/>
                <w:b w:val="0"/>
                <w:bCs w:val="0"/>
                <w:sz w:val="18"/>
                <w:szCs w:val="18"/>
              </w:rPr>
              <w:t xml:space="preserve"> 15%</w:t>
            </w:r>
          </w:p>
        </w:tc>
        <w:tc>
          <w:tcPr>
            <w:tcW w:w="1114"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Da</w:t>
            </w:r>
          </w:p>
        </w:tc>
        <w:tc>
          <w:tcPr>
            <w:tcW w:w="1117"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nu este specificat</w:t>
            </w:r>
          </w:p>
        </w:tc>
        <w:tc>
          <w:tcPr>
            <w:tcW w:w="108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beneficiarul</w:t>
            </w:r>
          </w:p>
        </w:tc>
        <w:tc>
          <w:tcPr>
            <w:tcW w:w="9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nu este specificat</w:t>
            </w:r>
          </w:p>
        </w:tc>
        <w:tc>
          <w:tcPr>
            <w:tcW w:w="145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OMM73/2013</w:t>
            </w:r>
          </w:p>
        </w:tc>
      </w:tr>
      <w:tr w:rsidR="000E184F" w:rsidRPr="008376FC" w:rsidTr="0026667F">
        <w:tc>
          <w:tcPr>
            <w:tcW w:w="1132" w:type="dxa"/>
            <w:vAlign w:val="center"/>
          </w:tcPr>
          <w:p w:rsidR="000E184F" w:rsidRPr="008376FC" w:rsidRDefault="000E184F" w:rsidP="0026667F">
            <w:pPr>
              <w:rPr>
                <w:rFonts w:asciiTheme="majorHAnsi" w:hAnsiTheme="majorHAnsi" w:cstheme="majorHAnsi"/>
                <w:b w:val="0"/>
                <w:bCs w:val="0"/>
                <w:sz w:val="18"/>
                <w:szCs w:val="18"/>
              </w:rPr>
            </w:pPr>
            <w:r w:rsidRPr="008376FC">
              <w:rPr>
                <w:rFonts w:asciiTheme="majorHAnsi" w:hAnsiTheme="majorHAnsi" w:cstheme="majorHAnsi"/>
                <w:sz w:val="18"/>
                <w:szCs w:val="18"/>
              </w:rPr>
              <w:t>FNDR</w:t>
            </w:r>
            <w:r w:rsidRPr="008376FC">
              <w:rPr>
                <w:rStyle w:val="ab"/>
                <w:rFonts w:cstheme="majorHAnsi"/>
                <w:sz w:val="18"/>
                <w:szCs w:val="18"/>
              </w:rPr>
              <w:footnoteReference w:id="166"/>
            </w:r>
          </w:p>
        </w:tc>
        <w:tc>
          <w:tcPr>
            <w:tcW w:w="12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APL niv</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I şi II, instituţiile publice şi alte entităţi de drept public</w:t>
            </w:r>
          </w:p>
        </w:tc>
        <w:tc>
          <w:tcPr>
            <w:tcW w:w="91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Min</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10,0</w:t>
            </w:r>
          </w:p>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 xml:space="preserve">Max </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50,0</w:t>
            </w:r>
          </w:p>
        </w:tc>
        <w:tc>
          <w:tcPr>
            <w:tcW w:w="579" w:type="dxa"/>
            <w:vAlign w:val="center"/>
          </w:tcPr>
          <w:p w:rsidR="000E184F" w:rsidRPr="008376FC" w:rsidRDefault="003F602A"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w:t>
            </w:r>
            <w:r w:rsidR="000056B2" w:rsidRPr="008376FC">
              <w:rPr>
                <w:rFonts w:asciiTheme="majorHAnsi" w:hAnsiTheme="majorHAnsi" w:cstheme="majorHAnsi"/>
                <w:b w:val="0"/>
                <w:bCs w:val="0"/>
                <w:sz w:val="18"/>
                <w:szCs w:val="18"/>
              </w:rPr>
              <w:t>in</w:t>
            </w:r>
            <w:r>
              <w:rPr>
                <w:rFonts w:asciiTheme="majorHAnsi" w:hAnsiTheme="majorHAnsi" w:cstheme="majorHAnsi"/>
                <w:b w:val="0"/>
                <w:bCs w:val="0"/>
                <w:sz w:val="18"/>
                <w:szCs w:val="18"/>
              </w:rPr>
              <w:t>.</w:t>
            </w:r>
            <w:r w:rsidR="000056B2" w:rsidRPr="008376FC">
              <w:rPr>
                <w:rFonts w:asciiTheme="majorHAnsi" w:hAnsiTheme="majorHAnsi" w:cstheme="majorHAnsi"/>
                <w:b w:val="0"/>
                <w:bCs w:val="0"/>
                <w:sz w:val="18"/>
                <w:szCs w:val="18"/>
              </w:rPr>
              <w:t xml:space="preserve"> 10%</w:t>
            </w:r>
          </w:p>
        </w:tc>
        <w:tc>
          <w:tcPr>
            <w:tcW w:w="1114"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Nu</w:t>
            </w:r>
          </w:p>
        </w:tc>
        <w:tc>
          <w:tcPr>
            <w:tcW w:w="1117" w:type="dxa"/>
            <w:vAlign w:val="center"/>
          </w:tcPr>
          <w:p w:rsidR="000E184F" w:rsidRPr="008376FC" w:rsidRDefault="003F602A"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w:t>
            </w:r>
            <w:r w:rsidR="000056B2" w:rsidRPr="008376FC">
              <w:rPr>
                <w:rFonts w:asciiTheme="majorHAnsi" w:hAnsiTheme="majorHAnsi" w:cstheme="majorHAnsi"/>
                <w:b w:val="0"/>
                <w:bCs w:val="0"/>
                <w:sz w:val="18"/>
                <w:szCs w:val="18"/>
              </w:rPr>
              <w:t>ax</w:t>
            </w:r>
            <w:r>
              <w:rPr>
                <w:rFonts w:asciiTheme="majorHAnsi" w:hAnsiTheme="majorHAnsi" w:cstheme="majorHAnsi"/>
                <w:b w:val="0"/>
                <w:bCs w:val="0"/>
                <w:sz w:val="18"/>
                <w:szCs w:val="18"/>
              </w:rPr>
              <w:t>.</w:t>
            </w:r>
            <w:r w:rsidR="000056B2" w:rsidRPr="008376FC">
              <w:rPr>
                <w:rFonts w:asciiTheme="majorHAnsi" w:hAnsiTheme="majorHAnsi" w:cstheme="majorHAnsi"/>
                <w:b w:val="0"/>
                <w:bCs w:val="0"/>
                <w:sz w:val="18"/>
                <w:szCs w:val="18"/>
              </w:rPr>
              <w:t xml:space="preserve"> 36 luni</w:t>
            </w:r>
          </w:p>
        </w:tc>
        <w:tc>
          <w:tcPr>
            <w:tcW w:w="108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ADR</w:t>
            </w:r>
          </w:p>
        </w:tc>
        <w:tc>
          <w:tcPr>
            <w:tcW w:w="9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3 ani</w:t>
            </w:r>
          </w:p>
        </w:tc>
        <w:tc>
          <w:tcPr>
            <w:tcW w:w="145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HG127/2008</w:t>
            </w:r>
          </w:p>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Manualele operaţionale ale FNDR</w:t>
            </w:r>
          </w:p>
        </w:tc>
      </w:tr>
      <w:tr w:rsidR="000E184F" w:rsidRPr="008376FC" w:rsidTr="0026667F">
        <w:tc>
          <w:tcPr>
            <w:tcW w:w="1132" w:type="dxa"/>
            <w:vAlign w:val="center"/>
          </w:tcPr>
          <w:p w:rsidR="000E184F" w:rsidRPr="008376FC" w:rsidRDefault="000E184F" w:rsidP="0026667F">
            <w:pPr>
              <w:rPr>
                <w:rFonts w:asciiTheme="majorHAnsi" w:hAnsiTheme="majorHAnsi" w:cstheme="majorHAnsi"/>
                <w:b w:val="0"/>
                <w:bCs w:val="0"/>
                <w:sz w:val="18"/>
                <w:szCs w:val="18"/>
              </w:rPr>
            </w:pPr>
            <w:r w:rsidRPr="008376FC">
              <w:rPr>
                <w:rFonts w:asciiTheme="majorHAnsi" w:hAnsiTheme="majorHAnsi" w:cstheme="majorHAnsi"/>
                <w:sz w:val="18"/>
                <w:szCs w:val="18"/>
              </w:rPr>
              <w:t>FNDAMR</w:t>
            </w:r>
          </w:p>
        </w:tc>
        <w:tc>
          <w:tcPr>
            <w:tcW w:w="12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APL niv</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I cu populaţie de până la 10 mii locuitori</w:t>
            </w:r>
          </w:p>
        </w:tc>
        <w:tc>
          <w:tcPr>
            <w:tcW w:w="91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Max</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3,0</w:t>
            </w:r>
          </w:p>
        </w:tc>
        <w:tc>
          <w:tcPr>
            <w:tcW w:w="579" w:type="dxa"/>
            <w:vAlign w:val="center"/>
          </w:tcPr>
          <w:p w:rsidR="000E184F" w:rsidRPr="008376FC" w:rsidRDefault="003F602A"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w:t>
            </w:r>
            <w:r w:rsidR="000056B2" w:rsidRPr="008376FC">
              <w:rPr>
                <w:rFonts w:asciiTheme="majorHAnsi" w:hAnsiTheme="majorHAnsi" w:cstheme="majorHAnsi"/>
                <w:b w:val="0"/>
                <w:bCs w:val="0"/>
                <w:sz w:val="18"/>
                <w:szCs w:val="18"/>
              </w:rPr>
              <w:t>in</w:t>
            </w:r>
            <w:r>
              <w:rPr>
                <w:rFonts w:asciiTheme="majorHAnsi" w:hAnsiTheme="majorHAnsi" w:cstheme="majorHAnsi"/>
                <w:b w:val="0"/>
                <w:bCs w:val="0"/>
                <w:sz w:val="18"/>
                <w:szCs w:val="18"/>
              </w:rPr>
              <w:t>.</w:t>
            </w:r>
            <w:r w:rsidR="000056B2" w:rsidRPr="008376FC">
              <w:rPr>
                <w:rFonts w:asciiTheme="majorHAnsi" w:hAnsiTheme="majorHAnsi" w:cstheme="majorHAnsi"/>
                <w:b w:val="0"/>
                <w:bCs w:val="0"/>
                <w:sz w:val="18"/>
                <w:szCs w:val="18"/>
              </w:rPr>
              <w:t xml:space="preserve"> 20%</w:t>
            </w:r>
          </w:p>
        </w:tc>
        <w:tc>
          <w:tcPr>
            <w:tcW w:w="1114"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Nu</w:t>
            </w:r>
          </w:p>
        </w:tc>
        <w:tc>
          <w:tcPr>
            <w:tcW w:w="1117" w:type="dxa"/>
            <w:vAlign w:val="center"/>
          </w:tcPr>
          <w:p w:rsidR="000E184F" w:rsidRPr="008376FC" w:rsidRDefault="003F602A"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w:t>
            </w:r>
            <w:r w:rsidR="000056B2" w:rsidRPr="008376FC">
              <w:rPr>
                <w:rFonts w:asciiTheme="majorHAnsi" w:hAnsiTheme="majorHAnsi" w:cstheme="majorHAnsi"/>
                <w:b w:val="0"/>
                <w:bCs w:val="0"/>
                <w:sz w:val="18"/>
                <w:szCs w:val="18"/>
              </w:rPr>
              <w:t>ax</w:t>
            </w:r>
            <w:r>
              <w:rPr>
                <w:rFonts w:asciiTheme="majorHAnsi" w:hAnsiTheme="majorHAnsi" w:cstheme="majorHAnsi"/>
                <w:b w:val="0"/>
                <w:bCs w:val="0"/>
                <w:sz w:val="18"/>
                <w:szCs w:val="18"/>
              </w:rPr>
              <w:t>.</w:t>
            </w:r>
            <w:r w:rsidR="000056B2" w:rsidRPr="008376FC">
              <w:rPr>
                <w:rFonts w:asciiTheme="majorHAnsi" w:hAnsiTheme="majorHAnsi" w:cstheme="majorHAnsi"/>
                <w:b w:val="0"/>
                <w:bCs w:val="0"/>
                <w:sz w:val="18"/>
                <w:szCs w:val="18"/>
              </w:rPr>
              <w:t xml:space="preserve"> 24 luni</w:t>
            </w:r>
          </w:p>
        </w:tc>
        <w:tc>
          <w:tcPr>
            <w:tcW w:w="108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beneficiarul</w:t>
            </w:r>
          </w:p>
        </w:tc>
        <w:tc>
          <w:tcPr>
            <w:tcW w:w="9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5 ani</w:t>
            </w:r>
          </w:p>
        </w:tc>
        <w:tc>
          <w:tcPr>
            <w:tcW w:w="145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HG476/2019</w:t>
            </w:r>
          </w:p>
        </w:tc>
      </w:tr>
      <w:tr w:rsidR="000E184F" w:rsidRPr="008376FC" w:rsidTr="0026667F">
        <w:tc>
          <w:tcPr>
            <w:tcW w:w="9541" w:type="dxa"/>
            <w:gridSpan w:val="9"/>
            <w:vAlign w:val="center"/>
          </w:tcPr>
          <w:p w:rsidR="000E184F" w:rsidRPr="008376FC" w:rsidRDefault="000E184F" w:rsidP="0026667F">
            <w:pPr>
              <w:jc w:val="center"/>
              <w:rPr>
                <w:rFonts w:asciiTheme="majorHAnsi" w:hAnsiTheme="majorHAnsi" w:cstheme="majorHAnsi"/>
                <w:b w:val="0"/>
                <w:sz w:val="18"/>
                <w:szCs w:val="18"/>
              </w:rPr>
            </w:pPr>
            <w:r w:rsidRPr="008376FC">
              <w:rPr>
                <w:rFonts w:asciiTheme="majorHAnsi" w:hAnsiTheme="majorHAnsi" w:cstheme="majorHAnsi"/>
                <w:sz w:val="18"/>
                <w:szCs w:val="18"/>
              </w:rPr>
              <w:t>Începând cu anul 2022</w:t>
            </w:r>
          </w:p>
        </w:tc>
      </w:tr>
      <w:tr w:rsidR="000E184F" w:rsidRPr="008376FC" w:rsidTr="0026667F">
        <w:tc>
          <w:tcPr>
            <w:tcW w:w="1132" w:type="dxa"/>
            <w:vAlign w:val="center"/>
          </w:tcPr>
          <w:p w:rsidR="000E184F" w:rsidRPr="008376FC" w:rsidRDefault="000E184F" w:rsidP="0026667F">
            <w:pPr>
              <w:rPr>
                <w:rFonts w:asciiTheme="majorHAnsi" w:hAnsiTheme="majorHAnsi" w:cstheme="majorHAnsi"/>
                <w:b w:val="0"/>
                <w:bCs w:val="0"/>
                <w:i/>
                <w:iCs/>
                <w:sz w:val="18"/>
                <w:szCs w:val="18"/>
              </w:rPr>
            </w:pPr>
            <w:r w:rsidRPr="008376FC">
              <w:rPr>
                <w:rFonts w:asciiTheme="majorHAnsi" w:hAnsiTheme="majorHAnsi" w:cstheme="majorHAnsi"/>
                <w:sz w:val="18"/>
                <w:szCs w:val="18"/>
              </w:rPr>
              <w:t>FNDRL</w:t>
            </w:r>
            <w:r w:rsidRPr="008376FC">
              <w:rPr>
                <w:rFonts w:asciiTheme="majorHAnsi" w:hAnsiTheme="majorHAnsi" w:cstheme="majorHAnsi"/>
                <w:i/>
                <w:iCs/>
                <w:sz w:val="18"/>
                <w:szCs w:val="18"/>
              </w:rPr>
              <w:t xml:space="preserve"> componenta regională</w:t>
            </w:r>
          </w:p>
        </w:tc>
        <w:tc>
          <w:tcPr>
            <w:tcW w:w="12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APC, ADR, APL niv</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I şi II, instituţiile publice şi alte entităţi de drept public</w:t>
            </w:r>
            <w:r w:rsidRPr="008376FC">
              <w:rPr>
                <w:rStyle w:val="ab"/>
                <w:rFonts w:cstheme="majorHAnsi"/>
                <w:b w:val="0"/>
                <w:bCs w:val="0"/>
                <w:sz w:val="18"/>
                <w:szCs w:val="18"/>
              </w:rPr>
              <w:footnoteReference w:id="167"/>
            </w:r>
          </w:p>
        </w:tc>
        <w:tc>
          <w:tcPr>
            <w:tcW w:w="91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Min</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10,0</w:t>
            </w:r>
          </w:p>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Max</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50,0</w:t>
            </w:r>
          </w:p>
        </w:tc>
        <w:tc>
          <w:tcPr>
            <w:tcW w:w="579" w:type="dxa"/>
            <w:vAlign w:val="center"/>
          </w:tcPr>
          <w:p w:rsidR="000E184F" w:rsidRPr="008376FC" w:rsidRDefault="003F602A"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w:t>
            </w:r>
            <w:r w:rsidR="000056B2" w:rsidRPr="008376FC">
              <w:rPr>
                <w:rFonts w:asciiTheme="majorHAnsi" w:hAnsiTheme="majorHAnsi" w:cstheme="majorHAnsi"/>
                <w:b w:val="0"/>
                <w:bCs w:val="0"/>
                <w:sz w:val="18"/>
                <w:szCs w:val="18"/>
              </w:rPr>
              <w:t>in</w:t>
            </w:r>
            <w:r>
              <w:rPr>
                <w:rFonts w:asciiTheme="majorHAnsi" w:hAnsiTheme="majorHAnsi" w:cstheme="majorHAnsi"/>
                <w:b w:val="0"/>
                <w:bCs w:val="0"/>
                <w:sz w:val="18"/>
                <w:szCs w:val="18"/>
              </w:rPr>
              <w:t>.</w:t>
            </w:r>
            <w:r w:rsidR="000056B2" w:rsidRPr="008376FC">
              <w:rPr>
                <w:rFonts w:asciiTheme="majorHAnsi" w:hAnsiTheme="majorHAnsi" w:cstheme="majorHAnsi"/>
                <w:b w:val="0"/>
                <w:bCs w:val="0"/>
                <w:sz w:val="18"/>
                <w:szCs w:val="18"/>
              </w:rPr>
              <w:t xml:space="preserve"> 10%</w:t>
            </w:r>
          </w:p>
        </w:tc>
        <w:tc>
          <w:tcPr>
            <w:tcW w:w="1114"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Nu – în cazul în care aceste cheltuieli au fost suportate anterior semnării contractului de finanţare</w:t>
            </w:r>
          </w:p>
        </w:tc>
        <w:tc>
          <w:tcPr>
            <w:tcW w:w="1117" w:type="dxa"/>
            <w:vAlign w:val="center"/>
          </w:tcPr>
          <w:p w:rsidR="000E184F" w:rsidRPr="008376FC" w:rsidRDefault="003F602A"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w:t>
            </w:r>
            <w:r w:rsidR="000056B2" w:rsidRPr="008376FC">
              <w:rPr>
                <w:rFonts w:asciiTheme="majorHAnsi" w:hAnsiTheme="majorHAnsi" w:cstheme="majorHAnsi"/>
                <w:b w:val="0"/>
                <w:bCs w:val="0"/>
                <w:sz w:val="18"/>
                <w:szCs w:val="18"/>
              </w:rPr>
              <w:t>ax</w:t>
            </w:r>
            <w:r>
              <w:rPr>
                <w:rFonts w:asciiTheme="majorHAnsi" w:hAnsiTheme="majorHAnsi" w:cstheme="majorHAnsi"/>
                <w:b w:val="0"/>
                <w:bCs w:val="0"/>
                <w:sz w:val="18"/>
                <w:szCs w:val="18"/>
              </w:rPr>
              <w:t>.</w:t>
            </w:r>
            <w:r w:rsidR="000056B2" w:rsidRPr="008376FC">
              <w:rPr>
                <w:rFonts w:asciiTheme="majorHAnsi" w:hAnsiTheme="majorHAnsi" w:cstheme="majorHAnsi"/>
                <w:b w:val="0"/>
                <w:bCs w:val="0"/>
                <w:sz w:val="18"/>
                <w:szCs w:val="18"/>
              </w:rPr>
              <w:t xml:space="preserve"> 36 luni</w:t>
            </w:r>
          </w:p>
        </w:tc>
        <w:tc>
          <w:tcPr>
            <w:tcW w:w="108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ADR</w:t>
            </w:r>
          </w:p>
        </w:tc>
        <w:tc>
          <w:tcPr>
            <w:tcW w:w="9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10 ani</w:t>
            </w:r>
          </w:p>
        </w:tc>
        <w:tc>
          <w:tcPr>
            <w:tcW w:w="145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HG152/2022 (Anexa nr.2)</w:t>
            </w:r>
          </w:p>
        </w:tc>
      </w:tr>
      <w:tr w:rsidR="000E184F" w:rsidRPr="008376FC" w:rsidTr="0026667F">
        <w:tc>
          <w:tcPr>
            <w:tcW w:w="1132" w:type="dxa"/>
            <w:vAlign w:val="center"/>
          </w:tcPr>
          <w:p w:rsidR="000E184F" w:rsidRPr="008376FC" w:rsidRDefault="000E184F" w:rsidP="0026667F">
            <w:pPr>
              <w:rPr>
                <w:rFonts w:asciiTheme="majorHAnsi" w:hAnsiTheme="majorHAnsi" w:cstheme="majorHAnsi"/>
                <w:sz w:val="18"/>
                <w:szCs w:val="18"/>
              </w:rPr>
            </w:pPr>
            <w:r w:rsidRPr="008376FC">
              <w:rPr>
                <w:rFonts w:asciiTheme="majorHAnsi" w:hAnsiTheme="majorHAnsi" w:cstheme="majorHAnsi"/>
                <w:sz w:val="18"/>
                <w:szCs w:val="18"/>
              </w:rPr>
              <w:t xml:space="preserve">FNDRL </w:t>
            </w:r>
            <w:r w:rsidRPr="008376FC">
              <w:rPr>
                <w:rFonts w:asciiTheme="majorHAnsi" w:hAnsiTheme="majorHAnsi" w:cstheme="majorHAnsi"/>
                <w:i/>
                <w:iCs/>
                <w:sz w:val="18"/>
                <w:szCs w:val="18"/>
              </w:rPr>
              <w:t>componenta locală</w:t>
            </w:r>
          </w:p>
        </w:tc>
        <w:tc>
          <w:tcPr>
            <w:tcW w:w="12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APL niv</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I</w:t>
            </w:r>
            <w:r w:rsidRPr="008376FC">
              <w:rPr>
                <w:rStyle w:val="ab"/>
                <w:rFonts w:cstheme="majorHAnsi"/>
                <w:b w:val="0"/>
                <w:bCs w:val="0"/>
                <w:sz w:val="18"/>
                <w:szCs w:val="18"/>
              </w:rPr>
              <w:footnoteReference w:id="168"/>
            </w:r>
          </w:p>
        </w:tc>
        <w:tc>
          <w:tcPr>
            <w:tcW w:w="91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Max</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10,0</w:t>
            </w:r>
          </w:p>
        </w:tc>
        <w:tc>
          <w:tcPr>
            <w:tcW w:w="579" w:type="dxa"/>
            <w:vAlign w:val="center"/>
          </w:tcPr>
          <w:p w:rsidR="000E184F" w:rsidRPr="008376FC" w:rsidRDefault="003F602A"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w:t>
            </w:r>
            <w:r w:rsidR="000056B2" w:rsidRPr="008376FC">
              <w:rPr>
                <w:rFonts w:asciiTheme="majorHAnsi" w:hAnsiTheme="majorHAnsi" w:cstheme="majorHAnsi"/>
                <w:b w:val="0"/>
                <w:bCs w:val="0"/>
                <w:sz w:val="18"/>
                <w:szCs w:val="18"/>
              </w:rPr>
              <w:t>in</w:t>
            </w:r>
            <w:r>
              <w:rPr>
                <w:rFonts w:asciiTheme="majorHAnsi" w:hAnsiTheme="majorHAnsi" w:cstheme="majorHAnsi"/>
                <w:b w:val="0"/>
                <w:bCs w:val="0"/>
                <w:sz w:val="18"/>
                <w:szCs w:val="18"/>
              </w:rPr>
              <w:t>.</w:t>
            </w:r>
            <w:r w:rsidR="000056B2" w:rsidRPr="008376FC">
              <w:rPr>
                <w:rFonts w:asciiTheme="majorHAnsi" w:hAnsiTheme="majorHAnsi" w:cstheme="majorHAnsi"/>
                <w:b w:val="0"/>
                <w:bCs w:val="0"/>
                <w:sz w:val="18"/>
                <w:szCs w:val="18"/>
              </w:rPr>
              <w:t xml:space="preserve"> 0%</w:t>
            </w:r>
          </w:p>
          <w:p w:rsidR="000E184F" w:rsidRPr="008376FC" w:rsidRDefault="003F602A"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w:t>
            </w:r>
            <w:r w:rsidR="000056B2" w:rsidRPr="008376FC">
              <w:rPr>
                <w:rFonts w:asciiTheme="majorHAnsi" w:hAnsiTheme="majorHAnsi" w:cstheme="majorHAnsi"/>
                <w:b w:val="0"/>
                <w:bCs w:val="0"/>
                <w:sz w:val="18"/>
                <w:szCs w:val="18"/>
              </w:rPr>
              <w:t>ax</w:t>
            </w:r>
            <w:r>
              <w:rPr>
                <w:rFonts w:asciiTheme="majorHAnsi" w:hAnsiTheme="majorHAnsi" w:cstheme="majorHAnsi"/>
                <w:b w:val="0"/>
                <w:bCs w:val="0"/>
                <w:sz w:val="18"/>
                <w:szCs w:val="18"/>
              </w:rPr>
              <w:t>.</w:t>
            </w:r>
            <w:r w:rsidR="000056B2" w:rsidRPr="008376FC">
              <w:rPr>
                <w:rFonts w:asciiTheme="majorHAnsi" w:hAnsiTheme="majorHAnsi" w:cstheme="majorHAnsi"/>
                <w:b w:val="0"/>
                <w:bCs w:val="0"/>
                <w:sz w:val="18"/>
                <w:szCs w:val="18"/>
              </w:rPr>
              <w:t xml:space="preserve"> 15%</w:t>
            </w:r>
          </w:p>
        </w:tc>
        <w:tc>
          <w:tcPr>
            <w:tcW w:w="1114"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Nu</w:t>
            </w:r>
          </w:p>
        </w:tc>
        <w:tc>
          <w:tcPr>
            <w:tcW w:w="1117"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12 luni cu posibilitatea de extindere de 6 luni</w:t>
            </w:r>
          </w:p>
        </w:tc>
        <w:tc>
          <w:tcPr>
            <w:tcW w:w="108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beneficiarul</w:t>
            </w:r>
          </w:p>
        </w:tc>
        <w:tc>
          <w:tcPr>
            <w:tcW w:w="9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3 ani</w:t>
            </w:r>
          </w:p>
        </w:tc>
        <w:tc>
          <w:tcPr>
            <w:tcW w:w="145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HG152/2022</w:t>
            </w:r>
          </w:p>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(Anexa nr.3)</w:t>
            </w:r>
          </w:p>
        </w:tc>
      </w:tr>
      <w:tr w:rsidR="000E184F" w:rsidRPr="008376FC" w:rsidTr="0026667F">
        <w:tc>
          <w:tcPr>
            <w:tcW w:w="1132" w:type="dxa"/>
            <w:vAlign w:val="center"/>
          </w:tcPr>
          <w:p w:rsidR="000E184F" w:rsidRPr="008376FC" w:rsidRDefault="000E184F" w:rsidP="0026667F">
            <w:pPr>
              <w:rPr>
                <w:rFonts w:asciiTheme="majorHAnsi" w:hAnsiTheme="majorHAnsi" w:cstheme="majorHAnsi"/>
                <w:b w:val="0"/>
                <w:bCs w:val="0"/>
                <w:sz w:val="18"/>
                <w:szCs w:val="18"/>
              </w:rPr>
            </w:pPr>
            <w:r w:rsidRPr="008376FC">
              <w:rPr>
                <w:rFonts w:asciiTheme="majorHAnsi" w:hAnsiTheme="majorHAnsi" w:cstheme="majorHAnsi"/>
                <w:sz w:val="18"/>
                <w:szCs w:val="18"/>
              </w:rPr>
              <w:t>FNDAMR</w:t>
            </w:r>
          </w:p>
        </w:tc>
        <w:tc>
          <w:tcPr>
            <w:tcW w:w="12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APL niv</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I cu populaţie de până la 10 mii locuitori (doar pentru expoataţii agricole)</w:t>
            </w:r>
            <w:r w:rsidRPr="008376FC">
              <w:rPr>
                <w:rStyle w:val="ab"/>
                <w:rFonts w:cstheme="majorHAnsi"/>
                <w:b w:val="0"/>
                <w:bCs w:val="0"/>
                <w:sz w:val="18"/>
                <w:szCs w:val="18"/>
              </w:rPr>
              <w:footnoteReference w:id="169"/>
            </w:r>
            <w:r w:rsidRPr="008376FC">
              <w:rPr>
                <w:rFonts w:asciiTheme="majorHAnsi" w:hAnsiTheme="majorHAnsi" w:cstheme="majorHAnsi"/>
                <w:b w:val="0"/>
                <w:bCs w:val="0"/>
                <w:sz w:val="18"/>
                <w:szCs w:val="18"/>
              </w:rPr>
              <w:t xml:space="preserve"> </w:t>
            </w:r>
          </w:p>
        </w:tc>
        <w:tc>
          <w:tcPr>
            <w:tcW w:w="91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Max</w:t>
            </w:r>
            <w:r w:rsidR="003F602A">
              <w:rPr>
                <w:rFonts w:asciiTheme="majorHAnsi" w:hAnsiTheme="majorHAnsi" w:cstheme="majorHAnsi"/>
                <w:b w:val="0"/>
                <w:bCs w:val="0"/>
                <w:sz w:val="18"/>
                <w:szCs w:val="18"/>
              </w:rPr>
              <w:t>.</w:t>
            </w:r>
            <w:r w:rsidRPr="008376FC">
              <w:rPr>
                <w:rFonts w:asciiTheme="majorHAnsi" w:hAnsiTheme="majorHAnsi" w:cstheme="majorHAnsi"/>
                <w:b w:val="0"/>
                <w:bCs w:val="0"/>
                <w:sz w:val="18"/>
                <w:szCs w:val="18"/>
              </w:rPr>
              <w:t xml:space="preserve"> 3,0</w:t>
            </w:r>
          </w:p>
        </w:tc>
        <w:tc>
          <w:tcPr>
            <w:tcW w:w="579" w:type="dxa"/>
            <w:vAlign w:val="center"/>
          </w:tcPr>
          <w:p w:rsidR="000E184F" w:rsidRPr="008376FC" w:rsidRDefault="003F602A"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w:t>
            </w:r>
            <w:r w:rsidR="000056B2" w:rsidRPr="008376FC">
              <w:rPr>
                <w:rFonts w:asciiTheme="majorHAnsi" w:hAnsiTheme="majorHAnsi" w:cstheme="majorHAnsi"/>
                <w:b w:val="0"/>
                <w:bCs w:val="0"/>
                <w:sz w:val="18"/>
                <w:szCs w:val="18"/>
              </w:rPr>
              <w:t>in</w:t>
            </w:r>
            <w:r>
              <w:rPr>
                <w:rFonts w:asciiTheme="majorHAnsi" w:hAnsiTheme="majorHAnsi" w:cstheme="majorHAnsi"/>
                <w:b w:val="0"/>
                <w:bCs w:val="0"/>
                <w:sz w:val="18"/>
                <w:szCs w:val="18"/>
              </w:rPr>
              <w:t>.</w:t>
            </w:r>
            <w:r w:rsidR="000056B2" w:rsidRPr="008376FC">
              <w:rPr>
                <w:rFonts w:asciiTheme="majorHAnsi" w:hAnsiTheme="majorHAnsi" w:cstheme="majorHAnsi"/>
                <w:b w:val="0"/>
                <w:bCs w:val="0"/>
                <w:sz w:val="18"/>
                <w:szCs w:val="18"/>
              </w:rPr>
              <w:t xml:space="preserve"> 20%</w:t>
            </w:r>
          </w:p>
        </w:tc>
        <w:tc>
          <w:tcPr>
            <w:tcW w:w="1114"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Nu</w:t>
            </w:r>
          </w:p>
        </w:tc>
        <w:tc>
          <w:tcPr>
            <w:tcW w:w="1117" w:type="dxa"/>
            <w:vAlign w:val="center"/>
          </w:tcPr>
          <w:p w:rsidR="000E184F" w:rsidRPr="008376FC" w:rsidRDefault="003F602A"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M</w:t>
            </w:r>
            <w:r w:rsidR="000056B2" w:rsidRPr="008376FC">
              <w:rPr>
                <w:rFonts w:asciiTheme="majorHAnsi" w:hAnsiTheme="majorHAnsi" w:cstheme="majorHAnsi"/>
                <w:b w:val="0"/>
                <w:bCs w:val="0"/>
                <w:sz w:val="18"/>
                <w:szCs w:val="18"/>
              </w:rPr>
              <w:t>ax</w:t>
            </w:r>
            <w:r>
              <w:rPr>
                <w:rFonts w:asciiTheme="majorHAnsi" w:hAnsiTheme="majorHAnsi" w:cstheme="majorHAnsi"/>
                <w:b w:val="0"/>
                <w:bCs w:val="0"/>
                <w:sz w:val="18"/>
                <w:szCs w:val="18"/>
              </w:rPr>
              <w:t>.</w:t>
            </w:r>
            <w:r w:rsidR="000056B2" w:rsidRPr="008376FC">
              <w:rPr>
                <w:rFonts w:asciiTheme="majorHAnsi" w:hAnsiTheme="majorHAnsi" w:cstheme="majorHAnsi"/>
                <w:b w:val="0"/>
                <w:bCs w:val="0"/>
                <w:sz w:val="18"/>
                <w:szCs w:val="18"/>
              </w:rPr>
              <w:t xml:space="preserve"> 24 luni</w:t>
            </w:r>
          </w:p>
        </w:tc>
        <w:tc>
          <w:tcPr>
            <w:tcW w:w="108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beneficiarul</w:t>
            </w:r>
          </w:p>
        </w:tc>
        <w:tc>
          <w:tcPr>
            <w:tcW w:w="921"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5 ani</w:t>
            </w:r>
          </w:p>
        </w:tc>
        <w:tc>
          <w:tcPr>
            <w:tcW w:w="1458" w:type="dxa"/>
            <w:vAlign w:val="center"/>
          </w:tcPr>
          <w:p w:rsidR="000E184F" w:rsidRPr="008376FC" w:rsidRDefault="000056B2" w:rsidP="0026667F">
            <w:pPr>
              <w:jc w:val="center"/>
              <w:rPr>
                <w:rFonts w:asciiTheme="majorHAnsi" w:hAnsiTheme="majorHAnsi" w:cstheme="majorHAnsi"/>
                <w:b w:val="0"/>
                <w:bCs w:val="0"/>
                <w:sz w:val="18"/>
                <w:szCs w:val="18"/>
              </w:rPr>
            </w:pPr>
            <w:r w:rsidRPr="008376FC">
              <w:rPr>
                <w:rFonts w:asciiTheme="majorHAnsi" w:hAnsiTheme="majorHAnsi" w:cstheme="majorHAnsi"/>
                <w:b w:val="0"/>
                <w:bCs w:val="0"/>
                <w:sz w:val="18"/>
                <w:szCs w:val="18"/>
              </w:rPr>
              <w:t>HG476/2019</w:t>
            </w:r>
          </w:p>
        </w:tc>
      </w:tr>
    </w:tbl>
    <w:p w:rsidR="000E184F" w:rsidRPr="008376FC" w:rsidRDefault="000E184F" w:rsidP="00F61756">
      <w:pPr>
        <w:spacing w:line="276" w:lineRule="auto"/>
        <w:rPr>
          <w:rFonts w:asciiTheme="majorHAnsi" w:eastAsia="MS Mincho" w:hAnsiTheme="majorHAnsi" w:cstheme="majorHAnsi"/>
          <w:b w:val="0"/>
          <w:bCs w:val="0"/>
          <w:sz w:val="16"/>
          <w:szCs w:val="16"/>
        </w:rPr>
      </w:pPr>
      <w:r w:rsidRPr="008376FC">
        <w:rPr>
          <w:rFonts w:asciiTheme="majorHAnsi" w:eastAsia="MS Mincho" w:hAnsiTheme="majorHAnsi" w:cstheme="majorHAnsi"/>
          <w:sz w:val="16"/>
          <w:szCs w:val="16"/>
        </w:rPr>
        <w:t xml:space="preserve">Sursa: </w:t>
      </w:r>
      <w:r w:rsidR="000056B2" w:rsidRPr="008376FC">
        <w:rPr>
          <w:rFonts w:asciiTheme="majorHAnsi" w:eastAsia="MS Mincho" w:hAnsiTheme="majorHAnsi" w:cstheme="majorHAnsi"/>
          <w:b w:val="0"/>
          <w:bCs w:val="0"/>
          <w:sz w:val="16"/>
          <w:szCs w:val="16"/>
        </w:rPr>
        <w:t>cadrul legislativ-normativ de aprobare a Fondurilor.</w:t>
      </w:r>
    </w:p>
    <w:p w:rsidR="000E184F" w:rsidRDefault="000E184F" w:rsidP="00F61756">
      <w:pPr>
        <w:spacing w:line="276" w:lineRule="auto"/>
        <w:jc w:val="both"/>
        <w:rPr>
          <w:rFonts w:asciiTheme="majorHAnsi" w:eastAsia="MS Mincho" w:hAnsiTheme="majorHAnsi" w:cstheme="majorHAnsi"/>
          <w:b w:val="0"/>
          <w:bCs w:val="0"/>
          <w:sz w:val="16"/>
          <w:szCs w:val="16"/>
        </w:rPr>
      </w:pPr>
      <w:r w:rsidRPr="008376FC">
        <w:rPr>
          <w:rFonts w:asciiTheme="majorHAnsi" w:eastAsia="MS Mincho" w:hAnsiTheme="majorHAnsi" w:cstheme="majorHAnsi"/>
          <w:sz w:val="16"/>
          <w:szCs w:val="16"/>
        </w:rPr>
        <w:t xml:space="preserve">Notă: </w:t>
      </w:r>
      <w:r w:rsidR="000056B2" w:rsidRPr="008376FC">
        <w:rPr>
          <w:rFonts w:asciiTheme="majorHAnsi" w:eastAsia="MS Mincho" w:hAnsiTheme="majorHAnsi" w:cstheme="majorHAnsi"/>
          <w:b w:val="0"/>
          <w:bCs w:val="0"/>
          <w:sz w:val="16"/>
          <w:szCs w:val="16"/>
        </w:rPr>
        <w:t>Pentru 95 proiecte care au fost demarate din mijloacele FEN anterior formării FNDRL/ lansării Programului „Satul European”, care, în urma analizei efectuate pe parcursul anului 2022, au fost menţinute acordurile de finanţare din sursele FEN până la finalizarea integrală a lucrărilor contractate, va fi asigurată alocarea mijloacelor FEN până la finalizarea lucrărilor pentru aceste contracte.</w:t>
      </w:r>
    </w:p>
    <w:p w:rsidR="0026667F" w:rsidRDefault="0026667F" w:rsidP="00F61756">
      <w:pPr>
        <w:spacing w:after="0" w:line="276" w:lineRule="auto"/>
        <w:jc w:val="both"/>
        <w:rPr>
          <w:rFonts w:asciiTheme="majorHAnsi" w:hAnsiTheme="majorHAnsi" w:cstheme="majorHAnsi"/>
          <w:color w:val="0070C0"/>
          <w:sz w:val="24"/>
          <w:szCs w:val="24"/>
        </w:rPr>
      </w:pPr>
    </w:p>
    <w:p w:rsidR="000E184F" w:rsidRPr="008376FC" w:rsidRDefault="000E184F" w:rsidP="00F61756">
      <w:pPr>
        <w:spacing w:after="0" w:line="276" w:lineRule="auto"/>
        <w:jc w:val="both"/>
        <w:rPr>
          <w:lang w:val="en-US"/>
        </w:rPr>
      </w:pPr>
      <w:r w:rsidRPr="00EC1A68">
        <w:rPr>
          <w:rFonts w:asciiTheme="majorHAnsi" w:hAnsiTheme="majorHAnsi" w:cstheme="majorHAnsi"/>
          <w:color w:val="0070C0"/>
          <w:sz w:val="24"/>
          <w:szCs w:val="24"/>
        </w:rPr>
        <w:t>Anexa nr. 17 Lista laboratoarelor acreditate de către MOLDAC care fac analiza apelor și Lista laboratoarelor atestate de către MOLDAC care fac analiza apelor</w:t>
      </w:r>
    </w:p>
    <w:tbl>
      <w:tblPr>
        <w:tblStyle w:val="af2"/>
        <w:tblW w:w="9833" w:type="dxa"/>
        <w:tblLook w:val="04A0" w:firstRow="1" w:lastRow="0" w:firstColumn="1" w:lastColumn="0" w:noHBand="0" w:noVBand="1"/>
      </w:tblPr>
      <w:tblGrid>
        <w:gridCol w:w="722"/>
        <w:gridCol w:w="5576"/>
        <w:gridCol w:w="2091"/>
        <w:gridCol w:w="1444"/>
      </w:tblGrid>
      <w:tr w:rsidR="000E184F" w:rsidRPr="00312935" w:rsidTr="00312935">
        <w:trPr>
          <w:trHeight w:val="183"/>
        </w:trPr>
        <w:tc>
          <w:tcPr>
            <w:tcW w:w="722" w:type="dxa"/>
            <w:shd w:val="clear" w:color="auto" w:fill="BDD6EE" w:themeFill="accent1" w:themeFillTint="66"/>
          </w:tcPr>
          <w:p w:rsidR="000E184F" w:rsidRPr="00312935" w:rsidRDefault="000E184F" w:rsidP="007A2F36">
            <w:pPr>
              <w:jc w:val="center"/>
              <w:rPr>
                <w:rFonts w:asciiTheme="majorHAnsi" w:hAnsiTheme="majorHAnsi" w:cstheme="majorHAnsi"/>
                <w:b w:val="0"/>
                <w:bCs w:val="0"/>
                <w:sz w:val="20"/>
                <w:szCs w:val="20"/>
              </w:rPr>
            </w:pPr>
            <w:r w:rsidRPr="00312935">
              <w:rPr>
                <w:rFonts w:asciiTheme="majorHAnsi" w:hAnsiTheme="majorHAnsi" w:cstheme="majorHAnsi"/>
                <w:sz w:val="20"/>
                <w:szCs w:val="20"/>
              </w:rPr>
              <w:t>Nr</w:t>
            </w:r>
          </w:p>
          <w:p w:rsidR="000E184F" w:rsidRPr="00312935" w:rsidRDefault="003F602A" w:rsidP="007A2F36">
            <w:pPr>
              <w:jc w:val="center"/>
              <w:rPr>
                <w:rFonts w:asciiTheme="majorHAnsi" w:hAnsiTheme="majorHAnsi" w:cstheme="majorHAnsi"/>
                <w:b w:val="0"/>
                <w:bCs w:val="0"/>
                <w:sz w:val="20"/>
                <w:szCs w:val="20"/>
              </w:rPr>
            </w:pPr>
            <w:r w:rsidRPr="00312935">
              <w:rPr>
                <w:rFonts w:asciiTheme="majorHAnsi" w:hAnsiTheme="majorHAnsi" w:cstheme="majorHAnsi"/>
                <w:sz w:val="20"/>
                <w:szCs w:val="20"/>
              </w:rPr>
              <w:t>crt.</w:t>
            </w:r>
          </w:p>
        </w:tc>
        <w:tc>
          <w:tcPr>
            <w:tcW w:w="5576" w:type="dxa"/>
            <w:shd w:val="clear" w:color="auto" w:fill="BDD6EE" w:themeFill="accent1" w:themeFillTint="66"/>
          </w:tcPr>
          <w:p w:rsidR="000E184F" w:rsidRPr="00312935" w:rsidRDefault="000E184F" w:rsidP="007A2F36">
            <w:pPr>
              <w:jc w:val="center"/>
              <w:rPr>
                <w:rFonts w:asciiTheme="majorHAnsi" w:hAnsiTheme="majorHAnsi" w:cstheme="majorHAnsi"/>
                <w:b w:val="0"/>
                <w:bCs w:val="0"/>
                <w:sz w:val="20"/>
                <w:szCs w:val="20"/>
              </w:rPr>
            </w:pPr>
            <w:r w:rsidRPr="00312935">
              <w:rPr>
                <w:rFonts w:asciiTheme="majorHAnsi" w:hAnsiTheme="majorHAnsi" w:cstheme="majorHAnsi"/>
                <w:sz w:val="20"/>
                <w:szCs w:val="20"/>
              </w:rPr>
              <w:t>Denumirea laboratorului acreditat și datele de contact / conducătorul</w:t>
            </w:r>
          </w:p>
        </w:tc>
        <w:tc>
          <w:tcPr>
            <w:tcW w:w="2091" w:type="dxa"/>
            <w:shd w:val="clear" w:color="auto" w:fill="BDD6EE" w:themeFill="accent1" w:themeFillTint="66"/>
          </w:tcPr>
          <w:p w:rsidR="000E184F" w:rsidRPr="00312935" w:rsidRDefault="000E184F" w:rsidP="007A2F36">
            <w:pPr>
              <w:jc w:val="center"/>
              <w:rPr>
                <w:rFonts w:asciiTheme="majorHAnsi" w:hAnsiTheme="majorHAnsi" w:cstheme="majorHAnsi"/>
                <w:b w:val="0"/>
                <w:bCs w:val="0"/>
                <w:sz w:val="20"/>
                <w:szCs w:val="20"/>
              </w:rPr>
            </w:pPr>
            <w:r w:rsidRPr="00312935">
              <w:rPr>
                <w:rFonts w:asciiTheme="majorHAnsi" w:hAnsiTheme="majorHAnsi" w:cstheme="majorHAnsi"/>
                <w:sz w:val="20"/>
                <w:szCs w:val="20"/>
              </w:rPr>
              <w:t>Data emiterii certificatului de acreditare</w:t>
            </w:r>
          </w:p>
        </w:tc>
        <w:tc>
          <w:tcPr>
            <w:tcW w:w="1443" w:type="dxa"/>
            <w:shd w:val="clear" w:color="auto" w:fill="BDD6EE" w:themeFill="accent1" w:themeFillTint="66"/>
          </w:tcPr>
          <w:p w:rsidR="000E184F" w:rsidRPr="00312935" w:rsidRDefault="000E184F" w:rsidP="007A2F36">
            <w:pPr>
              <w:jc w:val="center"/>
              <w:rPr>
                <w:rFonts w:asciiTheme="majorHAnsi" w:hAnsiTheme="majorHAnsi" w:cstheme="majorHAnsi"/>
                <w:b w:val="0"/>
                <w:bCs w:val="0"/>
                <w:sz w:val="20"/>
                <w:szCs w:val="20"/>
              </w:rPr>
            </w:pPr>
            <w:r w:rsidRPr="00312935">
              <w:rPr>
                <w:rFonts w:asciiTheme="majorHAnsi" w:hAnsiTheme="majorHAnsi" w:cstheme="majorHAnsi"/>
                <w:sz w:val="20"/>
                <w:szCs w:val="20"/>
              </w:rPr>
              <w:t>Data expirării certificatului de acreditare</w:t>
            </w:r>
          </w:p>
        </w:tc>
      </w:tr>
      <w:tr w:rsidR="00EE587B" w:rsidRPr="00312935" w:rsidTr="00312935">
        <w:trPr>
          <w:trHeight w:val="183"/>
        </w:trPr>
        <w:tc>
          <w:tcPr>
            <w:tcW w:w="9833" w:type="dxa"/>
            <w:gridSpan w:val="4"/>
            <w:shd w:val="clear" w:color="auto" w:fill="BDD6EE" w:themeFill="accent1" w:themeFillTint="66"/>
          </w:tcPr>
          <w:p w:rsidR="00EE587B" w:rsidRPr="00312935" w:rsidRDefault="00EE587B" w:rsidP="007A2F36">
            <w:pPr>
              <w:pStyle w:val="a3"/>
              <w:numPr>
                <w:ilvl w:val="0"/>
                <w:numId w:val="76"/>
              </w:numPr>
              <w:ind w:left="0"/>
              <w:jc w:val="center"/>
              <w:rPr>
                <w:rFonts w:asciiTheme="majorHAnsi" w:hAnsiTheme="majorHAnsi" w:cstheme="majorHAnsi"/>
                <w:b/>
                <w:sz w:val="20"/>
                <w:szCs w:val="20"/>
                <w:lang w:val="en-US"/>
              </w:rPr>
            </w:pPr>
            <w:r w:rsidRPr="00312935">
              <w:rPr>
                <w:rFonts w:asciiTheme="majorHAnsi" w:hAnsiTheme="majorHAnsi" w:cstheme="majorHAnsi"/>
                <w:b/>
                <w:sz w:val="20"/>
                <w:szCs w:val="20"/>
                <w:lang w:val="en-US"/>
              </w:rPr>
              <w:t xml:space="preserve">Lista actuală a laboratoarelor acreditate de către MOLDAC care fac analiza apelor </w:t>
            </w:r>
          </w:p>
        </w:tc>
      </w:tr>
      <w:tr w:rsidR="00EE587B" w:rsidRPr="00312935" w:rsidTr="00312935">
        <w:trPr>
          <w:trHeight w:val="183"/>
        </w:trPr>
        <w:tc>
          <w:tcPr>
            <w:tcW w:w="722" w:type="dxa"/>
          </w:tcPr>
          <w:p w:rsidR="00EE587B" w:rsidRPr="00312935" w:rsidRDefault="00EE587B" w:rsidP="007A2F36">
            <w:pPr>
              <w:pStyle w:val="a3"/>
              <w:ind w:left="0"/>
              <w:rPr>
                <w:rFonts w:asciiTheme="majorHAnsi" w:hAnsiTheme="majorHAnsi" w:cstheme="majorHAnsi"/>
                <w:b/>
                <w:bCs/>
                <w:sz w:val="20"/>
                <w:szCs w:val="20"/>
              </w:rPr>
            </w:pPr>
            <w:r w:rsidRPr="00312935">
              <w:rPr>
                <w:rFonts w:asciiTheme="majorHAnsi" w:hAnsiTheme="majorHAnsi" w:cstheme="majorHAnsi"/>
                <w:b/>
                <w:bCs/>
                <w:sz w:val="20"/>
                <w:szCs w:val="20"/>
              </w:rPr>
              <w:t>1</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 xml:space="preserve">Laboratorul central ape uzate din cadrul S.A „Apă – Canal Chișinău” </w:t>
            </w:r>
          </w:p>
          <w:p w:rsidR="00EE587B" w:rsidRPr="00312935" w:rsidRDefault="00EE587B" w:rsidP="007A2F36">
            <w:pPr>
              <w:rPr>
                <w:rFonts w:asciiTheme="majorHAnsi" w:hAnsiTheme="majorHAnsi" w:cstheme="majorHAnsi"/>
                <w:b w:val="0"/>
                <w:sz w:val="20"/>
                <w:szCs w:val="20"/>
              </w:rPr>
            </w:pP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inițială: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02.06.2003</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curentă: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13.05.2022</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12.05.2026</w:t>
            </w:r>
          </w:p>
        </w:tc>
      </w:tr>
      <w:tr w:rsidR="00EE587B" w:rsidRPr="00312935" w:rsidTr="00312935">
        <w:trPr>
          <w:trHeight w:val="183"/>
        </w:trPr>
        <w:tc>
          <w:tcPr>
            <w:tcW w:w="722" w:type="dxa"/>
          </w:tcPr>
          <w:p w:rsidR="00EE587B" w:rsidRPr="00312935" w:rsidRDefault="00EE587B" w:rsidP="007A2F36">
            <w:pPr>
              <w:pStyle w:val="a3"/>
              <w:ind w:left="0"/>
              <w:rPr>
                <w:rFonts w:asciiTheme="majorHAnsi" w:hAnsiTheme="majorHAnsi" w:cstheme="majorHAnsi"/>
                <w:b/>
                <w:bCs/>
                <w:sz w:val="20"/>
                <w:szCs w:val="20"/>
              </w:rPr>
            </w:pPr>
            <w:r w:rsidRPr="00312935">
              <w:rPr>
                <w:rFonts w:asciiTheme="majorHAnsi" w:hAnsiTheme="majorHAnsi" w:cstheme="majorHAnsi"/>
                <w:b/>
                <w:bCs/>
                <w:sz w:val="20"/>
                <w:szCs w:val="20"/>
              </w:rPr>
              <w:t>2</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Laboratorul central apă potabilă al S.A „Apă – Canal Chișinău”</w:t>
            </w:r>
          </w:p>
          <w:p w:rsidR="00EE587B" w:rsidRPr="00312935" w:rsidRDefault="00EE587B" w:rsidP="007A2F36">
            <w:pPr>
              <w:rPr>
                <w:rFonts w:asciiTheme="majorHAnsi" w:hAnsiTheme="majorHAnsi" w:cstheme="majorHAnsi"/>
                <w:b w:val="0"/>
                <w:sz w:val="20"/>
                <w:szCs w:val="20"/>
              </w:rPr>
            </w:pP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inițială: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06.05.2011</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curentă: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29.04.2019</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28.04.2023</w:t>
            </w:r>
          </w:p>
        </w:tc>
      </w:tr>
      <w:tr w:rsidR="00EE587B" w:rsidRPr="00312935" w:rsidTr="00312935">
        <w:trPr>
          <w:trHeight w:val="183"/>
        </w:trPr>
        <w:tc>
          <w:tcPr>
            <w:tcW w:w="722" w:type="dxa"/>
          </w:tcPr>
          <w:p w:rsidR="00EE587B" w:rsidRPr="00312935" w:rsidRDefault="00EE587B" w:rsidP="007A2F36">
            <w:pPr>
              <w:pStyle w:val="a3"/>
              <w:ind w:left="0"/>
              <w:rPr>
                <w:rFonts w:asciiTheme="majorHAnsi" w:hAnsiTheme="majorHAnsi" w:cstheme="majorHAnsi"/>
                <w:b/>
                <w:bCs/>
                <w:sz w:val="20"/>
                <w:szCs w:val="20"/>
              </w:rPr>
            </w:pPr>
            <w:r w:rsidRPr="00312935">
              <w:rPr>
                <w:rFonts w:asciiTheme="majorHAnsi" w:hAnsiTheme="majorHAnsi" w:cstheme="majorHAnsi"/>
                <w:b/>
                <w:bCs/>
                <w:sz w:val="20"/>
                <w:szCs w:val="20"/>
              </w:rPr>
              <w:t>3</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Laboratorul ape uzate S.A „Apă – Canal Chișinău”</w:t>
            </w:r>
          </w:p>
          <w:p w:rsidR="00EE587B" w:rsidRPr="00312935" w:rsidRDefault="00EE587B" w:rsidP="007A2F36">
            <w:pPr>
              <w:rPr>
                <w:rFonts w:asciiTheme="majorHAnsi" w:hAnsiTheme="majorHAnsi" w:cstheme="majorHAnsi"/>
                <w:b w:val="0"/>
                <w:sz w:val="20"/>
                <w:szCs w:val="20"/>
              </w:rPr>
            </w:pP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inițială: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06.07.2000</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curentă: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04.08.2019</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03.08.2023</w:t>
            </w:r>
          </w:p>
        </w:tc>
      </w:tr>
      <w:tr w:rsidR="00EE587B" w:rsidRPr="00312935" w:rsidTr="00312935">
        <w:trPr>
          <w:trHeight w:val="183"/>
        </w:trPr>
        <w:tc>
          <w:tcPr>
            <w:tcW w:w="722" w:type="dxa"/>
          </w:tcPr>
          <w:p w:rsidR="00EE587B" w:rsidRPr="00312935" w:rsidRDefault="00EE587B" w:rsidP="007A2F36">
            <w:pPr>
              <w:pStyle w:val="a3"/>
              <w:ind w:left="0"/>
              <w:rPr>
                <w:rFonts w:asciiTheme="majorHAnsi" w:hAnsiTheme="majorHAnsi" w:cstheme="majorHAnsi"/>
                <w:b/>
                <w:bCs/>
                <w:sz w:val="20"/>
                <w:szCs w:val="20"/>
              </w:rPr>
            </w:pPr>
            <w:r w:rsidRPr="00312935">
              <w:rPr>
                <w:rFonts w:asciiTheme="majorHAnsi" w:hAnsiTheme="majorHAnsi" w:cstheme="majorHAnsi"/>
                <w:b/>
                <w:bCs/>
                <w:sz w:val="20"/>
                <w:szCs w:val="20"/>
              </w:rPr>
              <w:t>4</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Laboratorul Controlul Calității din cadrul S.R.L „Rusnac MoldAqua”</w:t>
            </w:r>
          </w:p>
          <w:p w:rsidR="00EE587B" w:rsidRPr="00312935" w:rsidRDefault="00EE587B" w:rsidP="007A2F36">
            <w:pPr>
              <w:rPr>
                <w:rFonts w:asciiTheme="majorHAnsi" w:hAnsiTheme="majorHAnsi" w:cstheme="majorHAnsi"/>
                <w:b w:val="0"/>
                <w:sz w:val="20"/>
                <w:szCs w:val="20"/>
              </w:rPr>
            </w:pP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inițială: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22.02.2008</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curentă: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09.06.2019</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08.06.2023</w:t>
            </w:r>
          </w:p>
        </w:tc>
      </w:tr>
      <w:tr w:rsidR="00EE587B" w:rsidRPr="00312935" w:rsidTr="00312935">
        <w:trPr>
          <w:trHeight w:val="183"/>
        </w:trPr>
        <w:tc>
          <w:tcPr>
            <w:tcW w:w="722" w:type="dxa"/>
          </w:tcPr>
          <w:p w:rsidR="00EE587B" w:rsidRPr="00312935" w:rsidRDefault="00EE587B" w:rsidP="007A2F36">
            <w:pPr>
              <w:pStyle w:val="a3"/>
              <w:ind w:left="0"/>
              <w:rPr>
                <w:rFonts w:asciiTheme="majorHAnsi" w:hAnsiTheme="majorHAnsi" w:cstheme="majorHAnsi"/>
                <w:b/>
                <w:bCs/>
                <w:sz w:val="20"/>
                <w:szCs w:val="20"/>
              </w:rPr>
            </w:pPr>
            <w:r w:rsidRPr="00312935">
              <w:rPr>
                <w:rFonts w:asciiTheme="majorHAnsi" w:hAnsiTheme="majorHAnsi" w:cstheme="majorHAnsi"/>
                <w:b/>
                <w:bCs/>
                <w:sz w:val="20"/>
                <w:szCs w:val="20"/>
              </w:rPr>
              <w:t>5</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Laboratorul Chimia Apei „ILAS” din cadrul Î.P Institutul de Chimie</w:t>
            </w:r>
          </w:p>
          <w:p w:rsidR="00EE587B" w:rsidRPr="00312935" w:rsidRDefault="00EE587B" w:rsidP="007A2F36">
            <w:pPr>
              <w:rPr>
                <w:rFonts w:asciiTheme="majorHAnsi" w:hAnsiTheme="majorHAnsi" w:cstheme="majorHAnsi"/>
                <w:b w:val="0"/>
                <w:sz w:val="20"/>
                <w:szCs w:val="20"/>
              </w:rPr>
            </w:pP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inițială: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11.07.1994</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curentă: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18.02.2019</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17.02.2023</w:t>
            </w:r>
          </w:p>
        </w:tc>
      </w:tr>
      <w:tr w:rsidR="00EE587B" w:rsidRPr="00312935" w:rsidTr="00312935">
        <w:trPr>
          <w:trHeight w:val="183"/>
        </w:trPr>
        <w:tc>
          <w:tcPr>
            <w:tcW w:w="722" w:type="dxa"/>
          </w:tcPr>
          <w:p w:rsidR="00EE587B" w:rsidRPr="00312935" w:rsidRDefault="00EE587B" w:rsidP="007A2F36">
            <w:pPr>
              <w:pStyle w:val="a3"/>
              <w:ind w:left="0"/>
              <w:rPr>
                <w:rFonts w:asciiTheme="majorHAnsi" w:hAnsiTheme="majorHAnsi" w:cstheme="majorHAnsi"/>
                <w:b/>
                <w:bCs/>
                <w:sz w:val="20"/>
                <w:szCs w:val="20"/>
              </w:rPr>
            </w:pPr>
            <w:r w:rsidRPr="00312935">
              <w:rPr>
                <w:rFonts w:asciiTheme="majorHAnsi" w:hAnsiTheme="majorHAnsi" w:cstheme="majorHAnsi"/>
                <w:b/>
                <w:bCs/>
                <w:sz w:val="20"/>
                <w:szCs w:val="20"/>
              </w:rPr>
              <w:t>6</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LÎ produse agroalimentare al Î.S „Centrul de Metrologie Aplicată și Certificare”, mun. Chişinău</w:t>
            </w:r>
          </w:p>
          <w:p w:rsidR="00EE587B" w:rsidRPr="00312935" w:rsidRDefault="00EE587B" w:rsidP="007A2F36">
            <w:pPr>
              <w:rPr>
                <w:rFonts w:asciiTheme="majorHAnsi" w:hAnsiTheme="majorHAnsi" w:cstheme="majorHAnsi"/>
                <w:b w:val="0"/>
                <w:sz w:val="20"/>
                <w:szCs w:val="20"/>
              </w:rPr>
            </w:pP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inițială: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28.07.1993</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curentă: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04.12.2020</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03.09.2024</w:t>
            </w:r>
          </w:p>
        </w:tc>
      </w:tr>
      <w:tr w:rsidR="00EE587B" w:rsidRPr="00312935" w:rsidTr="00312935">
        <w:trPr>
          <w:trHeight w:val="183"/>
        </w:trPr>
        <w:tc>
          <w:tcPr>
            <w:tcW w:w="722" w:type="dxa"/>
          </w:tcPr>
          <w:p w:rsidR="00EE587B" w:rsidRPr="00312935" w:rsidRDefault="00EE587B" w:rsidP="007A2F36">
            <w:pPr>
              <w:pStyle w:val="a3"/>
              <w:ind w:left="0"/>
              <w:rPr>
                <w:rFonts w:asciiTheme="majorHAnsi" w:hAnsiTheme="majorHAnsi" w:cstheme="majorHAnsi"/>
                <w:b/>
                <w:bCs/>
                <w:sz w:val="20"/>
                <w:szCs w:val="20"/>
              </w:rPr>
            </w:pPr>
            <w:r w:rsidRPr="00312935">
              <w:rPr>
                <w:rFonts w:asciiTheme="majorHAnsi" w:hAnsiTheme="majorHAnsi" w:cstheme="majorHAnsi"/>
                <w:b/>
                <w:bCs/>
                <w:sz w:val="20"/>
                <w:szCs w:val="20"/>
              </w:rPr>
              <w:t>7</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Laboratorul de Încercări al Secției diagnostic de laborator din cadrul CSP mun.Chișinău al ANSP</w:t>
            </w:r>
          </w:p>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mun. Chișinău</w:t>
            </w:r>
          </w:p>
          <w:p w:rsidR="00EE587B" w:rsidRPr="00312935" w:rsidRDefault="00EE587B" w:rsidP="007A2F36">
            <w:pPr>
              <w:rPr>
                <w:rFonts w:asciiTheme="majorHAnsi" w:hAnsiTheme="majorHAnsi" w:cstheme="majorHAnsi"/>
                <w:b w:val="0"/>
                <w:sz w:val="20"/>
                <w:szCs w:val="20"/>
              </w:rPr>
            </w:pP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inițială: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15.01.2020</w:t>
            </w:r>
          </w:p>
          <w:p w:rsidR="00EE587B" w:rsidRPr="00312935" w:rsidRDefault="00EE587B" w:rsidP="007A2F36">
            <w:pPr>
              <w:jc w:val="center"/>
              <w:rPr>
                <w:rFonts w:asciiTheme="majorHAnsi" w:hAnsiTheme="majorHAnsi" w:cstheme="majorHAnsi"/>
                <w:b w:val="0"/>
                <w:bCs w:val="0"/>
                <w:sz w:val="20"/>
                <w:szCs w:val="20"/>
              </w:rPr>
            </w:pPr>
          </w:p>
          <w:p w:rsidR="00EE587B" w:rsidRPr="00312935" w:rsidRDefault="00EE587B" w:rsidP="007A2F36">
            <w:pPr>
              <w:jc w:val="center"/>
              <w:rPr>
                <w:rFonts w:asciiTheme="majorHAnsi" w:hAnsiTheme="majorHAnsi" w:cstheme="majorHAnsi"/>
                <w:b w:val="0"/>
                <w:bCs w:val="0"/>
                <w:sz w:val="20"/>
                <w:szCs w:val="20"/>
              </w:rPr>
            </w:pP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14.01.2024</w:t>
            </w:r>
          </w:p>
        </w:tc>
      </w:tr>
      <w:tr w:rsidR="00EE587B" w:rsidRPr="00312935" w:rsidTr="00312935">
        <w:trPr>
          <w:trHeight w:val="183"/>
        </w:trPr>
        <w:tc>
          <w:tcPr>
            <w:tcW w:w="722" w:type="dxa"/>
          </w:tcPr>
          <w:p w:rsidR="00EE587B" w:rsidRPr="00312935" w:rsidRDefault="00EE587B" w:rsidP="007A2F36">
            <w:pPr>
              <w:pStyle w:val="a3"/>
              <w:ind w:left="0"/>
              <w:rPr>
                <w:rFonts w:asciiTheme="majorHAnsi" w:hAnsiTheme="majorHAnsi" w:cstheme="majorHAnsi"/>
                <w:b/>
                <w:bCs/>
                <w:sz w:val="20"/>
                <w:szCs w:val="20"/>
              </w:rPr>
            </w:pPr>
            <w:r w:rsidRPr="00312935">
              <w:rPr>
                <w:rFonts w:asciiTheme="majorHAnsi" w:hAnsiTheme="majorHAnsi" w:cstheme="majorHAnsi"/>
                <w:b/>
                <w:bCs/>
                <w:sz w:val="20"/>
                <w:szCs w:val="20"/>
              </w:rPr>
              <w:t>8</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Laboratorul de Încercări din cadrul S.R.L „LABORATORUL INVESTIGAȚII DE MEDIU”</w:t>
            </w:r>
          </w:p>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mun. Chișinău</w:t>
            </w: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inițială: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22.12.2020</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21.12.2024</w:t>
            </w:r>
          </w:p>
        </w:tc>
      </w:tr>
      <w:tr w:rsidR="00EE587B" w:rsidRPr="00312935" w:rsidTr="00312935">
        <w:trPr>
          <w:trHeight w:val="183"/>
        </w:trPr>
        <w:tc>
          <w:tcPr>
            <w:tcW w:w="722" w:type="dxa"/>
          </w:tcPr>
          <w:p w:rsidR="00EE587B" w:rsidRPr="00312935" w:rsidRDefault="00EE587B" w:rsidP="007A2F36">
            <w:pPr>
              <w:pStyle w:val="a3"/>
              <w:ind w:left="0"/>
              <w:rPr>
                <w:rFonts w:asciiTheme="majorHAnsi" w:hAnsiTheme="majorHAnsi" w:cstheme="majorHAnsi"/>
                <w:b/>
                <w:bCs/>
                <w:sz w:val="20"/>
                <w:szCs w:val="20"/>
              </w:rPr>
            </w:pPr>
            <w:r w:rsidRPr="00312935">
              <w:rPr>
                <w:rFonts w:asciiTheme="majorHAnsi" w:hAnsiTheme="majorHAnsi" w:cstheme="majorHAnsi"/>
                <w:b/>
                <w:bCs/>
                <w:sz w:val="20"/>
                <w:szCs w:val="20"/>
              </w:rPr>
              <w:t>9</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Laboratorul de Referință de Mediu din cadrul Agenției de Mediu</w:t>
            </w:r>
          </w:p>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mun. Chișinău</w:t>
            </w:r>
          </w:p>
          <w:p w:rsidR="00EE587B" w:rsidRPr="00312935" w:rsidRDefault="00EE587B" w:rsidP="007A2F36">
            <w:pPr>
              <w:rPr>
                <w:rFonts w:asciiTheme="majorHAnsi" w:hAnsiTheme="majorHAnsi" w:cstheme="majorHAnsi"/>
                <w:b w:val="0"/>
                <w:sz w:val="20"/>
                <w:szCs w:val="20"/>
              </w:rPr>
            </w:pP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inițială: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18.03.2021</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17.03.2025</w:t>
            </w:r>
          </w:p>
        </w:tc>
      </w:tr>
      <w:tr w:rsidR="00EE587B" w:rsidRPr="00312935" w:rsidTr="00312935">
        <w:trPr>
          <w:trHeight w:val="1245"/>
        </w:trPr>
        <w:tc>
          <w:tcPr>
            <w:tcW w:w="722" w:type="dxa"/>
          </w:tcPr>
          <w:p w:rsidR="00EE587B" w:rsidRPr="00312935" w:rsidRDefault="00EE587B" w:rsidP="007A2F36">
            <w:pPr>
              <w:pStyle w:val="a3"/>
              <w:ind w:left="0"/>
              <w:rPr>
                <w:rFonts w:asciiTheme="majorHAnsi" w:hAnsiTheme="majorHAnsi" w:cstheme="majorHAnsi"/>
                <w:b/>
                <w:bCs/>
                <w:sz w:val="20"/>
                <w:szCs w:val="20"/>
              </w:rPr>
            </w:pPr>
            <w:r w:rsidRPr="00312935">
              <w:rPr>
                <w:rFonts w:asciiTheme="majorHAnsi" w:hAnsiTheme="majorHAnsi" w:cstheme="majorHAnsi"/>
                <w:b/>
                <w:bCs/>
                <w:sz w:val="20"/>
                <w:szCs w:val="20"/>
              </w:rPr>
              <w:t>10</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LÎ din cadrul I.P „Centrul Republican de Diagnostic Veterinar” (CRDV), mun. Chişinău; or. Dondușeni; or. Drochia</w:t>
            </w: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inițială: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06.06.1995</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curentă: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26.01.2022</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30.10.2025</w:t>
            </w:r>
          </w:p>
        </w:tc>
      </w:tr>
      <w:tr w:rsidR="00EE587B" w:rsidRPr="00312935" w:rsidTr="00312935">
        <w:trPr>
          <w:trHeight w:val="781"/>
        </w:trPr>
        <w:tc>
          <w:tcPr>
            <w:tcW w:w="722" w:type="dxa"/>
          </w:tcPr>
          <w:p w:rsidR="00EE587B" w:rsidRPr="00312935" w:rsidRDefault="00EE587B" w:rsidP="007A2F36">
            <w:pPr>
              <w:pStyle w:val="a3"/>
              <w:ind w:left="0"/>
              <w:rPr>
                <w:rFonts w:asciiTheme="majorHAnsi" w:hAnsiTheme="majorHAnsi" w:cstheme="majorHAnsi"/>
                <w:b/>
                <w:bCs/>
                <w:sz w:val="20"/>
                <w:szCs w:val="20"/>
              </w:rPr>
            </w:pPr>
            <w:r w:rsidRPr="00312935">
              <w:rPr>
                <w:rFonts w:asciiTheme="majorHAnsi" w:hAnsiTheme="majorHAnsi" w:cstheme="majorHAnsi"/>
                <w:b/>
                <w:bCs/>
                <w:sz w:val="20"/>
                <w:szCs w:val="20"/>
              </w:rPr>
              <w:t>11</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 xml:space="preserve">Centrul de încercări de laborator al Agenției Naționale pentru Sănătate Publică, mun. Chişinău </w:t>
            </w: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inițială: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16.08.1999</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Acreditare curentă: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17.02.2022</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16.02.2026</w:t>
            </w:r>
          </w:p>
        </w:tc>
      </w:tr>
      <w:tr w:rsidR="00EE587B" w:rsidRPr="00312935" w:rsidTr="00312935">
        <w:trPr>
          <w:trHeight w:val="308"/>
        </w:trPr>
        <w:tc>
          <w:tcPr>
            <w:tcW w:w="9833" w:type="dxa"/>
            <w:gridSpan w:val="4"/>
            <w:shd w:val="clear" w:color="auto" w:fill="DEEAF6" w:themeFill="accent1" w:themeFillTint="33"/>
          </w:tcPr>
          <w:p w:rsidR="00EE587B" w:rsidRPr="00312935" w:rsidRDefault="00EE587B" w:rsidP="007A2F36">
            <w:pPr>
              <w:pStyle w:val="a3"/>
              <w:ind w:left="0"/>
              <w:jc w:val="center"/>
              <w:rPr>
                <w:rFonts w:asciiTheme="majorHAnsi" w:hAnsiTheme="majorHAnsi" w:cstheme="majorHAnsi"/>
                <w:b/>
                <w:bCs/>
                <w:sz w:val="20"/>
                <w:szCs w:val="20"/>
                <w:lang w:val="en-US"/>
              </w:rPr>
            </w:pPr>
            <w:r w:rsidRPr="00312935">
              <w:rPr>
                <w:rFonts w:asciiTheme="majorHAnsi" w:hAnsiTheme="majorHAnsi" w:cstheme="majorHAnsi"/>
                <w:b/>
                <w:bCs/>
                <w:sz w:val="20"/>
                <w:szCs w:val="20"/>
                <w:lang w:val="en-US"/>
              </w:rPr>
              <w:t>B. Lista actuală a laboratoarelor atestate de către MOLDAC care fac analiza apelor</w:t>
            </w:r>
          </w:p>
        </w:tc>
      </w:tr>
      <w:tr w:rsidR="00EE587B" w:rsidRPr="00312935" w:rsidTr="00312935">
        <w:trPr>
          <w:trHeight w:val="734"/>
        </w:trPr>
        <w:tc>
          <w:tcPr>
            <w:tcW w:w="722" w:type="dxa"/>
          </w:tcPr>
          <w:p w:rsidR="00EE587B" w:rsidRPr="00312935" w:rsidRDefault="00EE587B" w:rsidP="007A2F36">
            <w:pPr>
              <w:pStyle w:val="a3"/>
              <w:ind w:left="0"/>
              <w:rPr>
                <w:rFonts w:asciiTheme="majorHAnsi" w:hAnsiTheme="majorHAnsi" w:cstheme="majorHAnsi"/>
                <w:b/>
                <w:bCs/>
                <w:sz w:val="20"/>
                <w:szCs w:val="20"/>
                <w:lang w:val="en-US"/>
              </w:rPr>
            </w:pPr>
            <w:r w:rsidRPr="00312935">
              <w:rPr>
                <w:rFonts w:asciiTheme="majorHAnsi" w:hAnsiTheme="majorHAnsi" w:cstheme="majorHAnsi"/>
                <w:b/>
                <w:bCs/>
                <w:sz w:val="20"/>
                <w:szCs w:val="20"/>
                <w:lang w:val="en-US"/>
              </w:rPr>
              <w:t>1</w:t>
            </w: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 xml:space="preserve">Laboratorul de Încercări al „Regia Apă – Canal Soroca” S.A, or. Soroca </w:t>
            </w: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Atestare curentă: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18.08.2022</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17.08.2025</w:t>
            </w:r>
          </w:p>
        </w:tc>
      </w:tr>
      <w:tr w:rsidR="00EE587B" w:rsidRPr="00312935" w:rsidTr="00312935">
        <w:trPr>
          <w:trHeight w:val="505"/>
        </w:trPr>
        <w:tc>
          <w:tcPr>
            <w:tcW w:w="722"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lang w:val="en-US"/>
              </w:rPr>
              <w:t xml:space="preserve">2  </w:t>
            </w:r>
          </w:p>
          <w:p w:rsidR="00EE587B" w:rsidRPr="00312935" w:rsidRDefault="00EE587B" w:rsidP="007A2F36">
            <w:pPr>
              <w:jc w:val="center"/>
              <w:rPr>
                <w:rFonts w:asciiTheme="majorHAnsi" w:hAnsiTheme="majorHAnsi" w:cstheme="majorHAnsi"/>
                <w:b w:val="0"/>
                <w:bCs w:val="0"/>
                <w:sz w:val="20"/>
                <w:szCs w:val="20"/>
              </w:rPr>
            </w:pPr>
          </w:p>
        </w:tc>
        <w:tc>
          <w:tcPr>
            <w:tcW w:w="5576" w:type="dxa"/>
          </w:tcPr>
          <w:p w:rsidR="00EE587B" w:rsidRPr="00312935" w:rsidRDefault="00EE587B" w:rsidP="007A2F36">
            <w:pPr>
              <w:rPr>
                <w:rFonts w:asciiTheme="majorHAnsi" w:hAnsiTheme="majorHAnsi" w:cstheme="majorHAnsi"/>
                <w:b w:val="0"/>
                <w:sz w:val="20"/>
                <w:szCs w:val="20"/>
              </w:rPr>
            </w:pPr>
            <w:r w:rsidRPr="00312935">
              <w:rPr>
                <w:rFonts w:asciiTheme="majorHAnsi" w:hAnsiTheme="majorHAnsi" w:cstheme="majorHAnsi"/>
                <w:b w:val="0"/>
                <w:sz w:val="20"/>
                <w:szCs w:val="20"/>
              </w:rPr>
              <w:t>Laborator de Încercări din cadrul Î.C.S „RENAISSANCE-PERFECT” S.R.L, mun. Chișinău</w:t>
            </w:r>
          </w:p>
        </w:tc>
        <w:tc>
          <w:tcPr>
            <w:tcW w:w="2091"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Atestare curentă:</w:t>
            </w:r>
          </w:p>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28.02.2020</w:t>
            </w:r>
          </w:p>
        </w:tc>
        <w:tc>
          <w:tcPr>
            <w:tcW w:w="1443" w:type="dxa"/>
          </w:tcPr>
          <w:p w:rsidR="00EE587B" w:rsidRPr="00312935" w:rsidRDefault="00EE587B" w:rsidP="007A2F36">
            <w:pPr>
              <w:jc w:val="center"/>
              <w:rPr>
                <w:rFonts w:asciiTheme="majorHAnsi" w:hAnsiTheme="majorHAnsi" w:cstheme="majorHAnsi"/>
                <w:b w:val="0"/>
                <w:bCs w:val="0"/>
                <w:sz w:val="20"/>
                <w:szCs w:val="20"/>
              </w:rPr>
            </w:pPr>
            <w:r w:rsidRPr="00312935">
              <w:rPr>
                <w:rFonts w:asciiTheme="majorHAnsi" w:hAnsiTheme="majorHAnsi" w:cstheme="majorHAnsi"/>
                <w:b w:val="0"/>
                <w:bCs w:val="0"/>
                <w:sz w:val="20"/>
                <w:szCs w:val="20"/>
              </w:rPr>
              <w:t>27.02.2023</w:t>
            </w:r>
          </w:p>
        </w:tc>
      </w:tr>
    </w:tbl>
    <w:p w:rsidR="007A2F36" w:rsidRDefault="007A2F36" w:rsidP="00F61756">
      <w:pPr>
        <w:pStyle w:val="a3"/>
        <w:spacing w:line="276" w:lineRule="auto"/>
        <w:ind w:left="0"/>
        <w:jc w:val="both"/>
        <w:rPr>
          <w:rFonts w:asciiTheme="majorHAnsi" w:hAnsiTheme="majorHAnsi" w:cstheme="majorHAnsi"/>
          <w:b/>
          <w:bCs/>
          <w:color w:val="0070C0"/>
          <w:lang w:val="en-US"/>
        </w:rPr>
      </w:pPr>
      <w:bookmarkStart w:id="58" w:name="_Toc116982791"/>
      <w:bookmarkStart w:id="59" w:name="_Toc130773683"/>
    </w:p>
    <w:p w:rsidR="000E184F" w:rsidRPr="00EC1A68" w:rsidRDefault="000E184F" w:rsidP="00F61756">
      <w:pPr>
        <w:pStyle w:val="a3"/>
        <w:spacing w:line="276" w:lineRule="auto"/>
        <w:ind w:left="0"/>
        <w:jc w:val="both"/>
        <w:rPr>
          <w:rFonts w:asciiTheme="majorHAnsi" w:eastAsia="Calibri" w:hAnsiTheme="majorHAnsi" w:cstheme="majorHAnsi"/>
          <w:b/>
          <w:color w:val="0070C0"/>
          <w:lang w:val="en-US" w:eastAsia="en-US"/>
        </w:rPr>
      </w:pPr>
      <w:r w:rsidRPr="00EC1A68">
        <w:rPr>
          <w:rFonts w:asciiTheme="majorHAnsi" w:hAnsiTheme="majorHAnsi" w:cstheme="majorHAnsi"/>
          <w:b/>
          <w:bCs/>
          <w:color w:val="0070C0"/>
          <w:lang w:val="en-US"/>
        </w:rPr>
        <w:t xml:space="preserve">Anexa nr.18  </w:t>
      </w:r>
      <w:r w:rsidRPr="00EC1A68">
        <w:rPr>
          <w:rFonts w:asciiTheme="majorHAnsi" w:eastAsia="Calibri" w:hAnsiTheme="majorHAnsi" w:cstheme="majorHAnsi"/>
          <w:b/>
          <w:color w:val="0070C0"/>
          <w:lang w:val="en-US" w:eastAsia="en-US"/>
        </w:rPr>
        <w:t>GLOSAR</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A</w:t>
      </w:r>
      <w:r w:rsidR="000E184F" w:rsidRPr="008376FC">
        <w:rPr>
          <w:rStyle w:val="af9"/>
          <w:rFonts w:asciiTheme="majorHAnsi" w:hAnsiTheme="majorHAnsi" w:cstheme="majorHAnsi"/>
          <w:b/>
          <w:sz w:val="22"/>
          <w:szCs w:val="22"/>
        </w:rPr>
        <w:t>pă tehnologică</w:t>
      </w:r>
      <w:r w:rsidR="000E184F" w:rsidRPr="008376FC">
        <w:rPr>
          <w:rFonts w:asciiTheme="majorHAnsi" w:hAnsiTheme="majorHAnsi" w:cstheme="majorHAnsi"/>
          <w:sz w:val="22"/>
          <w:szCs w:val="22"/>
        </w:rPr>
        <w:t> – apă folosită pentru asigurarea unui proces tehnologic (spălare, diluare, răcire etc.).</w:t>
      </w:r>
    </w:p>
    <w:p w:rsidR="000E184F" w:rsidRPr="008376FC" w:rsidRDefault="00CE3051" w:rsidP="00F61756">
      <w:pPr>
        <w:tabs>
          <w:tab w:val="left" w:pos="450"/>
        </w:tabs>
        <w:spacing w:after="0" w:line="276" w:lineRule="auto"/>
        <w:ind w:firstLine="567"/>
        <w:jc w:val="both"/>
        <w:rPr>
          <w:rStyle w:val="def"/>
          <w:rFonts w:asciiTheme="majorHAnsi" w:hAnsiTheme="majorHAnsi" w:cstheme="majorHAnsi"/>
          <w:b w:val="0"/>
          <w:bCs w:val="0"/>
          <w:shd w:val="clear" w:color="auto" w:fill="FFFFFF"/>
        </w:rPr>
      </w:pPr>
      <w:r>
        <w:rPr>
          <w:rStyle w:val="af9"/>
          <w:rFonts w:asciiTheme="majorHAnsi" w:hAnsiTheme="majorHAnsi" w:cstheme="majorHAnsi"/>
        </w:rPr>
        <w:t>C</w:t>
      </w:r>
      <w:r w:rsidR="000E184F" w:rsidRPr="008376FC">
        <w:rPr>
          <w:rStyle w:val="af9"/>
          <w:rFonts w:asciiTheme="majorHAnsi" w:hAnsiTheme="majorHAnsi" w:cstheme="majorHAnsi"/>
        </w:rPr>
        <w:t>ontract de delegare a gestiunii</w:t>
      </w:r>
      <w:r w:rsidR="000E184F" w:rsidRPr="008376FC">
        <w:rPr>
          <w:rFonts w:asciiTheme="majorHAnsi" w:hAnsiTheme="majorHAnsi" w:cstheme="majorHAnsi"/>
          <w:i/>
        </w:rPr>
        <w:t> </w:t>
      </w:r>
      <w:r w:rsidR="000E184F" w:rsidRPr="008376FC">
        <w:rPr>
          <w:rFonts w:asciiTheme="majorHAnsi" w:hAnsiTheme="majorHAnsi" w:cstheme="majorHAnsi"/>
        </w:rPr>
        <w:t xml:space="preserve">– </w:t>
      </w:r>
      <w:r w:rsidR="000E184F" w:rsidRPr="008376FC">
        <w:rPr>
          <w:rFonts w:asciiTheme="majorHAnsi" w:hAnsiTheme="majorHAnsi" w:cstheme="majorHAnsi"/>
          <w:b w:val="0"/>
          <w:bCs w:val="0"/>
        </w:rPr>
        <w:t>contract încheiat în formă scrisă, prin care unitățile administrativ-teritoriale atribuie, pe o perioadă determinată, unui operator/unor operatori, care acționează pe riscul și răspunderea proprie, dreptul și obligația de a furniza/presta serviciul public de alimentare cu apă și de canalizare, integral sau, după caz, numai unele activități specifice acestuia, inclusiv dreptul şi obligaţia de a administra şi de a exploata infrastructura tehnico-edilitară</w:t>
      </w:r>
      <w:r w:rsidR="000E184F" w:rsidRPr="008376FC">
        <w:rPr>
          <w:rFonts w:asciiTheme="majorHAnsi" w:hAnsiTheme="majorHAnsi" w:cstheme="majorHAnsi"/>
          <w:b w:val="0"/>
          <w:bCs w:val="0"/>
        </w:rPr>
        <w:softHyphen/>
      </w:r>
      <w:r w:rsidR="000E184F" w:rsidRPr="008376FC">
        <w:rPr>
          <w:rFonts w:asciiTheme="majorHAnsi" w:hAnsiTheme="majorHAnsi" w:cstheme="majorHAnsi"/>
          <w:b w:val="0"/>
          <w:bCs w:val="0"/>
        </w:rPr>
        <w:softHyphen/>
        <w:t xml:space="preserve"> aferentă serviciului furnizat/prestat sau activităţii efectuate, în schimbul unei redevenţe. Contractul de delegare a gestiunii este contract administrativ și cade sub incidența prevederilor Codului administrativ al Republicii Moldova. </w:t>
      </w:r>
    </w:p>
    <w:p w:rsidR="000E184F" w:rsidRPr="008376FC" w:rsidRDefault="00CE3051" w:rsidP="00F61756">
      <w:pPr>
        <w:tabs>
          <w:tab w:val="left" w:pos="450"/>
        </w:tabs>
        <w:spacing w:after="0" w:line="276" w:lineRule="auto"/>
        <w:ind w:firstLine="567"/>
        <w:jc w:val="both"/>
        <w:rPr>
          <w:rFonts w:asciiTheme="majorHAnsi" w:hAnsiTheme="majorHAnsi" w:cstheme="majorHAnsi"/>
          <w:b w:val="0"/>
          <w:bCs w:val="0"/>
        </w:rPr>
      </w:pPr>
      <w:r>
        <w:rPr>
          <w:rStyle w:val="af9"/>
          <w:rFonts w:asciiTheme="majorHAnsi" w:hAnsiTheme="majorHAnsi" w:cstheme="majorHAnsi"/>
        </w:rPr>
        <w:t>D</w:t>
      </w:r>
      <w:r w:rsidR="000E184F" w:rsidRPr="008376FC">
        <w:rPr>
          <w:rStyle w:val="af9"/>
          <w:rFonts w:asciiTheme="majorHAnsi" w:hAnsiTheme="majorHAnsi" w:cstheme="majorHAnsi"/>
        </w:rPr>
        <w:t>elegarea gestiunii serviciului public de alimentare cu apă și de canalizare </w:t>
      </w:r>
      <w:r w:rsidR="000E184F" w:rsidRPr="008376FC">
        <w:rPr>
          <w:rFonts w:asciiTheme="majorHAnsi" w:hAnsiTheme="majorHAnsi" w:cstheme="majorHAnsi"/>
          <w:i/>
        </w:rPr>
        <w:t>–</w:t>
      </w:r>
      <w:r w:rsidR="000E184F" w:rsidRPr="008376FC">
        <w:rPr>
          <w:rFonts w:asciiTheme="majorHAnsi" w:hAnsiTheme="majorHAnsi" w:cstheme="majorHAnsi"/>
        </w:rPr>
        <w:t xml:space="preserve"> </w:t>
      </w:r>
      <w:r w:rsidR="000E184F" w:rsidRPr="008376FC">
        <w:rPr>
          <w:rFonts w:asciiTheme="majorHAnsi" w:hAnsiTheme="majorHAnsi" w:cstheme="majorHAnsi"/>
          <w:b w:val="0"/>
          <w:bCs w:val="0"/>
        </w:rPr>
        <w:t>acțiune prin care o unitate administrativ-teritorială atribuie unuia sau mai multor operatori, în condițiile legi</w:t>
      </w:r>
      <w:r>
        <w:rPr>
          <w:rFonts w:asciiTheme="majorHAnsi" w:hAnsiTheme="majorHAnsi" w:cstheme="majorHAnsi"/>
          <w:b w:val="0"/>
          <w:bCs w:val="0"/>
        </w:rPr>
        <w:t>i</w:t>
      </w:r>
      <w:r w:rsidR="000E184F" w:rsidRPr="008376FC">
        <w:rPr>
          <w:rFonts w:asciiTheme="majorHAnsi" w:hAnsiTheme="majorHAnsi" w:cstheme="majorHAnsi"/>
          <w:b w:val="0"/>
          <w:bCs w:val="0"/>
        </w:rPr>
        <w:t>, dreptul de furnizare/prestare a serviciului sau a unei componente a acestuia și pentru care își asumă responsabilitatea. Delegarea gestiunii serviciului implică operarea propriu-zisă a serviciului, concesionarea sistemului public aferent serviciului delegat, precum și dreptul și obligația operatorului de a administra și de a exploata sistemul respectiv.</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P</w:t>
      </w:r>
      <w:r w:rsidR="000E184F" w:rsidRPr="008376FC">
        <w:rPr>
          <w:rStyle w:val="af9"/>
          <w:rFonts w:asciiTheme="majorHAnsi" w:hAnsiTheme="majorHAnsi" w:cstheme="majorHAnsi"/>
          <w:b/>
          <w:sz w:val="22"/>
          <w:szCs w:val="22"/>
        </w:rPr>
        <w:t>perator</w:t>
      </w:r>
      <w:r w:rsidR="000E184F" w:rsidRPr="008376FC">
        <w:rPr>
          <w:rFonts w:asciiTheme="majorHAnsi" w:hAnsiTheme="majorHAnsi" w:cstheme="majorHAnsi"/>
          <w:sz w:val="22"/>
          <w:szCs w:val="22"/>
        </w:rPr>
        <w:t> – persoană juridică care are capacitatea de a furniza/presta serviciul public de alimentare cu apă şi/sau de canalizare şi de a asigura nemijlocit administrarea şi exploatarea sistemului public de alimentare cu apă şi de canalizare, conform prevederilor legi</w:t>
      </w:r>
      <w:r>
        <w:rPr>
          <w:rFonts w:asciiTheme="majorHAnsi" w:hAnsiTheme="majorHAnsi" w:cstheme="majorHAnsi"/>
          <w:sz w:val="22"/>
          <w:szCs w:val="22"/>
        </w:rPr>
        <w:t>i</w:t>
      </w:r>
      <w:r w:rsidR="000E184F" w:rsidRPr="008376FC">
        <w:rPr>
          <w:rFonts w:asciiTheme="majorHAnsi" w:hAnsiTheme="majorHAnsi" w:cstheme="majorHAnsi"/>
          <w:sz w:val="22"/>
          <w:szCs w:val="22"/>
        </w:rPr>
        <w:t>.</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O</w:t>
      </w:r>
      <w:r w:rsidR="000E184F" w:rsidRPr="008376FC">
        <w:rPr>
          <w:rStyle w:val="af9"/>
          <w:rFonts w:asciiTheme="majorHAnsi" w:hAnsiTheme="majorHAnsi" w:cstheme="majorHAnsi"/>
          <w:b/>
          <w:sz w:val="22"/>
          <w:szCs w:val="22"/>
        </w:rPr>
        <w:t>perator regional</w:t>
      </w:r>
      <w:r w:rsidR="000E184F" w:rsidRPr="008376FC">
        <w:rPr>
          <w:rFonts w:asciiTheme="majorHAnsi" w:hAnsiTheme="majorHAnsi" w:cstheme="majorHAnsi"/>
          <w:sz w:val="22"/>
          <w:szCs w:val="22"/>
        </w:rPr>
        <w:t> – operator organizat ca societate comercială, cu capital social deținut integral de una sau mai multe unități administrativ-teritoriale, care asigură furnizarea/prestarea serviciului public de alimentare cu apă și de canalizare pe raza de competență a mai multor unități administrativ-teritoriale, inclusiv administrarea și exploatarea sistemelor publice de alimentare cu apă şi de canalizare.</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R</w:t>
      </w:r>
      <w:r w:rsidR="000E184F" w:rsidRPr="008376FC">
        <w:rPr>
          <w:rStyle w:val="af9"/>
          <w:rFonts w:asciiTheme="majorHAnsi" w:hAnsiTheme="majorHAnsi" w:cstheme="majorHAnsi"/>
          <w:b/>
          <w:sz w:val="22"/>
          <w:szCs w:val="22"/>
        </w:rPr>
        <w:t>edevenţă</w:t>
      </w:r>
      <w:r w:rsidR="000E184F" w:rsidRPr="008376FC">
        <w:rPr>
          <w:rFonts w:asciiTheme="majorHAnsi" w:hAnsiTheme="majorHAnsi" w:cstheme="majorHAnsi"/>
          <w:i/>
          <w:sz w:val="22"/>
          <w:szCs w:val="22"/>
        </w:rPr>
        <w:t> </w:t>
      </w:r>
      <w:r w:rsidR="000E184F" w:rsidRPr="008376FC">
        <w:rPr>
          <w:rFonts w:asciiTheme="majorHAnsi" w:hAnsiTheme="majorHAnsi" w:cstheme="majorHAnsi"/>
          <w:sz w:val="22"/>
          <w:szCs w:val="22"/>
        </w:rPr>
        <w:t>– plată pentru transmiterea dreptului de folosință a bunurilor domeniului public sau privat al unității administrativ-teritoriale, aferente serviciului public de alimentare cu apă și de canalizare, stabilită în contractul de delegare a gestiunii.</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R</w:t>
      </w:r>
      <w:r w:rsidR="000E184F" w:rsidRPr="008376FC">
        <w:rPr>
          <w:rStyle w:val="af9"/>
          <w:rFonts w:asciiTheme="majorHAnsi" w:hAnsiTheme="majorHAnsi" w:cstheme="majorHAnsi"/>
          <w:b/>
          <w:sz w:val="22"/>
          <w:szCs w:val="22"/>
        </w:rPr>
        <w:t>eţea de canalizare</w:t>
      </w:r>
      <w:r w:rsidR="000E184F" w:rsidRPr="008376FC">
        <w:rPr>
          <w:rFonts w:asciiTheme="majorHAnsi" w:hAnsiTheme="majorHAnsi" w:cstheme="majorHAnsi"/>
          <w:sz w:val="22"/>
          <w:szCs w:val="22"/>
        </w:rPr>
        <w:t> – construcţie din canale colectoare, construcţii-anexă etc., care asigură colectarea şi transportul apei de canalizare la staţia de epurare.</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R</w:t>
      </w:r>
      <w:r w:rsidR="000E184F" w:rsidRPr="008376FC">
        <w:rPr>
          <w:rStyle w:val="af9"/>
          <w:rFonts w:asciiTheme="majorHAnsi" w:hAnsiTheme="majorHAnsi" w:cstheme="majorHAnsi"/>
          <w:b/>
          <w:sz w:val="22"/>
          <w:szCs w:val="22"/>
        </w:rPr>
        <w:t>eţea publică de canalizare</w:t>
      </w:r>
      <w:r w:rsidR="000E184F" w:rsidRPr="008376FC">
        <w:rPr>
          <w:rFonts w:asciiTheme="majorHAnsi" w:hAnsiTheme="majorHAnsi" w:cstheme="majorHAnsi"/>
          <w:sz w:val="22"/>
          <w:szCs w:val="22"/>
        </w:rPr>
        <w:t> – parte a sistemului public de canalizare, constituită din canale colectoare şi conducte, cămine şi construcţii-anexă, care asigură preluarea, evacuarea şi transportul apei uzate de la 2 sau de la mai mulţi consumatori. Nu constituie reţele publice branşamentele de apă, racordurile de canalizare, reţelele de apă şi de canalizare aflate după punctul de delimitare, reţelele interne de alimentare cu apă şi de canalizare aferente unui bloc locativ, chiar dacă acesta este în proprietatea mai multor persoane fizice sau juridice, reţelele aferente unei incinte proprietate privată sau unei instituţii publice pe teritoriul căreia se află mai multe imobile, indiferent de destinaţie, reţelele aferente unei platforme industriale, chiar dacă aceasta este administrată de mai multe persoane juridice. </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R</w:t>
      </w:r>
      <w:r w:rsidR="000E184F" w:rsidRPr="008376FC">
        <w:rPr>
          <w:rStyle w:val="af9"/>
          <w:rFonts w:asciiTheme="majorHAnsi" w:hAnsiTheme="majorHAnsi" w:cstheme="majorHAnsi"/>
          <w:b/>
          <w:sz w:val="22"/>
          <w:szCs w:val="22"/>
        </w:rPr>
        <w:t>eţea publică de distribuţie a apei</w:t>
      </w:r>
      <w:r w:rsidR="000E184F" w:rsidRPr="008376FC">
        <w:rPr>
          <w:rStyle w:val="af9"/>
          <w:rFonts w:asciiTheme="majorHAnsi" w:hAnsiTheme="majorHAnsi" w:cstheme="majorHAnsi"/>
          <w:sz w:val="22"/>
          <w:szCs w:val="22"/>
        </w:rPr>
        <w:t> </w:t>
      </w:r>
      <w:r w:rsidR="000E184F" w:rsidRPr="008376FC">
        <w:rPr>
          <w:rFonts w:asciiTheme="majorHAnsi" w:hAnsiTheme="majorHAnsi" w:cstheme="majorHAnsi"/>
          <w:sz w:val="22"/>
          <w:szCs w:val="22"/>
        </w:rPr>
        <w:t>– parte a sistemului public de alimentare cu apă, constituită din reţeaua de conducte, armaturi şi din construcţii-anexă, care asigură distribuţia apei către doi sau mai mulţi consumatori.</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R</w:t>
      </w:r>
      <w:r w:rsidR="000E184F" w:rsidRPr="008376FC">
        <w:rPr>
          <w:rStyle w:val="af9"/>
          <w:rFonts w:asciiTheme="majorHAnsi" w:hAnsiTheme="majorHAnsi" w:cstheme="majorHAnsi"/>
          <w:b/>
          <w:sz w:val="22"/>
          <w:szCs w:val="22"/>
        </w:rPr>
        <w:t>eţea publică de transport al apei</w:t>
      </w:r>
      <w:r w:rsidR="000E184F" w:rsidRPr="008376FC">
        <w:rPr>
          <w:rFonts w:asciiTheme="majorHAnsi" w:hAnsiTheme="majorHAnsi" w:cstheme="majorHAnsi"/>
          <w:sz w:val="22"/>
          <w:szCs w:val="22"/>
        </w:rPr>
        <w:t> – parte a sistemului public de alimentare cu apă, constituită din reţeaua de conducte magistrale, armaturi şi din construcţii-anexă, cuprinsă între captare și rețeaua de distribuție</w:t>
      </w:r>
      <w:r>
        <w:rPr>
          <w:rFonts w:asciiTheme="majorHAnsi" w:hAnsiTheme="majorHAnsi" w:cstheme="majorHAnsi"/>
          <w:sz w:val="22"/>
          <w:szCs w:val="22"/>
        </w:rPr>
        <w:t xml:space="preserve"> </w:t>
      </w:r>
      <w:r w:rsidR="000E184F" w:rsidRPr="008376FC">
        <w:rPr>
          <w:rFonts w:asciiTheme="majorHAnsi" w:hAnsiTheme="majorHAnsi" w:cstheme="majorHAnsi"/>
          <w:sz w:val="22"/>
          <w:szCs w:val="22"/>
        </w:rPr>
        <w:t>care asigură transportul apei. </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S</w:t>
      </w:r>
      <w:r w:rsidR="000E184F" w:rsidRPr="008376FC">
        <w:rPr>
          <w:rStyle w:val="af9"/>
          <w:rFonts w:asciiTheme="majorHAnsi" w:hAnsiTheme="majorHAnsi" w:cstheme="majorHAnsi"/>
          <w:b/>
          <w:sz w:val="22"/>
          <w:szCs w:val="22"/>
        </w:rPr>
        <w:t>erviciu auxiliar</w:t>
      </w:r>
      <w:r w:rsidR="000E184F" w:rsidRPr="008376FC">
        <w:rPr>
          <w:rFonts w:asciiTheme="majorHAnsi" w:hAnsiTheme="majorHAnsi" w:cstheme="majorHAnsi"/>
          <w:sz w:val="22"/>
          <w:szCs w:val="22"/>
        </w:rPr>
        <w:t> – serviciu adiţional furnizat de către operator consumatorilor pentru a asigura acestora dreptul la serviciul public de alimentare cu apă, de canalizare şi epurare a apelor uzate;</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S</w:t>
      </w:r>
      <w:r w:rsidR="000E184F" w:rsidRPr="008376FC">
        <w:rPr>
          <w:rStyle w:val="af9"/>
          <w:rFonts w:asciiTheme="majorHAnsi" w:hAnsiTheme="majorHAnsi" w:cstheme="majorHAnsi"/>
          <w:b/>
          <w:sz w:val="22"/>
          <w:szCs w:val="22"/>
        </w:rPr>
        <w:t>erviciu public de alimentare cu apă</w:t>
      </w:r>
      <w:r w:rsidR="000E184F" w:rsidRPr="008376FC">
        <w:rPr>
          <w:rStyle w:val="af9"/>
          <w:rFonts w:asciiTheme="majorHAnsi" w:hAnsiTheme="majorHAnsi" w:cstheme="majorHAnsi"/>
          <w:sz w:val="22"/>
          <w:szCs w:val="22"/>
        </w:rPr>
        <w:t> </w:t>
      </w:r>
      <w:r w:rsidR="000E184F" w:rsidRPr="008376FC">
        <w:rPr>
          <w:rFonts w:asciiTheme="majorHAnsi" w:hAnsiTheme="majorHAnsi" w:cstheme="majorHAnsi"/>
          <w:sz w:val="22"/>
          <w:szCs w:val="22"/>
        </w:rPr>
        <w:t>– totalitate a activităţilor necesare pentru captarea apei brute din surse de suprafaţă sau subterane, tratarea apei brute, transportarea apei potabile şi/sau tehnologice, înmagazinarea apei,  distribuţia apei potabile şi/sau tehnologice.</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sidRPr="00707D36">
        <w:rPr>
          <w:rStyle w:val="af9"/>
          <w:rFonts w:asciiTheme="majorHAnsi" w:hAnsiTheme="majorHAnsi" w:cstheme="majorHAnsi"/>
          <w:b/>
          <w:sz w:val="22"/>
          <w:szCs w:val="22"/>
        </w:rPr>
        <w:t>S</w:t>
      </w:r>
      <w:r w:rsidR="000E184F" w:rsidRPr="00707D36">
        <w:rPr>
          <w:rStyle w:val="af9"/>
          <w:rFonts w:asciiTheme="majorHAnsi" w:hAnsiTheme="majorHAnsi" w:cstheme="majorHAnsi"/>
          <w:b/>
          <w:sz w:val="22"/>
          <w:szCs w:val="22"/>
        </w:rPr>
        <w:t>erviciu public de canalizare</w:t>
      </w:r>
      <w:r w:rsidR="000E184F" w:rsidRPr="008376FC">
        <w:rPr>
          <w:rFonts w:asciiTheme="majorHAnsi" w:hAnsiTheme="majorHAnsi" w:cstheme="majorHAnsi"/>
          <w:sz w:val="22"/>
          <w:szCs w:val="22"/>
        </w:rPr>
        <w:t> – totalitate a activităţilor necesare pentru colectarea, transportarea şi evacuarea apelor uzate de la consumatori la staţiile de epurare, pentru epurarea apelor uzate şi evacuarea apei epurate în emisar.</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S</w:t>
      </w:r>
      <w:r w:rsidR="000E184F" w:rsidRPr="008376FC">
        <w:rPr>
          <w:rStyle w:val="af9"/>
          <w:rFonts w:asciiTheme="majorHAnsi" w:hAnsiTheme="majorHAnsi" w:cstheme="majorHAnsi"/>
          <w:b/>
          <w:sz w:val="22"/>
          <w:szCs w:val="22"/>
        </w:rPr>
        <w:t>istem public de alimentare cu apă</w:t>
      </w:r>
      <w:r w:rsidR="000E184F" w:rsidRPr="008376FC">
        <w:rPr>
          <w:rFonts w:asciiTheme="majorHAnsi" w:hAnsiTheme="majorHAnsi" w:cstheme="majorHAnsi"/>
          <w:sz w:val="22"/>
          <w:szCs w:val="22"/>
        </w:rPr>
        <w:t> – ansamblu de instalaţii tehnologice, echipamente funcţionale şi dotări specifice prin care se realizează serviciul public de alimentare cu apă. Sistemul public de alimentare cu apă cuprinde următoarele componente: captări, aducţiuni, staţii de tratare, staţii de pompare cu sau fără hidrofor, rezervoare de înmagazinare, reţele publice de transport al apei, reţele publice de distribuţie a apei.</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S</w:t>
      </w:r>
      <w:r w:rsidR="000E184F" w:rsidRPr="008376FC">
        <w:rPr>
          <w:rStyle w:val="af9"/>
          <w:rFonts w:asciiTheme="majorHAnsi" w:hAnsiTheme="majorHAnsi" w:cstheme="majorHAnsi"/>
          <w:b/>
          <w:sz w:val="22"/>
          <w:szCs w:val="22"/>
        </w:rPr>
        <w:t>istem public de canalizare</w:t>
      </w:r>
      <w:r w:rsidR="000E184F" w:rsidRPr="008376FC">
        <w:rPr>
          <w:rFonts w:asciiTheme="majorHAnsi" w:hAnsiTheme="majorHAnsi" w:cstheme="majorHAnsi"/>
          <w:sz w:val="22"/>
          <w:szCs w:val="22"/>
        </w:rPr>
        <w:t> – ansamblu de instalaţii tehnologice, echipamente funcţionale şi dotări specifice prin care se realizează serviciul public de canalizare. Sistemul public de canalizare cuprinde, în special, următoarele componente: reţele publice de canalizare, staţii de pompare, staţii de epurare, colectoare de evacuare spre emisar.</w:t>
      </w:r>
    </w:p>
    <w:p w:rsidR="000E184F" w:rsidRPr="008376FC" w:rsidRDefault="00CE3051" w:rsidP="00F61756">
      <w:pPr>
        <w:pStyle w:val="af1"/>
        <w:shd w:val="clear" w:color="auto" w:fill="FFFFFF"/>
        <w:spacing w:line="276" w:lineRule="auto"/>
        <w:rPr>
          <w:rFonts w:asciiTheme="majorHAnsi" w:hAnsiTheme="majorHAnsi" w:cstheme="majorHAnsi"/>
          <w:sz w:val="22"/>
          <w:szCs w:val="22"/>
        </w:rPr>
      </w:pPr>
      <w:r>
        <w:rPr>
          <w:rStyle w:val="af9"/>
          <w:rFonts w:asciiTheme="majorHAnsi" w:hAnsiTheme="majorHAnsi" w:cstheme="majorHAnsi"/>
          <w:b/>
          <w:sz w:val="22"/>
          <w:szCs w:val="22"/>
        </w:rPr>
        <w:t>S</w:t>
      </w:r>
      <w:r w:rsidR="000E184F" w:rsidRPr="008376FC">
        <w:rPr>
          <w:rStyle w:val="af9"/>
          <w:rFonts w:asciiTheme="majorHAnsi" w:hAnsiTheme="majorHAnsi" w:cstheme="majorHAnsi"/>
          <w:b/>
          <w:sz w:val="22"/>
          <w:szCs w:val="22"/>
        </w:rPr>
        <w:t>tudiu de fezabilitate</w:t>
      </w:r>
      <w:r w:rsidR="000E184F" w:rsidRPr="008376FC">
        <w:rPr>
          <w:rFonts w:asciiTheme="majorHAnsi" w:hAnsiTheme="majorHAnsi" w:cstheme="majorHAnsi"/>
          <w:i/>
          <w:sz w:val="22"/>
          <w:szCs w:val="22"/>
        </w:rPr>
        <w:t> </w:t>
      </w:r>
      <w:r w:rsidR="000E184F" w:rsidRPr="008376FC">
        <w:rPr>
          <w:rFonts w:asciiTheme="majorHAnsi" w:hAnsiTheme="majorHAnsi" w:cstheme="majorHAnsi"/>
          <w:sz w:val="22"/>
          <w:szCs w:val="22"/>
        </w:rPr>
        <w:t>– document elaborat pentru o investiţie în infrastructura de alimentare cu apă şi canalizare, ce prezintă o analiză a capacităţii de a dezvolta şi finaliza cu succes un proiect prin luarea în considerare a tuturor factorilor tehnici, financiari, de mediu, socioeconomici şi instituţionali.</w:t>
      </w:r>
    </w:p>
    <w:p w:rsidR="000E184F" w:rsidRPr="008376FC" w:rsidRDefault="00CE3051" w:rsidP="00F61756">
      <w:pPr>
        <w:tabs>
          <w:tab w:val="left" w:pos="450"/>
        </w:tabs>
        <w:spacing w:after="0" w:line="276" w:lineRule="auto"/>
        <w:ind w:firstLine="567"/>
        <w:jc w:val="both"/>
        <w:rPr>
          <w:rFonts w:asciiTheme="majorHAnsi" w:eastAsia="SimSun" w:hAnsiTheme="majorHAnsi" w:cstheme="majorHAnsi"/>
        </w:rPr>
      </w:pPr>
      <w:r>
        <w:rPr>
          <w:rStyle w:val="def"/>
          <w:rFonts w:asciiTheme="majorHAnsi" w:hAnsiTheme="majorHAnsi" w:cstheme="majorHAnsi"/>
          <w:i/>
          <w:iCs/>
          <w:shd w:val="clear" w:color="auto" w:fill="FFFFFF"/>
        </w:rPr>
        <w:t>C</w:t>
      </w:r>
      <w:r w:rsidR="000E184F" w:rsidRPr="008376FC">
        <w:rPr>
          <w:rStyle w:val="def"/>
          <w:rFonts w:asciiTheme="majorHAnsi" w:hAnsiTheme="majorHAnsi" w:cstheme="majorHAnsi"/>
          <w:i/>
          <w:iCs/>
          <w:shd w:val="clear" w:color="auto" w:fill="FFFFFF"/>
        </w:rPr>
        <w:t>onsum tehnologic</w:t>
      </w:r>
      <w:r w:rsidR="000E184F" w:rsidRPr="008376FC">
        <w:rPr>
          <w:rStyle w:val="def"/>
          <w:rFonts w:asciiTheme="majorHAnsi" w:hAnsiTheme="majorHAnsi" w:cstheme="majorHAnsi"/>
          <w:shd w:val="clear" w:color="auto" w:fill="FFFFFF"/>
        </w:rPr>
        <w:t xml:space="preserve"> </w:t>
      </w:r>
      <w:r w:rsidR="008F2A2B" w:rsidRPr="008376FC">
        <w:rPr>
          <w:rFonts w:asciiTheme="majorHAnsi" w:hAnsiTheme="majorHAnsi" w:cstheme="majorHAnsi"/>
        </w:rPr>
        <w:t>–</w:t>
      </w:r>
      <w:r w:rsidR="000E184F" w:rsidRPr="008376FC">
        <w:rPr>
          <w:rStyle w:val="def"/>
          <w:rFonts w:asciiTheme="majorHAnsi" w:hAnsiTheme="majorHAnsi" w:cstheme="majorHAnsi"/>
          <w:shd w:val="clear" w:color="auto" w:fill="FFFFFF"/>
        </w:rPr>
        <w:t xml:space="preserve"> </w:t>
      </w:r>
      <w:r w:rsidR="000E184F" w:rsidRPr="008376FC">
        <w:rPr>
          <w:rStyle w:val="def"/>
          <w:rFonts w:asciiTheme="majorHAnsi" w:hAnsiTheme="majorHAnsi" w:cstheme="majorHAnsi"/>
          <w:b w:val="0"/>
          <w:bCs w:val="0"/>
          <w:shd w:val="clear" w:color="auto" w:fill="FFFFFF"/>
        </w:rPr>
        <w:t xml:space="preserve">cantitatea de apă consumată/ utilizată pentru a se realiza procesele </w:t>
      </w:r>
      <w:r w:rsidR="000E184F" w:rsidRPr="008376FC">
        <w:rPr>
          <w:rFonts w:asciiTheme="majorHAnsi" w:hAnsiTheme="majorHAnsi" w:cstheme="majorHAnsi"/>
          <w:b w:val="0"/>
          <w:bCs w:val="0"/>
        </w:rPr>
        <w:t xml:space="preserve">tehnice, </w:t>
      </w:r>
      <w:r w:rsidR="000E184F" w:rsidRPr="008376FC">
        <w:rPr>
          <w:rStyle w:val="def"/>
          <w:rFonts w:asciiTheme="majorHAnsi" w:hAnsiTheme="majorHAnsi" w:cstheme="majorHAnsi"/>
          <w:b w:val="0"/>
          <w:bCs w:val="0"/>
          <w:shd w:val="clear" w:color="auto" w:fill="FFFFFF"/>
        </w:rPr>
        <w:t>procesele tehnologice la furnizarea serviciului</w:t>
      </w:r>
      <w:r w:rsidR="000E184F" w:rsidRPr="008376FC">
        <w:rPr>
          <w:rFonts w:asciiTheme="majorHAnsi" w:hAnsiTheme="majorHAnsi" w:cstheme="majorHAnsi"/>
          <w:b w:val="0"/>
          <w:bCs w:val="0"/>
        </w:rPr>
        <w:t xml:space="preserve"> public de alimentare cu apă şi de canalizare</w:t>
      </w:r>
      <w:r w:rsidR="000E184F" w:rsidRPr="008376FC">
        <w:rPr>
          <w:rStyle w:val="def"/>
          <w:rFonts w:asciiTheme="majorHAnsi" w:hAnsiTheme="majorHAnsi" w:cstheme="majorHAnsi"/>
          <w:b w:val="0"/>
          <w:bCs w:val="0"/>
          <w:shd w:val="clear" w:color="auto" w:fill="FFFFFF"/>
        </w:rPr>
        <w:t>,</w:t>
      </w:r>
      <w:r w:rsidR="000E184F" w:rsidRPr="008376FC">
        <w:rPr>
          <w:rFonts w:asciiTheme="majorHAnsi" w:hAnsiTheme="majorHAnsi" w:cstheme="majorHAnsi"/>
          <w:b w:val="0"/>
          <w:bCs w:val="0"/>
          <w:shd w:val="clear" w:color="auto" w:fill="EEEEEE"/>
        </w:rPr>
        <w:t xml:space="preserve"> </w:t>
      </w:r>
      <w:r w:rsidR="000E184F" w:rsidRPr="008376FC">
        <w:rPr>
          <w:rFonts w:asciiTheme="majorHAnsi" w:hAnsiTheme="majorHAnsi" w:cstheme="majorHAnsi"/>
          <w:b w:val="0"/>
          <w:bCs w:val="0"/>
        </w:rPr>
        <w:t>lucrări necesare a fi efectuate în anul de reglementare în conformitate cu actele normativ tehnice de profil.</w:t>
      </w:r>
    </w:p>
    <w:p w:rsidR="000E184F" w:rsidRPr="008376FC" w:rsidRDefault="00CE3051" w:rsidP="00F61756">
      <w:pPr>
        <w:tabs>
          <w:tab w:val="left" w:pos="450"/>
        </w:tabs>
        <w:spacing w:after="0" w:line="276" w:lineRule="auto"/>
        <w:ind w:firstLine="567"/>
        <w:jc w:val="both"/>
        <w:rPr>
          <w:rFonts w:asciiTheme="majorHAnsi" w:hAnsiTheme="majorHAnsi" w:cstheme="majorHAnsi"/>
        </w:rPr>
      </w:pPr>
      <w:r>
        <w:rPr>
          <w:rFonts w:asciiTheme="majorHAnsi" w:hAnsiTheme="majorHAnsi" w:cstheme="majorHAnsi"/>
          <w:i/>
          <w:iCs/>
        </w:rPr>
        <w:t>P</w:t>
      </w:r>
      <w:r w:rsidR="000E184F" w:rsidRPr="008376FC">
        <w:rPr>
          <w:rFonts w:asciiTheme="majorHAnsi" w:hAnsiTheme="majorHAnsi" w:cstheme="majorHAnsi"/>
          <w:i/>
          <w:iCs/>
        </w:rPr>
        <w:t>ierderi de apă</w:t>
      </w:r>
      <w:r w:rsidR="000E184F" w:rsidRPr="008376FC">
        <w:rPr>
          <w:rFonts w:asciiTheme="majorHAnsi" w:hAnsiTheme="majorHAnsi" w:cstheme="majorHAnsi"/>
        </w:rPr>
        <w:t> </w:t>
      </w:r>
      <w:r w:rsidR="008F2A2B" w:rsidRPr="008376FC">
        <w:rPr>
          <w:rFonts w:asciiTheme="majorHAnsi" w:hAnsiTheme="majorHAnsi" w:cstheme="majorHAnsi"/>
        </w:rPr>
        <w:t>–</w:t>
      </w:r>
      <w:r w:rsidR="000E184F" w:rsidRPr="008376FC">
        <w:rPr>
          <w:rFonts w:asciiTheme="majorHAnsi" w:hAnsiTheme="majorHAnsi" w:cstheme="majorHAnsi"/>
        </w:rPr>
        <w:t> </w:t>
      </w:r>
      <w:r w:rsidR="000E184F" w:rsidRPr="008376FC">
        <w:rPr>
          <w:rStyle w:val="def"/>
          <w:rFonts w:asciiTheme="majorHAnsi" w:hAnsiTheme="majorHAnsi" w:cstheme="majorHAnsi"/>
          <w:b w:val="0"/>
          <w:bCs w:val="0"/>
          <w:shd w:val="clear" w:color="auto" w:fill="FFFFFF"/>
        </w:rPr>
        <w:t xml:space="preserve">cantitatea de apă </w:t>
      </w:r>
      <w:r w:rsidR="000E184F" w:rsidRPr="008376FC">
        <w:rPr>
          <w:rFonts w:asciiTheme="majorHAnsi" w:hAnsiTheme="majorHAnsi" w:cstheme="majorHAnsi"/>
          <w:b w:val="0"/>
          <w:bCs w:val="0"/>
        </w:rPr>
        <w:t xml:space="preserve">pierdută </w:t>
      </w:r>
      <w:r w:rsidR="000E184F" w:rsidRPr="008376FC">
        <w:rPr>
          <w:rStyle w:val="def"/>
          <w:rFonts w:asciiTheme="majorHAnsi" w:hAnsiTheme="majorHAnsi" w:cstheme="majorHAnsi"/>
          <w:b w:val="0"/>
          <w:bCs w:val="0"/>
          <w:shd w:val="clear" w:color="auto" w:fill="FFFFFF"/>
        </w:rPr>
        <w:t>la furnizarea serviciului</w:t>
      </w:r>
      <w:r w:rsidR="000E184F" w:rsidRPr="008376FC">
        <w:rPr>
          <w:rFonts w:asciiTheme="majorHAnsi" w:hAnsiTheme="majorHAnsi" w:cstheme="majorHAnsi"/>
          <w:b w:val="0"/>
          <w:bCs w:val="0"/>
        </w:rPr>
        <w:t xml:space="preserve"> public de alimentare cu apă </w:t>
      </w:r>
      <w:r w:rsidR="000E184F" w:rsidRPr="008376FC">
        <w:rPr>
          <w:rStyle w:val="def"/>
          <w:rFonts w:asciiTheme="majorHAnsi" w:hAnsiTheme="majorHAnsi" w:cstheme="majorHAnsi"/>
          <w:b w:val="0"/>
          <w:bCs w:val="0"/>
          <w:shd w:val="clear" w:color="auto" w:fill="FFFFFF"/>
        </w:rPr>
        <w:t xml:space="preserve">în procesele de tratare, transportul, distribuţia apei </w:t>
      </w:r>
      <w:r w:rsidR="000E184F" w:rsidRPr="008376FC">
        <w:rPr>
          <w:rFonts w:asciiTheme="majorHAnsi" w:hAnsiTheme="majorHAnsi" w:cstheme="majorHAnsi"/>
          <w:b w:val="0"/>
          <w:bCs w:val="0"/>
        </w:rPr>
        <w:t>prin sistemul public de alimentare cu apă.</w:t>
      </w:r>
    </w:p>
    <w:p w:rsidR="000E184F" w:rsidRPr="008376FC" w:rsidRDefault="00CE3051" w:rsidP="00F61756">
      <w:pPr>
        <w:pStyle w:val="a3"/>
        <w:spacing w:line="276" w:lineRule="auto"/>
        <w:ind w:left="0" w:firstLine="567"/>
        <w:jc w:val="both"/>
        <w:rPr>
          <w:rFonts w:asciiTheme="majorHAnsi" w:hAnsiTheme="majorHAnsi" w:cstheme="majorHAnsi"/>
          <w:sz w:val="22"/>
          <w:szCs w:val="22"/>
          <w:lang w:val="en-US"/>
        </w:rPr>
      </w:pPr>
      <w:r>
        <w:rPr>
          <w:rFonts w:asciiTheme="majorHAnsi" w:hAnsiTheme="majorHAnsi" w:cstheme="majorHAnsi"/>
          <w:b/>
          <w:bCs/>
          <w:i/>
          <w:iCs/>
          <w:sz w:val="22"/>
          <w:szCs w:val="22"/>
          <w:lang w:val="en-US"/>
        </w:rPr>
        <w:t>A</w:t>
      </w:r>
      <w:r w:rsidR="000E184F" w:rsidRPr="008376FC">
        <w:rPr>
          <w:rFonts w:asciiTheme="majorHAnsi" w:hAnsiTheme="majorHAnsi" w:cstheme="majorHAnsi"/>
          <w:b/>
          <w:bCs/>
          <w:i/>
          <w:iCs/>
          <w:sz w:val="22"/>
          <w:szCs w:val="22"/>
          <w:lang w:val="en-US"/>
        </w:rPr>
        <w:t>limentare cu apă</w:t>
      </w:r>
      <w:r w:rsidR="000E184F" w:rsidRPr="008376FC">
        <w:rPr>
          <w:rFonts w:asciiTheme="majorHAnsi" w:hAnsiTheme="majorHAnsi" w:cstheme="majorHAnsi"/>
          <w:sz w:val="22"/>
          <w:szCs w:val="22"/>
          <w:lang w:val="en-US"/>
        </w:rPr>
        <w:t xml:space="preserve"> </w:t>
      </w:r>
      <w:r>
        <w:rPr>
          <w:rFonts w:asciiTheme="majorHAnsi" w:hAnsiTheme="majorHAnsi" w:cstheme="majorHAnsi"/>
          <w:sz w:val="22"/>
          <w:szCs w:val="22"/>
          <w:lang w:val="en-US"/>
        </w:rPr>
        <w:t>–</w:t>
      </w:r>
      <w:r w:rsidR="000E184F" w:rsidRPr="008376FC">
        <w:rPr>
          <w:rFonts w:asciiTheme="majorHAnsi" w:hAnsiTheme="majorHAnsi" w:cstheme="majorHAnsi"/>
          <w:sz w:val="22"/>
          <w:szCs w:val="22"/>
          <w:lang w:val="en-US"/>
        </w:rPr>
        <w:t xml:space="preserve"> totalitatea activităților și lucrărilor efectuate în scopul captării, tratării, transportării, înmagazinării și distribuirii apei potabile către consumatori. </w:t>
      </w:r>
    </w:p>
    <w:p w:rsidR="000E184F" w:rsidRPr="008376FC" w:rsidRDefault="00CE3051" w:rsidP="00F61756">
      <w:pPr>
        <w:pStyle w:val="a3"/>
        <w:spacing w:line="276" w:lineRule="auto"/>
        <w:ind w:left="0" w:firstLine="567"/>
        <w:jc w:val="both"/>
        <w:rPr>
          <w:rFonts w:asciiTheme="majorHAnsi" w:hAnsiTheme="majorHAnsi" w:cstheme="majorHAnsi"/>
          <w:sz w:val="22"/>
          <w:szCs w:val="22"/>
          <w:lang w:val="en-US"/>
        </w:rPr>
      </w:pPr>
      <w:r>
        <w:rPr>
          <w:rFonts w:asciiTheme="majorHAnsi" w:hAnsiTheme="majorHAnsi" w:cstheme="majorHAnsi"/>
          <w:b/>
          <w:i/>
          <w:iCs/>
          <w:sz w:val="22"/>
          <w:szCs w:val="22"/>
          <w:lang w:val="en-US"/>
        </w:rPr>
        <w:t>A</w:t>
      </w:r>
      <w:r w:rsidR="000E184F" w:rsidRPr="008376FC">
        <w:rPr>
          <w:rFonts w:asciiTheme="majorHAnsi" w:hAnsiTheme="majorHAnsi" w:cstheme="majorHAnsi"/>
          <w:b/>
          <w:i/>
          <w:iCs/>
          <w:sz w:val="22"/>
          <w:szCs w:val="22"/>
          <w:lang w:val="en-US"/>
        </w:rPr>
        <w:t>pă potabilă</w:t>
      </w:r>
      <w:r w:rsidR="000E184F" w:rsidRPr="008376FC">
        <w:rPr>
          <w:rFonts w:asciiTheme="majorHAnsi" w:hAnsiTheme="majorHAnsi" w:cstheme="majorHAnsi"/>
          <w:sz w:val="22"/>
          <w:szCs w:val="22"/>
          <w:lang w:val="en-US"/>
        </w:rPr>
        <w:t xml:space="preserve"> </w:t>
      </w:r>
      <w:r>
        <w:rPr>
          <w:rFonts w:asciiTheme="majorHAnsi" w:hAnsiTheme="majorHAnsi" w:cstheme="majorHAnsi"/>
          <w:sz w:val="22"/>
          <w:szCs w:val="22"/>
          <w:lang w:val="en-US"/>
        </w:rPr>
        <w:t>–</w:t>
      </w:r>
      <w:r w:rsidR="000E184F" w:rsidRPr="008376FC">
        <w:rPr>
          <w:rFonts w:asciiTheme="majorHAnsi" w:hAnsiTheme="majorHAnsi" w:cstheme="majorHAnsi"/>
          <w:sz w:val="22"/>
          <w:szCs w:val="22"/>
          <w:lang w:val="en-US"/>
        </w:rPr>
        <w:t xml:space="preserve"> apă destinată consumului uman, direct sau indirect, timp îndelungat fără a-i prejudicia sănătatea.</w:t>
      </w:r>
    </w:p>
    <w:p w:rsidR="008F2A2B" w:rsidRDefault="00CE3051" w:rsidP="00F61756">
      <w:pPr>
        <w:pStyle w:val="a3"/>
        <w:spacing w:line="276" w:lineRule="auto"/>
        <w:ind w:left="0" w:firstLine="567"/>
        <w:jc w:val="both"/>
        <w:rPr>
          <w:rFonts w:asciiTheme="majorHAnsi" w:hAnsiTheme="majorHAnsi" w:cstheme="majorHAnsi"/>
          <w:sz w:val="22"/>
          <w:szCs w:val="22"/>
          <w:lang w:val="en-US"/>
        </w:rPr>
      </w:pPr>
      <w:r>
        <w:rPr>
          <w:rFonts w:asciiTheme="majorHAnsi" w:hAnsiTheme="majorHAnsi" w:cstheme="majorHAnsi"/>
          <w:b/>
          <w:i/>
          <w:iCs/>
          <w:sz w:val="22"/>
          <w:szCs w:val="22"/>
          <w:lang w:val="en-US"/>
        </w:rPr>
        <w:t>E</w:t>
      </w:r>
      <w:r w:rsidR="000E184F" w:rsidRPr="008376FC">
        <w:rPr>
          <w:rFonts w:asciiTheme="majorHAnsi" w:hAnsiTheme="majorHAnsi" w:cstheme="majorHAnsi"/>
          <w:b/>
          <w:i/>
          <w:iCs/>
          <w:sz w:val="22"/>
          <w:szCs w:val="22"/>
          <w:lang w:val="en-US"/>
        </w:rPr>
        <w:t>purare corespunzătoare</w:t>
      </w:r>
      <w:r w:rsidR="000E184F" w:rsidRPr="008376FC">
        <w:rPr>
          <w:rFonts w:asciiTheme="majorHAnsi" w:hAnsiTheme="majorHAnsi" w:cstheme="majorHAnsi"/>
          <w:sz w:val="22"/>
          <w:szCs w:val="22"/>
          <w:lang w:val="en-US"/>
        </w:rPr>
        <w:t xml:space="preserve"> </w:t>
      </w:r>
      <w:r>
        <w:rPr>
          <w:rFonts w:asciiTheme="majorHAnsi" w:hAnsiTheme="majorHAnsi" w:cstheme="majorHAnsi"/>
          <w:sz w:val="22"/>
          <w:szCs w:val="22"/>
          <w:lang w:val="en-US"/>
        </w:rPr>
        <w:t>–</w:t>
      </w:r>
      <w:r w:rsidR="000E184F" w:rsidRPr="008376FC">
        <w:rPr>
          <w:rFonts w:asciiTheme="majorHAnsi" w:hAnsiTheme="majorHAnsi" w:cstheme="majorHAnsi"/>
          <w:sz w:val="22"/>
          <w:szCs w:val="22"/>
          <w:lang w:val="en-US"/>
        </w:rPr>
        <w:t xml:space="preserve"> epurarea apelor uzate prin orice proces și/sau sistem, care după evacuarea apelor uzate permite receptorilor să întrunească obiectivele relevante de calitate prevăzute în normele tehnice și în avizele și autorizațiile de gospodărire a apelor in vigoare</w:t>
      </w:r>
      <w:r w:rsidR="008F2A2B">
        <w:rPr>
          <w:rFonts w:asciiTheme="majorHAnsi" w:hAnsiTheme="majorHAnsi" w:cstheme="majorHAnsi"/>
          <w:sz w:val="22"/>
          <w:szCs w:val="22"/>
          <w:lang w:val="en-US"/>
        </w:rPr>
        <w:t>.</w:t>
      </w:r>
    </w:p>
    <w:p w:rsidR="000E184F" w:rsidRPr="008376FC" w:rsidRDefault="000E184F" w:rsidP="00F61756">
      <w:pPr>
        <w:pStyle w:val="a3"/>
        <w:spacing w:line="276" w:lineRule="auto"/>
        <w:ind w:left="0" w:firstLine="567"/>
        <w:jc w:val="both"/>
        <w:rPr>
          <w:rFonts w:asciiTheme="majorHAnsi" w:hAnsiTheme="majorHAnsi" w:cstheme="majorHAnsi"/>
          <w:sz w:val="22"/>
          <w:szCs w:val="22"/>
          <w:lang w:val="en-US"/>
        </w:rPr>
      </w:pPr>
      <w:r w:rsidRPr="00707D36">
        <w:rPr>
          <w:rFonts w:asciiTheme="majorHAnsi" w:hAnsiTheme="majorHAnsi" w:cstheme="majorHAnsi"/>
          <w:b/>
          <w:i/>
          <w:sz w:val="22"/>
          <w:szCs w:val="22"/>
          <w:lang w:val="en-US"/>
        </w:rPr>
        <w:t>Epurare primară</w:t>
      </w:r>
      <w:r w:rsidRPr="008376FC">
        <w:rPr>
          <w:rFonts w:asciiTheme="majorHAnsi" w:hAnsiTheme="majorHAnsi" w:cstheme="majorHAnsi"/>
          <w:sz w:val="22"/>
          <w:szCs w:val="22"/>
          <w:lang w:val="en-US"/>
        </w:rPr>
        <w:t xml:space="preserve"> </w:t>
      </w:r>
      <w:r w:rsidR="008F2A2B" w:rsidRPr="00707D36">
        <w:rPr>
          <w:rFonts w:asciiTheme="majorHAnsi" w:hAnsiTheme="majorHAnsi" w:cstheme="majorHAnsi"/>
          <w:sz w:val="22"/>
          <w:szCs w:val="22"/>
          <w:lang w:val="en-US"/>
        </w:rPr>
        <w:t>–</w:t>
      </w:r>
      <w:r w:rsidRPr="008376FC">
        <w:rPr>
          <w:rFonts w:asciiTheme="majorHAnsi" w:hAnsiTheme="majorHAnsi" w:cstheme="majorHAnsi"/>
          <w:sz w:val="22"/>
          <w:szCs w:val="22"/>
          <w:lang w:val="en-US"/>
        </w:rPr>
        <w:t xml:space="preserve"> epurarea apelor uzate printr-un proces fizic și/sau chimic, care implică decantarea materiilor în suspensie sau prin alte procedee în care CBO5 al apelor uzate influente este redus cu cel puțin 20%, iar materiile în suspensie, cu cel puțin 50%. </w:t>
      </w:r>
    </w:p>
    <w:p w:rsidR="000E184F" w:rsidRPr="008376FC" w:rsidRDefault="008F2A2B" w:rsidP="00F61756">
      <w:pPr>
        <w:pStyle w:val="a3"/>
        <w:spacing w:line="276" w:lineRule="auto"/>
        <w:ind w:left="0" w:firstLine="567"/>
        <w:jc w:val="both"/>
        <w:rPr>
          <w:rFonts w:asciiTheme="majorHAnsi" w:hAnsiTheme="majorHAnsi" w:cstheme="majorHAnsi"/>
          <w:sz w:val="22"/>
          <w:szCs w:val="22"/>
          <w:lang w:val="en-US"/>
        </w:rPr>
      </w:pPr>
      <w:r>
        <w:rPr>
          <w:rFonts w:asciiTheme="majorHAnsi" w:hAnsiTheme="majorHAnsi" w:cstheme="majorHAnsi"/>
          <w:b/>
          <w:i/>
          <w:iCs/>
          <w:sz w:val="22"/>
          <w:szCs w:val="22"/>
          <w:lang w:val="en-US"/>
        </w:rPr>
        <w:t>E</w:t>
      </w:r>
      <w:r w:rsidR="000E184F" w:rsidRPr="008376FC">
        <w:rPr>
          <w:rFonts w:asciiTheme="majorHAnsi" w:hAnsiTheme="majorHAnsi" w:cstheme="majorHAnsi"/>
          <w:b/>
          <w:i/>
          <w:iCs/>
          <w:sz w:val="22"/>
          <w:szCs w:val="22"/>
          <w:lang w:val="en-US"/>
        </w:rPr>
        <w:t>purare secundară</w:t>
      </w:r>
      <w:r w:rsidR="000E184F" w:rsidRPr="008376FC">
        <w:rPr>
          <w:rFonts w:asciiTheme="majorHAnsi" w:hAnsiTheme="majorHAnsi" w:cstheme="majorHAnsi"/>
          <w:sz w:val="22"/>
          <w:szCs w:val="22"/>
          <w:lang w:val="en-US"/>
        </w:rPr>
        <w:t xml:space="preserve"> </w:t>
      </w:r>
      <w:r w:rsidRPr="00707D36">
        <w:rPr>
          <w:rFonts w:asciiTheme="majorHAnsi" w:hAnsiTheme="majorHAnsi" w:cstheme="majorHAnsi"/>
          <w:sz w:val="22"/>
          <w:szCs w:val="22"/>
          <w:lang w:val="en-US"/>
        </w:rPr>
        <w:t>–</w:t>
      </w:r>
      <w:r w:rsidR="000E184F" w:rsidRPr="008376FC">
        <w:rPr>
          <w:rFonts w:asciiTheme="majorHAnsi" w:hAnsiTheme="majorHAnsi" w:cstheme="majorHAnsi"/>
          <w:sz w:val="22"/>
          <w:szCs w:val="22"/>
          <w:lang w:val="en-US"/>
        </w:rPr>
        <w:t xml:space="preserve"> epurarea apelor uzate printr-un proces biologic cu decantare secundară sau printr</w:t>
      </w:r>
      <w:r>
        <w:rPr>
          <w:rFonts w:asciiTheme="majorHAnsi" w:hAnsiTheme="majorHAnsi" w:cstheme="majorHAnsi"/>
          <w:sz w:val="22"/>
          <w:szCs w:val="22"/>
          <w:lang w:val="en-US"/>
        </w:rPr>
        <w:t>-</w:t>
      </w:r>
      <w:r w:rsidR="000E184F" w:rsidRPr="008376FC">
        <w:rPr>
          <w:rFonts w:asciiTheme="majorHAnsi" w:hAnsiTheme="majorHAnsi" w:cstheme="majorHAnsi"/>
          <w:sz w:val="22"/>
          <w:szCs w:val="22"/>
          <w:lang w:val="en-US"/>
        </w:rPr>
        <w:t>un alt procedeu, care permite respectarea condițiilor prevăzute în regulamente</w:t>
      </w:r>
      <w:r>
        <w:rPr>
          <w:rFonts w:asciiTheme="majorHAnsi" w:hAnsiTheme="majorHAnsi" w:cstheme="majorHAnsi"/>
          <w:sz w:val="22"/>
          <w:szCs w:val="22"/>
          <w:lang w:val="en-US"/>
        </w:rPr>
        <w:t>le</w:t>
      </w:r>
      <w:r w:rsidR="000E184F" w:rsidRPr="008376FC">
        <w:rPr>
          <w:rFonts w:asciiTheme="majorHAnsi" w:hAnsiTheme="majorHAnsi" w:cstheme="majorHAnsi"/>
          <w:sz w:val="22"/>
          <w:szCs w:val="22"/>
          <w:lang w:val="en-US"/>
        </w:rPr>
        <w:t xml:space="preserve"> în vigoare</w:t>
      </w:r>
      <w:r>
        <w:rPr>
          <w:rFonts w:asciiTheme="majorHAnsi" w:hAnsiTheme="majorHAnsi" w:cstheme="majorHAnsi"/>
          <w:sz w:val="22"/>
          <w:szCs w:val="22"/>
          <w:lang w:val="en-US"/>
        </w:rPr>
        <w:t>.</w:t>
      </w:r>
      <w:r w:rsidR="000E184F" w:rsidRPr="008376FC">
        <w:rPr>
          <w:rFonts w:asciiTheme="majorHAnsi" w:hAnsiTheme="majorHAnsi" w:cstheme="majorHAnsi"/>
          <w:sz w:val="22"/>
          <w:szCs w:val="22"/>
          <w:lang w:val="en-US"/>
        </w:rPr>
        <w:t xml:space="preserve"> </w:t>
      </w:r>
    </w:p>
    <w:p w:rsidR="000E184F" w:rsidRPr="008376FC" w:rsidRDefault="000E184F" w:rsidP="00F61756">
      <w:pPr>
        <w:pStyle w:val="a3"/>
        <w:spacing w:line="276" w:lineRule="auto"/>
        <w:ind w:left="0" w:firstLine="567"/>
        <w:jc w:val="both"/>
        <w:rPr>
          <w:rFonts w:asciiTheme="majorHAnsi" w:hAnsiTheme="majorHAnsi" w:cstheme="majorHAnsi"/>
          <w:sz w:val="22"/>
          <w:szCs w:val="22"/>
          <w:lang w:val="en-US"/>
        </w:rPr>
      </w:pPr>
      <w:r w:rsidRPr="008376FC">
        <w:rPr>
          <w:rFonts w:asciiTheme="majorHAnsi" w:hAnsiTheme="majorHAnsi" w:cstheme="majorHAnsi"/>
          <w:b/>
          <w:i/>
          <w:iCs/>
          <w:sz w:val="22"/>
          <w:szCs w:val="22"/>
          <w:lang w:val="en-US"/>
        </w:rPr>
        <w:t>Plan de alimentare cu apă şi sanitație (PAAS)</w:t>
      </w:r>
      <w:r w:rsidRPr="008376FC">
        <w:rPr>
          <w:rFonts w:asciiTheme="majorHAnsi" w:hAnsiTheme="majorHAnsi" w:cstheme="majorHAnsi"/>
          <w:sz w:val="22"/>
          <w:szCs w:val="22"/>
          <w:lang w:val="en-US"/>
        </w:rPr>
        <w:t xml:space="preserve"> </w:t>
      </w:r>
      <w:r w:rsidR="008F2A2B" w:rsidRPr="00707D36">
        <w:rPr>
          <w:rFonts w:asciiTheme="majorHAnsi" w:hAnsiTheme="majorHAnsi" w:cstheme="majorHAnsi"/>
          <w:sz w:val="22"/>
          <w:szCs w:val="22"/>
          <w:lang w:val="en-US"/>
        </w:rPr>
        <w:t>–</w:t>
      </w:r>
      <w:r w:rsidRPr="008376FC">
        <w:rPr>
          <w:rFonts w:asciiTheme="majorHAnsi" w:hAnsiTheme="majorHAnsi" w:cstheme="majorHAnsi"/>
          <w:sz w:val="22"/>
          <w:szCs w:val="22"/>
          <w:lang w:val="en-US"/>
        </w:rPr>
        <w:t xml:space="preserve"> document de planificare a investițiilor pentru dezvoltarea pe termen lung a infrastructurii de alimentare cu apă și sanitație, elaborat pentru o anumită regiune, raion sau localitate municipiu, oraș, sat, comună), astfel încât să se potrivească perfect cu sistemele existente și cu disponibilitățile și constrângerile ce vizează sursele de apă locale şi cu prevederile legislației în vigoare.</w:t>
      </w:r>
      <w:bookmarkEnd w:id="58"/>
      <w:bookmarkEnd w:id="59"/>
    </w:p>
    <w:p w:rsidR="000E184F" w:rsidRPr="008376FC" w:rsidRDefault="000E184F" w:rsidP="00F61756">
      <w:pPr>
        <w:pStyle w:val="a3"/>
        <w:spacing w:line="276" w:lineRule="auto"/>
        <w:ind w:left="0"/>
        <w:jc w:val="both"/>
        <w:rPr>
          <w:rFonts w:asciiTheme="majorHAnsi" w:hAnsiTheme="majorHAnsi"/>
          <w:lang w:val="en-US"/>
        </w:rPr>
      </w:pPr>
    </w:p>
    <w:p w:rsidR="000E184F" w:rsidRPr="00EC1A68" w:rsidRDefault="000E184F" w:rsidP="00F61756">
      <w:pPr>
        <w:spacing w:line="276" w:lineRule="auto"/>
        <w:rPr>
          <w:rFonts w:asciiTheme="majorHAnsi" w:hAnsiTheme="majorHAnsi" w:cstheme="majorHAnsi"/>
          <w:b w:val="0"/>
          <w:bCs w:val="0"/>
          <w:i/>
          <w:color w:val="0070C0"/>
          <w:sz w:val="24"/>
        </w:rPr>
      </w:pPr>
      <w:bookmarkStart w:id="60" w:name="_Toc116982795"/>
      <w:r w:rsidRPr="00EC1A68">
        <w:rPr>
          <w:rFonts w:asciiTheme="majorHAnsi" w:hAnsiTheme="majorHAnsi" w:cstheme="majorHAnsi"/>
          <w:color w:val="0070C0"/>
          <w:sz w:val="24"/>
        </w:rPr>
        <w:t>Anexa nr.</w:t>
      </w:r>
      <w:bookmarkStart w:id="61" w:name="_Toc116982796"/>
      <w:bookmarkEnd w:id="60"/>
      <w:r w:rsidRPr="00EC1A68">
        <w:rPr>
          <w:rFonts w:asciiTheme="majorHAnsi" w:hAnsiTheme="majorHAnsi" w:cstheme="majorHAnsi"/>
          <w:color w:val="0070C0"/>
          <w:sz w:val="24"/>
        </w:rPr>
        <w:t>19</w:t>
      </w:r>
      <w:r w:rsidRPr="00EC1A68">
        <w:rPr>
          <w:rFonts w:asciiTheme="majorHAnsi" w:hAnsiTheme="majorHAnsi" w:cstheme="majorHAnsi"/>
          <w:i/>
          <w:color w:val="0070C0"/>
          <w:sz w:val="24"/>
        </w:rPr>
        <w:t xml:space="preserve"> </w:t>
      </w:r>
      <w:r w:rsidRPr="00EC1A68">
        <w:rPr>
          <w:rFonts w:asciiTheme="majorHAnsi" w:hAnsiTheme="majorHAnsi" w:cstheme="majorHAnsi"/>
          <w:color w:val="0070C0"/>
          <w:sz w:val="24"/>
        </w:rPr>
        <w:t>Sursele criteriilor de audit</w:t>
      </w:r>
      <w:bookmarkEnd w:id="61"/>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Legea nr.272-XIV din 10 februarie 1999 cu privire la apa potabilă.</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 xml:space="preserve">Legea apelor nr. 272 din 23 decembrie 2011. </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Legea nr.436-XVI din 28 decembrie 2006 privind administraţia publică locală.</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Legea nr.1402-XV din 24 octombrie 2002 a serviciilor publice de gospodărie comunală.</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Legea nr.303 din 13 decembrie 2013 a serviciului public de alimentare cu apă şi canalizare.</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Legea nr.10-XVI din 3 februarie 2009 privind supravegherea de stat a sănătăţii publice.</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Legea nr.272-XIV din 10 februarie 1999 cu privire la apa potabilă.</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Legea nr. 27 din 10.02.2022 privind Fondul național pentru dezvoltare regională și locală.</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Hotărârea Guvernului nr.934 din 15 august 2007 „Cu privire la instituirea sistemului informaţional automatizat «Registrul de stat al apelor minerale naturale, potabile şi băuturilor nealcoolice îmbuteliate»”.</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Hotărârea Guvernului nr.950 din 25 noiembrie 2013 „Pentru aprobarea Regulamentului privind cerinţele de colectare, epurare şi deversare a apelor uzate în sistemul de canalizare şi/sau în corpuri de apă pentru localităţile urbane şi rurale”.</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 xml:space="preserve">Hotărârea Guvernului nr.455 din 21.06.2017 </w:t>
      </w:r>
      <w:r w:rsidR="003F602A">
        <w:rPr>
          <w:rFonts w:ascii="Calibri Light" w:hAnsi="Calibri Light" w:cs="Calibri Light"/>
          <w:sz w:val="22"/>
          <w:szCs w:val="22"/>
          <w:lang w:val="ro-RO"/>
        </w:rPr>
        <w:t>„C</w:t>
      </w:r>
      <w:r w:rsidRPr="008376FC">
        <w:rPr>
          <w:rFonts w:ascii="Calibri Light" w:hAnsi="Calibri Light" w:cs="Calibri Light"/>
          <w:sz w:val="22"/>
          <w:szCs w:val="22"/>
          <w:lang w:val="ro-RO"/>
        </w:rPr>
        <w:t>u privire la modul de repartizare a mijloacelor Fondului național de dezvoltare a agriculturii și mediului rural</w:t>
      </w:r>
      <w:r w:rsidR="003F602A">
        <w:rPr>
          <w:rFonts w:ascii="Calibri Light" w:hAnsi="Calibri Light" w:cs="Calibri Light"/>
          <w:sz w:val="22"/>
          <w:szCs w:val="22"/>
          <w:lang w:val="ro-RO"/>
        </w:rPr>
        <w:t>”</w:t>
      </w:r>
      <w:r w:rsidRPr="008376FC">
        <w:rPr>
          <w:rFonts w:ascii="Calibri Light" w:hAnsi="Calibri Light" w:cs="Calibri Light"/>
          <w:sz w:val="22"/>
          <w:szCs w:val="22"/>
          <w:lang w:val="ro-RO"/>
        </w:rPr>
        <w:t>.</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 xml:space="preserve">Hotărârea Guvernului nr.476 din 18.10.2019 </w:t>
      </w:r>
      <w:r w:rsidR="003F602A">
        <w:rPr>
          <w:rFonts w:ascii="Calibri Light" w:hAnsi="Calibri Light" w:cs="Calibri Light"/>
          <w:sz w:val="22"/>
          <w:szCs w:val="22"/>
          <w:lang w:val="ro-RO"/>
        </w:rPr>
        <w:t>„P</w:t>
      </w:r>
      <w:r w:rsidRPr="008376FC">
        <w:rPr>
          <w:rFonts w:ascii="Calibri Light" w:hAnsi="Calibri Light" w:cs="Calibri Light"/>
          <w:sz w:val="22"/>
          <w:szCs w:val="22"/>
          <w:lang w:val="ro-RO"/>
        </w:rPr>
        <w:t>entru aprobarea Regulamentului privind acordarea subvențiilor pentru îmbunătățirea nivelului de trai și de muncă în mediul rural din Fondul național de dezvoltare a agriculturii și mediului rural</w:t>
      </w:r>
      <w:r w:rsidR="003F602A">
        <w:rPr>
          <w:rFonts w:ascii="Calibri Light" w:hAnsi="Calibri Light" w:cs="Calibri Light"/>
          <w:sz w:val="22"/>
          <w:szCs w:val="22"/>
          <w:lang w:val="ro-RO"/>
        </w:rPr>
        <w:t>”</w:t>
      </w:r>
      <w:r w:rsidRPr="008376FC">
        <w:rPr>
          <w:rFonts w:ascii="Calibri Light" w:hAnsi="Calibri Light" w:cs="Calibri Light"/>
          <w:sz w:val="22"/>
          <w:szCs w:val="22"/>
          <w:lang w:val="ro-RO"/>
        </w:rPr>
        <w:t>.</w:t>
      </w:r>
    </w:p>
    <w:p w:rsidR="000E184F" w:rsidRPr="008376FC" w:rsidRDefault="000E184F" w:rsidP="00F61756">
      <w:pPr>
        <w:pStyle w:val="a3"/>
        <w:numPr>
          <w:ilvl w:val="0"/>
          <w:numId w:val="69"/>
        </w:numPr>
        <w:tabs>
          <w:tab w:val="left" w:pos="352"/>
          <w:tab w:val="left" w:pos="993"/>
        </w:tabs>
        <w:spacing w:line="276" w:lineRule="auto"/>
        <w:jc w:val="both"/>
        <w:rPr>
          <w:rFonts w:ascii="Calibri Light" w:hAnsi="Calibri Light" w:cs="Calibri Light"/>
          <w:sz w:val="22"/>
          <w:szCs w:val="22"/>
          <w:lang w:val="ro-RO"/>
        </w:rPr>
      </w:pPr>
      <w:r w:rsidRPr="008376FC">
        <w:rPr>
          <w:rFonts w:ascii="Calibri Light" w:hAnsi="Calibri Light" w:cs="Calibri Light"/>
          <w:sz w:val="22"/>
          <w:szCs w:val="22"/>
          <w:lang w:val="ro-RO"/>
        </w:rPr>
        <w:t xml:space="preserve">Hotărârea Guvernului nr.152 din 09.03.2022 </w:t>
      </w:r>
      <w:r w:rsidR="003F602A">
        <w:rPr>
          <w:rFonts w:ascii="Calibri Light" w:hAnsi="Calibri Light" w:cs="Calibri Light"/>
          <w:sz w:val="22"/>
          <w:szCs w:val="22"/>
          <w:lang w:val="ro-RO"/>
        </w:rPr>
        <w:t>„C</w:t>
      </w:r>
      <w:r w:rsidRPr="008376FC">
        <w:rPr>
          <w:rFonts w:ascii="Calibri Light" w:hAnsi="Calibri Light" w:cs="Calibri Light"/>
          <w:sz w:val="22"/>
          <w:szCs w:val="22"/>
          <w:lang w:val="ro-RO"/>
        </w:rPr>
        <w:t>u privire la aprobarea Regulamentului privind gestionarea mijloacelor financiare ale Fondului național pentru dezvoltare regională și local</w:t>
      </w:r>
      <w:r w:rsidR="003F602A">
        <w:rPr>
          <w:rFonts w:ascii="Calibri Light" w:hAnsi="Calibri Light" w:cs="Calibri Light"/>
          <w:sz w:val="22"/>
          <w:szCs w:val="22"/>
          <w:lang w:val="ro-RO"/>
        </w:rPr>
        <w:t>ă”</w:t>
      </w:r>
      <w:r w:rsidRPr="008376FC">
        <w:rPr>
          <w:rFonts w:ascii="Calibri Light" w:hAnsi="Calibri Light" w:cs="Calibri Light"/>
          <w:sz w:val="22"/>
          <w:szCs w:val="22"/>
          <w:lang w:val="ro-RO"/>
        </w:rPr>
        <w:t>.</w:t>
      </w:r>
    </w:p>
    <w:p w:rsidR="000E184F" w:rsidRDefault="000E184F" w:rsidP="00F61756">
      <w:pPr>
        <w:pStyle w:val="2"/>
        <w:spacing w:line="276" w:lineRule="auto"/>
        <w:rPr>
          <w:rFonts w:cstheme="majorHAnsi"/>
          <w:b w:val="0"/>
          <w:bCs w:val="0"/>
          <w:color w:val="auto"/>
          <w:sz w:val="24"/>
        </w:rPr>
      </w:pPr>
    </w:p>
    <w:p w:rsidR="000E184F" w:rsidRPr="00EC1A68" w:rsidRDefault="000E184F" w:rsidP="00F61756">
      <w:pPr>
        <w:spacing w:line="276" w:lineRule="auto"/>
        <w:rPr>
          <w:rFonts w:asciiTheme="majorHAnsi" w:hAnsiTheme="majorHAnsi" w:cstheme="majorHAnsi"/>
          <w:bCs w:val="0"/>
          <w:color w:val="0070C0"/>
          <w:sz w:val="24"/>
          <w:szCs w:val="24"/>
        </w:rPr>
      </w:pPr>
      <w:r w:rsidRPr="00EC1A68">
        <w:rPr>
          <w:rFonts w:asciiTheme="majorHAnsi" w:hAnsiTheme="majorHAnsi" w:cstheme="majorHAnsi"/>
          <w:color w:val="0070C0"/>
          <w:sz w:val="24"/>
        </w:rPr>
        <w:t>Anexa nr.20</w:t>
      </w:r>
      <w:r w:rsidRPr="00EC1A68">
        <w:rPr>
          <w:rFonts w:asciiTheme="majorHAnsi" w:hAnsiTheme="majorHAnsi" w:cstheme="majorHAnsi"/>
          <w:i/>
          <w:color w:val="0070C0"/>
          <w:sz w:val="24"/>
        </w:rPr>
        <w:t xml:space="preserve"> </w:t>
      </w:r>
      <w:r w:rsidR="00F20AA4" w:rsidRPr="00EC1A68">
        <w:rPr>
          <w:rFonts w:asciiTheme="majorHAnsi" w:hAnsiTheme="majorHAnsi" w:cstheme="majorHAnsi"/>
          <w:color w:val="0070C0"/>
          <w:sz w:val="24"/>
          <w:szCs w:val="24"/>
        </w:rPr>
        <w:t>I</w:t>
      </w:r>
      <w:r w:rsidRPr="00EC1A68">
        <w:rPr>
          <w:rFonts w:asciiTheme="majorHAnsi" w:hAnsiTheme="majorHAnsi" w:cstheme="majorHAnsi"/>
          <w:color w:val="0070C0"/>
          <w:sz w:val="24"/>
          <w:szCs w:val="24"/>
        </w:rPr>
        <w:t>nformație privind PI active la data trasmiterii către FNM, mil.lei</w:t>
      </w:r>
    </w:p>
    <w:tbl>
      <w:tblPr>
        <w:tblStyle w:val="TableGrid12"/>
        <w:tblW w:w="10055" w:type="dxa"/>
        <w:tblInd w:w="-318" w:type="dxa"/>
        <w:tblLook w:val="04A0" w:firstRow="1" w:lastRow="0" w:firstColumn="1" w:lastColumn="0" w:noHBand="0" w:noVBand="1"/>
      </w:tblPr>
      <w:tblGrid>
        <w:gridCol w:w="473"/>
        <w:gridCol w:w="2212"/>
        <w:gridCol w:w="710"/>
        <w:gridCol w:w="686"/>
        <w:gridCol w:w="710"/>
        <w:gridCol w:w="686"/>
        <w:gridCol w:w="698"/>
        <w:gridCol w:w="602"/>
        <w:gridCol w:w="631"/>
        <w:gridCol w:w="631"/>
        <w:gridCol w:w="686"/>
        <w:gridCol w:w="555"/>
        <w:gridCol w:w="775"/>
      </w:tblGrid>
      <w:tr w:rsidR="00A34A78" w:rsidRPr="008376FC" w:rsidTr="00312935">
        <w:trPr>
          <w:trHeight w:val="110"/>
        </w:trPr>
        <w:tc>
          <w:tcPr>
            <w:tcW w:w="473" w:type="dxa"/>
            <w:vMerge w:val="restart"/>
            <w:shd w:val="clear" w:color="auto" w:fill="BDD6EE"/>
          </w:tcPr>
          <w:p w:rsidR="00A34A78" w:rsidRPr="008376FC" w:rsidRDefault="00A34A78" w:rsidP="00F61756">
            <w:pPr>
              <w:spacing w:line="276" w:lineRule="auto"/>
              <w:rPr>
                <w:rFonts w:ascii="Calibri Light" w:hAnsi="Calibri Light" w:cs="Calibri Light"/>
                <w:sz w:val="16"/>
                <w:szCs w:val="16"/>
              </w:rPr>
            </w:pPr>
            <w:r w:rsidRPr="008376FC">
              <w:rPr>
                <w:rFonts w:ascii="Calibri Light" w:hAnsi="Calibri Light" w:cs="Calibri Light"/>
                <w:sz w:val="16"/>
                <w:szCs w:val="16"/>
              </w:rPr>
              <w:t xml:space="preserve">Nr. </w:t>
            </w:r>
            <w:r w:rsidR="003F602A">
              <w:rPr>
                <w:rFonts w:ascii="Calibri Light" w:hAnsi="Calibri Light" w:cs="Calibri Light"/>
                <w:sz w:val="16"/>
                <w:szCs w:val="16"/>
              </w:rPr>
              <w:t>crt.</w:t>
            </w:r>
          </w:p>
        </w:tc>
        <w:tc>
          <w:tcPr>
            <w:tcW w:w="2212" w:type="dxa"/>
            <w:vMerge w:val="restart"/>
            <w:shd w:val="clear" w:color="auto" w:fill="BDD6EE"/>
          </w:tcPr>
          <w:p w:rsidR="00A34A78" w:rsidRPr="008376FC" w:rsidRDefault="00A34A78" w:rsidP="00F61756">
            <w:pPr>
              <w:spacing w:line="276" w:lineRule="auto"/>
              <w:rPr>
                <w:rFonts w:ascii="Calibri Light" w:hAnsi="Calibri Light" w:cs="Calibri Light"/>
                <w:sz w:val="16"/>
                <w:szCs w:val="16"/>
              </w:rPr>
            </w:pPr>
            <w:r w:rsidRPr="008376FC">
              <w:rPr>
                <w:rFonts w:ascii="Calibri Light" w:hAnsi="Calibri Light" w:cs="Calibri Light"/>
                <w:sz w:val="16"/>
                <w:szCs w:val="16"/>
              </w:rPr>
              <w:t>Indicatorii</w:t>
            </w:r>
          </w:p>
        </w:tc>
        <w:tc>
          <w:tcPr>
            <w:tcW w:w="7369" w:type="dxa"/>
            <w:gridSpan w:val="11"/>
            <w:shd w:val="clear" w:color="auto" w:fill="BDD6EE"/>
          </w:tcPr>
          <w:p w:rsidR="00A34A78" w:rsidRPr="008376FC" w:rsidRDefault="00A34A78" w:rsidP="00F61756">
            <w:pPr>
              <w:spacing w:line="276" w:lineRule="auto"/>
              <w:jc w:val="center"/>
              <w:rPr>
                <w:rFonts w:ascii="Calibri Light" w:hAnsi="Calibri Light" w:cs="Calibri Light"/>
                <w:sz w:val="16"/>
                <w:szCs w:val="16"/>
              </w:rPr>
            </w:pPr>
            <w:r w:rsidRPr="008376FC">
              <w:rPr>
                <w:rFonts w:ascii="Calibri Light" w:hAnsi="Calibri Light" w:cs="Calibri Light"/>
                <w:sz w:val="16"/>
                <w:szCs w:val="16"/>
              </w:rPr>
              <w:t>Inițiate în anii:</w:t>
            </w:r>
            <w:r w:rsidR="00312935">
              <w:rPr>
                <w:rFonts w:ascii="Calibri Light" w:hAnsi="Calibri Light" w:cs="Calibri Light"/>
                <w:sz w:val="16"/>
                <w:szCs w:val="16"/>
              </w:rPr>
              <w:t>-</w:t>
            </w:r>
          </w:p>
        </w:tc>
      </w:tr>
      <w:tr w:rsidR="000E184F" w:rsidRPr="008376FC" w:rsidTr="002662D4">
        <w:trPr>
          <w:trHeight w:val="168"/>
        </w:trPr>
        <w:tc>
          <w:tcPr>
            <w:tcW w:w="473" w:type="dxa"/>
            <w:vMerge/>
          </w:tcPr>
          <w:p w:rsidR="000E184F" w:rsidRPr="008376FC" w:rsidRDefault="000E184F" w:rsidP="00F61756">
            <w:pPr>
              <w:spacing w:line="276" w:lineRule="auto"/>
              <w:rPr>
                <w:rFonts w:ascii="Calibri Light" w:hAnsi="Calibri Light" w:cs="Calibri Light"/>
                <w:sz w:val="16"/>
                <w:szCs w:val="16"/>
              </w:rPr>
            </w:pPr>
          </w:p>
        </w:tc>
        <w:tc>
          <w:tcPr>
            <w:tcW w:w="2212" w:type="dxa"/>
            <w:vMerge/>
          </w:tcPr>
          <w:p w:rsidR="000E184F" w:rsidRPr="008376FC" w:rsidRDefault="000E184F" w:rsidP="00F61756">
            <w:pPr>
              <w:spacing w:line="276" w:lineRule="auto"/>
              <w:rPr>
                <w:rFonts w:ascii="Calibri Light" w:hAnsi="Calibri Light" w:cs="Calibri Light"/>
                <w:sz w:val="16"/>
                <w:szCs w:val="16"/>
              </w:rPr>
            </w:pPr>
          </w:p>
        </w:tc>
        <w:tc>
          <w:tcPr>
            <w:tcW w:w="710" w:type="dxa"/>
            <w:shd w:val="clear" w:color="auto" w:fill="BDD6EE"/>
          </w:tcPr>
          <w:p w:rsidR="000E184F" w:rsidRPr="008376FC" w:rsidRDefault="000E184F" w:rsidP="00F61756">
            <w:pPr>
              <w:spacing w:line="276" w:lineRule="auto"/>
              <w:rPr>
                <w:rFonts w:ascii="Calibri Light" w:hAnsi="Calibri Light" w:cs="Calibri Light"/>
                <w:sz w:val="16"/>
                <w:szCs w:val="16"/>
              </w:rPr>
            </w:pPr>
            <w:r w:rsidRPr="008376FC">
              <w:rPr>
                <w:rFonts w:ascii="Calibri Light" w:hAnsi="Calibri Light" w:cs="Calibri Light"/>
                <w:sz w:val="16"/>
                <w:szCs w:val="16"/>
              </w:rPr>
              <w:t>2013, și mai înainte</w:t>
            </w:r>
          </w:p>
        </w:tc>
        <w:tc>
          <w:tcPr>
            <w:tcW w:w="686" w:type="dxa"/>
            <w:shd w:val="clear" w:color="auto" w:fill="BDD6EE"/>
          </w:tcPr>
          <w:p w:rsidR="000E184F" w:rsidRPr="008376FC" w:rsidRDefault="000E184F" w:rsidP="00F61756">
            <w:pPr>
              <w:spacing w:line="276" w:lineRule="auto"/>
              <w:rPr>
                <w:rFonts w:ascii="Calibri Light" w:hAnsi="Calibri Light" w:cs="Calibri Light"/>
                <w:sz w:val="16"/>
                <w:szCs w:val="16"/>
              </w:rPr>
            </w:pPr>
            <w:r w:rsidRPr="008376FC">
              <w:rPr>
                <w:rFonts w:ascii="Calibri Light" w:hAnsi="Calibri Light" w:cs="Calibri Light"/>
                <w:sz w:val="16"/>
                <w:szCs w:val="16"/>
              </w:rPr>
              <w:t>2014</w:t>
            </w:r>
          </w:p>
        </w:tc>
        <w:tc>
          <w:tcPr>
            <w:tcW w:w="710" w:type="dxa"/>
            <w:shd w:val="clear" w:color="auto" w:fill="BDD6EE"/>
          </w:tcPr>
          <w:p w:rsidR="000E184F" w:rsidRPr="008376FC" w:rsidRDefault="000E184F" w:rsidP="00F61756">
            <w:pPr>
              <w:spacing w:line="276" w:lineRule="auto"/>
              <w:rPr>
                <w:rFonts w:ascii="Calibri Light" w:hAnsi="Calibri Light" w:cs="Calibri Light"/>
                <w:sz w:val="16"/>
                <w:szCs w:val="16"/>
              </w:rPr>
            </w:pPr>
            <w:r w:rsidRPr="008376FC">
              <w:rPr>
                <w:rFonts w:ascii="Calibri Light" w:hAnsi="Calibri Light" w:cs="Calibri Light"/>
                <w:sz w:val="16"/>
                <w:szCs w:val="16"/>
              </w:rPr>
              <w:t>2015</w:t>
            </w:r>
          </w:p>
        </w:tc>
        <w:tc>
          <w:tcPr>
            <w:tcW w:w="686" w:type="dxa"/>
            <w:shd w:val="clear" w:color="auto" w:fill="BDD6EE"/>
          </w:tcPr>
          <w:p w:rsidR="000E184F" w:rsidRPr="008376FC" w:rsidRDefault="000E184F" w:rsidP="00F61756">
            <w:pPr>
              <w:spacing w:line="276" w:lineRule="auto"/>
              <w:rPr>
                <w:rFonts w:ascii="Calibri Light" w:hAnsi="Calibri Light" w:cs="Calibri Light"/>
                <w:sz w:val="16"/>
                <w:szCs w:val="16"/>
              </w:rPr>
            </w:pPr>
            <w:r w:rsidRPr="008376FC">
              <w:rPr>
                <w:rFonts w:ascii="Calibri Light" w:hAnsi="Calibri Light" w:cs="Calibri Light"/>
                <w:sz w:val="16"/>
                <w:szCs w:val="16"/>
              </w:rPr>
              <w:t>2016</w:t>
            </w:r>
          </w:p>
        </w:tc>
        <w:tc>
          <w:tcPr>
            <w:tcW w:w="698" w:type="dxa"/>
            <w:shd w:val="clear" w:color="auto" w:fill="BDD6EE"/>
          </w:tcPr>
          <w:p w:rsidR="000E184F" w:rsidRPr="008376FC" w:rsidRDefault="000E184F" w:rsidP="00F61756">
            <w:pPr>
              <w:spacing w:line="276" w:lineRule="auto"/>
              <w:rPr>
                <w:rFonts w:ascii="Calibri Light" w:hAnsi="Calibri Light" w:cs="Calibri Light"/>
                <w:sz w:val="16"/>
                <w:szCs w:val="16"/>
              </w:rPr>
            </w:pPr>
            <w:r w:rsidRPr="008376FC">
              <w:rPr>
                <w:rFonts w:ascii="Calibri Light" w:hAnsi="Calibri Light" w:cs="Calibri Light"/>
                <w:sz w:val="16"/>
                <w:szCs w:val="16"/>
              </w:rPr>
              <w:t>2017</w:t>
            </w:r>
          </w:p>
        </w:tc>
        <w:tc>
          <w:tcPr>
            <w:tcW w:w="602" w:type="dxa"/>
            <w:shd w:val="clear" w:color="auto" w:fill="BDD6EE"/>
          </w:tcPr>
          <w:p w:rsidR="000E184F" w:rsidRPr="008376FC" w:rsidRDefault="000E184F" w:rsidP="00F61756">
            <w:pPr>
              <w:spacing w:line="276" w:lineRule="auto"/>
              <w:rPr>
                <w:rFonts w:ascii="Calibri Light" w:hAnsi="Calibri Light" w:cs="Calibri Light"/>
                <w:sz w:val="16"/>
                <w:szCs w:val="16"/>
              </w:rPr>
            </w:pPr>
            <w:r w:rsidRPr="008376FC">
              <w:rPr>
                <w:rFonts w:ascii="Calibri Light" w:hAnsi="Calibri Light" w:cs="Calibri Light"/>
                <w:sz w:val="16"/>
                <w:szCs w:val="16"/>
              </w:rPr>
              <w:t>2018</w:t>
            </w:r>
          </w:p>
        </w:tc>
        <w:tc>
          <w:tcPr>
            <w:tcW w:w="631" w:type="dxa"/>
            <w:shd w:val="clear" w:color="auto" w:fill="BDD6EE"/>
          </w:tcPr>
          <w:p w:rsidR="000E184F" w:rsidRPr="008376FC" w:rsidRDefault="000E184F" w:rsidP="00F61756">
            <w:pPr>
              <w:spacing w:line="276" w:lineRule="auto"/>
              <w:rPr>
                <w:rFonts w:ascii="Calibri Light" w:hAnsi="Calibri Light" w:cs="Calibri Light"/>
                <w:sz w:val="16"/>
                <w:szCs w:val="16"/>
              </w:rPr>
            </w:pPr>
            <w:r w:rsidRPr="008376FC">
              <w:rPr>
                <w:rFonts w:ascii="Calibri Light" w:hAnsi="Calibri Light" w:cs="Calibri Light"/>
                <w:sz w:val="16"/>
                <w:szCs w:val="16"/>
              </w:rPr>
              <w:t>2019</w:t>
            </w:r>
          </w:p>
        </w:tc>
        <w:tc>
          <w:tcPr>
            <w:tcW w:w="631" w:type="dxa"/>
            <w:shd w:val="clear" w:color="auto" w:fill="BDD6EE"/>
          </w:tcPr>
          <w:p w:rsidR="000E184F" w:rsidRPr="008376FC" w:rsidRDefault="000E184F" w:rsidP="00F61756">
            <w:pPr>
              <w:spacing w:line="276" w:lineRule="auto"/>
              <w:rPr>
                <w:rFonts w:ascii="Calibri Light" w:hAnsi="Calibri Light" w:cs="Calibri Light"/>
                <w:sz w:val="16"/>
                <w:szCs w:val="16"/>
              </w:rPr>
            </w:pPr>
            <w:r w:rsidRPr="008376FC">
              <w:rPr>
                <w:rFonts w:ascii="Calibri Light" w:hAnsi="Calibri Light" w:cs="Calibri Light"/>
                <w:sz w:val="16"/>
                <w:szCs w:val="16"/>
              </w:rPr>
              <w:t>2020</w:t>
            </w:r>
          </w:p>
        </w:tc>
        <w:tc>
          <w:tcPr>
            <w:tcW w:w="686" w:type="dxa"/>
            <w:shd w:val="clear" w:color="auto" w:fill="BDD6EE"/>
          </w:tcPr>
          <w:p w:rsidR="000E184F" w:rsidRPr="008376FC" w:rsidRDefault="000E184F" w:rsidP="00F61756">
            <w:pPr>
              <w:spacing w:line="276" w:lineRule="auto"/>
              <w:rPr>
                <w:rFonts w:ascii="Calibri Light" w:hAnsi="Calibri Light" w:cs="Calibri Light"/>
                <w:sz w:val="16"/>
                <w:szCs w:val="16"/>
              </w:rPr>
            </w:pPr>
            <w:r w:rsidRPr="008376FC">
              <w:rPr>
                <w:rFonts w:ascii="Calibri Light" w:hAnsi="Calibri Light" w:cs="Calibri Light"/>
                <w:sz w:val="16"/>
                <w:szCs w:val="16"/>
              </w:rPr>
              <w:t>2021</w:t>
            </w:r>
          </w:p>
        </w:tc>
        <w:tc>
          <w:tcPr>
            <w:tcW w:w="555" w:type="dxa"/>
            <w:shd w:val="clear" w:color="auto" w:fill="BDD6EE"/>
          </w:tcPr>
          <w:p w:rsidR="000E184F" w:rsidRPr="008376FC" w:rsidRDefault="000E184F" w:rsidP="00F61756">
            <w:pPr>
              <w:spacing w:line="276" w:lineRule="auto"/>
              <w:rPr>
                <w:rFonts w:ascii="Calibri Light" w:hAnsi="Calibri Light" w:cs="Calibri Light"/>
                <w:sz w:val="16"/>
                <w:szCs w:val="16"/>
              </w:rPr>
            </w:pPr>
            <w:r w:rsidRPr="008376FC">
              <w:rPr>
                <w:rFonts w:ascii="Calibri Light" w:hAnsi="Calibri Light" w:cs="Calibri Light"/>
                <w:sz w:val="16"/>
                <w:szCs w:val="16"/>
              </w:rPr>
              <w:t>2022</w:t>
            </w:r>
          </w:p>
        </w:tc>
        <w:tc>
          <w:tcPr>
            <w:tcW w:w="770" w:type="dxa"/>
            <w:shd w:val="clear" w:color="auto" w:fill="BDD6EE" w:themeFill="accent1" w:themeFillTint="66"/>
          </w:tcPr>
          <w:p w:rsidR="000E184F" w:rsidRPr="008376FC" w:rsidRDefault="00A34A78" w:rsidP="00F61756">
            <w:pPr>
              <w:spacing w:line="276" w:lineRule="auto"/>
              <w:rPr>
                <w:rFonts w:ascii="Calibri Light" w:hAnsi="Calibri Light" w:cs="Calibri Light"/>
                <w:sz w:val="16"/>
                <w:szCs w:val="16"/>
              </w:rPr>
            </w:pPr>
            <w:r w:rsidRPr="008376FC">
              <w:rPr>
                <w:rFonts w:ascii="Calibri Light" w:hAnsi="Calibri Light" w:cs="Calibri Light"/>
                <w:sz w:val="16"/>
                <w:szCs w:val="16"/>
              </w:rPr>
              <w:t>Total</w:t>
            </w:r>
          </w:p>
        </w:tc>
      </w:tr>
      <w:tr w:rsidR="000E184F" w:rsidRPr="008376FC" w:rsidTr="00EC1A68">
        <w:trPr>
          <w:trHeight w:val="54"/>
        </w:trPr>
        <w:tc>
          <w:tcPr>
            <w:tcW w:w="10055" w:type="dxa"/>
            <w:gridSpan w:val="13"/>
          </w:tcPr>
          <w:p w:rsidR="000E184F" w:rsidRPr="008376FC" w:rsidRDefault="000E184F" w:rsidP="00F61756">
            <w:pPr>
              <w:numPr>
                <w:ilvl w:val="0"/>
                <w:numId w:val="33"/>
              </w:numPr>
              <w:spacing w:line="276" w:lineRule="auto"/>
              <w:ind w:left="0"/>
              <w:contextualSpacing/>
              <w:jc w:val="center"/>
              <w:rPr>
                <w:rFonts w:ascii="Calibri Light" w:eastAsia="Times New Roman" w:hAnsi="Calibri Light" w:cs="Calibri Light"/>
                <w:sz w:val="16"/>
                <w:szCs w:val="16"/>
                <w:lang w:val="ru-RU" w:eastAsia="ru-RU"/>
              </w:rPr>
            </w:pPr>
            <w:r w:rsidRPr="008376FC">
              <w:rPr>
                <w:rFonts w:ascii="Calibri Light" w:eastAsia="Times New Roman" w:hAnsi="Calibri Light" w:cs="Calibri Light"/>
                <w:sz w:val="16"/>
                <w:szCs w:val="16"/>
                <w:lang w:val="ru-RU" w:eastAsia="ru-RU"/>
              </w:rPr>
              <w:t>Numărul P</w:t>
            </w:r>
            <w:r w:rsidRPr="008376FC">
              <w:rPr>
                <w:rFonts w:ascii="Calibri Light" w:eastAsia="Times New Roman" w:hAnsi="Calibri Light" w:cs="Calibri Light"/>
                <w:sz w:val="16"/>
                <w:szCs w:val="16"/>
                <w:lang w:eastAsia="ru-RU"/>
              </w:rPr>
              <w:t xml:space="preserve">roiectelor </w:t>
            </w:r>
            <w:r w:rsidRPr="008376FC">
              <w:rPr>
                <w:rFonts w:ascii="Calibri Light" w:eastAsia="Times New Roman" w:hAnsi="Calibri Light" w:cs="Calibri Light"/>
                <w:sz w:val="16"/>
                <w:szCs w:val="16"/>
                <w:lang w:val="ru-RU" w:eastAsia="ru-RU"/>
              </w:rPr>
              <w:t>I</w:t>
            </w:r>
            <w:r w:rsidRPr="008376FC">
              <w:rPr>
                <w:rFonts w:ascii="Calibri Light" w:eastAsia="Times New Roman" w:hAnsi="Calibri Light" w:cs="Calibri Light"/>
                <w:sz w:val="16"/>
                <w:szCs w:val="16"/>
                <w:lang w:eastAsia="ru-RU"/>
              </w:rPr>
              <w:t xml:space="preserve">nvestiționale, </w:t>
            </w:r>
            <w:r w:rsidRPr="008376FC">
              <w:rPr>
                <w:rFonts w:ascii="Calibri Light" w:eastAsia="Times New Roman" w:hAnsi="Calibri Light" w:cs="Calibri Light"/>
                <w:sz w:val="16"/>
                <w:szCs w:val="16"/>
                <w:lang w:val="ru-RU" w:eastAsia="ru-RU"/>
              </w:rPr>
              <w:t>unități</w:t>
            </w:r>
          </w:p>
        </w:tc>
      </w:tr>
      <w:tr w:rsidR="000E184F" w:rsidRPr="008376FC" w:rsidTr="00312935">
        <w:trPr>
          <w:trHeight w:val="56"/>
        </w:trPr>
        <w:tc>
          <w:tcPr>
            <w:tcW w:w="473" w:type="dxa"/>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1.1</w:t>
            </w:r>
          </w:p>
        </w:tc>
        <w:tc>
          <w:tcPr>
            <w:tcW w:w="2212" w:type="dxa"/>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PI  inițiate</w:t>
            </w:r>
          </w:p>
        </w:tc>
        <w:tc>
          <w:tcPr>
            <w:tcW w:w="71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157</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124</w:t>
            </w:r>
          </w:p>
        </w:tc>
        <w:tc>
          <w:tcPr>
            <w:tcW w:w="71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89</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64</w:t>
            </w:r>
          </w:p>
        </w:tc>
        <w:tc>
          <w:tcPr>
            <w:tcW w:w="698"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7</w:t>
            </w:r>
          </w:p>
        </w:tc>
        <w:tc>
          <w:tcPr>
            <w:tcW w:w="602"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23</w:t>
            </w:r>
          </w:p>
        </w:tc>
        <w:tc>
          <w:tcPr>
            <w:tcW w:w="631"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11</w:t>
            </w:r>
          </w:p>
        </w:tc>
        <w:tc>
          <w:tcPr>
            <w:tcW w:w="631"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25</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51</w:t>
            </w:r>
          </w:p>
        </w:tc>
        <w:tc>
          <w:tcPr>
            <w:tcW w:w="555"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77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551</w:t>
            </w:r>
          </w:p>
        </w:tc>
      </w:tr>
      <w:tr w:rsidR="000E184F" w:rsidRPr="008376FC" w:rsidTr="00EC1A68">
        <w:trPr>
          <w:trHeight w:val="110"/>
        </w:trPr>
        <w:tc>
          <w:tcPr>
            <w:tcW w:w="473" w:type="dxa"/>
          </w:tcPr>
          <w:p w:rsidR="000E184F" w:rsidRPr="00312935" w:rsidRDefault="000E184F" w:rsidP="00F61756">
            <w:pPr>
              <w:spacing w:line="276" w:lineRule="auto"/>
              <w:ind w:hanging="720"/>
              <w:contextualSpacing/>
              <w:rPr>
                <w:rFonts w:ascii="Calibri Light" w:hAnsi="Calibri Light" w:cs="Calibri Light"/>
                <w:b w:val="0"/>
                <w:sz w:val="16"/>
                <w:szCs w:val="16"/>
              </w:rPr>
            </w:pPr>
            <w:r w:rsidRPr="00312935">
              <w:rPr>
                <w:rFonts w:ascii="Calibri Light" w:hAnsi="Calibri Light" w:cs="Calibri Light"/>
                <w:b w:val="0"/>
                <w:sz w:val="16"/>
                <w:szCs w:val="16"/>
              </w:rPr>
              <w:t>1.2</w:t>
            </w:r>
          </w:p>
        </w:tc>
        <w:tc>
          <w:tcPr>
            <w:tcW w:w="2212" w:type="dxa"/>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PI excluse până la transmitere către FNM</w:t>
            </w:r>
          </w:p>
        </w:tc>
        <w:tc>
          <w:tcPr>
            <w:tcW w:w="71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5</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11</w:t>
            </w:r>
          </w:p>
        </w:tc>
        <w:tc>
          <w:tcPr>
            <w:tcW w:w="71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5</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9</w:t>
            </w:r>
          </w:p>
        </w:tc>
        <w:tc>
          <w:tcPr>
            <w:tcW w:w="698"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602"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w:t>
            </w:r>
          </w:p>
        </w:tc>
        <w:tc>
          <w:tcPr>
            <w:tcW w:w="631"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631"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5</w:t>
            </w:r>
          </w:p>
        </w:tc>
        <w:tc>
          <w:tcPr>
            <w:tcW w:w="555"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77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36</w:t>
            </w:r>
          </w:p>
        </w:tc>
      </w:tr>
      <w:tr w:rsidR="000E184F" w:rsidRPr="008376FC" w:rsidTr="00EC1A68">
        <w:trPr>
          <w:trHeight w:val="186"/>
        </w:trPr>
        <w:tc>
          <w:tcPr>
            <w:tcW w:w="473" w:type="dxa"/>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1.3</w:t>
            </w:r>
          </w:p>
        </w:tc>
        <w:tc>
          <w:tcPr>
            <w:tcW w:w="2212" w:type="dxa"/>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 xml:space="preserve">PI inițiate în FEN, în diferite perioade, transmise către FNM, din care: </w:t>
            </w:r>
          </w:p>
        </w:tc>
        <w:tc>
          <w:tcPr>
            <w:tcW w:w="71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11</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10</w:t>
            </w:r>
          </w:p>
        </w:tc>
        <w:tc>
          <w:tcPr>
            <w:tcW w:w="71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19</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15</w:t>
            </w:r>
          </w:p>
        </w:tc>
        <w:tc>
          <w:tcPr>
            <w:tcW w:w="698"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w:t>
            </w:r>
          </w:p>
        </w:tc>
        <w:tc>
          <w:tcPr>
            <w:tcW w:w="602"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w:t>
            </w:r>
          </w:p>
        </w:tc>
        <w:tc>
          <w:tcPr>
            <w:tcW w:w="631"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5</w:t>
            </w:r>
          </w:p>
        </w:tc>
        <w:tc>
          <w:tcPr>
            <w:tcW w:w="631"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6</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25</w:t>
            </w:r>
          </w:p>
        </w:tc>
        <w:tc>
          <w:tcPr>
            <w:tcW w:w="555"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77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98</w:t>
            </w:r>
          </w:p>
        </w:tc>
      </w:tr>
      <w:tr w:rsidR="000E184F" w:rsidRPr="008376FC" w:rsidTr="00EC1A68">
        <w:trPr>
          <w:trHeight w:val="204"/>
        </w:trPr>
        <w:tc>
          <w:tcPr>
            <w:tcW w:w="473" w:type="dxa"/>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1.4</w:t>
            </w:r>
          </w:p>
        </w:tc>
        <w:tc>
          <w:tcPr>
            <w:tcW w:w="2212" w:type="dxa"/>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PI ale căror contracte erau valide la data transmiterii către FNM</w:t>
            </w:r>
          </w:p>
        </w:tc>
        <w:tc>
          <w:tcPr>
            <w:tcW w:w="71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7</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8</w:t>
            </w:r>
          </w:p>
        </w:tc>
        <w:tc>
          <w:tcPr>
            <w:tcW w:w="71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16</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12</w:t>
            </w:r>
          </w:p>
        </w:tc>
        <w:tc>
          <w:tcPr>
            <w:tcW w:w="698"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0</w:t>
            </w:r>
          </w:p>
        </w:tc>
        <w:tc>
          <w:tcPr>
            <w:tcW w:w="602"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w:t>
            </w:r>
          </w:p>
        </w:tc>
        <w:tc>
          <w:tcPr>
            <w:tcW w:w="631"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3</w:t>
            </w:r>
          </w:p>
        </w:tc>
        <w:tc>
          <w:tcPr>
            <w:tcW w:w="631"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6</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21</w:t>
            </w:r>
          </w:p>
        </w:tc>
        <w:tc>
          <w:tcPr>
            <w:tcW w:w="555"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77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75</w:t>
            </w:r>
          </w:p>
        </w:tc>
      </w:tr>
      <w:tr w:rsidR="000E184F" w:rsidRPr="008376FC" w:rsidTr="00EC1A68">
        <w:trPr>
          <w:trHeight w:val="54"/>
        </w:trPr>
        <w:tc>
          <w:tcPr>
            <w:tcW w:w="473" w:type="dxa"/>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1.5</w:t>
            </w:r>
          </w:p>
        </w:tc>
        <w:tc>
          <w:tcPr>
            <w:tcW w:w="2212" w:type="dxa"/>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PI ale căror contracte au expirat la data transmiterii către FNM</w:t>
            </w:r>
          </w:p>
        </w:tc>
        <w:tc>
          <w:tcPr>
            <w:tcW w:w="71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4</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w:t>
            </w:r>
          </w:p>
        </w:tc>
        <w:tc>
          <w:tcPr>
            <w:tcW w:w="71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3</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3</w:t>
            </w:r>
          </w:p>
        </w:tc>
        <w:tc>
          <w:tcPr>
            <w:tcW w:w="698"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w:t>
            </w:r>
          </w:p>
        </w:tc>
        <w:tc>
          <w:tcPr>
            <w:tcW w:w="602"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0</w:t>
            </w:r>
          </w:p>
        </w:tc>
        <w:tc>
          <w:tcPr>
            <w:tcW w:w="631"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w:t>
            </w:r>
          </w:p>
        </w:tc>
        <w:tc>
          <w:tcPr>
            <w:tcW w:w="631"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0</w:t>
            </w:r>
          </w:p>
        </w:tc>
        <w:tc>
          <w:tcPr>
            <w:tcW w:w="686"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4</w:t>
            </w:r>
          </w:p>
        </w:tc>
        <w:tc>
          <w:tcPr>
            <w:tcW w:w="555"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770" w:type="dxa"/>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22</w:t>
            </w:r>
          </w:p>
        </w:tc>
      </w:tr>
      <w:tr w:rsidR="000E184F" w:rsidRPr="008376FC" w:rsidTr="00EC1A68">
        <w:trPr>
          <w:trHeight w:val="168"/>
        </w:trPr>
        <w:tc>
          <w:tcPr>
            <w:tcW w:w="10055" w:type="dxa"/>
            <w:gridSpan w:val="13"/>
          </w:tcPr>
          <w:p w:rsidR="000E184F" w:rsidRPr="008376FC" w:rsidRDefault="000E184F" w:rsidP="00F61756">
            <w:pPr>
              <w:numPr>
                <w:ilvl w:val="0"/>
                <w:numId w:val="33"/>
              </w:numPr>
              <w:spacing w:line="276" w:lineRule="auto"/>
              <w:ind w:left="0"/>
              <w:contextualSpacing/>
              <w:jc w:val="center"/>
              <w:rPr>
                <w:rFonts w:ascii="Calibri Light" w:eastAsia="Times New Roman" w:hAnsi="Calibri Light" w:cs="Calibri Light"/>
                <w:sz w:val="16"/>
                <w:szCs w:val="16"/>
                <w:lang w:val="en-US" w:eastAsia="ru-RU"/>
              </w:rPr>
            </w:pPr>
            <w:r w:rsidRPr="008376FC">
              <w:rPr>
                <w:rFonts w:ascii="Calibri Light" w:eastAsia="Times New Roman" w:hAnsi="Calibri Light" w:cs="Calibri Light"/>
                <w:sz w:val="16"/>
                <w:szCs w:val="16"/>
                <w:lang w:val="en-US" w:eastAsia="ru-RU"/>
              </w:rPr>
              <w:t>Valoarea P</w:t>
            </w:r>
            <w:r w:rsidRPr="008376FC">
              <w:rPr>
                <w:rFonts w:ascii="Calibri Light" w:eastAsia="Times New Roman" w:hAnsi="Calibri Light" w:cs="Calibri Light"/>
                <w:sz w:val="16"/>
                <w:szCs w:val="16"/>
                <w:lang w:eastAsia="ru-RU"/>
              </w:rPr>
              <w:t xml:space="preserve">roiectelor </w:t>
            </w:r>
            <w:r w:rsidRPr="008376FC">
              <w:rPr>
                <w:rFonts w:ascii="Calibri Light" w:eastAsia="Times New Roman" w:hAnsi="Calibri Light" w:cs="Calibri Light"/>
                <w:sz w:val="16"/>
                <w:szCs w:val="16"/>
                <w:lang w:val="en-US" w:eastAsia="ru-RU"/>
              </w:rPr>
              <w:t>I</w:t>
            </w:r>
            <w:r w:rsidRPr="008376FC">
              <w:rPr>
                <w:rFonts w:ascii="Calibri Light" w:eastAsia="Times New Roman" w:hAnsi="Calibri Light" w:cs="Calibri Light"/>
                <w:sz w:val="16"/>
                <w:szCs w:val="16"/>
                <w:lang w:eastAsia="ru-RU"/>
              </w:rPr>
              <w:t>nvestiționale, mil</w:t>
            </w:r>
            <w:r w:rsidR="00CE3051">
              <w:rPr>
                <w:rFonts w:ascii="Calibri Light" w:eastAsia="Times New Roman" w:hAnsi="Calibri Light" w:cs="Calibri Light"/>
                <w:sz w:val="16"/>
                <w:szCs w:val="16"/>
                <w:lang w:eastAsia="ru-RU"/>
              </w:rPr>
              <w:t>.</w:t>
            </w:r>
            <w:r w:rsidRPr="008376FC">
              <w:rPr>
                <w:rFonts w:ascii="Calibri Light" w:eastAsia="Times New Roman" w:hAnsi="Calibri Light" w:cs="Calibri Light"/>
                <w:sz w:val="16"/>
                <w:szCs w:val="16"/>
                <w:lang w:eastAsia="ru-RU"/>
              </w:rPr>
              <w:t xml:space="preserve"> lei</w:t>
            </w:r>
          </w:p>
        </w:tc>
      </w:tr>
      <w:tr w:rsidR="000E184F" w:rsidRPr="008376FC" w:rsidTr="00EC1A68">
        <w:trPr>
          <w:trHeight w:val="168"/>
        </w:trPr>
        <w:tc>
          <w:tcPr>
            <w:tcW w:w="473" w:type="dxa"/>
            <w:vAlign w:val="center"/>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2.1</w:t>
            </w:r>
          </w:p>
        </w:tc>
        <w:tc>
          <w:tcPr>
            <w:tcW w:w="2212" w:type="dxa"/>
            <w:vAlign w:val="center"/>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Valoarea proiectelor inițiate</w:t>
            </w:r>
          </w:p>
        </w:tc>
        <w:tc>
          <w:tcPr>
            <w:tcW w:w="710" w:type="dxa"/>
            <w:vAlign w:val="center"/>
          </w:tcPr>
          <w:p w:rsidR="000E184F" w:rsidRPr="008376FC" w:rsidRDefault="000056B2" w:rsidP="00F61756">
            <w:pPr>
              <w:spacing w:line="276" w:lineRule="auto"/>
              <w:rPr>
                <w:rFonts w:ascii="Calibri Light" w:hAnsi="Calibri Light" w:cs="Calibri Light"/>
                <w:b w:val="0"/>
                <w:bCs w:val="0"/>
                <w:color w:val="000000"/>
                <w:sz w:val="16"/>
                <w:szCs w:val="16"/>
                <w:lang w:val="en-US"/>
              </w:rPr>
            </w:pPr>
            <w:r w:rsidRPr="008376FC">
              <w:rPr>
                <w:rFonts w:ascii="Calibri Light" w:hAnsi="Calibri Light" w:cs="Calibri Light"/>
                <w:b w:val="0"/>
                <w:bCs w:val="0"/>
                <w:color w:val="000000"/>
                <w:sz w:val="16"/>
                <w:szCs w:val="16"/>
              </w:rPr>
              <w:t>166,19</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659,87</w:t>
            </w:r>
          </w:p>
        </w:tc>
        <w:tc>
          <w:tcPr>
            <w:tcW w:w="710"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721,81</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783,52</w:t>
            </w:r>
          </w:p>
        </w:tc>
        <w:tc>
          <w:tcPr>
            <w:tcW w:w="698"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55,2</w:t>
            </w:r>
          </w:p>
        </w:tc>
        <w:tc>
          <w:tcPr>
            <w:tcW w:w="602"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104,2</w:t>
            </w:r>
          </w:p>
        </w:tc>
        <w:tc>
          <w:tcPr>
            <w:tcW w:w="631"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79,2</w:t>
            </w:r>
          </w:p>
        </w:tc>
        <w:tc>
          <w:tcPr>
            <w:tcW w:w="631"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216,5</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358,6</w:t>
            </w:r>
          </w:p>
        </w:tc>
        <w:tc>
          <w:tcPr>
            <w:tcW w:w="555" w:type="dxa"/>
            <w:vAlign w:val="center"/>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770" w:type="dxa"/>
            <w:vAlign w:val="center"/>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3809,84</w:t>
            </w:r>
          </w:p>
        </w:tc>
      </w:tr>
      <w:tr w:rsidR="000E184F" w:rsidRPr="008376FC" w:rsidTr="00EC1A68">
        <w:trPr>
          <w:trHeight w:val="168"/>
        </w:trPr>
        <w:tc>
          <w:tcPr>
            <w:tcW w:w="473" w:type="dxa"/>
            <w:vAlign w:val="center"/>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2.2</w:t>
            </w:r>
          </w:p>
        </w:tc>
        <w:tc>
          <w:tcPr>
            <w:tcW w:w="2212" w:type="dxa"/>
            <w:vAlign w:val="center"/>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Proiecte investiționale excluse: valoarea contractului de antrepriză</w:t>
            </w:r>
          </w:p>
        </w:tc>
        <w:tc>
          <w:tcPr>
            <w:tcW w:w="710" w:type="dxa"/>
            <w:vAlign w:val="center"/>
          </w:tcPr>
          <w:p w:rsidR="000E184F" w:rsidRPr="008376FC" w:rsidRDefault="000056B2" w:rsidP="00F61756">
            <w:pPr>
              <w:spacing w:line="276" w:lineRule="auto"/>
              <w:rPr>
                <w:rFonts w:ascii="Calibri Light" w:hAnsi="Calibri Light" w:cs="Calibri Light"/>
                <w:b w:val="0"/>
                <w:bCs w:val="0"/>
                <w:color w:val="000000"/>
                <w:sz w:val="16"/>
                <w:szCs w:val="16"/>
                <w:lang w:val="en-US"/>
              </w:rPr>
            </w:pPr>
            <w:r w:rsidRPr="008376FC">
              <w:rPr>
                <w:rFonts w:ascii="Calibri Light" w:hAnsi="Calibri Light" w:cs="Calibri Light"/>
                <w:b w:val="0"/>
                <w:bCs w:val="0"/>
                <w:color w:val="000000"/>
                <w:sz w:val="16"/>
                <w:szCs w:val="16"/>
              </w:rPr>
              <w:t>42,68</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84,65</w:t>
            </w:r>
          </w:p>
          <w:p w:rsidR="000E184F" w:rsidRPr="008376FC" w:rsidRDefault="000E184F" w:rsidP="00F61756">
            <w:pPr>
              <w:spacing w:line="276" w:lineRule="auto"/>
              <w:rPr>
                <w:rFonts w:ascii="Calibri Light" w:hAnsi="Calibri Light" w:cs="Calibri Light"/>
                <w:b w:val="0"/>
                <w:bCs w:val="0"/>
                <w:color w:val="000000"/>
                <w:sz w:val="16"/>
                <w:szCs w:val="16"/>
              </w:rPr>
            </w:pPr>
          </w:p>
        </w:tc>
        <w:tc>
          <w:tcPr>
            <w:tcW w:w="710"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88,26</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82,41</w:t>
            </w:r>
          </w:p>
        </w:tc>
        <w:tc>
          <w:tcPr>
            <w:tcW w:w="698" w:type="dxa"/>
            <w:vAlign w:val="center"/>
          </w:tcPr>
          <w:p w:rsidR="000E184F" w:rsidRPr="008376FC" w:rsidRDefault="000E184F" w:rsidP="00F61756">
            <w:pPr>
              <w:spacing w:line="276" w:lineRule="auto"/>
              <w:rPr>
                <w:rFonts w:ascii="Calibri Light" w:hAnsi="Calibri Light" w:cs="Calibri Light"/>
                <w:b w:val="0"/>
                <w:bCs w:val="0"/>
                <w:color w:val="000000"/>
                <w:sz w:val="16"/>
                <w:szCs w:val="16"/>
              </w:rPr>
            </w:pPr>
          </w:p>
        </w:tc>
        <w:tc>
          <w:tcPr>
            <w:tcW w:w="602"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1,57</w:t>
            </w:r>
          </w:p>
          <w:p w:rsidR="000E184F" w:rsidRPr="008376FC" w:rsidRDefault="000E184F" w:rsidP="00F61756">
            <w:pPr>
              <w:spacing w:line="276" w:lineRule="auto"/>
              <w:rPr>
                <w:rFonts w:ascii="Calibri Light" w:hAnsi="Calibri Light" w:cs="Calibri Light"/>
                <w:b w:val="0"/>
                <w:bCs w:val="0"/>
                <w:color w:val="000000"/>
                <w:sz w:val="16"/>
                <w:szCs w:val="16"/>
              </w:rPr>
            </w:pPr>
          </w:p>
        </w:tc>
        <w:tc>
          <w:tcPr>
            <w:tcW w:w="631" w:type="dxa"/>
            <w:vAlign w:val="center"/>
          </w:tcPr>
          <w:p w:rsidR="000E184F" w:rsidRPr="008376FC" w:rsidRDefault="000E184F" w:rsidP="00F61756">
            <w:pPr>
              <w:spacing w:line="276" w:lineRule="auto"/>
              <w:rPr>
                <w:rFonts w:ascii="Calibri Light" w:hAnsi="Calibri Light" w:cs="Calibri Light"/>
                <w:b w:val="0"/>
                <w:bCs w:val="0"/>
                <w:color w:val="000000"/>
                <w:sz w:val="16"/>
                <w:szCs w:val="16"/>
              </w:rPr>
            </w:pPr>
          </w:p>
        </w:tc>
        <w:tc>
          <w:tcPr>
            <w:tcW w:w="631" w:type="dxa"/>
            <w:vAlign w:val="center"/>
          </w:tcPr>
          <w:p w:rsidR="000E184F" w:rsidRPr="008376FC" w:rsidRDefault="000E184F" w:rsidP="00F61756">
            <w:pPr>
              <w:spacing w:line="276" w:lineRule="auto"/>
              <w:rPr>
                <w:rFonts w:ascii="Calibri Light" w:hAnsi="Calibri Light" w:cs="Calibri Light"/>
                <w:b w:val="0"/>
                <w:bCs w:val="0"/>
                <w:color w:val="000000"/>
                <w:sz w:val="16"/>
                <w:szCs w:val="16"/>
              </w:rPr>
            </w:pP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109,35</w:t>
            </w:r>
          </w:p>
        </w:tc>
        <w:tc>
          <w:tcPr>
            <w:tcW w:w="555" w:type="dxa"/>
            <w:vAlign w:val="center"/>
          </w:tcPr>
          <w:p w:rsidR="000E184F" w:rsidRPr="008376FC" w:rsidRDefault="000E184F" w:rsidP="00F61756">
            <w:pPr>
              <w:spacing w:line="276" w:lineRule="auto"/>
              <w:rPr>
                <w:rFonts w:ascii="Calibri Light" w:hAnsi="Calibri Light" w:cs="Calibri Light"/>
                <w:b w:val="0"/>
                <w:bCs w:val="0"/>
                <w:sz w:val="16"/>
                <w:szCs w:val="16"/>
              </w:rPr>
            </w:pPr>
          </w:p>
        </w:tc>
        <w:tc>
          <w:tcPr>
            <w:tcW w:w="770" w:type="dxa"/>
            <w:vAlign w:val="center"/>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408,92</w:t>
            </w:r>
          </w:p>
        </w:tc>
      </w:tr>
      <w:tr w:rsidR="000E184F" w:rsidRPr="008376FC" w:rsidTr="00EC1A68">
        <w:trPr>
          <w:trHeight w:val="168"/>
        </w:trPr>
        <w:tc>
          <w:tcPr>
            <w:tcW w:w="473" w:type="dxa"/>
            <w:vAlign w:val="center"/>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2.3</w:t>
            </w:r>
          </w:p>
        </w:tc>
        <w:tc>
          <w:tcPr>
            <w:tcW w:w="2212" w:type="dxa"/>
            <w:vAlign w:val="center"/>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Proiecte investiționale excluse: valoarea finanțată din FEN</w:t>
            </w:r>
          </w:p>
        </w:tc>
        <w:tc>
          <w:tcPr>
            <w:tcW w:w="710"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 xml:space="preserve"> 22,82</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57,10</w:t>
            </w:r>
          </w:p>
        </w:tc>
        <w:tc>
          <w:tcPr>
            <w:tcW w:w="710"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55,87</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19,39</w:t>
            </w:r>
          </w:p>
        </w:tc>
        <w:tc>
          <w:tcPr>
            <w:tcW w:w="698"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w:t>
            </w:r>
          </w:p>
        </w:tc>
        <w:tc>
          <w:tcPr>
            <w:tcW w:w="602"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0,40</w:t>
            </w:r>
          </w:p>
        </w:tc>
        <w:tc>
          <w:tcPr>
            <w:tcW w:w="631"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w:t>
            </w:r>
          </w:p>
        </w:tc>
        <w:tc>
          <w:tcPr>
            <w:tcW w:w="631"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w:t>
            </w:r>
          </w:p>
        </w:tc>
        <w:tc>
          <w:tcPr>
            <w:tcW w:w="555" w:type="dxa"/>
            <w:vAlign w:val="center"/>
          </w:tcPr>
          <w:p w:rsidR="000E184F" w:rsidRPr="008376FC" w:rsidRDefault="000E184F" w:rsidP="00F61756">
            <w:pPr>
              <w:spacing w:line="276" w:lineRule="auto"/>
              <w:rPr>
                <w:rFonts w:ascii="Calibri Light" w:hAnsi="Calibri Light" w:cs="Calibri Light"/>
                <w:b w:val="0"/>
                <w:bCs w:val="0"/>
                <w:sz w:val="16"/>
                <w:szCs w:val="16"/>
              </w:rPr>
            </w:pPr>
          </w:p>
        </w:tc>
        <w:tc>
          <w:tcPr>
            <w:tcW w:w="770" w:type="dxa"/>
            <w:vAlign w:val="center"/>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155,58</w:t>
            </w:r>
          </w:p>
        </w:tc>
      </w:tr>
      <w:tr w:rsidR="000E184F" w:rsidRPr="008376FC" w:rsidTr="00EC1A68">
        <w:trPr>
          <w:trHeight w:val="168"/>
        </w:trPr>
        <w:tc>
          <w:tcPr>
            <w:tcW w:w="473" w:type="dxa"/>
            <w:vAlign w:val="center"/>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2.4</w:t>
            </w:r>
          </w:p>
        </w:tc>
        <w:tc>
          <w:tcPr>
            <w:tcW w:w="2212" w:type="dxa"/>
            <w:vAlign w:val="center"/>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Proiecte investiționale inițiate în FEN în diferite perioade, transmise către FNM: valoarea contractului de antrepriză</w:t>
            </w:r>
          </w:p>
        </w:tc>
        <w:tc>
          <w:tcPr>
            <w:tcW w:w="710"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256,57</w:t>
            </w:r>
          </w:p>
          <w:p w:rsidR="000E184F" w:rsidRPr="008376FC" w:rsidRDefault="000E184F" w:rsidP="00F61756">
            <w:pPr>
              <w:spacing w:line="276" w:lineRule="auto"/>
              <w:rPr>
                <w:rFonts w:ascii="Calibri Light" w:hAnsi="Calibri Light" w:cs="Calibri Light"/>
                <w:b w:val="0"/>
                <w:bCs w:val="0"/>
                <w:color w:val="000000"/>
                <w:sz w:val="16"/>
                <w:szCs w:val="16"/>
              </w:rPr>
            </w:pP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148,41</w:t>
            </w:r>
          </w:p>
          <w:p w:rsidR="000E184F" w:rsidRPr="008376FC" w:rsidRDefault="000E184F" w:rsidP="00F61756">
            <w:pPr>
              <w:spacing w:line="276" w:lineRule="auto"/>
              <w:rPr>
                <w:rFonts w:ascii="Calibri Light" w:hAnsi="Calibri Light" w:cs="Calibri Light"/>
                <w:b w:val="0"/>
                <w:bCs w:val="0"/>
                <w:color w:val="000000"/>
                <w:sz w:val="16"/>
                <w:szCs w:val="16"/>
              </w:rPr>
            </w:pPr>
          </w:p>
        </w:tc>
        <w:tc>
          <w:tcPr>
            <w:tcW w:w="710"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 xml:space="preserve">301,03 </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 xml:space="preserve">259,58 </w:t>
            </w:r>
          </w:p>
        </w:tc>
        <w:tc>
          <w:tcPr>
            <w:tcW w:w="698"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 xml:space="preserve">22,1 </w:t>
            </w:r>
          </w:p>
        </w:tc>
        <w:tc>
          <w:tcPr>
            <w:tcW w:w="602"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 xml:space="preserve">9,1 </w:t>
            </w:r>
          </w:p>
        </w:tc>
        <w:tc>
          <w:tcPr>
            <w:tcW w:w="631"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 xml:space="preserve">42,12 </w:t>
            </w:r>
          </w:p>
        </w:tc>
        <w:tc>
          <w:tcPr>
            <w:tcW w:w="631"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 xml:space="preserve">45,83 </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 xml:space="preserve">103,61 </w:t>
            </w:r>
          </w:p>
        </w:tc>
        <w:tc>
          <w:tcPr>
            <w:tcW w:w="555" w:type="dxa"/>
            <w:vAlign w:val="center"/>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770" w:type="dxa"/>
            <w:vAlign w:val="center"/>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1269,25 </w:t>
            </w:r>
          </w:p>
        </w:tc>
      </w:tr>
      <w:tr w:rsidR="000E184F" w:rsidRPr="008376FC" w:rsidTr="00EC1A68">
        <w:trPr>
          <w:trHeight w:val="168"/>
        </w:trPr>
        <w:tc>
          <w:tcPr>
            <w:tcW w:w="473" w:type="dxa"/>
            <w:vAlign w:val="center"/>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2.5</w:t>
            </w:r>
          </w:p>
        </w:tc>
        <w:tc>
          <w:tcPr>
            <w:tcW w:w="2212" w:type="dxa"/>
            <w:vAlign w:val="center"/>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Proiecte investiționale inițiate în FEN în diferite perioade, transmise către FNM: valoarea finanțată din FEN</w:t>
            </w:r>
          </w:p>
        </w:tc>
        <w:tc>
          <w:tcPr>
            <w:tcW w:w="710"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196,37</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88,23</w:t>
            </w:r>
          </w:p>
        </w:tc>
        <w:tc>
          <w:tcPr>
            <w:tcW w:w="710"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157,36</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102,5</w:t>
            </w:r>
          </w:p>
        </w:tc>
        <w:tc>
          <w:tcPr>
            <w:tcW w:w="698"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16,78</w:t>
            </w:r>
          </w:p>
        </w:tc>
        <w:tc>
          <w:tcPr>
            <w:tcW w:w="602"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6,65</w:t>
            </w:r>
          </w:p>
        </w:tc>
        <w:tc>
          <w:tcPr>
            <w:tcW w:w="631"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20,87</w:t>
            </w:r>
          </w:p>
        </w:tc>
        <w:tc>
          <w:tcPr>
            <w:tcW w:w="631"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29,83</w:t>
            </w:r>
          </w:p>
        </w:tc>
        <w:tc>
          <w:tcPr>
            <w:tcW w:w="686" w:type="dxa"/>
            <w:vAlign w:val="center"/>
          </w:tcPr>
          <w:p w:rsidR="000E184F" w:rsidRPr="008376FC" w:rsidRDefault="000056B2" w:rsidP="00F61756">
            <w:pPr>
              <w:spacing w:line="276" w:lineRule="auto"/>
              <w:rPr>
                <w:rFonts w:ascii="Calibri Light" w:hAnsi="Calibri Light" w:cs="Calibri Light"/>
                <w:b w:val="0"/>
                <w:bCs w:val="0"/>
                <w:color w:val="000000"/>
                <w:sz w:val="16"/>
                <w:szCs w:val="16"/>
              </w:rPr>
            </w:pPr>
            <w:r w:rsidRPr="008376FC">
              <w:rPr>
                <w:rFonts w:ascii="Calibri Light" w:hAnsi="Calibri Light" w:cs="Calibri Light"/>
                <w:b w:val="0"/>
                <w:bCs w:val="0"/>
                <w:color w:val="000000"/>
                <w:sz w:val="16"/>
                <w:szCs w:val="16"/>
              </w:rPr>
              <w:t>31,19</w:t>
            </w:r>
          </w:p>
        </w:tc>
        <w:tc>
          <w:tcPr>
            <w:tcW w:w="555" w:type="dxa"/>
            <w:vAlign w:val="center"/>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770" w:type="dxa"/>
            <w:vAlign w:val="center"/>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687,26</w:t>
            </w:r>
          </w:p>
        </w:tc>
      </w:tr>
      <w:tr w:rsidR="000E184F" w:rsidRPr="008376FC" w:rsidTr="00EC1A68">
        <w:trPr>
          <w:trHeight w:val="168"/>
        </w:trPr>
        <w:tc>
          <w:tcPr>
            <w:tcW w:w="473" w:type="dxa"/>
            <w:shd w:val="clear" w:color="auto" w:fill="auto"/>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2.6</w:t>
            </w:r>
          </w:p>
        </w:tc>
        <w:tc>
          <w:tcPr>
            <w:tcW w:w="2212" w:type="dxa"/>
            <w:shd w:val="clear" w:color="auto" w:fill="auto"/>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Proiecte investiționale ale căror contracte erau valide la data transmiterii către FNM: valoarea contractului de antrepriză</w:t>
            </w:r>
          </w:p>
        </w:tc>
        <w:tc>
          <w:tcPr>
            <w:tcW w:w="710"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214,61 </w:t>
            </w:r>
          </w:p>
        </w:tc>
        <w:tc>
          <w:tcPr>
            <w:tcW w:w="686"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127,28</w:t>
            </w:r>
          </w:p>
          <w:p w:rsidR="000E184F" w:rsidRPr="008376FC" w:rsidRDefault="000E184F" w:rsidP="00F61756">
            <w:pPr>
              <w:spacing w:line="276" w:lineRule="auto"/>
              <w:rPr>
                <w:rFonts w:ascii="Calibri Light" w:hAnsi="Calibri Light" w:cs="Calibri Light"/>
                <w:b w:val="0"/>
                <w:bCs w:val="0"/>
                <w:sz w:val="16"/>
                <w:szCs w:val="16"/>
              </w:rPr>
            </w:pPr>
          </w:p>
        </w:tc>
        <w:tc>
          <w:tcPr>
            <w:tcW w:w="710"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237,55</w:t>
            </w:r>
          </w:p>
          <w:p w:rsidR="000E184F" w:rsidRPr="008376FC" w:rsidRDefault="000E184F" w:rsidP="00F61756">
            <w:pPr>
              <w:spacing w:line="276" w:lineRule="auto"/>
              <w:rPr>
                <w:rFonts w:ascii="Calibri Light" w:hAnsi="Calibri Light" w:cs="Calibri Light"/>
                <w:b w:val="0"/>
                <w:bCs w:val="0"/>
                <w:sz w:val="16"/>
                <w:szCs w:val="16"/>
              </w:rPr>
            </w:pPr>
          </w:p>
        </w:tc>
        <w:tc>
          <w:tcPr>
            <w:tcW w:w="686"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200,34 </w:t>
            </w:r>
          </w:p>
        </w:tc>
        <w:tc>
          <w:tcPr>
            <w:tcW w:w="698"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0</w:t>
            </w:r>
          </w:p>
        </w:tc>
        <w:tc>
          <w:tcPr>
            <w:tcW w:w="602"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9,1 </w:t>
            </w:r>
          </w:p>
        </w:tc>
        <w:tc>
          <w:tcPr>
            <w:tcW w:w="631"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19,61 </w:t>
            </w:r>
          </w:p>
        </w:tc>
        <w:tc>
          <w:tcPr>
            <w:tcW w:w="631"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45,83 </w:t>
            </w:r>
          </w:p>
        </w:tc>
        <w:tc>
          <w:tcPr>
            <w:tcW w:w="686"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88,31 </w:t>
            </w:r>
          </w:p>
        </w:tc>
        <w:tc>
          <w:tcPr>
            <w:tcW w:w="555"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770"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1024,34 </w:t>
            </w:r>
          </w:p>
        </w:tc>
      </w:tr>
      <w:tr w:rsidR="000E184F" w:rsidRPr="008376FC" w:rsidTr="00EC1A68">
        <w:trPr>
          <w:trHeight w:val="168"/>
        </w:trPr>
        <w:tc>
          <w:tcPr>
            <w:tcW w:w="473" w:type="dxa"/>
            <w:shd w:val="clear" w:color="auto" w:fill="auto"/>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2.7</w:t>
            </w:r>
          </w:p>
        </w:tc>
        <w:tc>
          <w:tcPr>
            <w:tcW w:w="2212" w:type="dxa"/>
            <w:shd w:val="clear" w:color="auto" w:fill="auto"/>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Proiecte investiționale ale căror contracte erau valide la data transmiterii către FNM: valoarea finanțată din FEN</w:t>
            </w:r>
          </w:p>
        </w:tc>
        <w:tc>
          <w:tcPr>
            <w:tcW w:w="710"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172,04</w:t>
            </w:r>
          </w:p>
        </w:tc>
        <w:tc>
          <w:tcPr>
            <w:tcW w:w="686"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72,28</w:t>
            </w:r>
          </w:p>
        </w:tc>
        <w:tc>
          <w:tcPr>
            <w:tcW w:w="710"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126,03</w:t>
            </w:r>
          </w:p>
        </w:tc>
        <w:tc>
          <w:tcPr>
            <w:tcW w:w="686"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76,42</w:t>
            </w:r>
          </w:p>
        </w:tc>
        <w:tc>
          <w:tcPr>
            <w:tcW w:w="698"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0</w:t>
            </w:r>
          </w:p>
        </w:tc>
        <w:tc>
          <w:tcPr>
            <w:tcW w:w="602"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6,65</w:t>
            </w:r>
          </w:p>
        </w:tc>
        <w:tc>
          <w:tcPr>
            <w:tcW w:w="631"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14,17</w:t>
            </w:r>
          </w:p>
        </w:tc>
        <w:tc>
          <w:tcPr>
            <w:tcW w:w="631"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29,83</w:t>
            </w:r>
          </w:p>
        </w:tc>
        <w:tc>
          <w:tcPr>
            <w:tcW w:w="686"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25,36</w:t>
            </w:r>
          </w:p>
        </w:tc>
        <w:tc>
          <w:tcPr>
            <w:tcW w:w="555"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w:t>
            </w:r>
          </w:p>
        </w:tc>
        <w:tc>
          <w:tcPr>
            <w:tcW w:w="770" w:type="dxa"/>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557,99</w:t>
            </w:r>
          </w:p>
        </w:tc>
      </w:tr>
      <w:tr w:rsidR="000E184F" w:rsidRPr="008376FC" w:rsidTr="002662D4">
        <w:trPr>
          <w:trHeight w:val="168"/>
        </w:trPr>
        <w:tc>
          <w:tcPr>
            <w:tcW w:w="473" w:type="dxa"/>
            <w:tcBorders>
              <w:bottom w:val="single" w:sz="4" w:space="0" w:color="auto"/>
            </w:tcBorders>
            <w:shd w:val="clear" w:color="auto" w:fill="auto"/>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2.8</w:t>
            </w:r>
          </w:p>
        </w:tc>
        <w:tc>
          <w:tcPr>
            <w:tcW w:w="2212" w:type="dxa"/>
            <w:tcBorders>
              <w:bottom w:val="single" w:sz="4" w:space="0" w:color="auto"/>
            </w:tcBorders>
            <w:shd w:val="clear" w:color="auto" w:fill="auto"/>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Proiecte investiționale ale căror contracte au expirat la data transmiterii către FNM: valoarea contractului de antrepriză</w:t>
            </w:r>
          </w:p>
        </w:tc>
        <w:tc>
          <w:tcPr>
            <w:tcW w:w="710" w:type="dxa"/>
            <w:tcBorders>
              <w:bottom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41, 96 </w:t>
            </w:r>
          </w:p>
        </w:tc>
        <w:tc>
          <w:tcPr>
            <w:tcW w:w="686" w:type="dxa"/>
            <w:tcBorders>
              <w:bottom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21, 13 </w:t>
            </w:r>
          </w:p>
        </w:tc>
        <w:tc>
          <w:tcPr>
            <w:tcW w:w="710" w:type="dxa"/>
            <w:tcBorders>
              <w:bottom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63,48 </w:t>
            </w:r>
          </w:p>
        </w:tc>
        <w:tc>
          <w:tcPr>
            <w:tcW w:w="686" w:type="dxa"/>
            <w:tcBorders>
              <w:bottom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58,24 </w:t>
            </w:r>
          </w:p>
        </w:tc>
        <w:tc>
          <w:tcPr>
            <w:tcW w:w="698" w:type="dxa"/>
            <w:tcBorders>
              <w:bottom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22,1 </w:t>
            </w:r>
          </w:p>
        </w:tc>
        <w:tc>
          <w:tcPr>
            <w:tcW w:w="602" w:type="dxa"/>
            <w:tcBorders>
              <w:bottom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0</w:t>
            </w:r>
          </w:p>
        </w:tc>
        <w:tc>
          <w:tcPr>
            <w:tcW w:w="631" w:type="dxa"/>
            <w:tcBorders>
              <w:bottom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22,51 </w:t>
            </w:r>
          </w:p>
        </w:tc>
        <w:tc>
          <w:tcPr>
            <w:tcW w:w="631" w:type="dxa"/>
            <w:tcBorders>
              <w:bottom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0</w:t>
            </w:r>
          </w:p>
        </w:tc>
        <w:tc>
          <w:tcPr>
            <w:tcW w:w="686" w:type="dxa"/>
            <w:tcBorders>
              <w:bottom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15,3 </w:t>
            </w:r>
          </w:p>
        </w:tc>
        <w:tc>
          <w:tcPr>
            <w:tcW w:w="555" w:type="dxa"/>
            <w:tcBorders>
              <w:bottom w:val="single" w:sz="4" w:space="0" w:color="auto"/>
            </w:tcBorders>
            <w:shd w:val="clear" w:color="auto" w:fill="auto"/>
          </w:tcPr>
          <w:p w:rsidR="000E184F" w:rsidRPr="008376FC" w:rsidRDefault="000E184F" w:rsidP="00F61756">
            <w:pPr>
              <w:spacing w:line="276" w:lineRule="auto"/>
              <w:rPr>
                <w:rFonts w:ascii="Calibri Light" w:hAnsi="Calibri Light" w:cs="Calibri Light"/>
                <w:b w:val="0"/>
                <w:bCs w:val="0"/>
                <w:sz w:val="16"/>
                <w:szCs w:val="16"/>
              </w:rPr>
            </w:pPr>
          </w:p>
        </w:tc>
        <w:tc>
          <w:tcPr>
            <w:tcW w:w="770" w:type="dxa"/>
            <w:tcBorders>
              <w:bottom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 xml:space="preserve">244,91 </w:t>
            </w:r>
          </w:p>
        </w:tc>
      </w:tr>
      <w:tr w:rsidR="000E184F" w:rsidRPr="008376FC" w:rsidTr="002662D4">
        <w:trPr>
          <w:trHeight w:val="168"/>
        </w:trPr>
        <w:tc>
          <w:tcPr>
            <w:tcW w:w="473" w:type="dxa"/>
            <w:tcBorders>
              <w:top w:val="single" w:sz="4" w:space="0" w:color="auto"/>
              <w:left w:val="single" w:sz="4" w:space="0" w:color="auto"/>
              <w:bottom w:val="single" w:sz="4" w:space="0" w:color="auto"/>
              <w:right w:val="single" w:sz="4" w:space="0" w:color="auto"/>
            </w:tcBorders>
            <w:shd w:val="clear" w:color="auto" w:fill="auto"/>
          </w:tcPr>
          <w:p w:rsidR="000E184F" w:rsidRPr="00312935" w:rsidRDefault="000E184F" w:rsidP="00F61756">
            <w:pPr>
              <w:spacing w:line="276" w:lineRule="auto"/>
              <w:rPr>
                <w:rFonts w:ascii="Calibri Light" w:hAnsi="Calibri Light" w:cs="Calibri Light"/>
                <w:b w:val="0"/>
                <w:sz w:val="16"/>
                <w:szCs w:val="16"/>
              </w:rPr>
            </w:pPr>
            <w:r w:rsidRPr="00312935">
              <w:rPr>
                <w:rFonts w:ascii="Calibri Light" w:hAnsi="Calibri Light" w:cs="Calibri Light"/>
                <w:b w:val="0"/>
                <w:sz w:val="16"/>
                <w:szCs w:val="16"/>
              </w:rPr>
              <w:t>2.9</w:t>
            </w:r>
          </w:p>
        </w:tc>
        <w:tc>
          <w:tcPr>
            <w:tcW w:w="2212" w:type="dxa"/>
            <w:tcBorders>
              <w:top w:val="single" w:sz="4" w:space="0" w:color="auto"/>
              <w:left w:val="single" w:sz="4" w:space="0" w:color="auto"/>
              <w:bottom w:val="single" w:sz="4" w:space="0" w:color="auto"/>
              <w:right w:val="single" w:sz="4" w:space="0" w:color="auto"/>
            </w:tcBorders>
            <w:shd w:val="clear" w:color="auto" w:fill="auto"/>
          </w:tcPr>
          <w:p w:rsidR="000E184F" w:rsidRPr="00312935" w:rsidRDefault="000E184F" w:rsidP="00F61756">
            <w:pPr>
              <w:spacing w:line="276" w:lineRule="auto"/>
              <w:jc w:val="both"/>
              <w:rPr>
                <w:rFonts w:ascii="Calibri Light" w:hAnsi="Calibri Light" w:cs="Calibri Light"/>
                <w:b w:val="0"/>
                <w:sz w:val="16"/>
                <w:szCs w:val="16"/>
              </w:rPr>
            </w:pPr>
            <w:r w:rsidRPr="00312935">
              <w:rPr>
                <w:rFonts w:ascii="Calibri Light" w:hAnsi="Calibri Light" w:cs="Calibri Light"/>
                <w:b w:val="0"/>
                <w:sz w:val="16"/>
                <w:szCs w:val="16"/>
              </w:rPr>
              <w:t>Proiecte investiționale ale căror contracte au expirat la data transmiterii către FNM: valoarea finanțată din FEN</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24,33</w:t>
            </w: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15,95</w:t>
            </w:r>
          </w:p>
        </w:tc>
        <w:tc>
          <w:tcPr>
            <w:tcW w:w="710" w:type="dxa"/>
            <w:tcBorders>
              <w:top w:val="single" w:sz="4" w:space="0" w:color="auto"/>
              <w:left w:val="single" w:sz="4" w:space="0" w:color="auto"/>
              <w:bottom w:val="single" w:sz="4" w:space="0" w:color="auto"/>
              <w:right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31,33</w:t>
            </w: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26,08</w:t>
            </w:r>
          </w:p>
        </w:tc>
        <w:tc>
          <w:tcPr>
            <w:tcW w:w="698" w:type="dxa"/>
            <w:tcBorders>
              <w:top w:val="single" w:sz="4" w:space="0" w:color="auto"/>
              <w:left w:val="single" w:sz="4" w:space="0" w:color="auto"/>
              <w:bottom w:val="single" w:sz="4" w:space="0" w:color="auto"/>
              <w:right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16,67</w:t>
            </w:r>
          </w:p>
        </w:tc>
        <w:tc>
          <w:tcPr>
            <w:tcW w:w="602" w:type="dxa"/>
            <w:tcBorders>
              <w:top w:val="single" w:sz="4" w:space="0" w:color="auto"/>
              <w:left w:val="single" w:sz="4" w:space="0" w:color="auto"/>
              <w:bottom w:val="single" w:sz="4" w:space="0" w:color="auto"/>
              <w:right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0</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6,7</w:t>
            </w:r>
          </w:p>
        </w:tc>
        <w:tc>
          <w:tcPr>
            <w:tcW w:w="631" w:type="dxa"/>
            <w:tcBorders>
              <w:top w:val="single" w:sz="4" w:space="0" w:color="auto"/>
              <w:left w:val="single" w:sz="4" w:space="0" w:color="auto"/>
              <w:bottom w:val="single" w:sz="4" w:space="0" w:color="auto"/>
              <w:right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0</w:t>
            </w:r>
          </w:p>
        </w:tc>
        <w:tc>
          <w:tcPr>
            <w:tcW w:w="686" w:type="dxa"/>
            <w:tcBorders>
              <w:top w:val="single" w:sz="4" w:space="0" w:color="auto"/>
              <w:left w:val="single" w:sz="4" w:space="0" w:color="auto"/>
              <w:bottom w:val="single" w:sz="4" w:space="0" w:color="auto"/>
              <w:right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5,83</w:t>
            </w:r>
          </w:p>
        </w:tc>
        <w:tc>
          <w:tcPr>
            <w:tcW w:w="555" w:type="dxa"/>
            <w:tcBorders>
              <w:top w:val="single" w:sz="4" w:space="0" w:color="auto"/>
              <w:left w:val="single" w:sz="4" w:space="0" w:color="auto"/>
              <w:bottom w:val="single" w:sz="4" w:space="0" w:color="auto"/>
              <w:right w:val="single" w:sz="4" w:space="0" w:color="auto"/>
            </w:tcBorders>
            <w:shd w:val="clear" w:color="auto" w:fill="auto"/>
          </w:tcPr>
          <w:p w:rsidR="000E184F" w:rsidRPr="008376FC" w:rsidRDefault="000E184F" w:rsidP="00F61756">
            <w:pPr>
              <w:spacing w:line="276" w:lineRule="auto"/>
              <w:rPr>
                <w:rFonts w:ascii="Calibri Light" w:hAnsi="Calibri Light" w:cs="Calibri Light"/>
                <w:b w:val="0"/>
                <w:bCs w:val="0"/>
                <w:sz w:val="16"/>
                <w:szCs w:val="16"/>
              </w:rPr>
            </w:pPr>
          </w:p>
        </w:tc>
        <w:tc>
          <w:tcPr>
            <w:tcW w:w="770" w:type="dxa"/>
            <w:tcBorders>
              <w:top w:val="single" w:sz="4" w:space="0" w:color="auto"/>
              <w:left w:val="single" w:sz="4" w:space="0" w:color="auto"/>
              <w:bottom w:val="single" w:sz="4" w:space="0" w:color="auto"/>
              <w:right w:val="single" w:sz="4" w:space="0" w:color="auto"/>
            </w:tcBorders>
            <w:shd w:val="clear" w:color="auto" w:fill="auto"/>
          </w:tcPr>
          <w:p w:rsidR="000E184F" w:rsidRPr="008376FC" w:rsidRDefault="000056B2" w:rsidP="00F61756">
            <w:pPr>
              <w:spacing w:line="276" w:lineRule="auto"/>
              <w:rPr>
                <w:rFonts w:ascii="Calibri Light" w:hAnsi="Calibri Light" w:cs="Calibri Light"/>
                <w:b w:val="0"/>
                <w:bCs w:val="0"/>
                <w:sz w:val="16"/>
                <w:szCs w:val="16"/>
              </w:rPr>
            </w:pPr>
            <w:r w:rsidRPr="008376FC">
              <w:rPr>
                <w:rFonts w:ascii="Calibri Light" w:hAnsi="Calibri Light" w:cs="Calibri Light"/>
                <w:b w:val="0"/>
                <w:bCs w:val="0"/>
                <w:sz w:val="16"/>
                <w:szCs w:val="16"/>
              </w:rPr>
              <w:t>129,27</w:t>
            </w:r>
          </w:p>
        </w:tc>
      </w:tr>
      <w:tr w:rsidR="000E184F" w:rsidRPr="00F02CC7" w:rsidTr="002662D4">
        <w:trPr>
          <w:trHeight w:val="168"/>
        </w:trPr>
        <w:tc>
          <w:tcPr>
            <w:tcW w:w="10055" w:type="dxa"/>
            <w:gridSpan w:val="13"/>
            <w:tcBorders>
              <w:top w:val="single" w:sz="4" w:space="0" w:color="auto"/>
              <w:left w:val="nil"/>
              <w:bottom w:val="nil"/>
              <w:right w:val="nil"/>
            </w:tcBorders>
            <w:shd w:val="clear" w:color="auto" w:fill="auto"/>
          </w:tcPr>
          <w:p w:rsidR="000E184F" w:rsidRPr="00F02CC7" w:rsidRDefault="000E184F" w:rsidP="00F61756">
            <w:pPr>
              <w:spacing w:line="276" w:lineRule="auto"/>
              <w:rPr>
                <w:rFonts w:ascii="Calibri Light" w:hAnsi="Calibri Light" w:cs="Calibri Light"/>
                <w:sz w:val="16"/>
                <w:szCs w:val="16"/>
              </w:rPr>
            </w:pPr>
            <w:r w:rsidRPr="008376FC">
              <w:rPr>
                <w:rFonts w:ascii="Calibri Light" w:hAnsi="Calibri Light" w:cs="Calibri Light"/>
                <w:sz w:val="16"/>
                <w:szCs w:val="16"/>
              </w:rPr>
              <w:t xml:space="preserve">Sursa: </w:t>
            </w:r>
            <w:r w:rsidR="000056B2" w:rsidRPr="008376FC">
              <w:rPr>
                <w:rFonts w:ascii="Calibri Light" w:hAnsi="Calibri Light" w:cs="Calibri Light"/>
                <w:b w:val="0"/>
                <w:bCs w:val="0"/>
                <w:sz w:val="16"/>
                <w:szCs w:val="16"/>
              </w:rPr>
              <w:t>date generalizate de audit în baza informațiilor din SI FEN</w:t>
            </w:r>
          </w:p>
        </w:tc>
      </w:tr>
    </w:tbl>
    <w:p w:rsidR="0010717F" w:rsidRDefault="0010717F" w:rsidP="00F61756">
      <w:pPr>
        <w:spacing w:line="276" w:lineRule="auto"/>
        <w:jc w:val="right"/>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Pr="0010717F" w:rsidRDefault="0010717F" w:rsidP="0010717F">
      <w:pPr>
        <w:rPr>
          <w:sz w:val="24"/>
          <w:szCs w:val="24"/>
        </w:rPr>
      </w:pPr>
    </w:p>
    <w:p w:rsidR="0010717F" w:rsidRDefault="0010717F" w:rsidP="0010717F">
      <w:pPr>
        <w:jc w:val="right"/>
        <w:rPr>
          <w:sz w:val="24"/>
          <w:szCs w:val="24"/>
        </w:rPr>
      </w:pPr>
    </w:p>
    <w:p w:rsidR="0010717F" w:rsidRDefault="0010717F" w:rsidP="0010717F">
      <w:pPr>
        <w:rPr>
          <w:sz w:val="24"/>
          <w:szCs w:val="24"/>
        </w:rPr>
      </w:pPr>
    </w:p>
    <w:p w:rsidR="0027726A" w:rsidRPr="0010717F" w:rsidRDefault="0027726A" w:rsidP="0010717F">
      <w:pPr>
        <w:rPr>
          <w:sz w:val="24"/>
          <w:szCs w:val="24"/>
        </w:rPr>
        <w:sectPr w:rsidR="0027726A" w:rsidRPr="0010717F" w:rsidSect="00F8453F">
          <w:footerReference w:type="default" r:id="rId99"/>
          <w:footerReference w:type="first" r:id="rId100"/>
          <w:pgSz w:w="12240" w:h="15840" w:code="1"/>
          <w:pgMar w:top="851" w:right="851" w:bottom="851" w:left="1701" w:header="567" w:footer="567" w:gutter="0"/>
          <w:pgNumType w:start="1"/>
          <w:cols w:space="708"/>
          <w:titlePg/>
          <w:docGrid w:linePitch="360"/>
        </w:sectPr>
      </w:pPr>
    </w:p>
    <w:p w:rsidR="002662D4" w:rsidRPr="00EE3046" w:rsidRDefault="002662D4" w:rsidP="00F61756">
      <w:pPr>
        <w:spacing w:after="0" w:line="276" w:lineRule="auto"/>
        <w:jc w:val="right"/>
        <w:rPr>
          <w:rFonts w:asciiTheme="majorHAnsi" w:hAnsiTheme="majorHAnsi"/>
          <w:color w:val="0070C0"/>
          <w:sz w:val="20"/>
          <w:szCs w:val="20"/>
        </w:rPr>
      </w:pPr>
      <w:r w:rsidRPr="00EE3046">
        <w:rPr>
          <w:rFonts w:asciiTheme="majorHAnsi" w:hAnsiTheme="majorHAnsi"/>
          <w:color w:val="0070C0"/>
          <w:sz w:val="20"/>
          <w:szCs w:val="20"/>
        </w:rPr>
        <w:t xml:space="preserve">Anexa nr.21 </w:t>
      </w:r>
    </w:p>
    <w:p w:rsidR="0027726A" w:rsidRPr="00EE3046" w:rsidRDefault="00BC28D6" w:rsidP="00F61756">
      <w:pPr>
        <w:spacing w:after="0" w:line="276" w:lineRule="auto"/>
        <w:rPr>
          <w:rFonts w:asciiTheme="majorHAnsi" w:hAnsiTheme="majorHAnsi"/>
          <w:color w:val="0070C0"/>
          <w:sz w:val="20"/>
          <w:szCs w:val="20"/>
        </w:rPr>
      </w:pPr>
      <w:r w:rsidRPr="00EE3046">
        <w:rPr>
          <w:rFonts w:asciiTheme="majorHAnsi" w:hAnsiTheme="majorHAnsi"/>
          <w:color w:val="0070C0"/>
          <w:sz w:val="20"/>
          <w:szCs w:val="20"/>
        </w:rPr>
        <w:t xml:space="preserve">Analiza consumurilor tehnologice și pierderilor de apă efective și celor acceptate de ANRE în anii 2019-2021 </w:t>
      </w:r>
    </w:p>
    <w:tbl>
      <w:tblPr>
        <w:tblW w:w="14403" w:type="dxa"/>
        <w:tblInd w:w="-5" w:type="dxa"/>
        <w:tblLook w:val="04A0" w:firstRow="1" w:lastRow="0" w:firstColumn="1" w:lastColumn="0" w:noHBand="0" w:noVBand="1"/>
      </w:tblPr>
      <w:tblGrid>
        <w:gridCol w:w="635"/>
        <w:gridCol w:w="1271"/>
        <w:gridCol w:w="1112"/>
        <w:gridCol w:w="1112"/>
        <w:gridCol w:w="1114"/>
        <w:gridCol w:w="970"/>
        <w:gridCol w:w="970"/>
        <w:gridCol w:w="1112"/>
        <w:gridCol w:w="1112"/>
        <w:gridCol w:w="1112"/>
        <w:gridCol w:w="1067"/>
        <w:gridCol w:w="938"/>
        <w:gridCol w:w="937"/>
        <w:gridCol w:w="941"/>
      </w:tblGrid>
      <w:tr w:rsidR="002B2299" w:rsidRPr="00056AE7" w:rsidTr="002B2299">
        <w:trPr>
          <w:trHeight w:val="148"/>
        </w:trPr>
        <w:tc>
          <w:tcPr>
            <w:tcW w:w="635" w:type="dxa"/>
            <w:vMerge w:val="restart"/>
            <w:tcBorders>
              <w:top w:val="single" w:sz="4" w:space="0" w:color="auto"/>
              <w:left w:val="single" w:sz="4" w:space="0" w:color="auto"/>
              <w:bottom w:val="single" w:sz="4" w:space="0" w:color="auto"/>
              <w:right w:val="single" w:sz="4" w:space="0" w:color="auto"/>
            </w:tcBorders>
            <w:shd w:val="clear" w:color="000000" w:fill="BDD7EE"/>
            <w:vAlign w:val="bottom"/>
            <w:hideMark/>
          </w:tcPr>
          <w:p w:rsidR="00056AE7" w:rsidRPr="00056AE7" w:rsidRDefault="00BC28D6" w:rsidP="00F61756">
            <w:pPr>
              <w:spacing w:after="0" w:line="276" w:lineRule="auto"/>
              <w:jc w:val="center"/>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Anii</w:t>
            </w:r>
          </w:p>
        </w:tc>
        <w:tc>
          <w:tcPr>
            <w:tcW w:w="1271" w:type="dxa"/>
            <w:vMerge w:val="restart"/>
            <w:tcBorders>
              <w:top w:val="single" w:sz="4" w:space="0" w:color="auto"/>
              <w:left w:val="single" w:sz="4" w:space="0" w:color="auto"/>
              <w:bottom w:val="single" w:sz="4" w:space="0" w:color="auto"/>
              <w:right w:val="single" w:sz="4" w:space="0" w:color="auto"/>
            </w:tcBorders>
            <w:shd w:val="clear" w:color="000000" w:fill="BDD7EE"/>
            <w:vAlign w:val="bottom"/>
            <w:hideMark/>
          </w:tcPr>
          <w:p w:rsidR="0088086E" w:rsidRDefault="00BC28D6" w:rsidP="00F61756">
            <w:pPr>
              <w:spacing w:after="0" w:line="276" w:lineRule="auto"/>
              <w:ind w:firstLine="34"/>
              <w:jc w:val="center"/>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Volumul de apă captat</w:t>
            </w:r>
          </w:p>
        </w:tc>
        <w:tc>
          <w:tcPr>
            <w:tcW w:w="3338" w:type="dxa"/>
            <w:gridSpan w:val="3"/>
            <w:tcBorders>
              <w:top w:val="single" w:sz="4" w:space="0" w:color="auto"/>
              <w:left w:val="nil"/>
              <w:bottom w:val="single" w:sz="4" w:space="0" w:color="auto"/>
              <w:right w:val="single" w:sz="4" w:space="0" w:color="auto"/>
            </w:tcBorders>
            <w:shd w:val="clear" w:color="000000" w:fill="BDD7EE"/>
            <w:vAlign w:val="bottom"/>
            <w:hideMark/>
          </w:tcPr>
          <w:p w:rsidR="00056AE7" w:rsidRPr="00056AE7" w:rsidRDefault="00BC28D6" w:rsidP="00F61756">
            <w:pPr>
              <w:spacing w:after="0" w:line="276" w:lineRule="auto"/>
              <w:jc w:val="center"/>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Total consum tehnologic, m3</w:t>
            </w:r>
          </w:p>
        </w:tc>
        <w:tc>
          <w:tcPr>
            <w:tcW w:w="3052" w:type="dxa"/>
            <w:gridSpan w:val="3"/>
            <w:tcBorders>
              <w:top w:val="single" w:sz="4" w:space="0" w:color="auto"/>
              <w:left w:val="nil"/>
              <w:bottom w:val="single" w:sz="4" w:space="0" w:color="auto"/>
              <w:right w:val="single" w:sz="4" w:space="0" w:color="auto"/>
            </w:tcBorders>
            <w:shd w:val="clear" w:color="000000" w:fill="BDD7EE"/>
            <w:vAlign w:val="bottom"/>
            <w:hideMark/>
          </w:tcPr>
          <w:p w:rsidR="00056AE7" w:rsidRPr="00056AE7" w:rsidRDefault="00BC28D6" w:rsidP="00F61756">
            <w:pPr>
              <w:spacing w:after="0" w:line="276" w:lineRule="auto"/>
              <w:jc w:val="center"/>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Total Pierderi de apă în sistem. M3</w:t>
            </w:r>
          </w:p>
        </w:tc>
        <w:tc>
          <w:tcPr>
            <w:tcW w:w="3291" w:type="dxa"/>
            <w:gridSpan w:val="3"/>
            <w:tcBorders>
              <w:top w:val="single" w:sz="4" w:space="0" w:color="auto"/>
              <w:left w:val="nil"/>
              <w:bottom w:val="single" w:sz="4" w:space="0" w:color="auto"/>
              <w:right w:val="single" w:sz="4" w:space="0" w:color="auto"/>
            </w:tcBorders>
            <w:shd w:val="clear" w:color="000000" w:fill="BDD7EE"/>
            <w:vAlign w:val="bottom"/>
            <w:hideMark/>
          </w:tcPr>
          <w:p w:rsidR="00056AE7" w:rsidRPr="00056AE7" w:rsidRDefault="00BC28D6" w:rsidP="00F61756">
            <w:pPr>
              <w:spacing w:after="0" w:line="276" w:lineRule="auto"/>
              <w:jc w:val="center"/>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Total consumul tehnologic și pierderi</w:t>
            </w:r>
          </w:p>
        </w:tc>
        <w:tc>
          <w:tcPr>
            <w:tcW w:w="2816" w:type="dxa"/>
            <w:gridSpan w:val="3"/>
            <w:tcBorders>
              <w:top w:val="single" w:sz="4" w:space="0" w:color="auto"/>
              <w:left w:val="nil"/>
              <w:bottom w:val="single" w:sz="4" w:space="0" w:color="auto"/>
              <w:right w:val="single" w:sz="4" w:space="0" w:color="auto"/>
            </w:tcBorders>
            <w:shd w:val="clear" w:color="000000" w:fill="BDD7EE"/>
            <w:vAlign w:val="bottom"/>
            <w:hideMark/>
          </w:tcPr>
          <w:p w:rsidR="00056AE7" w:rsidRPr="00056AE7" w:rsidRDefault="00BC28D6" w:rsidP="00F61756">
            <w:pPr>
              <w:spacing w:after="0" w:line="276" w:lineRule="auto"/>
              <w:jc w:val="center"/>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ponderera total  CTP în volumul captat, %</w:t>
            </w:r>
          </w:p>
        </w:tc>
      </w:tr>
      <w:tr w:rsidR="002B2299" w:rsidRPr="00056AE7" w:rsidTr="002B2299">
        <w:trPr>
          <w:cantSplit/>
          <w:trHeight w:val="759"/>
        </w:trPr>
        <w:tc>
          <w:tcPr>
            <w:tcW w:w="635" w:type="dxa"/>
            <w:vMerge/>
            <w:tcBorders>
              <w:top w:val="single" w:sz="4" w:space="0" w:color="auto"/>
              <w:left w:val="single" w:sz="4" w:space="0" w:color="auto"/>
              <w:bottom w:val="single" w:sz="4" w:space="0" w:color="auto"/>
              <w:right w:val="single" w:sz="4" w:space="0" w:color="auto"/>
            </w:tcBorders>
            <w:vAlign w:val="center"/>
            <w:hideMark/>
          </w:tcPr>
          <w:p w:rsidR="00056AE7" w:rsidRPr="00056AE7" w:rsidRDefault="00056AE7" w:rsidP="00F61756">
            <w:pPr>
              <w:spacing w:after="0" w:line="276" w:lineRule="auto"/>
              <w:rPr>
                <w:rFonts w:ascii="Calibri" w:eastAsia="Times New Roman" w:hAnsi="Calibri" w:cs="Calibri"/>
                <w:color w:val="000000"/>
                <w:sz w:val="16"/>
                <w:szCs w:val="16"/>
                <w:lang w:val="en-US"/>
              </w:rPr>
            </w:pPr>
          </w:p>
        </w:tc>
        <w:tc>
          <w:tcPr>
            <w:tcW w:w="1271" w:type="dxa"/>
            <w:vMerge/>
            <w:tcBorders>
              <w:top w:val="single" w:sz="4" w:space="0" w:color="auto"/>
              <w:left w:val="single" w:sz="4" w:space="0" w:color="auto"/>
              <w:bottom w:val="single" w:sz="4" w:space="0" w:color="auto"/>
              <w:right w:val="single" w:sz="4" w:space="0" w:color="auto"/>
            </w:tcBorders>
            <w:vAlign w:val="center"/>
            <w:hideMark/>
          </w:tcPr>
          <w:p w:rsidR="00056AE7" w:rsidRPr="00056AE7" w:rsidRDefault="00056AE7" w:rsidP="00F61756">
            <w:pPr>
              <w:spacing w:after="0" w:line="276" w:lineRule="auto"/>
              <w:rPr>
                <w:rFonts w:ascii="Calibri" w:eastAsia="Times New Roman" w:hAnsi="Calibri" w:cs="Calibri"/>
                <w:color w:val="000000"/>
                <w:sz w:val="16"/>
                <w:szCs w:val="16"/>
                <w:lang w:val="en-US"/>
              </w:rPr>
            </w:pPr>
          </w:p>
        </w:tc>
        <w:tc>
          <w:tcPr>
            <w:tcW w:w="1112"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efectiv</w:t>
            </w:r>
          </w:p>
        </w:tc>
        <w:tc>
          <w:tcPr>
            <w:tcW w:w="1112"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actualizat de ANRE</w:t>
            </w:r>
          </w:p>
        </w:tc>
        <w:tc>
          <w:tcPr>
            <w:tcW w:w="1113"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devieri</w:t>
            </w:r>
          </w:p>
        </w:tc>
        <w:tc>
          <w:tcPr>
            <w:tcW w:w="970"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efectiv</w:t>
            </w:r>
          </w:p>
        </w:tc>
        <w:tc>
          <w:tcPr>
            <w:tcW w:w="970"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actualizat de ANRE</w:t>
            </w:r>
          </w:p>
        </w:tc>
        <w:tc>
          <w:tcPr>
            <w:tcW w:w="1112"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devieri</w:t>
            </w:r>
          </w:p>
        </w:tc>
        <w:tc>
          <w:tcPr>
            <w:tcW w:w="1112"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efectiv</w:t>
            </w:r>
          </w:p>
        </w:tc>
        <w:tc>
          <w:tcPr>
            <w:tcW w:w="1112"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actualizat de ANRE</w:t>
            </w:r>
          </w:p>
        </w:tc>
        <w:tc>
          <w:tcPr>
            <w:tcW w:w="1066"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devieri</w:t>
            </w:r>
          </w:p>
        </w:tc>
        <w:tc>
          <w:tcPr>
            <w:tcW w:w="938"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efectiv</w:t>
            </w:r>
          </w:p>
        </w:tc>
        <w:tc>
          <w:tcPr>
            <w:tcW w:w="937"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actualizat de ANRE</w:t>
            </w:r>
          </w:p>
        </w:tc>
        <w:tc>
          <w:tcPr>
            <w:tcW w:w="940" w:type="dxa"/>
            <w:tcBorders>
              <w:top w:val="nil"/>
              <w:left w:val="nil"/>
              <w:bottom w:val="single" w:sz="4" w:space="0" w:color="auto"/>
              <w:right w:val="single" w:sz="4" w:space="0" w:color="auto"/>
            </w:tcBorders>
            <w:shd w:val="clear" w:color="000000" w:fill="BDD7EE"/>
            <w:textDirection w:val="btLr"/>
            <w:vAlign w:val="bottom"/>
            <w:hideMark/>
          </w:tcPr>
          <w:p w:rsidR="0088086E" w:rsidRDefault="00BC28D6" w:rsidP="00F61756">
            <w:pPr>
              <w:spacing w:after="0" w:line="276" w:lineRule="auto"/>
              <w:ind w:left="113" w:right="113"/>
              <w:rPr>
                <w:rFonts w:ascii="Calibri" w:eastAsia="Times New Roman" w:hAnsi="Calibri" w:cs="Calibri"/>
                <w:color w:val="000000"/>
                <w:sz w:val="16"/>
                <w:szCs w:val="16"/>
                <w:lang w:val="en-US"/>
              </w:rPr>
            </w:pPr>
            <w:r w:rsidRPr="00BC28D6">
              <w:rPr>
                <w:rFonts w:ascii="Calibri" w:eastAsia="Times New Roman" w:hAnsi="Calibri" w:cs="Calibri"/>
                <w:color w:val="000000"/>
                <w:sz w:val="16"/>
                <w:szCs w:val="16"/>
                <w:lang w:val="en-US"/>
              </w:rPr>
              <w:t>devieri</w:t>
            </w:r>
          </w:p>
        </w:tc>
      </w:tr>
      <w:tr w:rsidR="002B2299" w:rsidRPr="00056AE7" w:rsidTr="002B2299">
        <w:trPr>
          <w:trHeight w:val="216"/>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2019</w:t>
            </w:r>
          </w:p>
        </w:tc>
        <w:tc>
          <w:tcPr>
            <w:tcW w:w="1271"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68.759.021</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7.267.063</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5.088.532</w:t>
            </w:r>
          </w:p>
        </w:tc>
        <w:tc>
          <w:tcPr>
            <w:tcW w:w="1113"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-2.178.531</w:t>
            </w:r>
          </w:p>
        </w:tc>
        <w:tc>
          <w:tcPr>
            <w:tcW w:w="970"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6.489.374</w:t>
            </w:r>
          </w:p>
        </w:tc>
        <w:tc>
          <w:tcPr>
            <w:tcW w:w="970"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2.436.841</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-4.052.533</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13.756.437</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7.525.373</w:t>
            </w:r>
          </w:p>
        </w:tc>
        <w:tc>
          <w:tcPr>
            <w:tcW w:w="1066"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-6.231.064</w:t>
            </w:r>
          </w:p>
        </w:tc>
        <w:tc>
          <w:tcPr>
            <w:tcW w:w="938"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20,01%</w:t>
            </w:r>
          </w:p>
        </w:tc>
        <w:tc>
          <w:tcPr>
            <w:tcW w:w="937"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10,94%</w:t>
            </w:r>
          </w:p>
        </w:tc>
        <w:tc>
          <w:tcPr>
            <w:tcW w:w="940"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-9,06%</w:t>
            </w:r>
          </w:p>
        </w:tc>
      </w:tr>
      <w:tr w:rsidR="002B2299" w:rsidRPr="00056AE7" w:rsidTr="002B2299">
        <w:trPr>
          <w:trHeight w:val="216"/>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2020</w:t>
            </w:r>
          </w:p>
        </w:tc>
        <w:tc>
          <w:tcPr>
            <w:tcW w:w="1271"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68.119.316</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8.303.254</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5.080.694</w:t>
            </w:r>
          </w:p>
        </w:tc>
        <w:tc>
          <w:tcPr>
            <w:tcW w:w="1113"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-3.222.560</w:t>
            </w:r>
          </w:p>
        </w:tc>
        <w:tc>
          <w:tcPr>
            <w:tcW w:w="970"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8.026.229</w:t>
            </w:r>
          </w:p>
        </w:tc>
        <w:tc>
          <w:tcPr>
            <w:tcW w:w="970"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6.964.627</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-1.061.602</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16.329.483</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12.045.321</w:t>
            </w:r>
          </w:p>
        </w:tc>
        <w:tc>
          <w:tcPr>
            <w:tcW w:w="1066"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-4.284.162</w:t>
            </w:r>
          </w:p>
        </w:tc>
        <w:tc>
          <w:tcPr>
            <w:tcW w:w="938"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23,97%</w:t>
            </w:r>
          </w:p>
        </w:tc>
        <w:tc>
          <w:tcPr>
            <w:tcW w:w="937"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17,68%</w:t>
            </w:r>
          </w:p>
        </w:tc>
        <w:tc>
          <w:tcPr>
            <w:tcW w:w="940"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-6,29%</w:t>
            </w:r>
          </w:p>
        </w:tc>
      </w:tr>
      <w:tr w:rsidR="002B2299" w:rsidRPr="00056AE7" w:rsidTr="002B2299">
        <w:trPr>
          <w:trHeight w:val="216"/>
        </w:trPr>
        <w:tc>
          <w:tcPr>
            <w:tcW w:w="635" w:type="dxa"/>
            <w:tcBorders>
              <w:top w:val="nil"/>
              <w:left w:val="single" w:sz="4" w:space="0" w:color="auto"/>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2021</w:t>
            </w:r>
          </w:p>
        </w:tc>
        <w:tc>
          <w:tcPr>
            <w:tcW w:w="1271"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65.997.365</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7.823.595</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4.633.620</w:t>
            </w:r>
          </w:p>
        </w:tc>
        <w:tc>
          <w:tcPr>
            <w:tcW w:w="1113"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-3.189.975</w:t>
            </w:r>
          </w:p>
        </w:tc>
        <w:tc>
          <w:tcPr>
            <w:tcW w:w="970"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6.734.260</w:t>
            </w:r>
          </w:p>
        </w:tc>
        <w:tc>
          <w:tcPr>
            <w:tcW w:w="970"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7.039.059</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304.799</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14.557.855</w:t>
            </w:r>
          </w:p>
        </w:tc>
        <w:tc>
          <w:tcPr>
            <w:tcW w:w="1112"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11.672.679</w:t>
            </w:r>
          </w:p>
        </w:tc>
        <w:tc>
          <w:tcPr>
            <w:tcW w:w="1066"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-2.885.176</w:t>
            </w:r>
          </w:p>
        </w:tc>
        <w:tc>
          <w:tcPr>
            <w:tcW w:w="938"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22,06%</w:t>
            </w:r>
          </w:p>
        </w:tc>
        <w:tc>
          <w:tcPr>
            <w:tcW w:w="937"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17,69%</w:t>
            </w:r>
          </w:p>
        </w:tc>
        <w:tc>
          <w:tcPr>
            <w:tcW w:w="940" w:type="dxa"/>
            <w:tcBorders>
              <w:top w:val="nil"/>
              <w:left w:val="nil"/>
              <w:bottom w:val="single" w:sz="4" w:space="0" w:color="auto"/>
              <w:right w:val="single" w:sz="4" w:space="0" w:color="auto"/>
            </w:tcBorders>
            <w:shd w:val="clear" w:color="auto" w:fill="auto"/>
            <w:noWrap/>
            <w:vAlign w:val="bottom"/>
            <w:hideMark/>
          </w:tcPr>
          <w:p w:rsidR="00056AE7" w:rsidRPr="00056AE7" w:rsidRDefault="00BC28D6" w:rsidP="00F61756">
            <w:pPr>
              <w:spacing w:after="0" w:line="276" w:lineRule="auto"/>
              <w:jc w:val="right"/>
              <w:rPr>
                <w:rFonts w:ascii="Calibri" w:eastAsia="Times New Roman" w:hAnsi="Calibri" w:cs="Calibri"/>
                <w:b w:val="0"/>
                <w:bCs w:val="0"/>
                <w:color w:val="000000"/>
                <w:sz w:val="16"/>
                <w:szCs w:val="16"/>
                <w:lang w:val="en-US"/>
              </w:rPr>
            </w:pPr>
            <w:r w:rsidRPr="00BC28D6">
              <w:rPr>
                <w:rFonts w:ascii="Calibri" w:eastAsia="Times New Roman" w:hAnsi="Calibri" w:cs="Calibri"/>
                <w:b w:val="0"/>
                <w:bCs w:val="0"/>
                <w:color w:val="000000"/>
                <w:sz w:val="16"/>
                <w:szCs w:val="16"/>
                <w:lang w:val="en-US"/>
              </w:rPr>
              <w:t>-4,37%</w:t>
            </w:r>
          </w:p>
        </w:tc>
      </w:tr>
    </w:tbl>
    <w:p w:rsidR="0027726A" w:rsidRPr="00312935" w:rsidRDefault="00312935" w:rsidP="00F61756">
      <w:pPr>
        <w:spacing w:line="276" w:lineRule="auto"/>
        <w:rPr>
          <w:sz w:val="18"/>
          <w:szCs w:val="18"/>
        </w:rPr>
      </w:pPr>
      <w:r w:rsidRPr="00312935">
        <w:rPr>
          <w:sz w:val="18"/>
          <w:szCs w:val="18"/>
        </w:rPr>
        <w:t xml:space="preserve">Sursa: </w:t>
      </w:r>
      <w:r w:rsidRPr="00312935">
        <w:rPr>
          <w:b w:val="0"/>
          <w:sz w:val="18"/>
          <w:szCs w:val="18"/>
        </w:rPr>
        <w:t>Datele S.A. Apa Canal Chisinau.</w:t>
      </w:r>
    </w:p>
    <w:p w:rsidR="0088086E" w:rsidRPr="00312935" w:rsidRDefault="00561C2D" w:rsidP="00F61756">
      <w:pPr>
        <w:pStyle w:val="a3"/>
        <w:spacing w:before="120" w:line="276" w:lineRule="auto"/>
        <w:jc w:val="right"/>
        <w:rPr>
          <w:rFonts w:asciiTheme="majorHAnsi" w:hAnsiTheme="majorHAnsi" w:cstheme="majorHAnsi"/>
          <w:b/>
          <w:bCs/>
          <w:color w:val="0070C0"/>
          <w:lang w:val="en-US"/>
        </w:rPr>
      </w:pPr>
      <w:r w:rsidRPr="00312935">
        <w:rPr>
          <w:rFonts w:asciiTheme="majorHAnsi" w:hAnsiTheme="majorHAnsi" w:cstheme="majorHAnsi"/>
          <w:b/>
          <w:bCs/>
          <w:color w:val="0070C0"/>
          <w:lang w:val="en-US"/>
        </w:rPr>
        <w:t>Anexa nr. 22</w:t>
      </w:r>
    </w:p>
    <w:p w:rsidR="0088086E" w:rsidRPr="002662D4" w:rsidRDefault="00561C2D" w:rsidP="00F61756">
      <w:pPr>
        <w:pStyle w:val="a3"/>
        <w:spacing w:before="120" w:line="276" w:lineRule="auto"/>
        <w:ind w:left="0"/>
        <w:jc w:val="both"/>
        <w:rPr>
          <w:rFonts w:asciiTheme="majorHAnsi" w:hAnsiTheme="majorHAnsi" w:cstheme="majorHAnsi"/>
          <w:b/>
          <w:color w:val="0070C0"/>
          <w:lang w:val="en-US"/>
        </w:rPr>
      </w:pPr>
      <w:r w:rsidRPr="002662D4">
        <w:rPr>
          <w:rFonts w:asciiTheme="majorHAnsi" w:hAnsiTheme="majorHAnsi" w:cstheme="majorHAnsi"/>
          <w:b/>
          <w:color w:val="0070C0"/>
          <w:lang w:val="ro-RO"/>
        </w:rPr>
        <w:t>M</w:t>
      </w:r>
      <w:r w:rsidRPr="002662D4">
        <w:rPr>
          <w:rFonts w:asciiTheme="majorHAnsi" w:hAnsiTheme="majorHAnsi" w:cstheme="majorHAnsi"/>
          <w:b/>
          <w:color w:val="0070C0"/>
          <w:lang w:val="en-US"/>
        </w:rPr>
        <w:t xml:space="preserve">odul de transmitere a costurilor formate în urma achiziționării de bunuri, servicii, </w:t>
      </w:r>
      <w:r w:rsidRPr="002662D4">
        <w:rPr>
          <w:rFonts w:asciiTheme="majorHAnsi" w:hAnsiTheme="majorHAnsi" w:cstheme="majorHAnsi"/>
          <w:b/>
          <w:bCs/>
          <w:color w:val="0070C0"/>
          <w:lang w:val="en-US"/>
        </w:rPr>
        <w:t>servicii, construcții, reconstrucții sau îmbunătățirii acestora din contul mijloacelor FNDRL</w:t>
      </w:r>
    </w:p>
    <w:p w:rsidR="00561C2D" w:rsidRPr="008376FC" w:rsidRDefault="00561C2D" w:rsidP="00F61756">
      <w:pPr>
        <w:spacing w:before="120" w:after="0" w:line="276" w:lineRule="auto"/>
        <w:jc w:val="both"/>
        <w:rPr>
          <w:rFonts w:asciiTheme="majorHAnsi" w:hAnsiTheme="majorHAnsi" w:cstheme="majorHAnsi"/>
          <w:b w:val="0"/>
          <w:bCs w:val="0"/>
          <w:sz w:val="24"/>
          <w:szCs w:val="24"/>
        </w:rPr>
      </w:pPr>
      <w:r w:rsidRPr="00312935">
        <w:rPr>
          <w:rFonts w:asciiTheme="majorHAnsi" w:hAnsiTheme="majorHAnsi" w:cstheme="majorHAnsi"/>
          <w:b w:val="0"/>
          <w:bCs w:val="0"/>
          <w:sz w:val="24"/>
          <w:szCs w:val="24"/>
        </w:rPr>
        <w:t xml:space="preserve">În sensul stabilirii modului de transmitere a </w:t>
      </w:r>
      <w:r w:rsidR="00BC28D6" w:rsidRPr="00312935">
        <w:rPr>
          <w:rFonts w:asciiTheme="majorHAnsi" w:hAnsiTheme="majorHAnsi" w:cstheme="majorHAnsi"/>
          <w:b w:val="0"/>
          <w:bCs w:val="0"/>
          <w:sz w:val="24"/>
          <w:szCs w:val="24"/>
        </w:rPr>
        <w:t>costurilor investiționale din FNDRL, în ianuarie 2023 au fost operate modificări la HG nr.1235/2016 ce ține de proiectele de dezvoltare locală, fiind completat cadrul instituțional responsabil de implementarea proiectelor locale cu ONDRL. De asemenea, pentru proiectele de dezvoltare locală, implementate din sursele FNDRL sau din alte surse, în situațiile în care costurile investiționale se formează la autoritățile APL beneficiare, se aplică procedura de constatare a costurilor formate la beneficiar în urma achiziționării de bunuri, servicii, construcții, reconstrucții sau îmbunătățirii acestora din contul mijloacelor FNDRL. Procedura</w:t>
      </w:r>
      <w:r w:rsidRPr="00312935">
        <w:rPr>
          <w:rFonts w:asciiTheme="majorHAnsi" w:hAnsiTheme="majorHAnsi" w:cstheme="majorHAnsi"/>
          <w:b w:val="0"/>
          <w:bCs w:val="0"/>
          <w:sz w:val="24"/>
          <w:szCs w:val="24"/>
        </w:rPr>
        <w:t xml:space="preserve"> de constatare a costurilor formate la beneficiar se aplică în mod similar procedurii de transmitere a costurilor descrise în Regulamentul respectiv</w:t>
      </w:r>
      <w:r w:rsidRPr="008376FC">
        <w:rPr>
          <w:rFonts w:asciiTheme="majorHAnsi" w:hAnsiTheme="majorHAnsi" w:cstheme="majorHAnsi"/>
          <w:b w:val="0"/>
          <w:bCs w:val="0"/>
          <w:sz w:val="24"/>
          <w:szCs w:val="24"/>
        </w:rPr>
        <w:t xml:space="preserve">. Totodată, a fost ajustată anexa la Hotărârea Guvernului menționată, care </w:t>
      </w:r>
      <w:r>
        <w:rPr>
          <w:rFonts w:asciiTheme="majorHAnsi" w:hAnsiTheme="majorHAnsi" w:cstheme="majorHAnsi"/>
          <w:b w:val="0"/>
          <w:bCs w:val="0"/>
          <w:sz w:val="24"/>
          <w:szCs w:val="24"/>
        </w:rPr>
        <w:t>conține</w:t>
      </w:r>
      <w:r w:rsidRPr="008376FC">
        <w:rPr>
          <w:rFonts w:asciiTheme="majorHAnsi" w:hAnsiTheme="majorHAnsi" w:cstheme="majorHAnsi"/>
          <w:b w:val="0"/>
          <w:bCs w:val="0"/>
          <w:sz w:val="24"/>
          <w:szCs w:val="24"/>
        </w:rPr>
        <w:t xml:space="preserve"> formularul actului de predare-primire.</w:t>
      </w:r>
    </w:p>
    <w:p w:rsidR="004F1019" w:rsidRPr="00EE3046" w:rsidRDefault="00561C2D" w:rsidP="00F61756">
      <w:pPr>
        <w:spacing w:before="120" w:after="0" w:line="276" w:lineRule="auto"/>
        <w:jc w:val="both"/>
        <w:rPr>
          <w:rFonts w:asciiTheme="majorHAnsi" w:hAnsiTheme="majorHAnsi" w:cstheme="majorHAnsi"/>
          <w:b w:val="0"/>
          <w:bCs w:val="0"/>
          <w:sz w:val="24"/>
          <w:szCs w:val="24"/>
        </w:rPr>
      </w:pPr>
      <w:r w:rsidRPr="00EE3046">
        <w:rPr>
          <w:rFonts w:asciiTheme="majorHAnsi" w:hAnsiTheme="majorHAnsi" w:cstheme="majorHAnsi"/>
          <w:b w:val="0"/>
          <w:bCs w:val="0"/>
          <w:sz w:val="24"/>
          <w:szCs w:val="24"/>
        </w:rPr>
        <w:t xml:space="preserve">Astfel, după întocmirea Procesului-verbal de recepție la terminarea lucrărilor și efectuarea plății finale, prin Ordinul ONDRL se creează Comisia de inventariere și constatare a costurilor investiționale, formate la APL, în cadrul căreia participă angajații ONDRL și reprezentantul beneficiarului. Comisia elaborează și asigură semnarea Actului de constatare a costului investițional, la care se anexează obligatoriu copii de pe toate procesele-verbale de recepție a lucrărilor și toate cererile de plată aferente proiectului. Ulterior, Actul se remite către MIDR pentru aprobare. Din momentul aprobării actului de constatare, beneficiarul este obligat să reflecte costul investițional în contabilitatea beneficiarului în expresie cantitativă și valorică, și să asigure evidența și integritatea acestor bunuri, precum și exploatarea lor eficientă, exclusiv conform destinației și scopurilor prevăzute de Proiect. </w:t>
      </w:r>
    </w:p>
    <w:p w:rsidR="00D73D35" w:rsidRPr="00BD4C46" w:rsidRDefault="00D73D35" w:rsidP="0010717F">
      <w:pPr>
        <w:pStyle w:val="1"/>
        <w:spacing w:line="276" w:lineRule="auto"/>
        <w:jc w:val="right"/>
        <w:rPr>
          <w:rFonts w:cstheme="majorHAnsi"/>
          <w:bCs w:val="0"/>
          <w:i/>
          <w:color w:val="auto"/>
          <w:sz w:val="24"/>
          <w:szCs w:val="24"/>
        </w:rPr>
      </w:pPr>
    </w:p>
    <w:sectPr w:rsidR="00D73D35" w:rsidRPr="00BD4C46" w:rsidSect="0027726A">
      <w:pgSz w:w="15840" w:h="12240" w:orient="landscape" w:code="1"/>
      <w:pgMar w:top="1701" w:right="851" w:bottom="851" w:left="851" w:header="567" w:footer="56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54176" w:rsidRDefault="00854176" w:rsidP="0096170B">
      <w:pPr>
        <w:spacing w:after="0" w:line="240" w:lineRule="auto"/>
      </w:pPr>
      <w:r>
        <w:separator/>
      </w:r>
    </w:p>
  </w:endnote>
  <w:endnote w:type="continuationSeparator" w:id="0">
    <w:p w:rsidR="00854176" w:rsidRDefault="00854176" w:rsidP="009617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4481335"/>
      <w:docPartObj>
        <w:docPartGallery w:val="Page Numbers (Bottom of Page)"/>
        <w:docPartUnique/>
      </w:docPartObj>
    </w:sdtPr>
    <w:sdtEndPr>
      <w:rPr>
        <w:rFonts w:asciiTheme="majorHAnsi" w:hAnsiTheme="majorHAnsi" w:cstheme="majorHAnsi"/>
        <w:b w:val="0"/>
        <w:sz w:val="20"/>
        <w:szCs w:val="20"/>
      </w:rPr>
    </w:sdtEndPr>
    <w:sdtContent>
      <w:p w:rsidR="00510CDB" w:rsidRPr="0010717F" w:rsidRDefault="00510CDB">
        <w:pPr>
          <w:pStyle w:val="a7"/>
          <w:jc w:val="right"/>
          <w:rPr>
            <w:rFonts w:asciiTheme="majorHAnsi" w:hAnsiTheme="majorHAnsi" w:cstheme="majorHAnsi"/>
            <w:b w:val="0"/>
            <w:sz w:val="20"/>
            <w:szCs w:val="20"/>
          </w:rPr>
        </w:pPr>
        <w:r w:rsidRPr="0010717F">
          <w:rPr>
            <w:rFonts w:asciiTheme="majorHAnsi" w:hAnsiTheme="majorHAnsi" w:cstheme="majorHAnsi"/>
            <w:b w:val="0"/>
            <w:sz w:val="20"/>
            <w:szCs w:val="20"/>
          </w:rPr>
          <w:fldChar w:fldCharType="begin"/>
        </w:r>
        <w:r w:rsidRPr="0010717F">
          <w:rPr>
            <w:rFonts w:asciiTheme="majorHAnsi" w:hAnsiTheme="majorHAnsi" w:cstheme="majorHAnsi"/>
            <w:b w:val="0"/>
            <w:sz w:val="20"/>
            <w:szCs w:val="20"/>
          </w:rPr>
          <w:instrText xml:space="preserve"> PAGE   \* MERGEFORMAT </w:instrText>
        </w:r>
        <w:r w:rsidRPr="0010717F">
          <w:rPr>
            <w:rFonts w:asciiTheme="majorHAnsi" w:hAnsiTheme="majorHAnsi" w:cstheme="majorHAnsi"/>
            <w:b w:val="0"/>
            <w:sz w:val="20"/>
            <w:szCs w:val="20"/>
          </w:rPr>
          <w:fldChar w:fldCharType="separate"/>
        </w:r>
        <w:r w:rsidR="002D4C84">
          <w:rPr>
            <w:rFonts w:asciiTheme="majorHAnsi" w:hAnsiTheme="majorHAnsi" w:cstheme="majorHAnsi"/>
            <w:b w:val="0"/>
            <w:noProof/>
            <w:sz w:val="20"/>
            <w:szCs w:val="20"/>
          </w:rPr>
          <w:t>72</w:t>
        </w:r>
        <w:r w:rsidRPr="0010717F">
          <w:rPr>
            <w:rFonts w:asciiTheme="majorHAnsi" w:hAnsiTheme="majorHAnsi" w:cstheme="majorHAnsi"/>
            <w:b w:val="0"/>
            <w:noProof/>
            <w:sz w:val="20"/>
            <w:szCs w:val="20"/>
          </w:rPr>
          <w:fldChar w:fldCharType="end"/>
        </w:r>
      </w:p>
    </w:sdtContent>
  </w:sdt>
  <w:p w:rsidR="00510CDB" w:rsidRDefault="00510CDB">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b w:val="0"/>
        <w:sz w:val="20"/>
        <w:szCs w:val="20"/>
      </w:rPr>
      <w:id w:val="694480699"/>
      <w:docPartObj>
        <w:docPartGallery w:val="Page Numbers (Bottom of Page)"/>
        <w:docPartUnique/>
      </w:docPartObj>
    </w:sdtPr>
    <w:sdtEndPr/>
    <w:sdtContent>
      <w:p w:rsidR="00510CDB" w:rsidRPr="0010717F" w:rsidRDefault="00510CDB">
        <w:pPr>
          <w:pStyle w:val="a7"/>
          <w:jc w:val="right"/>
          <w:rPr>
            <w:rFonts w:asciiTheme="majorHAnsi" w:hAnsiTheme="majorHAnsi" w:cstheme="majorHAnsi"/>
            <w:b w:val="0"/>
            <w:sz w:val="20"/>
            <w:szCs w:val="20"/>
          </w:rPr>
        </w:pPr>
        <w:r>
          <w:rPr>
            <w:rFonts w:asciiTheme="majorHAnsi" w:hAnsiTheme="majorHAnsi" w:cstheme="majorHAnsi"/>
            <w:b w:val="0"/>
            <w:sz w:val="20"/>
            <w:szCs w:val="20"/>
          </w:rPr>
          <w:t>166</w:t>
        </w:r>
      </w:p>
    </w:sdtContent>
  </w:sdt>
  <w:p w:rsidR="00510CDB" w:rsidRDefault="00510CDB">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54176" w:rsidRDefault="00854176" w:rsidP="0096170B">
      <w:pPr>
        <w:spacing w:after="0" w:line="240" w:lineRule="auto"/>
      </w:pPr>
      <w:r>
        <w:separator/>
      </w:r>
    </w:p>
  </w:footnote>
  <w:footnote w:type="continuationSeparator" w:id="0">
    <w:p w:rsidR="00854176" w:rsidRDefault="00854176" w:rsidP="0096170B">
      <w:pPr>
        <w:spacing w:after="0" w:line="240" w:lineRule="auto"/>
      </w:pPr>
      <w:r>
        <w:continuationSeparator/>
      </w:r>
    </w:p>
  </w:footnote>
  <w:footnote w:id="1">
    <w:p w:rsidR="00510CDB" w:rsidRPr="004D5CE3" w:rsidRDefault="00510CDB" w:rsidP="00223D1A">
      <w:pPr>
        <w:pStyle w:val="a9"/>
        <w:jc w:val="both"/>
        <w:rPr>
          <w:rFonts w:asciiTheme="majorHAnsi" w:hAnsiTheme="majorHAnsi" w:cstheme="majorHAnsi"/>
          <w:b w:val="0"/>
          <w:bCs w:val="0"/>
          <w:sz w:val="16"/>
          <w:szCs w:val="16"/>
        </w:rPr>
      </w:pPr>
      <w:r w:rsidRPr="004D5CE3">
        <w:rPr>
          <w:rStyle w:val="ab"/>
          <w:rFonts w:asciiTheme="majorHAnsi" w:hAnsiTheme="majorHAnsi" w:cstheme="majorHAnsi"/>
          <w:b w:val="0"/>
          <w:bCs w:val="0"/>
          <w:sz w:val="16"/>
          <w:szCs w:val="16"/>
        </w:rPr>
        <w:footnoteRef/>
      </w:r>
      <w:r w:rsidRPr="004D5CE3">
        <w:rPr>
          <w:rFonts w:asciiTheme="majorHAnsi" w:hAnsiTheme="majorHAnsi" w:cstheme="majorHAnsi"/>
          <w:b w:val="0"/>
          <w:bCs w:val="0"/>
          <w:sz w:val="16"/>
          <w:szCs w:val="16"/>
        </w:rPr>
        <w:t xml:space="preserve"> Spre exemplu, grantul alocat de Turcia pentru construcţia staţiei de tratare a apei în or. Cead</w:t>
      </w:r>
      <w:r>
        <w:rPr>
          <w:rFonts w:asciiTheme="majorHAnsi" w:hAnsiTheme="majorHAnsi" w:cstheme="majorHAnsi"/>
          <w:b w:val="0"/>
          <w:bCs w:val="0"/>
          <w:sz w:val="16"/>
          <w:szCs w:val="16"/>
        </w:rPr>
        <w:t>â</w:t>
      </w:r>
      <w:r w:rsidRPr="004D5CE3">
        <w:rPr>
          <w:rFonts w:asciiTheme="majorHAnsi" w:hAnsiTheme="majorHAnsi" w:cstheme="majorHAnsi"/>
          <w:b w:val="0"/>
          <w:bCs w:val="0"/>
          <w:sz w:val="16"/>
          <w:szCs w:val="16"/>
        </w:rPr>
        <w:t>r-Lunga a fost valorificat, însă staţia nu este funcţională; creditul acordat de Statul Kuwait în anul 2006 pentru 6 localităţi nu a fost valorificat.</w:t>
      </w:r>
    </w:p>
  </w:footnote>
  <w:footnote w:id="2">
    <w:p w:rsidR="00510CDB" w:rsidRPr="004D5CE3" w:rsidRDefault="00510CDB" w:rsidP="008C3A1A">
      <w:pPr>
        <w:pStyle w:val="a9"/>
        <w:jc w:val="both"/>
        <w:rPr>
          <w:rFonts w:asciiTheme="majorHAnsi" w:hAnsiTheme="majorHAnsi" w:cstheme="majorHAnsi"/>
          <w:b w:val="0"/>
          <w:bCs w:val="0"/>
          <w:sz w:val="16"/>
          <w:szCs w:val="16"/>
        </w:rPr>
      </w:pPr>
      <w:r w:rsidRPr="004D5CE3">
        <w:rPr>
          <w:rStyle w:val="ab"/>
          <w:rFonts w:asciiTheme="majorHAnsi" w:hAnsiTheme="majorHAnsi" w:cstheme="majorHAnsi"/>
          <w:b w:val="0"/>
          <w:bCs w:val="0"/>
          <w:sz w:val="16"/>
          <w:szCs w:val="16"/>
        </w:rPr>
        <w:footnoteRef/>
      </w:r>
      <w:r w:rsidRPr="004D5CE3">
        <w:rPr>
          <w:rFonts w:asciiTheme="majorHAnsi" w:hAnsiTheme="majorHAnsi" w:cstheme="majorHAnsi"/>
          <w:b w:val="0"/>
          <w:bCs w:val="0"/>
          <w:sz w:val="16"/>
          <w:szCs w:val="16"/>
        </w:rPr>
        <w:t xml:space="preserve"> Iniţial perioada de implementare a Strategiei a fost stabilită 2014-2028, care a fost extinsă ulterior – 2014-2030 prin HG nr.442 din 01.07.2020.</w:t>
      </w:r>
    </w:p>
  </w:footnote>
  <w:footnote w:id="3">
    <w:p w:rsidR="00510CDB" w:rsidRPr="004D5CE3" w:rsidRDefault="00510CDB" w:rsidP="008C3A1A">
      <w:pPr>
        <w:pStyle w:val="4"/>
        <w:shd w:val="clear" w:color="auto" w:fill="FFFFFF"/>
        <w:spacing w:before="0" w:line="240" w:lineRule="auto"/>
        <w:jc w:val="both"/>
        <w:rPr>
          <w:rFonts w:cstheme="majorHAnsi"/>
          <w:sz w:val="16"/>
          <w:szCs w:val="16"/>
        </w:rPr>
      </w:pPr>
      <w:r w:rsidRPr="004D5CE3">
        <w:rPr>
          <w:rStyle w:val="ab"/>
          <w:rFonts w:cstheme="majorHAnsi"/>
          <w:b w:val="0"/>
          <w:bCs w:val="0"/>
          <w:sz w:val="16"/>
          <w:szCs w:val="16"/>
        </w:rPr>
        <w:footnoteRef/>
      </w:r>
      <w:r w:rsidRPr="004D5CE3">
        <w:rPr>
          <w:rFonts w:cstheme="majorHAnsi"/>
          <w:b w:val="0"/>
          <w:bCs w:val="0"/>
          <w:sz w:val="16"/>
          <w:szCs w:val="16"/>
        </w:rPr>
        <w:t xml:space="preserve"> </w:t>
      </w:r>
      <w:r w:rsidRPr="00157DAD">
        <w:rPr>
          <w:rFonts w:eastAsiaTheme="minorHAnsi" w:cstheme="majorHAnsi"/>
          <w:b w:val="0"/>
          <w:bCs w:val="0"/>
          <w:i w:val="0"/>
          <w:iCs w:val="0"/>
          <w:color w:val="auto"/>
          <w:sz w:val="16"/>
          <w:szCs w:val="16"/>
        </w:rPr>
        <w:t xml:space="preserve">HG nr.442 din 01.07.2020 </w:t>
      </w:r>
      <w:r w:rsidRPr="008C3A1A">
        <w:rPr>
          <w:rFonts w:eastAsiaTheme="minorHAnsi" w:cstheme="majorHAnsi"/>
          <w:b w:val="0"/>
          <w:bCs w:val="0"/>
          <w:i w:val="0"/>
          <w:iCs w:val="0"/>
          <w:color w:val="auto"/>
          <w:sz w:val="16"/>
          <w:szCs w:val="16"/>
        </w:rPr>
        <w:t>pentru modificarea Hotărârii Guvernului nr. 199/2014 cu privire la aprobarea Strategiei de alimentare cu apă și sanitație  2014-2028)</w:t>
      </w:r>
      <w:r>
        <w:rPr>
          <w:rFonts w:eastAsiaTheme="minorHAnsi" w:cstheme="majorHAnsi"/>
          <w:b w:val="0"/>
          <w:bCs w:val="0"/>
          <w:i w:val="0"/>
          <w:iCs w:val="0"/>
          <w:color w:val="auto"/>
          <w:sz w:val="16"/>
          <w:szCs w:val="16"/>
        </w:rPr>
        <w:t>.</w:t>
      </w:r>
    </w:p>
  </w:footnote>
  <w:footnote w:id="4">
    <w:p w:rsidR="00510CDB" w:rsidRPr="009548FA" w:rsidRDefault="00510CDB" w:rsidP="008C3A1A">
      <w:pPr>
        <w:pStyle w:val="a9"/>
        <w:jc w:val="both"/>
        <w:rPr>
          <w:rFonts w:ascii="Calibri Light" w:hAnsi="Calibri Light" w:cs="Calibri Light"/>
          <w:b w:val="0"/>
          <w:bCs w:val="0"/>
          <w:sz w:val="16"/>
          <w:szCs w:val="16"/>
        </w:rPr>
      </w:pPr>
      <w:r w:rsidRPr="009548FA">
        <w:rPr>
          <w:rStyle w:val="ab"/>
          <w:rFonts w:ascii="Calibri Light" w:hAnsi="Calibri Light" w:cs="Calibri Light"/>
          <w:b w:val="0"/>
          <w:bCs w:val="0"/>
          <w:sz w:val="16"/>
          <w:szCs w:val="16"/>
        </w:rPr>
        <w:footnoteRef/>
      </w:r>
      <w:r w:rsidRPr="009548FA">
        <w:rPr>
          <w:rFonts w:ascii="Calibri Light" w:hAnsi="Calibri Light" w:cs="Calibri Light"/>
          <w:b w:val="0"/>
          <w:bCs w:val="0"/>
          <w:sz w:val="16"/>
          <w:szCs w:val="16"/>
        </w:rPr>
        <w:t xml:space="preserve"> Obiectivelor de Dezvoltare ale Mileniului au expirat la finele anului 2015 în contextul adoptării Agendei 2030 de Dezvoltare Durabilă, care cuprinde 17 Obiective de Dezvoltare Durabilă (ODD), la 25 septembrie 2015, la Summit-ul privind Dezvoltarea Durabilă, de către 193 de state membre ONU.</w:t>
      </w:r>
    </w:p>
  </w:footnote>
  <w:footnote w:id="5">
    <w:p w:rsidR="00510CDB" w:rsidRPr="009548FA" w:rsidRDefault="00510CDB" w:rsidP="00CD1B1E">
      <w:pPr>
        <w:pStyle w:val="a9"/>
        <w:jc w:val="both"/>
        <w:rPr>
          <w:rFonts w:ascii="Calibri Light" w:hAnsi="Calibri Light" w:cs="Calibri Light"/>
          <w:b w:val="0"/>
          <w:bCs w:val="0"/>
          <w:sz w:val="16"/>
          <w:szCs w:val="16"/>
        </w:rPr>
      </w:pPr>
      <w:r w:rsidRPr="009548FA">
        <w:rPr>
          <w:rStyle w:val="ab"/>
          <w:rFonts w:ascii="Calibri Light" w:hAnsi="Calibri Light" w:cs="Calibri Light"/>
          <w:b w:val="0"/>
          <w:bCs w:val="0"/>
          <w:sz w:val="16"/>
          <w:szCs w:val="16"/>
        </w:rPr>
        <w:footnoteRef/>
      </w:r>
      <w:r>
        <w:rPr>
          <w:rFonts w:ascii="Calibri Light" w:hAnsi="Calibri Light" w:cs="Calibri Light"/>
          <w:b w:val="0"/>
          <w:bCs w:val="0"/>
          <w:sz w:val="16"/>
          <w:szCs w:val="16"/>
        </w:rPr>
        <w:t xml:space="preserve"> </w:t>
      </w:r>
      <w:r w:rsidRPr="009548FA">
        <w:rPr>
          <w:rFonts w:ascii="Calibri Light" w:hAnsi="Calibri Light" w:cs="Calibri Light"/>
          <w:b w:val="0"/>
          <w:bCs w:val="0"/>
          <w:sz w:val="16"/>
          <w:szCs w:val="16"/>
        </w:rPr>
        <w:t>ODD 6.1 - până în 2030, obținerea accesului universal și echitabil la apă potabilă sigură și accesibilă pentru toți şi ODD 6.2 - până în 2030, să se obțină acces la o salubritate și o igienă adecvată și echitabilă pentru toți</w:t>
      </w:r>
      <w:r>
        <w:rPr>
          <w:rFonts w:ascii="Calibri Light" w:hAnsi="Calibri Light" w:cs="Calibri Light"/>
          <w:b w:val="0"/>
          <w:bCs w:val="0"/>
          <w:sz w:val="16"/>
          <w:szCs w:val="16"/>
        </w:rPr>
        <w:t>,</w:t>
      </w:r>
      <w:r w:rsidRPr="009548FA">
        <w:rPr>
          <w:rFonts w:ascii="Calibri Light" w:hAnsi="Calibri Light" w:cs="Calibri Light"/>
          <w:b w:val="0"/>
          <w:bCs w:val="0"/>
          <w:sz w:val="16"/>
          <w:szCs w:val="16"/>
        </w:rPr>
        <w:t xml:space="preserve"> precum şi să pună capăt defecării în aer liber, acordând o atenție specială nevoilor femeilor și fetelor și persoanelor aflate în situații vulnerabile.</w:t>
      </w:r>
    </w:p>
  </w:footnote>
  <w:footnote w:id="6">
    <w:p w:rsidR="00510CDB" w:rsidRPr="00122A30" w:rsidRDefault="00510CDB" w:rsidP="00B25071">
      <w:pPr>
        <w:pStyle w:val="a9"/>
        <w:rPr>
          <w:rFonts w:asciiTheme="majorHAnsi" w:hAnsiTheme="majorHAnsi" w:cstheme="majorHAnsi"/>
          <w:b w:val="0"/>
          <w:bCs w:val="0"/>
          <w:sz w:val="16"/>
          <w:szCs w:val="16"/>
        </w:rPr>
      </w:pPr>
      <w:r w:rsidRPr="00122A30">
        <w:rPr>
          <w:rStyle w:val="ab"/>
          <w:rFonts w:asciiTheme="majorHAnsi" w:hAnsiTheme="majorHAnsi" w:cstheme="majorHAnsi"/>
          <w:b w:val="0"/>
          <w:bCs w:val="0"/>
          <w:sz w:val="16"/>
          <w:szCs w:val="16"/>
        </w:rPr>
        <w:footnoteRef/>
      </w:r>
      <w:r w:rsidRPr="00122A30">
        <w:rPr>
          <w:rFonts w:asciiTheme="majorHAnsi" w:hAnsiTheme="majorHAnsi" w:cstheme="majorHAnsi"/>
          <w:b w:val="0"/>
          <w:bCs w:val="0"/>
          <w:sz w:val="16"/>
          <w:szCs w:val="16"/>
        </w:rPr>
        <w:t xml:space="preserve"> Din anul 2022, FNDRL</w:t>
      </w:r>
      <w:r>
        <w:rPr>
          <w:rFonts w:asciiTheme="majorHAnsi" w:hAnsiTheme="majorHAnsi" w:cstheme="majorHAnsi"/>
          <w:b w:val="0"/>
          <w:bCs w:val="0"/>
          <w:sz w:val="16"/>
          <w:szCs w:val="16"/>
        </w:rPr>
        <w:t xml:space="preserve"> reprezintă</w:t>
      </w:r>
      <w:r w:rsidRPr="00122A30">
        <w:rPr>
          <w:rFonts w:asciiTheme="majorHAnsi" w:hAnsiTheme="majorHAnsi" w:cstheme="majorHAnsi"/>
          <w:b w:val="0"/>
          <w:bCs w:val="0"/>
          <w:sz w:val="16"/>
          <w:szCs w:val="16"/>
        </w:rPr>
        <w:t xml:space="preserve"> componenta </w:t>
      </w:r>
      <w:r>
        <w:rPr>
          <w:rFonts w:asciiTheme="majorHAnsi" w:hAnsiTheme="majorHAnsi" w:cstheme="majorHAnsi"/>
          <w:b w:val="0"/>
          <w:bCs w:val="0"/>
          <w:sz w:val="16"/>
          <w:szCs w:val="16"/>
        </w:rPr>
        <w:t>regională</w:t>
      </w:r>
      <w:r w:rsidRPr="00122A30">
        <w:rPr>
          <w:rFonts w:asciiTheme="majorHAnsi" w:hAnsiTheme="majorHAnsi" w:cstheme="majorHAnsi"/>
          <w:b w:val="0"/>
          <w:bCs w:val="0"/>
          <w:sz w:val="16"/>
          <w:szCs w:val="16"/>
        </w:rPr>
        <w:t>.</w:t>
      </w:r>
    </w:p>
  </w:footnote>
  <w:footnote w:id="7">
    <w:p w:rsidR="00510CDB" w:rsidRPr="00122A30" w:rsidRDefault="00510CDB" w:rsidP="00C22269">
      <w:pPr>
        <w:pStyle w:val="4"/>
        <w:shd w:val="clear" w:color="auto" w:fill="FFFFFF"/>
        <w:spacing w:before="0"/>
        <w:jc w:val="both"/>
        <w:rPr>
          <w:rFonts w:cstheme="majorHAnsi"/>
          <w:b w:val="0"/>
          <w:bCs w:val="0"/>
          <w:sz w:val="16"/>
          <w:szCs w:val="16"/>
        </w:rPr>
      </w:pPr>
      <w:r w:rsidRPr="00C22269">
        <w:rPr>
          <w:rFonts w:eastAsiaTheme="minorHAnsi" w:cs="Times New Roman"/>
          <w:b w:val="0"/>
          <w:i w:val="0"/>
          <w:iCs w:val="0"/>
          <w:color w:val="auto"/>
          <w:sz w:val="16"/>
          <w:szCs w:val="16"/>
          <w:vertAlign w:val="superscript"/>
        </w:rPr>
        <w:footnoteRef/>
      </w:r>
      <w:r w:rsidRPr="00C22269">
        <w:rPr>
          <w:rFonts w:eastAsiaTheme="minorHAnsi" w:cs="Times New Roman"/>
          <w:b w:val="0"/>
          <w:i w:val="0"/>
          <w:iCs w:val="0"/>
          <w:color w:val="auto"/>
          <w:sz w:val="16"/>
          <w:szCs w:val="16"/>
          <w:vertAlign w:val="superscript"/>
        </w:rPr>
        <w:t xml:space="preserve"> </w:t>
      </w:r>
      <w:r w:rsidRPr="00C22269">
        <w:rPr>
          <w:rFonts w:eastAsiaTheme="minorHAnsi" w:cs="Times New Roman"/>
          <w:b w:val="0"/>
          <w:i w:val="0"/>
          <w:iCs w:val="0"/>
          <w:color w:val="auto"/>
          <w:sz w:val="16"/>
          <w:szCs w:val="16"/>
        </w:rPr>
        <w:t>HG nr.852 din 07.12.2022</w:t>
      </w:r>
      <w:r w:rsidRPr="00C22269">
        <w:rPr>
          <w:rFonts w:eastAsiaTheme="minorHAnsi" w:cs="Times New Roman"/>
          <w:i w:val="0"/>
          <w:iCs w:val="0"/>
          <w:color w:val="auto"/>
          <w:sz w:val="16"/>
          <w:szCs w:val="16"/>
        </w:rPr>
        <w:t xml:space="preserve"> </w:t>
      </w:r>
      <w:r w:rsidRPr="00C22269">
        <w:rPr>
          <w:rFonts w:eastAsiaTheme="minorHAnsi" w:cs="Times New Roman"/>
          <w:b w:val="0"/>
          <w:i w:val="0"/>
          <w:iCs w:val="0"/>
          <w:color w:val="auto"/>
          <w:sz w:val="16"/>
          <w:szCs w:val="16"/>
        </w:rPr>
        <w:t>cu privire la modificarea unor hotărâri ale Guvernului (consolidarea și eficientizarea activității Ministerului Infrastructurii și Dezvoltării Regionale)</w:t>
      </w:r>
      <w:r>
        <w:rPr>
          <w:rFonts w:eastAsiaTheme="minorHAnsi" w:cs="Times New Roman"/>
          <w:b w:val="0"/>
          <w:i w:val="0"/>
          <w:iCs w:val="0"/>
          <w:color w:val="auto"/>
          <w:sz w:val="16"/>
          <w:szCs w:val="16"/>
        </w:rPr>
        <w:t xml:space="preserve">. </w:t>
      </w:r>
    </w:p>
  </w:footnote>
  <w:footnote w:id="8">
    <w:p w:rsidR="00510CDB" w:rsidRPr="00422529" w:rsidRDefault="00510CDB" w:rsidP="00C22269">
      <w:pPr>
        <w:pStyle w:val="a9"/>
        <w:jc w:val="both"/>
        <w:rPr>
          <w:rFonts w:asciiTheme="majorHAnsi" w:hAnsiTheme="majorHAnsi" w:cs="Times New Roman"/>
          <w:b w:val="0"/>
          <w:bCs w:val="0"/>
          <w:sz w:val="16"/>
          <w:szCs w:val="16"/>
        </w:rPr>
      </w:pPr>
      <w:r w:rsidRPr="00422529">
        <w:rPr>
          <w:rStyle w:val="ab"/>
          <w:rFonts w:asciiTheme="majorHAnsi" w:hAnsiTheme="majorHAnsi" w:cstheme="majorHAnsi"/>
          <w:b w:val="0"/>
          <w:bCs w:val="0"/>
          <w:sz w:val="16"/>
          <w:szCs w:val="16"/>
        </w:rPr>
        <w:footnoteRef/>
      </w:r>
      <w:r w:rsidRPr="00422529">
        <w:rPr>
          <w:rFonts w:asciiTheme="majorHAnsi" w:hAnsiTheme="majorHAnsi" w:cstheme="majorHAnsi"/>
          <w:b w:val="0"/>
          <w:bCs w:val="0"/>
          <w:sz w:val="16"/>
          <w:szCs w:val="16"/>
        </w:rPr>
        <w:t xml:space="preserve"> </w:t>
      </w:r>
      <w:r w:rsidRPr="00422529">
        <w:rPr>
          <w:rFonts w:asciiTheme="majorHAnsi" w:hAnsiTheme="majorHAnsi" w:cs="Times New Roman"/>
          <w:b w:val="0"/>
          <w:bCs w:val="0"/>
          <w:sz w:val="16"/>
          <w:szCs w:val="16"/>
        </w:rPr>
        <w:t>Legea privind organizarea și funcționarea Curții de Conturi a Republicii Moldova nr.260 din 07.12.2017.</w:t>
      </w:r>
    </w:p>
  </w:footnote>
  <w:footnote w:id="9">
    <w:p w:rsidR="00510CDB" w:rsidRPr="00422529" w:rsidRDefault="00510CDB" w:rsidP="00C22269">
      <w:pPr>
        <w:pStyle w:val="a9"/>
        <w:jc w:val="both"/>
        <w:rPr>
          <w:rFonts w:asciiTheme="majorHAnsi" w:hAnsiTheme="majorHAnsi" w:cs="Times New Roman"/>
          <w:b w:val="0"/>
          <w:sz w:val="16"/>
          <w:szCs w:val="16"/>
        </w:rPr>
      </w:pPr>
      <w:r w:rsidRPr="00422529">
        <w:rPr>
          <w:rStyle w:val="ab"/>
          <w:rFonts w:asciiTheme="majorHAnsi" w:hAnsiTheme="majorHAnsi" w:cs="Times New Roman"/>
          <w:b w:val="0"/>
          <w:sz w:val="16"/>
          <w:szCs w:val="16"/>
        </w:rPr>
        <w:footnoteRef/>
      </w:r>
      <w:r w:rsidRPr="00422529">
        <w:rPr>
          <w:rFonts w:asciiTheme="majorHAnsi" w:hAnsiTheme="majorHAnsi" w:cs="Times New Roman"/>
          <w:b w:val="0"/>
          <w:sz w:val="16"/>
          <w:szCs w:val="16"/>
        </w:rPr>
        <w:t xml:space="preserve"> Programul activității de audit pe anul 2022</w:t>
      </w:r>
      <w:r>
        <w:rPr>
          <w:rFonts w:asciiTheme="majorHAnsi" w:hAnsiTheme="majorHAnsi" w:cs="Times New Roman"/>
          <w:b w:val="0"/>
          <w:sz w:val="16"/>
          <w:szCs w:val="16"/>
        </w:rPr>
        <w:t>,</w:t>
      </w:r>
      <w:r w:rsidRPr="00422529">
        <w:rPr>
          <w:rFonts w:asciiTheme="majorHAnsi" w:hAnsiTheme="majorHAnsi" w:cs="Times New Roman"/>
          <w:b w:val="0"/>
          <w:sz w:val="16"/>
          <w:szCs w:val="16"/>
        </w:rPr>
        <w:t xml:space="preserve"> aprobat prin Hotărârea Curții de Conturi nr.75 din 28.12.2021, şi Progra</w:t>
      </w:r>
      <w:r>
        <w:rPr>
          <w:rFonts w:asciiTheme="majorHAnsi" w:hAnsiTheme="majorHAnsi" w:cs="Times New Roman"/>
          <w:b w:val="0"/>
          <w:sz w:val="16"/>
          <w:szCs w:val="16"/>
        </w:rPr>
        <w:t xml:space="preserve">mul activității de audit </w:t>
      </w:r>
      <w:r w:rsidRPr="00422529">
        <w:rPr>
          <w:rFonts w:asciiTheme="majorHAnsi" w:hAnsiTheme="majorHAnsi" w:cs="Times New Roman"/>
          <w:b w:val="0"/>
          <w:sz w:val="16"/>
          <w:szCs w:val="16"/>
        </w:rPr>
        <w:t>pe anul 2023</w:t>
      </w:r>
      <w:r>
        <w:rPr>
          <w:rFonts w:asciiTheme="majorHAnsi" w:hAnsiTheme="majorHAnsi" w:cs="Times New Roman"/>
          <w:b w:val="0"/>
          <w:sz w:val="16"/>
          <w:szCs w:val="16"/>
        </w:rPr>
        <w:t>,</w:t>
      </w:r>
      <w:r w:rsidRPr="00422529">
        <w:rPr>
          <w:rFonts w:asciiTheme="majorHAnsi" w:hAnsiTheme="majorHAnsi" w:cs="Times New Roman"/>
          <w:b w:val="0"/>
          <w:sz w:val="16"/>
          <w:szCs w:val="16"/>
        </w:rPr>
        <w:t xml:space="preserve"> aprobat prin Hotărârea Curții de Conturi nr.65 din 22.12.2022.</w:t>
      </w:r>
    </w:p>
  </w:footnote>
  <w:footnote w:id="10">
    <w:p w:rsidR="00510CDB" w:rsidRPr="002655A6" w:rsidRDefault="00510CDB" w:rsidP="0053166E">
      <w:pPr>
        <w:pStyle w:val="a9"/>
        <w:rPr>
          <w:rFonts w:asciiTheme="majorHAnsi" w:hAnsiTheme="majorHAnsi" w:cstheme="majorHAnsi"/>
          <w:lang w:val="it-IT"/>
        </w:rPr>
      </w:pPr>
      <w:r w:rsidRPr="002655A6">
        <w:rPr>
          <w:rStyle w:val="ab"/>
          <w:rFonts w:asciiTheme="majorHAnsi" w:hAnsiTheme="majorHAnsi" w:cstheme="majorHAnsi"/>
          <w:b w:val="0"/>
          <w:bCs w:val="0"/>
          <w:sz w:val="16"/>
          <w:szCs w:val="16"/>
        </w:rPr>
        <w:footnoteRef/>
      </w:r>
      <w:r w:rsidRPr="002655A6">
        <w:rPr>
          <w:rFonts w:asciiTheme="majorHAnsi" w:hAnsiTheme="majorHAnsi" w:cstheme="majorHAnsi"/>
          <w:b w:val="0"/>
          <w:bCs w:val="0"/>
          <w:lang w:val="it-IT"/>
        </w:rPr>
        <w:t xml:space="preserve"> </w:t>
      </w:r>
      <w:r w:rsidRPr="002655A6">
        <w:rPr>
          <w:rFonts w:asciiTheme="majorHAnsi" w:hAnsiTheme="majorHAnsi" w:cstheme="majorHAnsi"/>
          <w:b w:val="0"/>
          <w:bCs w:val="0"/>
          <w:sz w:val="16"/>
          <w:szCs w:val="16"/>
        </w:rPr>
        <w:t>H</w:t>
      </w:r>
      <w:r>
        <w:rPr>
          <w:rFonts w:asciiTheme="majorHAnsi" w:hAnsiTheme="majorHAnsi" w:cstheme="majorHAnsi"/>
          <w:b w:val="0"/>
          <w:bCs w:val="0"/>
          <w:sz w:val="16"/>
          <w:szCs w:val="16"/>
        </w:rPr>
        <w:t>G</w:t>
      </w:r>
      <w:r w:rsidRPr="002655A6">
        <w:rPr>
          <w:rFonts w:asciiTheme="majorHAnsi" w:hAnsiTheme="majorHAnsi" w:cstheme="majorHAnsi"/>
          <w:b w:val="0"/>
          <w:bCs w:val="0"/>
          <w:sz w:val="16"/>
          <w:szCs w:val="16"/>
        </w:rPr>
        <w:t xml:space="preserve"> nr.442 din 01.07.2020.</w:t>
      </w:r>
    </w:p>
  </w:footnote>
  <w:footnote w:id="11">
    <w:p w:rsidR="00510CDB" w:rsidRPr="0041421F" w:rsidRDefault="00510CDB" w:rsidP="0053166E">
      <w:pPr>
        <w:pStyle w:val="a9"/>
        <w:jc w:val="both"/>
        <w:rPr>
          <w:rFonts w:asciiTheme="majorHAnsi" w:hAnsiTheme="majorHAnsi" w:cstheme="majorHAnsi"/>
        </w:rPr>
      </w:pPr>
      <w:r w:rsidRPr="00AA52A9">
        <w:rPr>
          <w:rStyle w:val="ab"/>
          <w:rFonts w:cstheme="majorHAnsi"/>
          <w:b w:val="0"/>
          <w:bCs w:val="0"/>
          <w:sz w:val="16"/>
          <w:szCs w:val="16"/>
        </w:rPr>
        <w:footnoteRef/>
      </w:r>
      <w:r w:rsidRPr="00AA52A9">
        <w:rPr>
          <w:rFonts w:asciiTheme="majorHAnsi" w:hAnsiTheme="majorHAnsi" w:cstheme="majorHAnsi"/>
          <w:b w:val="0"/>
          <w:bCs w:val="0"/>
          <w:sz w:val="16"/>
          <w:szCs w:val="16"/>
          <w:lang w:val="it-IT"/>
        </w:rPr>
        <w:t xml:space="preserve"> </w:t>
      </w:r>
      <w:r w:rsidRPr="00AA52A9">
        <w:rPr>
          <w:rFonts w:asciiTheme="majorHAnsi" w:hAnsiTheme="majorHAnsi" w:cstheme="majorHAnsi"/>
          <w:b w:val="0"/>
          <w:bCs w:val="0"/>
          <w:sz w:val="16"/>
          <w:szCs w:val="16"/>
        </w:rPr>
        <w:t>Legea nr.68 din 05.04.2012 pentru aprobarea Strategiei naţionale de descentralizare şi a Planului de acţiuni privind implementarea Strategiei naţionale de descentralizare pentru anii 2012</w:t>
      </w:r>
      <w:r>
        <w:rPr>
          <w:rFonts w:asciiTheme="majorHAnsi" w:hAnsiTheme="majorHAnsi" w:cstheme="majorHAnsi"/>
          <w:b w:val="0"/>
          <w:bCs w:val="0"/>
          <w:sz w:val="16"/>
          <w:szCs w:val="16"/>
        </w:rPr>
        <w:t>-</w:t>
      </w:r>
      <w:r w:rsidRPr="00AA52A9">
        <w:rPr>
          <w:rFonts w:asciiTheme="majorHAnsi" w:hAnsiTheme="majorHAnsi" w:cstheme="majorHAnsi"/>
          <w:b w:val="0"/>
          <w:bCs w:val="0"/>
          <w:sz w:val="16"/>
          <w:szCs w:val="16"/>
        </w:rPr>
        <w:t>2018.</w:t>
      </w:r>
    </w:p>
  </w:footnote>
  <w:footnote w:id="12">
    <w:p w:rsidR="00510CDB" w:rsidRPr="00E269FD" w:rsidRDefault="00510CDB" w:rsidP="0035359B">
      <w:pPr>
        <w:pStyle w:val="a9"/>
        <w:rPr>
          <w:rFonts w:asciiTheme="majorHAnsi" w:hAnsiTheme="majorHAnsi" w:cstheme="majorHAnsi"/>
          <w:b w:val="0"/>
          <w:bCs w:val="0"/>
          <w:sz w:val="16"/>
          <w:szCs w:val="16"/>
        </w:rPr>
      </w:pPr>
      <w:r w:rsidRPr="00E269FD">
        <w:rPr>
          <w:rStyle w:val="ab"/>
          <w:rFonts w:asciiTheme="majorHAnsi" w:hAnsiTheme="majorHAnsi" w:cstheme="majorHAnsi"/>
          <w:b w:val="0"/>
          <w:bCs w:val="0"/>
          <w:sz w:val="16"/>
          <w:szCs w:val="16"/>
        </w:rPr>
        <w:footnoteRef/>
      </w:r>
      <w:r w:rsidRPr="00E269FD">
        <w:rPr>
          <w:rFonts w:asciiTheme="majorHAnsi" w:hAnsiTheme="majorHAnsi" w:cstheme="majorHAnsi"/>
          <w:b w:val="0"/>
          <w:bCs w:val="0"/>
          <w:sz w:val="16"/>
          <w:szCs w:val="16"/>
        </w:rPr>
        <w:t xml:space="preserve"> Coordonarea activităţilor ce ţin de elaborarea planurilor de alimentare cu apă şi sanitaţie în raioane.</w:t>
      </w:r>
    </w:p>
  </w:footnote>
  <w:footnote w:id="13">
    <w:p w:rsidR="00510CDB" w:rsidRPr="00E269FD" w:rsidRDefault="00510CDB" w:rsidP="00E269FD">
      <w:pPr>
        <w:pStyle w:val="a9"/>
        <w:jc w:val="both"/>
        <w:rPr>
          <w:rFonts w:asciiTheme="majorHAnsi" w:hAnsiTheme="majorHAnsi" w:cstheme="majorHAnsi"/>
          <w:b w:val="0"/>
          <w:bCs w:val="0"/>
          <w:sz w:val="16"/>
          <w:szCs w:val="16"/>
        </w:rPr>
      </w:pPr>
      <w:r w:rsidRPr="00E269FD">
        <w:rPr>
          <w:rStyle w:val="ab"/>
          <w:rFonts w:asciiTheme="majorHAnsi" w:hAnsiTheme="majorHAnsi" w:cstheme="majorHAnsi"/>
          <w:b w:val="0"/>
          <w:bCs w:val="0"/>
          <w:sz w:val="16"/>
          <w:szCs w:val="16"/>
        </w:rPr>
        <w:footnoteRef/>
      </w:r>
      <w:r>
        <w:rPr>
          <w:rFonts w:asciiTheme="majorHAnsi" w:hAnsiTheme="majorHAnsi" w:cstheme="majorHAnsi"/>
          <w:b w:val="0"/>
          <w:bCs w:val="0"/>
          <w:sz w:val="16"/>
          <w:szCs w:val="16"/>
        </w:rPr>
        <w:t xml:space="preserve"> </w:t>
      </w:r>
      <w:r w:rsidRPr="00E269FD">
        <w:rPr>
          <w:rFonts w:asciiTheme="majorHAnsi" w:hAnsiTheme="majorHAnsi" w:cstheme="majorHAnsi"/>
          <w:b w:val="0"/>
          <w:bCs w:val="0"/>
          <w:sz w:val="16"/>
          <w:szCs w:val="16"/>
        </w:rPr>
        <w:t>Coordonarea activităţilor ce ţin de elaborarea studiilor de fezabilitate pentru proiectele de infrastructură a sectorului alimentare cu apă şi sanitaţie în raioanele în care au fost aprobate planuri de al</w:t>
      </w:r>
      <w:r>
        <w:rPr>
          <w:rFonts w:asciiTheme="majorHAnsi" w:hAnsiTheme="majorHAnsi" w:cstheme="majorHAnsi"/>
          <w:b w:val="0"/>
          <w:bCs w:val="0"/>
          <w:sz w:val="16"/>
          <w:szCs w:val="16"/>
        </w:rPr>
        <w:t>imentare cu apă şi sanitaţie.</w:t>
      </w:r>
    </w:p>
  </w:footnote>
  <w:footnote w:id="14">
    <w:p w:rsidR="00510CDB" w:rsidRPr="00C96A8B" w:rsidRDefault="00510CDB" w:rsidP="002841CC">
      <w:pPr>
        <w:pStyle w:val="a9"/>
        <w:jc w:val="both"/>
        <w:rPr>
          <w:rFonts w:asciiTheme="majorHAnsi" w:hAnsiTheme="majorHAnsi" w:cstheme="majorHAnsi"/>
          <w:b w:val="0"/>
          <w:bCs w:val="0"/>
          <w:sz w:val="16"/>
          <w:szCs w:val="16"/>
        </w:rPr>
      </w:pPr>
      <w:r w:rsidRPr="002841CC">
        <w:rPr>
          <w:rStyle w:val="ab"/>
          <w:rFonts w:asciiTheme="majorHAnsi" w:hAnsiTheme="majorHAnsi" w:cstheme="majorHAnsi"/>
          <w:b w:val="0"/>
          <w:bCs w:val="0"/>
          <w:sz w:val="16"/>
          <w:szCs w:val="16"/>
        </w:rPr>
        <w:footnoteRef/>
      </w:r>
      <w:r w:rsidRPr="00C96A8B">
        <w:rPr>
          <w:rFonts w:asciiTheme="majorHAnsi" w:hAnsiTheme="majorHAnsi" w:cstheme="majorHAnsi"/>
          <w:b w:val="0"/>
          <w:bCs w:val="0"/>
          <w:sz w:val="16"/>
          <w:szCs w:val="16"/>
        </w:rPr>
        <w:t xml:space="preserve"> Art.35 alin.(15) din Legea nr.303/2013 privind serviciul public de alimentare cu apă şi de canalizare.</w:t>
      </w:r>
    </w:p>
  </w:footnote>
  <w:footnote w:id="15">
    <w:p w:rsidR="00510CDB" w:rsidRPr="00C96A8B" w:rsidRDefault="00510CDB" w:rsidP="002841CC">
      <w:pPr>
        <w:pStyle w:val="a9"/>
        <w:jc w:val="both"/>
        <w:rPr>
          <w:rFonts w:asciiTheme="majorHAnsi" w:hAnsiTheme="majorHAnsi" w:cstheme="majorHAnsi"/>
          <w:b w:val="0"/>
          <w:bCs w:val="0"/>
          <w:sz w:val="16"/>
          <w:szCs w:val="16"/>
        </w:rPr>
      </w:pPr>
      <w:r w:rsidRPr="002841CC">
        <w:rPr>
          <w:rStyle w:val="ab"/>
          <w:rFonts w:asciiTheme="majorHAnsi" w:hAnsiTheme="majorHAnsi" w:cstheme="majorHAnsi"/>
          <w:b w:val="0"/>
          <w:bCs w:val="0"/>
          <w:sz w:val="16"/>
          <w:szCs w:val="16"/>
        </w:rPr>
        <w:footnoteRef/>
      </w:r>
      <w:r w:rsidRPr="00C96A8B">
        <w:rPr>
          <w:rFonts w:asciiTheme="majorHAnsi" w:hAnsiTheme="majorHAnsi" w:cstheme="majorHAnsi"/>
          <w:b w:val="0"/>
          <w:bCs w:val="0"/>
          <w:sz w:val="16"/>
          <w:szCs w:val="16"/>
        </w:rPr>
        <w:t xml:space="preserve"> Art.35 alin.(11) din Legea nr.303/2013 privind serviciul public de alimentare cu apă şi de canalizare.</w:t>
      </w:r>
    </w:p>
  </w:footnote>
  <w:footnote w:id="16">
    <w:p w:rsidR="00510CDB" w:rsidRPr="00C96A8B" w:rsidRDefault="00510CDB" w:rsidP="002841CC">
      <w:pPr>
        <w:pStyle w:val="a9"/>
        <w:jc w:val="both"/>
        <w:rPr>
          <w:rFonts w:asciiTheme="majorHAnsi" w:hAnsiTheme="majorHAnsi" w:cstheme="majorHAnsi"/>
          <w:b w:val="0"/>
          <w:bCs w:val="0"/>
          <w:sz w:val="16"/>
          <w:szCs w:val="16"/>
        </w:rPr>
      </w:pPr>
      <w:r w:rsidRPr="002841CC">
        <w:rPr>
          <w:rStyle w:val="ab"/>
          <w:rFonts w:asciiTheme="majorHAnsi" w:hAnsiTheme="majorHAnsi" w:cstheme="majorHAnsi"/>
          <w:b w:val="0"/>
          <w:bCs w:val="0"/>
          <w:sz w:val="16"/>
          <w:szCs w:val="16"/>
        </w:rPr>
        <w:footnoteRef/>
      </w:r>
      <w:r w:rsidRPr="00C96A8B">
        <w:rPr>
          <w:rFonts w:asciiTheme="majorHAnsi" w:hAnsiTheme="majorHAnsi" w:cstheme="majorHAnsi"/>
          <w:b w:val="0"/>
          <w:bCs w:val="0"/>
          <w:sz w:val="16"/>
          <w:szCs w:val="16"/>
        </w:rPr>
        <w:t xml:space="preserve"> Art.35 alin.(5) din Legea nr.303/2013 privind serviciul public de alimentare cu apă şi de canalizare.</w:t>
      </w:r>
    </w:p>
  </w:footnote>
  <w:footnote w:id="17">
    <w:p w:rsidR="00510CDB" w:rsidRPr="00C96A8B" w:rsidRDefault="00510CDB" w:rsidP="002841CC">
      <w:pPr>
        <w:pStyle w:val="a9"/>
        <w:jc w:val="both"/>
        <w:rPr>
          <w:rFonts w:asciiTheme="majorHAnsi" w:hAnsiTheme="majorHAnsi" w:cstheme="majorHAnsi"/>
          <w:b w:val="0"/>
          <w:bCs w:val="0"/>
          <w:sz w:val="16"/>
          <w:szCs w:val="16"/>
        </w:rPr>
      </w:pPr>
      <w:r w:rsidRPr="002841CC">
        <w:rPr>
          <w:rStyle w:val="ab"/>
          <w:rFonts w:asciiTheme="majorHAnsi" w:hAnsiTheme="majorHAnsi" w:cstheme="majorHAnsi"/>
          <w:b w:val="0"/>
          <w:bCs w:val="0"/>
          <w:sz w:val="16"/>
          <w:szCs w:val="16"/>
        </w:rPr>
        <w:footnoteRef/>
      </w:r>
      <w:r w:rsidRPr="00C96A8B">
        <w:rPr>
          <w:rFonts w:asciiTheme="majorHAnsi" w:hAnsiTheme="majorHAnsi" w:cstheme="majorHAnsi"/>
          <w:b w:val="0"/>
          <w:bCs w:val="0"/>
          <w:sz w:val="16"/>
          <w:szCs w:val="16"/>
        </w:rPr>
        <w:t xml:space="preserve"> Art.35 alin.(17) din Legea nr.303/2013 privind serviciul public de alimentare cu apă şi de canalizare.</w:t>
      </w:r>
    </w:p>
  </w:footnote>
  <w:footnote w:id="18">
    <w:p w:rsidR="00510CDB" w:rsidRPr="00C96A8B" w:rsidRDefault="00510CDB" w:rsidP="002841CC">
      <w:pPr>
        <w:pStyle w:val="a9"/>
        <w:jc w:val="both"/>
        <w:rPr>
          <w:rFonts w:asciiTheme="majorHAnsi" w:hAnsiTheme="majorHAnsi" w:cstheme="majorHAnsi"/>
          <w:b w:val="0"/>
          <w:bCs w:val="0"/>
          <w:sz w:val="16"/>
          <w:szCs w:val="16"/>
          <w:lang w:val="it-IT"/>
        </w:rPr>
      </w:pPr>
      <w:r w:rsidRPr="005A00B0">
        <w:rPr>
          <w:rStyle w:val="ab"/>
          <w:rFonts w:asciiTheme="majorHAnsi" w:hAnsiTheme="majorHAnsi" w:cstheme="majorHAnsi"/>
          <w:b w:val="0"/>
          <w:bCs w:val="0"/>
          <w:sz w:val="16"/>
          <w:szCs w:val="16"/>
        </w:rPr>
        <w:footnoteRef/>
      </w:r>
      <w:r w:rsidRPr="005A00B0">
        <w:rPr>
          <w:rStyle w:val="ab"/>
          <w:b w:val="0"/>
        </w:rPr>
        <w:t xml:space="preserve"> </w:t>
      </w:r>
      <w:r w:rsidRPr="00EE5AAA">
        <w:rPr>
          <w:rFonts w:asciiTheme="majorHAnsi" w:hAnsiTheme="majorHAnsi" w:cstheme="majorHAnsi"/>
          <w:b w:val="0"/>
          <w:bCs w:val="0"/>
          <w:sz w:val="16"/>
          <w:szCs w:val="16"/>
        </w:rPr>
        <w:t xml:space="preserve">Capitolul IX din Hotărârea Guvernului nr.199 din 20.02.2014 </w:t>
      </w:r>
      <w:r w:rsidRPr="00EE5AAA">
        <w:rPr>
          <w:rFonts w:asciiTheme="majorHAnsi" w:hAnsiTheme="majorHAnsi" w:cstheme="majorHAnsi"/>
          <w:b w:val="0"/>
          <w:sz w:val="16"/>
          <w:szCs w:val="16"/>
        </w:rPr>
        <w:t>cu privire la aprobarea Strategiei</w:t>
      </w:r>
      <w:r>
        <w:rPr>
          <w:rFonts w:asciiTheme="majorHAnsi" w:hAnsiTheme="majorHAnsi" w:cstheme="majorHAnsi"/>
          <w:b w:val="0"/>
          <w:sz w:val="16"/>
          <w:szCs w:val="16"/>
        </w:rPr>
        <w:t xml:space="preserve"> </w:t>
      </w:r>
      <w:r w:rsidRPr="00EE5AAA">
        <w:rPr>
          <w:rFonts w:asciiTheme="majorHAnsi" w:hAnsiTheme="majorHAnsi" w:cstheme="majorHAnsi"/>
          <w:b w:val="0"/>
          <w:sz w:val="16"/>
          <w:szCs w:val="16"/>
        </w:rPr>
        <w:t>de alimentare cu apă şi sanitaţie</w:t>
      </w:r>
      <w:r w:rsidRPr="00EE5AAA">
        <w:rPr>
          <w:rFonts w:asciiTheme="majorHAnsi" w:hAnsiTheme="majorHAnsi" w:cstheme="majorHAnsi"/>
          <w:b w:val="0"/>
          <w:bCs w:val="0"/>
          <w:sz w:val="16"/>
          <w:szCs w:val="16"/>
        </w:rPr>
        <w:br/>
      </w:r>
      <w:r w:rsidRPr="00EE5AAA">
        <w:rPr>
          <w:rFonts w:asciiTheme="majorHAnsi" w:hAnsiTheme="majorHAnsi" w:cstheme="majorHAnsi"/>
          <w:b w:val="0"/>
          <w:sz w:val="16"/>
          <w:szCs w:val="16"/>
        </w:rPr>
        <w:t>(2014 – 2030)</w:t>
      </w:r>
      <w:r>
        <w:rPr>
          <w:rFonts w:asciiTheme="majorHAnsi" w:hAnsiTheme="majorHAnsi" w:cstheme="majorHAnsi"/>
          <w:b w:val="0"/>
          <w:sz w:val="16"/>
          <w:szCs w:val="16"/>
        </w:rPr>
        <w:t>.</w:t>
      </w:r>
      <w:r w:rsidRPr="00EE5AAA">
        <w:rPr>
          <w:rFonts w:asciiTheme="majorHAnsi" w:hAnsiTheme="majorHAnsi" w:cstheme="majorHAnsi"/>
          <w:b w:val="0"/>
          <w:sz w:val="16"/>
          <w:szCs w:val="16"/>
        </w:rPr>
        <w:t>​</w:t>
      </w:r>
    </w:p>
  </w:footnote>
  <w:footnote w:id="19">
    <w:p w:rsidR="00510CDB" w:rsidRPr="00C96A8B" w:rsidRDefault="00510CDB" w:rsidP="00C96A8B">
      <w:pPr>
        <w:pStyle w:val="a9"/>
        <w:jc w:val="both"/>
        <w:rPr>
          <w:rFonts w:asciiTheme="majorHAnsi" w:hAnsiTheme="majorHAnsi" w:cstheme="majorHAnsi"/>
          <w:b w:val="0"/>
          <w:bCs w:val="0"/>
          <w:sz w:val="16"/>
          <w:szCs w:val="16"/>
          <w:lang w:val="it-IT"/>
        </w:rPr>
      </w:pPr>
      <w:r w:rsidRPr="002841CC">
        <w:rPr>
          <w:rStyle w:val="ab"/>
          <w:rFonts w:asciiTheme="majorHAnsi" w:hAnsiTheme="majorHAnsi" w:cstheme="majorHAnsi"/>
          <w:b w:val="0"/>
          <w:bCs w:val="0"/>
          <w:sz w:val="16"/>
          <w:szCs w:val="16"/>
        </w:rPr>
        <w:footnoteRef/>
      </w:r>
      <w:r w:rsidRPr="00C96A8B">
        <w:rPr>
          <w:rFonts w:asciiTheme="majorHAnsi" w:hAnsiTheme="majorHAnsi" w:cstheme="majorHAnsi"/>
          <w:b w:val="0"/>
          <w:bCs w:val="0"/>
          <w:sz w:val="16"/>
          <w:szCs w:val="16"/>
          <w:lang w:val="it-IT"/>
        </w:rPr>
        <w:t xml:space="preserve"> Scrisoarea Cancelarie de Stat către Ministerul Agriculturii</w:t>
      </w:r>
      <w:r>
        <w:rPr>
          <w:rFonts w:asciiTheme="majorHAnsi" w:hAnsiTheme="majorHAnsi" w:cstheme="majorHAnsi"/>
          <w:b w:val="0"/>
          <w:bCs w:val="0"/>
          <w:sz w:val="16"/>
          <w:szCs w:val="16"/>
          <w:lang w:val="it-IT"/>
        </w:rPr>
        <w:t>,</w:t>
      </w:r>
      <w:r w:rsidRPr="00C96A8B">
        <w:rPr>
          <w:rFonts w:asciiTheme="majorHAnsi" w:hAnsiTheme="majorHAnsi" w:cstheme="majorHAnsi"/>
          <w:b w:val="0"/>
          <w:bCs w:val="0"/>
          <w:sz w:val="16"/>
          <w:szCs w:val="16"/>
          <w:lang w:val="it-IT"/>
        </w:rPr>
        <w:t xml:space="preserve"> Dezvoltării Regionale şi Mediului nr.21-78-68-2005 din 18.03.2021.</w:t>
      </w:r>
    </w:p>
  </w:footnote>
  <w:footnote w:id="20">
    <w:p w:rsidR="00510CDB" w:rsidRPr="00C96A8B" w:rsidRDefault="00510CDB" w:rsidP="002841CC">
      <w:pPr>
        <w:pStyle w:val="a9"/>
        <w:jc w:val="both"/>
        <w:rPr>
          <w:rFonts w:asciiTheme="majorHAnsi" w:hAnsiTheme="majorHAnsi" w:cstheme="majorHAnsi"/>
          <w:b w:val="0"/>
          <w:bCs w:val="0"/>
          <w:sz w:val="16"/>
          <w:szCs w:val="16"/>
          <w:lang w:val="it-IT"/>
        </w:rPr>
      </w:pPr>
      <w:r w:rsidRPr="00460FAF">
        <w:rPr>
          <w:rStyle w:val="ab"/>
          <w:rFonts w:asciiTheme="majorHAnsi" w:hAnsiTheme="majorHAnsi" w:cstheme="majorHAnsi"/>
          <w:b w:val="0"/>
          <w:bCs w:val="0"/>
        </w:rPr>
        <w:footnoteRef/>
      </w:r>
      <w:r>
        <w:rPr>
          <w:rFonts w:asciiTheme="majorHAnsi" w:hAnsiTheme="majorHAnsi" w:cstheme="majorHAnsi"/>
          <w:b w:val="0"/>
          <w:bCs w:val="0"/>
          <w:sz w:val="16"/>
          <w:szCs w:val="16"/>
          <w:lang w:val="it-IT"/>
        </w:rPr>
        <w:t xml:space="preserve"> </w:t>
      </w:r>
      <w:r w:rsidRPr="00C96A8B">
        <w:rPr>
          <w:rFonts w:asciiTheme="majorHAnsi" w:hAnsiTheme="majorHAnsi" w:cstheme="majorHAnsi"/>
          <w:b w:val="0"/>
          <w:bCs w:val="0"/>
          <w:sz w:val="16"/>
          <w:szCs w:val="16"/>
          <w:lang w:val="it-IT"/>
        </w:rPr>
        <w:t xml:space="preserve"> Legea nr.315 din 17.11.</w:t>
      </w:r>
      <w:r w:rsidRPr="005A00B0">
        <w:rPr>
          <w:rFonts w:asciiTheme="majorHAnsi" w:hAnsiTheme="majorHAnsi" w:cstheme="majorHAnsi"/>
          <w:b w:val="0"/>
          <w:bCs w:val="0"/>
          <w:sz w:val="16"/>
          <w:szCs w:val="16"/>
          <w:lang w:val="it-IT"/>
        </w:rPr>
        <w:t>2022pentru aprobarea Strategiei naționale de dezvoltare</w:t>
      </w:r>
      <w:r>
        <w:rPr>
          <w:rFonts w:asciiTheme="majorHAnsi" w:hAnsiTheme="majorHAnsi" w:cstheme="majorHAnsi"/>
          <w:b w:val="0"/>
          <w:bCs w:val="0"/>
          <w:sz w:val="16"/>
          <w:szCs w:val="16"/>
          <w:lang w:val="it-IT"/>
        </w:rPr>
        <w:t xml:space="preserve"> </w:t>
      </w:r>
      <w:r w:rsidRPr="005A00B0">
        <w:rPr>
          <w:rFonts w:asciiTheme="majorHAnsi" w:hAnsiTheme="majorHAnsi" w:cstheme="majorHAnsi"/>
          <w:b w:val="0"/>
          <w:bCs w:val="0"/>
          <w:sz w:val="16"/>
          <w:szCs w:val="16"/>
          <w:lang w:val="it-IT"/>
        </w:rPr>
        <w:t>„Moldova Europeană 2030”</w:t>
      </w:r>
      <w:r>
        <w:rPr>
          <w:rFonts w:asciiTheme="majorHAnsi" w:hAnsiTheme="majorHAnsi" w:cstheme="majorHAnsi"/>
          <w:b w:val="0"/>
          <w:bCs w:val="0"/>
          <w:sz w:val="16"/>
          <w:szCs w:val="16"/>
          <w:lang w:val="it-IT"/>
        </w:rPr>
        <w:t>.</w:t>
      </w:r>
    </w:p>
  </w:footnote>
  <w:footnote w:id="21">
    <w:p w:rsidR="00510CDB" w:rsidRPr="00C96A8B" w:rsidRDefault="00510CDB" w:rsidP="00C96A8B">
      <w:pPr>
        <w:pStyle w:val="a9"/>
        <w:jc w:val="both"/>
        <w:rPr>
          <w:rFonts w:asciiTheme="majorHAnsi" w:hAnsiTheme="majorHAnsi" w:cstheme="majorHAnsi"/>
          <w:sz w:val="16"/>
          <w:szCs w:val="16"/>
        </w:rPr>
      </w:pPr>
      <w:r w:rsidRPr="002841CC">
        <w:rPr>
          <w:rStyle w:val="ab"/>
          <w:rFonts w:asciiTheme="majorHAnsi" w:hAnsiTheme="majorHAnsi" w:cstheme="majorHAnsi"/>
          <w:b w:val="0"/>
          <w:bCs w:val="0"/>
          <w:sz w:val="16"/>
          <w:szCs w:val="16"/>
        </w:rPr>
        <w:footnoteRef/>
      </w:r>
      <w:r w:rsidRPr="00C96A8B">
        <w:rPr>
          <w:rFonts w:asciiTheme="majorHAnsi" w:hAnsiTheme="majorHAnsi" w:cstheme="majorHAnsi"/>
          <w:b w:val="0"/>
          <w:bCs w:val="0"/>
          <w:sz w:val="16"/>
          <w:szCs w:val="16"/>
        </w:rPr>
        <w:t xml:space="preserve"> Care în cadrul Obiectivului general 2 „Îmbunătăţirea condiţiilor de trai”, conţine Obiectivul specific 2.3 „Asigurarea accesului universal la apeducte şi la sisteme de sanitaţie sigure”.</w:t>
      </w:r>
    </w:p>
  </w:footnote>
  <w:footnote w:id="22">
    <w:p w:rsidR="00510CDB" w:rsidRPr="0060657C" w:rsidRDefault="00510CDB" w:rsidP="006833B0">
      <w:pPr>
        <w:pStyle w:val="a9"/>
        <w:jc w:val="both"/>
        <w:rPr>
          <w:rFonts w:ascii="Calibri Light" w:hAnsi="Calibri Light"/>
          <w:b w:val="0"/>
          <w:bCs w:val="0"/>
          <w:sz w:val="16"/>
          <w:szCs w:val="16"/>
          <w:lang w:val="it-IT"/>
        </w:rPr>
      </w:pPr>
      <w:r w:rsidRPr="0060657C">
        <w:rPr>
          <w:rStyle w:val="ab"/>
          <w:rFonts w:cstheme="majorHAnsi"/>
          <w:b w:val="0"/>
          <w:bCs w:val="0"/>
          <w:sz w:val="16"/>
          <w:szCs w:val="16"/>
        </w:rPr>
        <w:footnoteRef/>
      </w:r>
      <w:r w:rsidRPr="0060657C">
        <w:rPr>
          <w:rFonts w:asciiTheme="majorHAnsi" w:hAnsiTheme="majorHAnsi" w:cstheme="majorHAnsi"/>
          <w:b w:val="0"/>
          <w:bCs w:val="0"/>
          <w:sz w:val="16"/>
          <w:szCs w:val="16"/>
          <w:lang w:val="it-IT"/>
        </w:rPr>
        <w:t xml:space="preserve"> Pct.20 din H</w:t>
      </w:r>
      <w:r>
        <w:rPr>
          <w:rFonts w:asciiTheme="majorHAnsi" w:hAnsiTheme="majorHAnsi" w:cstheme="majorHAnsi"/>
          <w:b w:val="0"/>
          <w:bCs w:val="0"/>
          <w:sz w:val="16"/>
          <w:szCs w:val="16"/>
          <w:lang w:val="it-IT"/>
        </w:rPr>
        <w:t>G</w:t>
      </w:r>
      <w:r w:rsidRPr="0060657C">
        <w:rPr>
          <w:rFonts w:asciiTheme="majorHAnsi" w:hAnsiTheme="majorHAnsi" w:cstheme="majorHAnsi"/>
          <w:b w:val="0"/>
          <w:bCs w:val="0"/>
          <w:sz w:val="16"/>
          <w:szCs w:val="16"/>
          <w:lang w:val="it-IT"/>
        </w:rPr>
        <w:t xml:space="preserve"> nr.386 din 17.06.2020 </w:t>
      </w:r>
      <w:r>
        <w:rPr>
          <w:rFonts w:asciiTheme="majorHAnsi" w:hAnsiTheme="majorHAnsi" w:cstheme="majorHAnsi"/>
          <w:b w:val="0"/>
          <w:bCs w:val="0"/>
          <w:sz w:val="16"/>
          <w:szCs w:val="16"/>
          <w:lang w:val="it-IT"/>
        </w:rPr>
        <w:t>„C</w:t>
      </w:r>
      <w:r w:rsidRPr="0060657C">
        <w:rPr>
          <w:rFonts w:asciiTheme="majorHAnsi" w:hAnsiTheme="majorHAnsi" w:cstheme="majorHAnsi"/>
          <w:b w:val="0"/>
          <w:bCs w:val="0"/>
          <w:sz w:val="16"/>
          <w:szCs w:val="16"/>
          <w:lang w:val="it-IT"/>
        </w:rPr>
        <w:t>u privire la planificarea, elaborarea, aprobarea, implementarea, monitorizarea și evaluarea documentelor de politici publice</w:t>
      </w:r>
      <w:r>
        <w:rPr>
          <w:rFonts w:asciiTheme="majorHAnsi" w:hAnsiTheme="majorHAnsi" w:cstheme="majorHAnsi"/>
          <w:b w:val="0"/>
          <w:bCs w:val="0"/>
          <w:sz w:val="16"/>
          <w:szCs w:val="16"/>
          <w:lang w:val="it-IT"/>
        </w:rPr>
        <w:t xml:space="preserve">” (în continuare – </w:t>
      </w:r>
      <w:r w:rsidRPr="00B83E6B">
        <w:rPr>
          <w:rFonts w:asciiTheme="majorHAnsi" w:hAnsiTheme="majorHAnsi" w:cstheme="majorHAnsi"/>
          <w:b w:val="0"/>
          <w:bCs w:val="0"/>
          <w:sz w:val="16"/>
          <w:szCs w:val="16"/>
          <w:lang w:val="it-IT"/>
        </w:rPr>
        <w:t>H</w:t>
      </w:r>
      <w:r>
        <w:rPr>
          <w:rFonts w:asciiTheme="majorHAnsi" w:hAnsiTheme="majorHAnsi" w:cstheme="majorHAnsi"/>
          <w:b w:val="0"/>
          <w:bCs w:val="0"/>
          <w:sz w:val="16"/>
          <w:szCs w:val="16"/>
          <w:lang w:val="it-IT"/>
        </w:rPr>
        <w:t>G</w:t>
      </w:r>
      <w:r w:rsidRPr="00B83E6B">
        <w:rPr>
          <w:rFonts w:asciiTheme="majorHAnsi" w:hAnsiTheme="majorHAnsi" w:cstheme="majorHAnsi"/>
          <w:b w:val="0"/>
          <w:bCs w:val="0"/>
          <w:sz w:val="16"/>
          <w:szCs w:val="16"/>
          <w:lang w:val="it-IT"/>
        </w:rPr>
        <w:t xml:space="preserve"> nr.386 din 17.06.2020</w:t>
      </w:r>
      <w:r>
        <w:rPr>
          <w:rFonts w:asciiTheme="majorHAnsi" w:hAnsiTheme="majorHAnsi" w:cstheme="majorHAnsi"/>
          <w:b w:val="0"/>
          <w:bCs w:val="0"/>
          <w:sz w:val="16"/>
          <w:szCs w:val="16"/>
          <w:lang w:val="it-IT"/>
        </w:rPr>
        <w:t>)</w:t>
      </w:r>
      <w:r w:rsidRPr="0060657C">
        <w:rPr>
          <w:rFonts w:asciiTheme="majorHAnsi" w:hAnsiTheme="majorHAnsi" w:cstheme="majorHAnsi"/>
          <w:b w:val="0"/>
          <w:bCs w:val="0"/>
          <w:sz w:val="16"/>
          <w:szCs w:val="16"/>
          <w:lang w:val="it-IT"/>
        </w:rPr>
        <w:t>.</w:t>
      </w:r>
    </w:p>
  </w:footnote>
  <w:footnote w:id="23">
    <w:p w:rsidR="00510CDB" w:rsidRPr="00077ADC" w:rsidRDefault="00510CDB" w:rsidP="00077ADC">
      <w:pPr>
        <w:pStyle w:val="a9"/>
        <w:jc w:val="both"/>
        <w:rPr>
          <w:rFonts w:asciiTheme="majorHAnsi" w:hAnsiTheme="majorHAnsi" w:cstheme="majorHAnsi"/>
          <w:b w:val="0"/>
          <w:bCs w:val="0"/>
          <w:sz w:val="16"/>
          <w:szCs w:val="16"/>
        </w:rPr>
      </w:pPr>
      <w:r w:rsidRPr="00077ADC">
        <w:rPr>
          <w:rStyle w:val="ab"/>
          <w:rFonts w:asciiTheme="majorHAnsi" w:hAnsiTheme="majorHAnsi" w:cstheme="majorHAnsi"/>
          <w:b w:val="0"/>
          <w:bCs w:val="0"/>
          <w:sz w:val="16"/>
          <w:szCs w:val="16"/>
        </w:rPr>
        <w:footnoteRef/>
      </w:r>
      <w:r w:rsidRPr="00077ADC">
        <w:rPr>
          <w:rFonts w:asciiTheme="majorHAnsi" w:hAnsiTheme="majorHAnsi" w:cstheme="majorHAnsi"/>
          <w:b w:val="0"/>
          <w:bCs w:val="0"/>
          <w:sz w:val="16"/>
          <w:szCs w:val="16"/>
        </w:rPr>
        <w:t xml:space="preserve"> Pentru anul 2021 au fost prezentate date statistice actuale.</w:t>
      </w:r>
    </w:p>
  </w:footnote>
  <w:footnote w:id="24">
    <w:p w:rsidR="00510CDB" w:rsidRPr="00077ADC" w:rsidRDefault="00510CDB" w:rsidP="00B83E6B">
      <w:pPr>
        <w:pStyle w:val="a9"/>
        <w:jc w:val="both"/>
        <w:rPr>
          <w:rFonts w:asciiTheme="majorHAnsi" w:hAnsiTheme="majorHAnsi" w:cstheme="majorHAnsi"/>
          <w:b w:val="0"/>
          <w:bCs w:val="0"/>
          <w:sz w:val="16"/>
          <w:szCs w:val="16"/>
        </w:rPr>
      </w:pPr>
      <w:r w:rsidRPr="00077ADC">
        <w:rPr>
          <w:rStyle w:val="ab"/>
          <w:rFonts w:asciiTheme="majorHAnsi" w:hAnsiTheme="majorHAnsi" w:cstheme="majorHAnsi"/>
          <w:b w:val="0"/>
          <w:bCs w:val="0"/>
          <w:sz w:val="16"/>
          <w:szCs w:val="16"/>
        </w:rPr>
        <w:footnoteRef/>
      </w:r>
      <w:r w:rsidRPr="00077ADC">
        <w:rPr>
          <w:rFonts w:asciiTheme="majorHAnsi" w:hAnsiTheme="majorHAnsi" w:cstheme="majorHAnsi"/>
          <w:b w:val="0"/>
          <w:bCs w:val="0"/>
          <w:sz w:val="16"/>
          <w:szCs w:val="16"/>
          <w:lang w:val="it-IT"/>
        </w:rPr>
        <w:t xml:space="preserve"> </w:t>
      </w:r>
      <w:r w:rsidRPr="00B83E6B">
        <w:rPr>
          <w:rFonts w:asciiTheme="majorHAnsi" w:hAnsiTheme="majorHAnsi" w:cstheme="majorHAnsi"/>
          <w:b w:val="0"/>
          <w:bCs w:val="0"/>
          <w:sz w:val="16"/>
          <w:szCs w:val="16"/>
          <w:lang w:val="it-IT"/>
        </w:rPr>
        <w:t>Pct.7 din H</w:t>
      </w:r>
      <w:r>
        <w:rPr>
          <w:rFonts w:asciiTheme="majorHAnsi" w:hAnsiTheme="majorHAnsi" w:cstheme="majorHAnsi"/>
          <w:b w:val="0"/>
          <w:bCs w:val="0"/>
          <w:sz w:val="16"/>
          <w:szCs w:val="16"/>
          <w:lang w:val="it-IT"/>
        </w:rPr>
        <w:t>G</w:t>
      </w:r>
      <w:r w:rsidRPr="00B83E6B">
        <w:rPr>
          <w:rFonts w:asciiTheme="majorHAnsi" w:hAnsiTheme="majorHAnsi" w:cstheme="majorHAnsi"/>
          <w:b w:val="0"/>
          <w:bCs w:val="0"/>
          <w:sz w:val="16"/>
          <w:szCs w:val="16"/>
          <w:lang w:val="it-IT"/>
        </w:rPr>
        <w:t xml:space="preserve"> nr.386 din 17.06.2020.</w:t>
      </w:r>
    </w:p>
  </w:footnote>
  <w:footnote w:id="25">
    <w:p w:rsidR="00510CDB" w:rsidRPr="00077ADC" w:rsidRDefault="00510CDB" w:rsidP="00B83E6B">
      <w:pPr>
        <w:pStyle w:val="a9"/>
        <w:jc w:val="both"/>
        <w:rPr>
          <w:rFonts w:asciiTheme="majorHAnsi" w:hAnsiTheme="majorHAnsi" w:cstheme="majorHAnsi"/>
          <w:b w:val="0"/>
          <w:bCs w:val="0"/>
          <w:sz w:val="16"/>
          <w:szCs w:val="16"/>
        </w:rPr>
      </w:pPr>
      <w:r w:rsidRPr="00077ADC">
        <w:rPr>
          <w:rStyle w:val="ab"/>
          <w:rFonts w:asciiTheme="majorHAnsi" w:hAnsiTheme="majorHAnsi" w:cstheme="majorHAnsi"/>
          <w:b w:val="0"/>
          <w:bCs w:val="0"/>
          <w:sz w:val="16"/>
          <w:szCs w:val="16"/>
        </w:rPr>
        <w:footnoteRef/>
      </w:r>
      <w:r w:rsidRPr="00077ADC">
        <w:rPr>
          <w:rFonts w:asciiTheme="majorHAnsi" w:hAnsiTheme="majorHAnsi" w:cstheme="majorHAnsi"/>
          <w:b w:val="0"/>
          <w:bCs w:val="0"/>
          <w:sz w:val="16"/>
          <w:szCs w:val="16"/>
          <w:lang w:val="it-IT"/>
        </w:rPr>
        <w:t xml:space="preserve"> </w:t>
      </w:r>
      <w:r w:rsidRPr="00B83E6B">
        <w:rPr>
          <w:rFonts w:asciiTheme="majorHAnsi" w:hAnsiTheme="majorHAnsi" w:cstheme="majorHAnsi"/>
          <w:b w:val="0"/>
          <w:bCs w:val="0"/>
          <w:sz w:val="16"/>
          <w:szCs w:val="16"/>
          <w:lang w:val="it-IT"/>
        </w:rPr>
        <w:t>Pct.9 din H</w:t>
      </w:r>
      <w:r>
        <w:rPr>
          <w:rFonts w:asciiTheme="majorHAnsi" w:hAnsiTheme="majorHAnsi" w:cstheme="majorHAnsi"/>
          <w:b w:val="0"/>
          <w:bCs w:val="0"/>
          <w:sz w:val="16"/>
          <w:szCs w:val="16"/>
          <w:lang w:val="it-IT"/>
        </w:rPr>
        <w:t>G</w:t>
      </w:r>
      <w:r w:rsidRPr="00B83E6B">
        <w:rPr>
          <w:rFonts w:asciiTheme="majorHAnsi" w:hAnsiTheme="majorHAnsi" w:cstheme="majorHAnsi"/>
          <w:b w:val="0"/>
          <w:bCs w:val="0"/>
          <w:sz w:val="16"/>
          <w:szCs w:val="16"/>
          <w:lang w:val="it-IT"/>
        </w:rPr>
        <w:t xml:space="preserve"> nr.386 din 17.06.2020.</w:t>
      </w:r>
    </w:p>
  </w:footnote>
  <w:footnote w:id="26">
    <w:p w:rsidR="00510CDB" w:rsidRPr="00077ADC" w:rsidRDefault="00510CDB" w:rsidP="00B83E6B">
      <w:pPr>
        <w:pStyle w:val="a9"/>
        <w:jc w:val="both"/>
        <w:rPr>
          <w:rFonts w:asciiTheme="majorHAnsi" w:hAnsiTheme="majorHAnsi" w:cstheme="majorHAnsi"/>
          <w:sz w:val="16"/>
          <w:szCs w:val="16"/>
        </w:rPr>
      </w:pPr>
      <w:r w:rsidRPr="00077ADC">
        <w:rPr>
          <w:rStyle w:val="ab"/>
          <w:rFonts w:asciiTheme="majorHAnsi" w:hAnsiTheme="majorHAnsi" w:cstheme="majorHAnsi"/>
          <w:b w:val="0"/>
          <w:bCs w:val="0"/>
          <w:sz w:val="16"/>
          <w:szCs w:val="16"/>
        </w:rPr>
        <w:footnoteRef/>
      </w:r>
      <w:r w:rsidRPr="00077ADC">
        <w:rPr>
          <w:rFonts w:asciiTheme="majorHAnsi" w:hAnsiTheme="majorHAnsi" w:cstheme="majorHAnsi"/>
          <w:b w:val="0"/>
          <w:bCs w:val="0"/>
          <w:sz w:val="16"/>
          <w:szCs w:val="16"/>
          <w:lang w:val="it-IT"/>
        </w:rPr>
        <w:t xml:space="preserve"> </w:t>
      </w:r>
      <w:r w:rsidRPr="00B83E6B">
        <w:rPr>
          <w:rFonts w:asciiTheme="majorHAnsi" w:hAnsiTheme="majorHAnsi" w:cstheme="majorHAnsi"/>
          <w:b w:val="0"/>
          <w:bCs w:val="0"/>
          <w:sz w:val="16"/>
          <w:szCs w:val="16"/>
          <w:lang w:val="it-IT"/>
        </w:rPr>
        <w:t>Pct.4 din H</w:t>
      </w:r>
      <w:r>
        <w:rPr>
          <w:rFonts w:asciiTheme="majorHAnsi" w:hAnsiTheme="majorHAnsi" w:cstheme="majorHAnsi"/>
          <w:b w:val="0"/>
          <w:bCs w:val="0"/>
          <w:sz w:val="16"/>
          <w:szCs w:val="16"/>
          <w:lang w:val="it-IT"/>
        </w:rPr>
        <w:t>G</w:t>
      </w:r>
      <w:r w:rsidRPr="00B83E6B">
        <w:rPr>
          <w:rFonts w:asciiTheme="majorHAnsi" w:hAnsiTheme="majorHAnsi" w:cstheme="majorHAnsi"/>
          <w:b w:val="0"/>
          <w:bCs w:val="0"/>
          <w:sz w:val="16"/>
          <w:szCs w:val="16"/>
          <w:lang w:val="it-IT"/>
        </w:rPr>
        <w:t xml:space="preserve"> nr.386 din 17.06.2020.</w:t>
      </w:r>
    </w:p>
  </w:footnote>
  <w:footnote w:id="27">
    <w:p w:rsidR="00510CDB" w:rsidRPr="00F233E3" w:rsidRDefault="00510CDB" w:rsidP="0053166E">
      <w:pPr>
        <w:pStyle w:val="a9"/>
        <w:rPr>
          <w:rFonts w:asciiTheme="majorHAnsi" w:hAnsiTheme="majorHAnsi" w:cstheme="majorHAnsi"/>
          <w:b w:val="0"/>
          <w:bCs w:val="0"/>
        </w:rPr>
      </w:pPr>
      <w:r w:rsidRPr="00F233E3">
        <w:rPr>
          <w:rStyle w:val="ab"/>
          <w:rFonts w:asciiTheme="majorHAnsi" w:hAnsiTheme="majorHAnsi" w:cstheme="majorHAnsi"/>
          <w:b w:val="0"/>
          <w:bCs w:val="0"/>
          <w:sz w:val="16"/>
          <w:szCs w:val="16"/>
        </w:rPr>
        <w:footnoteRef/>
      </w:r>
      <w:r w:rsidRPr="00F233E3">
        <w:rPr>
          <w:rFonts w:asciiTheme="majorHAnsi" w:hAnsiTheme="majorHAnsi" w:cstheme="majorHAnsi"/>
          <w:b w:val="0"/>
          <w:bCs w:val="0"/>
          <w:sz w:val="16"/>
          <w:szCs w:val="16"/>
          <w:lang w:val="it-IT"/>
        </w:rPr>
        <w:t xml:space="preserve"> </w:t>
      </w:r>
      <w:r w:rsidRPr="00A33395">
        <w:rPr>
          <w:rFonts w:asciiTheme="majorHAnsi" w:hAnsiTheme="majorHAnsi" w:cstheme="majorHAnsi"/>
          <w:b w:val="0"/>
          <w:bCs w:val="0"/>
          <w:sz w:val="16"/>
          <w:szCs w:val="16"/>
          <w:lang w:val="it-IT"/>
        </w:rPr>
        <w:t>Scrisoarea MM nr.08-07/2232 din 26.09.2022.</w:t>
      </w:r>
    </w:p>
  </w:footnote>
  <w:footnote w:id="28">
    <w:p w:rsidR="00510CDB" w:rsidRPr="00AC4BE7" w:rsidRDefault="00510CDB" w:rsidP="0053166E">
      <w:pPr>
        <w:pStyle w:val="a9"/>
        <w:rPr>
          <w:rFonts w:asciiTheme="majorHAnsi" w:hAnsiTheme="majorHAnsi" w:cstheme="majorHAnsi"/>
          <w:sz w:val="16"/>
          <w:szCs w:val="16"/>
          <w:lang w:val="it-IT"/>
        </w:rPr>
      </w:pPr>
      <w:r w:rsidRPr="00AA52A9">
        <w:rPr>
          <w:rStyle w:val="ab"/>
          <w:rFonts w:cstheme="majorHAnsi"/>
          <w:b w:val="0"/>
          <w:bCs w:val="0"/>
          <w:sz w:val="16"/>
          <w:szCs w:val="16"/>
        </w:rPr>
        <w:footnoteRef/>
      </w:r>
      <w:r w:rsidRPr="00AA52A9">
        <w:rPr>
          <w:rFonts w:asciiTheme="majorHAnsi" w:hAnsiTheme="majorHAnsi" w:cstheme="majorHAnsi"/>
          <w:b w:val="0"/>
          <w:bCs w:val="0"/>
          <w:sz w:val="16"/>
          <w:szCs w:val="16"/>
          <w:lang w:val="it-IT"/>
        </w:rPr>
        <w:t xml:space="preserve"> Acţiunea nr.1.6 din Planul de acţiuni 2014-2018.</w:t>
      </w:r>
    </w:p>
  </w:footnote>
  <w:footnote w:id="29">
    <w:p w:rsidR="00510CDB" w:rsidRPr="00462D28" w:rsidRDefault="00510CDB" w:rsidP="0053166E">
      <w:pPr>
        <w:pStyle w:val="a9"/>
        <w:jc w:val="both"/>
        <w:rPr>
          <w:rFonts w:asciiTheme="majorHAnsi" w:hAnsiTheme="majorHAnsi" w:cstheme="majorHAnsi"/>
          <w:b w:val="0"/>
          <w:bCs w:val="0"/>
        </w:rPr>
      </w:pPr>
      <w:r w:rsidRPr="00462D28">
        <w:rPr>
          <w:rStyle w:val="ab"/>
          <w:rFonts w:asciiTheme="majorHAnsi" w:hAnsiTheme="majorHAnsi" w:cstheme="majorHAnsi"/>
          <w:b w:val="0"/>
          <w:bCs w:val="0"/>
          <w:sz w:val="16"/>
          <w:szCs w:val="16"/>
        </w:rPr>
        <w:footnoteRef/>
      </w:r>
      <w:r w:rsidRPr="00EE22C8">
        <w:rPr>
          <w:rFonts w:asciiTheme="majorHAnsi" w:hAnsiTheme="majorHAnsi" w:cstheme="majorHAnsi"/>
          <w:b w:val="0"/>
          <w:bCs w:val="0"/>
          <w:sz w:val="16"/>
          <w:szCs w:val="16"/>
          <w:lang w:val="it-IT"/>
        </w:rPr>
        <w:t xml:space="preserve"> Actul normativ având forţă inferioară</w:t>
      </w:r>
      <w:r>
        <w:rPr>
          <w:rFonts w:asciiTheme="majorHAnsi" w:hAnsiTheme="majorHAnsi" w:cstheme="majorHAnsi"/>
          <w:b w:val="0"/>
          <w:bCs w:val="0"/>
          <w:sz w:val="16"/>
          <w:szCs w:val="16"/>
          <w:lang w:val="it-IT"/>
        </w:rPr>
        <w:t>,</w:t>
      </w:r>
      <w:r w:rsidRPr="00EE22C8">
        <w:rPr>
          <w:rFonts w:asciiTheme="majorHAnsi" w:hAnsiTheme="majorHAnsi" w:cstheme="majorHAnsi"/>
          <w:b w:val="0"/>
          <w:bCs w:val="0"/>
          <w:sz w:val="16"/>
          <w:szCs w:val="16"/>
          <w:lang w:val="it-IT"/>
        </w:rPr>
        <w:t xml:space="preserve"> fiind aprobat prin ordin al Ministerului Mediului, </w:t>
      </w:r>
      <w:r>
        <w:rPr>
          <w:rFonts w:asciiTheme="majorHAnsi" w:hAnsiTheme="majorHAnsi" w:cstheme="majorHAnsi"/>
          <w:b w:val="0"/>
          <w:bCs w:val="0"/>
          <w:sz w:val="16"/>
          <w:szCs w:val="16"/>
          <w:lang w:val="it-IT"/>
        </w:rPr>
        <w:t xml:space="preserve">și </w:t>
      </w:r>
      <w:r w:rsidRPr="00EE22C8">
        <w:rPr>
          <w:rFonts w:asciiTheme="majorHAnsi" w:hAnsiTheme="majorHAnsi" w:cstheme="majorHAnsi"/>
          <w:b w:val="0"/>
          <w:bCs w:val="0"/>
          <w:sz w:val="16"/>
          <w:szCs w:val="16"/>
          <w:lang w:val="it-IT"/>
        </w:rPr>
        <w:t>nu la nivel de Hotărâre de Guvern sau Lege.</w:t>
      </w:r>
    </w:p>
  </w:footnote>
  <w:footnote w:id="30">
    <w:p w:rsidR="00510CDB" w:rsidRPr="00E269FD" w:rsidRDefault="00510CDB" w:rsidP="003038A2">
      <w:pPr>
        <w:pStyle w:val="a9"/>
        <w:rPr>
          <w:rStyle w:val="ab"/>
        </w:rPr>
      </w:pPr>
      <w:r w:rsidRPr="00E269FD">
        <w:rPr>
          <w:rStyle w:val="ab"/>
          <w:rFonts w:asciiTheme="majorHAnsi" w:hAnsiTheme="majorHAnsi" w:cstheme="majorHAnsi"/>
          <w:b w:val="0"/>
          <w:bCs w:val="0"/>
          <w:sz w:val="16"/>
          <w:szCs w:val="16"/>
        </w:rPr>
        <w:footnoteRef/>
      </w:r>
      <w:r w:rsidRPr="00E269FD">
        <w:rPr>
          <w:rFonts w:asciiTheme="majorHAnsi" w:hAnsiTheme="majorHAnsi" w:cstheme="majorHAnsi"/>
          <w:b w:val="0"/>
          <w:bCs w:val="0"/>
          <w:sz w:val="16"/>
          <w:szCs w:val="16"/>
        </w:rPr>
        <w:t xml:space="preserve"> S.A. „Apă</w:t>
      </w:r>
      <w:r>
        <w:rPr>
          <w:rFonts w:asciiTheme="majorHAnsi" w:hAnsiTheme="majorHAnsi" w:cstheme="majorHAnsi"/>
          <w:b w:val="0"/>
          <w:bCs w:val="0"/>
          <w:sz w:val="16"/>
          <w:szCs w:val="16"/>
        </w:rPr>
        <w:t>-</w:t>
      </w:r>
      <w:r w:rsidRPr="00E269FD">
        <w:rPr>
          <w:rFonts w:asciiTheme="majorHAnsi" w:hAnsiTheme="majorHAnsi" w:cstheme="majorHAnsi"/>
          <w:b w:val="0"/>
          <w:bCs w:val="0"/>
          <w:sz w:val="16"/>
          <w:szCs w:val="16"/>
        </w:rPr>
        <w:t>Canal Chişinău” şi S.A. „Servicii Comunale Floreşti”.</w:t>
      </w:r>
    </w:p>
  </w:footnote>
  <w:footnote w:id="31">
    <w:p w:rsidR="00510CDB" w:rsidRPr="00BE57DD" w:rsidRDefault="00510CDB" w:rsidP="00546955">
      <w:pPr>
        <w:pStyle w:val="4"/>
        <w:shd w:val="clear" w:color="auto" w:fill="FFFFFF"/>
        <w:spacing w:before="0"/>
        <w:jc w:val="both"/>
        <w:rPr>
          <w:rFonts w:cstheme="majorHAnsi"/>
          <w:b w:val="0"/>
          <w:bCs w:val="0"/>
          <w:sz w:val="16"/>
          <w:szCs w:val="16"/>
        </w:rPr>
      </w:pPr>
      <w:r w:rsidRPr="00546955">
        <w:rPr>
          <w:rStyle w:val="ab"/>
          <w:rFonts w:cstheme="majorHAnsi"/>
          <w:b w:val="0"/>
          <w:bCs w:val="0"/>
          <w:i w:val="0"/>
          <w:color w:val="auto"/>
          <w:sz w:val="16"/>
          <w:szCs w:val="16"/>
        </w:rPr>
        <w:footnoteRef/>
      </w:r>
      <w:r w:rsidRPr="00546955">
        <w:rPr>
          <w:rFonts w:eastAsiaTheme="minorHAnsi" w:cstheme="majorHAnsi"/>
          <w:b w:val="0"/>
          <w:bCs w:val="0"/>
          <w:i w:val="0"/>
          <w:iCs w:val="0"/>
          <w:color w:val="auto"/>
          <w:sz w:val="16"/>
          <w:szCs w:val="16"/>
          <w:lang w:val="it-IT"/>
        </w:rPr>
        <w:t xml:space="preserve"> Conform Nomenclatorului aprobat prin HG nr. 482 din 28.06.2017 cu privire la aprobarea Nomenclatorului</w:t>
      </w:r>
      <w:r>
        <w:rPr>
          <w:rFonts w:eastAsiaTheme="minorHAnsi" w:cstheme="majorHAnsi"/>
          <w:b w:val="0"/>
          <w:bCs w:val="0"/>
          <w:i w:val="0"/>
          <w:iCs w:val="0"/>
          <w:color w:val="auto"/>
          <w:sz w:val="16"/>
          <w:szCs w:val="16"/>
          <w:lang w:val="it-IT"/>
        </w:rPr>
        <w:t xml:space="preserve"> </w:t>
      </w:r>
      <w:r w:rsidRPr="00546955">
        <w:rPr>
          <w:rFonts w:eastAsiaTheme="minorHAnsi" w:cstheme="majorHAnsi"/>
          <w:b w:val="0"/>
          <w:bCs w:val="0"/>
          <w:i w:val="0"/>
          <w:iCs w:val="0"/>
          <w:color w:val="auto"/>
          <w:sz w:val="16"/>
          <w:szCs w:val="16"/>
          <w:lang w:val="it-IT"/>
        </w:rPr>
        <w:t>domeniilor de formare profesională şi al specialităţilor în învățămîntul superior</w:t>
      </w:r>
      <w:r>
        <w:rPr>
          <w:rFonts w:eastAsiaTheme="minorHAnsi" w:cstheme="majorHAnsi"/>
          <w:b w:val="0"/>
          <w:bCs w:val="0"/>
          <w:i w:val="0"/>
          <w:iCs w:val="0"/>
          <w:color w:val="auto"/>
          <w:sz w:val="16"/>
          <w:szCs w:val="16"/>
          <w:lang w:val="it-IT"/>
        </w:rPr>
        <w:t xml:space="preserve">. </w:t>
      </w:r>
    </w:p>
  </w:footnote>
  <w:footnote w:id="32">
    <w:p w:rsidR="00510CDB" w:rsidRPr="00C07F90" w:rsidRDefault="00510CDB" w:rsidP="00C07F90">
      <w:pPr>
        <w:pStyle w:val="4"/>
        <w:shd w:val="clear" w:color="auto" w:fill="FFFFFF"/>
        <w:spacing w:before="0"/>
        <w:jc w:val="both"/>
        <w:rPr>
          <w:rFonts w:eastAsiaTheme="minorHAnsi" w:cstheme="majorHAnsi"/>
          <w:b w:val="0"/>
          <w:bCs w:val="0"/>
          <w:i w:val="0"/>
          <w:iCs w:val="0"/>
          <w:color w:val="auto"/>
          <w:sz w:val="16"/>
          <w:szCs w:val="16"/>
          <w:lang w:val="it-IT"/>
        </w:rPr>
      </w:pPr>
      <w:r w:rsidRPr="00C07F90">
        <w:rPr>
          <w:rStyle w:val="ab"/>
          <w:rFonts w:cstheme="majorHAnsi"/>
          <w:b w:val="0"/>
          <w:bCs w:val="0"/>
          <w:i w:val="0"/>
          <w:color w:val="auto"/>
          <w:sz w:val="16"/>
          <w:szCs w:val="16"/>
        </w:rPr>
        <w:footnoteRef/>
      </w:r>
      <w:r w:rsidRPr="00C07F90">
        <w:rPr>
          <w:rStyle w:val="ab"/>
          <w:i w:val="0"/>
          <w:color w:val="auto"/>
        </w:rPr>
        <w:t xml:space="preserve"> </w:t>
      </w:r>
      <w:r w:rsidRPr="00C07F90">
        <w:rPr>
          <w:rFonts w:eastAsiaTheme="minorHAnsi" w:cstheme="majorHAnsi"/>
          <w:b w:val="0"/>
          <w:bCs w:val="0"/>
          <w:i w:val="0"/>
          <w:iCs w:val="0"/>
          <w:color w:val="auto"/>
          <w:sz w:val="16"/>
          <w:szCs w:val="16"/>
          <w:lang w:val="it-IT"/>
        </w:rPr>
        <w:t>Conform Nomenclatorului aprobat prin Legea nr. 142 din 07.07.2005 privind aprobarea Nomenclatorului domeniilor de formare</w:t>
      </w:r>
      <w:r>
        <w:rPr>
          <w:rFonts w:eastAsiaTheme="minorHAnsi" w:cstheme="majorHAnsi"/>
          <w:b w:val="0"/>
          <w:bCs w:val="0"/>
          <w:i w:val="0"/>
          <w:iCs w:val="0"/>
          <w:color w:val="auto"/>
          <w:sz w:val="16"/>
          <w:szCs w:val="16"/>
          <w:lang w:val="it-IT"/>
        </w:rPr>
        <w:t xml:space="preserve"> </w:t>
      </w:r>
      <w:r w:rsidRPr="00C07F90">
        <w:rPr>
          <w:rFonts w:eastAsiaTheme="minorHAnsi" w:cstheme="majorHAnsi"/>
          <w:b w:val="0"/>
          <w:bCs w:val="0"/>
          <w:i w:val="0"/>
          <w:iCs w:val="0"/>
          <w:color w:val="auto"/>
          <w:sz w:val="16"/>
          <w:szCs w:val="16"/>
          <w:lang w:val="it-IT"/>
        </w:rPr>
        <w:t>profesională şi al specialităţilor pentru pregătirea cadrelor în</w:t>
      </w:r>
      <w:r>
        <w:rPr>
          <w:rFonts w:eastAsiaTheme="minorHAnsi" w:cstheme="majorHAnsi"/>
          <w:b w:val="0"/>
          <w:bCs w:val="0"/>
          <w:i w:val="0"/>
          <w:iCs w:val="0"/>
          <w:color w:val="auto"/>
          <w:sz w:val="16"/>
          <w:szCs w:val="16"/>
          <w:lang w:val="it-IT"/>
        </w:rPr>
        <w:t xml:space="preserve"> </w:t>
      </w:r>
      <w:r w:rsidRPr="00C07F90">
        <w:rPr>
          <w:rFonts w:eastAsiaTheme="minorHAnsi" w:cstheme="majorHAnsi"/>
          <w:b w:val="0"/>
          <w:bCs w:val="0"/>
          <w:i w:val="0"/>
          <w:iCs w:val="0"/>
          <w:color w:val="auto"/>
          <w:sz w:val="16"/>
          <w:szCs w:val="16"/>
          <w:lang w:val="it-IT"/>
        </w:rPr>
        <w:t>instituţiile de învăţămînt superior, ciclul I</w:t>
      </w:r>
      <w:r>
        <w:rPr>
          <w:rFonts w:eastAsiaTheme="minorHAnsi" w:cstheme="majorHAnsi"/>
          <w:b w:val="0"/>
          <w:bCs w:val="0"/>
          <w:i w:val="0"/>
          <w:iCs w:val="0"/>
          <w:color w:val="auto"/>
          <w:sz w:val="16"/>
          <w:szCs w:val="16"/>
          <w:lang w:val="it-IT"/>
        </w:rPr>
        <w:t>.</w:t>
      </w:r>
    </w:p>
    <w:p w:rsidR="00510CDB" w:rsidRPr="00807E42" w:rsidRDefault="00510CDB" w:rsidP="00546955">
      <w:pPr>
        <w:pStyle w:val="a9"/>
        <w:rPr>
          <w:rFonts w:asciiTheme="majorHAnsi" w:hAnsiTheme="majorHAnsi" w:cstheme="majorHAnsi"/>
        </w:rPr>
      </w:pPr>
    </w:p>
  </w:footnote>
  <w:footnote w:id="33">
    <w:p w:rsidR="00510CDB" w:rsidRPr="00122A30" w:rsidRDefault="00510CDB" w:rsidP="004E6CCB">
      <w:pPr>
        <w:pStyle w:val="a9"/>
        <w:rPr>
          <w:rFonts w:asciiTheme="majorHAnsi" w:hAnsiTheme="majorHAnsi"/>
          <w:b w:val="0"/>
          <w:bCs w:val="0"/>
          <w:sz w:val="16"/>
          <w:szCs w:val="16"/>
        </w:rPr>
      </w:pPr>
      <w:r w:rsidRPr="00122A30">
        <w:rPr>
          <w:rStyle w:val="ab"/>
          <w:rFonts w:asciiTheme="majorHAnsi" w:hAnsiTheme="majorHAnsi"/>
          <w:b w:val="0"/>
          <w:bCs w:val="0"/>
          <w:sz w:val="16"/>
          <w:szCs w:val="16"/>
        </w:rPr>
        <w:footnoteRef/>
      </w:r>
      <w:r w:rsidRPr="00122A30">
        <w:rPr>
          <w:rFonts w:asciiTheme="majorHAnsi" w:hAnsiTheme="majorHAnsi"/>
          <w:b w:val="0"/>
          <w:bCs w:val="0"/>
          <w:sz w:val="16"/>
          <w:szCs w:val="16"/>
        </w:rPr>
        <w:t xml:space="preserve"> </w:t>
      </w:r>
      <w:r>
        <w:rPr>
          <w:rFonts w:asciiTheme="majorHAnsi" w:hAnsiTheme="majorHAnsi"/>
          <w:b w:val="0"/>
          <w:bCs w:val="0"/>
          <w:sz w:val="16"/>
          <w:szCs w:val="16"/>
        </w:rPr>
        <w:t>În 2014</w:t>
      </w:r>
      <w:r w:rsidRPr="00122A30">
        <w:rPr>
          <w:rFonts w:asciiTheme="majorHAnsi" w:hAnsiTheme="majorHAnsi"/>
          <w:b w:val="0"/>
          <w:bCs w:val="0"/>
          <w:sz w:val="16"/>
          <w:szCs w:val="16"/>
        </w:rPr>
        <w:t xml:space="preserve"> </w:t>
      </w:r>
      <w:r>
        <w:rPr>
          <w:rFonts w:asciiTheme="majorHAnsi" w:hAnsiTheme="majorHAnsi"/>
          <w:b w:val="0"/>
          <w:bCs w:val="0"/>
          <w:sz w:val="16"/>
          <w:szCs w:val="16"/>
        </w:rPr>
        <w:t xml:space="preserve">rapoartele </w:t>
      </w:r>
      <w:r w:rsidRPr="00122A30">
        <w:rPr>
          <w:rFonts w:asciiTheme="majorHAnsi" w:hAnsiTheme="majorHAnsi"/>
          <w:b w:val="0"/>
          <w:bCs w:val="0"/>
          <w:sz w:val="16"/>
          <w:szCs w:val="16"/>
        </w:rPr>
        <w:t>au fost prezentate de 614 operatori.</w:t>
      </w:r>
    </w:p>
  </w:footnote>
  <w:footnote w:id="34">
    <w:p w:rsidR="00510CDB" w:rsidRPr="00E269FD" w:rsidRDefault="00510CDB" w:rsidP="00E028CC">
      <w:pPr>
        <w:pStyle w:val="a9"/>
        <w:rPr>
          <w:rFonts w:asciiTheme="majorHAnsi" w:hAnsiTheme="majorHAnsi" w:cstheme="majorHAnsi"/>
          <w:b w:val="0"/>
          <w:bCs w:val="0"/>
          <w:sz w:val="16"/>
          <w:szCs w:val="16"/>
        </w:rPr>
      </w:pPr>
      <w:r w:rsidRPr="00E269FD">
        <w:rPr>
          <w:rStyle w:val="ab"/>
          <w:rFonts w:asciiTheme="majorHAnsi" w:hAnsiTheme="majorHAnsi" w:cstheme="majorHAnsi"/>
          <w:b w:val="0"/>
          <w:bCs w:val="0"/>
          <w:sz w:val="16"/>
          <w:szCs w:val="16"/>
        </w:rPr>
        <w:footnoteRef/>
      </w:r>
      <w:r w:rsidRPr="00E269FD">
        <w:rPr>
          <w:rFonts w:asciiTheme="majorHAnsi" w:hAnsiTheme="majorHAnsi" w:cstheme="majorHAnsi"/>
          <w:b w:val="0"/>
          <w:bCs w:val="0"/>
          <w:sz w:val="16"/>
          <w:szCs w:val="16"/>
        </w:rPr>
        <w:t xml:space="preserve"> Pct. 2.9 din </w:t>
      </w:r>
      <w:r w:rsidRPr="00E269FD">
        <w:rPr>
          <w:rFonts w:asciiTheme="majorHAnsi" w:hAnsiTheme="majorHAnsi" w:cstheme="majorHAnsi"/>
          <w:b w:val="0"/>
          <w:bCs w:val="0"/>
          <w:color w:val="000000"/>
          <w:sz w:val="16"/>
          <w:szCs w:val="16"/>
        </w:rPr>
        <w:t>Strategia de alimentare cu</w:t>
      </w:r>
      <w:r>
        <w:rPr>
          <w:rFonts w:asciiTheme="majorHAnsi" w:hAnsiTheme="majorHAnsi" w:cstheme="majorHAnsi"/>
          <w:b w:val="0"/>
          <w:bCs w:val="0"/>
          <w:color w:val="000000"/>
          <w:sz w:val="16"/>
          <w:szCs w:val="16"/>
        </w:rPr>
        <w:t xml:space="preserve"> apă şi sanitaţie (2014-2030) aprobată prin HG nr.199/2014.</w:t>
      </w:r>
    </w:p>
  </w:footnote>
  <w:footnote w:id="35">
    <w:p w:rsidR="00510CDB" w:rsidRPr="00C31211" w:rsidRDefault="00510CDB" w:rsidP="00097A8B">
      <w:pPr>
        <w:pStyle w:val="a9"/>
        <w:rPr>
          <w:rFonts w:asciiTheme="majorHAnsi" w:hAnsiTheme="majorHAnsi" w:cstheme="majorHAnsi"/>
          <w:b w:val="0"/>
          <w:sz w:val="16"/>
          <w:szCs w:val="16"/>
        </w:rPr>
      </w:pPr>
      <w:r w:rsidRPr="00311AF9">
        <w:rPr>
          <w:rStyle w:val="ab"/>
          <w:b w:val="0"/>
          <w:sz w:val="16"/>
          <w:szCs w:val="16"/>
        </w:rPr>
        <w:footnoteRef/>
      </w:r>
      <w:r w:rsidRPr="00311AF9">
        <w:rPr>
          <w:rStyle w:val="ab"/>
          <w:b w:val="0"/>
        </w:rPr>
        <w:t xml:space="preserve"> </w:t>
      </w:r>
      <w:r w:rsidRPr="00C31211">
        <w:rPr>
          <w:rFonts w:asciiTheme="majorHAnsi" w:hAnsiTheme="majorHAnsi" w:cstheme="majorHAnsi"/>
          <w:b w:val="0"/>
          <w:sz w:val="16"/>
          <w:szCs w:val="16"/>
        </w:rPr>
        <w:t>H</w:t>
      </w:r>
      <w:r>
        <w:rPr>
          <w:rFonts w:asciiTheme="majorHAnsi" w:hAnsiTheme="majorHAnsi" w:cstheme="majorHAnsi"/>
          <w:b w:val="0"/>
          <w:sz w:val="16"/>
          <w:szCs w:val="16"/>
        </w:rPr>
        <w:t>G</w:t>
      </w:r>
      <w:r w:rsidRPr="00C31211">
        <w:rPr>
          <w:rFonts w:asciiTheme="majorHAnsi" w:hAnsiTheme="majorHAnsi" w:cstheme="majorHAnsi"/>
          <w:b w:val="0"/>
          <w:sz w:val="16"/>
          <w:szCs w:val="16"/>
        </w:rPr>
        <w:t xml:space="preserve"> nr. 711 din 19.10.2022</w:t>
      </w:r>
      <w:r>
        <w:rPr>
          <w:rFonts w:asciiTheme="majorHAnsi" w:hAnsiTheme="majorHAnsi" w:cstheme="majorHAnsi"/>
          <w:b w:val="0"/>
          <w:sz w:val="16"/>
          <w:szCs w:val="16"/>
        </w:rPr>
        <w:t xml:space="preserve"> </w:t>
      </w:r>
      <w:r w:rsidRPr="00311AF9">
        <w:rPr>
          <w:rFonts w:asciiTheme="majorHAnsi" w:hAnsiTheme="majorHAnsi" w:cstheme="majorHAnsi"/>
          <w:b w:val="0"/>
          <w:sz w:val="16"/>
          <w:szCs w:val="16"/>
        </w:rPr>
        <w:t>cu privire la aprobarea Regulamentului privind modul de administrare a Fondului Național pentru Mediu</w:t>
      </w:r>
      <w:r>
        <w:rPr>
          <w:rFonts w:asciiTheme="majorHAnsi" w:hAnsiTheme="majorHAnsi" w:cstheme="majorHAnsi"/>
          <w:b w:val="0"/>
          <w:sz w:val="16"/>
          <w:szCs w:val="16"/>
        </w:rPr>
        <w:t xml:space="preserve">. </w:t>
      </w:r>
    </w:p>
  </w:footnote>
  <w:footnote w:id="36">
    <w:p w:rsidR="00510CDB" w:rsidRPr="00C31211" w:rsidRDefault="00510CDB" w:rsidP="005515F8">
      <w:pPr>
        <w:pStyle w:val="a9"/>
        <w:rPr>
          <w:rFonts w:asciiTheme="majorHAnsi" w:hAnsiTheme="majorHAnsi" w:cstheme="majorHAnsi"/>
          <w:b w:val="0"/>
          <w:sz w:val="16"/>
          <w:szCs w:val="16"/>
        </w:rPr>
      </w:pPr>
      <w:r w:rsidRPr="007275CC">
        <w:rPr>
          <w:rStyle w:val="ab"/>
          <w:rFonts w:asciiTheme="majorHAnsi" w:hAnsiTheme="majorHAnsi" w:cstheme="majorHAnsi"/>
          <w:b w:val="0"/>
          <w:sz w:val="16"/>
          <w:szCs w:val="16"/>
        </w:rPr>
        <w:footnoteRef/>
      </w:r>
      <w:r w:rsidRPr="007275CC">
        <w:rPr>
          <w:rFonts w:asciiTheme="majorHAnsi" w:hAnsiTheme="majorHAnsi" w:cstheme="majorHAnsi"/>
          <w:b w:val="0"/>
          <w:sz w:val="16"/>
          <w:szCs w:val="16"/>
        </w:rPr>
        <w:t xml:space="preserve"> </w:t>
      </w:r>
      <w:r w:rsidRPr="00C31211">
        <w:rPr>
          <w:rFonts w:asciiTheme="majorHAnsi" w:hAnsiTheme="majorHAnsi" w:cstheme="majorHAnsi"/>
          <w:b w:val="0"/>
          <w:sz w:val="16"/>
          <w:szCs w:val="16"/>
        </w:rPr>
        <w:t>Proiectul „Alimentare</w:t>
      </w:r>
      <w:r>
        <w:rPr>
          <w:rFonts w:asciiTheme="majorHAnsi" w:hAnsiTheme="majorHAnsi" w:cstheme="majorHAnsi"/>
          <w:b w:val="0"/>
          <w:sz w:val="16"/>
          <w:szCs w:val="16"/>
        </w:rPr>
        <w:t>a</w:t>
      </w:r>
      <w:r w:rsidRPr="00C31211">
        <w:rPr>
          <w:rFonts w:asciiTheme="majorHAnsi" w:hAnsiTheme="majorHAnsi" w:cstheme="majorHAnsi"/>
          <w:b w:val="0"/>
          <w:sz w:val="16"/>
          <w:szCs w:val="16"/>
        </w:rPr>
        <w:t xml:space="preserve"> cu ap</w:t>
      </w:r>
      <w:r>
        <w:rPr>
          <w:rFonts w:asciiTheme="majorHAnsi" w:hAnsiTheme="majorHAnsi" w:cstheme="majorHAnsi"/>
          <w:b w:val="0"/>
          <w:sz w:val="16"/>
          <w:szCs w:val="16"/>
        </w:rPr>
        <w:t>ă</w:t>
      </w:r>
      <w:r w:rsidRPr="00C31211">
        <w:rPr>
          <w:rFonts w:asciiTheme="majorHAnsi" w:hAnsiTheme="majorHAnsi" w:cstheme="majorHAnsi"/>
          <w:b w:val="0"/>
          <w:sz w:val="16"/>
          <w:szCs w:val="16"/>
        </w:rPr>
        <w:t xml:space="preserve"> </w:t>
      </w:r>
      <w:r>
        <w:rPr>
          <w:rFonts w:asciiTheme="majorHAnsi" w:hAnsiTheme="majorHAnsi" w:cstheme="majorHAnsi"/>
          <w:b w:val="0"/>
          <w:sz w:val="16"/>
          <w:szCs w:val="16"/>
        </w:rPr>
        <w:t>ș</w:t>
      </w:r>
      <w:r w:rsidRPr="00C31211">
        <w:rPr>
          <w:rFonts w:asciiTheme="majorHAnsi" w:hAnsiTheme="majorHAnsi" w:cstheme="majorHAnsi"/>
          <w:b w:val="0"/>
          <w:sz w:val="16"/>
          <w:szCs w:val="16"/>
        </w:rPr>
        <w:t>i canalizare a satului Brăviceni, r</w:t>
      </w:r>
      <w:r>
        <w:rPr>
          <w:rFonts w:asciiTheme="majorHAnsi" w:hAnsiTheme="majorHAnsi" w:cstheme="majorHAnsi"/>
          <w:b w:val="0"/>
          <w:sz w:val="16"/>
          <w:szCs w:val="16"/>
        </w:rPr>
        <w:t>-nu</w:t>
      </w:r>
      <w:r w:rsidRPr="00C31211">
        <w:rPr>
          <w:rFonts w:asciiTheme="majorHAnsi" w:hAnsiTheme="majorHAnsi" w:cstheme="majorHAnsi"/>
          <w:b w:val="0"/>
          <w:sz w:val="16"/>
          <w:szCs w:val="16"/>
        </w:rPr>
        <w:t>l Orhei”, proiect inițiat în anul 2015.</w:t>
      </w:r>
    </w:p>
  </w:footnote>
  <w:footnote w:id="37">
    <w:p w:rsidR="00510CDB" w:rsidRPr="007275CC" w:rsidRDefault="00510CDB" w:rsidP="005515F8">
      <w:pPr>
        <w:pStyle w:val="a9"/>
        <w:rPr>
          <w:b w:val="0"/>
        </w:rPr>
      </w:pPr>
      <w:r w:rsidRPr="00C31211">
        <w:rPr>
          <w:rStyle w:val="ab"/>
          <w:rFonts w:asciiTheme="majorHAnsi" w:hAnsiTheme="majorHAnsi" w:cstheme="majorHAnsi"/>
          <w:b w:val="0"/>
          <w:sz w:val="16"/>
          <w:szCs w:val="16"/>
        </w:rPr>
        <w:footnoteRef/>
      </w:r>
      <w:r w:rsidRPr="00C31211">
        <w:rPr>
          <w:rFonts w:asciiTheme="majorHAnsi" w:hAnsiTheme="majorHAnsi" w:cstheme="majorHAnsi"/>
          <w:b w:val="0"/>
          <w:sz w:val="16"/>
          <w:szCs w:val="16"/>
        </w:rPr>
        <w:t xml:space="preserve"> Proiectul „Alimentarea cu ap</w:t>
      </w:r>
      <w:r>
        <w:rPr>
          <w:rFonts w:asciiTheme="majorHAnsi" w:hAnsiTheme="majorHAnsi" w:cstheme="majorHAnsi"/>
          <w:b w:val="0"/>
          <w:sz w:val="16"/>
          <w:szCs w:val="16"/>
        </w:rPr>
        <w:t>ă</w:t>
      </w:r>
      <w:r w:rsidRPr="00C31211">
        <w:rPr>
          <w:rFonts w:asciiTheme="majorHAnsi" w:hAnsiTheme="majorHAnsi" w:cstheme="majorHAnsi"/>
          <w:b w:val="0"/>
          <w:sz w:val="16"/>
          <w:szCs w:val="16"/>
        </w:rPr>
        <w:t xml:space="preserve">, evacuarea </w:t>
      </w:r>
      <w:r>
        <w:rPr>
          <w:rFonts w:asciiTheme="majorHAnsi" w:hAnsiTheme="majorHAnsi" w:cstheme="majorHAnsi"/>
          <w:b w:val="0"/>
          <w:sz w:val="16"/>
          <w:szCs w:val="16"/>
        </w:rPr>
        <w:t>ș</w:t>
      </w:r>
      <w:r w:rsidRPr="00C31211">
        <w:rPr>
          <w:rFonts w:asciiTheme="majorHAnsi" w:hAnsiTheme="majorHAnsi" w:cstheme="majorHAnsi"/>
          <w:b w:val="0"/>
          <w:sz w:val="16"/>
          <w:szCs w:val="16"/>
        </w:rPr>
        <w:t>i epurarea apelor uzate a sat. Sângereii Noi, r</w:t>
      </w:r>
      <w:r>
        <w:rPr>
          <w:rFonts w:asciiTheme="majorHAnsi" w:hAnsiTheme="majorHAnsi" w:cstheme="majorHAnsi"/>
          <w:b w:val="0"/>
          <w:sz w:val="16"/>
          <w:szCs w:val="16"/>
        </w:rPr>
        <w:t>-nu</w:t>
      </w:r>
      <w:r w:rsidRPr="00C31211">
        <w:rPr>
          <w:rFonts w:asciiTheme="majorHAnsi" w:hAnsiTheme="majorHAnsi" w:cstheme="majorHAnsi"/>
          <w:b w:val="0"/>
          <w:sz w:val="16"/>
          <w:szCs w:val="16"/>
        </w:rPr>
        <w:t>l Sângerei”, proiect inițiat în anul 2015.</w:t>
      </w:r>
    </w:p>
  </w:footnote>
  <w:footnote w:id="38">
    <w:p w:rsidR="00510CDB" w:rsidRPr="00E4274A" w:rsidRDefault="00510CDB">
      <w:pPr>
        <w:rPr>
          <w:rFonts w:asciiTheme="majorHAnsi" w:hAnsiTheme="majorHAnsi" w:cstheme="majorHAnsi"/>
          <w:b w:val="0"/>
          <w:sz w:val="16"/>
          <w:szCs w:val="16"/>
        </w:rPr>
      </w:pPr>
      <w:r w:rsidRPr="00BC28D6">
        <w:rPr>
          <w:rStyle w:val="ab"/>
          <w:b w:val="0"/>
          <w:sz w:val="16"/>
          <w:szCs w:val="16"/>
        </w:rPr>
        <w:footnoteRef/>
      </w:r>
      <w:r w:rsidRPr="00BC28D6">
        <w:rPr>
          <w:b w:val="0"/>
          <w:sz w:val="16"/>
          <w:szCs w:val="16"/>
        </w:rPr>
        <w:t xml:space="preserve"> </w:t>
      </w:r>
      <w:r w:rsidRPr="00E4274A">
        <w:rPr>
          <w:rFonts w:asciiTheme="majorHAnsi" w:hAnsiTheme="majorHAnsi" w:cstheme="majorHAnsi"/>
          <w:b w:val="0"/>
          <w:sz w:val="16"/>
          <w:szCs w:val="16"/>
        </w:rPr>
        <w:t>Etapă 1 - 6,0 mil. lei, etapă 2 - 15,0 mil. lei, etapă 3 -  4,81 mil. lei, etapă4 -  26,0 mil. lei,  etapă 5  - 16,88 mil. lei.</w:t>
      </w:r>
    </w:p>
  </w:footnote>
  <w:footnote w:id="39">
    <w:p w:rsidR="00510CDB" w:rsidRPr="00BF7900" w:rsidRDefault="00510CDB" w:rsidP="00BF7900">
      <w:pPr>
        <w:pStyle w:val="a9"/>
        <w:jc w:val="both"/>
        <w:rPr>
          <w:rFonts w:asciiTheme="majorHAnsi" w:hAnsiTheme="majorHAnsi" w:cstheme="majorHAnsi"/>
          <w:b w:val="0"/>
          <w:sz w:val="16"/>
          <w:szCs w:val="16"/>
        </w:rPr>
      </w:pPr>
      <w:r w:rsidRPr="00BF7900">
        <w:rPr>
          <w:rStyle w:val="ab"/>
          <w:rFonts w:asciiTheme="majorHAnsi" w:hAnsiTheme="majorHAnsi" w:cstheme="majorHAnsi"/>
          <w:b w:val="0"/>
          <w:sz w:val="16"/>
          <w:szCs w:val="16"/>
        </w:rPr>
        <w:footnoteRef/>
      </w:r>
      <w:r w:rsidRPr="00BF7900">
        <w:rPr>
          <w:rFonts w:asciiTheme="majorHAnsi" w:hAnsiTheme="majorHAnsi" w:cstheme="majorHAnsi"/>
          <w:b w:val="0"/>
          <w:sz w:val="16"/>
          <w:szCs w:val="16"/>
        </w:rPr>
        <w:t xml:space="preserve"> </w:t>
      </w:r>
      <w:r w:rsidRPr="006F57DC">
        <w:rPr>
          <w:rFonts w:asciiTheme="majorHAnsi" w:hAnsiTheme="majorHAnsi" w:cstheme="majorHAnsi"/>
          <w:b w:val="0"/>
          <w:bCs w:val="0"/>
          <w:sz w:val="16"/>
          <w:szCs w:val="16"/>
        </w:rPr>
        <w:t>Construcţia reţelelor de apeduct, canalizare si stația de epurare</w:t>
      </w:r>
      <w:r w:rsidRPr="00BF7900">
        <w:rPr>
          <w:rFonts w:asciiTheme="majorHAnsi" w:hAnsiTheme="majorHAnsi" w:cstheme="majorHAnsi"/>
          <w:b w:val="0"/>
          <w:bCs w:val="0"/>
          <w:sz w:val="16"/>
          <w:szCs w:val="16"/>
        </w:rPr>
        <w:t>, Ceadâr Leova.</w:t>
      </w:r>
    </w:p>
  </w:footnote>
  <w:footnote w:id="40">
    <w:p w:rsidR="00510CDB" w:rsidRPr="006F57DC" w:rsidRDefault="00510CDB" w:rsidP="00BF7900">
      <w:pPr>
        <w:pStyle w:val="a9"/>
        <w:jc w:val="both"/>
        <w:rPr>
          <w:rFonts w:asciiTheme="majorHAnsi" w:hAnsiTheme="majorHAnsi" w:cstheme="majorHAnsi"/>
          <w:b w:val="0"/>
          <w:bCs w:val="0"/>
          <w:lang w:val="en-US"/>
        </w:rPr>
      </w:pPr>
      <w:r w:rsidRPr="006F57DC">
        <w:rPr>
          <w:rStyle w:val="ab"/>
          <w:rFonts w:asciiTheme="majorHAnsi" w:hAnsiTheme="majorHAnsi" w:cstheme="majorHAnsi"/>
          <w:b w:val="0"/>
          <w:bCs w:val="0"/>
          <w:sz w:val="16"/>
          <w:szCs w:val="16"/>
        </w:rPr>
        <w:footnoteRef/>
      </w:r>
      <w:r w:rsidRPr="006F57DC">
        <w:rPr>
          <w:rFonts w:asciiTheme="majorHAnsi" w:hAnsiTheme="majorHAnsi" w:cstheme="majorHAnsi"/>
          <w:b w:val="0"/>
          <w:bCs w:val="0"/>
          <w:sz w:val="16"/>
          <w:szCs w:val="16"/>
          <w:lang w:val="en-US"/>
        </w:rPr>
        <w:t xml:space="preserve"> Art.13 din Legea nr.721-XIII din 02.02.1996 privind calitatea în construcții.</w:t>
      </w:r>
    </w:p>
  </w:footnote>
  <w:footnote w:id="41">
    <w:p w:rsidR="00510CDB" w:rsidRPr="00A76477" w:rsidRDefault="00510CDB">
      <w:pPr>
        <w:pStyle w:val="a9"/>
      </w:pPr>
      <w:r w:rsidRPr="00E4274A">
        <w:rPr>
          <w:rStyle w:val="ab"/>
          <w:rFonts w:asciiTheme="majorHAnsi" w:hAnsiTheme="majorHAnsi" w:cstheme="majorHAnsi"/>
          <w:b w:val="0"/>
          <w:sz w:val="16"/>
          <w:szCs w:val="16"/>
        </w:rPr>
        <w:footnoteRef/>
      </w:r>
      <w:r w:rsidRPr="00E4274A">
        <w:rPr>
          <w:rStyle w:val="ab"/>
          <w:rFonts w:asciiTheme="majorHAnsi" w:hAnsiTheme="majorHAnsi" w:cstheme="majorHAnsi"/>
          <w:sz w:val="16"/>
          <w:szCs w:val="16"/>
        </w:rPr>
        <w:t xml:space="preserve"> </w:t>
      </w:r>
      <w:r w:rsidRPr="00BC28D6">
        <w:rPr>
          <w:rFonts w:asciiTheme="majorHAnsi" w:hAnsiTheme="majorHAnsi" w:cstheme="majorHAnsi"/>
          <w:b w:val="0"/>
          <w:bCs w:val="0"/>
          <w:sz w:val="16"/>
          <w:szCs w:val="16"/>
          <w:lang w:val="en-US"/>
        </w:rPr>
        <w:t>Date cu caracter personal</w:t>
      </w:r>
      <w:r w:rsidRPr="00E4274A">
        <w:rPr>
          <w:rFonts w:asciiTheme="majorHAnsi" w:hAnsiTheme="majorHAnsi" w:cstheme="majorHAnsi"/>
          <w:b w:val="0"/>
          <w:bCs w:val="0"/>
          <w:sz w:val="16"/>
          <w:szCs w:val="16"/>
          <w:lang w:val="en-US"/>
        </w:rPr>
        <w:t>.</w:t>
      </w:r>
    </w:p>
  </w:footnote>
  <w:footnote w:id="42">
    <w:p w:rsidR="00510CDB" w:rsidRPr="00E269FD" w:rsidRDefault="00510CDB" w:rsidP="00756AE7">
      <w:pPr>
        <w:pStyle w:val="a9"/>
        <w:rPr>
          <w:rFonts w:asciiTheme="majorHAnsi" w:hAnsiTheme="majorHAnsi" w:cstheme="majorHAnsi"/>
          <w:b w:val="0"/>
          <w:bCs w:val="0"/>
          <w:sz w:val="16"/>
          <w:szCs w:val="16"/>
        </w:rPr>
      </w:pPr>
      <w:r w:rsidRPr="00E269FD">
        <w:rPr>
          <w:rStyle w:val="ab"/>
          <w:rFonts w:asciiTheme="majorHAnsi" w:hAnsiTheme="majorHAnsi" w:cstheme="majorHAnsi"/>
          <w:b w:val="0"/>
          <w:bCs w:val="0"/>
          <w:sz w:val="16"/>
          <w:szCs w:val="16"/>
        </w:rPr>
        <w:footnoteRef/>
      </w:r>
      <w:r w:rsidRPr="00E269FD">
        <w:rPr>
          <w:rFonts w:asciiTheme="majorHAnsi" w:hAnsiTheme="majorHAnsi" w:cstheme="majorHAnsi"/>
          <w:b w:val="0"/>
          <w:bCs w:val="0"/>
          <w:sz w:val="16"/>
          <w:szCs w:val="16"/>
        </w:rPr>
        <w:t xml:space="preserve"> Calculul: 18/32 = 56,2%.</w:t>
      </w:r>
    </w:p>
  </w:footnote>
  <w:footnote w:id="43">
    <w:p w:rsidR="00510CDB" w:rsidRPr="00E269FD" w:rsidRDefault="00510CDB" w:rsidP="00756AE7">
      <w:pPr>
        <w:pStyle w:val="a9"/>
        <w:rPr>
          <w:rFonts w:asciiTheme="majorHAnsi" w:hAnsiTheme="majorHAnsi" w:cstheme="majorHAnsi"/>
          <w:b w:val="0"/>
          <w:bCs w:val="0"/>
          <w:sz w:val="16"/>
          <w:szCs w:val="16"/>
        </w:rPr>
      </w:pPr>
      <w:r w:rsidRPr="00E269FD">
        <w:rPr>
          <w:rStyle w:val="ab"/>
          <w:rFonts w:asciiTheme="majorHAnsi" w:hAnsiTheme="majorHAnsi" w:cstheme="majorHAnsi"/>
          <w:b w:val="0"/>
          <w:bCs w:val="0"/>
          <w:sz w:val="16"/>
          <w:szCs w:val="16"/>
        </w:rPr>
        <w:footnoteRef/>
      </w:r>
      <w:r w:rsidRPr="00E269FD">
        <w:rPr>
          <w:rFonts w:asciiTheme="majorHAnsi" w:hAnsiTheme="majorHAnsi" w:cstheme="majorHAnsi"/>
          <w:b w:val="0"/>
          <w:bCs w:val="0"/>
          <w:sz w:val="16"/>
          <w:szCs w:val="16"/>
        </w:rPr>
        <w:t xml:space="preserve"> Calculul: (4+1)/32 = 15,6%.</w:t>
      </w:r>
    </w:p>
  </w:footnote>
  <w:footnote w:id="44">
    <w:p w:rsidR="00510CDB" w:rsidRPr="00512054" w:rsidRDefault="00510CDB" w:rsidP="00756AE7">
      <w:pPr>
        <w:pStyle w:val="a9"/>
        <w:rPr>
          <w:sz w:val="16"/>
          <w:szCs w:val="16"/>
        </w:rPr>
      </w:pPr>
      <w:r w:rsidRPr="00E269FD">
        <w:rPr>
          <w:rStyle w:val="ab"/>
          <w:rFonts w:asciiTheme="majorHAnsi" w:hAnsiTheme="majorHAnsi" w:cstheme="majorHAnsi"/>
          <w:b w:val="0"/>
          <w:bCs w:val="0"/>
          <w:sz w:val="16"/>
          <w:szCs w:val="16"/>
        </w:rPr>
        <w:footnoteRef/>
      </w:r>
      <w:r w:rsidRPr="00E269FD">
        <w:rPr>
          <w:rFonts w:asciiTheme="majorHAnsi" w:hAnsiTheme="majorHAnsi" w:cstheme="majorHAnsi"/>
          <w:b w:val="0"/>
          <w:bCs w:val="0"/>
          <w:sz w:val="16"/>
          <w:szCs w:val="16"/>
        </w:rPr>
        <w:t xml:space="preserve"> Calculul: 9/32 = 28,1%.</w:t>
      </w:r>
    </w:p>
  </w:footnote>
  <w:footnote w:id="45">
    <w:p w:rsidR="00510CDB" w:rsidRPr="002958B5" w:rsidRDefault="00510CDB" w:rsidP="00756AE7">
      <w:pPr>
        <w:pStyle w:val="a9"/>
        <w:jc w:val="both"/>
        <w:rPr>
          <w:rFonts w:asciiTheme="majorHAnsi" w:hAnsiTheme="majorHAnsi" w:cstheme="majorHAnsi"/>
          <w:b w:val="0"/>
          <w:sz w:val="16"/>
          <w:szCs w:val="16"/>
        </w:rPr>
      </w:pPr>
      <w:r w:rsidRPr="00DA70D2">
        <w:rPr>
          <w:rStyle w:val="ab"/>
          <w:rFonts w:asciiTheme="majorHAnsi" w:hAnsiTheme="majorHAnsi" w:cstheme="majorHAnsi"/>
          <w:b w:val="0"/>
          <w:sz w:val="16"/>
          <w:szCs w:val="16"/>
        </w:rPr>
        <w:footnoteRef/>
      </w:r>
      <w:r w:rsidRPr="00DA70D2">
        <w:rPr>
          <w:rFonts w:asciiTheme="majorHAnsi" w:hAnsiTheme="majorHAnsi" w:cstheme="majorHAnsi"/>
          <w:sz w:val="16"/>
          <w:szCs w:val="16"/>
        </w:rPr>
        <w:t xml:space="preserve"> </w:t>
      </w:r>
      <w:r w:rsidRPr="002958B5">
        <w:rPr>
          <w:rFonts w:asciiTheme="majorHAnsi" w:hAnsiTheme="majorHAnsi" w:cstheme="majorHAnsi"/>
          <w:b w:val="0"/>
          <w:sz w:val="16"/>
          <w:szCs w:val="16"/>
        </w:rPr>
        <w:t>Aprovizionarea cu apă potabilă și canalizare a locuitorilor satelor Risipeni şi Bocșa și a instituțiilor de menire social-culturală (Fălești) – 11,95 mil.lei; Asigurarea or. Fălești cu apă din r</w:t>
      </w:r>
      <w:r>
        <w:rPr>
          <w:rFonts w:asciiTheme="majorHAnsi" w:hAnsiTheme="majorHAnsi" w:cstheme="majorHAnsi"/>
          <w:b w:val="0"/>
          <w:sz w:val="16"/>
          <w:szCs w:val="16"/>
        </w:rPr>
        <w:t>â</w:t>
      </w:r>
      <w:r w:rsidRPr="002958B5">
        <w:rPr>
          <w:rFonts w:asciiTheme="majorHAnsi" w:hAnsiTheme="majorHAnsi" w:cstheme="majorHAnsi"/>
          <w:b w:val="0"/>
          <w:sz w:val="16"/>
          <w:szCs w:val="16"/>
        </w:rPr>
        <w:t>ul Prut II – 35,14 mil.lei; Aprovizionarea cu apă potabilă și canalizarea localităților din lunca Prutului (Balatina, Cuhnești, r-nul Glodeni) – 37,6 mil.lei</w:t>
      </w:r>
      <w:r>
        <w:rPr>
          <w:rFonts w:asciiTheme="majorHAnsi" w:hAnsiTheme="majorHAnsi" w:cstheme="majorHAnsi"/>
          <w:b w:val="0"/>
          <w:sz w:val="16"/>
          <w:szCs w:val="16"/>
        </w:rPr>
        <w:t>.</w:t>
      </w:r>
    </w:p>
  </w:footnote>
  <w:footnote w:id="46">
    <w:p w:rsidR="00510CDB" w:rsidRPr="002958B5" w:rsidRDefault="00510CDB" w:rsidP="00756AE7">
      <w:pPr>
        <w:pStyle w:val="a9"/>
        <w:jc w:val="both"/>
        <w:rPr>
          <w:b w:val="0"/>
          <w:sz w:val="16"/>
          <w:szCs w:val="16"/>
        </w:rPr>
      </w:pPr>
      <w:r w:rsidRPr="002958B5">
        <w:rPr>
          <w:rFonts w:asciiTheme="majorHAnsi" w:hAnsiTheme="majorHAnsi" w:cstheme="majorHAnsi"/>
          <w:b w:val="0"/>
          <w:sz w:val="16"/>
          <w:szCs w:val="16"/>
          <w:vertAlign w:val="superscript"/>
        </w:rPr>
        <w:footnoteRef/>
      </w:r>
      <w:r w:rsidRPr="002958B5">
        <w:rPr>
          <w:rFonts w:asciiTheme="majorHAnsi" w:hAnsiTheme="majorHAnsi" w:cstheme="majorHAnsi"/>
          <w:b w:val="0"/>
          <w:sz w:val="16"/>
          <w:szCs w:val="16"/>
          <w:vertAlign w:val="superscript"/>
        </w:rPr>
        <w:t xml:space="preserve"> </w:t>
      </w:r>
      <w:r w:rsidRPr="002958B5">
        <w:rPr>
          <w:rFonts w:asciiTheme="majorHAnsi" w:hAnsiTheme="majorHAnsi" w:cstheme="majorHAnsi"/>
          <w:b w:val="0"/>
          <w:sz w:val="16"/>
          <w:szCs w:val="16"/>
        </w:rPr>
        <w:t>Proiectul „Îmbunătățirea calității vieții populației rurale prin construcția sistemelor de apă potabilă și de canalizare, regionalizarea serviciilor comunale în satele din lunca râului Lapușnița, raionul Hâncești”</w:t>
      </w:r>
      <w:r>
        <w:rPr>
          <w:rFonts w:asciiTheme="majorHAnsi" w:hAnsiTheme="majorHAnsi" w:cstheme="majorHAnsi"/>
          <w:b w:val="0"/>
          <w:sz w:val="16"/>
          <w:szCs w:val="16"/>
        </w:rPr>
        <w:t>,</w:t>
      </w:r>
      <w:r w:rsidRPr="002958B5">
        <w:rPr>
          <w:rFonts w:asciiTheme="majorHAnsi" w:hAnsiTheme="majorHAnsi" w:cstheme="majorHAnsi"/>
          <w:b w:val="0"/>
          <w:sz w:val="16"/>
          <w:szCs w:val="16"/>
        </w:rPr>
        <w:t xml:space="preserve"> inițiat în 2014</w:t>
      </w:r>
      <w:r>
        <w:rPr>
          <w:rFonts w:asciiTheme="majorHAnsi" w:hAnsiTheme="majorHAnsi" w:cstheme="majorHAnsi"/>
          <w:b w:val="0"/>
          <w:sz w:val="16"/>
          <w:szCs w:val="16"/>
        </w:rPr>
        <w:t>,</w:t>
      </w:r>
      <w:r w:rsidRPr="002958B5">
        <w:rPr>
          <w:rFonts w:asciiTheme="majorHAnsi" w:hAnsiTheme="majorHAnsi" w:cstheme="majorHAnsi"/>
          <w:b w:val="0"/>
          <w:sz w:val="16"/>
          <w:szCs w:val="16"/>
        </w:rPr>
        <w:t xml:space="preserve"> în valoare </w:t>
      </w:r>
      <w:r>
        <w:rPr>
          <w:rFonts w:asciiTheme="majorHAnsi" w:hAnsiTheme="majorHAnsi" w:cstheme="majorHAnsi"/>
          <w:b w:val="0"/>
          <w:sz w:val="16"/>
          <w:szCs w:val="16"/>
        </w:rPr>
        <w:t xml:space="preserve">de </w:t>
      </w:r>
      <w:r w:rsidRPr="002958B5">
        <w:rPr>
          <w:rFonts w:asciiTheme="majorHAnsi" w:hAnsiTheme="majorHAnsi" w:cstheme="majorHAnsi"/>
          <w:b w:val="0"/>
          <w:sz w:val="16"/>
          <w:szCs w:val="16"/>
        </w:rPr>
        <w:t>20,8 mil.lei.</w:t>
      </w:r>
    </w:p>
  </w:footnote>
  <w:footnote w:id="47">
    <w:p w:rsidR="00510CDB" w:rsidRPr="00900C8C" w:rsidRDefault="00510CDB" w:rsidP="00756AE7">
      <w:pPr>
        <w:pStyle w:val="a9"/>
        <w:jc w:val="both"/>
        <w:rPr>
          <w:rFonts w:asciiTheme="majorHAnsi" w:hAnsiTheme="majorHAnsi" w:cstheme="majorHAnsi"/>
          <w:b w:val="0"/>
          <w:sz w:val="16"/>
          <w:szCs w:val="16"/>
        </w:rPr>
      </w:pPr>
      <w:r w:rsidRPr="00900C8C">
        <w:rPr>
          <w:rStyle w:val="ab"/>
          <w:rFonts w:asciiTheme="majorHAnsi" w:hAnsiTheme="majorHAnsi" w:cstheme="majorHAnsi"/>
          <w:b w:val="0"/>
          <w:sz w:val="16"/>
          <w:szCs w:val="16"/>
        </w:rPr>
        <w:footnoteRef/>
      </w:r>
      <w:r w:rsidRPr="00900C8C">
        <w:rPr>
          <w:rFonts w:asciiTheme="majorHAnsi" w:hAnsiTheme="majorHAnsi" w:cstheme="majorHAnsi"/>
          <w:b w:val="0"/>
          <w:sz w:val="16"/>
          <w:szCs w:val="16"/>
        </w:rPr>
        <w:t xml:space="preserve"> Construcția stației raionale de epurare și dezvoltarea sistemului public de canalizare și epurare a apelor uzate la nivel intercomunitar, 26,03 mil. lei;  Construcţia apeductului magistral Leova – Iargara, 63,99 mil.lei; Aprovizionarea cu apă potabilă şi canalizare a locuitorilor satelor Risipeni şi Bocşa şi a instituţiilor de menire social-culturală, 11,95 mil.lei; Îmbunătăţirea calităţii vieţii populaţiei rurale prin construcţia sistemelor de apă potabilă şi de canalizare, regionalizarea serviciilor comunale în satele din lunca râului Lapuşniţa, raionul Hânceşti, 20,8 mil.lei.</w:t>
      </w:r>
    </w:p>
  </w:footnote>
  <w:footnote w:id="48">
    <w:p w:rsidR="00510CDB" w:rsidRPr="002958B5" w:rsidRDefault="00510CDB" w:rsidP="00756AE7">
      <w:pPr>
        <w:pStyle w:val="a9"/>
        <w:rPr>
          <w:rFonts w:asciiTheme="majorHAnsi" w:hAnsiTheme="majorHAnsi" w:cstheme="majorHAnsi"/>
          <w:b w:val="0"/>
          <w:sz w:val="16"/>
          <w:szCs w:val="16"/>
        </w:rPr>
      </w:pPr>
      <w:r w:rsidRPr="00900C8C">
        <w:rPr>
          <w:rStyle w:val="ab"/>
          <w:rFonts w:asciiTheme="majorHAnsi" w:hAnsiTheme="majorHAnsi" w:cstheme="majorHAnsi"/>
          <w:b w:val="0"/>
          <w:color w:val="000000" w:themeColor="text1"/>
          <w:sz w:val="16"/>
          <w:szCs w:val="16"/>
        </w:rPr>
        <w:footnoteRef/>
      </w:r>
      <w:r w:rsidRPr="00900C8C">
        <w:rPr>
          <w:rFonts w:asciiTheme="majorHAnsi" w:hAnsiTheme="majorHAnsi" w:cstheme="majorHAnsi"/>
          <w:b w:val="0"/>
          <w:color w:val="000000" w:themeColor="text1"/>
          <w:sz w:val="16"/>
          <w:szCs w:val="16"/>
        </w:rPr>
        <w:t xml:space="preserve"> DUP 2013-2015, DUP 2017-2020, DUP 2022-2024.</w:t>
      </w:r>
    </w:p>
  </w:footnote>
  <w:footnote w:id="49">
    <w:p w:rsidR="00510CDB" w:rsidRPr="00B05EB5" w:rsidRDefault="00510CDB" w:rsidP="00756AE7">
      <w:pPr>
        <w:pStyle w:val="a9"/>
        <w:rPr>
          <w:rFonts w:asciiTheme="majorHAnsi" w:hAnsiTheme="majorHAnsi" w:cstheme="majorHAnsi"/>
          <w:b w:val="0"/>
          <w:sz w:val="16"/>
          <w:szCs w:val="16"/>
        </w:rPr>
      </w:pPr>
      <w:r w:rsidRPr="00B05EB5">
        <w:rPr>
          <w:rStyle w:val="ab"/>
          <w:rFonts w:asciiTheme="majorHAnsi" w:hAnsiTheme="majorHAnsi" w:cstheme="majorHAnsi"/>
          <w:b w:val="0"/>
          <w:sz w:val="16"/>
          <w:szCs w:val="16"/>
        </w:rPr>
        <w:footnoteRef/>
      </w:r>
      <w:r w:rsidRPr="00B05EB5">
        <w:rPr>
          <w:rFonts w:asciiTheme="majorHAnsi" w:hAnsiTheme="majorHAnsi" w:cstheme="majorHAnsi"/>
          <w:b w:val="0"/>
          <w:sz w:val="16"/>
          <w:szCs w:val="16"/>
        </w:rPr>
        <w:t xml:space="preserve"> Scrisoarea </w:t>
      </w:r>
      <w:r w:rsidRPr="00C34CC5">
        <w:rPr>
          <w:rFonts w:asciiTheme="majorHAnsi" w:hAnsiTheme="majorHAnsi" w:cstheme="majorHAnsi"/>
          <w:b w:val="0"/>
          <w:sz w:val="16"/>
          <w:szCs w:val="16"/>
        </w:rPr>
        <w:t>„Urbanproiect”</w:t>
      </w:r>
      <w:r>
        <w:rPr>
          <w:rFonts w:asciiTheme="majorHAnsi" w:hAnsiTheme="majorHAnsi" w:cstheme="majorHAnsi"/>
          <w:b w:val="0"/>
          <w:sz w:val="16"/>
          <w:szCs w:val="16"/>
        </w:rPr>
        <w:t xml:space="preserve"> nr. </w:t>
      </w:r>
      <w:r w:rsidRPr="00B05EB5">
        <w:rPr>
          <w:rFonts w:asciiTheme="majorHAnsi" w:hAnsiTheme="majorHAnsi" w:cstheme="majorHAnsi"/>
          <w:b w:val="0"/>
          <w:sz w:val="16"/>
          <w:szCs w:val="16"/>
        </w:rPr>
        <w:t>06-126 din 24.07.2017.</w:t>
      </w:r>
    </w:p>
  </w:footnote>
  <w:footnote w:id="50">
    <w:p w:rsidR="00510CDB" w:rsidRPr="00B05EB5" w:rsidRDefault="00510CDB" w:rsidP="00756AE7">
      <w:pPr>
        <w:pStyle w:val="a9"/>
        <w:rPr>
          <w:b w:val="0"/>
          <w:sz w:val="16"/>
          <w:szCs w:val="16"/>
        </w:rPr>
      </w:pPr>
      <w:r w:rsidRPr="00B05EB5">
        <w:rPr>
          <w:rStyle w:val="ab"/>
          <w:b w:val="0"/>
          <w:sz w:val="16"/>
          <w:szCs w:val="16"/>
        </w:rPr>
        <w:footnoteRef/>
      </w:r>
      <w:r w:rsidRPr="00B05EB5">
        <w:rPr>
          <w:b w:val="0"/>
          <w:sz w:val="16"/>
          <w:szCs w:val="16"/>
        </w:rPr>
        <w:t xml:space="preserve"> Achitarea a avut loc la 19.04.2022.</w:t>
      </w:r>
    </w:p>
  </w:footnote>
  <w:footnote w:id="51">
    <w:p w:rsidR="00510CDB" w:rsidRPr="00ED3D89" w:rsidRDefault="00510CDB" w:rsidP="00756AE7">
      <w:pPr>
        <w:pStyle w:val="a9"/>
        <w:rPr>
          <w:rFonts w:asciiTheme="majorHAnsi" w:hAnsiTheme="majorHAnsi" w:cstheme="majorHAnsi"/>
          <w:b w:val="0"/>
          <w:sz w:val="16"/>
          <w:szCs w:val="16"/>
        </w:rPr>
      </w:pPr>
      <w:r w:rsidRPr="00ED3D89">
        <w:rPr>
          <w:rStyle w:val="ab"/>
          <w:rFonts w:asciiTheme="majorHAnsi" w:hAnsiTheme="majorHAnsi" w:cstheme="majorHAnsi"/>
          <w:b w:val="0"/>
          <w:sz w:val="16"/>
          <w:szCs w:val="16"/>
        </w:rPr>
        <w:footnoteRef/>
      </w:r>
      <w:r w:rsidRPr="00ED3D89">
        <w:rPr>
          <w:rFonts w:asciiTheme="majorHAnsi" w:hAnsiTheme="majorHAnsi" w:cstheme="majorHAnsi"/>
          <w:b w:val="0"/>
          <w:sz w:val="16"/>
          <w:szCs w:val="16"/>
        </w:rPr>
        <w:t xml:space="preserve"> Contractul nr. 38 din 02.08.2022.</w:t>
      </w:r>
    </w:p>
  </w:footnote>
  <w:footnote w:id="52">
    <w:p w:rsidR="00510CDB" w:rsidRPr="00ED3D89" w:rsidRDefault="00510CDB" w:rsidP="00756AE7">
      <w:pPr>
        <w:spacing w:after="0"/>
        <w:jc w:val="both"/>
        <w:rPr>
          <w:rFonts w:asciiTheme="majorHAnsi" w:hAnsiTheme="majorHAnsi" w:cstheme="majorHAnsi"/>
          <w:sz w:val="16"/>
          <w:szCs w:val="16"/>
        </w:rPr>
      </w:pPr>
      <w:r w:rsidRPr="00ED3D89">
        <w:rPr>
          <w:rStyle w:val="ab"/>
          <w:rFonts w:asciiTheme="majorHAnsi" w:hAnsiTheme="majorHAnsi" w:cstheme="majorHAnsi"/>
          <w:b w:val="0"/>
          <w:sz w:val="16"/>
          <w:szCs w:val="16"/>
        </w:rPr>
        <w:footnoteRef/>
      </w:r>
      <w:r w:rsidRPr="00ED3D89">
        <w:rPr>
          <w:rFonts w:asciiTheme="majorHAnsi" w:hAnsiTheme="majorHAnsi" w:cstheme="majorHAnsi"/>
          <w:b w:val="0"/>
          <w:sz w:val="16"/>
          <w:szCs w:val="16"/>
        </w:rPr>
        <w:t xml:space="preserve"> Măcărești (Moldova și România), Tabăra</w:t>
      </w:r>
      <w:r>
        <w:rPr>
          <w:rFonts w:asciiTheme="majorHAnsi" w:hAnsiTheme="majorHAnsi" w:cstheme="majorHAnsi"/>
          <w:b w:val="0"/>
          <w:sz w:val="16"/>
          <w:szCs w:val="16"/>
        </w:rPr>
        <w:t xml:space="preserve"> din R</w:t>
      </w:r>
      <w:r w:rsidRPr="00ED3D89">
        <w:rPr>
          <w:rFonts w:asciiTheme="majorHAnsi" w:hAnsiTheme="majorHAnsi" w:cstheme="majorHAnsi"/>
          <w:b w:val="0"/>
          <w:sz w:val="16"/>
          <w:szCs w:val="16"/>
        </w:rPr>
        <w:t>omânia, Sculeni (Moldova și România), Ungheni (Moldova și România).</w:t>
      </w:r>
    </w:p>
  </w:footnote>
  <w:footnote w:id="53">
    <w:p w:rsidR="00510CDB" w:rsidRPr="00B05EB5" w:rsidRDefault="00510CDB" w:rsidP="00756AE7">
      <w:pPr>
        <w:pStyle w:val="a9"/>
        <w:rPr>
          <w:rFonts w:asciiTheme="majorHAnsi" w:hAnsiTheme="majorHAnsi" w:cstheme="majorHAnsi"/>
          <w:b w:val="0"/>
          <w:sz w:val="16"/>
          <w:szCs w:val="16"/>
        </w:rPr>
      </w:pPr>
      <w:r w:rsidRPr="00B05EB5">
        <w:rPr>
          <w:rStyle w:val="ab"/>
          <w:rFonts w:asciiTheme="majorHAnsi" w:hAnsiTheme="majorHAnsi" w:cstheme="majorHAnsi"/>
          <w:b w:val="0"/>
          <w:sz w:val="16"/>
          <w:szCs w:val="16"/>
        </w:rPr>
        <w:footnoteRef/>
      </w:r>
      <w:r w:rsidRPr="00B05EB5">
        <w:rPr>
          <w:rFonts w:asciiTheme="majorHAnsi" w:hAnsiTheme="majorHAnsi" w:cstheme="majorHAnsi"/>
          <w:b w:val="0"/>
          <w:sz w:val="16"/>
          <w:szCs w:val="16"/>
        </w:rPr>
        <w:t xml:space="preserve"> Semnat la Chișinău la 28 iunie 2010.</w:t>
      </w:r>
    </w:p>
  </w:footnote>
  <w:footnote w:id="54">
    <w:p w:rsidR="00510CDB" w:rsidRPr="00B05EB5" w:rsidRDefault="00510CDB" w:rsidP="00756AE7">
      <w:pPr>
        <w:pStyle w:val="a9"/>
        <w:rPr>
          <w:rFonts w:asciiTheme="majorHAnsi" w:hAnsiTheme="majorHAnsi" w:cstheme="majorHAnsi"/>
          <w:b w:val="0"/>
          <w:sz w:val="16"/>
          <w:szCs w:val="16"/>
        </w:rPr>
      </w:pPr>
      <w:r w:rsidRPr="00B05EB5">
        <w:rPr>
          <w:rStyle w:val="ab"/>
          <w:rFonts w:asciiTheme="majorHAnsi" w:hAnsiTheme="majorHAnsi" w:cstheme="majorHAnsi"/>
          <w:b w:val="0"/>
          <w:sz w:val="16"/>
          <w:szCs w:val="16"/>
        </w:rPr>
        <w:footnoteRef/>
      </w:r>
      <w:r w:rsidRPr="00B05EB5">
        <w:rPr>
          <w:rFonts w:asciiTheme="majorHAnsi" w:hAnsiTheme="majorHAnsi" w:cstheme="majorHAnsi"/>
          <w:b w:val="0"/>
          <w:sz w:val="16"/>
          <w:szCs w:val="16"/>
        </w:rPr>
        <w:t xml:space="preserve"> Proiectul este inclus în Documentul unic de program pentru anii 2022-2024 (H</w:t>
      </w:r>
      <w:r>
        <w:rPr>
          <w:rFonts w:asciiTheme="majorHAnsi" w:hAnsiTheme="majorHAnsi" w:cstheme="majorHAnsi"/>
          <w:b w:val="0"/>
          <w:sz w:val="16"/>
          <w:szCs w:val="16"/>
        </w:rPr>
        <w:t>G</w:t>
      </w:r>
      <w:r w:rsidRPr="00B05EB5">
        <w:rPr>
          <w:rFonts w:asciiTheme="majorHAnsi" w:hAnsiTheme="majorHAnsi" w:cstheme="majorHAnsi"/>
          <w:b w:val="0"/>
          <w:sz w:val="16"/>
          <w:szCs w:val="16"/>
        </w:rPr>
        <w:t xml:space="preserve"> nr.23/2022).</w:t>
      </w:r>
    </w:p>
  </w:footnote>
  <w:footnote w:id="55">
    <w:p w:rsidR="00510CDB" w:rsidRPr="00497211" w:rsidRDefault="00510CDB" w:rsidP="00756AE7">
      <w:pPr>
        <w:pStyle w:val="a9"/>
        <w:jc w:val="both"/>
        <w:rPr>
          <w:rFonts w:asciiTheme="majorHAnsi" w:hAnsiTheme="majorHAnsi" w:cstheme="majorHAnsi"/>
          <w:b w:val="0"/>
          <w:sz w:val="16"/>
          <w:szCs w:val="16"/>
        </w:rPr>
      </w:pPr>
      <w:r w:rsidRPr="00497211">
        <w:rPr>
          <w:rStyle w:val="ab"/>
          <w:rFonts w:asciiTheme="majorHAnsi" w:hAnsiTheme="majorHAnsi" w:cstheme="majorHAnsi"/>
          <w:b w:val="0"/>
          <w:sz w:val="16"/>
          <w:szCs w:val="16"/>
        </w:rPr>
        <w:footnoteRef/>
      </w:r>
      <w:r w:rsidRPr="00497211">
        <w:rPr>
          <w:rFonts w:asciiTheme="majorHAnsi" w:hAnsiTheme="majorHAnsi" w:cstheme="majorHAnsi"/>
          <w:b w:val="0"/>
          <w:sz w:val="16"/>
          <w:szCs w:val="16"/>
        </w:rPr>
        <w:t xml:space="preserve"> Satele: Nicolaeuca Nouă, Vulpești, Mănoilești, Rezina, Unțești, Lidovca, Săghieni, Alexeevca, Cet</w:t>
      </w:r>
      <w:r>
        <w:rPr>
          <w:rFonts w:asciiTheme="majorHAnsi" w:hAnsiTheme="majorHAnsi" w:cstheme="majorHAnsi"/>
          <w:b w:val="0"/>
          <w:sz w:val="16"/>
          <w:szCs w:val="16"/>
        </w:rPr>
        <w:t>i</w:t>
      </w:r>
      <w:r w:rsidRPr="00497211">
        <w:rPr>
          <w:rFonts w:asciiTheme="majorHAnsi" w:hAnsiTheme="majorHAnsi" w:cstheme="majorHAnsi"/>
          <w:b w:val="0"/>
          <w:sz w:val="16"/>
          <w:szCs w:val="16"/>
        </w:rPr>
        <w:t>reni, Florițoaia Nouă, Grozasca, Florițoaia Veche.</w:t>
      </w:r>
    </w:p>
  </w:footnote>
  <w:footnote w:id="56">
    <w:p w:rsidR="00510CDB" w:rsidRPr="00D97D77" w:rsidRDefault="00510CDB">
      <w:pPr>
        <w:pStyle w:val="a9"/>
        <w:rPr>
          <w:rFonts w:asciiTheme="majorHAnsi" w:hAnsiTheme="majorHAnsi" w:cstheme="majorHAnsi"/>
          <w:b w:val="0"/>
          <w:sz w:val="16"/>
          <w:szCs w:val="16"/>
        </w:rPr>
      </w:pPr>
      <w:r w:rsidRPr="00D97D77">
        <w:rPr>
          <w:rStyle w:val="ab"/>
          <w:rFonts w:asciiTheme="majorHAnsi" w:hAnsiTheme="majorHAnsi" w:cstheme="majorHAnsi"/>
          <w:b w:val="0"/>
          <w:sz w:val="16"/>
          <w:szCs w:val="16"/>
        </w:rPr>
        <w:footnoteRef/>
      </w:r>
      <w:r w:rsidRPr="00D97D77">
        <w:rPr>
          <w:rFonts w:asciiTheme="majorHAnsi" w:hAnsiTheme="majorHAnsi" w:cstheme="majorHAnsi"/>
          <w:b w:val="0"/>
          <w:sz w:val="16"/>
          <w:szCs w:val="16"/>
        </w:rPr>
        <w:t xml:space="preserve"> </w:t>
      </w:r>
      <w:r w:rsidRPr="00497211">
        <w:rPr>
          <w:rFonts w:asciiTheme="majorHAnsi" w:hAnsiTheme="majorHAnsi" w:cstheme="majorHAnsi"/>
          <w:b w:val="0"/>
          <w:sz w:val="16"/>
          <w:szCs w:val="16"/>
        </w:rPr>
        <w:t>Comunele Mănoileşti, Alexeevca, Cetireni, Floriţoaia Veche şi Unţeşti</w:t>
      </w:r>
      <w:r>
        <w:rPr>
          <w:rFonts w:asciiTheme="majorHAnsi" w:hAnsiTheme="majorHAnsi" w:cstheme="majorHAnsi"/>
          <w:b w:val="0"/>
          <w:sz w:val="16"/>
          <w:szCs w:val="16"/>
        </w:rPr>
        <w:t>.</w:t>
      </w:r>
    </w:p>
  </w:footnote>
  <w:footnote w:id="57">
    <w:p w:rsidR="00510CDB" w:rsidRPr="00497211" w:rsidRDefault="00510CDB" w:rsidP="00756AE7">
      <w:pPr>
        <w:pStyle w:val="a9"/>
        <w:jc w:val="both"/>
        <w:rPr>
          <w:rFonts w:asciiTheme="majorHAnsi" w:hAnsiTheme="majorHAnsi" w:cstheme="majorHAnsi"/>
        </w:rPr>
      </w:pPr>
      <w:r w:rsidRPr="00497211">
        <w:rPr>
          <w:rStyle w:val="ab"/>
          <w:rFonts w:asciiTheme="majorHAnsi" w:hAnsiTheme="majorHAnsi" w:cstheme="majorHAnsi"/>
          <w:b w:val="0"/>
          <w:sz w:val="16"/>
          <w:szCs w:val="16"/>
        </w:rPr>
        <w:footnoteRef/>
      </w:r>
      <w:r w:rsidRPr="00497211">
        <w:rPr>
          <w:rFonts w:asciiTheme="majorHAnsi" w:hAnsiTheme="majorHAnsi" w:cstheme="majorHAnsi"/>
          <w:b w:val="0"/>
          <w:sz w:val="16"/>
          <w:szCs w:val="16"/>
        </w:rPr>
        <w:t xml:space="preserve"> Pentru perioada 2018</w:t>
      </w:r>
      <w:r>
        <w:rPr>
          <w:rFonts w:asciiTheme="majorHAnsi" w:hAnsiTheme="majorHAnsi" w:cstheme="majorHAnsi"/>
          <w:b w:val="0"/>
          <w:sz w:val="16"/>
          <w:szCs w:val="16"/>
        </w:rPr>
        <w:t xml:space="preserve"> </w:t>
      </w:r>
      <w:r w:rsidRPr="00497211">
        <w:rPr>
          <w:rFonts w:asciiTheme="majorHAnsi" w:hAnsiTheme="majorHAnsi" w:cstheme="majorHAnsi"/>
          <w:b w:val="0"/>
          <w:sz w:val="16"/>
          <w:szCs w:val="16"/>
        </w:rPr>
        <w:t>-</w:t>
      </w:r>
      <w:r>
        <w:rPr>
          <w:rFonts w:asciiTheme="majorHAnsi" w:hAnsiTheme="majorHAnsi" w:cstheme="majorHAnsi"/>
          <w:b w:val="0"/>
          <w:sz w:val="16"/>
          <w:szCs w:val="16"/>
        </w:rPr>
        <w:t xml:space="preserve"> </w:t>
      </w:r>
      <w:r w:rsidRPr="00497211">
        <w:rPr>
          <w:rFonts w:asciiTheme="majorHAnsi" w:hAnsiTheme="majorHAnsi" w:cstheme="majorHAnsi"/>
          <w:b w:val="0"/>
          <w:sz w:val="16"/>
          <w:szCs w:val="16"/>
        </w:rPr>
        <w:t>martie 2019</w:t>
      </w:r>
      <w:r>
        <w:rPr>
          <w:rFonts w:asciiTheme="majorHAnsi" w:hAnsiTheme="majorHAnsi" w:cstheme="majorHAnsi"/>
          <w:b w:val="0"/>
          <w:sz w:val="16"/>
          <w:szCs w:val="16"/>
        </w:rPr>
        <w:t>,</w:t>
      </w:r>
      <w:r w:rsidRPr="00497211">
        <w:rPr>
          <w:rFonts w:asciiTheme="majorHAnsi" w:hAnsiTheme="majorHAnsi" w:cstheme="majorHAnsi"/>
          <w:b w:val="0"/>
          <w:sz w:val="16"/>
          <w:szCs w:val="16"/>
        </w:rPr>
        <w:t xml:space="preserve"> tariful pentru ap</w:t>
      </w:r>
      <w:r>
        <w:rPr>
          <w:rFonts w:asciiTheme="majorHAnsi" w:hAnsiTheme="majorHAnsi" w:cstheme="majorHAnsi"/>
          <w:b w:val="0"/>
          <w:sz w:val="16"/>
          <w:szCs w:val="16"/>
        </w:rPr>
        <w:t>a</w:t>
      </w:r>
      <w:r w:rsidRPr="00497211">
        <w:rPr>
          <w:rFonts w:asciiTheme="majorHAnsi" w:hAnsiTheme="majorHAnsi" w:cstheme="majorHAnsi"/>
          <w:b w:val="0"/>
          <w:sz w:val="16"/>
          <w:szCs w:val="16"/>
        </w:rPr>
        <w:t xml:space="preserve"> tehnică a constituit 15,0 lei/m</w:t>
      </w:r>
      <w:r w:rsidRPr="00497211">
        <w:rPr>
          <w:rFonts w:asciiTheme="majorHAnsi" w:hAnsiTheme="majorHAnsi" w:cstheme="majorHAnsi"/>
          <w:b w:val="0"/>
          <w:sz w:val="16"/>
          <w:szCs w:val="16"/>
          <w:vertAlign w:val="superscript"/>
        </w:rPr>
        <w:t>3</w:t>
      </w:r>
      <w:r w:rsidRPr="00497211">
        <w:rPr>
          <w:rFonts w:asciiTheme="majorHAnsi" w:hAnsiTheme="majorHAnsi" w:cstheme="majorHAnsi"/>
          <w:b w:val="0"/>
          <w:sz w:val="16"/>
          <w:szCs w:val="16"/>
        </w:rPr>
        <w:t>; aprilie 2019</w:t>
      </w:r>
      <w:r>
        <w:rPr>
          <w:rFonts w:asciiTheme="majorHAnsi" w:hAnsiTheme="majorHAnsi" w:cstheme="majorHAnsi"/>
          <w:b w:val="0"/>
          <w:sz w:val="16"/>
          <w:szCs w:val="16"/>
        </w:rPr>
        <w:t xml:space="preserve"> </w:t>
      </w:r>
      <w:r w:rsidRPr="00497211">
        <w:rPr>
          <w:rFonts w:asciiTheme="majorHAnsi" w:hAnsiTheme="majorHAnsi" w:cstheme="majorHAnsi"/>
          <w:b w:val="0"/>
          <w:sz w:val="16"/>
          <w:szCs w:val="16"/>
        </w:rPr>
        <w:t>-</w:t>
      </w:r>
      <w:r>
        <w:rPr>
          <w:rFonts w:asciiTheme="majorHAnsi" w:hAnsiTheme="majorHAnsi" w:cstheme="majorHAnsi"/>
          <w:b w:val="0"/>
          <w:sz w:val="16"/>
          <w:szCs w:val="16"/>
        </w:rPr>
        <w:t xml:space="preserve"> </w:t>
      </w:r>
      <w:r w:rsidRPr="00497211">
        <w:rPr>
          <w:rFonts w:asciiTheme="majorHAnsi" w:hAnsiTheme="majorHAnsi" w:cstheme="majorHAnsi"/>
          <w:b w:val="0"/>
          <w:sz w:val="16"/>
          <w:szCs w:val="16"/>
        </w:rPr>
        <w:t xml:space="preserve">octombrie 2022 </w:t>
      </w:r>
      <w:r>
        <w:rPr>
          <w:rFonts w:asciiTheme="majorHAnsi" w:hAnsiTheme="majorHAnsi" w:cstheme="majorHAnsi"/>
          <w:b w:val="0"/>
          <w:sz w:val="16"/>
          <w:szCs w:val="16"/>
        </w:rPr>
        <w:t>–</w:t>
      </w:r>
      <w:r w:rsidRPr="00497211">
        <w:rPr>
          <w:rFonts w:asciiTheme="majorHAnsi" w:hAnsiTheme="majorHAnsi" w:cstheme="majorHAnsi"/>
          <w:b w:val="0"/>
          <w:sz w:val="16"/>
          <w:szCs w:val="16"/>
        </w:rPr>
        <w:t xml:space="preserve"> 17,0 lei/m</w:t>
      </w:r>
      <w:r w:rsidRPr="00497211">
        <w:rPr>
          <w:rFonts w:asciiTheme="majorHAnsi" w:hAnsiTheme="majorHAnsi" w:cstheme="majorHAnsi"/>
          <w:b w:val="0"/>
          <w:sz w:val="16"/>
          <w:szCs w:val="16"/>
          <w:vertAlign w:val="superscript"/>
        </w:rPr>
        <w:t>3</w:t>
      </w:r>
      <w:r w:rsidRPr="00497211">
        <w:rPr>
          <w:rFonts w:asciiTheme="majorHAnsi" w:hAnsiTheme="majorHAnsi" w:cstheme="majorHAnsi"/>
          <w:b w:val="0"/>
          <w:sz w:val="16"/>
          <w:szCs w:val="16"/>
        </w:rPr>
        <w:t xml:space="preserve">, iar începând cu noiembrie 2022 </w:t>
      </w:r>
      <w:r>
        <w:rPr>
          <w:rFonts w:asciiTheme="majorHAnsi" w:hAnsiTheme="majorHAnsi" w:cstheme="majorHAnsi"/>
          <w:b w:val="0"/>
          <w:sz w:val="16"/>
          <w:szCs w:val="16"/>
        </w:rPr>
        <w:t>–</w:t>
      </w:r>
      <w:r w:rsidRPr="00497211">
        <w:rPr>
          <w:rFonts w:asciiTheme="majorHAnsi" w:hAnsiTheme="majorHAnsi" w:cstheme="majorHAnsi"/>
          <w:b w:val="0"/>
          <w:sz w:val="16"/>
          <w:szCs w:val="16"/>
        </w:rPr>
        <w:t xml:space="preserve"> 27,0 lei/m</w:t>
      </w:r>
      <w:r w:rsidRPr="00497211">
        <w:rPr>
          <w:rFonts w:asciiTheme="majorHAnsi" w:hAnsiTheme="majorHAnsi" w:cstheme="majorHAnsi"/>
          <w:b w:val="0"/>
          <w:sz w:val="16"/>
          <w:szCs w:val="16"/>
          <w:vertAlign w:val="superscript"/>
        </w:rPr>
        <w:t>3</w:t>
      </w:r>
      <w:r w:rsidRPr="00497211">
        <w:rPr>
          <w:rFonts w:asciiTheme="majorHAnsi" w:hAnsiTheme="majorHAnsi" w:cstheme="majorHAnsi"/>
          <w:b w:val="0"/>
          <w:sz w:val="16"/>
          <w:szCs w:val="16"/>
        </w:rPr>
        <w:t>.</w:t>
      </w:r>
    </w:p>
  </w:footnote>
  <w:footnote w:id="58">
    <w:p w:rsidR="00510CDB" w:rsidRPr="00B05EB5" w:rsidRDefault="00510CDB" w:rsidP="00756AE7">
      <w:pPr>
        <w:pStyle w:val="a9"/>
        <w:rPr>
          <w:rFonts w:asciiTheme="majorHAnsi" w:hAnsiTheme="majorHAnsi" w:cstheme="majorHAnsi"/>
          <w:b w:val="0"/>
          <w:sz w:val="16"/>
          <w:szCs w:val="16"/>
        </w:rPr>
      </w:pPr>
      <w:r w:rsidRPr="00B05EB5">
        <w:rPr>
          <w:rStyle w:val="ab"/>
          <w:rFonts w:asciiTheme="majorHAnsi" w:hAnsiTheme="majorHAnsi" w:cstheme="majorHAnsi"/>
          <w:b w:val="0"/>
          <w:sz w:val="16"/>
          <w:szCs w:val="16"/>
        </w:rPr>
        <w:footnoteRef/>
      </w:r>
      <w:r w:rsidRPr="00B05EB5">
        <w:rPr>
          <w:rFonts w:asciiTheme="majorHAnsi" w:hAnsiTheme="majorHAnsi" w:cstheme="majorHAnsi"/>
          <w:b w:val="0"/>
          <w:sz w:val="16"/>
          <w:szCs w:val="16"/>
        </w:rPr>
        <w:t xml:space="preserve"> Dintre care 0,35 mil. </w:t>
      </w:r>
      <w:r>
        <w:rPr>
          <w:rFonts w:asciiTheme="majorHAnsi" w:hAnsiTheme="majorHAnsi" w:cstheme="majorHAnsi"/>
          <w:b w:val="0"/>
          <w:sz w:val="16"/>
          <w:szCs w:val="16"/>
        </w:rPr>
        <w:t>euro</w:t>
      </w:r>
      <w:r w:rsidRPr="00B05EB5">
        <w:rPr>
          <w:rFonts w:asciiTheme="majorHAnsi" w:hAnsiTheme="majorHAnsi" w:cstheme="majorHAnsi"/>
          <w:b w:val="0"/>
          <w:sz w:val="16"/>
          <w:szCs w:val="16"/>
        </w:rPr>
        <w:t xml:space="preserve"> în anul 2021 şi 0,52 mil. </w:t>
      </w:r>
      <w:r>
        <w:rPr>
          <w:rFonts w:asciiTheme="majorHAnsi" w:hAnsiTheme="majorHAnsi" w:cstheme="majorHAnsi"/>
          <w:b w:val="0"/>
          <w:sz w:val="16"/>
          <w:szCs w:val="16"/>
        </w:rPr>
        <w:t>euro</w:t>
      </w:r>
      <w:r w:rsidRPr="00B05EB5">
        <w:rPr>
          <w:rFonts w:asciiTheme="majorHAnsi" w:hAnsiTheme="majorHAnsi" w:cstheme="majorHAnsi"/>
          <w:b w:val="0"/>
          <w:sz w:val="16"/>
          <w:szCs w:val="16"/>
        </w:rPr>
        <w:t xml:space="preserve"> în anul 2022.</w:t>
      </w:r>
    </w:p>
  </w:footnote>
  <w:footnote w:id="59">
    <w:p w:rsidR="00510CDB" w:rsidRPr="00456453" w:rsidRDefault="00510CDB" w:rsidP="00756AE7">
      <w:pPr>
        <w:pStyle w:val="a9"/>
        <w:jc w:val="both"/>
        <w:rPr>
          <w:rFonts w:asciiTheme="majorHAnsi" w:hAnsiTheme="majorHAnsi" w:cstheme="majorHAnsi"/>
          <w:sz w:val="16"/>
          <w:szCs w:val="16"/>
        </w:rPr>
      </w:pPr>
      <w:r w:rsidRPr="00B05EB5">
        <w:rPr>
          <w:rStyle w:val="ab"/>
          <w:rFonts w:asciiTheme="majorHAnsi" w:hAnsiTheme="majorHAnsi" w:cstheme="majorHAnsi"/>
          <w:b w:val="0"/>
          <w:sz w:val="16"/>
          <w:szCs w:val="16"/>
        </w:rPr>
        <w:footnoteRef/>
      </w:r>
      <w:r w:rsidRPr="00B05EB5">
        <w:rPr>
          <w:rFonts w:asciiTheme="majorHAnsi" w:hAnsiTheme="majorHAnsi" w:cstheme="majorHAnsi"/>
          <w:b w:val="0"/>
          <w:sz w:val="16"/>
          <w:szCs w:val="16"/>
        </w:rPr>
        <w:t xml:space="preserve"> Demersul MIDR către APP nr. 06-04-7836 din 16.12.2022</w:t>
      </w:r>
      <w:r>
        <w:rPr>
          <w:rFonts w:asciiTheme="majorHAnsi" w:hAnsiTheme="majorHAnsi" w:cstheme="majorHAnsi"/>
          <w:b w:val="0"/>
          <w:sz w:val="16"/>
          <w:szCs w:val="16"/>
        </w:rPr>
        <w:t>.</w:t>
      </w:r>
    </w:p>
  </w:footnote>
  <w:footnote w:id="60">
    <w:p w:rsidR="00510CDB" w:rsidRPr="00466160" w:rsidRDefault="00510CDB" w:rsidP="00756AE7">
      <w:pPr>
        <w:pStyle w:val="a9"/>
        <w:rPr>
          <w:rFonts w:asciiTheme="majorHAnsi" w:hAnsiTheme="majorHAnsi" w:cstheme="majorHAnsi"/>
          <w:b w:val="0"/>
          <w:sz w:val="16"/>
          <w:szCs w:val="16"/>
        </w:rPr>
      </w:pPr>
      <w:r w:rsidRPr="00466160">
        <w:rPr>
          <w:rStyle w:val="ab"/>
          <w:rFonts w:asciiTheme="majorHAnsi" w:hAnsiTheme="majorHAnsi" w:cstheme="majorHAnsi"/>
          <w:b w:val="0"/>
          <w:sz w:val="16"/>
          <w:szCs w:val="16"/>
        </w:rPr>
        <w:footnoteRef/>
      </w:r>
      <w:r w:rsidRPr="00466160">
        <w:rPr>
          <w:rFonts w:asciiTheme="majorHAnsi" w:hAnsiTheme="majorHAnsi" w:cstheme="majorHAnsi"/>
          <w:b w:val="0"/>
          <w:sz w:val="16"/>
          <w:szCs w:val="16"/>
        </w:rPr>
        <w:t xml:space="preserve"> Care a intrat în vigoare odată cu publicare</w:t>
      </w:r>
      <w:r>
        <w:rPr>
          <w:rFonts w:asciiTheme="majorHAnsi" w:hAnsiTheme="majorHAnsi" w:cstheme="majorHAnsi"/>
          <w:b w:val="0"/>
          <w:sz w:val="16"/>
          <w:szCs w:val="16"/>
        </w:rPr>
        <w:t>a</w:t>
      </w:r>
      <w:r w:rsidRPr="00466160">
        <w:rPr>
          <w:rFonts w:asciiTheme="majorHAnsi" w:hAnsiTheme="majorHAnsi" w:cstheme="majorHAnsi"/>
          <w:b w:val="0"/>
          <w:sz w:val="16"/>
          <w:szCs w:val="16"/>
        </w:rPr>
        <w:t xml:space="preserve"> în Monitorul Oficial</w:t>
      </w:r>
      <w:r>
        <w:rPr>
          <w:rFonts w:asciiTheme="majorHAnsi" w:hAnsiTheme="majorHAnsi" w:cstheme="majorHAnsi"/>
          <w:b w:val="0"/>
          <w:sz w:val="16"/>
          <w:szCs w:val="16"/>
        </w:rPr>
        <w:t xml:space="preserve"> al Republicii Moldova</w:t>
      </w:r>
      <w:r w:rsidRPr="00466160">
        <w:rPr>
          <w:rFonts w:asciiTheme="majorHAnsi" w:hAnsiTheme="majorHAnsi" w:cstheme="majorHAnsi"/>
          <w:b w:val="0"/>
          <w:sz w:val="16"/>
          <w:szCs w:val="16"/>
        </w:rPr>
        <w:t xml:space="preserve"> la 15.11.2022.</w:t>
      </w:r>
    </w:p>
  </w:footnote>
  <w:footnote w:id="61">
    <w:p w:rsidR="00510CDB" w:rsidRPr="00466160" w:rsidRDefault="00510CDB" w:rsidP="00756AE7">
      <w:pPr>
        <w:pStyle w:val="a9"/>
        <w:jc w:val="both"/>
        <w:rPr>
          <w:rFonts w:asciiTheme="majorHAnsi" w:hAnsiTheme="majorHAnsi" w:cstheme="majorHAnsi"/>
          <w:b w:val="0"/>
          <w:bCs w:val="0"/>
          <w:sz w:val="16"/>
          <w:szCs w:val="16"/>
        </w:rPr>
      </w:pPr>
      <w:r w:rsidRPr="00466160">
        <w:rPr>
          <w:rStyle w:val="ab"/>
          <w:rFonts w:cstheme="majorHAnsi"/>
          <w:b w:val="0"/>
          <w:bCs w:val="0"/>
          <w:sz w:val="16"/>
          <w:szCs w:val="16"/>
        </w:rPr>
        <w:footnoteRef/>
      </w:r>
      <w:r w:rsidRPr="00466160">
        <w:rPr>
          <w:rFonts w:asciiTheme="majorHAnsi" w:hAnsiTheme="majorHAnsi" w:cstheme="majorHAnsi"/>
          <w:b w:val="0"/>
          <w:bCs w:val="0"/>
          <w:sz w:val="16"/>
          <w:szCs w:val="16"/>
        </w:rPr>
        <w:t xml:space="preserve"> Ordinul ONDRL nr. 4 din 16.05.2022 </w:t>
      </w:r>
      <w:r>
        <w:rPr>
          <w:rFonts w:asciiTheme="majorHAnsi" w:hAnsiTheme="majorHAnsi" w:cstheme="majorHAnsi"/>
          <w:b w:val="0"/>
          <w:bCs w:val="0"/>
          <w:sz w:val="16"/>
          <w:szCs w:val="16"/>
        </w:rPr>
        <w:t>„C</w:t>
      </w:r>
      <w:r w:rsidRPr="00466160">
        <w:rPr>
          <w:rFonts w:asciiTheme="majorHAnsi" w:hAnsiTheme="majorHAnsi" w:cstheme="majorHAnsi"/>
          <w:b w:val="0"/>
          <w:bCs w:val="0"/>
          <w:sz w:val="16"/>
          <w:szCs w:val="16"/>
        </w:rPr>
        <w:t>u privire la crearea Comisiei de evaluare tehnică a cererilor de finanțare depuse la concursul de selectare a proiectelor de dezvoltare locală</w:t>
      </w:r>
      <w:r>
        <w:rPr>
          <w:rFonts w:asciiTheme="majorHAnsi" w:hAnsiTheme="majorHAnsi" w:cstheme="majorHAnsi"/>
          <w:b w:val="0"/>
          <w:bCs w:val="0"/>
          <w:sz w:val="16"/>
          <w:szCs w:val="16"/>
        </w:rPr>
        <w:t>”</w:t>
      </w:r>
      <w:r w:rsidRPr="00466160">
        <w:rPr>
          <w:rFonts w:asciiTheme="majorHAnsi" w:hAnsiTheme="majorHAnsi" w:cstheme="majorHAnsi"/>
          <w:b w:val="0"/>
          <w:bCs w:val="0"/>
          <w:sz w:val="16"/>
          <w:szCs w:val="16"/>
        </w:rPr>
        <w:t>.</w:t>
      </w:r>
    </w:p>
  </w:footnote>
  <w:footnote w:id="62">
    <w:p w:rsidR="00510CDB" w:rsidRPr="00466160" w:rsidRDefault="00510CDB" w:rsidP="00756AE7">
      <w:pPr>
        <w:pStyle w:val="a9"/>
        <w:jc w:val="both"/>
        <w:rPr>
          <w:rFonts w:asciiTheme="majorHAnsi" w:hAnsiTheme="majorHAnsi" w:cstheme="majorHAnsi"/>
          <w:b w:val="0"/>
          <w:bCs w:val="0"/>
          <w:sz w:val="16"/>
          <w:szCs w:val="16"/>
        </w:rPr>
      </w:pPr>
      <w:r w:rsidRPr="00466160">
        <w:rPr>
          <w:rStyle w:val="ab"/>
          <w:b w:val="0"/>
          <w:bCs w:val="0"/>
          <w:sz w:val="16"/>
          <w:szCs w:val="16"/>
        </w:rPr>
        <w:footnoteRef/>
      </w:r>
      <w:r w:rsidRPr="00466160">
        <w:rPr>
          <w:b w:val="0"/>
          <w:bCs w:val="0"/>
          <w:sz w:val="16"/>
          <w:szCs w:val="16"/>
          <w:lang w:val="en-US"/>
        </w:rPr>
        <w:t xml:space="preserve"> </w:t>
      </w:r>
      <w:r w:rsidRPr="00466160">
        <w:rPr>
          <w:rFonts w:asciiTheme="majorHAnsi" w:hAnsiTheme="majorHAnsi" w:cstheme="majorHAnsi"/>
          <w:b w:val="0"/>
          <w:bCs w:val="0"/>
          <w:sz w:val="16"/>
          <w:szCs w:val="16"/>
        </w:rPr>
        <w:t xml:space="preserve">HG nr.912/2022 </w:t>
      </w:r>
      <w:r>
        <w:rPr>
          <w:rFonts w:asciiTheme="majorHAnsi" w:hAnsiTheme="majorHAnsi" w:cstheme="majorHAnsi"/>
          <w:b w:val="0"/>
          <w:bCs w:val="0"/>
          <w:sz w:val="16"/>
          <w:szCs w:val="16"/>
        </w:rPr>
        <w:t>„P</w:t>
      </w:r>
      <w:r w:rsidRPr="00466160">
        <w:rPr>
          <w:rFonts w:asciiTheme="majorHAnsi" w:hAnsiTheme="majorHAnsi" w:cstheme="majorHAnsi"/>
          <w:b w:val="0"/>
          <w:bCs w:val="0"/>
          <w:sz w:val="16"/>
          <w:szCs w:val="16"/>
        </w:rPr>
        <w:t>entru modificarea anexei nr.2 la Documentul unic de program pentru anii 2022-2024, aprobat prin Hotărârea Guvernului nr. 23/2022</w:t>
      </w:r>
      <w:r>
        <w:rPr>
          <w:rFonts w:asciiTheme="majorHAnsi" w:hAnsiTheme="majorHAnsi" w:cstheme="majorHAnsi"/>
          <w:b w:val="0"/>
          <w:bCs w:val="0"/>
          <w:sz w:val="16"/>
          <w:szCs w:val="16"/>
        </w:rPr>
        <w:t>”</w:t>
      </w:r>
      <w:r w:rsidRPr="00466160">
        <w:rPr>
          <w:rFonts w:asciiTheme="majorHAnsi" w:hAnsiTheme="majorHAnsi" w:cstheme="majorHAnsi"/>
          <w:b w:val="0"/>
          <w:bCs w:val="0"/>
          <w:sz w:val="16"/>
          <w:szCs w:val="16"/>
        </w:rPr>
        <w:t>.</w:t>
      </w:r>
    </w:p>
  </w:footnote>
  <w:footnote w:id="63">
    <w:p w:rsidR="00510CDB" w:rsidRPr="001902D3" w:rsidRDefault="00510CDB" w:rsidP="00756AE7">
      <w:pPr>
        <w:pStyle w:val="a9"/>
        <w:jc w:val="both"/>
        <w:rPr>
          <w:rFonts w:asciiTheme="majorHAnsi" w:hAnsiTheme="majorHAnsi" w:cstheme="majorHAnsi"/>
          <w:sz w:val="16"/>
          <w:szCs w:val="16"/>
        </w:rPr>
      </w:pPr>
      <w:r w:rsidRPr="00D97D77">
        <w:rPr>
          <w:rStyle w:val="ab"/>
          <w:rFonts w:asciiTheme="majorHAnsi" w:hAnsiTheme="majorHAnsi" w:cstheme="majorHAnsi"/>
          <w:b w:val="0"/>
          <w:bCs w:val="0"/>
          <w:sz w:val="16"/>
          <w:szCs w:val="16"/>
        </w:rPr>
        <w:footnoteRef/>
      </w:r>
      <w:r w:rsidRPr="001902D3">
        <w:rPr>
          <w:rFonts w:asciiTheme="majorHAnsi" w:hAnsiTheme="majorHAnsi" w:cstheme="majorHAnsi"/>
          <w:b w:val="0"/>
          <w:bCs w:val="0"/>
          <w:sz w:val="16"/>
          <w:szCs w:val="16"/>
        </w:rPr>
        <w:t xml:space="preserve"> Decizia CNCDRL nr.02/23 din 24.01.2022 </w:t>
      </w:r>
      <w:r>
        <w:rPr>
          <w:rFonts w:asciiTheme="majorHAnsi" w:hAnsiTheme="majorHAnsi" w:cstheme="majorHAnsi"/>
          <w:b w:val="0"/>
          <w:bCs w:val="0"/>
          <w:sz w:val="16"/>
          <w:szCs w:val="16"/>
        </w:rPr>
        <w:t>„</w:t>
      </w:r>
      <w:r w:rsidRPr="001902D3">
        <w:rPr>
          <w:rFonts w:asciiTheme="majorHAnsi" w:hAnsiTheme="majorHAnsi" w:cstheme="majorHAnsi"/>
          <w:b w:val="0"/>
          <w:bCs w:val="0"/>
          <w:sz w:val="16"/>
          <w:szCs w:val="16"/>
        </w:rPr>
        <w:t>Cu privire la aprobarea Planului anual de finanțare din mijloacele financiare ale Fondului Național pentru Dezvoltare Regională și Locală pentru anul 2023</w:t>
      </w:r>
      <w:r>
        <w:rPr>
          <w:rFonts w:asciiTheme="majorHAnsi" w:hAnsiTheme="majorHAnsi" w:cstheme="majorHAnsi"/>
          <w:b w:val="0"/>
          <w:bCs w:val="0"/>
          <w:sz w:val="16"/>
          <w:szCs w:val="16"/>
        </w:rPr>
        <w:t>”</w:t>
      </w:r>
      <w:r w:rsidRPr="001902D3">
        <w:rPr>
          <w:rFonts w:asciiTheme="majorHAnsi" w:hAnsiTheme="majorHAnsi" w:cstheme="majorHAnsi"/>
          <w:b w:val="0"/>
          <w:bCs w:val="0"/>
          <w:sz w:val="16"/>
          <w:szCs w:val="16"/>
        </w:rPr>
        <w:t>.</w:t>
      </w:r>
    </w:p>
  </w:footnote>
  <w:footnote w:id="64">
    <w:p w:rsidR="00510CDB" w:rsidRPr="001902D3" w:rsidRDefault="00510CDB" w:rsidP="00756AE7">
      <w:pPr>
        <w:pStyle w:val="a9"/>
        <w:jc w:val="both"/>
        <w:rPr>
          <w:rFonts w:asciiTheme="majorHAnsi" w:hAnsiTheme="majorHAnsi" w:cstheme="majorHAnsi"/>
          <w:b w:val="0"/>
          <w:bCs w:val="0"/>
          <w:sz w:val="16"/>
          <w:szCs w:val="16"/>
        </w:rPr>
      </w:pPr>
      <w:r w:rsidRPr="00D97D77">
        <w:rPr>
          <w:rStyle w:val="ab"/>
          <w:rFonts w:asciiTheme="majorHAnsi" w:hAnsiTheme="majorHAnsi" w:cstheme="majorHAnsi"/>
          <w:b w:val="0"/>
          <w:bCs w:val="0"/>
          <w:sz w:val="16"/>
          <w:szCs w:val="16"/>
        </w:rPr>
        <w:footnoteRef/>
      </w:r>
      <w:r w:rsidRPr="001902D3">
        <w:rPr>
          <w:rFonts w:asciiTheme="majorHAnsi" w:hAnsiTheme="majorHAnsi" w:cstheme="majorHAnsi"/>
          <w:b w:val="0"/>
          <w:bCs w:val="0"/>
          <w:sz w:val="16"/>
          <w:szCs w:val="16"/>
        </w:rPr>
        <w:t xml:space="preserve"> Dintre care 15 proiecte preluate din FEN, proiecte care au etape active, fiind continuată finanțarea din mijloacele FEN pe parcursul anului 2022 şi 3 proiecte preluate din FNDAMR.</w:t>
      </w:r>
    </w:p>
  </w:footnote>
  <w:footnote w:id="65">
    <w:p w:rsidR="00510CDB" w:rsidRPr="002E3C9A" w:rsidRDefault="00510CDB" w:rsidP="00756AE7">
      <w:pPr>
        <w:pStyle w:val="a9"/>
        <w:jc w:val="both"/>
        <w:rPr>
          <w:rFonts w:asciiTheme="majorHAnsi" w:hAnsiTheme="majorHAnsi"/>
          <w:b w:val="0"/>
          <w:bCs w:val="0"/>
          <w:sz w:val="16"/>
          <w:szCs w:val="16"/>
          <w:lang w:val="en-US"/>
        </w:rPr>
      </w:pPr>
      <w:r w:rsidRPr="002E3C9A">
        <w:rPr>
          <w:rStyle w:val="ab"/>
          <w:b w:val="0"/>
          <w:bCs w:val="0"/>
          <w:sz w:val="16"/>
          <w:szCs w:val="16"/>
        </w:rPr>
        <w:footnoteRef/>
      </w:r>
      <w:r w:rsidRPr="002E3C9A">
        <w:rPr>
          <w:rFonts w:asciiTheme="majorHAnsi" w:hAnsiTheme="majorHAnsi"/>
          <w:b w:val="0"/>
          <w:bCs w:val="0"/>
          <w:sz w:val="16"/>
          <w:szCs w:val="16"/>
        </w:rPr>
        <w:t xml:space="preserve"> Manualul operațional include compartimente, precum: 1) proceduri de administrare; 2) atribuții, drepturi și responsabilități ale angajaților; 3) proceduri de încadrare în câmpul muncii; 4) proceduri de lucru și de executare a sarcinilor; 5) proceduri de prezentare a rapoartelor și de comunicări interne; 6) reglementări și documente privind cheltuielile (călătoriile, diurnele etc.); 7) reguli, operațiuni și proceduri financiare și contabile; 8) reguli privind bugetul Oficiului, formarea și valorificarea acestuia; 9) reglementări privind publicitatea și transparența în activitatea Oficiului; 10) reglementări privind confidențialitatea și conflictul de interese; 11) reglementări privind documentația și arhiva Oficiului.</w:t>
      </w:r>
    </w:p>
  </w:footnote>
  <w:footnote w:id="66">
    <w:p w:rsidR="00510CDB" w:rsidRPr="00770FD5" w:rsidRDefault="00510CDB" w:rsidP="00AA6F31">
      <w:pPr>
        <w:pStyle w:val="a9"/>
        <w:jc w:val="both"/>
        <w:rPr>
          <w:rFonts w:asciiTheme="majorHAnsi" w:hAnsiTheme="majorHAnsi" w:cstheme="majorHAnsi"/>
          <w:b w:val="0"/>
          <w:sz w:val="16"/>
          <w:szCs w:val="16"/>
        </w:rPr>
      </w:pPr>
      <w:r w:rsidRPr="00770FD5">
        <w:rPr>
          <w:rStyle w:val="ab"/>
          <w:rFonts w:cstheme="majorHAnsi"/>
          <w:b w:val="0"/>
          <w:sz w:val="16"/>
          <w:szCs w:val="16"/>
        </w:rPr>
        <w:footnoteRef/>
      </w:r>
      <w:r w:rsidRPr="00770FD5">
        <w:rPr>
          <w:rFonts w:asciiTheme="majorHAnsi" w:hAnsiTheme="majorHAnsi" w:cstheme="majorHAnsi"/>
          <w:b w:val="0"/>
          <w:sz w:val="16"/>
          <w:szCs w:val="16"/>
        </w:rPr>
        <w:t xml:space="preserve"> Au fost declarate neeligibile 2 proiecte în valoare de 4,3 mil</w:t>
      </w:r>
      <w:r>
        <w:rPr>
          <w:rFonts w:asciiTheme="majorHAnsi" w:hAnsiTheme="majorHAnsi" w:cstheme="majorHAnsi"/>
          <w:b w:val="0"/>
          <w:sz w:val="16"/>
          <w:szCs w:val="16"/>
        </w:rPr>
        <w:t>.</w:t>
      </w:r>
      <w:r w:rsidRPr="00770FD5">
        <w:rPr>
          <w:rFonts w:asciiTheme="majorHAnsi" w:hAnsiTheme="majorHAnsi" w:cstheme="majorHAnsi"/>
          <w:b w:val="0"/>
          <w:sz w:val="16"/>
          <w:szCs w:val="16"/>
        </w:rPr>
        <w:t>lei pentru neprezentarea în termen a documentelor confirmative privind capacitatea de cofinanțare, precum și un proiect în valoare de 3,0 mil</w:t>
      </w:r>
      <w:r>
        <w:rPr>
          <w:rFonts w:asciiTheme="majorHAnsi" w:hAnsiTheme="majorHAnsi" w:cstheme="majorHAnsi"/>
          <w:b w:val="0"/>
          <w:sz w:val="16"/>
          <w:szCs w:val="16"/>
        </w:rPr>
        <w:t>.</w:t>
      </w:r>
      <w:r w:rsidRPr="00770FD5">
        <w:rPr>
          <w:rFonts w:asciiTheme="majorHAnsi" w:hAnsiTheme="majorHAnsi" w:cstheme="majorHAnsi"/>
          <w:b w:val="0"/>
          <w:sz w:val="16"/>
          <w:szCs w:val="16"/>
        </w:rPr>
        <w:t>lei a fost retras de către solicitant.</w:t>
      </w:r>
    </w:p>
  </w:footnote>
  <w:footnote w:id="67">
    <w:p w:rsidR="00510CDB" w:rsidRPr="00770FD5" w:rsidRDefault="00510CDB" w:rsidP="00AA6F31">
      <w:pPr>
        <w:pStyle w:val="a9"/>
        <w:rPr>
          <w:rFonts w:asciiTheme="majorHAnsi" w:hAnsiTheme="majorHAnsi" w:cstheme="majorHAnsi"/>
          <w:b w:val="0"/>
          <w:sz w:val="16"/>
          <w:szCs w:val="16"/>
        </w:rPr>
      </w:pPr>
      <w:r w:rsidRPr="00770FD5">
        <w:rPr>
          <w:rStyle w:val="ab"/>
          <w:rFonts w:cstheme="majorHAnsi"/>
          <w:b w:val="0"/>
          <w:sz w:val="16"/>
          <w:szCs w:val="16"/>
        </w:rPr>
        <w:footnoteRef/>
      </w:r>
      <w:r w:rsidRPr="00770FD5">
        <w:rPr>
          <w:rFonts w:asciiTheme="majorHAnsi" w:hAnsiTheme="majorHAnsi" w:cstheme="majorHAnsi"/>
          <w:b w:val="0"/>
          <w:sz w:val="16"/>
          <w:szCs w:val="16"/>
        </w:rPr>
        <w:t xml:space="preserve"> PA1_APL/2208RZ0065 Primăria s. Mateuți</w:t>
      </w:r>
      <w:r>
        <w:rPr>
          <w:rFonts w:asciiTheme="majorHAnsi" w:hAnsiTheme="majorHAnsi" w:cstheme="majorHAnsi"/>
          <w:b w:val="0"/>
          <w:sz w:val="16"/>
          <w:szCs w:val="16"/>
        </w:rPr>
        <w:t>,</w:t>
      </w:r>
      <w:r w:rsidRPr="00770FD5">
        <w:rPr>
          <w:rFonts w:asciiTheme="majorHAnsi" w:hAnsiTheme="majorHAnsi" w:cstheme="majorHAnsi"/>
          <w:b w:val="0"/>
          <w:sz w:val="16"/>
          <w:szCs w:val="16"/>
        </w:rPr>
        <w:t xml:space="preserve"> r-</w:t>
      </w:r>
      <w:r>
        <w:rPr>
          <w:rFonts w:asciiTheme="majorHAnsi" w:hAnsiTheme="majorHAnsi" w:cstheme="majorHAnsi"/>
          <w:b w:val="0"/>
          <w:sz w:val="16"/>
          <w:szCs w:val="16"/>
        </w:rPr>
        <w:t>n</w:t>
      </w:r>
      <w:r w:rsidRPr="00770FD5">
        <w:rPr>
          <w:rFonts w:asciiTheme="majorHAnsi" w:hAnsiTheme="majorHAnsi" w:cstheme="majorHAnsi"/>
          <w:b w:val="0"/>
          <w:sz w:val="16"/>
          <w:szCs w:val="16"/>
        </w:rPr>
        <w:t>ul Rezina; PA1_APL/2208RZ0180 Primăria s. Peciște</w:t>
      </w:r>
      <w:r>
        <w:rPr>
          <w:rFonts w:asciiTheme="majorHAnsi" w:hAnsiTheme="majorHAnsi" w:cstheme="majorHAnsi"/>
          <w:b w:val="0"/>
          <w:sz w:val="16"/>
          <w:szCs w:val="16"/>
        </w:rPr>
        <w:t>,</w:t>
      </w:r>
      <w:r w:rsidRPr="00770FD5">
        <w:rPr>
          <w:rFonts w:asciiTheme="majorHAnsi" w:hAnsiTheme="majorHAnsi" w:cstheme="majorHAnsi"/>
          <w:b w:val="0"/>
          <w:sz w:val="16"/>
          <w:szCs w:val="16"/>
        </w:rPr>
        <w:t xml:space="preserve"> r-</w:t>
      </w:r>
      <w:r>
        <w:rPr>
          <w:rFonts w:asciiTheme="majorHAnsi" w:hAnsiTheme="majorHAnsi" w:cstheme="majorHAnsi"/>
          <w:b w:val="0"/>
          <w:sz w:val="16"/>
          <w:szCs w:val="16"/>
        </w:rPr>
        <w:t>n</w:t>
      </w:r>
      <w:r w:rsidRPr="00770FD5">
        <w:rPr>
          <w:rFonts w:asciiTheme="majorHAnsi" w:hAnsiTheme="majorHAnsi" w:cstheme="majorHAnsi"/>
          <w:b w:val="0"/>
          <w:sz w:val="16"/>
          <w:szCs w:val="16"/>
        </w:rPr>
        <w:t>ul Rezina</w:t>
      </w:r>
      <w:r>
        <w:rPr>
          <w:rFonts w:asciiTheme="majorHAnsi" w:hAnsiTheme="majorHAnsi" w:cstheme="majorHAnsi"/>
          <w:b w:val="0"/>
          <w:sz w:val="16"/>
          <w:szCs w:val="16"/>
        </w:rPr>
        <w:t>.</w:t>
      </w:r>
    </w:p>
  </w:footnote>
  <w:footnote w:id="68">
    <w:p w:rsidR="00510CDB" w:rsidRPr="00770FD5" w:rsidRDefault="00510CDB" w:rsidP="00AA6F31">
      <w:pPr>
        <w:pStyle w:val="a9"/>
        <w:rPr>
          <w:rFonts w:asciiTheme="majorHAnsi" w:hAnsiTheme="majorHAnsi" w:cstheme="majorHAnsi"/>
          <w:b w:val="0"/>
          <w:sz w:val="16"/>
          <w:szCs w:val="16"/>
        </w:rPr>
      </w:pPr>
      <w:r w:rsidRPr="00770FD5">
        <w:rPr>
          <w:rStyle w:val="ab"/>
          <w:rFonts w:cstheme="majorHAnsi"/>
          <w:b w:val="0"/>
          <w:sz w:val="16"/>
          <w:szCs w:val="16"/>
        </w:rPr>
        <w:footnoteRef/>
      </w:r>
      <w:r w:rsidRPr="00770FD5">
        <w:rPr>
          <w:rFonts w:asciiTheme="majorHAnsi" w:hAnsiTheme="majorHAnsi" w:cstheme="majorHAnsi"/>
          <w:b w:val="0"/>
          <w:sz w:val="16"/>
          <w:szCs w:val="16"/>
        </w:rPr>
        <w:t xml:space="preserve"> Proces-verbal nr. 5 din 26.10.2022</w:t>
      </w:r>
      <w:r>
        <w:rPr>
          <w:rFonts w:asciiTheme="majorHAnsi" w:hAnsiTheme="majorHAnsi" w:cstheme="majorHAnsi"/>
          <w:b w:val="0"/>
          <w:sz w:val="16"/>
          <w:szCs w:val="16"/>
        </w:rPr>
        <w:t>.</w:t>
      </w:r>
    </w:p>
  </w:footnote>
  <w:footnote w:id="69">
    <w:p w:rsidR="00510CDB" w:rsidRPr="00BA3168" w:rsidRDefault="00510CDB" w:rsidP="00AA6F31">
      <w:pPr>
        <w:pStyle w:val="4"/>
        <w:shd w:val="clear" w:color="auto" w:fill="FFFFFF"/>
        <w:spacing w:before="0" w:line="240" w:lineRule="auto"/>
        <w:jc w:val="both"/>
        <w:rPr>
          <w:rFonts w:cstheme="majorHAnsi"/>
          <w:sz w:val="18"/>
          <w:lang w:val="en-US"/>
        </w:rPr>
      </w:pPr>
      <w:r w:rsidRPr="00841552">
        <w:rPr>
          <w:rStyle w:val="ab"/>
          <w:rFonts w:cstheme="majorHAnsi"/>
          <w:b w:val="0"/>
          <w:i w:val="0"/>
          <w:color w:val="auto"/>
          <w:sz w:val="16"/>
          <w:szCs w:val="16"/>
        </w:rPr>
        <w:footnoteRef/>
      </w:r>
      <w:r w:rsidRPr="00770FD5">
        <w:rPr>
          <w:rFonts w:cstheme="majorHAnsi"/>
          <w:b w:val="0"/>
          <w:sz w:val="16"/>
          <w:szCs w:val="16"/>
          <w:lang w:val="en-US"/>
        </w:rPr>
        <w:t xml:space="preserve"> </w:t>
      </w:r>
      <w:r w:rsidRPr="00841552">
        <w:rPr>
          <w:rFonts w:eastAsiaTheme="minorHAnsi" w:cstheme="majorHAnsi"/>
          <w:b w:val="0"/>
          <w:i w:val="0"/>
          <w:iCs w:val="0"/>
          <w:color w:val="auto"/>
          <w:sz w:val="16"/>
          <w:szCs w:val="16"/>
        </w:rPr>
        <w:t>Pct. 55 din HG nr.476/2019 pentru aprobarea Regulamentului privind acordarea subvențiilor pentru îmbunătățirea nivelului de trai și de muncă în mediul rural din Fondul național de dezvoltare a agriculturii și mediului rural</w:t>
      </w:r>
      <w:r>
        <w:rPr>
          <w:rFonts w:eastAsiaTheme="minorHAnsi" w:cstheme="majorHAnsi"/>
          <w:b w:val="0"/>
          <w:i w:val="0"/>
          <w:iCs w:val="0"/>
          <w:color w:val="auto"/>
          <w:sz w:val="16"/>
          <w:szCs w:val="16"/>
        </w:rPr>
        <w:t>.</w:t>
      </w:r>
      <w:r>
        <w:rPr>
          <w:rFonts w:cstheme="majorHAnsi"/>
          <w:b w:val="0"/>
          <w:sz w:val="16"/>
          <w:szCs w:val="16"/>
          <w:lang w:val="en-US"/>
        </w:rPr>
        <w:t xml:space="preserve"> </w:t>
      </w:r>
    </w:p>
  </w:footnote>
  <w:footnote w:id="70">
    <w:p w:rsidR="00510CDB" w:rsidRPr="00B44A56" w:rsidRDefault="00510CDB" w:rsidP="00756AE7">
      <w:pPr>
        <w:pStyle w:val="a9"/>
        <w:rPr>
          <w:rFonts w:asciiTheme="majorHAnsi" w:hAnsiTheme="majorHAnsi" w:cstheme="majorHAnsi"/>
          <w:b w:val="0"/>
          <w:bCs w:val="0"/>
          <w:sz w:val="16"/>
          <w:szCs w:val="16"/>
        </w:rPr>
      </w:pPr>
      <w:r w:rsidRPr="00B44A56">
        <w:rPr>
          <w:rStyle w:val="ab"/>
          <w:rFonts w:asciiTheme="majorHAnsi" w:hAnsiTheme="majorHAnsi" w:cstheme="majorHAnsi"/>
          <w:b w:val="0"/>
          <w:bCs w:val="0"/>
          <w:sz w:val="16"/>
          <w:szCs w:val="16"/>
        </w:rPr>
        <w:footnoteRef/>
      </w:r>
      <w:r w:rsidRPr="00B44A56">
        <w:rPr>
          <w:rFonts w:asciiTheme="majorHAnsi" w:hAnsiTheme="majorHAnsi" w:cstheme="majorHAnsi"/>
          <w:b w:val="0"/>
          <w:bCs w:val="0"/>
          <w:sz w:val="16"/>
          <w:szCs w:val="16"/>
        </w:rPr>
        <w:t xml:space="preserve"> Regulamentul de recepție a construcțiilor şi instalațiilor aferente, aprobat prin HG nr.285/1996</w:t>
      </w:r>
      <w:r>
        <w:rPr>
          <w:rFonts w:asciiTheme="majorHAnsi" w:hAnsiTheme="majorHAnsi" w:cstheme="majorHAnsi"/>
          <w:b w:val="0"/>
          <w:bCs w:val="0"/>
          <w:sz w:val="16"/>
          <w:szCs w:val="16"/>
        </w:rPr>
        <w:t>.</w:t>
      </w:r>
    </w:p>
  </w:footnote>
  <w:footnote w:id="71">
    <w:p w:rsidR="00510CDB" w:rsidRPr="00B44A56" w:rsidRDefault="00510CDB" w:rsidP="00756AE7">
      <w:pPr>
        <w:spacing w:after="0"/>
        <w:jc w:val="both"/>
        <w:rPr>
          <w:rFonts w:asciiTheme="majorHAnsi" w:eastAsia="Times New Roman" w:hAnsiTheme="majorHAnsi" w:cstheme="majorHAnsi"/>
          <w:b w:val="0"/>
          <w:bCs w:val="0"/>
          <w:color w:val="000000"/>
          <w:sz w:val="16"/>
          <w:szCs w:val="16"/>
        </w:rPr>
      </w:pPr>
      <w:r w:rsidRPr="00B44A56">
        <w:rPr>
          <w:rStyle w:val="ab"/>
          <w:rFonts w:asciiTheme="majorHAnsi" w:hAnsiTheme="majorHAnsi" w:cstheme="majorHAnsi"/>
          <w:b w:val="0"/>
          <w:bCs w:val="0"/>
          <w:sz w:val="16"/>
          <w:szCs w:val="16"/>
        </w:rPr>
        <w:footnoteRef/>
      </w:r>
      <w:r w:rsidRPr="00B44A56">
        <w:rPr>
          <w:rFonts w:asciiTheme="majorHAnsi" w:hAnsiTheme="majorHAnsi" w:cstheme="majorHAnsi"/>
          <w:b w:val="0"/>
          <w:bCs w:val="0"/>
          <w:sz w:val="16"/>
          <w:szCs w:val="16"/>
        </w:rPr>
        <w:t xml:space="preserve"> </w:t>
      </w:r>
      <w:r w:rsidRPr="00B44A56">
        <w:rPr>
          <w:rFonts w:asciiTheme="majorHAnsi" w:eastAsia="Times New Roman" w:hAnsiTheme="majorHAnsi" w:cstheme="majorHAnsi"/>
          <w:b w:val="0"/>
          <w:bCs w:val="0"/>
          <w:color w:val="000000"/>
          <w:sz w:val="16"/>
          <w:szCs w:val="16"/>
        </w:rPr>
        <w:t>PA1_APL/2005ST0100; PA1_APL/2005CL0053; PA1_APL/2005UT0038; PA1_APL/2005GL0029; PA1_APL/2005CL0044</w:t>
      </w:r>
      <w:r>
        <w:rPr>
          <w:rFonts w:asciiTheme="majorHAnsi" w:eastAsia="Times New Roman" w:hAnsiTheme="majorHAnsi" w:cstheme="majorHAnsi"/>
          <w:b w:val="0"/>
          <w:bCs w:val="0"/>
          <w:color w:val="000000"/>
          <w:sz w:val="16"/>
          <w:szCs w:val="16"/>
        </w:rPr>
        <w:t>.</w:t>
      </w:r>
    </w:p>
  </w:footnote>
  <w:footnote w:id="72">
    <w:p w:rsidR="00510CDB" w:rsidRPr="00BE49FB" w:rsidRDefault="00510CDB" w:rsidP="00BE49FB">
      <w:pPr>
        <w:pStyle w:val="a9"/>
        <w:rPr>
          <w:rFonts w:ascii="Times New Roman" w:hAnsi="Times New Roman" w:cs="Times New Roman"/>
        </w:rPr>
      </w:pPr>
      <w:r w:rsidRPr="00080433">
        <w:rPr>
          <w:rStyle w:val="ab"/>
          <w:rFonts w:asciiTheme="majorHAnsi" w:hAnsiTheme="majorHAnsi" w:cstheme="majorHAnsi"/>
          <w:b w:val="0"/>
          <w:bCs w:val="0"/>
          <w:sz w:val="16"/>
          <w:szCs w:val="16"/>
        </w:rPr>
        <w:footnoteRef/>
      </w:r>
      <w:r w:rsidRPr="00080433">
        <w:rPr>
          <w:rFonts w:asciiTheme="majorHAnsi" w:hAnsiTheme="majorHAnsi" w:cstheme="majorHAnsi"/>
          <w:b w:val="0"/>
          <w:bCs w:val="0"/>
          <w:sz w:val="16"/>
          <w:szCs w:val="16"/>
        </w:rPr>
        <w:t xml:space="preserve"> Alte date nu sunt disponibile.</w:t>
      </w:r>
    </w:p>
  </w:footnote>
  <w:footnote w:id="73">
    <w:p w:rsidR="00510CDB" w:rsidRPr="002801E7" w:rsidRDefault="00510CDB" w:rsidP="002801E7">
      <w:pPr>
        <w:spacing w:after="0"/>
        <w:jc w:val="both"/>
        <w:rPr>
          <w:rFonts w:asciiTheme="majorHAnsi" w:hAnsiTheme="majorHAnsi" w:cstheme="majorHAnsi"/>
          <w:b w:val="0"/>
          <w:bCs w:val="0"/>
          <w:sz w:val="16"/>
          <w:szCs w:val="16"/>
        </w:rPr>
      </w:pPr>
      <w:r w:rsidRPr="002801E7">
        <w:rPr>
          <w:rStyle w:val="ab"/>
          <w:rFonts w:asciiTheme="majorHAnsi" w:hAnsiTheme="majorHAnsi" w:cstheme="majorHAnsi"/>
          <w:b w:val="0"/>
          <w:bCs w:val="0"/>
          <w:sz w:val="16"/>
          <w:szCs w:val="16"/>
        </w:rPr>
        <w:footnoteRef/>
      </w:r>
      <w:r w:rsidRPr="002801E7">
        <w:rPr>
          <w:rFonts w:asciiTheme="majorHAnsi" w:hAnsiTheme="majorHAnsi" w:cstheme="majorHAnsi"/>
          <w:b w:val="0"/>
          <w:bCs w:val="0"/>
          <w:sz w:val="16"/>
          <w:szCs w:val="16"/>
        </w:rPr>
        <w:t xml:space="preserve"> </w:t>
      </w:r>
      <w:r w:rsidRPr="00ED79FC">
        <w:rPr>
          <w:rFonts w:asciiTheme="majorHAnsi" w:hAnsiTheme="majorHAnsi" w:cstheme="majorHAnsi"/>
          <w:b w:val="0"/>
          <w:bCs w:val="0"/>
          <w:sz w:val="16"/>
          <w:szCs w:val="16"/>
        </w:rPr>
        <w:t>Mun.Chișinău (s.Bude</w:t>
      </w:r>
      <w:r>
        <w:rPr>
          <w:rFonts w:asciiTheme="majorHAnsi" w:hAnsiTheme="majorHAnsi" w:cstheme="majorHAnsi"/>
          <w:b w:val="0"/>
          <w:bCs w:val="0"/>
          <w:sz w:val="16"/>
          <w:szCs w:val="16"/>
        </w:rPr>
        <w:t>ști</w:t>
      </w:r>
      <w:r w:rsidRPr="00ED79FC">
        <w:rPr>
          <w:rFonts w:asciiTheme="majorHAnsi" w:hAnsiTheme="majorHAnsi" w:cstheme="majorHAnsi"/>
          <w:b w:val="0"/>
          <w:bCs w:val="0"/>
          <w:sz w:val="16"/>
          <w:szCs w:val="16"/>
        </w:rPr>
        <w:t>i – din 1 existentă/1 nefuncțională), r</w:t>
      </w:r>
      <w:r>
        <w:rPr>
          <w:rFonts w:asciiTheme="majorHAnsi" w:hAnsiTheme="majorHAnsi" w:cstheme="majorHAnsi"/>
          <w:b w:val="0"/>
          <w:bCs w:val="0"/>
          <w:sz w:val="16"/>
          <w:szCs w:val="16"/>
        </w:rPr>
        <w:t>-</w:t>
      </w:r>
      <w:r w:rsidRPr="00ED79FC">
        <w:rPr>
          <w:rFonts w:asciiTheme="majorHAnsi" w:hAnsiTheme="majorHAnsi" w:cstheme="majorHAnsi"/>
          <w:b w:val="0"/>
          <w:bCs w:val="0"/>
          <w:sz w:val="16"/>
          <w:szCs w:val="16"/>
        </w:rPr>
        <w:t>n</w:t>
      </w:r>
      <w:r>
        <w:rPr>
          <w:rFonts w:asciiTheme="majorHAnsi" w:hAnsiTheme="majorHAnsi" w:cstheme="majorHAnsi"/>
          <w:b w:val="0"/>
          <w:bCs w:val="0"/>
          <w:sz w:val="16"/>
          <w:szCs w:val="16"/>
        </w:rPr>
        <w:t>u</w:t>
      </w:r>
      <w:r w:rsidRPr="00ED79FC">
        <w:rPr>
          <w:rFonts w:asciiTheme="majorHAnsi" w:hAnsiTheme="majorHAnsi" w:cstheme="majorHAnsi"/>
          <w:b w:val="0"/>
          <w:bCs w:val="0"/>
          <w:sz w:val="16"/>
          <w:szCs w:val="16"/>
        </w:rPr>
        <w:t>l Briceni (s.Cotiujeni – 4/4), r</w:t>
      </w:r>
      <w:r>
        <w:rPr>
          <w:rFonts w:asciiTheme="majorHAnsi" w:hAnsiTheme="majorHAnsi" w:cstheme="majorHAnsi"/>
          <w:b w:val="0"/>
          <w:bCs w:val="0"/>
          <w:sz w:val="16"/>
          <w:szCs w:val="16"/>
        </w:rPr>
        <w:t>-</w:t>
      </w:r>
      <w:r w:rsidRPr="00ED79FC">
        <w:rPr>
          <w:rFonts w:asciiTheme="majorHAnsi" w:hAnsiTheme="majorHAnsi" w:cstheme="majorHAnsi"/>
          <w:b w:val="0"/>
          <w:bCs w:val="0"/>
          <w:sz w:val="16"/>
          <w:szCs w:val="16"/>
        </w:rPr>
        <w:t>n</w:t>
      </w:r>
      <w:r>
        <w:rPr>
          <w:rFonts w:asciiTheme="majorHAnsi" w:hAnsiTheme="majorHAnsi" w:cstheme="majorHAnsi"/>
          <w:b w:val="0"/>
          <w:bCs w:val="0"/>
          <w:sz w:val="16"/>
          <w:szCs w:val="16"/>
        </w:rPr>
        <w:t>u</w:t>
      </w:r>
      <w:r w:rsidRPr="00ED79FC">
        <w:rPr>
          <w:rFonts w:asciiTheme="majorHAnsi" w:hAnsiTheme="majorHAnsi" w:cstheme="majorHAnsi"/>
          <w:b w:val="0"/>
          <w:bCs w:val="0"/>
          <w:sz w:val="16"/>
          <w:szCs w:val="16"/>
        </w:rPr>
        <w:t xml:space="preserve">l Edineț (s.Badragii </w:t>
      </w:r>
      <w:r>
        <w:rPr>
          <w:rFonts w:asciiTheme="majorHAnsi" w:hAnsiTheme="majorHAnsi" w:cstheme="majorHAnsi"/>
          <w:b w:val="0"/>
          <w:bCs w:val="0"/>
          <w:sz w:val="16"/>
          <w:szCs w:val="16"/>
        </w:rPr>
        <w:t>N</w:t>
      </w:r>
      <w:r w:rsidRPr="00ED79FC">
        <w:rPr>
          <w:rFonts w:asciiTheme="majorHAnsi" w:hAnsiTheme="majorHAnsi" w:cstheme="majorHAnsi"/>
          <w:b w:val="0"/>
          <w:bCs w:val="0"/>
          <w:sz w:val="16"/>
          <w:szCs w:val="16"/>
        </w:rPr>
        <w:t>oi – 1/1), r</w:t>
      </w:r>
      <w:r>
        <w:rPr>
          <w:rFonts w:asciiTheme="majorHAnsi" w:hAnsiTheme="majorHAnsi" w:cstheme="majorHAnsi"/>
          <w:b w:val="0"/>
          <w:bCs w:val="0"/>
          <w:sz w:val="16"/>
          <w:szCs w:val="16"/>
        </w:rPr>
        <w:t>-</w:t>
      </w:r>
      <w:r w:rsidRPr="00ED79FC">
        <w:rPr>
          <w:rFonts w:asciiTheme="majorHAnsi" w:hAnsiTheme="majorHAnsi" w:cstheme="majorHAnsi"/>
          <w:b w:val="0"/>
          <w:bCs w:val="0"/>
          <w:sz w:val="16"/>
          <w:szCs w:val="16"/>
        </w:rPr>
        <w:t>n</w:t>
      </w:r>
      <w:r>
        <w:rPr>
          <w:rFonts w:asciiTheme="majorHAnsi" w:hAnsiTheme="majorHAnsi" w:cstheme="majorHAnsi"/>
          <w:b w:val="0"/>
          <w:bCs w:val="0"/>
          <w:sz w:val="16"/>
          <w:szCs w:val="16"/>
        </w:rPr>
        <w:t>u</w:t>
      </w:r>
      <w:r w:rsidRPr="00ED79FC">
        <w:rPr>
          <w:rFonts w:asciiTheme="majorHAnsi" w:hAnsiTheme="majorHAnsi" w:cstheme="majorHAnsi"/>
          <w:b w:val="0"/>
          <w:bCs w:val="0"/>
          <w:sz w:val="16"/>
          <w:szCs w:val="16"/>
        </w:rPr>
        <w:t>l Glodeni (s.Camenca – 1/1, s.Cuhne</w:t>
      </w:r>
      <w:r>
        <w:rPr>
          <w:rFonts w:asciiTheme="majorHAnsi" w:hAnsiTheme="majorHAnsi" w:cstheme="majorHAnsi"/>
          <w:b w:val="0"/>
          <w:bCs w:val="0"/>
          <w:sz w:val="16"/>
          <w:szCs w:val="16"/>
        </w:rPr>
        <w:t>ș</w:t>
      </w:r>
      <w:r w:rsidRPr="00ED79FC">
        <w:rPr>
          <w:rFonts w:asciiTheme="majorHAnsi" w:hAnsiTheme="majorHAnsi" w:cstheme="majorHAnsi"/>
          <w:b w:val="0"/>
          <w:bCs w:val="0"/>
          <w:sz w:val="16"/>
          <w:szCs w:val="16"/>
        </w:rPr>
        <w:t>ti 1/1), r</w:t>
      </w:r>
      <w:r>
        <w:rPr>
          <w:rFonts w:asciiTheme="majorHAnsi" w:hAnsiTheme="majorHAnsi" w:cstheme="majorHAnsi"/>
          <w:b w:val="0"/>
          <w:bCs w:val="0"/>
          <w:sz w:val="16"/>
          <w:szCs w:val="16"/>
        </w:rPr>
        <w:t>-</w:t>
      </w:r>
      <w:r w:rsidRPr="00ED79FC">
        <w:rPr>
          <w:rFonts w:asciiTheme="majorHAnsi" w:hAnsiTheme="majorHAnsi" w:cstheme="majorHAnsi"/>
          <w:b w:val="0"/>
          <w:bCs w:val="0"/>
          <w:sz w:val="16"/>
          <w:szCs w:val="16"/>
        </w:rPr>
        <w:t>n</w:t>
      </w:r>
      <w:r>
        <w:rPr>
          <w:rFonts w:asciiTheme="majorHAnsi" w:hAnsiTheme="majorHAnsi" w:cstheme="majorHAnsi"/>
          <w:b w:val="0"/>
          <w:bCs w:val="0"/>
          <w:sz w:val="16"/>
          <w:szCs w:val="16"/>
        </w:rPr>
        <w:t>u</w:t>
      </w:r>
      <w:r w:rsidRPr="00ED79FC">
        <w:rPr>
          <w:rFonts w:asciiTheme="majorHAnsi" w:hAnsiTheme="majorHAnsi" w:cstheme="majorHAnsi"/>
          <w:b w:val="0"/>
          <w:bCs w:val="0"/>
          <w:sz w:val="16"/>
          <w:szCs w:val="16"/>
        </w:rPr>
        <w:t>l Criuleni (s.</w:t>
      </w:r>
      <w:r w:rsidRPr="002801E7">
        <w:rPr>
          <w:rFonts w:asciiTheme="majorHAnsi" w:hAnsiTheme="majorHAnsi" w:cstheme="majorHAnsi"/>
          <w:b w:val="0"/>
          <w:bCs w:val="0"/>
          <w:sz w:val="16"/>
          <w:szCs w:val="16"/>
        </w:rPr>
        <w:t xml:space="preserve"> </w:t>
      </w:r>
      <w:r w:rsidRPr="00ED79FC">
        <w:rPr>
          <w:rFonts w:asciiTheme="majorHAnsi" w:hAnsiTheme="majorHAnsi" w:cstheme="majorHAnsi"/>
          <w:b w:val="0"/>
          <w:bCs w:val="0"/>
          <w:sz w:val="16"/>
          <w:szCs w:val="16"/>
        </w:rPr>
        <w:t>Co</w:t>
      </w:r>
      <w:r>
        <w:rPr>
          <w:rFonts w:asciiTheme="majorHAnsi" w:hAnsiTheme="majorHAnsi" w:cstheme="majorHAnsi"/>
          <w:b w:val="0"/>
          <w:bCs w:val="0"/>
          <w:sz w:val="16"/>
          <w:szCs w:val="16"/>
        </w:rPr>
        <w:t>ș</w:t>
      </w:r>
      <w:r w:rsidRPr="00ED79FC">
        <w:rPr>
          <w:rFonts w:asciiTheme="majorHAnsi" w:hAnsiTheme="majorHAnsi" w:cstheme="majorHAnsi"/>
          <w:b w:val="0"/>
          <w:bCs w:val="0"/>
          <w:sz w:val="16"/>
          <w:szCs w:val="16"/>
        </w:rPr>
        <w:t>erni</w:t>
      </w:r>
      <w:r>
        <w:rPr>
          <w:rFonts w:asciiTheme="majorHAnsi" w:hAnsiTheme="majorHAnsi" w:cstheme="majorHAnsi"/>
          <w:b w:val="0"/>
          <w:bCs w:val="0"/>
          <w:sz w:val="16"/>
          <w:szCs w:val="16"/>
        </w:rPr>
        <w:t>ț</w:t>
      </w:r>
      <w:r w:rsidRPr="00ED79FC">
        <w:rPr>
          <w:rFonts w:asciiTheme="majorHAnsi" w:hAnsiTheme="majorHAnsi" w:cstheme="majorHAnsi"/>
          <w:b w:val="0"/>
          <w:bCs w:val="0"/>
          <w:sz w:val="16"/>
          <w:szCs w:val="16"/>
        </w:rPr>
        <w:t>a 1/1)</w:t>
      </w:r>
      <w:r>
        <w:rPr>
          <w:rFonts w:asciiTheme="majorHAnsi" w:hAnsiTheme="majorHAnsi" w:cstheme="majorHAnsi"/>
          <w:b w:val="0"/>
          <w:bCs w:val="0"/>
          <w:sz w:val="16"/>
          <w:szCs w:val="16"/>
        </w:rPr>
        <w:t>,</w:t>
      </w:r>
      <w:r w:rsidRPr="00ED79FC">
        <w:rPr>
          <w:rFonts w:asciiTheme="majorHAnsi" w:hAnsiTheme="majorHAnsi" w:cstheme="majorHAnsi"/>
          <w:b w:val="0"/>
          <w:bCs w:val="0"/>
          <w:sz w:val="16"/>
          <w:szCs w:val="16"/>
        </w:rPr>
        <w:t xml:space="preserve"> </w:t>
      </w:r>
      <w:r>
        <w:rPr>
          <w:rFonts w:asciiTheme="majorHAnsi" w:hAnsiTheme="majorHAnsi" w:cstheme="majorHAnsi"/>
          <w:b w:val="0"/>
          <w:bCs w:val="0"/>
          <w:sz w:val="16"/>
          <w:szCs w:val="16"/>
        </w:rPr>
        <w:t>r-</w:t>
      </w:r>
      <w:r w:rsidRPr="00ED79FC">
        <w:rPr>
          <w:rFonts w:asciiTheme="majorHAnsi" w:hAnsiTheme="majorHAnsi" w:cstheme="majorHAnsi"/>
          <w:b w:val="0"/>
          <w:bCs w:val="0"/>
          <w:sz w:val="16"/>
          <w:szCs w:val="16"/>
        </w:rPr>
        <w:t>nul Canul (</w:t>
      </w:r>
      <w:r w:rsidRPr="00ED79FC">
        <w:rPr>
          <w:rFonts w:asciiTheme="majorHAnsi" w:eastAsia="Times New Roman" w:hAnsiTheme="majorHAnsi" w:cstheme="majorHAnsi"/>
          <w:b w:val="0"/>
          <w:bCs w:val="0"/>
          <w:color w:val="000000"/>
          <w:sz w:val="16"/>
          <w:szCs w:val="16"/>
          <w:lang w:eastAsia="ru-RU"/>
        </w:rPr>
        <w:t>s.Moscovei – 1/1, s.Pelinei – 1/1, s.Ro</w:t>
      </w:r>
      <w:r>
        <w:rPr>
          <w:rFonts w:asciiTheme="majorHAnsi" w:eastAsia="Times New Roman" w:hAnsiTheme="majorHAnsi" w:cstheme="majorHAnsi"/>
          <w:b w:val="0"/>
          <w:bCs w:val="0"/>
          <w:color w:val="000000"/>
          <w:sz w:val="16"/>
          <w:szCs w:val="16"/>
          <w:lang w:eastAsia="ru-RU"/>
        </w:rPr>
        <w:t>ș</w:t>
      </w:r>
      <w:r w:rsidRPr="00ED79FC">
        <w:rPr>
          <w:rFonts w:asciiTheme="majorHAnsi" w:eastAsia="Times New Roman" w:hAnsiTheme="majorHAnsi" w:cstheme="majorHAnsi"/>
          <w:b w:val="0"/>
          <w:bCs w:val="0"/>
          <w:color w:val="000000"/>
          <w:sz w:val="16"/>
          <w:szCs w:val="16"/>
          <w:lang w:eastAsia="ru-RU"/>
        </w:rPr>
        <w:t>u – 2/2), r</w:t>
      </w:r>
      <w:r>
        <w:rPr>
          <w:rFonts w:asciiTheme="majorHAnsi" w:eastAsia="Times New Roman" w:hAnsiTheme="majorHAnsi" w:cstheme="majorHAnsi"/>
          <w:b w:val="0"/>
          <w:bCs w:val="0"/>
          <w:color w:val="000000"/>
          <w:sz w:val="16"/>
          <w:szCs w:val="16"/>
          <w:lang w:eastAsia="ru-RU"/>
        </w:rPr>
        <w:t>-</w:t>
      </w:r>
      <w:r w:rsidRPr="00ED79FC">
        <w:rPr>
          <w:rFonts w:asciiTheme="majorHAnsi" w:eastAsia="Times New Roman" w:hAnsiTheme="majorHAnsi" w:cstheme="majorHAnsi"/>
          <w:b w:val="0"/>
          <w:bCs w:val="0"/>
          <w:color w:val="000000"/>
          <w:sz w:val="16"/>
          <w:szCs w:val="16"/>
          <w:lang w:eastAsia="ru-RU"/>
        </w:rPr>
        <w:t>nul Cantemir (s.Baimaclia – 1/1).</w:t>
      </w:r>
    </w:p>
  </w:footnote>
  <w:footnote w:id="74">
    <w:p w:rsidR="00510CDB" w:rsidRPr="00ED3D89" w:rsidRDefault="00510CDB" w:rsidP="002801E7">
      <w:pPr>
        <w:pStyle w:val="a9"/>
        <w:jc w:val="both"/>
        <w:rPr>
          <w:rFonts w:asciiTheme="majorHAnsi" w:hAnsiTheme="majorHAnsi" w:cstheme="majorHAnsi"/>
          <w:b w:val="0"/>
          <w:sz w:val="16"/>
          <w:szCs w:val="16"/>
        </w:rPr>
      </w:pPr>
      <w:r w:rsidRPr="00ED3D89">
        <w:rPr>
          <w:rStyle w:val="ab"/>
          <w:rFonts w:asciiTheme="majorHAnsi" w:hAnsiTheme="majorHAnsi" w:cstheme="majorHAnsi"/>
          <w:b w:val="0"/>
          <w:sz w:val="16"/>
          <w:szCs w:val="16"/>
        </w:rPr>
        <w:footnoteRef/>
      </w:r>
      <w:r w:rsidRPr="00ED3D89">
        <w:rPr>
          <w:rFonts w:asciiTheme="majorHAnsi" w:hAnsiTheme="majorHAnsi" w:cstheme="majorHAnsi"/>
          <w:b w:val="0"/>
          <w:sz w:val="16"/>
          <w:szCs w:val="16"/>
        </w:rPr>
        <w:t xml:space="preserve"> Nu sunt disponibile date. </w:t>
      </w:r>
    </w:p>
  </w:footnote>
  <w:footnote w:id="75">
    <w:p w:rsidR="00510CDB" w:rsidRPr="00ED3D89" w:rsidRDefault="00510CDB" w:rsidP="002801E7">
      <w:pPr>
        <w:pStyle w:val="a9"/>
        <w:jc w:val="both"/>
        <w:rPr>
          <w:rFonts w:asciiTheme="majorHAnsi" w:eastAsia="Times New Roman" w:hAnsiTheme="majorHAnsi" w:cstheme="majorHAnsi"/>
          <w:b w:val="0"/>
          <w:bCs w:val="0"/>
          <w:color w:val="1C1C1C"/>
          <w:sz w:val="16"/>
          <w:szCs w:val="16"/>
          <w:shd w:val="clear" w:color="auto" w:fill="FFFFFF"/>
          <w:lang w:eastAsia="ru-RU"/>
        </w:rPr>
      </w:pPr>
      <w:r w:rsidRPr="00ED3D89">
        <w:rPr>
          <w:rStyle w:val="ab"/>
          <w:rFonts w:asciiTheme="majorHAnsi" w:hAnsiTheme="majorHAnsi" w:cstheme="majorHAnsi"/>
          <w:b w:val="0"/>
          <w:bCs w:val="0"/>
          <w:sz w:val="16"/>
          <w:szCs w:val="16"/>
        </w:rPr>
        <w:footnoteRef/>
      </w:r>
      <w:r w:rsidRPr="00ED3D89">
        <w:rPr>
          <w:rFonts w:asciiTheme="majorHAnsi" w:hAnsiTheme="majorHAnsi" w:cstheme="majorHAnsi"/>
          <w:b w:val="0"/>
          <w:bCs w:val="0"/>
          <w:sz w:val="16"/>
          <w:szCs w:val="16"/>
        </w:rPr>
        <w:t xml:space="preserve">  În calculul ponderii a fost utilizat numărul </w:t>
      </w:r>
      <w:r w:rsidRPr="00ED3D89">
        <w:rPr>
          <w:rFonts w:asciiTheme="majorHAnsi" w:eastAsia="Times New Roman" w:hAnsiTheme="majorHAnsi" w:cstheme="majorHAnsi"/>
          <w:b w:val="0"/>
          <w:bCs w:val="0"/>
          <w:color w:val="1C1C1C"/>
          <w:sz w:val="16"/>
          <w:szCs w:val="16"/>
          <w:shd w:val="clear" w:color="auto" w:fill="FFFFFF"/>
          <w:lang w:eastAsia="ru-RU"/>
        </w:rPr>
        <w:t>populației: pentru anul 2016 (3</w:t>
      </w:r>
      <w:r>
        <w:rPr>
          <w:rFonts w:asciiTheme="majorHAnsi" w:eastAsia="Times New Roman" w:hAnsiTheme="majorHAnsi" w:cstheme="majorHAnsi"/>
          <w:b w:val="0"/>
          <w:bCs w:val="0"/>
          <w:color w:val="1C1C1C"/>
          <w:sz w:val="16"/>
          <w:szCs w:val="16"/>
          <w:shd w:val="clear" w:color="auto" w:fill="FFFFFF"/>
          <w:lang w:eastAsia="ru-RU"/>
        </w:rPr>
        <w:t>.</w:t>
      </w:r>
      <w:r w:rsidRPr="00ED3D89">
        <w:rPr>
          <w:rFonts w:asciiTheme="majorHAnsi" w:eastAsia="Times New Roman" w:hAnsiTheme="majorHAnsi" w:cstheme="majorHAnsi"/>
          <w:b w:val="0"/>
          <w:bCs w:val="0"/>
          <w:color w:val="1C1C1C"/>
          <w:sz w:val="16"/>
          <w:szCs w:val="16"/>
          <w:shd w:val="clear" w:color="auto" w:fill="FFFFFF"/>
          <w:lang w:eastAsia="ru-RU"/>
        </w:rPr>
        <w:t>557,6 mii), anul 2017 (3</w:t>
      </w:r>
      <w:r>
        <w:rPr>
          <w:rFonts w:asciiTheme="majorHAnsi" w:eastAsia="Times New Roman" w:hAnsiTheme="majorHAnsi" w:cstheme="majorHAnsi"/>
          <w:b w:val="0"/>
          <w:bCs w:val="0"/>
          <w:color w:val="1C1C1C"/>
          <w:sz w:val="16"/>
          <w:szCs w:val="16"/>
          <w:shd w:val="clear" w:color="auto" w:fill="FFFFFF"/>
          <w:lang w:eastAsia="ru-RU"/>
        </w:rPr>
        <w:t>.</w:t>
      </w:r>
      <w:r w:rsidRPr="00ED3D89">
        <w:rPr>
          <w:rFonts w:asciiTheme="majorHAnsi" w:eastAsia="Times New Roman" w:hAnsiTheme="majorHAnsi" w:cstheme="majorHAnsi"/>
          <w:b w:val="0"/>
          <w:bCs w:val="0"/>
          <w:color w:val="1C1C1C"/>
          <w:sz w:val="16"/>
          <w:szCs w:val="16"/>
          <w:shd w:val="clear" w:color="auto" w:fill="FFFFFF"/>
          <w:lang w:eastAsia="ru-RU"/>
        </w:rPr>
        <w:t>555,2 mii), anul 2018 (3</w:t>
      </w:r>
      <w:r>
        <w:rPr>
          <w:rFonts w:asciiTheme="majorHAnsi" w:eastAsia="Times New Roman" w:hAnsiTheme="majorHAnsi" w:cstheme="majorHAnsi"/>
          <w:b w:val="0"/>
          <w:bCs w:val="0"/>
          <w:color w:val="1C1C1C"/>
          <w:sz w:val="16"/>
          <w:szCs w:val="16"/>
          <w:shd w:val="clear" w:color="auto" w:fill="FFFFFF"/>
          <w:lang w:eastAsia="ru-RU"/>
        </w:rPr>
        <w:t>.</w:t>
      </w:r>
      <w:r w:rsidRPr="00ED3D89">
        <w:rPr>
          <w:rFonts w:asciiTheme="majorHAnsi" w:eastAsia="Times New Roman" w:hAnsiTheme="majorHAnsi" w:cstheme="majorHAnsi"/>
          <w:b w:val="0"/>
          <w:bCs w:val="0"/>
          <w:color w:val="1C1C1C"/>
          <w:sz w:val="16"/>
          <w:szCs w:val="16"/>
          <w:shd w:val="clear" w:color="auto" w:fill="FFFFFF"/>
          <w:lang w:eastAsia="ru-RU"/>
        </w:rPr>
        <w:t>553,1</w:t>
      </w:r>
      <w:r>
        <w:rPr>
          <w:rFonts w:asciiTheme="majorHAnsi" w:eastAsia="Times New Roman" w:hAnsiTheme="majorHAnsi" w:cstheme="majorHAnsi"/>
          <w:b w:val="0"/>
          <w:bCs w:val="0"/>
          <w:color w:val="1C1C1C"/>
          <w:sz w:val="16"/>
          <w:szCs w:val="16"/>
          <w:shd w:val="clear" w:color="auto" w:fill="FFFFFF"/>
          <w:lang w:eastAsia="ru-RU"/>
        </w:rPr>
        <w:t xml:space="preserve"> mii</w:t>
      </w:r>
      <w:r w:rsidRPr="00ED3D89">
        <w:rPr>
          <w:rFonts w:asciiTheme="majorHAnsi" w:eastAsia="Times New Roman" w:hAnsiTheme="majorHAnsi" w:cstheme="majorHAnsi"/>
          <w:b w:val="0"/>
          <w:bCs w:val="0"/>
          <w:color w:val="1C1C1C"/>
          <w:sz w:val="16"/>
          <w:szCs w:val="16"/>
          <w:shd w:val="clear" w:color="auto" w:fill="FFFFFF"/>
          <w:lang w:eastAsia="ru-RU"/>
        </w:rPr>
        <w:t>), anul 2019 (3</w:t>
      </w:r>
      <w:r>
        <w:rPr>
          <w:rFonts w:asciiTheme="majorHAnsi" w:eastAsia="Times New Roman" w:hAnsiTheme="majorHAnsi" w:cstheme="majorHAnsi"/>
          <w:b w:val="0"/>
          <w:bCs w:val="0"/>
          <w:color w:val="1C1C1C"/>
          <w:sz w:val="16"/>
          <w:szCs w:val="16"/>
          <w:shd w:val="clear" w:color="auto" w:fill="FFFFFF"/>
          <w:lang w:eastAsia="ru-RU"/>
        </w:rPr>
        <w:t>.</w:t>
      </w:r>
      <w:r w:rsidRPr="00ED3D89">
        <w:rPr>
          <w:rFonts w:asciiTheme="majorHAnsi" w:eastAsia="Times New Roman" w:hAnsiTheme="majorHAnsi" w:cstheme="majorHAnsi"/>
          <w:b w:val="0"/>
          <w:bCs w:val="0"/>
          <w:color w:val="1C1C1C"/>
          <w:sz w:val="16"/>
          <w:szCs w:val="16"/>
          <w:shd w:val="clear" w:color="auto" w:fill="FFFFFF"/>
          <w:lang w:eastAsia="ru-RU"/>
        </w:rPr>
        <w:t>547,5 mii), anul 2020 (3</w:t>
      </w:r>
      <w:r>
        <w:rPr>
          <w:rFonts w:asciiTheme="majorHAnsi" w:eastAsia="Times New Roman" w:hAnsiTheme="majorHAnsi" w:cstheme="majorHAnsi"/>
          <w:b w:val="0"/>
          <w:bCs w:val="0"/>
          <w:color w:val="1C1C1C"/>
          <w:sz w:val="16"/>
          <w:szCs w:val="16"/>
          <w:shd w:val="clear" w:color="auto" w:fill="FFFFFF"/>
          <w:lang w:eastAsia="ru-RU"/>
        </w:rPr>
        <w:t>.</w:t>
      </w:r>
      <w:r w:rsidRPr="00ED3D89">
        <w:rPr>
          <w:rFonts w:asciiTheme="majorHAnsi" w:eastAsia="Times New Roman" w:hAnsiTheme="majorHAnsi" w:cstheme="majorHAnsi"/>
          <w:b w:val="0"/>
          <w:bCs w:val="0"/>
          <w:color w:val="1C1C1C"/>
          <w:sz w:val="16"/>
          <w:szCs w:val="16"/>
          <w:shd w:val="clear" w:color="auto" w:fill="FFFFFF"/>
          <w:lang w:eastAsia="ru-RU"/>
        </w:rPr>
        <w:t>550,9 mii) și în anul 2021 (3</w:t>
      </w:r>
      <w:r>
        <w:rPr>
          <w:rFonts w:asciiTheme="majorHAnsi" w:eastAsia="Times New Roman" w:hAnsiTheme="majorHAnsi" w:cstheme="majorHAnsi"/>
          <w:b w:val="0"/>
          <w:bCs w:val="0"/>
          <w:color w:val="1C1C1C"/>
          <w:sz w:val="16"/>
          <w:szCs w:val="16"/>
          <w:shd w:val="clear" w:color="auto" w:fill="FFFFFF"/>
          <w:lang w:eastAsia="ru-RU"/>
        </w:rPr>
        <w:t>.</w:t>
      </w:r>
      <w:r w:rsidRPr="00ED3D89">
        <w:rPr>
          <w:rFonts w:asciiTheme="majorHAnsi" w:eastAsia="Times New Roman" w:hAnsiTheme="majorHAnsi" w:cstheme="majorHAnsi"/>
          <w:b w:val="0"/>
          <w:bCs w:val="0"/>
          <w:color w:val="1C1C1C"/>
          <w:sz w:val="16"/>
          <w:szCs w:val="16"/>
          <w:shd w:val="clear" w:color="auto" w:fill="FFFFFF"/>
          <w:lang w:eastAsia="ru-RU"/>
        </w:rPr>
        <w:t>542,7 mii).</w:t>
      </w:r>
    </w:p>
    <w:p w:rsidR="00510CDB" w:rsidRPr="000C0341" w:rsidRDefault="00510CDB" w:rsidP="002801E7">
      <w:pPr>
        <w:pStyle w:val="a9"/>
        <w:jc w:val="both"/>
        <w:rPr>
          <w:sz w:val="16"/>
          <w:szCs w:val="16"/>
        </w:rPr>
      </w:pPr>
    </w:p>
  </w:footnote>
  <w:footnote w:id="76">
    <w:p w:rsidR="00510CDB" w:rsidRPr="002801E7" w:rsidRDefault="00510CDB" w:rsidP="00A12C70">
      <w:pPr>
        <w:pStyle w:val="a9"/>
        <w:rPr>
          <w:rFonts w:asciiTheme="majorHAnsi" w:hAnsiTheme="majorHAnsi" w:cstheme="majorHAnsi"/>
          <w:b w:val="0"/>
          <w:sz w:val="16"/>
          <w:szCs w:val="16"/>
        </w:rPr>
      </w:pPr>
      <w:r w:rsidRPr="002801E7">
        <w:rPr>
          <w:rStyle w:val="ab"/>
          <w:rFonts w:asciiTheme="majorHAnsi" w:hAnsiTheme="majorHAnsi" w:cstheme="majorHAnsi"/>
          <w:b w:val="0"/>
          <w:sz w:val="16"/>
          <w:szCs w:val="16"/>
        </w:rPr>
        <w:footnoteRef/>
      </w:r>
      <w:r w:rsidRPr="002801E7">
        <w:rPr>
          <w:rFonts w:asciiTheme="majorHAnsi" w:hAnsiTheme="majorHAnsi" w:cstheme="majorHAnsi"/>
          <w:b w:val="0"/>
          <w:sz w:val="16"/>
          <w:szCs w:val="16"/>
        </w:rPr>
        <w:t xml:space="preserve"> </w:t>
      </w:r>
      <w:r w:rsidRPr="002801E7">
        <w:rPr>
          <w:rFonts w:asciiTheme="majorHAnsi" w:hAnsiTheme="majorHAnsi" w:cstheme="majorHAnsi"/>
          <w:b w:val="0"/>
          <w:noProof/>
          <w:sz w:val="16"/>
          <w:szCs w:val="16"/>
          <w:lang w:eastAsia="ru-RU"/>
        </w:rPr>
        <w:t>Alte date nu sunt disponibile.</w:t>
      </w:r>
    </w:p>
  </w:footnote>
  <w:footnote w:id="77">
    <w:p w:rsidR="00510CDB" w:rsidRPr="008A59CA" w:rsidRDefault="00510CDB" w:rsidP="002C1F8B">
      <w:pPr>
        <w:pStyle w:val="a9"/>
        <w:jc w:val="both"/>
        <w:rPr>
          <w:rFonts w:asciiTheme="majorHAnsi" w:hAnsiTheme="majorHAnsi" w:cstheme="majorHAnsi"/>
          <w:b w:val="0"/>
          <w:sz w:val="16"/>
          <w:szCs w:val="16"/>
        </w:rPr>
      </w:pPr>
      <w:r w:rsidRPr="008A59CA">
        <w:rPr>
          <w:rStyle w:val="ab"/>
          <w:rFonts w:asciiTheme="majorHAnsi" w:hAnsiTheme="majorHAnsi" w:cstheme="majorHAnsi"/>
          <w:b w:val="0"/>
          <w:sz w:val="16"/>
          <w:szCs w:val="16"/>
        </w:rPr>
        <w:footnoteRef/>
      </w:r>
      <w:r w:rsidRPr="008A59CA">
        <w:rPr>
          <w:rFonts w:asciiTheme="majorHAnsi" w:hAnsiTheme="majorHAnsi" w:cstheme="majorHAnsi"/>
          <w:b w:val="0"/>
          <w:sz w:val="16"/>
          <w:szCs w:val="16"/>
        </w:rPr>
        <w:t xml:space="preserve"> La calcularea pierderilor de apă</w:t>
      </w:r>
      <w:r>
        <w:rPr>
          <w:rFonts w:asciiTheme="majorHAnsi" w:hAnsiTheme="majorHAnsi" w:cstheme="majorHAnsi"/>
          <w:b w:val="0"/>
          <w:sz w:val="16"/>
          <w:szCs w:val="16"/>
        </w:rPr>
        <w:t>,</w:t>
      </w:r>
      <w:r w:rsidRPr="008A59CA">
        <w:rPr>
          <w:rFonts w:asciiTheme="majorHAnsi" w:hAnsiTheme="majorHAnsi" w:cstheme="majorHAnsi"/>
          <w:b w:val="0"/>
          <w:sz w:val="16"/>
          <w:szCs w:val="16"/>
        </w:rPr>
        <w:t xml:space="preserve"> s-a utilizat </w:t>
      </w:r>
      <w:r>
        <w:rPr>
          <w:rFonts w:asciiTheme="majorHAnsi" w:hAnsiTheme="majorHAnsi" w:cstheme="majorHAnsi"/>
          <w:b w:val="0"/>
          <w:sz w:val="16"/>
          <w:szCs w:val="16"/>
        </w:rPr>
        <w:t xml:space="preserve">următoarea </w:t>
      </w:r>
      <w:r w:rsidRPr="008A59CA">
        <w:rPr>
          <w:rFonts w:asciiTheme="majorHAnsi" w:hAnsiTheme="majorHAnsi" w:cstheme="majorHAnsi"/>
          <w:b w:val="0"/>
          <w:sz w:val="16"/>
          <w:szCs w:val="16"/>
        </w:rPr>
        <w:t>formul</w:t>
      </w:r>
      <w:r>
        <w:rPr>
          <w:rFonts w:asciiTheme="majorHAnsi" w:hAnsiTheme="majorHAnsi" w:cstheme="majorHAnsi"/>
          <w:b w:val="0"/>
          <w:sz w:val="16"/>
          <w:szCs w:val="16"/>
        </w:rPr>
        <w:t>ă</w:t>
      </w:r>
      <w:r w:rsidRPr="008A59CA">
        <w:rPr>
          <w:rFonts w:asciiTheme="majorHAnsi" w:hAnsiTheme="majorHAnsi" w:cstheme="majorHAnsi"/>
          <w:b w:val="0"/>
          <w:sz w:val="16"/>
          <w:szCs w:val="16"/>
        </w:rPr>
        <w:t xml:space="preserve"> de calcul: </w:t>
      </w:r>
      <w:r w:rsidRPr="008A59CA">
        <w:rPr>
          <w:rFonts w:asciiTheme="majorHAnsi" w:hAnsiTheme="majorHAnsi" w:cstheme="majorHAnsi"/>
          <w:b w:val="0"/>
          <w:bCs w:val="0"/>
          <w:sz w:val="16"/>
          <w:szCs w:val="16"/>
        </w:rPr>
        <w:t>pierderile de apă = apa captată – apa furnizată – volumul de apă folosit în procesele tehnologice și pentru necesitățile proprii</w:t>
      </w:r>
      <w:r w:rsidRPr="008A59CA">
        <w:rPr>
          <w:rFonts w:asciiTheme="majorHAnsi" w:hAnsiTheme="majorHAnsi" w:cstheme="majorHAnsi"/>
          <w:b w:val="0"/>
          <w:sz w:val="16"/>
          <w:szCs w:val="16"/>
        </w:rPr>
        <w:t>.</w:t>
      </w:r>
    </w:p>
  </w:footnote>
  <w:footnote w:id="78">
    <w:p w:rsidR="00510CDB" w:rsidRPr="00156F68" w:rsidRDefault="00510CDB" w:rsidP="00355A82">
      <w:pPr>
        <w:pStyle w:val="a9"/>
        <w:rPr>
          <w:rFonts w:asciiTheme="majorHAnsi" w:hAnsiTheme="majorHAnsi" w:cstheme="majorHAnsi"/>
          <w:b w:val="0"/>
          <w:sz w:val="16"/>
          <w:szCs w:val="16"/>
          <w:lang w:val="ro-MD"/>
        </w:rPr>
      </w:pPr>
      <w:r w:rsidRPr="00D327FA">
        <w:rPr>
          <w:rStyle w:val="ab"/>
          <w:rFonts w:asciiTheme="majorHAnsi" w:hAnsiTheme="majorHAnsi" w:cstheme="majorHAnsi"/>
          <w:b w:val="0"/>
          <w:sz w:val="16"/>
          <w:szCs w:val="16"/>
        </w:rPr>
        <w:footnoteRef/>
      </w:r>
      <w:r w:rsidRPr="00D327FA">
        <w:rPr>
          <w:rFonts w:asciiTheme="majorHAnsi" w:hAnsiTheme="majorHAnsi" w:cstheme="majorHAnsi"/>
          <w:b w:val="0"/>
          <w:sz w:val="16"/>
          <w:szCs w:val="16"/>
        </w:rPr>
        <w:t xml:space="preserve"> </w:t>
      </w:r>
      <w:r w:rsidRPr="00604F52">
        <w:rPr>
          <w:rFonts w:asciiTheme="majorHAnsi" w:hAnsiTheme="majorHAnsi" w:cstheme="majorHAnsi"/>
          <w:b w:val="0"/>
          <w:sz w:val="16"/>
          <w:szCs w:val="16"/>
        </w:rPr>
        <w:t>Scrisoarea S.A. „Ap</w:t>
      </w:r>
      <w:r>
        <w:rPr>
          <w:rFonts w:asciiTheme="majorHAnsi" w:hAnsiTheme="majorHAnsi" w:cstheme="majorHAnsi"/>
          <w:b w:val="0"/>
          <w:sz w:val="16"/>
          <w:szCs w:val="16"/>
        </w:rPr>
        <w:t>ă-</w:t>
      </w:r>
      <w:r w:rsidRPr="00604F52">
        <w:rPr>
          <w:rFonts w:asciiTheme="majorHAnsi" w:hAnsiTheme="majorHAnsi" w:cstheme="majorHAnsi"/>
          <w:b w:val="0"/>
          <w:sz w:val="16"/>
          <w:szCs w:val="16"/>
        </w:rPr>
        <w:t xml:space="preserve">Canal Chișinău” nr. 01-5308 din 11.04.2023 și </w:t>
      </w:r>
      <w:r w:rsidRPr="001A40CD">
        <w:rPr>
          <w:rFonts w:asciiTheme="majorHAnsi" w:hAnsiTheme="majorHAnsi" w:cstheme="majorHAnsi"/>
          <w:b w:val="0"/>
          <w:sz w:val="16"/>
          <w:szCs w:val="16"/>
        </w:rPr>
        <w:t>comentariile</w:t>
      </w:r>
      <w:r>
        <w:rPr>
          <w:rFonts w:asciiTheme="majorHAnsi" w:hAnsiTheme="majorHAnsi" w:cstheme="majorHAnsi"/>
          <w:b w:val="0"/>
          <w:sz w:val="16"/>
          <w:szCs w:val="16"/>
        </w:rPr>
        <w:t xml:space="preserve"> </w:t>
      </w:r>
      <w:r w:rsidRPr="00604F52">
        <w:rPr>
          <w:rFonts w:asciiTheme="majorHAnsi" w:hAnsiTheme="majorHAnsi" w:cstheme="majorHAnsi"/>
          <w:b w:val="0"/>
          <w:sz w:val="16"/>
          <w:szCs w:val="16"/>
        </w:rPr>
        <w:t xml:space="preserve">(în format electronic) la constatările preliminare din proiectul </w:t>
      </w:r>
      <w:r w:rsidRPr="001A40CD">
        <w:rPr>
          <w:rFonts w:asciiTheme="majorHAnsi" w:hAnsiTheme="majorHAnsi" w:cstheme="majorHAnsi"/>
          <w:b w:val="0"/>
          <w:sz w:val="16"/>
          <w:szCs w:val="16"/>
        </w:rPr>
        <w:t>Raportul</w:t>
      </w:r>
      <w:r>
        <w:rPr>
          <w:rFonts w:asciiTheme="majorHAnsi" w:hAnsiTheme="majorHAnsi" w:cstheme="majorHAnsi"/>
          <w:b w:val="0"/>
          <w:sz w:val="16"/>
          <w:szCs w:val="16"/>
        </w:rPr>
        <w:t>ui</w:t>
      </w:r>
      <w:r w:rsidRPr="00604F52">
        <w:rPr>
          <w:rFonts w:asciiTheme="majorHAnsi" w:hAnsiTheme="majorHAnsi" w:cstheme="majorHAnsi"/>
          <w:b w:val="0"/>
          <w:sz w:val="16"/>
          <w:szCs w:val="16"/>
        </w:rPr>
        <w:t xml:space="preserve"> de audit din 23.03.2023. </w:t>
      </w:r>
    </w:p>
  </w:footnote>
  <w:footnote w:id="79">
    <w:p w:rsidR="00510CDB" w:rsidRPr="00F77F6A" w:rsidRDefault="00510CDB" w:rsidP="00355A82">
      <w:pPr>
        <w:pStyle w:val="Default"/>
        <w:jc w:val="both"/>
        <w:rPr>
          <w:rFonts w:asciiTheme="majorHAnsi" w:hAnsiTheme="majorHAnsi" w:cstheme="majorHAnsi"/>
          <w:sz w:val="16"/>
          <w:szCs w:val="16"/>
          <w:lang w:val="ro-RO"/>
        </w:rPr>
      </w:pPr>
      <w:r w:rsidRPr="00735000">
        <w:rPr>
          <w:rStyle w:val="ab"/>
          <w:rFonts w:asciiTheme="majorHAnsi" w:hAnsiTheme="majorHAnsi" w:cstheme="majorHAnsi"/>
          <w:sz w:val="16"/>
          <w:szCs w:val="16"/>
        </w:rPr>
        <w:footnoteRef/>
      </w:r>
      <w:r w:rsidRPr="00735000">
        <w:rPr>
          <w:rFonts w:asciiTheme="majorHAnsi" w:hAnsiTheme="majorHAnsi" w:cstheme="majorHAnsi"/>
          <w:sz w:val="16"/>
          <w:szCs w:val="16"/>
        </w:rPr>
        <w:t xml:space="preserve">   </w:t>
      </w:r>
      <w:r w:rsidRPr="00F77F6A">
        <w:rPr>
          <w:rFonts w:asciiTheme="majorHAnsi" w:hAnsiTheme="majorHAnsi" w:cstheme="majorHAnsi"/>
          <w:sz w:val="16"/>
          <w:szCs w:val="16"/>
          <w:lang w:val="ro-RO"/>
        </w:rPr>
        <w:t xml:space="preserve">Necesarul de apă reprezintă volumele necesare pentru satisfacerea nevoilor populației, agenților economici, instituțiilor bugetare, rezervei pentru lichidarea incendiului, precum şi volumele integrale destinate umplerii sistemului de apă şi menținerii presiunii necesare şi a consumurilor tehnologice şi pierderile de apă pentru stațiile de captare, stațiile de tratare, stațiile de pompare/repompare, rezervoarele de apă potabilă, turnurile de apă, rețelelor de distribuție şi de transportare a apei etc.. </w:t>
      </w:r>
    </w:p>
  </w:footnote>
  <w:footnote w:id="80">
    <w:p w:rsidR="00510CDB" w:rsidRPr="00F77F6A" w:rsidRDefault="00510CDB" w:rsidP="00355A82">
      <w:pPr>
        <w:pStyle w:val="Default"/>
        <w:jc w:val="both"/>
        <w:rPr>
          <w:rFonts w:asciiTheme="majorHAnsi" w:hAnsiTheme="majorHAnsi" w:cstheme="majorHAnsi"/>
          <w:sz w:val="16"/>
          <w:szCs w:val="16"/>
          <w:lang w:val="ro-RO"/>
        </w:rPr>
      </w:pPr>
      <w:r w:rsidRPr="00F77F6A">
        <w:rPr>
          <w:rStyle w:val="ab"/>
          <w:sz w:val="16"/>
          <w:szCs w:val="16"/>
          <w:lang w:val="ro-RO"/>
        </w:rPr>
        <w:footnoteRef/>
      </w:r>
      <w:r w:rsidRPr="00F77F6A">
        <w:rPr>
          <w:lang w:val="ro-RO"/>
        </w:rPr>
        <w:t xml:space="preserve"> </w:t>
      </w:r>
      <w:r w:rsidRPr="00F77F6A">
        <w:rPr>
          <w:rFonts w:asciiTheme="majorHAnsi" w:hAnsiTheme="majorHAnsi" w:cstheme="majorHAnsi"/>
          <w:sz w:val="16"/>
          <w:szCs w:val="16"/>
          <w:lang w:val="ro-RO"/>
        </w:rPr>
        <w:t xml:space="preserve">(i) Regulamentul privind exploatarea tehnică a sistemelor şi instalațiilor publice de alimentare cu apă şi de canalizare, aprobat prin Ordinul MADRM/MEI nr. 159/331 din 02.07.2018 prevede coeficienți la calcularea pierderilor latente în dependență de termenul de exploatare a reţelelor de alimentare cu apă; (ii) Normativul în construcţii CP G.04.11-2013 Metodologia de calcul a pierderilor de căldură, a volumului neînregistrat de apă caldă, a pierderilor de apă caldă în sistemele comunale de alimentare cu apă caldă menajeră, aprobat prin  Ordinul Ministerului Dezvoltării Regionale şi Construcțiilor nr. 14 din 12.02.2014 (normativul stabilește metodologia de calcul a pierderilor latente din sistemele comunale de alimentare cu apă caldă menajeră, care în majoritatea aspectelor sunt aplicabile și sistemelor de alimentare cu apă potabilă (pct. 2.6, capitolul 3 din și pct. 44 din anexa nr. 2 la Regulamentul 159/331-2018);  (iii) Metodica elaborării normativelor de consum tehnologic al apei la întreprinderile prestatoare de servicii alimentare cu apă şi canalizări din RM, aprobată de către Ministerul Dezvoltării Teritoriului, Construcţiilor şi Gospodăriilor Comunale al RM prin Ordinul nr. 163 din 27.10.1999 şi înregistrată la Ministerul Justiţiei al RM cu nr. 78 din 23.11.1999; (iv) Normativul în construcții SNiP 2.04.02-84 „Alimentarea cu apă, instalații şi rețele de alimentare cu apă”, în vigoare în RM, care stă la baza proiectării sistemelor centralizate de alimentare cu apă brută, apă tehnologică şi apă potabilă în ţară. </w:t>
      </w:r>
    </w:p>
    <w:p w:rsidR="00510CDB" w:rsidRPr="00F77F6A" w:rsidRDefault="00510CDB" w:rsidP="00355A82">
      <w:pPr>
        <w:pStyle w:val="a9"/>
      </w:pPr>
    </w:p>
  </w:footnote>
  <w:footnote w:id="81">
    <w:p w:rsidR="00510CDB" w:rsidRPr="008A59CA" w:rsidRDefault="00510CDB" w:rsidP="00BE49FB">
      <w:pPr>
        <w:pStyle w:val="a9"/>
        <w:rPr>
          <w:rFonts w:asciiTheme="majorHAnsi" w:hAnsiTheme="majorHAnsi" w:cstheme="majorHAnsi"/>
          <w:sz w:val="16"/>
          <w:szCs w:val="16"/>
        </w:rPr>
      </w:pPr>
      <w:r w:rsidRPr="008A59CA">
        <w:rPr>
          <w:rStyle w:val="ab"/>
          <w:rFonts w:asciiTheme="majorHAnsi" w:hAnsiTheme="majorHAnsi" w:cstheme="majorHAnsi"/>
          <w:b w:val="0"/>
          <w:sz w:val="16"/>
          <w:szCs w:val="16"/>
        </w:rPr>
        <w:footnoteRef/>
      </w:r>
      <w:r w:rsidRPr="008A59CA">
        <w:rPr>
          <w:rFonts w:asciiTheme="majorHAnsi" w:hAnsiTheme="majorHAnsi" w:cstheme="majorHAnsi"/>
          <w:b w:val="0"/>
          <w:sz w:val="16"/>
          <w:szCs w:val="16"/>
        </w:rPr>
        <w:t xml:space="preserve"> Alte date nu sunt disponibile, </w:t>
      </w:r>
      <w:r>
        <w:rPr>
          <w:rFonts w:asciiTheme="majorHAnsi" w:hAnsiTheme="majorHAnsi" w:cstheme="majorHAnsi"/>
          <w:b w:val="0"/>
          <w:sz w:val="16"/>
          <w:szCs w:val="16"/>
        </w:rPr>
        <w:t>fiind</w:t>
      </w:r>
      <w:r w:rsidRPr="008A59CA">
        <w:rPr>
          <w:rFonts w:asciiTheme="majorHAnsi" w:hAnsiTheme="majorHAnsi" w:cstheme="majorHAnsi"/>
          <w:b w:val="0"/>
          <w:sz w:val="16"/>
          <w:szCs w:val="16"/>
        </w:rPr>
        <w:t xml:space="preserve"> schimbat formatul de raportare</w:t>
      </w:r>
      <w:r w:rsidRPr="008A59CA">
        <w:rPr>
          <w:rFonts w:asciiTheme="majorHAnsi" w:hAnsiTheme="majorHAnsi" w:cstheme="majorHAnsi"/>
          <w:sz w:val="16"/>
          <w:szCs w:val="16"/>
        </w:rPr>
        <w:t>.</w:t>
      </w:r>
    </w:p>
  </w:footnote>
  <w:footnote w:id="82">
    <w:p w:rsidR="00510CDB" w:rsidRPr="00C03E48" w:rsidRDefault="00510CDB" w:rsidP="005C4A1E">
      <w:pPr>
        <w:pStyle w:val="a9"/>
        <w:rPr>
          <w:rFonts w:asciiTheme="majorHAnsi" w:hAnsiTheme="majorHAnsi" w:cstheme="majorHAnsi"/>
          <w:b w:val="0"/>
          <w:sz w:val="16"/>
          <w:szCs w:val="16"/>
        </w:rPr>
      </w:pPr>
      <w:r w:rsidRPr="00C03E48">
        <w:rPr>
          <w:rStyle w:val="ab"/>
          <w:rFonts w:asciiTheme="majorHAnsi" w:hAnsiTheme="majorHAnsi" w:cstheme="majorHAnsi"/>
          <w:b w:val="0"/>
          <w:sz w:val="16"/>
          <w:szCs w:val="16"/>
        </w:rPr>
        <w:footnoteRef/>
      </w:r>
      <w:r w:rsidRPr="00C03E48">
        <w:rPr>
          <w:rFonts w:asciiTheme="majorHAnsi" w:hAnsiTheme="majorHAnsi" w:cstheme="majorHAnsi"/>
          <w:b w:val="0"/>
          <w:sz w:val="16"/>
          <w:szCs w:val="16"/>
        </w:rPr>
        <w:t xml:space="preserve"> Catalogul mijloacelor fixe și activelor nemateriale aprobat prin HG nr. 338/2003.</w:t>
      </w:r>
    </w:p>
  </w:footnote>
  <w:footnote w:id="83">
    <w:p w:rsidR="00510CDB" w:rsidRPr="00C03E48" w:rsidRDefault="00510CDB" w:rsidP="005C4A1E">
      <w:pPr>
        <w:pStyle w:val="a9"/>
        <w:rPr>
          <w:rFonts w:asciiTheme="majorHAnsi" w:hAnsiTheme="majorHAnsi" w:cstheme="majorHAnsi"/>
          <w:b w:val="0"/>
          <w:sz w:val="16"/>
          <w:szCs w:val="16"/>
        </w:rPr>
      </w:pPr>
      <w:r w:rsidRPr="00C03E48">
        <w:rPr>
          <w:rStyle w:val="ab"/>
          <w:rFonts w:asciiTheme="majorHAnsi" w:hAnsiTheme="majorHAnsi" w:cstheme="majorHAnsi"/>
          <w:b w:val="0"/>
          <w:sz w:val="16"/>
          <w:szCs w:val="16"/>
        </w:rPr>
        <w:footnoteRef/>
      </w:r>
      <w:r w:rsidRPr="00C03E48">
        <w:rPr>
          <w:rFonts w:asciiTheme="majorHAnsi" w:hAnsiTheme="majorHAnsi" w:cstheme="majorHAnsi"/>
          <w:b w:val="0"/>
          <w:sz w:val="16"/>
          <w:szCs w:val="16"/>
        </w:rPr>
        <w:t xml:space="preserve"> Titlu VIII</w:t>
      </w:r>
      <w:r>
        <w:rPr>
          <w:rFonts w:asciiTheme="majorHAnsi" w:hAnsiTheme="majorHAnsi" w:cstheme="majorHAnsi"/>
          <w:b w:val="0"/>
          <w:sz w:val="16"/>
          <w:szCs w:val="16"/>
        </w:rPr>
        <w:t xml:space="preserve"> </w:t>
      </w:r>
      <w:r w:rsidRPr="00C03E48">
        <w:rPr>
          <w:rFonts w:asciiTheme="majorHAnsi" w:hAnsiTheme="majorHAnsi" w:cstheme="majorHAnsi"/>
          <w:b w:val="0"/>
          <w:sz w:val="16"/>
          <w:szCs w:val="16"/>
        </w:rPr>
        <w:t>„Taxe pentru resurse naturale” din C</w:t>
      </w:r>
      <w:r>
        <w:rPr>
          <w:rFonts w:asciiTheme="majorHAnsi" w:hAnsiTheme="majorHAnsi" w:cstheme="majorHAnsi"/>
          <w:b w:val="0"/>
          <w:sz w:val="16"/>
          <w:szCs w:val="16"/>
        </w:rPr>
        <w:t>o</w:t>
      </w:r>
      <w:r w:rsidRPr="00C03E48">
        <w:rPr>
          <w:rFonts w:asciiTheme="majorHAnsi" w:hAnsiTheme="majorHAnsi" w:cstheme="majorHAnsi"/>
          <w:b w:val="0"/>
          <w:sz w:val="16"/>
          <w:szCs w:val="16"/>
        </w:rPr>
        <w:t>d fiscal, aprobat prin Legea nr. 1163/1997.</w:t>
      </w:r>
    </w:p>
  </w:footnote>
  <w:footnote w:id="84">
    <w:p w:rsidR="00510CDB" w:rsidRPr="00DC13EB" w:rsidRDefault="00510CDB" w:rsidP="00BE49FB">
      <w:pPr>
        <w:pStyle w:val="a9"/>
        <w:rPr>
          <w:rFonts w:asciiTheme="majorHAnsi" w:hAnsiTheme="majorHAnsi" w:cstheme="majorHAnsi"/>
          <w:b w:val="0"/>
          <w:bCs w:val="0"/>
          <w:sz w:val="16"/>
          <w:szCs w:val="16"/>
        </w:rPr>
      </w:pPr>
      <w:r w:rsidRPr="00DC13EB">
        <w:rPr>
          <w:rStyle w:val="ab"/>
          <w:rFonts w:asciiTheme="majorHAnsi" w:hAnsiTheme="majorHAnsi" w:cstheme="majorHAnsi"/>
          <w:b w:val="0"/>
          <w:bCs w:val="0"/>
          <w:sz w:val="16"/>
          <w:szCs w:val="16"/>
        </w:rPr>
        <w:footnoteRef/>
      </w:r>
      <w:r w:rsidRPr="00DC13EB">
        <w:rPr>
          <w:rFonts w:asciiTheme="majorHAnsi" w:hAnsiTheme="majorHAnsi" w:cstheme="majorHAnsi"/>
          <w:b w:val="0"/>
          <w:bCs w:val="0"/>
          <w:sz w:val="16"/>
          <w:szCs w:val="16"/>
        </w:rPr>
        <w:t xml:space="preserve"> Sursa: Anuarele IPM.</w:t>
      </w:r>
    </w:p>
  </w:footnote>
  <w:footnote w:id="85">
    <w:p w:rsidR="00510CDB" w:rsidRDefault="00510CDB" w:rsidP="00BE49FB">
      <w:pPr>
        <w:pStyle w:val="a9"/>
      </w:pPr>
      <w:r w:rsidRPr="00DC13EB">
        <w:rPr>
          <w:rStyle w:val="ab"/>
          <w:rFonts w:asciiTheme="majorHAnsi" w:hAnsiTheme="majorHAnsi" w:cstheme="majorHAnsi"/>
          <w:b w:val="0"/>
          <w:bCs w:val="0"/>
          <w:sz w:val="16"/>
          <w:szCs w:val="16"/>
        </w:rPr>
        <w:footnoteRef/>
      </w:r>
      <w:r w:rsidRPr="00DC13EB">
        <w:rPr>
          <w:rFonts w:asciiTheme="majorHAnsi" w:hAnsiTheme="majorHAnsi" w:cstheme="majorHAnsi"/>
          <w:b w:val="0"/>
          <w:bCs w:val="0"/>
          <w:sz w:val="16"/>
          <w:szCs w:val="16"/>
        </w:rPr>
        <w:t xml:space="preserve"> Stații de epurare cu Normativele Deversării Limitat Accesibile (DLA), Concentrația maxim admisibilă (CMA).</w:t>
      </w:r>
    </w:p>
  </w:footnote>
  <w:footnote w:id="86">
    <w:p w:rsidR="00510CDB" w:rsidRPr="0080293E" w:rsidRDefault="00510CDB" w:rsidP="00812814">
      <w:pPr>
        <w:pStyle w:val="a9"/>
        <w:jc w:val="both"/>
        <w:rPr>
          <w:rFonts w:asciiTheme="majorHAnsi" w:hAnsiTheme="majorHAnsi" w:cstheme="majorHAnsi"/>
          <w:b w:val="0"/>
          <w:sz w:val="16"/>
          <w:szCs w:val="16"/>
        </w:rPr>
      </w:pPr>
      <w:r w:rsidRPr="0080293E">
        <w:rPr>
          <w:rStyle w:val="ab"/>
          <w:rFonts w:asciiTheme="majorHAnsi" w:hAnsiTheme="majorHAnsi" w:cstheme="majorHAnsi"/>
          <w:b w:val="0"/>
          <w:sz w:val="16"/>
          <w:szCs w:val="16"/>
        </w:rPr>
        <w:footnoteRef/>
      </w:r>
      <w:r w:rsidRPr="0080293E">
        <w:rPr>
          <w:rFonts w:asciiTheme="majorHAnsi" w:hAnsiTheme="majorHAnsi" w:cstheme="majorHAnsi"/>
          <w:b w:val="0"/>
          <w:sz w:val="16"/>
          <w:szCs w:val="16"/>
        </w:rPr>
        <w:t xml:space="preserve"> Epurare insuficientă </w:t>
      </w:r>
      <w:r>
        <w:rPr>
          <w:rFonts w:asciiTheme="majorHAnsi" w:hAnsiTheme="majorHAnsi" w:cstheme="majorHAnsi"/>
          <w:b w:val="0"/>
          <w:sz w:val="16"/>
          <w:szCs w:val="16"/>
        </w:rPr>
        <w:t>–</w:t>
      </w:r>
      <w:r w:rsidRPr="0080293E">
        <w:rPr>
          <w:rFonts w:asciiTheme="majorHAnsi" w:hAnsiTheme="majorHAnsi" w:cstheme="majorHAnsi"/>
          <w:b w:val="0"/>
          <w:sz w:val="16"/>
          <w:szCs w:val="16"/>
        </w:rPr>
        <w:t xml:space="preserve"> stațiile construite încă în timpul sovietic </w:t>
      </w:r>
      <w:r>
        <w:rPr>
          <w:rFonts w:asciiTheme="majorHAnsi" w:hAnsiTheme="majorHAnsi" w:cstheme="majorHAnsi"/>
          <w:b w:val="0"/>
          <w:sz w:val="16"/>
          <w:szCs w:val="16"/>
        </w:rPr>
        <w:t>pentru care</w:t>
      </w:r>
      <w:r w:rsidRPr="0080293E">
        <w:rPr>
          <w:rFonts w:asciiTheme="majorHAnsi" w:hAnsiTheme="majorHAnsi" w:cstheme="majorHAnsi"/>
          <w:b w:val="0"/>
          <w:sz w:val="16"/>
          <w:szCs w:val="16"/>
        </w:rPr>
        <w:t xml:space="preserve"> nu a</w:t>
      </w:r>
      <w:r>
        <w:rPr>
          <w:rFonts w:asciiTheme="majorHAnsi" w:hAnsiTheme="majorHAnsi" w:cstheme="majorHAnsi"/>
          <w:b w:val="0"/>
          <w:sz w:val="16"/>
          <w:szCs w:val="16"/>
        </w:rPr>
        <w:t>u</w:t>
      </w:r>
      <w:r w:rsidRPr="0080293E">
        <w:rPr>
          <w:rFonts w:asciiTheme="majorHAnsi" w:hAnsiTheme="majorHAnsi" w:cstheme="majorHAnsi"/>
          <w:b w:val="0"/>
          <w:sz w:val="16"/>
          <w:szCs w:val="16"/>
        </w:rPr>
        <w:t xml:space="preserve"> fost prevăzut</w:t>
      </w:r>
      <w:r>
        <w:rPr>
          <w:rFonts w:asciiTheme="majorHAnsi" w:hAnsiTheme="majorHAnsi" w:cstheme="majorHAnsi"/>
          <w:b w:val="0"/>
          <w:sz w:val="16"/>
          <w:szCs w:val="16"/>
        </w:rPr>
        <w:t>e</w:t>
      </w:r>
      <w:r w:rsidRPr="0080293E">
        <w:rPr>
          <w:rFonts w:asciiTheme="majorHAnsi" w:hAnsiTheme="majorHAnsi" w:cstheme="majorHAnsi"/>
          <w:b w:val="0"/>
          <w:sz w:val="16"/>
          <w:szCs w:val="16"/>
        </w:rPr>
        <w:t xml:space="preserve"> toate trepte</w:t>
      </w:r>
      <w:r>
        <w:rPr>
          <w:rFonts w:asciiTheme="majorHAnsi" w:hAnsiTheme="majorHAnsi" w:cstheme="majorHAnsi"/>
          <w:b w:val="0"/>
          <w:sz w:val="16"/>
          <w:szCs w:val="16"/>
        </w:rPr>
        <w:t>le</w:t>
      </w:r>
      <w:r w:rsidRPr="0080293E">
        <w:rPr>
          <w:rFonts w:asciiTheme="majorHAnsi" w:hAnsiTheme="majorHAnsi" w:cstheme="majorHAnsi"/>
          <w:b w:val="0"/>
          <w:sz w:val="16"/>
          <w:szCs w:val="16"/>
        </w:rPr>
        <w:t xml:space="preserve"> de epurare necesare procesului tehnologic.</w:t>
      </w:r>
    </w:p>
  </w:footnote>
  <w:footnote w:id="87">
    <w:p w:rsidR="00510CDB" w:rsidRPr="00812814" w:rsidRDefault="00510CDB" w:rsidP="00BE49FB">
      <w:pPr>
        <w:pStyle w:val="a9"/>
        <w:rPr>
          <w:rFonts w:asciiTheme="majorHAnsi" w:hAnsiTheme="majorHAnsi" w:cstheme="majorHAnsi"/>
          <w:b w:val="0"/>
          <w:sz w:val="16"/>
          <w:szCs w:val="16"/>
        </w:rPr>
      </w:pPr>
      <w:r w:rsidRPr="0080293E">
        <w:rPr>
          <w:rStyle w:val="ab"/>
          <w:rFonts w:asciiTheme="majorHAnsi" w:hAnsiTheme="majorHAnsi" w:cstheme="majorHAnsi"/>
          <w:b w:val="0"/>
          <w:sz w:val="16"/>
          <w:szCs w:val="16"/>
        </w:rPr>
        <w:footnoteRef/>
      </w:r>
      <w:r w:rsidRPr="0080293E">
        <w:rPr>
          <w:rFonts w:asciiTheme="majorHAnsi" w:hAnsiTheme="majorHAnsi" w:cstheme="majorHAnsi"/>
          <w:b w:val="0"/>
          <w:sz w:val="16"/>
          <w:szCs w:val="16"/>
        </w:rPr>
        <w:t xml:space="preserve"> Epurare parțială – stația este prevăzută/proiectată cu toate trepte</w:t>
      </w:r>
      <w:r>
        <w:rPr>
          <w:rFonts w:asciiTheme="majorHAnsi" w:hAnsiTheme="majorHAnsi" w:cstheme="majorHAnsi"/>
          <w:b w:val="0"/>
          <w:sz w:val="16"/>
          <w:szCs w:val="16"/>
        </w:rPr>
        <w:t>le</w:t>
      </w:r>
      <w:r w:rsidRPr="0080293E">
        <w:rPr>
          <w:rFonts w:asciiTheme="majorHAnsi" w:hAnsiTheme="majorHAnsi" w:cstheme="majorHAnsi"/>
          <w:b w:val="0"/>
          <w:sz w:val="16"/>
          <w:szCs w:val="16"/>
        </w:rPr>
        <w:t xml:space="preserve"> de epurare</w:t>
      </w:r>
      <w:r>
        <w:rPr>
          <w:rFonts w:asciiTheme="majorHAnsi" w:hAnsiTheme="majorHAnsi" w:cstheme="majorHAnsi"/>
          <w:b w:val="0"/>
          <w:sz w:val="16"/>
          <w:szCs w:val="16"/>
        </w:rPr>
        <w:t>,</w:t>
      </w:r>
      <w:r w:rsidRPr="0080293E">
        <w:rPr>
          <w:rFonts w:asciiTheme="majorHAnsi" w:hAnsiTheme="majorHAnsi" w:cstheme="majorHAnsi"/>
          <w:b w:val="0"/>
          <w:sz w:val="16"/>
          <w:szCs w:val="16"/>
        </w:rPr>
        <w:t xml:space="preserve"> însă nu reușește să epureze apa la parametrii ceruți.</w:t>
      </w:r>
    </w:p>
  </w:footnote>
  <w:footnote w:id="88">
    <w:p w:rsidR="00510CDB" w:rsidRPr="00812814" w:rsidRDefault="00510CDB" w:rsidP="00BE49FB">
      <w:pPr>
        <w:pStyle w:val="a9"/>
        <w:rPr>
          <w:rFonts w:asciiTheme="majorHAnsi" w:hAnsiTheme="majorHAnsi" w:cstheme="majorHAnsi"/>
          <w:b w:val="0"/>
          <w:sz w:val="16"/>
          <w:szCs w:val="16"/>
        </w:rPr>
      </w:pPr>
      <w:r w:rsidRPr="00812814">
        <w:rPr>
          <w:rStyle w:val="ab"/>
          <w:rFonts w:asciiTheme="majorHAnsi" w:hAnsiTheme="majorHAnsi" w:cstheme="majorHAnsi"/>
          <w:b w:val="0"/>
          <w:sz w:val="16"/>
          <w:szCs w:val="16"/>
        </w:rPr>
        <w:footnoteRef/>
      </w:r>
      <w:r w:rsidRPr="00812814">
        <w:rPr>
          <w:rFonts w:asciiTheme="majorHAnsi" w:hAnsiTheme="majorHAnsi" w:cstheme="majorHAnsi"/>
          <w:b w:val="0"/>
          <w:sz w:val="16"/>
          <w:szCs w:val="16"/>
        </w:rPr>
        <w:t xml:space="preserve"> Art. 23 din Legea apelor nr.272 din 23.12.2011.</w:t>
      </w:r>
    </w:p>
  </w:footnote>
  <w:footnote w:id="89">
    <w:p w:rsidR="00510CDB" w:rsidRPr="009D2DEF" w:rsidRDefault="00510CDB" w:rsidP="00BE49FB">
      <w:pPr>
        <w:pStyle w:val="a9"/>
        <w:rPr>
          <w:rFonts w:asciiTheme="majorHAnsi" w:hAnsiTheme="majorHAnsi" w:cstheme="majorHAnsi"/>
          <w:b w:val="0"/>
          <w:bCs w:val="0"/>
          <w:sz w:val="16"/>
          <w:szCs w:val="16"/>
        </w:rPr>
      </w:pPr>
      <w:r w:rsidRPr="009D2DEF">
        <w:rPr>
          <w:rStyle w:val="ab"/>
          <w:rFonts w:asciiTheme="majorHAnsi" w:hAnsiTheme="majorHAnsi" w:cstheme="majorHAnsi"/>
          <w:b w:val="0"/>
          <w:bCs w:val="0"/>
          <w:sz w:val="16"/>
          <w:szCs w:val="16"/>
        </w:rPr>
        <w:footnoteRef/>
      </w:r>
      <w:r w:rsidRPr="009D2DEF">
        <w:rPr>
          <w:rFonts w:asciiTheme="majorHAnsi" w:hAnsiTheme="majorHAnsi" w:cstheme="majorHAnsi"/>
          <w:b w:val="0"/>
          <w:bCs w:val="0"/>
          <w:sz w:val="16"/>
          <w:szCs w:val="16"/>
        </w:rPr>
        <w:t xml:space="preserve"> Sunt utilizate datele BNS disponibile pentru anii 2016-2018. Datele pentru alte perioade nu sunt disponibile. În anii 2019-2021 datele lipsesc. BNS a schimbat formatul raportului şi nu mai colectează asemenea date. IPM nu deține astfel de date. </w:t>
      </w:r>
    </w:p>
  </w:footnote>
  <w:footnote w:id="90">
    <w:p w:rsidR="00510CDB" w:rsidRPr="0045055E" w:rsidRDefault="00510CDB" w:rsidP="00777DAC">
      <w:pPr>
        <w:pStyle w:val="a9"/>
        <w:rPr>
          <w:b w:val="0"/>
          <w:bCs w:val="0"/>
          <w:sz w:val="16"/>
          <w:szCs w:val="16"/>
        </w:rPr>
      </w:pPr>
      <w:r w:rsidRPr="0045055E">
        <w:rPr>
          <w:rStyle w:val="ab"/>
          <w:rFonts w:asciiTheme="majorHAnsi" w:hAnsiTheme="majorHAnsi" w:cstheme="majorHAnsi"/>
          <w:b w:val="0"/>
          <w:bCs w:val="0"/>
          <w:sz w:val="16"/>
          <w:szCs w:val="16"/>
        </w:rPr>
        <w:footnoteRef/>
      </w:r>
      <w:r w:rsidRPr="0045055E">
        <w:rPr>
          <w:rFonts w:asciiTheme="majorHAnsi" w:hAnsiTheme="majorHAnsi" w:cstheme="majorHAnsi"/>
          <w:b w:val="0"/>
          <w:bCs w:val="0"/>
          <w:sz w:val="16"/>
          <w:szCs w:val="16"/>
        </w:rPr>
        <w:t xml:space="preserve"> Alte surse de date nu au fost identidficate.</w:t>
      </w:r>
    </w:p>
  </w:footnote>
  <w:footnote w:id="91">
    <w:p w:rsidR="00510CDB" w:rsidRPr="007830DC" w:rsidRDefault="00510CDB" w:rsidP="00BE49FB">
      <w:pPr>
        <w:pStyle w:val="a9"/>
        <w:rPr>
          <w:rFonts w:asciiTheme="majorHAnsi" w:hAnsiTheme="majorHAnsi" w:cstheme="majorHAnsi"/>
          <w:sz w:val="16"/>
          <w:szCs w:val="16"/>
        </w:rPr>
      </w:pPr>
      <w:r w:rsidRPr="009D2DEF">
        <w:rPr>
          <w:rStyle w:val="ab"/>
          <w:rFonts w:asciiTheme="majorHAnsi" w:hAnsiTheme="majorHAnsi" w:cstheme="majorHAnsi"/>
          <w:b w:val="0"/>
          <w:bCs w:val="0"/>
          <w:sz w:val="16"/>
          <w:szCs w:val="16"/>
        </w:rPr>
        <w:footnoteRef/>
      </w:r>
      <w:r w:rsidRPr="009D2DEF">
        <w:rPr>
          <w:rFonts w:asciiTheme="majorHAnsi" w:hAnsiTheme="majorHAnsi" w:cstheme="majorHAnsi"/>
          <w:b w:val="0"/>
          <w:bCs w:val="0"/>
          <w:sz w:val="16"/>
          <w:szCs w:val="16"/>
        </w:rPr>
        <w:t xml:space="preserve"> Calculul: </w:t>
      </w:r>
      <w:r>
        <w:rPr>
          <w:rFonts w:asciiTheme="majorHAnsi" w:hAnsiTheme="majorHAnsi" w:cstheme="majorHAnsi"/>
          <w:b w:val="0"/>
          <w:bCs w:val="0"/>
          <w:noProof/>
          <w:sz w:val="16"/>
          <w:szCs w:val="16"/>
          <w:lang w:eastAsia="ru-RU"/>
        </w:rPr>
        <w:t>c</w:t>
      </w:r>
      <w:r w:rsidRPr="009D2DEF">
        <w:rPr>
          <w:rFonts w:asciiTheme="majorHAnsi" w:hAnsiTheme="majorHAnsi" w:cstheme="majorHAnsi"/>
          <w:b w:val="0"/>
          <w:bCs w:val="0"/>
          <w:noProof/>
          <w:sz w:val="16"/>
          <w:szCs w:val="16"/>
          <w:lang w:eastAsia="ru-RU"/>
        </w:rPr>
        <w:t>apacitatea stațiilor de epurare a apelor uzate, m</w:t>
      </w:r>
      <w:r w:rsidRPr="009D2DEF">
        <w:rPr>
          <w:rFonts w:asciiTheme="majorHAnsi" w:hAnsiTheme="majorHAnsi" w:cstheme="majorHAnsi"/>
          <w:b w:val="0"/>
          <w:bCs w:val="0"/>
          <w:noProof/>
          <w:sz w:val="16"/>
          <w:szCs w:val="16"/>
          <w:vertAlign w:val="superscript"/>
          <w:lang w:eastAsia="ru-RU"/>
        </w:rPr>
        <w:t>3</w:t>
      </w:r>
      <w:r w:rsidRPr="009D2DEF">
        <w:rPr>
          <w:rFonts w:asciiTheme="majorHAnsi" w:hAnsiTheme="majorHAnsi" w:cstheme="majorHAnsi"/>
          <w:b w:val="0"/>
          <w:bCs w:val="0"/>
          <w:noProof/>
          <w:sz w:val="16"/>
          <w:szCs w:val="16"/>
          <w:lang w:eastAsia="ru-RU"/>
        </w:rPr>
        <w:t xml:space="preserve"> în 24 ore de fact</w:t>
      </w:r>
      <w:r>
        <w:rPr>
          <w:rFonts w:asciiTheme="majorHAnsi" w:hAnsiTheme="majorHAnsi" w:cstheme="majorHAnsi"/>
          <w:b w:val="0"/>
          <w:bCs w:val="0"/>
          <w:noProof/>
          <w:sz w:val="16"/>
          <w:szCs w:val="16"/>
          <w:lang w:eastAsia="ru-RU"/>
        </w:rPr>
        <w:t>o</w:t>
      </w:r>
      <w:r w:rsidRPr="009D2DEF">
        <w:rPr>
          <w:rFonts w:asciiTheme="majorHAnsi" w:hAnsiTheme="majorHAnsi" w:cstheme="majorHAnsi"/>
          <w:b w:val="0"/>
          <w:bCs w:val="0"/>
          <w:noProof/>
          <w:sz w:val="16"/>
          <w:szCs w:val="16"/>
          <w:lang w:eastAsia="ru-RU"/>
        </w:rPr>
        <w:t xml:space="preserve"> / </w:t>
      </w:r>
      <w:r>
        <w:rPr>
          <w:rFonts w:asciiTheme="majorHAnsi" w:hAnsiTheme="majorHAnsi" w:cstheme="majorHAnsi"/>
          <w:b w:val="0"/>
          <w:bCs w:val="0"/>
          <w:noProof/>
          <w:sz w:val="16"/>
          <w:szCs w:val="16"/>
          <w:lang w:eastAsia="ru-RU"/>
        </w:rPr>
        <w:t>c</w:t>
      </w:r>
      <w:r w:rsidRPr="009D2DEF">
        <w:rPr>
          <w:rFonts w:asciiTheme="majorHAnsi" w:hAnsiTheme="majorHAnsi" w:cstheme="majorHAnsi"/>
          <w:b w:val="0"/>
          <w:bCs w:val="0"/>
          <w:noProof/>
          <w:sz w:val="16"/>
          <w:szCs w:val="16"/>
          <w:lang w:eastAsia="ru-RU"/>
        </w:rPr>
        <w:t>apacitatea stațiilor de epurare a apelor uzate, m</w:t>
      </w:r>
      <w:r w:rsidRPr="009D2DEF">
        <w:rPr>
          <w:rFonts w:asciiTheme="majorHAnsi" w:hAnsiTheme="majorHAnsi" w:cstheme="majorHAnsi"/>
          <w:b w:val="0"/>
          <w:bCs w:val="0"/>
          <w:noProof/>
          <w:sz w:val="16"/>
          <w:szCs w:val="16"/>
          <w:vertAlign w:val="superscript"/>
          <w:lang w:eastAsia="ru-RU"/>
        </w:rPr>
        <w:t>3</w:t>
      </w:r>
      <w:r w:rsidRPr="009D2DEF">
        <w:rPr>
          <w:rFonts w:asciiTheme="majorHAnsi" w:hAnsiTheme="majorHAnsi" w:cstheme="majorHAnsi"/>
          <w:b w:val="0"/>
          <w:bCs w:val="0"/>
          <w:noProof/>
          <w:sz w:val="16"/>
          <w:szCs w:val="16"/>
          <w:lang w:eastAsia="ru-RU"/>
        </w:rPr>
        <w:t xml:space="preserve"> în 24 ore planificată.</w:t>
      </w:r>
    </w:p>
  </w:footnote>
  <w:footnote w:id="92">
    <w:p w:rsidR="00510CDB" w:rsidRPr="007163AB" w:rsidRDefault="00510CDB" w:rsidP="00BE49FB">
      <w:pPr>
        <w:pStyle w:val="a9"/>
        <w:rPr>
          <w:rFonts w:asciiTheme="majorHAnsi" w:hAnsiTheme="majorHAnsi" w:cstheme="majorHAnsi"/>
          <w:b w:val="0"/>
          <w:bCs w:val="0"/>
          <w:sz w:val="16"/>
          <w:szCs w:val="16"/>
        </w:rPr>
      </w:pPr>
      <w:r w:rsidRPr="007163AB">
        <w:rPr>
          <w:rStyle w:val="ab"/>
          <w:rFonts w:asciiTheme="majorHAnsi" w:hAnsiTheme="majorHAnsi" w:cstheme="majorHAnsi"/>
          <w:b w:val="0"/>
          <w:bCs w:val="0"/>
          <w:sz w:val="16"/>
          <w:szCs w:val="16"/>
        </w:rPr>
        <w:footnoteRef/>
      </w:r>
      <w:r w:rsidRPr="007163AB">
        <w:rPr>
          <w:rFonts w:asciiTheme="majorHAnsi" w:hAnsiTheme="majorHAnsi" w:cstheme="majorHAnsi"/>
          <w:b w:val="0"/>
          <w:bCs w:val="0"/>
          <w:sz w:val="16"/>
          <w:szCs w:val="16"/>
        </w:rPr>
        <w:t xml:space="preserve"> Calculul: 18+13 =31</w:t>
      </w:r>
      <w:r>
        <w:rPr>
          <w:rFonts w:asciiTheme="majorHAnsi" w:hAnsiTheme="majorHAnsi" w:cstheme="majorHAnsi"/>
          <w:b w:val="0"/>
          <w:bCs w:val="0"/>
          <w:sz w:val="16"/>
          <w:szCs w:val="16"/>
        </w:rPr>
        <w:t>.</w:t>
      </w:r>
    </w:p>
  </w:footnote>
  <w:footnote w:id="93">
    <w:p w:rsidR="00510CDB" w:rsidRDefault="00510CDB" w:rsidP="00BE49FB">
      <w:pPr>
        <w:pStyle w:val="a9"/>
      </w:pPr>
      <w:r w:rsidRPr="007163AB">
        <w:rPr>
          <w:rStyle w:val="ab"/>
          <w:rFonts w:asciiTheme="majorHAnsi" w:hAnsiTheme="majorHAnsi" w:cstheme="majorHAnsi"/>
          <w:b w:val="0"/>
          <w:bCs w:val="0"/>
          <w:sz w:val="16"/>
          <w:szCs w:val="16"/>
        </w:rPr>
        <w:footnoteRef/>
      </w:r>
      <w:r w:rsidRPr="007163AB">
        <w:rPr>
          <w:rFonts w:asciiTheme="majorHAnsi" w:hAnsiTheme="majorHAnsi" w:cstheme="majorHAnsi"/>
          <w:b w:val="0"/>
          <w:bCs w:val="0"/>
          <w:sz w:val="16"/>
          <w:szCs w:val="16"/>
        </w:rPr>
        <w:t xml:space="preserve"> Calculul: 11+13 =24</w:t>
      </w:r>
      <w:r>
        <w:rPr>
          <w:rFonts w:asciiTheme="majorHAnsi" w:hAnsiTheme="majorHAnsi" w:cstheme="majorHAnsi"/>
          <w:b w:val="0"/>
          <w:bCs w:val="0"/>
          <w:sz w:val="16"/>
          <w:szCs w:val="16"/>
        </w:rPr>
        <w:t>.</w:t>
      </w:r>
    </w:p>
  </w:footnote>
  <w:footnote w:id="94">
    <w:p w:rsidR="00510CDB" w:rsidRPr="00746950" w:rsidRDefault="00510CDB" w:rsidP="00BE49FB">
      <w:pPr>
        <w:pStyle w:val="a9"/>
        <w:rPr>
          <w:rFonts w:asciiTheme="majorHAnsi" w:hAnsiTheme="majorHAnsi" w:cstheme="majorHAnsi"/>
          <w:b w:val="0"/>
          <w:bCs w:val="0"/>
          <w:sz w:val="16"/>
          <w:szCs w:val="16"/>
        </w:rPr>
      </w:pPr>
      <w:r w:rsidRPr="00746950">
        <w:rPr>
          <w:rStyle w:val="ab"/>
          <w:rFonts w:asciiTheme="majorHAnsi" w:hAnsiTheme="majorHAnsi" w:cstheme="majorHAnsi"/>
          <w:b w:val="0"/>
          <w:bCs w:val="0"/>
          <w:sz w:val="16"/>
          <w:szCs w:val="16"/>
        </w:rPr>
        <w:footnoteRef/>
      </w:r>
      <w:r w:rsidRPr="00746950">
        <w:rPr>
          <w:rFonts w:asciiTheme="majorHAnsi" w:hAnsiTheme="majorHAnsi" w:cstheme="majorHAnsi"/>
          <w:b w:val="0"/>
          <w:bCs w:val="0"/>
          <w:sz w:val="16"/>
          <w:szCs w:val="16"/>
        </w:rPr>
        <w:t xml:space="preserve"> Scrisoarea BNS nr. 08-5/ 48 din 02.09.2019.</w:t>
      </w:r>
    </w:p>
  </w:footnote>
  <w:footnote w:id="95">
    <w:p w:rsidR="00510CDB" w:rsidRPr="00E81345" w:rsidRDefault="00510CDB" w:rsidP="00BE49FB">
      <w:pPr>
        <w:pStyle w:val="a9"/>
        <w:rPr>
          <w:rFonts w:asciiTheme="majorHAnsi" w:hAnsiTheme="majorHAnsi" w:cstheme="majorHAnsi"/>
          <w:b w:val="0"/>
          <w:bCs w:val="0"/>
          <w:sz w:val="16"/>
          <w:szCs w:val="16"/>
        </w:rPr>
      </w:pPr>
      <w:r w:rsidRPr="00746950">
        <w:rPr>
          <w:rStyle w:val="ab"/>
          <w:rFonts w:asciiTheme="majorHAnsi" w:hAnsiTheme="majorHAnsi" w:cstheme="majorHAnsi"/>
          <w:b w:val="0"/>
          <w:bCs w:val="0"/>
          <w:sz w:val="16"/>
          <w:szCs w:val="16"/>
        </w:rPr>
        <w:footnoteRef/>
      </w:r>
      <w:r w:rsidRPr="00746950">
        <w:rPr>
          <w:rFonts w:asciiTheme="majorHAnsi" w:hAnsiTheme="majorHAnsi" w:cstheme="majorHAnsi"/>
          <w:b w:val="0"/>
          <w:bCs w:val="0"/>
          <w:sz w:val="16"/>
          <w:szCs w:val="16"/>
        </w:rPr>
        <w:t xml:space="preserve"> </w:t>
      </w:r>
      <w:r w:rsidRPr="00E81345">
        <w:rPr>
          <w:rFonts w:asciiTheme="majorHAnsi" w:hAnsiTheme="majorHAnsi" w:cstheme="majorHAnsi"/>
          <w:b w:val="0"/>
          <w:bCs w:val="0"/>
          <w:sz w:val="16"/>
          <w:szCs w:val="16"/>
        </w:rPr>
        <w:t xml:space="preserve">Calculul: </w:t>
      </w:r>
      <w:r>
        <w:rPr>
          <w:rFonts w:asciiTheme="majorHAnsi" w:hAnsiTheme="majorHAnsi" w:cstheme="majorHAnsi"/>
          <w:b w:val="0"/>
          <w:bCs w:val="0"/>
          <w:sz w:val="16"/>
          <w:szCs w:val="16"/>
        </w:rPr>
        <w:t>l</w:t>
      </w:r>
      <w:r w:rsidRPr="00E81345">
        <w:rPr>
          <w:rFonts w:asciiTheme="majorHAnsi" w:hAnsiTheme="majorHAnsi" w:cstheme="majorHAnsi"/>
          <w:b w:val="0"/>
          <w:bCs w:val="0"/>
          <w:sz w:val="16"/>
          <w:szCs w:val="16"/>
        </w:rPr>
        <w:t>ungimea rețelelor de canalizare (2</w:t>
      </w:r>
      <w:r>
        <w:rPr>
          <w:rFonts w:asciiTheme="majorHAnsi" w:hAnsiTheme="majorHAnsi" w:cstheme="majorHAnsi"/>
          <w:b w:val="0"/>
          <w:bCs w:val="0"/>
          <w:sz w:val="16"/>
          <w:szCs w:val="16"/>
        </w:rPr>
        <w:t>.</w:t>
      </w:r>
      <w:r w:rsidRPr="00E81345">
        <w:rPr>
          <w:rFonts w:asciiTheme="majorHAnsi" w:hAnsiTheme="majorHAnsi" w:cstheme="majorHAnsi"/>
          <w:b w:val="0"/>
          <w:bCs w:val="0"/>
          <w:sz w:val="16"/>
          <w:szCs w:val="16"/>
        </w:rPr>
        <w:t>556,2 km) / lungimea rețelelor de apeduct  (7</w:t>
      </w:r>
      <w:r>
        <w:rPr>
          <w:rFonts w:asciiTheme="majorHAnsi" w:hAnsiTheme="majorHAnsi" w:cstheme="majorHAnsi"/>
          <w:b w:val="0"/>
          <w:bCs w:val="0"/>
          <w:sz w:val="16"/>
          <w:szCs w:val="16"/>
        </w:rPr>
        <w:t>.</w:t>
      </w:r>
      <w:r w:rsidRPr="00E81345">
        <w:rPr>
          <w:rFonts w:asciiTheme="majorHAnsi" w:hAnsiTheme="majorHAnsi" w:cstheme="majorHAnsi"/>
          <w:b w:val="0"/>
          <w:bCs w:val="0"/>
          <w:sz w:val="16"/>
          <w:szCs w:val="16"/>
        </w:rPr>
        <w:t xml:space="preserve">478,1 km) = 34,2%. </w:t>
      </w:r>
    </w:p>
  </w:footnote>
  <w:footnote w:id="96">
    <w:p w:rsidR="00510CDB" w:rsidRPr="00E81345" w:rsidRDefault="00510CDB" w:rsidP="00BE49FB">
      <w:pPr>
        <w:pStyle w:val="a9"/>
        <w:rPr>
          <w:rFonts w:asciiTheme="majorHAnsi" w:hAnsiTheme="majorHAnsi" w:cs="Times New Roman"/>
          <w:b w:val="0"/>
          <w:sz w:val="16"/>
          <w:szCs w:val="16"/>
        </w:rPr>
      </w:pPr>
      <w:r w:rsidRPr="00E81345">
        <w:rPr>
          <w:rStyle w:val="ab"/>
          <w:rFonts w:asciiTheme="majorHAnsi" w:hAnsiTheme="majorHAnsi"/>
          <w:b w:val="0"/>
          <w:sz w:val="16"/>
          <w:szCs w:val="16"/>
        </w:rPr>
        <w:footnoteRef/>
      </w:r>
      <w:r w:rsidRPr="00E81345">
        <w:rPr>
          <w:rFonts w:asciiTheme="majorHAnsi" w:hAnsiTheme="majorHAnsi" w:cs="Times New Roman"/>
          <w:b w:val="0"/>
          <w:sz w:val="16"/>
          <w:szCs w:val="16"/>
        </w:rPr>
        <w:t xml:space="preserve"> Calculul: </w:t>
      </w:r>
      <w:r>
        <w:rPr>
          <w:rFonts w:asciiTheme="majorHAnsi" w:hAnsiTheme="majorHAnsi" w:cs="Times New Roman"/>
          <w:b w:val="0"/>
          <w:sz w:val="16"/>
          <w:szCs w:val="16"/>
        </w:rPr>
        <w:t>l</w:t>
      </w:r>
      <w:r w:rsidRPr="00E81345">
        <w:rPr>
          <w:rFonts w:asciiTheme="majorHAnsi" w:hAnsiTheme="majorHAnsi" w:cs="Times New Roman"/>
          <w:b w:val="0"/>
          <w:sz w:val="16"/>
          <w:szCs w:val="16"/>
        </w:rPr>
        <w:t>ungimea rețelelor de canalizare</w:t>
      </w:r>
      <w:r>
        <w:rPr>
          <w:rFonts w:asciiTheme="majorHAnsi" w:hAnsiTheme="majorHAnsi" w:cs="Times New Roman"/>
          <w:b w:val="0"/>
          <w:sz w:val="16"/>
          <w:szCs w:val="16"/>
        </w:rPr>
        <w:t xml:space="preserve"> </w:t>
      </w:r>
      <w:r w:rsidRPr="00E81345">
        <w:rPr>
          <w:rFonts w:asciiTheme="majorHAnsi" w:hAnsiTheme="majorHAnsi" w:cs="Times New Roman"/>
          <w:b w:val="0"/>
          <w:sz w:val="16"/>
          <w:szCs w:val="16"/>
        </w:rPr>
        <w:t>(3</w:t>
      </w:r>
      <w:r>
        <w:rPr>
          <w:rFonts w:asciiTheme="majorHAnsi" w:hAnsiTheme="majorHAnsi" w:cs="Times New Roman"/>
          <w:b w:val="0"/>
          <w:sz w:val="16"/>
          <w:szCs w:val="16"/>
        </w:rPr>
        <w:t>.</w:t>
      </w:r>
      <w:r w:rsidRPr="00E81345">
        <w:rPr>
          <w:rFonts w:asciiTheme="majorHAnsi" w:hAnsiTheme="majorHAnsi" w:cs="Times New Roman"/>
          <w:b w:val="0"/>
          <w:sz w:val="16"/>
          <w:szCs w:val="16"/>
        </w:rPr>
        <w:t>021 km) / lungimea rețelelor de apeduct (164</w:t>
      </w:r>
      <w:r>
        <w:rPr>
          <w:rFonts w:asciiTheme="majorHAnsi" w:hAnsiTheme="majorHAnsi" w:cs="Times New Roman"/>
          <w:b w:val="0"/>
          <w:sz w:val="16"/>
          <w:szCs w:val="16"/>
        </w:rPr>
        <w:t>.</w:t>
      </w:r>
      <w:r w:rsidRPr="00E81345">
        <w:rPr>
          <w:rFonts w:asciiTheme="majorHAnsi" w:hAnsiTheme="majorHAnsi" w:cs="Times New Roman"/>
          <w:b w:val="0"/>
          <w:sz w:val="16"/>
          <w:szCs w:val="16"/>
        </w:rPr>
        <w:t>461 km) = 18,2%.</w:t>
      </w:r>
    </w:p>
  </w:footnote>
  <w:footnote w:id="97">
    <w:p w:rsidR="00510CDB" w:rsidRPr="00F97F0B" w:rsidRDefault="00510CDB" w:rsidP="00E9038B">
      <w:pPr>
        <w:pStyle w:val="a9"/>
        <w:jc w:val="both"/>
        <w:rPr>
          <w:rFonts w:asciiTheme="majorHAnsi" w:hAnsiTheme="majorHAnsi" w:cstheme="majorHAnsi"/>
          <w:b w:val="0"/>
          <w:bCs w:val="0"/>
          <w:sz w:val="16"/>
          <w:szCs w:val="16"/>
        </w:rPr>
      </w:pPr>
      <w:r w:rsidRPr="00E9038B">
        <w:rPr>
          <w:rStyle w:val="ab"/>
          <w:rFonts w:asciiTheme="majorHAnsi" w:hAnsiTheme="majorHAnsi" w:cstheme="majorHAnsi"/>
          <w:b w:val="0"/>
          <w:bCs w:val="0"/>
          <w:sz w:val="16"/>
          <w:szCs w:val="16"/>
        </w:rPr>
        <w:footnoteRef/>
      </w:r>
      <w:r w:rsidRPr="00E9038B">
        <w:rPr>
          <w:rFonts w:asciiTheme="majorHAnsi" w:hAnsiTheme="majorHAnsi" w:cstheme="majorHAnsi"/>
          <w:b w:val="0"/>
          <w:bCs w:val="0"/>
          <w:sz w:val="16"/>
          <w:szCs w:val="16"/>
        </w:rPr>
        <w:t xml:space="preserve"> </w:t>
      </w:r>
      <w:r w:rsidRPr="00F97F0B">
        <w:rPr>
          <w:rFonts w:asciiTheme="majorHAnsi" w:hAnsiTheme="majorHAnsi" w:cstheme="majorHAnsi"/>
          <w:b w:val="0"/>
          <w:bCs w:val="0"/>
          <w:sz w:val="16"/>
          <w:szCs w:val="16"/>
        </w:rPr>
        <w:t xml:space="preserve">Până </w:t>
      </w:r>
      <w:r>
        <w:rPr>
          <w:rFonts w:asciiTheme="majorHAnsi" w:hAnsiTheme="majorHAnsi" w:cstheme="majorHAnsi"/>
          <w:b w:val="0"/>
          <w:bCs w:val="0"/>
          <w:sz w:val="16"/>
          <w:szCs w:val="16"/>
        </w:rPr>
        <w:t>în</w:t>
      </w:r>
      <w:r w:rsidRPr="00F97F0B">
        <w:rPr>
          <w:rFonts w:asciiTheme="majorHAnsi" w:hAnsiTheme="majorHAnsi" w:cstheme="majorHAnsi"/>
          <w:b w:val="0"/>
          <w:bCs w:val="0"/>
          <w:sz w:val="16"/>
          <w:szCs w:val="16"/>
        </w:rPr>
        <w:t xml:space="preserve"> anul 2021, termenul de prezentare</w:t>
      </w:r>
      <w:r>
        <w:rPr>
          <w:rFonts w:asciiTheme="majorHAnsi" w:hAnsiTheme="majorHAnsi" w:cstheme="majorHAnsi"/>
          <w:b w:val="0"/>
          <w:bCs w:val="0"/>
          <w:sz w:val="16"/>
          <w:szCs w:val="16"/>
        </w:rPr>
        <w:t>,</w:t>
      </w:r>
      <w:r w:rsidRPr="00F97F0B">
        <w:rPr>
          <w:rFonts w:asciiTheme="majorHAnsi" w:hAnsiTheme="majorHAnsi" w:cstheme="majorHAnsi"/>
          <w:b w:val="0"/>
          <w:bCs w:val="0"/>
          <w:sz w:val="16"/>
          <w:szCs w:val="16"/>
        </w:rPr>
        <w:t xml:space="preserve"> către Organele teritoriale de Statistică, a Rapoartelor statistice nr.1 </w:t>
      </w:r>
      <w:r>
        <w:rPr>
          <w:rFonts w:asciiTheme="majorHAnsi" w:hAnsiTheme="majorHAnsi" w:cstheme="majorHAnsi"/>
          <w:b w:val="0"/>
          <w:bCs w:val="0"/>
          <w:sz w:val="16"/>
          <w:szCs w:val="16"/>
        </w:rPr>
        <w:t>A</w:t>
      </w:r>
      <w:r w:rsidRPr="00F97F0B">
        <w:rPr>
          <w:rFonts w:asciiTheme="majorHAnsi" w:hAnsiTheme="majorHAnsi" w:cstheme="majorHAnsi"/>
          <w:b w:val="0"/>
          <w:bCs w:val="0"/>
          <w:sz w:val="16"/>
          <w:szCs w:val="16"/>
        </w:rPr>
        <w:t>peduct-canalizare, a fost 30 aprile și către BNS de către OTS - 8 mai.</w:t>
      </w:r>
    </w:p>
  </w:footnote>
  <w:footnote w:id="98">
    <w:p w:rsidR="00510CDB" w:rsidRPr="00EE6630" w:rsidRDefault="00510CDB" w:rsidP="00C22D83">
      <w:pPr>
        <w:pStyle w:val="a9"/>
        <w:jc w:val="both"/>
        <w:rPr>
          <w:rFonts w:asciiTheme="majorHAnsi" w:hAnsiTheme="majorHAnsi"/>
          <w:b w:val="0"/>
          <w:bCs w:val="0"/>
        </w:rPr>
      </w:pPr>
      <w:r w:rsidRPr="00EE6630">
        <w:rPr>
          <w:rStyle w:val="ab"/>
          <w:rFonts w:asciiTheme="majorHAnsi" w:hAnsiTheme="majorHAnsi"/>
          <w:b w:val="0"/>
          <w:sz w:val="16"/>
          <w:szCs w:val="16"/>
        </w:rPr>
        <w:footnoteRef/>
      </w:r>
      <w:r w:rsidRPr="00EE6630">
        <w:rPr>
          <w:rFonts w:asciiTheme="majorHAnsi" w:hAnsiTheme="majorHAnsi"/>
          <w:b w:val="0"/>
          <w:sz w:val="16"/>
          <w:szCs w:val="16"/>
        </w:rPr>
        <w:t xml:space="preserve"> </w:t>
      </w:r>
      <w:r w:rsidRPr="00EE6630">
        <w:rPr>
          <w:rFonts w:asciiTheme="majorHAnsi" w:hAnsiTheme="majorHAnsi"/>
          <w:b w:val="0"/>
          <w:bCs w:val="0"/>
          <w:sz w:val="16"/>
          <w:szCs w:val="16"/>
        </w:rPr>
        <w:t>Pct. 7, subpct.3) din Anexa nr.1 la H</w:t>
      </w:r>
      <w:r>
        <w:rPr>
          <w:rFonts w:asciiTheme="majorHAnsi" w:hAnsiTheme="majorHAnsi"/>
          <w:b w:val="0"/>
          <w:bCs w:val="0"/>
          <w:sz w:val="16"/>
          <w:szCs w:val="16"/>
        </w:rPr>
        <w:t>G</w:t>
      </w:r>
      <w:r w:rsidRPr="00EE6630">
        <w:rPr>
          <w:rFonts w:asciiTheme="majorHAnsi" w:hAnsiTheme="majorHAnsi"/>
          <w:b w:val="0"/>
          <w:bCs w:val="0"/>
          <w:sz w:val="16"/>
          <w:szCs w:val="16"/>
        </w:rPr>
        <w:t xml:space="preserve"> nr.662 din 10.11.2009 </w:t>
      </w:r>
      <w:r>
        <w:rPr>
          <w:rFonts w:asciiTheme="majorHAnsi" w:hAnsiTheme="majorHAnsi"/>
          <w:b w:val="0"/>
          <w:bCs w:val="0"/>
          <w:sz w:val="16"/>
          <w:szCs w:val="16"/>
        </w:rPr>
        <w:t>„P</w:t>
      </w:r>
      <w:r w:rsidRPr="00EE6630">
        <w:rPr>
          <w:rFonts w:asciiTheme="majorHAnsi" w:hAnsiTheme="majorHAnsi"/>
          <w:b w:val="0"/>
          <w:bCs w:val="0"/>
          <w:sz w:val="16"/>
          <w:szCs w:val="16"/>
        </w:rPr>
        <w:t>entru aprobarea Regulamentului, structurii şi efectivului-limită ale Ministerul</w:t>
      </w:r>
      <w:r>
        <w:rPr>
          <w:rFonts w:asciiTheme="majorHAnsi" w:hAnsiTheme="majorHAnsi"/>
          <w:b w:val="0"/>
          <w:bCs w:val="0"/>
          <w:sz w:val="16"/>
          <w:szCs w:val="16"/>
        </w:rPr>
        <w:t>ui</w:t>
      </w:r>
      <w:r w:rsidRPr="00EE6630">
        <w:rPr>
          <w:rFonts w:asciiTheme="majorHAnsi" w:hAnsiTheme="majorHAnsi"/>
          <w:b w:val="0"/>
          <w:bCs w:val="0"/>
          <w:sz w:val="16"/>
          <w:szCs w:val="16"/>
        </w:rPr>
        <w:t xml:space="preserve"> Dezvoltării Regionale şi Construcțiilor</w:t>
      </w:r>
      <w:r>
        <w:rPr>
          <w:rFonts w:asciiTheme="majorHAnsi" w:hAnsiTheme="majorHAnsi"/>
          <w:b w:val="0"/>
          <w:bCs w:val="0"/>
          <w:sz w:val="16"/>
          <w:szCs w:val="16"/>
        </w:rPr>
        <w:t>”</w:t>
      </w:r>
      <w:r w:rsidRPr="00EE6630">
        <w:rPr>
          <w:rFonts w:asciiTheme="majorHAnsi" w:hAnsiTheme="majorHAnsi"/>
          <w:b w:val="0"/>
          <w:bCs w:val="0"/>
          <w:sz w:val="16"/>
          <w:szCs w:val="16"/>
        </w:rPr>
        <w:t>.</w:t>
      </w:r>
    </w:p>
  </w:footnote>
  <w:footnote w:id="99">
    <w:p w:rsidR="00510CDB" w:rsidRDefault="00510CDB" w:rsidP="00EA402A">
      <w:pPr>
        <w:pStyle w:val="a9"/>
        <w:jc w:val="both"/>
      </w:pPr>
      <w:r w:rsidRPr="00EE6630">
        <w:rPr>
          <w:rStyle w:val="ab"/>
          <w:rFonts w:asciiTheme="majorHAnsi" w:hAnsiTheme="majorHAnsi"/>
          <w:b w:val="0"/>
          <w:sz w:val="16"/>
          <w:szCs w:val="16"/>
        </w:rPr>
        <w:footnoteRef/>
      </w:r>
      <w:r w:rsidRPr="00EE6630">
        <w:rPr>
          <w:rFonts w:asciiTheme="majorHAnsi" w:hAnsiTheme="majorHAnsi"/>
          <w:b w:val="0"/>
        </w:rPr>
        <w:t xml:space="preserve"> </w:t>
      </w:r>
      <w:r w:rsidRPr="00EE6630">
        <w:rPr>
          <w:rFonts w:asciiTheme="majorHAnsi" w:hAnsiTheme="majorHAnsi"/>
          <w:b w:val="0"/>
          <w:bCs w:val="0"/>
          <w:sz w:val="16"/>
          <w:szCs w:val="16"/>
        </w:rPr>
        <w:t>Pct. 6, subpct.5) din Anexa nr.1 la H</w:t>
      </w:r>
      <w:r>
        <w:rPr>
          <w:rFonts w:asciiTheme="majorHAnsi" w:hAnsiTheme="majorHAnsi"/>
          <w:b w:val="0"/>
          <w:bCs w:val="0"/>
          <w:sz w:val="16"/>
          <w:szCs w:val="16"/>
        </w:rPr>
        <w:t>G</w:t>
      </w:r>
      <w:r w:rsidRPr="00EE6630">
        <w:rPr>
          <w:rFonts w:asciiTheme="majorHAnsi" w:hAnsiTheme="majorHAnsi"/>
          <w:b w:val="0"/>
          <w:bCs w:val="0"/>
          <w:sz w:val="16"/>
          <w:szCs w:val="16"/>
        </w:rPr>
        <w:t xml:space="preserve"> nr.695 din 30.08.2017 </w:t>
      </w:r>
      <w:r>
        <w:rPr>
          <w:rFonts w:asciiTheme="majorHAnsi" w:hAnsiTheme="majorHAnsi"/>
          <w:b w:val="0"/>
          <w:bCs w:val="0"/>
          <w:sz w:val="16"/>
          <w:szCs w:val="16"/>
        </w:rPr>
        <w:t>„C</w:t>
      </w:r>
      <w:r w:rsidRPr="00EE6630">
        <w:rPr>
          <w:rFonts w:asciiTheme="majorHAnsi" w:hAnsiTheme="majorHAnsi"/>
          <w:b w:val="0"/>
          <w:bCs w:val="0"/>
          <w:sz w:val="16"/>
          <w:szCs w:val="16"/>
        </w:rPr>
        <w:t>u privire la organizarea şi funcționarea Ministerului Agriculturii, Dezvoltării Regionale și Mediului</w:t>
      </w:r>
      <w:r>
        <w:rPr>
          <w:rFonts w:asciiTheme="majorHAnsi" w:hAnsiTheme="majorHAnsi"/>
          <w:b w:val="0"/>
          <w:bCs w:val="0"/>
          <w:sz w:val="16"/>
          <w:szCs w:val="16"/>
        </w:rPr>
        <w:t>”</w:t>
      </w:r>
      <w:r w:rsidRPr="00EE6630">
        <w:rPr>
          <w:rFonts w:asciiTheme="majorHAnsi" w:hAnsiTheme="majorHAnsi"/>
          <w:b w:val="0"/>
          <w:bCs w:val="0"/>
          <w:sz w:val="16"/>
          <w:szCs w:val="16"/>
        </w:rPr>
        <w:t>.</w:t>
      </w:r>
    </w:p>
  </w:footnote>
  <w:footnote w:id="100">
    <w:p w:rsidR="00510CDB" w:rsidRPr="00A30A37" w:rsidRDefault="00510CDB" w:rsidP="009D54A4">
      <w:pPr>
        <w:pStyle w:val="a9"/>
        <w:jc w:val="both"/>
        <w:rPr>
          <w:rStyle w:val="af9"/>
          <w:rFonts w:asciiTheme="majorHAnsi" w:hAnsiTheme="majorHAnsi" w:cstheme="majorHAnsi"/>
          <w:b w:val="0"/>
          <w:bCs w:val="0"/>
          <w:i w:val="0"/>
          <w:sz w:val="16"/>
          <w:szCs w:val="16"/>
          <w:shd w:val="clear" w:color="auto" w:fill="FFFFFF"/>
        </w:rPr>
      </w:pPr>
      <w:r w:rsidRPr="00A30A37">
        <w:rPr>
          <w:rStyle w:val="ab"/>
          <w:rFonts w:asciiTheme="majorHAnsi" w:hAnsiTheme="majorHAnsi" w:cstheme="majorHAnsi"/>
          <w:b w:val="0"/>
          <w:bCs w:val="0"/>
          <w:sz w:val="16"/>
          <w:szCs w:val="16"/>
        </w:rPr>
        <w:footnoteRef/>
      </w:r>
      <w:r w:rsidRPr="00A30A37">
        <w:rPr>
          <w:rFonts w:asciiTheme="majorHAnsi" w:hAnsiTheme="majorHAnsi" w:cstheme="majorHAnsi"/>
          <w:b w:val="0"/>
          <w:bCs w:val="0"/>
          <w:sz w:val="16"/>
          <w:szCs w:val="16"/>
        </w:rPr>
        <w:t xml:space="preserve"> </w:t>
      </w:r>
      <w:r w:rsidRPr="00A30A37">
        <w:rPr>
          <w:rStyle w:val="af9"/>
          <w:rFonts w:asciiTheme="majorHAnsi" w:hAnsiTheme="majorHAnsi" w:cstheme="majorHAnsi"/>
          <w:b w:val="0"/>
          <w:bCs w:val="0"/>
          <w:i w:val="0"/>
          <w:iCs w:val="0"/>
          <w:sz w:val="16"/>
          <w:szCs w:val="16"/>
        </w:rPr>
        <w:t xml:space="preserve">Concepţia sistemului informaţional automatizat „Registrul obiectelor de infrastructură tehnico-edilitară” </w:t>
      </w:r>
      <w:r>
        <w:rPr>
          <w:rStyle w:val="af9"/>
          <w:rFonts w:asciiTheme="majorHAnsi" w:hAnsiTheme="majorHAnsi" w:cstheme="majorHAnsi"/>
          <w:b w:val="0"/>
          <w:bCs w:val="0"/>
          <w:i w:val="0"/>
          <w:iCs w:val="0"/>
          <w:sz w:val="16"/>
          <w:szCs w:val="16"/>
        </w:rPr>
        <w:t>(</w:t>
      </w:r>
      <w:r w:rsidRPr="00A30A37">
        <w:rPr>
          <w:rStyle w:val="af9"/>
          <w:rFonts w:asciiTheme="majorHAnsi" w:hAnsiTheme="majorHAnsi" w:cstheme="majorHAnsi"/>
          <w:b w:val="0"/>
          <w:bCs w:val="0"/>
          <w:i w:val="0"/>
          <w:iCs w:val="0"/>
          <w:sz w:val="16"/>
          <w:szCs w:val="16"/>
        </w:rPr>
        <w:t>Introducere</w:t>
      </w:r>
      <w:r>
        <w:rPr>
          <w:rStyle w:val="af9"/>
          <w:rFonts w:asciiTheme="majorHAnsi" w:hAnsiTheme="majorHAnsi" w:cstheme="majorHAnsi"/>
          <w:b w:val="0"/>
          <w:bCs w:val="0"/>
          <w:i w:val="0"/>
          <w:iCs w:val="0"/>
          <w:sz w:val="16"/>
          <w:szCs w:val="16"/>
        </w:rPr>
        <w:t>)</w:t>
      </w:r>
      <w:r w:rsidRPr="00A30A37">
        <w:rPr>
          <w:rStyle w:val="af9"/>
          <w:rFonts w:asciiTheme="majorHAnsi" w:hAnsiTheme="majorHAnsi" w:cstheme="majorHAnsi"/>
          <w:b w:val="0"/>
          <w:bCs w:val="0"/>
          <w:i w:val="0"/>
          <w:iCs w:val="0"/>
          <w:sz w:val="16"/>
          <w:szCs w:val="16"/>
        </w:rPr>
        <w:t>, aprobată prin HG nr.133/2014.</w:t>
      </w:r>
    </w:p>
  </w:footnote>
  <w:footnote w:id="101">
    <w:p w:rsidR="00510CDB" w:rsidRPr="00964A64" w:rsidRDefault="00510CDB" w:rsidP="00A30A37">
      <w:pPr>
        <w:pStyle w:val="a9"/>
        <w:jc w:val="both"/>
        <w:rPr>
          <w:rFonts w:asciiTheme="majorHAnsi" w:hAnsiTheme="majorHAnsi" w:cstheme="majorHAnsi"/>
          <w:b w:val="0"/>
          <w:bCs w:val="0"/>
          <w:sz w:val="16"/>
          <w:szCs w:val="16"/>
        </w:rPr>
      </w:pPr>
      <w:r w:rsidRPr="00964A64">
        <w:rPr>
          <w:rStyle w:val="ab"/>
          <w:rFonts w:asciiTheme="majorHAnsi" w:hAnsiTheme="majorHAnsi" w:cstheme="majorHAnsi"/>
          <w:b w:val="0"/>
          <w:bCs w:val="0"/>
          <w:sz w:val="16"/>
          <w:szCs w:val="16"/>
        </w:rPr>
        <w:footnoteRef/>
      </w:r>
      <w:r w:rsidRPr="00964A64">
        <w:rPr>
          <w:rFonts w:asciiTheme="majorHAnsi" w:hAnsiTheme="majorHAnsi" w:cstheme="majorHAnsi"/>
          <w:b w:val="0"/>
          <w:bCs w:val="0"/>
          <w:sz w:val="16"/>
          <w:szCs w:val="16"/>
        </w:rPr>
        <w:t xml:space="preserve"> Legea nr.154/2015 pentru modificarea și completarea unor acte legislative.</w:t>
      </w:r>
    </w:p>
  </w:footnote>
  <w:footnote w:id="102">
    <w:p w:rsidR="00510CDB" w:rsidRDefault="00510CDB">
      <w:pPr>
        <w:pStyle w:val="a9"/>
        <w:jc w:val="both"/>
        <w:rPr>
          <w:rFonts w:asciiTheme="majorHAnsi" w:hAnsiTheme="majorHAnsi" w:cstheme="majorHAnsi"/>
          <w:b w:val="0"/>
          <w:bCs w:val="0"/>
          <w:sz w:val="16"/>
          <w:szCs w:val="16"/>
        </w:rPr>
      </w:pPr>
      <w:r w:rsidRPr="00BC28D6">
        <w:rPr>
          <w:rStyle w:val="ab"/>
          <w:rFonts w:asciiTheme="majorHAnsi" w:hAnsiTheme="majorHAnsi" w:cstheme="majorHAnsi"/>
          <w:b w:val="0"/>
          <w:bCs w:val="0"/>
          <w:sz w:val="16"/>
          <w:szCs w:val="16"/>
        </w:rPr>
        <w:footnoteRef/>
      </w:r>
      <w:r w:rsidRPr="00BC28D6">
        <w:rPr>
          <w:rStyle w:val="ab"/>
          <w:rFonts w:asciiTheme="majorHAnsi" w:hAnsiTheme="majorHAnsi" w:cstheme="majorHAnsi"/>
          <w:b w:val="0"/>
          <w:bCs w:val="0"/>
          <w:sz w:val="16"/>
          <w:szCs w:val="16"/>
        </w:rPr>
        <w:t xml:space="preserve"> </w:t>
      </w:r>
      <w:r w:rsidRPr="00BC28D6">
        <w:rPr>
          <w:rFonts w:asciiTheme="majorHAnsi" w:hAnsiTheme="majorHAnsi" w:cstheme="majorHAnsi"/>
          <w:b w:val="0"/>
          <w:bCs w:val="0"/>
          <w:sz w:val="16"/>
          <w:szCs w:val="16"/>
        </w:rPr>
        <w:t>Legea drumurilor nr. 509/1995, Legea nr. 592/1995 privind transportul prin conducte magistrale, Legea aviației civile nr. 1237/1997, Legea nr. 272/1999 cu privire la apa potabilă, Codul navigaţiei maritime comerciale al Republicii Moldova, aprobat prin Legea nr.599/1999, Legea nr. 461/2001 privind piaţa produselor petroliere, Legea serviciilor publice de gospodărie comunală nr. 1402/2002, Codul transportului feroviar nr. 309/2003, Legea comunicaţiilor electronice nr. 241/2007, Legea nr.123/2009 cu privire la gazele naturale, Legea nr. 124/2009 cu privire la energia electrică</w:t>
      </w:r>
      <w:r>
        <w:rPr>
          <w:rFonts w:asciiTheme="majorHAnsi" w:hAnsiTheme="majorHAnsi" w:cstheme="majorHAnsi"/>
          <w:b w:val="0"/>
          <w:bCs w:val="0"/>
          <w:sz w:val="16"/>
          <w:szCs w:val="16"/>
        </w:rPr>
        <w:t>.</w:t>
      </w:r>
    </w:p>
  </w:footnote>
  <w:footnote w:id="103">
    <w:p w:rsidR="00510CDB" w:rsidRPr="00EB476E" w:rsidRDefault="00510CDB" w:rsidP="00A30A37">
      <w:pPr>
        <w:pStyle w:val="a9"/>
        <w:jc w:val="both"/>
        <w:rPr>
          <w:rFonts w:asciiTheme="majorHAnsi" w:hAnsiTheme="majorHAnsi" w:cstheme="majorHAnsi"/>
          <w:b w:val="0"/>
          <w:bCs w:val="0"/>
          <w:color w:val="000000" w:themeColor="text1"/>
          <w:sz w:val="16"/>
          <w:szCs w:val="16"/>
        </w:rPr>
      </w:pPr>
      <w:r w:rsidRPr="00A30A37">
        <w:rPr>
          <w:rStyle w:val="ab"/>
          <w:rFonts w:asciiTheme="majorHAnsi" w:hAnsiTheme="majorHAnsi" w:cstheme="majorHAnsi"/>
          <w:b w:val="0"/>
          <w:bCs w:val="0"/>
          <w:color w:val="000000" w:themeColor="text1"/>
          <w:sz w:val="16"/>
          <w:szCs w:val="16"/>
        </w:rPr>
        <w:footnoteRef/>
      </w:r>
      <w:r w:rsidRPr="00A30A37">
        <w:rPr>
          <w:rFonts w:asciiTheme="majorHAnsi" w:hAnsiTheme="majorHAnsi" w:cstheme="majorHAnsi"/>
          <w:b w:val="0"/>
          <w:bCs w:val="0"/>
          <w:color w:val="000000" w:themeColor="text1"/>
          <w:sz w:val="16"/>
          <w:szCs w:val="16"/>
        </w:rPr>
        <w:t xml:space="preserve"> Pct.2 din HG nr.133/2014</w:t>
      </w:r>
      <w:r>
        <w:rPr>
          <w:rFonts w:asciiTheme="majorHAnsi" w:hAnsiTheme="majorHAnsi" w:cstheme="majorHAnsi"/>
          <w:b w:val="0"/>
          <w:bCs w:val="0"/>
          <w:color w:val="000000" w:themeColor="text1"/>
          <w:sz w:val="16"/>
          <w:szCs w:val="16"/>
        </w:rPr>
        <w:t xml:space="preserve"> </w:t>
      </w:r>
      <w:r w:rsidRPr="00EB476E">
        <w:rPr>
          <w:rFonts w:asciiTheme="majorHAnsi" w:hAnsiTheme="majorHAnsi" w:cstheme="majorHAnsi"/>
          <w:b w:val="0"/>
          <w:bCs w:val="0"/>
          <w:color w:val="000000" w:themeColor="text1"/>
          <w:sz w:val="16"/>
          <w:szCs w:val="16"/>
        </w:rPr>
        <w:t>cu privire la crearea sistemului informaţional automatizat „Registrul obiectelor de infrastructură tehnico-edilitară”.</w:t>
      </w:r>
    </w:p>
  </w:footnote>
  <w:footnote w:id="104">
    <w:p w:rsidR="00510CDB" w:rsidRPr="00364E0F" w:rsidRDefault="00510CDB" w:rsidP="00964A64">
      <w:pPr>
        <w:pStyle w:val="4"/>
        <w:shd w:val="clear" w:color="auto" w:fill="FFFFFF"/>
        <w:spacing w:before="0"/>
        <w:jc w:val="both"/>
        <w:rPr>
          <w:rFonts w:eastAsiaTheme="minorHAnsi" w:cstheme="majorHAnsi"/>
          <w:b w:val="0"/>
          <w:bCs w:val="0"/>
          <w:i w:val="0"/>
          <w:color w:val="auto"/>
          <w:sz w:val="16"/>
          <w:szCs w:val="16"/>
          <w:shd w:val="clear" w:color="auto" w:fill="FFFFFF"/>
        </w:rPr>
      </w:pPr>
      <w:r w:rsidRPr="00A30A37">
        <w:rPr>
          <w:rStyle w:val="ab"/>
          <w:rFonts w:cstheme="majorHAnsi"/>
          <w:b w:val="0"/>
          <w:bCs w:val="0"/>
          <w:i w:val="0"/>
          <w:color w:val="000000" w:themeColor="text1"/>
          <w:sz w:val="16"/>
          <w:szCs w:val="16"/>
        </w:rPr>
        <w:footnoteRef/>
      </w:r>
      <w:r w:rsidRPr="00A30A37">
        <w:rPr>
          <w:rFonts w:cstheme="majorHAnsi"/>
          <w:b w:val="0"/>
          <w:bCs w:val="0"/>
          <w:i w:val="0"/>
          <w:color w:val="000000" w:themeColor="text1"/>
          <w:sz w:val="16"/>
          <w:szCs w:val="16"/>
        </w:rPr>
        <w:t xml:space="preserve"> </w:t>
      </w:r>
      <w:r w:rsidRPr="00964A64">
        <w:rPr>
          <w:rFonts w:eastAsiaTheme="minorHAnsi" w:cstheme="majorHAnsi"/>
          <w:b w:val="0"/>
          <w:bCs w:val="0"/>
          <w:i w:val="0"/>
          <w:color w:val="auto"/>
          <w:sz w:val="16"/>
          <w:szCs w:val="16"/>
          <w:shd w:val="clear" w:color="auto" w:fill="FFFFFF"/>
        </w:rPr>
        <w:t>L</w:t>
      </w:r>
      <w:r>
        <w:rPr>
          <w:rFonts w:eastAsiaTheme="minorHAnsi" w:cstheme="majorHAnsi"/>
          <w:b w:val="0"/>
          <w:bCs w:val="0"/>
          <w:i w:val="0"/>
          <w:color w:val="auto"/>
          <w:sz w:val="16"/>
          <w:szCs w:val="16"/>
          <w:shd w:val="clear" w:color="auto" w:fill="FFFFFF"/>
        </w:rPr>
        <w:t>egea</w:t>
      </w:r>
      <w:r w:rsidRPr="00964A64">
        <w:rPr>
          <w:rFonts w:eastAsiaTheme="minorHAnsi" w:cstheme="majorHAnsi"/>
          <w:b w:val="0"/>
          <w:bCs w:val="0"/>
          <w:i w:val="0"/>
          <w:color w:val="auto"/>
          <w:sz w:val="16"/>
          <w:szCs w:val="16"/>
          <w:shd w:val="clear" w:color="auto" w:fill="FFFFFF"/>
        </w:rPr>
        <w:t> nr.240 din 08</w:t>
      </w:r>
      <w:r>
        <w:rPr>
          <w:rFonts w:eastAsiaTheme="minorHAnsi" w:cstheme="majorHAnsi"/>
          <w:b w:val="0"/>
          <w:bCs w:val="0"/>
          <w:i w:val="0"/>
          <w:color w:val="auto"/>
          <w:sz w:val="16"/>
          <w:szCs w:val="16"/>
          <w:shd w:val="clear" w:color="auto" w:fill="FFFFFF"/>
        </w:rPr>
        <w:t>.</w:t>
      </w:r>
      <w:r w:rsidRPr="00964A64">
        <w:rPr>
          <w:rFonts w:eastAsiaTheme="minorHAnsi" w:cstheme="majorHAnsi"/>
          <w:b w:val="0"/>
          <w:bCs w:val="0"/>
          <w:i w:val="0"/>
          <w:color w:val="auto"/>
          <w:sz w:val="16"/>
          <w:szCs w:val="16"/>
          <w:shd w:val="clear" w:color="auto" w:fill="FFFFFF"/>
        </w:rPr>
        <w:t>11</w:t>
      </w:r>
      <w:r>
        <w:rPr>
          <w:rFonts w:eastAsiaTheme="minorHAnsi" w:cstheme="majorHAnsi"/>
          <w:b w:val="0"/>
          <w:bCs w:val="0"/>
          <w:i w:val="0"/>
          <w:color w:val="auto"/>
          <w:sz w:val="16"/>
          <w:szCs w:val="16"/>
          <w:shd w:val="clear" w:color="auto" w:fill="FFFFFF"/>
        </w:rPr>
        <w:t>.</w:t>
      </w:r>
      <w:r w:rsidRPr="00964A64">
        <w:rPr>
          <w:rFonts w:eastAsiaTheme="minorHAnsi" w:cstheme="majorHAnsi"/>
          <w:b w:val="0"/>
          <w:bCs w:val="0"/>
          <w:i w:val="0"/>
          <w:color w:val="auto"/>
          <w:sz w:val="16"/>
          <w:szCs w:val="16"/>
          <w:shd w:val="clear" w:color="auto" w:fill="FFFFFF"/>
        </w:rPr>
        <w:t xml:space="preserve">2018 pentru ratificarea Acordului de finanţare dintre Republica Moldova şi Asociaţia </w:t>
      </w:r>
      <w:r w:rsidRPr="00964A64">
        <w:rPr>
          <w:rFonts w:eastAsiaTheme="minorHAnsi" w:cstheme="majorHAnsi"/>
          <w:b w:val="0"/>
          <w:bCs w:val="0"/>
          <w:i w:val="0"/>
          <w:color w:val="auto"/>
          <w:sz w:val="16"/>
          <w:szCs w:val="16"/>
        </w:rPr>
        <w:t>Internaţională pentru Dezvoltare în vederea</w:t>
      </w:r>
      <w:r w:rsidRPr="00364E0F">
        <w:rPr>
          <w:rFonts w:eastAsiaTheme="minorHAnsi" w:cstheme="majorHAnsi"/>
          <w:b w:val="0"/>
          <w:bCs w:val="0"/>
          <w:i w:val="0"/>
          <w:color w:val="auto"/>
          <w:sz w:val="16"/>
          <w:szCs w:val="16"/>
        </w:rPr>
        <w:t xml:space="preserve"> realizării Proiectului de înregistrare şi evaluare funciară.</w:t>
      </w:r>
    </w:p>
  </w:footnote>
  <w:footnote w:id="105">
    <w:p w:rsidR="00510CDB" w:rsidRPr="00080433" w:rsidRDefault="00510CDB" w:rsidP="00A30A37">
      <w:pPr>
        <w:pStyle w:val="a9"/>
        <w:jc w:val="both"/>
        <w:rPr>
          <w:b w:val="0"/>
          <w:bCs w:val="0"/>
        </w:rPr>
      </w:pPr>
      <w:r w:rsidRPr="00080433">
        <w:rPr>
          <w:rStyle w:val="ab"/>
          <w:rFonts w:asciiTheme="majorHAnsi" w:hAnsiTheme="majorHAnsi" w:cstheme="majorHAnsi"/>
          <w:b w:val="0"/>
          <w:bCs w:val="0"/>
          <w:sz w:val="16"/>
          <w:szCs w:val="16"/>
        </w:rPr>
        <w:footnoteRef/>
      </w:r>
      <w:r w:rsidRPr="00080433">
        <w:rPr>
          <w:rFonts w:asciiTheme="majorHAnsi" w:hAnsiTheme="majorHAnsi" w:cstheme="majorHAnsi"/>
          <w:b w:val="0"/>
          <w:bCs w:val="0"/>
          <w:sz w:val="16"/>
          <w:szCs w:val="16"/>
        </w:rPr>
        <w:t xml:space="preserve"> Componenta 2.6 C.</w:t>
      </w:r>
    </w:p>
  </w:footnote>
  <w:footnote w:id="106">
    <w:p w:rsidR="00510CDB" w:rsidRPr="00364E0F" w:rsidRDefault="00510CDB" w:rsidP="00E76430">
      <w:pPr>
        <w:pStyle w:val="a9"/>
        <w:jc w:val="both"/>
        <w:rPr>
          <w:rFonts w:asciiTheme="majorHAnsi" w:hAnsiTheme="majorHAnsi" w:cstheme="majorHAnsi"/>
          <w:b w:val="0"/>
          <w:sz w:val="16"/>
          <w:szCs w:val="16"/>
        </w:rPr>
      </w:pPr>
      <w:r w:rsidRPr="00364E0F">
        <w:rPr>
          <w:rStyle w:val="ab"/>
          <w:rFonts w:asciiTheme="majorHAnsi" w:hAnsiTheme="majorHAnsi" w:cstheme="majorHAnsi"/>
          <w:b w:val="0"/>
          <w:sz w:val="16"/>
          <w:szCs w:val="16"/>
        </w:rPr>
        <w:footnoteRef/>
      </w:r>
      <w:r w:rsidRPr="00364E0F">
        <w:rPr>
          <w:rFonts w:asciiTheme="majorHAnsi" w:hAnsiTheme="majorHAnsi" w:cstheme="majorHAnsi"/>
          <w:b w:val="0"/>
          <w:sz w:val="16"/>
          <w:szCs w:val="16"/>
        </w:rPr>
        <w:t xml:space="preserve"> Ministerul Infrastructurii şi Dezvoltării Regionale, Ministerul Mediului, ARFC, ANRCETI, Agenţia „Apele Moldovei” şi unii titulari ai obiectivelor de infrastructură tehnico-edilitară.</w:t>
      </w:r>
    </w:p>
  </w:footnote>
  <w:footnote w:id="107">
    <w:p w:rsidR="00510CDB" w:rsidRPr="00F335B9" w:rsidRDefault="00510CDB" w:rsidP="00E76430">
      <w:pPr>
        <w:pStyle w:val="a9"/>
        <w:jc w:val="both"/>
        <w:rPr>
          <w:rFonts w:asciiTheme="majorHAnsi" w:hAnsiTheme="majorHAnsi" w:cstheme="majorHAnsi"/>
          <w:b w:val="0"/>
          <w:bCs w:val="0"/>
          <w:sz w:val="16"/>
          <w:szCs w:val="16"/>
        </w:rPr>
      </w:pPr>
      <w:r w:rsidRPr="00F335B9">
        <w:rPr>
          <w:rStyle w:val="ab"/>
          <w:rFonts w:asciiTheme="majorHAnsi" w:hAnsiTheme="majorHAnsi" w:cstheme="majorHAnsi"/>
          <w:b w:val="0"/>
          <w:bCs w:val="0"/>
          <w:sz w:val="16"/>
          <w:szCs w:val="16"/>
        </w:rPr>
        <w:footnoteRef/>
      </w:r>
      <w:r w:rsidRPr="00F335B9">
        <w:rPr>
          <w:rFonts w:asciiTheme="majorHAnsi" w:hAnsiTheme="majorHAnsi" w:cstheme="majorHAnsi"/>
          <w:b w:val="0"/>
          <w:bCs w:val="0"/>
          <w:sz w:val="16"/>
          <w:szCs w:val="16"/>
        </w:rPr>
        <w:t xml:space="preserve"> Contractul MD-PSA-291927-CS-INDV din 29.09.2022</w:t>
      </w:r>
      <w:r>
        <w:rPr>
          <w:rFonts w:asciiTheme="majorHAnsi" w:hAnsiTheme="majorHAnsi" w:cstheme="majorHAnsi"/>
          <w:b w:val="0"/>
          <w:bCs w:val="0"/>
          <w:sz w:val="16"/>
          <w:szCs w:val="16"/>
        </w:rPr>
        <w:t>,</w:t>
      </w:r>
      <w:r w:rsidRPr="00F335B9">
        <w:rPr>
          <w:rFonts w:asciiTheme="majorHAnsi" w:hAnsiTheme="majorHAnsi" w:cstheme="majorHAnsi"/>
          <w:b w:val="0"/>
          <w:bCs w:val="0"/>
          <w:sz w:val="16"/>
          <w:szCs w:val="16"/>
        </w:rPr>
        <w:t xml:space="preserve"> în valoare de 78,4 mii </w:t>
      </w:r>
      <w:r>
        <w:rPr>
          <w:rFonts w:asciiTheme="majorHAnsi" w:hAnsiTheme="majorHAnsi" w:cstheme="majorHAnsi"/>
          <w:b w:val="0"/>
          <w:bCs w:val="0"/>
          <w:sz w:val="16"/>
          <w:szCs w:val="16"/>
        </w:rPr>
        <w:t>euro</w:t>
      </w:r>
      <w:r w:rsidRPr="00F335B9">
        <w:rPr>
          <w:rFonts w:asciiTheme="majorHAnsi" w:hAnsiTheme="majorHAnsi" w:cstheme="majorHAnsi"/>
          <w:b w:val="0"/>
          <w:bCs w:val="0"/>
          <w:sz w:val="16"/>
          <w:szCs w:val="16"/>
        </w:rPr>
        <w:t>, semnat pentru 12 luni, cu normă întreagă, cu posibilă prelungire şi includer</w:t>
      </w:r>
      <w:r>
        <w:rPr>
          <w:rFonts w:asciiTheme="majorHAnsi" w:hAnsiTheme="majorHAnsi" w:cstheme="majorHAnsi"/>
          <w:b w:val="0"/>
          <w:bCs w:val="0"/>
          <w:sz w:val="16"/>
          <w:szCs w:val="16"/>
        </w:rPr>
        <w:t>e a</w:t>
      </w:r>
      <w:r w:rsidRPr="00F335B9">
        <w:rPr>
          <w:rFonts w:asciiTheme="majorHAnsi" w:hAnsiTheme="majorHAnsi" w:cstheme="majorHAnsi"/>
          <w:b w:val="0"/>
          <w:bCs w:val="0"/>
          <w:sz w:val="16"/>
          <w:szCs w:val="16"/>
        </w:rPr>
        <w:t xml:space="preserve"> altor activități legate de dezvoltarea SIA ROITE.</w:t>
      </w:r>
    </w:p>
  </w:footnote>
  <w:footnote w:id="108">
    <w:p w:rsidR="00510CDB" w:rsidRPr="00F335B9" w:rsidRDefault="00510CDB" w:rsidP="00E76430">
      <w:pPr>
        <w:pStyle w:val="a9"/>
        <w:jc w:val="both"/>
        <w:rPr>
          <w:rFonts w:asciiTheme="majorHAnsi" w:hAnsiTheme="majorHAnsi" w:cstheme="majorHAnsi"/>
          <w:b w:val="0"/>
          <w:bCs w:val="0"/>
          <w:sz w:val="16"/>
          <w:szCs w:val="16"/>
        </w:rPr>
      </w:pPr>
      <w:r w:rsidRPr="00F335B9">
        <w:rPr>
          <w:rStyle w:val="ab"/>
          <w:rFonts w:asciiTheme="majorHAnsi" w:hAnsiTheme="majorHAnsi" w:cstheme="majorHAnsi"/>
          <w:b w:val="0"/>
          <w:bCs w:val="0"/>
          <w:sz w:val="16"/>
          <w:szCs w:val="16"/>
        </w:rPr>
        <w:footnoteRef/>
      </w:r>
      <w:r w:rsidRPr="00F335B9">
        <w:rPr>
          <w:rFonts w:asciiTheme="majorHAnsi" w:hAnsiTheme="majorHAnsi" w:cstheme="majorHAnsi"/>
          <w:b w:val="0"/>
          <w:bCs w:val="0"/>
          <w:sz w:val="16"/>
          <w:szCs w:val="16"/>
        </w:rPr>
        <w:t xml:space="preserve"> Specificația tehnică ar trebui să ofere recomandări și cerințe pentru registrul utilităților publice,  model de date, bazat pe specificațiile de date INSPIRE.</w:t>
      </w:r>
    </w:p>
  </w:footnote>
  <w:footnote w:id="109">
    <w:p w:rsidR="00510CDB" w:rsidRPr="00A30A37" w:rsidRDefault="00510CDB" w:rsidP="00E76430">
      <w:pPr>
        <w:pStyle w:val="a9"/>
        <w:rPr>
          <w:rFonts w:asciiTheme="majorHAnsi" w:hAnsiTheme="majorHAnsi" w:cstheme="majorHAnsi"/>
          <w:b w:val="0"/>
          <w:bCs w:val="0"/>
          <w:sz w:val="16"/>
          <w:szCs w:val="16"/>
        </w:rPr>
      </w:pPr>
      <w:r w:rsidRPr="00F335B9">
        <w:rPr>
          <w:rStyle w:val="ab"/>
          <w:rFonts w:asciiTheme="majorHAnsi" w:hAnsiTheme="majorHAnsi" w:cstheme="majorHAnsi"/>
          <w:b w:val="0"/>
          <w:bCs w:val="0"/>
          <w:sz w:val="16"/>
          <w:szCs w:val="16"/>
        </w:rPr>
        <w:footnoteRef/>
      </w:r>
      <w:r w:rsidRPr="00F335B9">
        <w:rPr>
          <w:rFonts w:asciiTheme="majorHAnsi" w:hAnsiTheme="majorHAnsi" w:cstheme="majorHAnsi"/>
          <w:b w:val="0"/>
          <w:bCs w:val="0"/>
          <w:sz w:val="16"/>
          <w:szCs w:val="16"/>
        </w:rPr>
        <w:t xml:space="preserve"> </w:t>
      </w:r>
      <w:hyperlink r:id="rId1" w:history="1">
        <w:r w:rsidRPr="00F335B9">
          <w:rPr>
            <w:rStyle w:val="af4"/>
            <w:rFonts w:asciiTheme="majorHAnsi" w:hAnsiTheme="majorHAnsi" w:cstheme="majorHAnsi"/>
            <w:b w:val="0"/>
            <w:bCs w:val="0"/>
            <w:sz w:val="16"/>
            <w:szCs w:val="16"/>
          </w:rPr>
          <w:t>https://www.asp.gov.md/ro/pief/procurari/anunturi/MD-PSA-346761-GO-RFB</w:t>
        </w:r>
      </w:hyperlink>
    </w:p>
  </w:footnote>
  <w:footnote w:id="110">
    <w:p w:rsidR="00510CDB" w:rsidRPr="00A30A37" w:rsidRDefault="00510CDB" w:rsidP="00E76430">
      <w:pPr>
        <w:pStyle w:val="a9"/>
        <w:rPr>
          <w:rFonts w:asciiTheme="majorHAnsi" w:hAnsiTheme="majorHAnsi" w:cstheme="majorHAnsi"/>
          <w:sz w:val="16"/>
          <w:szCs w:val="16"/>
        </w:rPr>
      </w:pPr>
      <w:r w:rsidRPr="00A30A37">
        <w:rPr>
          <w:rStyle w:val="ab"/>
          <w:rFonts w:asciiTheme="majorHAnsi" w:hAnsiTheme="majorHAnsi" w:cstheme="majorHAnsi"/>
          <w:b w:val="0"/>
          <w:bCs w:val="0"/>
          <w:sz w:val="16"/>
          <w:szCs w:val="16"/>
        </w:rPr>
        <w:footnoteRef/>
      </w:r>
      <w:r w:rsidRPr="00A30A37">
        <w:rPr>
          <w:rFonts w:asciiTheme="majorHAnsi" w:hAnsiTheme="majorHAnsi" w:cstheme="majorHAnsi"/>
          <w:b w:val="0"/>
          <w:bCs w:val="0"/>
          <w:sz w:val="16"/>
          <w:szCs w:val="16"/>
        </w:rPr>
        <w:t xml:space="preserve"> </w:t>
      </w:r>
      <w:r w:rsidRPr="00F335B9">
        <w:rPr>
          <w:rFonts w:asciiTheme="majorHAnsi" w:hAnsiTheme="majorHAnsi" w:cstheme="majorHAnsi"/>
          <w:b w:val="0"/>
          <w:bCs w:val="0"/>
          <w:sz w:val="16"/>
          <w:szCs w:val="16"/>
        </w:rPr>
        <w:t>Contractul MD-PSA-280834-CS-CDS din 22.04.2022</w:t>
      </w:r>
      <w:r>
        <w:rPr>
          <w:rFonts w:asciiTheme="majorHAnsi" w:hAnsiTheme="majorHAnsi" w:cstheme="majorHAnsi"/>
          <w:b w:val="0"/>
          <w:bCs w:val="0"/>
          <w:sz w:val="16"/>
          <w:szCs w:val="16"/>
        </w:rPr>
        <w:t>,</w:t>
      </w:r>
      <w:r w:rsidRPr="00F335B9">
        <w:rPr>
          <w:rFonts w:asciiTheme="majorHAnsi" w:hAnsiTheme="majorHAnsi" w:cstheme="majorHAnsi"/>
          <w:b w:val="0"/>
          <w:bCs w:val="0"/>
          <w:sz w:val="16"/>
          <w:szCs w:val="16"/>
        </w:rPr>
        <w:t xml:space="preserve"> în valoare de 22,0 mii </w:t>
      </w:r>
      <w:r>
        <w:rPr>
          <w:rFonts w:asciiTheme="majorHAnsi" w:hAnsiTheme="majorHAnsi" w:cstheme="majorHAnsi"/>
          <w:b w:val="0"/>
          <w:bCs w:val="0"/>
          <w:sz w:val="16"/>
          <w:szCs w:val="16"/>
        </w:rPr>
        <w:t>euro</w:t>
      </w:r>
      <w:r w:rsidRPr="00F335B9">
        <w:rPr>
          <w:rFonts w:asciiTheme="majorHAnsi" w:hAnsiTheme="majorHAnsi" w:cstheme="majorHAnsi"/>
          <w:b w:val="0"/>
          <w:bCs w:val="0"/>
          <w:sz w:val="16"/>
          <w:szCs w:val="16"/>
        </w:rPr>
        <w:t>.</w:t>
      </w:r>
    </w:p>
  </w:footnote>
  <w:footnote w:id="111">
    <w:p w:rsidR="00510CDB" w:rsidRPr="00A30A37" w:rsidRDefault="00510CDB" w:rsidP="00E76430">
      <w:pPr>
        <w:pStyle w:val="a9"/>
        <w:jc w:val="both"/>
        <w:rPr>
          <w:rFonts w:asciiTheme="majorHAnsi" w:hAnsiTheme="majorHAnsi" w:cstheme="majorHAnsi"/>
          <w:b w:val="0"/>
          <w:bCs w:val="0"/>
          <w:sz w:val="16"/>
          <w:szCs w:val="16"/>
        </w:rPr>
      </w:pPr>
      <w:r w:rsidRPr="00A30A37">
        <w:rPr>
          <w:rStyle w:val="ab"/>
          <w:rFonts w:asciiTheme="majorHAnsi" w:hAnsiTheme="majorHAnsi" w:cstheme="majorHAnsi"/>
          <w:b w:val="0"/>
          <w:bCs w:val="0"/>
          <w:sz w:val="16"/>
          <w:szCs w:val="16"/>
        </w:rPr>
        <w:footnoteRef/>
      </w:r>
      <w:r w:rsidRPr="00A30A37">
        <w:rPr>
          <w:rFonts w:asciiTheme="majorHAnsi" w:hAnsiTheme="majorHAnsi" w:cstheme="majorHAnsi"/>
          <w:b w:val="0"/>
          <w:bCs w:val="0"/>
          <w:sz w:val="16"/>
          <w:szCs w:val="16"/>
        </w:rPr>
        <w:t xml:space="preserve"> În baza scrisorii Ministerului Finanțelor nr.14/3-07/213 din 26.04.2022, adresată Băncii Mondiale.</w:t>
      </w:r>
    </w:p>
  </w:footnote>
  <w:footnote w:id="112">
    <w:p w:rsidR="00510CDB" w:rsidRPr="0079768D" w:rsidRDefault="00510CDB" w:rsidP="00E76430">
      <w:pPr>
        <w:pStyle w:val="a9"/>
        <w:rPr>
          <w:rFonts w:asciiTheme="majorHAnsi" w:hAnsiTheme="majorHAnsi" w:cstheme="majorHAnsi"/>
          <w:b w:val="0"/>
          <w:bCs w:val="0"/>
          <w:sz w:val="16"/>
          <w:szCs w:val="16"/>
        </w:rPr>
      </w:pPr>
      <w:r w:rsidRPr="0079768D">
        <w:rPr>
          <w:rStyle w:val="ab"/>
          <w:rFonts w:asciiTheme="majorHAnsi" w:hAnsiTheme="majorHAnsi" w:cstheme="majorHAnsi"/>
          <w:b w:val="0"/>
          <w:bCs w:val="0"/>
          <w:sz w:val="16"/>
          <w:szCs w:val="16"/>
        </w:rPr>
        <w:footnoteRef/>
      </w:r>
      <w:r w:rsidRPr="0079768D">
        <w:rPr>
          <w:rFonts w:asciiTheme="majorHAnsi" w:hAnsiTheme="majorHAnsi" w:cstheme="majorHAnsi"/>
          <w:b w:val="0"/>
          <w:bCs w:val="0"/>
          <w:sz w:val="16"/>
          <w:szCs w:val="16"/>
        </w:rPr>
        <w:t xml:space="preserve"> Scrisoarea n</w:t>
      </w:r>
      <w:r>
        <w:rPr>
          <w:rFonts w:asciiTheme="majorHAnsi" w:hAnsiTheme="majorHAnsi" w:cstheme="majorHAnsi"/>
          <w:b w:val="0"/>
          <w:bCs w:val="0"/>
          <w:sz w:val="16"/>
          <w:szCs w:val="16"/>
        </w:rPr>
        <w:t>r</w:t>
      </w:r>
      <w:r w:rsidRPr="0079768D">
        <w:rPr>
          <w:rFonts w:asciiTheme="majorHAnsi" w:hAnsiTheme="majorHAnsi" w:cstheme="majorHAnsi"/>
          <w:b w:val="0"/>
          <w:bCs w:val="0"/>
          <w:sz w:val="16"/>
          <w:szCs w:val="16"/>
        </w:rPr>
        <w:t>. 36/01-08/1046 din 22.12.2022.</w:t>
      </w:r>
    </w:p>
  </w:footnote>
  <w:footnote w:id="113">
    <w:p w:rsidR="00510CDB" w:rsidRPr="0079768D" w:rsidRDefault="00510CDB" w:rsidP="00E76430">
      <w:pPr>
        <w:pStyle w:val="a9"/>
        <w:rPr>
          <w:rFonts w:asciiTheme="majorHAnsi" w:hAnsiTheme="majorHAnsi" w:cstheme="majorHAnsi"/>
          <w:b w:val="0"/>
          <w:bCs w:val="0"/>
          <w:sz w:val="16"/>
          <w:szCs w:val="16"/>
        </w:rPr>
      </w:pPr>
      <w:r w:rsidRPr="0079768D">
        <w:rPr>
          <w:rStyle w:val="ab"/>
          <w:rFonts w:asciiTheme="majorHAnsi" w:hAnsiTheme="majorHAnsi" w:cstheme="majorHAnsi"/>
          <w:b w:val="0"/>
          <w:bCs w:val="0"/>
          <w:sz w:val="16"/>
          <w:szCs w:val="16"/>
        </w:rPr>
        <w:footnoteRef/>
      </w:r>
      <w:r w:rsidRPr="0079768D">
        <w:rPr>
          <w:rFonts w:asciiTheme="majorHAnsi" w:hAnsiTheme="majorHAnsi" w:cstheme="majorHAnsi"/>
          <w:b w:val="0"/>
          <w:bCs w:val="0"/>
          <w:sz w:val="16"/>
          <w:szCs w:val="16"/>
        </w:rPr>
        <w:t xml:space="preserve"> Scrisoarea  nr. 36/01-06/705 din 24.8.2022.</w:t>
      </w:r>
    </w:p>
  </w:footnote>
  <w:footnote w:id="114">
    <w:p w:rsidR="00510CDB" w:rsidRPr="00BF1940" w:rsidRDefault="00510CDB" w:rsidP="003F4E1F">
      <w:pPr>
        <w:pStyle w:val="a9"/>
        <w:rPr>
          <w:rFonts w:asciiTheme="majorHAnsi" w:hAnsiTheme="majorHAnsi" w:cstheme="majorHAnsi"/>
          <w:b w:val="0"/>
          <w:sz w:val="16"/>
          <w:szCs w:val="16"/>
        </w:rPr>
      </w:pPr>
      <w:r w:rsidRPr="0038485C">
        <w:rPr>
          <w:rStyle w:val="ab"/>
          <w:rFonts w:asciiTheme="majorHAnsi" w:hAnsiTheme="majorHAnsi" w:cstheme="majorHAnsi"/>
          <w:b w:val="0"/>
          <w:sz w:val="16"/>
          <w:szCs w:val="16"/>
        </w:rPr>
        <w:footnoteRef/>
      </w:r>
      <w:r w:rsidRPr="00BF1940">
        <w:rPr>
          <w:rFonts w:asciiTheme="majorHAnsi" w:hAnsiTheme="majorHAnsi" w:cstheme="majorHAnsi"/>
          <w:b w:val="0"/>
          <w:sz w:val="16"/>
          <w:szCs w:val="16"/>
        </w:rPr>
        <w:t xml:space="preserve"> Art.4 și art.5 din Legea nr.182 din 19.12.2019 privind calitatea apei potabile.</w:t>
      </w:r>
    </w:p>
  </w:footnote>
  <w:footnote w:id="115">
    <w:p w:rsidR="00510CDB" w:rsidRPr="0038485C" w:rsidRDefault="00510CDB" w:rsidP="003F4E1F">
      <w:pPr>
        <w:pStyle w:val="a9"/>
        <w:rPr>
          <w:rFonts w:asciiTheme="majorHAnsi" w:hAnsiTheme="majorHAnsi" w:cstheme="majorHAnsi"/>
          <w:b w:val="0"/>
        </w:rPr>
      </w:pPr>
      <w:r w:rsidRPr="0038485C">
        <w:rPr>
          <w:rStyle w:val="ab"/>
          <w:rFonts w:asciiTheme="majorHAnsi" w:hAnsiTheme="majorHAnsi" w:cstheme="majorHAnsi"/>
          <w:b w:val="0"/>
          <w:sz w:val="16"/>
          <w:szCs w:val="16"/>
        </w:rPr>
        <w:footnoteRef/>
      </w:r>
      <w:r w:rsidRPr="00900806">
        <w:rPr>
          <w:rFonts w:asciiTheme="majorHAnsi" w:hAnsiTheme="majorHAnsi" w:cstheme="majorHAnsi"/>
          <w:b w:val="0"/>
          <w:sz w:val="16"/>
          <w:szCs w:val="16"/>
        </w:rPr>
        <w:t xml:space="preserve"> Art.7 din Legea nr.182 din 19.12.2019 privind calitatea apei potabile.</w:t>
      </w:r>
    </w:p>
  </w:footnote>
  <w:footnote w:id="116">
    <w:p w:rsidR="00510CDB" w:rsidRPr="0038485C" w:rsidRDefault="00510CDB" w:rsidP="003F4E1F">
      <w:pPr>
        <w:pStyle w:val="a9"/>
        <w:rPr>
          <w:rFonts w:asciiTheme="majorHAnsi" w:hAnsiTheme="majorHAnsi" w:cstheme="majorHAnsi"/>
          <w:b w:val="0"/>
          <w:sz w:val="16"/>
          <w:szCs w:val="16"/>
        </w:rPr>
      </w:pPr>
      <w:r w:rsidRPr="0038485C">
        <w:rPr>
          <w:rStyle w:val="ab"/>
          <w:rFonts w:asciiTheme="majorHAnsi" w:hAnsiTheme="majorHAnsi" w:cstheme="majorHAnsi"/>
          <w:b w:val="0"/>
          <w:sz w:val="16"/>
          <w:szCs w:val="16"/>
        </w:rPr>
        <w:footnoteRef/>
      </w:r>
      <w:r w:rsidRPr="0038485C">
        <w:rPr>
          <w:rFonts w:asciiTheme="majorHAnsi" w:hAnsiTheme="majorHAnsi" w:cstheme="majorHAnsi"/>
          <w:b w:val="0"/>
          <w:sz w:val="16"/>
          <w:szCs w:val="16"/>
        </w:rPr>
        <w:t xml:space="preserve"> Ordin</w:t>
      </w:r>
      <w:r>
        <w:rPr>
          <w:rFonts w:asciiTheme="majorHAnsi" w:hAnsiTheme="majorHAnsi" w:cstheme="majorHAnsi"/>
          <w:b w:val="0"/>
          <w:sz w:val="16"/>
          <w:szCs w:val="16"/>
        </w:rPr>
        <w:t>u</w:t>
      </w:r>
      <w:r w:rsidRPr="0038485C">
        <w:rPr>
          <w:rFonts w:asciiTheme="majorHAnsi" w:hAnsiTheme="majorHAnsi" w:cstheme="majorHAnsi"/>
          <w:b w:val="0"/>
          <w:sz w:val="16"/>
          <w:szCs w:val="16"/>
        </w:rPr>
        <w:t>l MS nr. 184 din 25.03.2016 „Cu privire la modernizarea și reorganizarea serviciului de Supraveghere de Stat a Sănătății Publice”</w:t>
      </w:r>
      <w:r>
        <w:rPr>
          <w:rFonts w:asciiTheme="majorHAnsi" w:hAnsiTheme="majorHAnsi" w:cstheme="majorHAnsi"/>
          <w:b w:val="0"/>
          <w:sz w:val="16"/>
          <w:szCs w:val="16"/>
        </w:rPr>
        <w:t>.</w:t>
      </w:r>
    </w:p>
  </w:footnote>
  <w:footnote w:id="117">
    <w:p w:rsidR="00510CDB" w:rsidRPr="0038485C" w:rsidRDefault="00510CDB" w:rsidP="003F4E1F">
      <w:pPr>
        <w:pStyle w:val="a9"/>
        <w:rPr>
          <w:rFonts w:asciiTheme="majorHAnsi" w:hAnsiTheme="majorHAnsi" w:cstheme="majorHAnsi"/>
          <w:sz w:val="16"/>
          <w:szCs w:val="16"/>
        </w:rPr>
      </w:pPr>
      <w:r w:rsidRPr="0038485C">
        <w:rPr>
          <w:rStyle w:val="ab"/>
          <w:rFonts w:asciiTheme="majorHAnsi" w:hAnsiTheme="majorHAnsi" w:cstheme="majorHAnsi"/>
          <w:b w:val="0"/>
          <w:sz w:val="16"/>
          <w:szCs w:val="16"/>
        </w:rPr>
        <w:footnoteRef/>
      </w:r>
      <w:r w:rsidRPr="0038485C">
        <w:rPr>
          <w:rFonts w:asciiTheme="majorHAnsi" w:hAnsiTheme="majorHAnsi" w:cstheme="majorHAnsi"/>
          <w:b w:val="0"/>
          <w:sz w:val="16"/>
          <w:szCs w:val="16"/>
        </w:rPr>
        <w:t xml:space="preserve"> H</w:t>
      </w:r>
      <w:r>
        <w:rPr>
          <w:rFonts w:asciiTheme="majorHAnsi" w:hAnsiTheme="majorHAnsi" w:cstheme="majorHAnsi"/>
          <w:b w:val="0"/>
          <w:sz w:val="16"/>
          <w:szCs w:val="16"/>
        </w:rPr>
        <w:t>G</w:t>
      </w:r>
      <w:r w:rsidRPr="0038485C">
        <w:rPr>
          <w:rFonts w:asciiTheme="majorHAnsi" w:hAnsiTheme="majorHAnsi" w:cstheme="majorHAnsi"/>
          <w:b w:val="0"/>
          <w:sz w:val="16"/>
          <w:szCs w:val="16"/>
        </w:rPr>
        <w:t xml:space="preserve"> nr.1090 din 18.12.2017 </w:t>
      </w:r>
      <w:r>
        <w:rPr>
          <w:rFonts w:asciiTheme="majorHAnsi" w:hAnsiTheme="majorHAnsi" w:cstheme="majorHAnsi"/>
          <w:b w:val="0"/>
          <w:sz w:val="16"/>
          <w:szCs w:val="16"/>
        </w:rPr>
        <w:t>„C</w:t>
      </w:r>
      <w:r w:rsidRPr="0038485C">
        <w:rPr>
          <w:rFonts w:asciiTheme="majorHAnsi" w:hAnsiTheme="majorHAnsi" w:cstheme="majorHAnsi"/>
          <w:b w:val="0"/>
          <w:sz w:val="16"/>
          <w:szCs w:val="16"/>
        </w:rPr>
        <w:t xml:space="preserve">u privire la organizarea și funcționarea Agenției </w:t>
      </w:r>
      <w:r>
        <w:rPr>
          <w:rFonts w:asciiTheme="majorHAnsi" w:hAnsiTheme="majorHAnsi" w:cstheme="majorHAnsi"/>
          <w:b w:val="0"/>
          <w:sz w:val="16"/>
          <w:szCs w:val="16"/>
        </w:rPr>
        <w:t>N</w:t>
      </w:r>
      <w:r w:rsidRPr="0038485C">
        <w:rPr>
          <w:rFonts w:asciiTheme="majorHAnsi" w:hAnsiTheme="majorHAnsi" w:cstheme="majorHAnsi"/>
          <w:b w:val="0"/>
          <w:sz w:val="16"/>
          <w:szCs w:val="16"/>
        </w:rPr>
        <w:t>aționale pentru Sănătate Publică</w:t>
      </w:r>
      <w:r>
        <w:rPr>
          <w:rFonts w:asciiTheme="majorHAnsi" w:hAnsiTheme="majorHAnsi" w:cstheme="majorHAnsi"/>
          <w:b w:val="0"/>
          <w:sz w:val="16"/>
          <w:szCs w:val="16"/>
        </w:rPr>
        <w:t>”</w:t>
      </w:r>
      <w:r w:rsidRPr="0038485C">
        <w:rPr>
          <w:rFonts w:asciiTheme="majorHAnsi" w:hAnsiTheme="majorHAnsi" w:cstheme="majorHAnsi"/>
          <w:b w:val="0"/>
          <w:sz w:val="16"/>
          <w:szCs w:val="16"/>
        </w:rPr>
        <w:t>.</w:t>
      </w:r>
    </w:p>
  </w:footnote>
  <w:footnote w:id="118">
    <w:p w:rsidR="00510CDB" w:rsidRPr="0074460F" w:rsidRDefault="00510CDB" w:rsidP="0074460F">
      <w:pPr>
        <w:autoSpaceDE w:val="0"/>
        <w:autoSpaceDN w:val="0"/>
        <w:adjustRightInd w:val="0"/>
        <w:jc w:val="both"/>
        <w:rPr>
          <w:rFonts w:asciiTheme="majorHAnsi" w:hAnsiTheme="majorHAnsi" w:cstheme="majorHAnsi"/>
          <w:b w:val="0"/>
          <w:sz w:val="16"/>
          <w:szCs w:val="16"/>
        </w:rPr>
      </w:pPr>
      <w:r w:rsidRPr="0074460F">
        <w:rPr>
          <w:rFonts w:asciiTheme="majorHAnsi" w:hAnsiTheme="majorHAnsi" w:cstheme="majorHAnsi"/>
          <w:b w:val="0"/>
          <w:sz w:val="16"/>
          <w:szCs w:val="16"/>
          <w:vertAlign w:val="superscript"/>
        </w:rPr>
        <w:footnoteRef/>
      </w:r>
      <w:r w:rsidRPr="0074460F">
        <w:rPr>
          <w:rFonts w:asciiTheme="majorHAnsi" w:hAnsiTheme="majorHAnsi" w:cstheme="majorHAnsi"/>
          <w:b w:val="0"/>
          <w:sz w:val="16"/>
          <w:szCs w:val="16"/>
          <w:vertAlign w:val="superscript"/>
        </w:rPr>
        <w:t xml:space="preserve"> </w:t>
      </w:r>
      <w:r w:rsidRPr="0074460F">
        <w:rPr>
          <w:rFonts w:asciiTheme="majorHAnsi" w:hAnsiTheme="majorHAnsi" w:cstheme="majorHAnsi"/>
          <w:b w:val="0"/>
          <w:sz w:val="16"/>
          <w:szCs w:val="16"/>
        </w:rPr>
        <w:t xml:space="preserve">Anexa la Legea nr. 182 din 19.12.2019  privind calitatea apei potabile. </w:t>
      </w:r>
    </w:p>
    <w:p w:rsidR="00510CDB" w:rsidRPr="0074460F" w:rsidRDefault="00510CDB" w:rsidP="0074460F">
      <w:pPr>
        <w:autoSpaceDE w:val="0"/>
        <w:autoSpaceDN w:val="0"/>
        <w:adjustRightInd w:val="0"/>
        <w:jc w:val="right"/>
        <w:rPr>
          <w:rFonts w:asciiTheme="majorHAnsi" w:hAnsiTheme="majorHAnsi" w:cs="Times New Roman"/>
          <w:b w:val="0"/>
          <w:sz w:val="24"/>
          <w:szCs w:val="24"/>
        </w:rPr>
      </w:pPr>
    </w:p>
    <w:p w:rsidR="00510CDB" w:rsidRPr="009C5F82" w:rsidRDefault="00510CDB" w:rsidP="00535924">
      <w:pPr>
        <w:rPr>
          <w:rFonts w:asciiTheme="majorHAnsi" w:hAnsiTheme="majorHAnsi" w:cs="Times New Roman"/>
          <w:b w:val="0"/>
          <w:sz w:val="24"/>
          <w:szCs w:val="24"/>
        </w:rPr>
      </w:pPr>
    </w:p>
    <w:p w:rsidR="00510CDB" w:rsidRPr="00535924" w:rsidRDefault="00510CDB">
      <w:pPr>
        <w:pStyle w:val="a9"/>
      </w:pPr>
    </w:p>
  </w:footnote>
  <w:footnote w:id="119">
    <w:p w:rsidR="00510CDB" w:rsidRPr="00102950" w:rsidRDefault="00510CDB" w:rsidP="00225AAD">
      <w:pPr>
        <w:pStyle w:val="a9"/>
        <w:jc w:val="both"/>
        <w:rPr>
          <w:rFonts w:asciiTheme="majorHAnsi" w:hAnsiTheme="majorHAnsi"/>
          <w:b w:val="0"/>
          <w:bCs w:val="0"/>
          <w:sz w:val="16"/>
          <w:szCs w:val="16"/>
        </w:rPr>
      </w:pPr>
      <w:r w:rsidRPr="00102950">
        <w:rPr>
          <w:rStyle w:val="ab"/>
          <w:rFonts w:asciiTheme="majorHAnsi" w:hAnsiTheme="majorHAnsi"/>
          <w:b w:val="0"/>
          <w:bCs w:val="0"/>
          <w:sz w:val="16"/>
          <w:szCs w:val="16"/>
        </w:rPr>
        <w:footnoteRef/>
      </w:r>
      <w:r w:rsidRPr="00102950">
        <w:rPr>
          <w:rFonts w:asciiTheme="majorHAnsi" w:hAnsiTheme="majorHAnsi"/>
          <w:b w:val="0"/>
          <w:bCs w:val="0"/>
          <w:sz w:val="16"/>
          <w:szCs w:val="16"/>
        </w:rPr>
        <w:t xml:space="preserve"> Prin Hotărârea ANRE nr.139/2017 au fost avizate tarif</w:t>
      </w:r>
      <w:r>
        <w:rPr>
          <w:rFonts w:asciiTheme="majorHAnsi" w:hAnsiTheme="majorHAnsi"/>
          <w:b w:val="0"/>
          <w:bCs w:val="0"/>
          <w:sz w:val="16"/>
          <w:szCs w:val="16"/>
        </w:rPr>
        <w:t>ele</w:t>
      </w:r>
      <w:r w:rsidRPr="00102950">
        <w:rPr>
          <w:rFonts w:asciiTheme="majorHAnsi" w:hAnsiTheme="majorHAnsi"/>
          <w:b w:val="0"/>
          <w:bCs w:val="0"/>
          <w:sz w:val="16"/>
          <w:szCs w:val="16"/>
        </w:rPr>
        <w:t xml:space="preserve"> pentru serviciul de alimentare cu apă – 20,09 lei</w:t>
      </w:r>
      <w:r>
        <w:rPr>
          <w:rFonts w:asciiTheme="majorHAnsi" w:hAnsiTheme="majorHAnsi"/>
          <w:b w:val="0"/>
          <w:bCs w:val="0"/>
          <w:sz w:val="16"/>
          <w:szCs w:val="16"/>
        </w:rPr>
        <w:t>,</w:t>
      </w:r>
      <w:r w:rsidRPr="00102950">
        <w:rPr>
          <w:rFonts w:asciiTheme="majorHAnsi" w:hAnsiTheme="majorHAnsi"/>
          <w:b w:val="0"/>
          <w:bCs w:val="0"/>
          <w:sz w:val="16"/>
          <w:szCs w:val="16"/>
        </w:rPr>
        <w:t xml:space="preserve"> şi serviciul de canalizare – 13,52 lei; prin Hotărârea ANRE nr.275/2019 au fost avizate tarif</w:t>
      </w:r>
      <w:r>
        <w:rPr>
          <w:rFonts w:asciiTheme="majorHAnsi" w:hAnsiTheme="majorHAnsi"/>
          <w:b w:val="0"/>
          <w:bCs w:val="0"/>
          <w:sz w:val="16"/>
          <w:szCs w:val="16"/>
        </w:rPr>
        <w:t>ele</w:t>
      </w:r>
      <w:r w:rsidRPr="00102950">
        <w:rPr>
          <w:rFonts w:asciiTheme="majorHAnsi" w:hAnsiTheme="majorHAnsi"/>
          <w:b w:val="0"/>
          <w:bCs w:val="0"/>
          <w:sz w:val="16"/>
          <w:szCs w:val="16"/>
        </w:rPr>
        <w:t xml:space="preserve"> pentru serviciul de alimentare cu apă – 20,77 lei</w:t>
      </w:r>
      <w:r>
        <w:rPr>
          <w:rFonts w:asciiTheme="majorHAnsi" w:hAnsiTheme="majorHAnsi"/>
          <w:b w:val="0"/>
          <w:bCs w:val="0"/>
          <w:sz w:val="16"/>
          <w:szCs w:val="16"/>
        </w:rPr>
        <w:t>,</w:t>
      </w:r>
      <w:r w:rsidRPr="00102950">
        <w:rPr>
          <w:rFonts w:asciiTheme="majorHAnsi" w:hAnsiTheme="majorHAnsi"/>
          <w:b w:val="0"/>
          <w:bCs w:val="0"/>
          <w:sz w:val="16"/>
          <w:szCs w:val="16"/>
        </w:rPr>
        <w:t xml:space="preserve"> şi serviciul de canalizare – 15,30 lei.</w:t>
      </w:r>
    </w:p>
  </w:footnote>
  <w:footnote w:id="120">
    <w:p w:rsidR="00510CDB" w:rsidRPr="00102950" w:rsidRDefault="00510CDB" w:rsidP="00D62C5D">
      <w:pPr>
        <w:pStyle w:val="a9"/>
        <w:jc w:val="both"/>
        <w:rPr>
          <w:rFonts w:asciiTheme="majorHAnsi" w:hAnsiTheme="majorHAnsi"/>
          <w:sz w:val="16"/>
          <w:szCs w:val="16"/>
        </w:rPr>
      </w:pPr>
      <w:r w:rsidRPr="00102950">
        <w:rPr>
          <w:rStyle w:val="ab"/>
          <w:rFonts w:asciiTheme="majorHAnsi" w:hAnsiTheme="majorHAnsi"/>
          <w:b w:val="0"/>
          <w:bCs w:val="0"/>
          <w:sz w:val="16"/>
          <w:szCs w:val="16"/>
        </w:rPr>
        <w:footnoteRef/>
      </w:r>
      <w:r w:rsidRPr="00102950">
        <w:rPr>
          <w:rFonts w:asciiTheme="majorHAnsi" w:hAnsiTheme="majorHAnsi"/>
          <w:b w:val="0"/>
          <w:bCs w:val="0"/>
          <w:sz w:val="16"/>
          <w:szCs w:val="16"/>
        </w:rPr>
        <w:t xml:space="preserve"> O nouă majorare a tarifului fiind aprobată de ANRE abia la 11.01.2023.</w:t>
      </w:r>
    </w:p>
  </w:footnote>
  <w:footnote w:id="121">
    <w:p w:rsidR="00510CDB" w:rsidRPr="006D1F7F" w:rsidRDefault="00510CDB" w:rsidP="00D62C5D">
      <w:pPr>
        <w:pStyle w:val="a9"/>
        <w:jc w:val="both"/>
        <w:rPr>
          <w:b w:val="0"/>
          <w:bCs w:val="0"/>
        </w:rPr>
      </w:pPr>
      <w:r w:rsidRPr="00102950">
        <w:rPr>
          <w:rStyle w:val="ab"/>
          <w:rFonts w:asciiTheme="majorHAnsi" w:hAnsiTheme="majorHAnsi"/>
          <w:b w:val="0"/>
          <w:bCs w:val="0"/>
          <w:sz w:val="16"/>
          <w:szCs w:val="16"/>
        </w:rPr>
        <w:footnoteRef/>
      </w:r>
      <w:r w:rsidRPr="00102950">
        <w:rPr>
          <w:rFonts w:asciiTheme="majorHAnsi" w:hAnsiTheme="majorHAnsi"/>
          <w:b w:val="0"/>
          <w:bCs w:val="0"/>
          <w:sz w:val="16"/>
          <w:szCs w:val="16"/>
        </w:rPr>
        <w:t xml:space="preserve"> S.A. „Apă</w:t>
      </w:r>
      <w:r>
        <w:rPr>
          <w:rFonts w:asciiTheme="majorHAnsi" w:hAnsiTheme="majorHAnsi"/>
          <w:b w:val="0"/>
          <w:bCs w:val="0"/>
          <w:sz w:val="16"/>
          <w:szCs w:val="16"/>
        </w:rPr>
        <w:t>-</w:t>
      </w:r>
      <w:r w:rsidRPr="00102950">
        <w:rPr>
          <w:rFonts w:asciiTheme="majorHAnsi" w:hAnsiTheme="majorHAnsi"/>
          <w:b w:val="0"/>
          <w:bCs w:val="0"/>
          <w:sz w:val="16"/>
          <w:szCs w:val="16"/>
        </w:rPr>
        <w:t>Canal Nisporeni</w:t>
      </w:r>
      <w:r>
        <w:rPr>
          <w:rFonts w:asciiTheme="majorHAnsi" w:hAnsiTheme="majorHAnsi"/>
          <w:b w:val="0"/>
          <w:bCs w:val="0"/>
          <w:sz w:val="16"/>
          <w:szCs w:val="16"/>
        </w:rPr>
        <w:t>”</w:t>
      </w:r>
      <w:r w:rsidRPr="00102950">
        <w:rPr>
          <w:rFonts w:asciiTheme="majorHAnsi" w:hAnsiTheme="majorHAnsi"/>
          <w:b w:val="0"/>
          <w:bCs w:val="0"/>
          <w:sz w:val="16"/>
          <w:szCs w:val="16"/>
        </w:rPr>
        <w:t xml:space="preserve"> a fost reorganizată</w:t>
      </w:r>
      <w:r>
        <w:rPr>
          <w:rFonts w:asciiTheme="majorHAnsi" w:hAnsiTheme="majorHAnsi"/>
          <w:b w:val="0"/>
          <w:bCs w:val="0"/>
          <w:sz w:val="16"/>
          <w:szCs w:val="16"/>
        </w:rPr>
        <w:t>, din care cauză</w:t>
      </w:r>
      <w:r w:rsidRPr="00102950">
        <w:rPr>
          <w:rFonts w:asciiTheme="majorHAnsi" w:hAnsiTheme="majorHAnsi"/>
          <w:b w:val="0"/>
          <w:bCs w:val="0"/>
          <w:sz w:val="16"/>
          <w:szCs w:val="16"/>
        </w:rPr>
        <w:t xml:space="preserve"> lips</w:t>
      </w:r>
      <w:r>
        <w:rPr>
          <w:rFonts w:asciiTheme="majorHAnsi" w:hAnsiTheme="majorHAnsi"/>
          <w:b w:val="0"/>
          <w:bCs w:val="0"/>
          <w:sz w:val="16"/>
          <w:szCs w:val="16"/>
        </w:rPr>
        <w:t>esc</w:t>
      </w:r>
      <w:r w:rsidRPr="00102950">
        <w:rPr>
          <w:rFonts w:asciiTheme="majorHAnsi" w:hAnsiTheme="majorHAnsi"/>
          <w:b w:val="0"/>
          <w:bCs w:val="0"/>
          <w:sz w:val="16"/>
          <w:szCs w:val="16"/>
        </w:rPr>
        <w:t xml:space="preserve"> date</w:t>
      </w:r>
      <w:r>
        <w:rPr>
          <w:rFonts w:asciiTheme="majorHAnsi" w:hAnsiTheme="majorHAnsi"/>
          <w:b w:val="0"/>
          <w:bCs w:val="0"/>
          <w:sz w:val="16"/>
          <w:szCs w:val="16"/>
        </w:rPr>
        <w:t>le</w:t>
      </w:r>
      <w:r w:rsidRPr="00102950">
        <w:rPr>
          <w:rFonts w:asciiTheme="majorHAnsi" w:hAnsiTheme="majorHAnsi"/>
          <w:b w:val="0"/>
          <w:bCs w:val="0"/>
          <w:sz w:val="16"/>
          <w:szCs w:val="16"/>
        </w:rPr>
        <w:t>.</w:t>
      </w:r>
    </w:p>
  </w:footnote>
  <w:footnote w:id="122">
    <w:p w:rsidR="00510CDB" w:rsidRPr="00F2277D" w:rsidRDefault="00510CDB" w:rsidP="004005AD">
      <w:pPr>
        <w:pStyle w:val="a9"/>
        <w:rPr>
          <w:rFonts w:asciiTheme="majorHAnsi" w:hAnsiTheme="majorHAnsi" w:cstheme="majorHAnsi"/>
          <w:b w:val="0"/>
          <w:bCs w:val="0"/>
          <w:sz w:val="16"/>
          <w:szCs w:val="16"/>
        </w:rPr>
      </w:pPr>
      <w:r w:rsidRPr="00F2277D">
        <w:rPr>
          <w:rStyle w:val="ab"/>
          <w:rFonts w:asciiTheme="majorHAnsi" w:hAnsiTheme="majorHAnsi" w:cstheme="majorHAnsi"/>
          <w:b w:val="0"/>
          <w:bCs w:val="0"/>
          <w:sz w:val="16"/>
          <w:szCs w:val="16"/>
        </w:rPr>
        <w:footnoteRef/>
      </w:r>
      <w:r w:rsidRPr="00F2277D">
        <w:rPr>
          <w:rFonts w:asciiTheme="majorHAnsi" w:hAnsiTheme="majorHAnsi" w:cstheme="majorHAnsi"/>
          <w:b w:val="0"/>
          <w:bCs w:val="0"/>
          <w:sz w:val="16"/>
          <w:szCs w:val="16"/>
        </w:rPr>
        <w:t xml:space="preserve"> La situaţia din 31.12.2021.</w:t>
      </w:r>
    </w:p>
  </w:footnote>
  <w:footnote w:id="123">
    <w:p w:rsidR="00510CDB" w:rsidRPr="008056D3" w:rsidRDefault="00510CDB" w:rsidP="004005AD">
      <w:pPr>
        <w:pStyle w:val="a9"/>
        <w:jc w:val="both"/>
        <w:rPr>
          <w:rFonts w:asciiTheme="majorHAnsi" w:hAnsiTheme="majorHAnsi" w:cstheme="majorHAnsi"/>
          <w:b w:val="0"/>
          <w:bCs w:val="0"/>
          <w:sz w:val="16"/>
          <w:szCs w:val="16"/>
        </w:rPr>
      </w:pPr>
      <w:r w:rsidRPr="008056D3">
        <w:rPr>
          <w:rStyle w:val="ab"/>
          <w:rFonts w:asciiTheme="majorHAnsi" w:hAnsiTheme="majorHAnsi" w:cstheme="majorHAnsi"/>
          <w:b w:val="0"/>
          <w:bCs w:val="0"/>
          <w:sz w:val="16"/>
          <w:szCs w:val="16"/>
        </w:rPr>
        <w:footnoteRef/>
      </w:r>
      <w:r w:rsidRPr="008056D3">
        <w:rPr>
          <w:rFonts w:asciiTheme="majorHAnsi" w:hAnsiTheme="majorHAnsi" w:cstheme="majorHAnsi"/>
          <w:b w:val="0"/>
          <w:bCs w:val="0"/>
          <w:sz w:val="16"/>
          <w:szCs w:val="16"/>
        </w:rPr>
        <w:t xml:space="preserve"> Au fost aprobate Deciziile CMC nr.8/1 și nr.18/2 din 03.11.2022 privind cesiunea Acordului de împrumut 44027, încheiat între Apa Canal Chișinău (ACC) și BERD și a Contractului de Finanțare FI 436 MD Serapis Nr. 2011 0235, încheiat între ACC și BEI.</w:t>
      </w:r>
    </w:p>
  </w:footnote>
  <w:footnote w:id="124">
    <w:p w:rsidR="00510CDB" w:rsidRPr="008056D3" w:rsidRDefault="00510CDB" w:rsidP="004005AD">
      <w:pPr>
        <w:pStyle w:val="a9"/>
        <w:jc w:val="both"/>
        <w:rPr>
          <w:rFonts w:asciiTheme="majorHAnsi" w:hAnsiTheme="majorHAnsi" w:cstheme="majorHAnsi"/>
          <w:b w:val="0"/>
          <w:bCs w:val="0"/>
          <w:sz w:val="16"/>
          <w:szCs w:val="16"/>
        </w:rPr>
      </w:pPr>
      <w:r w:rsidRPr="008056D3">
        <w:rPr>
          <w:rStyle w:val="ab"/>
          <w:rFonts w:asciiTheme="majorHAnsi" w:hAnsiTheme="majorHAnsi" w:cstheme="majorHAnsi"/>
          <w:b w:val="0"/>
          <w:bCs w:val="0"/>
          <w:sz w:val="16"/>
          <w:szCs w:val="16"/>
        </w:rPr>
        <w:footnoteRef/>
      </w:r>
      <w:r w:rsidRPr="008056D3">
        <w:rPr>
          <w:rFonts w:asciiTheme="majorHAnsi" w:hAnsiTheme="majorHAnsi" w:cstheme="majorHAnsi"/>
          <w:b w:val="0"/>
          <w:bCs w:val="0"/>
          <w:sz w:val="16"/>
          <w:szCs w:val="16"/>
        </w:rPr>
        <w:t xml:space="preserve"> Dintre care: comisioane de angajament/neutilizare – 1.135,5 mii euro, comisionare de derogare/micşorare – 33,7 mii euro, şi penalităţi – 2,4 mii euro.</w:t>
      </w:r>
    </w:p>
  </w:footnote>
  <w:footnote w:id="125">
    <w:p w:rsidR="00510CDB" w:rsidRPr="008056D3" w:rsidRDefault="00510CDB" w:rsidP="004005AD">
      <w:pPr>
        <w:pStyle w:val="a9"/>
        <w:jc w:val="both"/>
        <w:rPr>
          <w:rFonts w:asciiTheme="majorHAnsi" w:hAnsiTheme="majorHAnsi" w:cstheme="majorHAnsi"/>
          <w:b w:val="0"/>
          <w:bCs w:val="0"/>
          <w:sz w:val="16"/>
          <w:szCs w:val="16"/>
        </w:rPr>
      </w:pPr>
      <w:r w:rsidRPr="008056D3">
        <w:rPr>
          <w:rStyle w:val="ab"/>
          <w:rFonts w:asciiTheme="majorHAnsi" w:hAnsiTheme="majorHAnsi" w:cstheme="majorHAnsi"/>
          <w:b w:val="0"/>
          <w:bCs w:val="0"/>
          <w:sz w:val="16"/>
          <w:szCs w:val="16"/>
        </w:rPr>
        <w:footnoteRef/>
      </w:r>
      <w:r w:rsidRPr="008056D3">
        <w:rPr>
          <w:rFonts w:asciiTheme="majorHAnsi" w:hAnsiTheme="majorHAnsi" w:cstheme="majorHAnsi"/>
          <w:b w:val="0"/>
          <w:bCs w:val="0"/>
          <w:sz w:val="16"/>
          <w:szCs w:val="16"/>
        </w:rPr>
        <w:t xml:space="preserve"> Suplimentar la comisioanele de angajament/neutilizare, comisionare de derogare/micşorare şi penalităţi au fost achitate comisioanele iniţiale în vederea debursării împrumuturilor – 338,0 mil. lei, şi serviciile juridice – 70,0 mii euro.</w:t>
      </w:r>
    </w:p>
  </w:footnote>
  <w:footnote w:id="126">
    <w:p w:rsidR="00510CDB" w:rsidRPr="00237698" w:rsidRDefault="00510CDB" w:rsidP="004005AD">
      <w:pPr>
        <w:pStyle w:val="a9"/>
        <w:rPr>
          <w:sz w:val="16"/>
          <w:szCs w:val="16"/>
        </w:rPr>
      </w:pPr>
      <w:r w:rsidRPr="008056D3">
        <w:rPr>
          <w:rStyle w:val="ab"/>
          <w:rFonts w:asciiTheme="majorHAnsi" w:hAnsiTheme="majorHAnsi" w:cstheme="majorHAnsi"/>
          <w:b w:val="0"/>
          <w:bCs w:val="0"/>
          <w:sz w:val="16"/>
          <w:szCs w:val="16"/>
        </w:rPr>
        <w:footnoteRef/>
      </w:r>
      <w:r w:rsidRPr="008056D3">
        <w:rPr>
          <w:rFonts w:asciiTheme="majorHAnsi" w:hAnsiTheme="majorHAnsi" w:cstheme="majorHAnsi"/>
          <w:b w:val="0"/>
          <w:bCs w:val="0"/>
          <w:sz w:val="16"/>
          <w:szCs w:val="16"/>
        </w:rPr>
        <w:t xml:space="preserve"> Pct. 32 din SNC „Costurile îndatorării”, aprobat prin Ordinul Ministrului Finanţelor nr.118 din 06.08.2013.</w:t>
      </w:r>
    </w:p>
  </w:footnote>
  <w:footnote w:id="127">
    <w:p w:rsidR="00510CDB" w:rsidRPr="004F4B74" w:rsidRDefault="00510CDB" w:rsidP="004005AD">
      <w:pPr>
        <w:pStyle w:val="a9"/>
        <w:rPr>
          <w:rFonts w:asciiTheme="majorHAnsi" w:hAnsiTheme="majorHAnsi" w:cstheme="majorHAnsi"/>
          <w:b w:val="0"/>
          <w:bCs w:val="0"/>
          <w:sz w:val="16"/>
          <w:szCs w:val="16"/>
        </w:rPr>
      </w:pPr>
      <w:r w:rsidRPr="004F4B74">
        <w:rPr>
          <w:rStyle w:val="ab"/>
          <w:rFonts w:asciiTheme="majorHAnsi" w:hAnsiTheme="majorHAnsi" w:cstheme="majorHAnsi"/>
          <w:b w:val="0"/>
          <w:bCs w:val="0"/>
          <w:sz w:val="16"/>
          <w:szCs w:val="16"/>
        </w:rPr>
        <w:footnoteRef/>
      </w:r>
      <w:r w:rsidRPr="004F4B74">
        <w:rPr>
          <w:rFonts w:asciiTheme="majorHAnsi" w:hAnsiTheme="majorHAnsi" w:cstheme="majorHAnsi"/>
          <w:b w:val="0"/>
          <w:bCs w:val="0"/>
          <w:sz w:val="16"/>
          <w:szCs w:val="16"/>
        </w:rPr>
        <w:t xml:space="preserve"> De la 505,5 mii lei în 2014 p</w:t>
      </w:r>
      <w:r>
        <w:rPr>
          <w:rFonts w:asciiTheme="majorHAnsi" w:hAnsiTheme="majorHAnsi" w:cstheme="majorHAnsi"/>
          <w:b w:val="0"/>
          <w:bCs w:val="0"/>
          <w:sz w:val="16"/>
          <w:szCs w:val="16"/>
        </w:rPr>
        <w:t>â</w:t>
      </w:r>
      <w:r w:rsidRPr="004F4B74">
        <w:rPr>
          <w:rFonts w:asciiTheme="majorHAnsi" w:hAnsiTheme="majorHAnsi" w:cstheme="majorHAnsi"/>
          <w:b w:val="0"/>
          <w:bCs w:val="0"/>
          <w:sz w:val="16"/>
          <w:szCs w:val="16"/>
        </w:rPr>
        <w:t>nă la 282,9 mii lei în anul 2021.</w:t>
      </w:r>
    </w:p>
  </w:footnote>
  <w:footnote w:id="128">
    <w:p w:rsidR="00510CDB" w:rsidRPr="004F4B74" w:rsidRDefault="00510CDB" w:rsidP="004005AD">
      <w:pPr>
        <w:pStyle w:val="a9"/>
        <w:rPr>
          <w:rFonts w:asciiTheme="majorHAnsi" w:hAnsiTheme="majorHAnsi" w:cstheme="majorHAnsi"/>
          <w:b w:val="0"/>
          <w:bCs w:val="0"/>
          <w:sz w:val="16"/>
          <w:szCs w:val="16"/>
        </w:rPr>
      </w:pPr>
      <w:r w:rsidRPr="004F4B74">
        <w:rPr>
          <w:rStyle w:val="ab"/>
          <w:rFonts w:asciiTheme="majorHAnsi" w:hAnsiTheme="majorHAnsi" w:cstheme="majorHAnsi"/>
          <w:b w:val="0"/>
          <w:bCs w:val="0"/>
          <w:sz w:val="16"/>
          <w:szCs w:val="16"/>
        </w:rPr>
        <w:footnoteRef/>
      </w:r>
      <w:r w:rsidRPr="004F4B74">
        <w:rPr>
          <w:rFonts w:asciiTheme="majorHAnsi" w:hAnsiTheme="majorHAnsi" w:cstheme="majorHAnsi"/>
          <w:b w:val="0"/>
          <w:bCs w:val="0"/>
          <w:sz w:val="16"/>
          <w:szCs w:val="16"/>
        </w:rPr>
        <w:t xml:space="preserve"> De la 44</w:t>
      </w:r>
      <w:r>
        <w:rPr>
          <w:rFonts w:asciiTheme="majorHAnsi" w:hAnsiTheme="majorHAnsi" w:cstheme="majorHAnsi"/>
          <w:b w:val="0"/>
          <w:bCs w:val="0"/>
          <w:sz w:val="16"/>
          <w:szCs w:val="16"/>
        </w:rPr>
        <w:t>.</w:t>
      </w:r>
      <w:r w:rsidRPr="004F4B74">
        <w:rPr>
          <w:rFonts w:asciiTheme="majorHAnsi" w:hAnsiTheme="majorHAnsi" w:cstheme="majorHAnsi"/>
          <w:b w:val="0"/>
          <w:bCs w:val="0"/>
          <w:sz w:val="16"/>
          <w:szCs w:val="16"/>
        </w:rPr>
        <w:t>431,1 mii lei în 2014 p</w:t>
      </w:r>
      <w:r>
        <w:rPr>
          <w:rFonts w:asciiTheme="majorHAnsi" w:hAnsiTheme="majorHAnsi" w:cstheme="majorHAnsi"/>
          <w:b w:val="0"/>
          <w:bCs w:val="0"/>
          <w:sz w:val="16"/>
          <w:szCs w:val="16"/>
        </w:rPr>
        <w:t>â</w:t>
      </w:r>
      <w:r w:rsidRPr="004F4B74">
        <w:rPr>
          <w:rFonts w:asciiTheme="majorHAnsi" w:hAnsiTheme="majorHAnsi" w:cstheme="majorHAnsi"/>
          <w:b w:val="0"/>
          <w:bCs w:val="0"/>
          <w:sz w:val="16"/>
          <w:szCs w:val="16"/>
        </w:rPr>
        <w:t>nă la 40</w:t>
      </w:r>
      <w:r>
        <w:rPr>
          <w:rFonts w:asciiTheme="majorHAnsi" w:hAnsiTheme="majorHAnsi" w:cstheme="majorHAnsi"/>
          <w:b w:val="0"/>
          <w:bCs w:val="0"/>
          <w:sz w:val="16"/>
          <w:szCs w:val="16"/>
        </w:rPr>
        <w:t>.</w:t>
      </w:r>
      <w:r w:rsidRPr="004F4B74">
        <w:rPr>
          <w:rFonts w:asciiTheme="majorHAnsi" w:hAnsiTheme="majorHAnsi" w:cstheme="majorHAnsi"/>
          <w:b w:val="0"/>
          <w:bCs w:val="0"/>
          <w:sz w:val="16"/>
          <w:szCs w:val="16"/>
        </w:rPr>
        <w:t>697,0 mii lei în anul 2021.</w:t>
      </w:r>
    </w:p>
  </w:footnote>
  <w:footnote w:id="129">
    <w:p w:rsidR="00510CDB" w:rsidRPr="004F4B74" w:rsidRDefault="00510CDB" w:rsidP="004005AD">
      <w:pPr>
        <w:pStyle w:val="a9"/>
        <w:rPr>
          <w:rFonts w:asciiTheme="majorHAnsi" w:hAnsiTheme="majorHAnsi" w:cstheme="majorHAnsi"/>
          <w:b w:val="0"/>
          <w:bCs w:val="0"/>
          <w:sz w:val="16"/>
          <w:szCs w:val="16"/>
        </w:rPr>
      </w:pPr>
      <w:r w:rsidRPr="004F4B74">
        <w:rPr>
          <w:rStyle w:val="ab"/>
          <w:rFonts w:asciiTheme="majorHAnsi" w:hAnsiTheme="majorHAnsi" w:cstheme="majorHAnsi"/>
          <w:b w:val="0"/>
          <w:bCs w:val="0"/>
          <w:sz w:val="16"/>
          <w:szCs w:val="16"/>
        </w:rPr>
        <w:footnoteRef/>
      </w:r>
      <w:r w:rsidRPr="004F4B74">
        <w:rPr>
          <w:rFonts w:asciiTheme="majorHAnsi" w:hAnsiTheme="majorHAnsi" w:cstheme="majorHAnsi"/>
          <w:b w:val="0"/>
          <w:bCs w:val="0"/>
          <w:sz w:val="16"/>
          <w:szCs w:val="16"/>
        </w:rPr>
        <w:t xml:space="preserve"> De la 18</w:t>
      </w:r>
      <w:r>
        <w:rPr>
          <w:rFonts w:asciiTheme="majorHAnsi" w:hAnsiTheme="majorHAnsi" w:cstheme="majorHAnsi"/>
          <w:b w:val="0"/>
          <w:bCs w:val="0"/>
          <w:sz w:val="16"/>
          <w:szCs w:val="16"/>
        </w:rPr>
        <w:t>.</w:t>
      </w:r>
      <w:r w:rsidRPr="004F4B74">
        <w:rPr>
          <w:rFonts w:asciiTheme="majorHAnsi" w:hAnsiTheme="majorHAnsi" w:cstheme="majorHAnsi"/>
          <w:b w:val="0"/>
          <w:bCs w:val="0"/>
          <w:sz w:val="16"/>
          <w:szCs w:val="16"/>
        </w:rPr>
        <w:t>860,9 mii lei în 2014 p</w:t>
      </w:r>
      <w:r>
        <w:rPr>
          <w:rFonts w:asciiTheme="majorHAnsi" w:hAnsiTheme="majorHAnsi" w:cstheme="majorHAnsi"/>
          <w:b w:val="0"/>
          <w:bCs w:val="0"/>
          <w:sz w:val="16"/>
          <w:szCs w:val="16"/>
        </w:rPr>
        <w:t>â</w:t>
      </w:r>
      <w:r w:rsidRPr="004F4B74">
        <w:rPr>
          <w:rFonts w:asciiTheme="majorHAnsi" w:hAnsiTheme="majorHAnsi" w:cstheme="majorHAnsi"/>
          <w:b w:val="0"/>
          <w:bCs w:val="0"/>
          <w:sz w:val="16"/>
          <w:szCs w:val="16"/>
        </w:rPr>
        <w:t>nă la 2</w:t>
      </w:r>
      <w:r>
        <w:rPr>
          <w:rFonts w:asciiTheme="majorHAnsi" w:hAnsiTheme="majorHAnsi" w:cstheme="majorHAnsi"/>
          <w:b w:val="0"/>
          <w:bCs w:val="0"/>
          <w:sz w:val="16"/>
          <w:szCs w:val="16"/>
        </w:rPr>
        <w:t>.</w:t>
      </w:r>
      <w:r w:rsidRPr="004F4B74">
        <w:rPr>
          <w:rFonts w:asciiTheme="majorHAnsi" w:hAnsiTheme="majorHAnsi" w:cstheme="majorHAnsi"/>
          <w:b w:val="0"/>
          <w:bCs w:val="0"/>
          <w:sz w:val="16"/>
          <w:szCs w:val="16"/>
        </w:rPr>
        <w:t>392,5 mii lei în anul 2021.</w:t>
      </w:r>
    </w:p>
  </w:footnote>
  <w:footnote w:id="130">
    <w:p w:rsidR="00510CDB" w:rsidRPr="004F4B74" w:rsidRDefault="00510CDB" w:rsidP="004005AD">
      <w:pPr>
        <w:pStyle w:val="a9"/>
        <w:rPr>
          <w:rFonts w:asciiTheme="majorHAnsi" w:hAnsiTheme="majorHAnsi" w:cstheme="majorHAnsi"/>
          <w:b w:val="0"/>
          <w:bCs w:val="0"/>
          <w:sz w:val="16"/>
          <w:szCs w:val="16"/>
        </w:rPr>
      </w:pPr>
      <w:r w:rsidRPr="004F4B74">
        <w:rPr>
          <w:rStyle w:val="ab"/>
          <w:rFonts w:asciiTheme="majorHAnsi" w:hAnsiTheme="majorHAnsi" w:cstheme="majorHAnsi"/>
          <w:b w:val="0"/>
          <w:bCs w:val="0"/>
          <w:sz w:val="16"/>
          <w:szCs w:val="16"/>
        </w:rPr>
        <w:footnoteRef/>
      </w:r>
      <w:r w:rsidRPr="004F4B74">
        <w:rPr>
          <w:rFonts w:asciiTheme="majorHAnsi" w:hAnsiTheme="majorHAnsi" w:cstheme="majorHAnsi"/>
          <w:b w:val="0"/>
          <w:bCs w:val="0"/>
          <w:sz w:val="16"/>
          <w:szCs w:val="16"/>
        </w:rPr>
        <w:t xml:space="preserve"> De la 7</w:t>
      </w:r>
      <w:r>
        <w:rPr>
          <w:rFonts w:asciiTheme="majorHAnsi" w:hAnsiTheme="majorHAnsi" w:cstheme="majorHAnsi"/>
          <w:b w:val="0"/>
          <w:bCs w:val="0"/>
          <w:sz w:val="16"/>
          <w:szCs w:val="16"/>
        </w:rPr>
        <w:t>.</w:t>
      </w:r>
      <w:r w:rsidRPr="004F4B74">
        <w:rPr>
          <w:rFonts w:asciiTheme="majorHAnsi" w:hAnsiTheme="majorHAnsi" w:cstheme="majorHAnsi"/>
          <w:b w:val="0"/>
          <w:bCs w:val="0"/>
          <w:sz w:val="16"/>
          <w:szCs w:val="16"/>
        </w:rPr>
        <w:t>439,7 mii lei în 2014 p</w:t>
      </w:r>
      <w:r>
        <w:rPr>
          <w:rFonts w:asciiTheme="majorHAnsi" w:hAnsiTheme="majorHAnsi" w:cstheme="majorHAnsi"/>
          <w:b w:val="0"/>
          <w:bCs w:val="0"/>
          <w:sz w:val="16"/>
          <w:szCs w:val="16"/>
        </w:rPr>
        <w:t>â</w:t>
      </w:r>
      <w:r w:rsidRPr="004F4B74">
        <w:rPr>
          <w:rFonts w:asciiTheme="majorHAnsi" w:hAnsiTheme="majorHAnsi" w:cstheme="majorHAnsi"/>
          <w:b w:val="0"/>
          <w:bCs w:val="0"/>
          <w:sz w:val="16"/>
          <w:szCs w:val="16"/>
        </w:rPr>
        <w:t>nă la 4</w:t>
      </w:r>
      <w:r>
        <w:rPr>
          <w:rFonts w:asciiTheme="majorHAnsi" w:hAnsiTheme="majorHAnsi" w:cstheme="majorHAnsi"/>
          <w:b w:val="0"/>
          <w:bCs w:val="0"/>
          <w:sz w:val="16"/>
          <w:szCs w:val="16"/>
        </w:rPr>
        <w:t>.</w:t>
      </w:r>
      <w:r w:rsidRPr="004F4B74">
        <w:rPr>
          <w:rFonts w:asciiTheme="majorHAnsi" w:hAnsiTheme="majorHAnsi" w:cstheme="majorHAnsi"/>
          <w:b w:val="0"/>
          <w:bCs w:val="0"/>
          <w:sz w:val="16"/>
          <w:szCs w:val="16"/>
        </w:rPr>
        <w:t>105,1 mii lei în anul 2021.</w:t>
      </w:r>
    </w:p>
  </w:footnote>
  <w:footnote w:id="131">
    <w:p w:rsidR="00510CDB" w:rsidRPr="004F4B74" w:rsidRDefault="00510CDB" w:rsidP="004005AD">
      <w:pPr>
        <w:pStyle w:val="a9"/>
        <w:rPr>
          <w:rFonts w:asciiTheme="majorHAnsi" w:hAnsiTheme="majorHAnsi" w:cstheme="majorHAnsi"/>
          <w:b w:val="0"/>
          <w:bCs w:val="0"/>
          <w:sz w:val="16"/>
          <w:szCs w:val="16"/>
        </w:rPr>
      </w:pPr>
      <w:r w:rsidRPr="004F4B74">
        <w:rPr>
          <w:rStyle w:val="ab"/>
          <w:rFonts w:asciiTheme="majorHAnsi" w:hAnsiTheme="majorHAnsi" w:cstheme="majorHAnsi"/>
          <w:b w:val="0"/>
          <w:bCs w:val="0"/>
          <w:sz w:val="16"/>
          <w:szCs w:val="16"/>
        </w:rPr>
        <w:footnoteRef/>
      </w:r>
      <w:r w:rsidRPr="004F4B74">
        <w:rPr>
          <w:rFonts w:asciiTheme="majorHAnsi" w:hAnsiTheme="majorHAnsi" w:cstheme="majorHAnsi"/>
          <w:b w:val="0"/>
          <w:bCs w:val="0"/>
          <w:sz w:val="16"/>
          <w:szCs w:val="16"/>
        </w:rPr>
        <w:t xml:space="preserve"> De la 2</w:t>
      </w:r>
      <w:r>
        <w:rPr>
          <w:rFonts w:asciiTheme="majorHAnsi" w:hAnsiTheme="majorHAnsi" w:cstheme="majorHAnsi"/>
          <w:b w:val="0"/>
          <w:bCs w:val="0"/>
          <w:sz w:val="16"/>
          <w:szCs w:val="16"/>
        </w:rPr>
        <w:t>.</w:t>
      </w:r>
      <w:r w:rsidRPr="004F4B74">
        <w:rPr>
          <w:rFonts w:asciiTheme="majorHAnsi" w:hAnsiTheme="majorHAnsi" w:cstheme="majorHAnsi"/>
          <w:b w:val="0"/>
          <w:bCs w:val="0"/>
          <w:sz w:val="16"/>
          <w:szCs w:val="16"/>
        </w:rPr>
        <w:t>837,9 mii lei în 2014 p</w:t>
      </w:r>
      <w:r>
        <w:rPr>
          <w:rFonts w:asciiTheme="majorHAnsi" w:hAnsiTheme="majorHAnsi" w:cstheme="majorHAnsi"/>
          <w:b w:val="0"/>
          <w:bCs w:val="0"/>
          <w:sz w:val="16"/>
          <w:szCs w:val="16"/>
        </w:rPr>
        <w:t>â</w:t>
      </w:r>
      <w:r w:rsidRPr="004F4B74">
        <w:rPr>
          <w:rFonts w:asciiTheme="majorHAnsi" w:hAnsiTheme="majorHAnsi" w:cstheme="majorHAnsi"/>
          <w:b w:val="0"/>
          <w:bCs w:val="0"/>
          <w:sz w:val="16"/>
          <w:szCs w:val="16"/>
        </w:rPr>
        <w:t>nă la 1</w:t>
      </w:r>
      <w:r>
        <w:rPr>
          <w:rFonts w:asciiTheme="majorHAnsi" w:hAnsiTheme="majorHAnsi" w:cstheme="majorHAnsi"/>
          <w:b w:val="0"/>
          <w:bCs w:val="0"/>
          <w:sz w:val="16"/>
          <w:szCs w:val="16"/>
        </w:rPr>
        <w:t>.</w:t>
      </w:r>
      <w:r w:rsidRPr="004F4B74">
        <w:rPr>
          <w:rFonts w:asciiTheme="majorHAnsi" w:hAnsiTheme="majorHAnsi" w:cstheme="majorHAnsi"/>
          <w:b w:val="0"/>
          <w:bCs w:val="0"/>
          <w:sz w:val="16"/>
          <w:szCs w:val="16"/>
        </w:rPr>
        <w:t>416,4 mii lei în anul 2021.</w:t>
      </w:r>
    </w:p>
  </w:footnote>
  <w:footnote w:id="132">
    <w:p w:rsidR="00510CDB" w:rsidRPr="004F4B74" w:rsidRDefault="00510CDB" w:rsidP="004005AD">
      <w:pPr>
        <w:pStyle w:val="a9"/>
        <w:rPr>
          <w:rFonts w:asciiTheme="majorHAnsi" w:hAnsiTheme="majorHAnsi" w:cstheme="majorHAnsi"/>
          <w:b w:val="0"/>
          <w:bCs w:val="0"/>
          <w:sz w:val="16"/>
          <w:szCs w:val="16"/>
        </w:rPr>
      </w:pPr>
      <w:r w:rsidRPr="004F4B74">
        <w:rPr>
          <w:rStyle w:val="ab"/>
          <w:rFonts w:asciiTheme="majorHAnsi" w:hAnsiTheme="majorHAnsi" w:cstheme="majorHAnsi"/>
          <w:b w:val="0"/>
          <w:bCs w:val="0"/>
          <w:sz w:val="16"/>
          <w:szCs w:val="16"/>
        </w:rPr>
        <w:footnoteRef/>
      </w:r>
      <w:r w:rsidRPr="004F4B74">
        <w:rPr>
          <w:rFonts w:asciiTheme="majorHAnsi" w:hAnsiTheme="majorHAnsi" w:cstheme="majorHAnsi"/>
          <w:b w:val="0"/>
          <w:bCs w:val="0"/>
          <w:sz w:val="16"/>
          <w:szCs w:val="16"/>
        </w:rPr>
        <w:t xml:space="preserve"> De la 4</w:t>
      </w:r>
      <w:r>
        <w:rPr>
          <w:rFonts w:asciiTheme="majorHAnsi" w:hAnsiTheme="majorHAnsi" w:cstheme="majorHAnsi"/>
          <w:b w:val="0"/>
          <w:bCs w:val="0"/>
          <w:sz w:val="16"/>
          <w:szCs w:val="16"/>
        </w:rPr>
        <w:t>.</w:t>
      </w:r>
      <w:r w:rsidRPr="004F4B74">
        <w:rPr>
          <w:rFonts w:asciiTheme="majorHAnsi" w:hAnsiTheme="majorHAnsi" w:cstheme="majorHAnsi"/>
          <w:b w:val="0"/>
          <w:bCs w:val="0"/>
          <w:sz w:val="16"/>
          <w:szCs w:val="16"/>
        </w:rPr>
        <w:t>825,2 mii lei în 2014 p</w:t>
      </w:r>
      <w:r>
        <w:rPr>
          <w:rFonts w:asciiTheme="majorHAnsi" w:hAnsiTheme="majorHAnsi" w:cstheme="majorHAnsi"/>
          <w:b w:val="0"/>
          <w:bCs w:val="0"/>
          <w:sz w:val="16"/>
          <w:szCs w:val="16"/>
        </w:rPr>
        <w:t>â</w:t>
      </w:r>
      <w:r w:rsidRPr="004F4B74">
        <w:rPr>
          <w:rFonts w:asciiTheme="majorHAnsi" w:hAnsiTheme="majorHAnsi" w:cstheme="majorHAnsi"/>
          <w:b w:val="0"/>
          <w:bCs w:val="0"/>
          <w:sz w:val="16"/>
          <w:szCs w:val="16"/>
        </w:rPr>
        <w:t>nă la 2</w:t>
      </w:r>
      <w:r>
        <w:rPr>
          <w:rFonts w:asciiTheme="majorHAnsi" w:hAnsiTheme="majorHAnsi" w:cstheme="majorHAnsi"/>
          <w:b w:val="0"/>
          <w:bCs w:val="0"/>
          <w:sz w:val="16"/>
          <w:szCs w:val="16"/>
        </w:rPr>
        <w:t>.</w:t>
      </w:r>
      <w:r w:rsidRPr="004F4B74">
        <w:rPr>
          <w:rFonts w:asciiTheme="majorHAnsi" w:hAnsiTheme="majorHAnsi" w:cstheme="majorHAnsi"/>
          <w:b w:val="0"/>
          <w:bCs w:val="0"/>
          <w:sz w:val="16"/>
          <w:szCs w:val="16"/>
        </w:rPr>
        <w:t>502,8 mii lei în anul 2021.</w:t>
      </w:r>
    </w:p>
  </w:footnote>
  <w:footnote w:id="133">
    <w:p w:rsidR="00510CDB" w:rsidRPr="00C32A33" w:rsidRDefault="00510CDB" w:rsidP="004005AD">
      <w:pPr>
        <w:pStyle w:val="a9"/>
        <w:rPr>
          <w:sz w:val="16"/>
          <w:szCs w:val="16"/>
        </w:rPr>
      </w:pPr>
      <w:r w:rsidRPr="004F4B74">
        <w:rPr>
          <w:rStyle w:val="ab"/>
          <w:rFonts w:asciiTheme="majorHAnsi" w:hAnsiTheme="majorHAnsi" w:cstheme="majorHAnsi"/>
          <w:b w:val="0"/>
          <w:bCs w:val="0"/>
          <w:sz w:val="16"/>
          <w:szCs w:val="16"/>
        </w:rPr>
        <w:footnoteRef/>
      </w:r>
      <w:r w:rsidRPr="004F4B74">
        <w:rPr>
          <w:rFonts w:asciiTheme="majorHAnsi" w:hAnsiTheme="majorHAnsi" w:cstheme="majorHAnsi"/>
          <w:b w:val="0"/>
          <w:bCs w:val="0"/>
          <w:sz w:val="16"/>
          <w:szCs w:val="16"/>
        </w:rPr>
        <w:t xml:space="preserve"> De la 23</w:t>
      </w:r>
      <w:r>
        <w:rPr>
          <w:rFonts w:asciiTheme="majorHAnsi" w:hAnsiTheme="majorHAnsi" w:cstheme="majorHAnsi"/>
          <w:b w:val="0"/>
          <w:bCs w:val="0"/>
          <w:sz w:val="16"/>
          <w:szCs w:val="16"/>
        </w:rPr>
        <w:t>.</w:t>
      </w:r>
      <w:r w:rsidRPr="004F4B74">
        <w:rPr>
          <w:rFonts w:asciiTheme="majorHAnsi" w:hAnsiTheme="majorHAnsi" w:cstheme="majorHAnsi"/>
          <w:b w:val="0"/>
          <w:bCs w:val="0"/>
          <w:sz w:val="16"/>
          <w:szCs w:val="16"/>
        </w:rPr>
        <w:t>478,9 mii lei în 2014 p</w:t>
      </w:r>
      <w:r>
        <w:rPr>
          <w:rFonts w:asciiTheme="majorHAnsi" w:hAnsiTheme="majorHAnsi" w:cstheme="majorHAnsi"/>
          <w:b w:val="0"/>
          <w:bCs w:val="0"/>
          <w:sz w:val="16"/>
          <w:szCs w:val="16"/>
        </w:rPr>
        <w:t>â</w:t>
      </w:r>
      <w:r w:rsidRPr="004F4B74">
        <w:rPr>
          <w:rFonts w:asciiTheme="majorHAnsi" w:hAnsiTheme="majorHAnsi" w:cstheme="majorHAnsi"/>
          <w:b w:val="0"/>
          <w:bCs w:val="0"/>
          <w:sz w:val="16"/>
          <w:szCs w:val="16"/>
        </w:rPr>
        <w:t>nă la 20</w:t>
      </w:r>
      <w:r>
        <w:rPr>
          <w:rFonts w:asciiTheme="majorHAnsi" w:hAnsiTheme="majorHAnsi" w:cstheme="majorHAnsi"/>
          <w:b w:val="0"/>
          <w:bCs w:val="0"/>
          <w:sz w:val="16"/>
          <w:szCs w:val="16"/>
        </w:rPr>
        <w:t>.</w:t>
      </w:r>
      <w:r w:rsidRPr="004F4B74">
        <w:rPr>
          <w:rFonts w:asciiTheme="majorHAnsi" w:hAnsiTheme="majorHAnsi" w:cstheme="majorHAnsi"/>
          <w:b w:val="0"/>
          <w:bCs w:val="0"/>
          <w:sz w:val="16"/>
          <w:szCs w:val="16"/>
        </w:rPr>
        <w:t>091,5 mii lei în anul 2021</w:t>
      </w:r>
      <w:r>
        <w:rPr>
          <w:rFonts w:asciiTheme="majorHAnsi" w:hAnsiTheme="majorHAnsi" w:cstheme="majorHAnsi"/>
          <w:b w:val="0"/>
          <w:bCs w:val="0"/>
          <w:sz w:val="16"/>
          <w:szCs w:val="16"/>
        </w:rPr>
        <w:t>.</w:t>
      </w:r>
    </w:p>
  </w:footnote>
  <w:footnote w:id="134">
    <w:p w:rsidR="00510CDB" w:rsidRPr="00141637" w:rsidRDefault="00510CDB" w:rsidP="008056D3">
      <w:pPr>
        <w:pStyle w:val="a9"/>
        <w:jc w:val="both"/>
        <w:rPr>
          <w:rFonts w:asciiTheme="majorHAnsi" w:hAnsiTheme="majorHAnsi" w:cstheme="majorHAnsi"/>
          <w:b w:val="0"/>
          <w:bCs w:val="0"/>
          <w:sz w:val="16"/>
          <w:szCs w:val="16"/>
        </w:rPr>
      </w:pPr>
      <w:r w:rsidRPr="00141637">
        <w:rPr>
          <w:rStyle w:val="ab"/>
          <w:rFonts w:asciiTheme="majorHAnsi" w:hAnsiTheme="majorHAnsi" w:cstheme="majorHAnsi"/>
          <w:b w:val="0"/>
          <w:bCs w:val="0"/>
          <w:sz w:val="16"/>
          <w:szCs w:val="16"/>
        </w:rPr>
        <w:footnoteRef/>
      </w:r>
      <w:r w:rsidRPr="00141637">
        <w:rPr>
          <w:rFonts w:asciiTheme="majorHAnsi" w:hAnsiTheme="majorHAnsi" w:cstheme="majorHAnsi"/>
          <w:b w:val="0"/>
          <w:bCs w:val="0"/>
          <w:sz w:val="16"/>
          <w:szCs w:val="16"/>
        </w:rPr>
        <w:t xml:space="preserve"> Raportul între totalul datoriilor și capitalul propriu.</w:t>
      </w:r>
    </w:p>
  </w:footnote>
  <w:footnote w:id="135">
    <w:p w:rsidR="00510CDB" w:rsidRPr="00C65B4D" w:rsidRDefault="00510CDB" w:rsidP="00A663EC">
      <w:pPr>
        <w:pStyle w:val="a9"/>
        <w:jc w:val="both"/>
        <w:rPr>
          <w:sz w:val="16"/>
          <w:szCs w:val="16"/>
        </w:rPr>
      </w:pPr>
      <w:r w:rsidRPr="00141637">
        <w:rPr>
          <w:rStyle w:val="ab"/>
          <w:rFonts w:asciiTheme="majorHAnsi" w:hAnsiTheme="majorHAnsi" w:cstheme="majorHAnsi"/>
          <w:b w:val="0"/>
          <w:bCs w:val="0"/>
          <w:sz w:val="16"/>
          <w:szCs w:val="16"/>
        </w:rPr>
        <w:footnoteRef/>
      </w:r>
      <w:r w:rsidRPr="00141637">
        <w:rPr>
          <w:rFonts w:asciiTheme="majorHAnsi" w:hAnsiTheme="majorHAnsi" w:cstheme="majorHAnsi"/>
          <w:b w:val="0"/>
          <w:bCs w:val="0"/>
          <w:sz w:val="16"/>
          <w:szCs w:val="16"/>
        </w:rPr>
        <w:t xml:space="preserve"> Î.M. „Gospodăria comunal</w:t>
      </w:r>
      <w:r>
        <w:rPr>
          <w:rFonts w:asciiTheme="majorHAnsi" w:hAnsiTheme="majorHAnsi" w:cstheme="majorHAnsi"/>
          <w:b w:val="0"/>
          <w:bCs w:val="0"/>
          <w:sz w:val="16"/>
          <w:szCs w:val="16"/>
        </w:rPr>
        <w:t>ă</w:t>
      </w:r>
      <w:r w:rsidRPr="00141637">
        <w:rPr>
          <w:rFonts w:asciiTheme="majorHAnsi" w:hAnsiTheme="majorHAnsi" w:cstheme="majorHAnsi"/>
          <w:b w:val="0"/>
          <w:bCs w:val="0"/>
          <w:sz w:val="16"/>
          <w:szCs w:val="16"/>
        </w:rPr>
        <w:t xml:space="preserve"> R</w:t>
      </w:r>
      <w:r>
        <w:rPr>
          <w:rFonts w:asciiTheme="majorHAnsi" w:hAnsiTheme="majorHAnsi" w:cstheme="majorHAnsi"/>
          <w:b w:val="0"/>
          <w:bCs w:val="0"/>
          <w:sz w:val="16"/>
          <w:szCs w:val="16"/>
        </w:rPr>
        <w:t>â</w:t>
      </w:r>
      <w:r w:rsidRPr="00141637">
        <w:rPr>
          <w:rFonts w:asciiTheme="majorHAnsi" w:hAnsiTheme="majorHAnsi" w:cstheme="majorHAnsi"/>
          <w:b w:val="0"/>
          <w:bCs w:val="0"/>
          <w:sz w:val="16"/>
          <w:szCs w:val="16"/>
        </w:rPr>
        <w:t xml:space="preserve">şcani” </w:t>
      </w:r>
      <w:r>
        <w:rPr>
          <w:rFonts w:asciiTheme="majorHAnsi" w:hAnsiTheme="majorHAnsi" w:cstheme="majorHAnsi"/>
          <w:b w:val="0"/>
          <w:bCs w:val="0"/>
          <w:sz w:val="16"/>
          <w:szCs w:val="16"/>
        </w:rPr>
        <w:t>–</w:t>
      </w:r>
      <w:r w:rsidRPr="00141637">
        <w:rPr>
          <w:rFonts w:asciiTheme="majorHAnsi" w:hAnsiTheme="majorHAnsi" w:cstheme="majorHAnsi"/>
          <w:b w:val="0"/>
          <w:bCs w:val="0"/>
          <w:sz w:val="16"/>
          <w:szCs w:val="16"/>
        </w:rPr>
        <w:t xml:space="preserve"> datorii  (18</w:t>
      </w:r>
      <w:r>
        <w:rPr>
          <w:rFonts w:asciiTheme="majorHAnsi" w:hAnsiTheme="majorHAnsi" w:cstheme="majorHAnsi"/>
          <w:b w:val="0"/>
          <w:bCs w:val="0"/>
          <w:sz w:val="16"/>
          <w:szCs w:val="16"/>
        </w:rPr>
        <w:t>.</w:t>
      </w:r>
      <w:r w:rsidRPr="00141637">
        <w:rPr>
          <w:rFonts w:asciiTheme="majorHAnsi" w:hAnsiTheme="majorHAnsi" w:cstheme="majorHAnsi"/>
          <w:b w:val="0"/>
          <w:bCs w:val="0"/>
          <w:sz w:val="16"/>
          <w:szCs w:val="16"/>
        </w:rPr>
        <w:t>707,8 mii lei)/ capital propriu (95,3 mii.lei)=19</w:t>
      </w:r>
      <w:r>
        <w:rPr>
          <w:rFonts w:asciiTheme="majorHAnsi" w:hAnsiTheme="majorHAnsi" w:cstheme="majorHAnsi"/>
          <w:b w:val="0"/>
          <w:bCs w:val="0"/>
          <w:sz w:val="16"/>
          <w:szCs w:val="16"/>
        </w:rPr>
        <w:t>.</w:t>
      </w:r>
      <w:r w:rsidRPr="00141637">
        <w:rPr>
          <w:rFonts w:asciiTheme="majorHAnsi" w:hAnsiTheme="majorHAnsi" w:cstheme="majorHAnsi"/>
          <w:b w:val="0"/>
          <w:bCs w:val="0"/>
          <w:sz w:val="16"/>
          <w:szCs w:val="16"/>
        </w:rPr>
        <w:t>622,1%</w:t>
      </w:r>
      <w:r>
        <w:rPr>
          <w:rFonts w:asciiTheme="majorHAnsi" w:hAnsiTheme="majorHAnsi" w:cstheme="majorHAnsi"/>
          <w:b w:val="0"/>
          <w:bCs w:val="0"/>
          <w:sz w:val="16"/>
          <w:szCs w:val="16"/>
        </w:rPr>
        <w:t>,</w:t>
      </w:r>
      <w:r w:rsidRPr="00141637">
        <w:rPr>
          <w:rFonts w:asciiTheme="majorHAnsi" w:hAnsiTheme="majorHAnsi" w:cstheme="majorHAnsi"/>
          <w:b w:val="0"/>
          <w:bCs w:val="0"/>
          <w:sz w:val="16"/>
          <w:szCs w:val="16"/>
        </w:rPr>
        <w:t xml:space="preserve"> sau </w:t>
      </w:r>
      <w:r>
        <w:rPr>
          <w:rFonts w:asciiTheme="majorHAnsi" w:hAnsiTheme="majorHAnsi" w:cstheme="majorHAnsi"/>
          <w:b w:val="0"/>
          <w:bCs w:val="0"/>
          <w:sz w:val="16"/>
          <w:szCs w:val="16"/>
        </w:rPr>
        <w:t xml:space="preserve">de </w:t>
      </w:r>
      <w:r w:rsidRPr="00141637">
        <w:rPr>
          <w:rFonts w:asciiTheme="majorHAnsi" w:hAnsiTheme="majorHAnsi" w:cstheme="majorHAnsi"/>
          <w:b w:val="0"/>
          <w:bCs w:val="0"/>
          <w:sz w:val="16"/>
          <w:szCs w:val="16"/>
        </w:rPr>
        <w:t>peste 19 ori.</w:t>
      </w:r>
    </w:p>
  </w:footnote>
  <w:footnote w:id="136">
    <w:p w:rsidR="00510CDB" w:rsidRPr="00CB02D8" w:rsidRDefault="00510CDB" w:rsidP="004005AD">
      <w:pPr>
        <w:pStyle w:val="a9"/>
        <w:rPr>
          <w:rFonts w:asciiTheme="majorHAnsi" w:hAnsiTheme="majorHAnsi" w:cstheme="majorHAnsi"/>
          <w:b w:val="0"/>
          <w:bCs w:val="0"/>
          <w:sz w:val="16"/>
          <w:szCs w:val="16"/>
        </w:rPr>
      </w:pPr>
      <w:r w:rsidRPr="00CB02D8">
        <w:rPr>
          <w:rStyle w:val="ab"/>
          <w:rFonts w:asciiTheme="majorHAnsi" w:hAnsiTheme="majorHAnsi" w:cstheme="majorHAnsi"/>
          <w:b w:val="0"/>
          <w:bCs w:val="0"/>
          <w:sz w:val="16"/>
          <w:szCs w:val="16"/>
        </w:rPr>
        <w:footnoteRef/>
      </w:r>
      <w:r w:rsidRPr="00CB02D8">
        <w:rPr>
          <w:rFonts w:asciiTheme="majorHAnsi" w:hAnsiTheme="majorHAnsi" w:cstheme="majorHAnsi"/>
          <w:b w:val="0"/>
          <w:bCs w:val="0"/>
          <w:sz w:val="16"/>
          <w:szCs w:val="16"/>
        </w:rPr>
        <w:t xml:space="preserve"> În anul 2018 – 0,1 mil.lei, 2019</w:t>
      </w:r>
      <w:r>
        <w:rPr>
          <w:rFonts w:asciiTheme="majorHAnsi" w:hAnsiTheme="majorHAnsi" w:cstheme="majorHAnsi"/>
          <w:b w:val="0"/>
          <w:bCs w:val="0"/>
          <w:sz w:val="16"/>
          <w:szCs w:val="16"/>
        </w:rPr>
        <w:t xml:space="preserve"> –</w:t>
      </w:r>
      <w:r w:rsidRPr="00CB02D8">
        <w:rPr>
          <w:rFonts w:asciiTheme="majorHAnsi" w:hAnsiTheme="majorHAnsi" w:cstheme="majorHAnsi"/>
          <w:b w:val="0"/>
          <w:bCs w:val="0"/>
          <w:sz w:val="16"/>
          <w:szCs w:val="16"/>
        </w:rPr>
        <w:t xml:space="preserve"> 4,0 mil.lei, 2020</w:t>
      </w:r>
      <w:r>
        <w:rPr>
          <w:rFonts w:asciiTheme="majorHAnsi" w:hAnsiTheme="majorHAnsi" w:cstheme="majorHAnsi"/>
          <w:b w:val="0"/>
          <w:bCs w:val="0"/>
          <w:sz w:val="16"/>
          <w:szCs w:val="16"/>
        </w:rPr>
        <w:t xml:space="preserve"> –</w:t>
      </w:r>
      <w:r w:rsidRPr="00CB02D8">
        <w:rPr>
          <w:rFonts w:asciiTheme="majorHAnsi" w:hAnsiTheme="majorHAnsi" w:cstheme="majorHAnsi"/>
          <w:b w:val="0"/>
          <w:bCs w:val="0"/>
          <w:sz w:val="16"/>
          <w:szCs w:val="16"/>
        </w:rPr>
        <w:t xml:space="preserve"> 1,1 mil.lei, 2021</w:t>
      </w:r>
      <w:r>
        <w:rPr>
          <w:rFonts w:asciiTheme="majorHAnsi" w:hAnsiTheme="majorHAnsi" w:cstheme="majorHAnsi"/>
          <w:b w:val="0"/>
          <w:bCs w:val="0"/>
          <w:sz w:val="16"/>
          <w:szCs w:val="16"/>
        </w:rPr>
        <w:t xml:space="preserve"> –</w:t>
      </w:r>
      <w:r w:rsidRPr="00CB02D8">
        <w:rPr>
          <w:rFonts w:asciiTheme="majorHAnsi" w:hAnsiTheme="majorHAnsi" w:cstheme="majorHAnsi"/>
          <w:b w:val="0"/>
          <w:bCs w:val="0"/>
          <w:sz w:val="16"/>
          <w:szCs w:val="16"/>
        </w:rPr>
        <w:t xml:space="preserve"> 2,3 mil.lei</w:t>
      </w:r>
      <w:r>
        <w:rPr>
          <w:rFonts w:asciiTheme="majorHAnsi" w:hAnsiTheme="majorHAnsi" w:cstheme="majorHAnsi"/>
          <w:b w:val="0"/>
          <w:bCs w:val="0"/>
          <w:sz w:val="16"/>
          <w:szCs w:val="16"/>
        </w:rPr>
        <w:t>.</w:t>
      </w:r>
    </w:p>
  </w:footnote>
  <w:footnote w:id="137">
    <w:p w:rsidR="00510CDB" w:rsidRPr="00CB02D8" w:rsidRDefault="00510CDB" w:rsidP="004005AD">
      <w:pPr>
        <w:pStyle w:val="a9"/>
        <w:rPr>
          <w:rFonts w:asciiTheme="majorHAnsi" w:hAnsiTheme="majorHAnsi" w:cstheme="majorHAnsi"/>
          <w:b w:val="0"/>
          <w:bCs w:val="0"/>
          <w:sz w:val="16"/>
          <w:szCs w:val="16"/>
        </w:rPr>
      </w:pPr>
      <w:r w:rsidRPr="00CB02D8">
        <w:rPr>
          <w:rStyle w:val="ab"/>
          <w:rFonts w:asciiTheme="majorHAnsi" w:hAnsiTheme="majorHAnsi" w:cstheme="majorHAnsi"/>
          <w:b w:val="0"/>
          <w:bCs w:val="0"/>
          <w:sz w:val="16"/>
          <w:szCs w:val="16"/>
        </w:rPr>
        <w:footnoteRef/>
      </w:r>
      <w:r w:rsidRPr="00CB02D8">
        <w:rPr>
          <w:rFonts w:asciiTheme="majorHAnsi" w:hAnsiTheme="majorHAnsi" w:cstheme="majorHAnsi"/>
          <w:b w:val="0"/>
          <w:bCs w:val="0"/>
          <w:sz w:val="16"/>
          <w:szCs w:val="16"/>
        </w:rPr>
        <w:t xml:space="preserve"> Î.M. Regia „Apă-Canal</w:t>
      </w:r>
      <w:r>
        <w:rPr>
          <w:rFonts w:asciiTheme="majorHAnsi" w:hAnsiTheme="majorHAnsi" w:cstheme="majorHAnsi"/>
          <w:b w:val="0"/>
          <w:bCs w:val="0"/>
          <w:sz w:val="16"/>
          <w:szCs w:val="16"/>
        </w:rPr>
        <w:t xml:space="preserve"> </w:t>
      </w:r>
      <w:r w:rsidRPr="00CB02D8">
        <w:rPr>
          <w:rFonts w:asciiTheme="majorHAnsi" w:hAnsiTheme="majorHAnsi" w:cstheme="majorHAnsi"/>
          <w:b w:val="0"/>
          <w:bCs w:val="0"/>
          <w:sz w:val="16"/>
          <w:szCs w:val="16"/>
        </w:rPr>
        <w:t>Bălţi” în anul 2020.</w:t>
      </w:r>
    </w:p>
  </w:footnote>
  <w:footnote w:id="138">
    <w:p w:rsidR="00510CDB" w:rsidRPr="002F73AE" w:rsidRDefault="00510CDB" w:rsidP="004005AD">
      <w:pPr>
        <w:pStyle w:val="a9"/>
      </w:pPr>
      <w:r w:rsidRPr="00CB02D8">
        <w:rPr>
          <w:rStyle w:val="ab"/>
          <w:rFonts w:asciiTheme="majorHAnsi" w:hAnsiTheme="majorHAnsi" w:cstheme="majorHAnsi"/>
          <w:b w:val="0"/>
          <w:bCs w:val="0"/>
          <w:sz w:val="16"/>
          <w:szCs w:val="16"/>
        </w:rPr>
        <w:footnoteRef/>
      </w:r>
      <w:r w:rsidRPr="00CB02D8">
        <w:rPr>
          <w:rFonts w:asciiTheme="majorHAnsi" w:hAnsiTheme="majorHAnsi" w:cstheme="majorHAnsi"/>
          <w:b w:val="0"/>
          <w:bCs w:val="0"/>
          <w:sz w:val="16"/>
          <w:szCs w:val="16"/>
        </w:rPr>
        <w:t xml:space="preserve"> S.A. „Operator Regional Apă-Canal H</w:t>
      </w:r>
      <w:r>
        <w:rPr>
          <w:rFonts w:asciiTheme="majorHAnsi" w:hAnsiTheme="majorHAnsi" w:cstheme="majorHAnsi"/>
          <w:b w:val="0"/>
          <w:bCs w:val="0"/>
          <w:sz w:val="16"/>
          <w:szCs w:val="16"/>
        </w:rPr>
        <w:t>â</w:t>
      </w:r>
      <w:r w:rsidRPr="00CB02D8">
        <w:rPr>
          <w:rFonts w:asciiTheme="majorHAnsi" w:hAnsiTheme="majorHAnsi" w:cstheme="majorHAnsi"/>
          <w:b w:val="0"/>
          <w:bCs w:val="0"/>
          <w:sz w:val="16"/>
          <w:szCs w:val="16"/>
        </w:rPr>
        <w:t>nceşti” în anul 2020.</w:t>
      </w:r>
    </w:p>
  </w:footnote>
  <w:footnote w:id="139">
    <w:p w:rsidR="00510CDB" w:rsidRPr="00F457FF" w:rsidRDefault="00510CDB" w:rsidP="004005AD">
      <w:pPr>
        <w:pStyle w:val="a9"/>
        <w:jc w:val="both"/>
        <w:rPr>
          <w:rFonts w:asciiTheme="majorHAnsi" w:hAnsiTheme="majorHAnsi" w:cstheme="majorHAnsi"/>
          <w:b w:val="0"/>
          <w:bCs w:val="0"/>
          <w:sz w:val="16"/>
          <w:szCs w:val="16"/>
        </w:rPr>
      </w:pPr>
      <w:r w:rsidRPr="00F457FF">
        <w:rPr>
          <w:rStyle w:val="ab"/>
          <w:rFonts w:asciiTheme="majorHAnsi" w:hAnsiTheme="majorHAnsi" w:cstheme="majorHAnsi"/>
          <w:b w:val="0"/>
          <w:bCs w:val="0"/>
          <w:sz w:val="16"/>
          <w:szCs w:val="16"/>
        </w:rPr>
        <w:footnoteRef/>
      </w:r>
      <w:r w:rsidRPr="00F457FF">
        <w:rPr>
          <w:rFonts w:asciiTheme="majorHAnsi" w:hAnsiTheme="majorHAnsi" w:cstheme="majorHAnsi"/>
          <w:b w:val="0"/>
          <w:bCs w:val="0"/>
          <w:sz w:val="16"/>
          <w:szCs w:val="16"/>
        </w:rPr>
        <w:t xml:space="preserve"> Conform art.35 alin.(9) din Legea </w:t>
      </w:r>
      <w:r>
        <w:rPr>
          <w:rFonts w:asciiTheme="majorHAnsi" w:hAnsiTheme="majorHAnsi" w:cstheme="majorHAnsi"/>
          <w:b w:val="0"/>
          <w:bCs w:val="0"/>
          <w:sz w:val="16"/>
          <w:szCs w:val="16"/>
        </w:rPr>
        <w:t>nr.</w:t>
      </w:r>
      <w:r w:rsidRPr="00F457FF">
        <w:rPr>
          <w:rFonts w:asciiTheme="majorHAnsi" w:hAnsiTheme="majorHAnsi" w:cstheme="majorHAnsi"/>
          <w:b w:val="0"/>
          <w:bCs w:val="0"/>
          <w:sz w:val="16"/>
          <w:szCs w:val="16"/>
        </w:rPr>
        <w:t>303/2013, în cazul în care consiliul local va aproba tarife la un nivel mai redus dec</w:t>
      </w:r>
      <w:r>
        <w:rPr>
          <w:rFonts w:asciiTheme="majorHAnsi" w:hAnsiTheme="majorHAnsi" w:cstheme="majorHAnsi"/>
          <w:b w:val="0"/>
          <w:bCs w:val="0"/>
          <w:sz w:val="16"/>
          <w:szCs w:val="16"/>
        </w:rPr>
        <w:t>â</w:t>
      </w:r>
      <w:r w:rsidRPr="00F457FF">
        <w:rPr>
          <w:rFonts w:asciiTheme="majorHAnsi" w:hAnsiTheme="majorHAnsi" w:cstheme="majorHAnsi"/>
          <w:b w:val="0"/>
          <w:bCs w:val="0"/>
          <w:sz w:val="16"/>
          <w:szCs w:val="16"/>
        </w:rPr>
        <w:t>t cele prevăzute în avizul prezentat de Agenţie, acesta este obligat să stabilească în decizia sa de aprobare a tarifelor sursa şi suma concretă ce urmează a fi alocată operatorului din bugetul local pentru acoperirea veniturilor ratate de către operator din cauza aprobării tarifelor reduse.</w:t>
      </w:r>
    </w:p>
  </w:footnote>
  <w:footnote w:id="140">
    <w:p w:rsidR="00510CDB" w:rsidRPr="0071095A" w:rsidRDefault="00510CDB" w:rsidP="004005AD">
      <w:pPr>
        <w:pStyle w:val="a9"/>
        <w:rPr>
          <w:rFonts w:asciiTheme="majorHAnsi" w:hAnsiTheme="majorHAnsi" w:cstheme="majorHAnsi"/>
          <w:b w:val="0"/>
          <w:bCs w:val="0"/>
          <w:sz w:val="16"/>
          <w:szCs w:val="16"/>
        </w:rPr>
      </w:pPr>
      <w:r w:rsidRPr="0071095A">
        <w:rPr>
          <w:rStyle w:val="ab"/>
          <w:rFonts w:asciiTheme="majorHAnsi" w:hAnsiTheme="majorHAnsi" w:cstheme="majorHAnsi"/>
          <w:b w:val="0"/>
          <w:bCs w:val="0"/>
          <w:sz w:val="16"/>
          <w:szCs w:val="16"/>
        </w:rPr>
        <w:footnoteRef/>
      </w:r>
      <w:r w:rsidRPr="0071095A">
        <w:rPr>
          <w:rFonts w:asciiTheme="majorHAnsi" w:hAnsiTheme="majorHAnsi" w:cstheme="majorHAnsi"/>
          <w:b w:val="0"/>
          <w:bCs w:val="0"/>
          <w:sz w:val="16"/>
          <w:szCs w:val="16"/>
        </w:rPr>
        <w:t xml:space="preserve"> Pct.36 din </w:t>
      </w:r>
      <w:r>
        <w:rPr>
          <w:rFonts w:asciiTheme="majorHAnsi" w:hAnsiTheme="majorHAnsi" w:cstheme="majorHAnsi"/>
          <w:b w:val="0"/>
          <w:bCs w:val="0"/>
          <w:sz w:val="16"/>
          <w:szCs w:val="16"/>
        </w:rPr>
        <w:t>M</w:t>
      </w:r>
      <w:r w:rsidRPr="0071095A">
        <w:rPr>
          <w:rFonts w:asciiTheme="majorHAnsi" w:hAnsiTheme="majorHAnsi" w:cstheme="majorHAnsi"/>
          <w:b w:val="0"/>
          <w:bCs w:val="0"/>
          <w:sz w:val="16"/>
          <w:szCs w:val="16"/>
        </w:rPr>
        <w:t>etodologie.</w:t>
      </w:r>
    </w:p>
  </w:footnote>
  <w:footnote w:id="141">
    <w:p w:rsidR="00510CDB" w:rsidRPr="0099011A" w:rsidRDefault="00510CDB" w:rsidP="004005AD">
      <w:pPr>
        <w:pStyle w:val="a9"/>
        <w:jc w:val="both"/>
        <w:rPr>
          <w:rFonts w:asciiTheme="majorHAnsi" w:hAnsiTheme="majorHAnsi" w:cstheme="majorHAnsi"/>
          <w:b w:val="0"/>
          <w:bCs w:val="0"/>
          <w:sz w:val="16"/>
          <w:szCs w:val="16"/>
        </w:rPr>
      </w:pPr>
      <w:r w:rsidRPr="0099011A">
        <w:rPr>
          <w:rStyle w:val="ab"/>
          <w:rFonts w:asciiTheme="majorHAnsi" w:hAnsiTheme="majorHAnsi" w:cstheme="majorHAnsi"/>
          <w:b w:val="0"/>
          <w:bCs w:val="0"/>
          <w:sz w:val="16"/>
          <w:szCs w:val="16"/>
        </w:rPr>
        <w:footnoteRef/>
      </w:r>
      <w:r w:rsidRPr="0099011A">
        <w:rPr>
          <w:rFonts w:asciiTheme="majorHAnsi" w:hAnsiTheme="majorHAnsi" w:cstheme="majorHAnsi"/>
          <w:b w:val="0"/>
          <w:bCs w:val="0"/>
          <w:sz w:val="16"/>
          <w:szCs w:val="16"/>
        </w:rPr>
        <w:t xml:space="preserve"> </w:t>
      </w:r>
      <w:r>
        <w:rPr>
          <w:rFonts w:asciiTheme="majorHAnsi" w:hAnsiTheme="majorHAnsi" w:cstheme="majorHAnsi"/>
          <w:b w:val="0"/>
          <w:bCs w:val="0"/>
          <w:sz w:val="16"/>
          <w:szCs w:val="16"/>
        </w:rPr>
        <w:t xml:space="preserve">Hotărârea </w:t>
      </w:r>
      <w:r w:rsidRPr="0099011A">
        <w:rPr>
          <w:rFonts w:asciiTheme="majorHAnsi" w:hAnsiTheme="majorHAnsi" w:cstheme="majorHAnsi"/>
          <w:b w:val="0"/>
          <w:bCs w:val="0"/>
          <w:sz w:val="16"/>
          <w:szCs w:val="16"/>
        </w:rPr>
        <w:t xml:space="preserve">ANRE nr.356/2019 </w:t>
      </w:r>
      <w:r>
        <w:rPr>
          <w:rFonts w:asciiTheme="majorHAnsi" w:hAnsiTheme="majorHAnsi" w:cstheme="majorHAnsi"/>
          <w:b w:val="0"/>
          <w:bCs w:val="0"/>
          <w:sz w:val="16"/>
          <w:szCs w:val="16"/>
        </w:rPr>
        <w:t>„C</w:t>
      </w:r>
      <w:r w:rsidRPr="0099011A">
        <w:rPr>
          <w:rFonts w:asciiTheme="majorHAnsi" w:hAnsiTheme="majorHAnsi" w:cstheme="majorHAnsi"/>
          <w:b w:val="0"/>
          <w:bCs w:val="0"/>
          <w:sz w:val="16"/>
          <w:szCs w:val="16"/>
        </w:rPr>
        <w:t>u privire la aprobarea Regulamentului-cadru cu privire la indicatorii de performanţă ai serviciului public de alimentare cu apă și de canalizare</w:t>
      </w:r>
      <w:r>
        <w:rPr>
          <w:rFonts w:asciiTheme="majorHAnsi" w:hAnsiTheme="majorHAnsi" w:cstheme="majorHAnsi"/>
          <w:b w:val="0"/>
          <w:bCs w:val="0"/>
          <w:sz w:val="16"/>
          <w:szCs w:val="16"/>
        </w:rPr>
        <w:t>”</w:t>
      </w:r>
      <w:r w:rsidRPr="0099011A">
        <w:rPr>
          <w:rFonts w:asciiTheme="majorHAnsi" w:hAnsiTheme="majorHAnsi" w:cstheme="majorHAnsi"/>
          <w:b w:val="0"/>
          <w:bCs w:val="0"/>
          <w:sz w:val="16"/>
          <w:szCs w:val="16"/>
        </w:rPr>
        <w:t>.</w:t>
      </w:r>
    </w:p>
  </w:footnote>
  <w:footnote w:id="142">
    <w:p w:rsidR="00510CDB" w:rsidRPr="00451830" w:rsidRDefault="00510CDB" w:rsidP="00EE132E">
      <w:pPr>
        <w:pStyle w:val="a9"/>
        <w:rPr>
          <w:b w:val="0"/>
          <w:sz w:val="16"/>
          <w:szCs w:val="16"/>
        </w:rPr>
      </w:pPr>
      <w:r w:rsidRPr="0031078B">
        <w:rPr>
          <w:rFonts w:asciiTheme="majorHAnsi" w:hAnsiTheme="majorHAnsi"/>
          <w:b w:val="0"/>
          <w:sz w:val="16"/>
          <w:szCs w:val="16"/>
          <w:vertAlign w:val="superscript"/>
        </w:rPr>
        <w:footnoteRef/>
      </w:r>
      <w:r w:rsidRPr="0031078B">
        <w:rPr>
          <w:rFonts w:asciiTheme="majorHAnsi" w:hAnsiTheme="majorHAnsi"/>
          <w:b w:val="0"/>
          <w:sz w:val="16"/>
          <w:szCs w:val="16"/>
        </w:rPr>
        <w:t xml:space="preserve"> H</w:t>
      </w:r>
      <w:r>
        <w:rPr>
          <w:rFonts w:asciiTheme="majorHAnsi" w:hAnsiTheme="majorHAnsi"/>
          <w:b w:val="0"/>
          <w:sz w:val="16"/>
          <w:szCs w:val="16"/>
        </w:rPr>
        <w:t xml:space="preserve">otărârea </w:t>
      </w:r>
      <w:r w:rsidRPr="0031078B">
        <w:rPr>
          <w:rFonts w:asciiTheme="majorHAnsi" w:hAnsiTheme="majorHAnsi"/>
          <w:b w:val="0"/>
          <w:sz w:val="16"/>
          <w:szCs w:val="16"/>
        </w:rPr>
        <w:t xml:space="preserve">ANRE nr.355/2019 </w:t>
      </w:r>
      <w:r>
        <w:rPr>
          <w:rFonts w:asciiTheme="majorHAnsi" w:hAnsiTheme="majorHAnsi"/>
          <w:b w:val="0"/>
          <w:sz w:val="16"/>
          <w:szCs w:val="16"/>
        </w:rPr>
        <w:t>„C</w:t>
      </w:r>
      <w:r w:rsidRPr="0031078B">
        <w:rPr>
          <w:rFonts w:asciiTheme="majorHAnsi" w:hAnsiTheme="majorHAnsi"/>
          <w:b w:val="0"/>
          <w:sz w:val="16"/>
          <w:szCs w:val="16"/>
        </w:rPr>
        <w:t>u privire la aprobarea Regulamentului-cadru de organizare și funcționare a serviciului public de alimentare cu apă și de canalizare</w:t>
      </w:r>
      <w:r>
        <w:rPr>
          <w:rFonts w:asciiTheme="majorHAnsi" w:hAnsiTheme="majorHAnsi"/>
          <w:b w:val="0"/>
          <w:sz w:val="16"/>
          <w:szCs w:val="16"/>
        </w:rPr>
        <w:t>”.</w:t>
      </w:r>
    </w:p>
  </w:footnote>
  <w:footnote w:id="143">
    <w:p w:rsidR="00510CDB" w:rsidRDefault="00510CDB" w:rsidP="00EE132E">
      <w:pPr>
        <w:pStyle w:val="a9"/>
      </w:pPr>
      <w:r w:rsidRPr="0031078B">
        <w:rPr>
          <w:rFonts w:asciiTheme="majorHAnsi" w:hAnsiTheme="majorHAnsi"/>
          <w:b w:val="0"/>
          <w:sz w:val="16"/>
          <w:szCs w:val="16"/>
          <w:vertAlign w:val="superscript"/>
        </w:rPr>
        <w:footnoteRef/>
      </w:r>
      <w:r w:rsidRPr="0031078B">
        <w:rPr>
          <w:rFonts w:asciiTheme="majorHAnsi" w:hAnsiTheme="majorHAnsi"/>
          <w:b w:val="0"/>
          <w:sz w:val="16"/>
          <w:szCs w:val="16"/>
          <w:vertAlign w:val="superscript"/>
        </w:rPr>
        <w:t xml:space="preserve"> </w:t>
      </w:r>
      <w:r w:rsidRPr="0031078B">
        <w:rPr>
          <w:rFonts w:asciiTheme="majorHAnsi" w:hAnsiTheme="majorHAnsi"/>
          <w:b w:val="0"/>
          <w:sz w:val="16"/>
          <w:szCs w:val="16"/>
        </w:rPr>
        <w:t>H</w:t>
      </w:r>
      <w:r>
        <w:rPr>
          <w:rFonts w:asciiTheme="majorHAnsi" w:hAnsiTheme="majorHAnsi"/>
          <w:b w:val="0"/>
          <w:sz w:val="16"/>
          <w:szCs w:val="16"/>
        </w:rPr>
        <w:t xml:space="preserve">otărârea </w:t>
      </w:r>
      <w:r w:rsidRPr="0031078B">
        <w:rPr>
          <w:rFonts w:asciiTheme="majorHAnsi" w:hAnsiTheme="majorHAnsi"/>
          <w:b w:val="0"/>
          <w:sz w:val="16"/>
          <w:szCs w:val="16"/>
        </w:rPr>
        <w:t xml:space="preserve">ANRE nr.358/2019 </w:t>
      </w:r>
      <w:r>
        <w:rPr>
          <w:rFonts w:asciiTheme="majorHAnsi" w:hAnsiTheme="majorHAnsi"/>
          <w:b w:val="0"/>
          <w:sz w:val="16"/>
          <w:szCs w:val="16"/>
        </w:rPr>
        <w:t>„C</w:t>
      </w:r>
      <w:r w:rsidRPr="0031078B">
        <w:rPr>
          <w:rFonts w:asciiTheme="majorHAnsi" w:hAnsiTheme="majorHAnsi"/>
          <w:b w:val="0"/>
          <w:sz w:val="16"/>
          <w:szCs w:val="16"/>
        </w:rPr>
        <w:t>u privire la aprobarea Caietului de sarcini-cadru al serviciului public de alimentare cu apă și de canalizare</w:t>
      </w:r>
      <w:r>
        <w:rPr>
          <w:rFonts w:asciiTheme="majorHAnsi" w:hAnsiTheme="majorHAnsi"/>
          <w:b w:val="0"/>
          <w:sz w:val="16"/>
          <w:szCs w:val="16"/>
        </w:rPr>
        <w:t>”</w:t>
      </w:r>
      <w:r w:rsidRPr="0031078B">
        <w:rPr>
          <w:rFonts w:asciiTheme="majorHAnsi" w:hAnsiTheme="majorHAnsi"/>
          <w:b w:val="0"/>
          <w:sz w:val="16"/>
          <w:szCs w:val="16"/>
        </w:rPr>
        <w:t>.</w:t>
      </w:r>
    </w:p>
  </w:footnote>
  <w:footnote w:id="144">
    <w:p w:rsidR="00510CDB" w:rsidRPr="00E916FF" w:rsidRDefault="00510CDB" w:rsidP="00135B17">
      <w:pPr>
        <w:pStyle w:val="af"/>
        <w:jc w:val="both"/>
        <w:rPr>
          <w:rFonts w:asciiTheme="majorHAnsi" w:hAnsiTheme="majorHAnsi" w:cstheme="majorHAnsi"/>
          <w:sz w:val="16"/>
          <w:szCs w:val="16"/>
        </w:rPr>
      </w:pPr>
      <w:r w:rsidRPr="00E916FF">
        <w:rPr>
          <w:rStyle w:val="ab"/>
          <w:sz w:val="16"/>
          <w:szCs w:val="16"/>
        </w:rPr>
        <w:footnoteRef/>
      </w:r>
      <w:r w:rsidRPr="00E916FF">
        <w:rPr>
          <w:sz w:val="16"/>
          <w:szCs w:val="16"/>
        </w:rPr>
        <w:t xml:space="preserve"> </w:t>
      </w:r>
      <w:r w:rsidRPr="00E916FF">
        <w:rPr>
          <w:rFonts w:asciiTheme="majorHAnsi" w:hAnsiTheme="majorHAnsi" w:cstheme="majorHAnsi"/>
          <w:sz w:val="16"/>
          <w:szCs w:val="16"/>
        </w:rPr>
        <w:t>ANRE, conform Legii nr. 303/2013  eliberează licențe doar pentru  operatorii ce furnizează serviciul public de alimentare cu apă și de canalizare la nivel de raion, municipiu, oraș, și a celor la nivel de sat în cazul dotării cu sisteme centralizate de alimentare cu apă, de canalizare și de epurare a apelor uzate.</w:t>
      </w:r>
    </w:p>
    <w:p w:rsidR="00510CDB" w:rsidRPr="00E916FF" w:rsidRDefault="00510CDB">
      <w:pPr>
        <w:pStyle w:val="a9"/>
        <w:rPr>
          <w:rFonts w:asciiTheme="majorHAnsi" w:hAnsiTheme="majorHAnsi" w:cstheme="majorHAnsi"/>
          <w:sz w:val="16"/>
          <w:szCs w:val="16"/>
          <w:lang w:val="en-US"/>
        </w:rPr>
      </w:pPr>
    </w:p>
  </w:footnote>
  <w:footnote w:id="145">
    <w:p w:rsidR="00510CDB" w:rsidRPr="00E269FD" w:rsidRDefault="00510CDB" w:rsidP="00E269FD">
      <w:pPr>
        <w:pStyle w:val="a9"/>
        <w:jc w:val="both"/>
        <w:rPr>
          <w:rFonts w:asciiTheme="majorHAnsi" w:hAnsiTheme="majorHAnsi" w:cstheme="majorHAnsi"/>
          <w:b w:val="0"/>
          <w:bCs w:val="0"/>
          <w:sz w:val="16"/>
          <w:szCs w:val="16"/>
        </w:rPr>
      </w:pPr>
      <w:r w:rsidRPr="00E269FD">
        <w:rPr>
          <w:rStyle w:val="ab"/>
          <w:rFonts w:asciiTheme="majorHAnsi" w:hAnsiTheme="majorHAnsi" w:cstheme="majorHAnsi"/>
          <w:b w:val="0"/>
          <w:bCs w:val="0"/>
          <w:sz w:val="16"/>
          <w:szCs w:val="16"/>
        </w:rPr>
        <w:footnoteRef/>
      </w:r>
      <w:r w:rsidRPr="00E269FD">
        <w:rPr>
          <w:rFonts w:asciiTheme="majorHAnsi" w:hAnsiTheme="majorHAnsi" w:cstheme="majorHAnsi"/>
          <w:b w:val="0"/>
          <w:bCs w:val="0"/>
          <w:sz w:val="16"/>
          <w:szCs w:val="16"/>
        </w:rPr>
        <w:t xml:space="preserve"> Pentru operatorul din H</w:t>
      </w:r>
      <w:r>
        <w:rPr>
          <w:rFonts w:asciiTheme="majorHAnsi" w:hAnsiTheme="majorHAnsi" w:cstheme="majorHAnsi"/>
          <w:b w:val="0"/>
          <w:bCs w:val="0"/>
          <w:sz w:val="16"/>
          <w:szCs w:val="16"/>
        </w:rPr>
        <w:t>â</w:t>
      </w:r>
      <w:r w:rsidRPr="00E269FD">
        <w:rPr>
          <w:rFonts w:asciiTheme="majorHAnsi" w:hAnsiTheme="majorHAnsi" w:cstheme="majorHAnsi"/>
          <w:b w:val="0"/>
          <w:bCs w:val="0"/>
          <w:sz w:val="16"/>
          <w:szCs w:val="16"/>
        </w:rPr>
        <w:t>nceşti</w:t>
      </w:r>
      <w:r>
        <w:rPr>
          <w:rFonts w:asciiTheme="majorHAnsi" w:hAnsiTheme="majorHAnsi" w:cstheme="majorHAnsi"/>
          <w:b w:val="0"/>
          <w:bCs w:val="0"/>
          <w:sz w:val="16"/>
          <w:szCs w:val="16"/>
        </w:rPr>
        <w:t>,</w:t>
      </w:r>
      <w:r w:rsidRPr="00E269FD">
        <w:rPr>
          <w:rFonts w:asciiTheme="majorHAnsi" w:hAnsiTheme="majorHAnsi" w:cstheme="majorHAnsi"/>
          <w:b w:val="0"/>
          <w:bCs w:val="0"/>
          <w:sz w:val="16"/>
          <w:szCs w:val="16"/>
        </w:rPr>
        <w:t xml:space="preserve"> redevenţa anuală constituie 1,3 mil. lei; pentru operatorul din Orhei – 3,4 mil. lei.</w:t>
      </w:r>
    </w:p>
  </w:footnote>
  <w:footnote w:id="146">
    <w:p w:rsidR="00510CDB" w:rsidRPr="00070540" w:rsidRDefault="00510CDB" w:rsidP="00EE132E">
      <w:pPr>
        <w:pStyle w:val="a9"/>
        <w:rPr>
          <w:rFonts w:asciiTheme="majorHAnsi" w:hAnsiTheme="majorHAnsi" w:cstheme="majorHAnsi"/>
          <w:b w:val="0"/>
          <w:bCs w:val="0"/>
          <w:sz w:val="16"/>
          <w:szCs w:val="16"/>
        </w:rPr>
      </w:pPr>
      <w:r w:rsidRPr="00070540">
        <w:rPr>
          <w:rStyle w:val="ab"/>
          <w:rFonts w:asciiTheme="majorHAnsi" w:hAnsiTheme="majorHAnsi" w:cstheme="majorHAnsi"/>
          <w:b w:val="0"/>
          <w:bCs w:val="0"/>
          <w:sz w:val="16"/>
          <w:szCs w:val="16"/>
        </w:rPr>
        <w:footnoteRef/>
      </w:r>
      <w:r w:rsidRPr="00070540">
        <w:rPr>
          <w:rFonts w:asciiTheme="majorHAnsi" w:hAnsiTheme="majorHAnsi" w:cstheme="majorHAnsi"/>
          <w:b w:val="0"/>
          <w:bCs w:val="0"/>
          <w:sz w:val="16"/>
          <w:szCs w:val="16"/>
        </w:rPr>
        <w:t xml:space="preserve"> Ca model fiind utilizat contractul operatorului din H</w:t>
      </w:r>
      <w:r>
        <w:rPr>
          <w:rFonts w:asciiTheme="majorHAnsi" w:hAnsiTheme="majorHAnsi" w:cstheme="majorHAnsi"/>
          <w:b w:val="0"/>
          <w:bCs w:val="0"/>
          <w:sz w:val="16"/>
          <w:szCs w:val="16"/>
        </w:rPr>
        <w:t>â</w:t>
      </w:r>
      <w:r w:rsidRPr="00070540">
        <w:rPr>
          <w:rFonts w:asciiTheme="majorHAnsi" w:hAnsiTheme="majorHAnsi" w:cstheme="majorHAnsi"/>
          <w:b w:val="0"/>
          <w:bCs w:val="0"/>
          <w:sz w:val="16"/>
          <w:szCs w:val="16"/>
        </w:rPr>
        <w:t>ncești.</w:t>
      </w:r>
    </w:p>
  </w:footnote>
  <w:footnote w:id="147">
    <w:p w:rsidR="00510CDB" w:rsidRDefault="00510CDB" w:rsidP="00EE132E">
      <w:pPr>
        <w:pStyle w:val="a9"/>
      </w:pPr>
      <w:r w:rsidRPr="00070540">
        <w:rPr>
          <w:rStyle w:val="ab"/>
          <w:rFonts w:asciiTheme="majorHAnsi" w:hAnsiTheme="majorHAnsi" w:cstheme="majorHAnsi"/>
          <w:b w:val="0"/>
          <w:bCs w:val="0"/>
          <w:sz w:val="16"/>
          <w:szCs w:val="16"/>
        </w:rPr>
        <w:footnoteRef/>
      </w:r>
      <w:r w:rsidRPr="00070540">
        <w:rPr>
          <w:rFonts w:asciiTheme="majorHAnsi" w:hAnsiTheme="majorHAnsi" w:cstheme="majorHAnsi"/>
          <w:b w:val="0"/>
          <w:bCs w:val="0"/>
          <w:sz w:val="16"/>
          <w:szCs w:val="16"/>
        </w:rPr>
        <w:t xml:space="preserve"> Ca model fiind utilizat contractul operatorului din Nisporeni.</w:t>
      </w:r>
    </w:p>
  </w:footnote>
  <w:footnote w:id="148">
    <w:p w:rsidR="00510CDB" w:rsidRPr="00357714" w:rsidRDefault="00510CDB" w:rsidP="004B6B06">
      <w:pPr>
        <w:pStyle w:val="a9"/>
        <w:rPr>
          <w:rFonts w:asciiTheme="majorHAnsi" w:hAnsiTheme="majorHAnsi" w:cstheme="majorHAnsi"/>
          <w:b w:val="0"/>
          <w:bCs w:val="0"/>
          <w:sz w:val="16"/>
          <w:szCs w:val="16"/>
          <w:lang w:val="en-US"/>
        </w:rPr>
      </w:pPr>
      <w:r w:rsidRPr="00357714">
        <w:rPr>
          <w:rStyle w:val="ab"/>
          <w:rFonts w:asciiTheme="majorHAnsi" w:hAnsiTheme="majorHAnsi" w:cstheme="majorHAnsi"/>
          <w:b w:val="0"/>
          <w:bCs w:val="0"/>
          <w:sz w:val="16"/>
          <w:szCs w:val="16"/>
        </w:rPr>
        <w:footnoteRef/>
      </w:r>
      <w:r w:rsidRPr="00357714">
        <w:rPr>
          <w:rFonts w:asciiTheme="majorHAnsi" w:hAnsiTheme="majorHAnsi" w:cstheme="majorHAnsi"/>
          <w:b w:val="0"/>
          <w:bCs w:val="0"/>
          <w:sz w:val="16"/>
          <w:szCs w:val="16"/>
        </w:rPr>
        <w:t xml:space="preserve"> Lipsa date</w:t>
      </w:r>
      <w:r>
        <w:rPr>
          <w:rFonts w:asciiTheme="majorHAnsi" w:hAnsiTheme="majorHAnsi" w:cstheme="majorHAnsi"/>
          <w:b w:val="0"/>
          <w:bCs w:val="0"/>
          <w:sz w:val="16"/>
          <w:szCs w:val="16"/>
        </w:rPr>
        <w:t>lor</w:t>
      </w:r>
      <w:r w:rsidRPr="00357714">
        <w:rPr>
          <w:rFonts w:asciiTheme="majorHAnsi" w:hAnsiTheme="majorHAnsi" w:cstheme="majorHAnsi"/>
          <w:b w:val="0"/>
          <w:bCs w:val="0"/>
          <w:sz w:val="16"/>
          <w:szCs w:val="16"/>
        </w:rPr>
        <w:t>.</w:t>
      </w:r>
    </w:p>
  </w:footnote>
  <w:footnote w:id="149">
    <w:p w:rsidR="00510CDB" w:rsidRPr="00357714" w:rsidRDefault="00510CDB" w:rsidP="004B6B06">
      <w:pPr>
        <w:pStyle w:val="a9"/>
        <w:rPr>
          <w:rFonts w:asciiTheme="majorHAnsi" w:hAnsiTheme="majorHAnsi" w:cstheme="majorHAnsi"/>
          <w:b w:val="0"/>
          <w:bCs w:val="0"/>
          <w:sz w:val="16"/>
          <w:szCs w:val="16"/>
        </w:rPr>
      </w:pPr>
      <w:r w:rsidRPr="001B4A95">
        <w:rPr>
          <w:rStyle w:val="ab"/>
          <w:rFonts w:asciiTheme="majorHAnsi" w:hAnsiTheme="majorHAnsi" w:cstheme="majorHAnsi"/>
          <w:b w:val="0"/>
          <w:sz w:val="16"/>
          <w:szCs w:val="16"/>
        </w:rPr>
        <w:footnoteRef/>
      </w:r>
      <w:r w:rsidRPr="001B4A95">
        <w:rPr>
          <w:rFonts w:asciiTheme="majorHAnsi" w:hAnsiTheme="majorHAnsi" w:cstheme="majorHAnsi"/>
          <w:b w:val="0"/>
          <w:sz w:val="16"/>
          <w:szCs w:val="16"/>
        </w:rPr>
        <w:t xml:space="preserve"> </w:t>
      </w:r>
      <w:r w:rsidRPr="00357714">
        <w:rPr>
          <w:rFonts w:asciiTheme="majorHAnsi" w:hAnsiTheme="majorHAnsi" w:cstheme="majorHAnsi"/>
          <w:b w:val="0"/>
          <w:bCs w:val="0"/>
          <w:sz w:val="16"/>
          <w:szCs w:val="16"/>
        </w:rPr>
        <w:t>Numărul proceselor</w:t>
      </w:r>
      <w:r>
        <w:rPr>
          <w:rFonts w:asciiTheme="majorHAnsi" w:hAnsiTheme="majorHAnsi" w:cstheme="majorHAnsi"/>
          <w:b w:val="0"/>
          <w:bCs w:val="0"/>
          <w:sz w:val="16"/>
          <w:szCs w:val="16"/>
        </w:rPr>
        <w:t>-</w:t>
      </w:r>
      <w:r w:rsidRPr="00357714">
        <w:rPr>
          <w:rFonts w:asciiTheme="majorHAnsi" w:hAnsiTheme="majorHAnsi" w:cstheme="majorHAnsi"/>
          <w:b w:val="0"/>
          <w:bCs w:val="0"/>
          <w:sz w:val="16"/>
          <w:szCs w:val="16"/>
        </w:rPr>
        <w:t xml:space="preserve">verbale de contravenție </w:t>
      </w:r>
      <w:r>
        <w:rPr>
          <w:rFonts w:asciiTheme="majorHAnsi" w:hAnsiTheme="majorHAnsi" w:cstheme="majorHAnsi"/>
          <w:b w:val="0"/>
          <w:bCs w:val="0"/>
          <w:sz w:val="16"/>
          <w:szCs w:val="16"/>
        </w:rPr>
        <w:t>cuprinde</w:t>
      </w:r>
      <w:r w:rsidRPr="00357714">
        <w:rPr>
          <w:rFonts w:asciiTheme="majorHAnsi" w:hAnsiTheme="majorHAnsi" w:cstheme="majorHAnsi"/>
          <w:b w:val="0"/>
          <w:bCs w:val="0"/>
          <w:sz w:val="16"/>
          <w:szCs w:val="16"/>
        </w:rPr>
        <w:t xml:space="preserve"> atât </w:t>
      </w:r>
      <w:r>
        <w:rPr>
          <w:rFonts w:asciiTheme="majorHAnsi" w:hAnsiTheme="majorHAnsi" w:cstheme="majorHAnsi"/>
          <w:b w:val="0"/>
          <w:bCs w:val="0"/>
          <w:sz w:val="16"/>
          <w:szCs w:val="16"/>
        </w:rPr>
        <w:t xml:space="preserve">cele </w:t>
      </w:r>
      <w:r w:rsidRPr="00357714">
        <w:rPr>
          <w:rFonts w:asciiTheme="majorHAnsi" w:hAnsiTheme="majorHAnsi" w:cstheme="majorHAnsi"/>
          <w:b w:val="0"/>
          <w:bCs w:val="0"/>
          <w:sz w:val="16"/>
          <w:szCs w:val="16"/>
        </w:rPr>
        <w:t>pentru persoanele fizice</w:t>
      </w:r>
      <w:r>
        <w:rPr>
          <w:rFonts w:asciiTheme="majorHAnsi" w:hAnsiTheme="majorHAnsi" w:cstheme="majorHAnsi"/>
          <w:b w:val="0"/>
          <w:bCs w:val="0"/>
          <w:sz w:val="16"/>
          <w:szCs w:val="16"/>
        </w:rPr>
        <w:t>,</w:t>
      </w:r>
      <w:r w:rsidRPr="00357714">
        <w:rPr>
          <w:rFonts w:asciiTheme="majorHAnsi" w:hAnsiTheme="majorHAnsi" w:cstheme="majorHAnsi"/>
          <w:b w:val="0"/>
          <w:bCs w:val="0"/>
          <w:sz w:val="16"/>
          <w:szCs w:val="16"/>
        </w:rPr>
        <w:t xml:space="preserve"> cât și </w:t>
      </w:r>
      <w:r>
        <w:rPr>
          <w:rFonts w:asciiTheme="majorHAnsi" w:hAnsiTheme="majorHAnsi" w:cstheme="majorHAnsi"/>
          <w:b w:val="0"/>
          <w:bCs w:val="0"/>
          <w:sz w:val="16"/>
          <w:szCs w:val="16"/>
        </w:rPr>
        <w:t xml:space="preserve">pentru </w:t>
      </w:r>
      <w:r w:rsidRPr="00357714">
        <w:rPr>
          <w:rFonts w:asciiTheme="majorHAnsi" w:hAnsiTheme="majorHAnsi" w:cstheme="majorHAnsi"/>
          <w:b w:val="0"/>
          <w:bCs w:val="0"/>
          <w:sz w:val="16"/>
          <w:szCs w:val="16"/>
        </w:rPr>
        <w:t>persoanele juridice.</w:t>
      </w:r>
    </w:p>
  </w:footnote>
  <w:footnote w:id="150">
    <w:p w:rsidR="00510CDB" w:rsidRPr="001B4A95" w:rsidRDefault="00510CDB" w:rsidP="004B6B06">
      <w:pPr>
        <w:pStyle w:val="a9"/>
        <w:rPr>
          <w:rFonts w:asciiTheme="majorHAnsi" w:hAnsiTheme="majorHAnsi" w:cstheme="majorHAnsi"/>
          <w:sz w:val="16"/>
          <w:szCs w:val="16"/>
        </w:rPr>
      </w:pPr>
      <w:r w:rsidRPr="001B4A95">
        <w:rPr>
          <w:rStyle w:val="ab"/>
          <w:rFonts w:asciiTheme="majorHAnsi" w:hAnsiTheme="majorHAnsi" w:cstheme="majorHAnsi"/>
          <w:b w:val="0"/>
          <w:sz w:val="16"/>
          <w:szCs w:val="16"/>
        </w:rPr>
        <w:footnoteRef/>
      </w:r>
      <w:r w:rsidRPr="001B4A95">
        <w:rPr>
          <w:rFonts w:asciiTheme="majorHAnsi" w:hAnsiTheme="majorHAnsi" w:cstheme="majorHAnsi"/>
          <w:b w:val="0"/>
          <w:sz w:val="16"/>
          <w:szCs w:val="16"/>
        </w:rPr>
        <w:t xml:space="preserve"> </w:t>
      </w:r>
      <w:r w:rsidRPr="001B4A95">
        <w:rPr>
          <w:rFonts w:asciiTheme="majorHAnsi" w:hAnsiTheme="majorHAnsi" w:cstheme="majorHAnsi"/>
          <w:b w:val="0"/>
          <w:color w:val="002060"/>
          <w:sz w:val="16"/>
          <w:szCs w:val="16"/>
          <w:u w:val="single"/>
        </w:rPr>
        <w:t>https://ipmgov.md/ro/rapoarte-anuale</w:t>
      </w:r>
    </w:p>
  </w:footnote>
  <w:footnote w:id="151">
    <w:p w:rsidR="00510CDB" w:rsidRPr="00942BD4" w:rsidRDefault="00510CDB" w:rsidP="004B6B06">
      <w:pPr>
        <w:pStyle w:val="a9"/>
        <w:jc w:val="both"/>
        <w:rPr>
          <w:rFonts w:asciiTheme="majorHAnsi" w:hAnsiTheme="majorHAnsi" w:cs="Calibri Light"/>
          <w:b w:val="0"/>
          <w:bCs w:val="0"/>
          <w:sz w:val="16"/>
          <w:szCs w:val="16"/>
        </w:rPr>
      </w:pPr>
      <w:r w:rsidRPr="00EE132E">
        <w:rPr>
          <w:rStyle w:val="ab"/>
          <w:rFonts w:ascii="Calibri Light" w:hAnsi="Calibri Light" w:cs="Calibri Light"/>
          <w:b w:val="0"/>
          <w:bCs w:val="0"/>
          <w:sz w:val="16"/>
          <w:szCs w:val="16"/>
        </w:rPr>
        <w:footnoteRef/>
      </w:r>
      <w:r w:rsidRPr="00EE132E">
        <w:rPr>
          <w:rFonts w:ascii="Calibri Light" w:hAnsi="Calibri Light" w:cs="Calibri Light"/>
          <w:b w:val="0"/>
          <w:bCs w:val="0"/>
          <w:sz w:val="16"/>
          <w:szCs w:val="16"/>
        </w:rPr>
        <w:t xml:space="preserve"> </w:t>
      </w:r>
      <w:r w:rsidRPr="00942BD4">
        <w:rPr>
          <w:rFonts w:asciiTheme="majorHAnsi" w:hAnsiTheme="majorHAnsi" w:cs="Calibri Light"/>
          <w:b w:val="0"/>
          <w:bCs w:val="0"/>
          <w:sz w:val="16"/>
          <w:szCs w:val="16"/>
        </w:rPr>
        <w:t>Nu s-a</w:t>
      </w:r>
      <w:r>
        <w:rPr>
          <w:rFonts w:asciiTheme="majorHAnsi" w:hAnsiTheme="majorHAnsi" w:cs="Calibri Light"/>
          <w:b w:val="0"/>
          <w:bCs w:val="0"/>
          <w:sz w:val="16"/>
          <w:szCs w:val="16"/>
        </w:rPr>
        <w:t>u</w:t>
      </w:r>
      <w:r w:rsidRPr="00942BD4">
        <w:rPr>
          <w:rFonts w:asciiTheme="majorHAnsi" w:hAnsiTheme="majorHAnsi" w:cs="Calibri Light"/>
          <w:b w:val="0"/>
          <w:bCs w:val="0"/>
          <w:sz w:val="16"/>
          <w:szCs w:val="16"/>
        </w:rPr>
        <w:t xml:space="preserve"> luat în calcul anulările afrente expirării termenului de prescripție de 1 an, substituirii amenzii calculate cu munca neremunerată sau anulări</w:t>
      </w:r>
      <w:r>
        <w:rPr>
          <w:rFonts w:asciiTheme="majorHAnsi" w:hAnsiTheme="majorHAnsi" w:cs="Calibri Light"/>
          <w:b w:val="0"/>
          <w:bCs w:val="0"/>
          <w:sz w:val="16"/>
          <w:szCs w:val="16"/>
        </w:rPr>
        <w:t>i</w:t>
      </w:r>
      <w:r w:rsidRPr="00942BD4">
        <w:rPr>
          <w:rFonts w:asciiTheme="majorHAnsi" w:hAnsiTheme="majorHAnsi" w:cs="Calibri Light"/>
          <w:b w:val="0"/>
          <w:bCs w:val="0"/>
          <w:sz w:val="16"/>
          <w:szCs w:val="16"/>
        </w:rPr>
        <w:t xml:space="preserve"> ca urmare a contestațiilor</w:t>
      </w:r>
      <w:r>
        <w:rPr>
          <w:rFonts w:asciiTheme="majorHAnsi" w:hAnsiTheme="majorHAnsi" w:cs="Calibri Light"/>
          <w:b w:val="0"/>
          <w:bCs w:val="0"/>
          <w:sz w:val="16"/>
          <w:szCs w:val="16"/>
        </w:rPr>
        <w:t xml:space="preserve"> depuse</w:t>
      </w:r>
      <w:r w:rsidRPr="00942BD4">
        <w:rPr>
          <w:rFonts w:asciiTheme="majorHAnsi" w:hAnsiTheme="majorHAnsi" w:cs="Calibri Light"/>
          <w:b w:val="0"/>
          <w:bCs w:val="0"/>
          <w:sz w:val="16"/>
          <w:szCs w:val="16"/>
        </w:rPr>
        <w:t>.</w:t>
      </w:r>
    </w:p>
  </w:footnote>
  <w:footnote w:id="152">
    <w:p w:rsidR="00510CDB" w:rsidRPr="00942BD4" w:rsidRDefault="00510CDB" w:rsidP="004B6B06">
      <w:pPr>
        <w:pStyle w:val="a9"/>
        <w:jc w:val="both"/>
        <w:rPr>
          <w:rFonts w:asciiTheme="majorHAnsi" w:hAnsiTheme="majorHAnsi" w:cs="Calibri Light"/>
          <w:b w:val="0"/>
          <w:sz w:val="16"/>
          <w:szCs w:val="16"/>
        </w:rPr>
      </w:pPr>
      <w:r w:rsidRPr="00942BD4">
        <w:rPr>
          <w:rStyle w:val="ab"/>
          <w:rFonts w:asciiTheme="majorHAnsi" w:hAnsiTheme="majorHAnsi" w:cs="Calibri Light"/>
          <w:b w:val="0"/>
          <w:sz w:val="16"/>
          <w:szCs w:val="16"/>
        </w:rPr>
        <w:footnoteRef/>
      </w:r>
      <w:r w:rsidRPr="00942BD4">
        <w:rPr>
          <w:rFonts w:asciiTheme="majorHAnsi" w:hAnsiTheme="majorHAnsi" w:cs="Calibri Light"/>
          <w:b w:val="0"/>
          <w:sz w:val="16"/>
          <w:szCs w:val="16"/>
        </w:rPr>
        <w:t xml:space="preserve"> La moment nu este posibil</w:t>
      </w:r>
      <w:r>
        <w:rPr>
          <w:rFonts w:asciiTheme="majorHAnsi" w:hAnsiTheme="majorHAnsi" w:cs="Calibri Light"/>
          <w:b w:val="0"/>
          <w:sz w:val="16"/>
          <w:szCs w:val="16"/>
        </w:rPr>
        <w:t>ă</w:t>
      </w:r>
      <w:r w:rsidRPr="00942BD4">
        <w:rPr>
          <w:rFonts w:asciiTheme="majorHAnsi" w:hAnsiTheme="majorHAnsi" w:cs="Calibri Light"/>
          <w:b w:val="0"/>
          <w:sz w:val="16"/>
          <w:szCs w:val="16"/>
        </w:rPr>
        <w:t xml:space="preserve"> evalu</w:t>
      </w:r>
      <w:r>
        <w:rPr>
          <w:rFonts w:asciiTheme="majorHAnsi" w:hAnsiTheme="majorHAnsi" w:cs="Calibri Light"/>
          <w:b w:val="0"/>
          <w:sz w:val="16"/>
          <w:szCs w:val="16"/>
        </w:rPr>
        <w:t>area</w:t>
      </w:r>
      <w:r w:rsidRPr="00942BD4">
        <w:rPr>
          <w:rFonts w:asciiTheme="majorHAnsi" w:hAnsiTheme="majorHAnsi" w:cs="Calibri Light"/>
          <w:b w:val="0"/>
          <w:sz w:val="16"/>
          <w:szCs w:val="16"/>
        </w:rPr>
        <w:t xml:space="preserve"> acest</w:t>
      </w:r>
      <w:r>
        <w:rPr>
          <w:rFonts w:asciiTheme="majorHAnsi" w:hAnsiTheme="majorHAnsi" w:cs="Calibri Light"/>
          <w:b w:val="0"/>
          <w:sz w:val="16"/>
          <w:szCs w:val="16"/>
        </w:rPr>
        <w:t>or</w:t>
      </w:r>
      <w:r w:rsidRPr="00942BD4">
        <w:rPr>
          <w:rFonts w:asciiTheme="majorHAnsi" w:hAnsiTheme="majorHAnsi" w:cs="Calibri Light"/>
          <w:b w:val="0"/>
          <w:sz w:val="16"/>
          <w:szCs w:val="16"/>
        </w:rPr>
        <w:t xml:space="preserve"> sume.</w:t>
      </w:r>
    </w:p>
  </w:footnote>
  <w:footnote w:id="153">
    <w:p w:rsidR="00510CDB" w:rsidRPr="00942BD4" w:rsidRDefault="00510CDB" w:rsidP="004B6B06">
      <w:pPr>
        <w:pStyle w:val="a9"/>
        <w:jc w:val="both"/>
        <w:rPr>
          <w:rFonts w:asciiTheme="majorHAnsi" w:hAnsiTheme="majorHAnsi" w:cs="Calibri Light"/>
          <w:b w:val="0"/>
          <w:sz w:val="16"/>
          <w:szCs w:val="16"/>
        </w:rPr>
      </w:pPr>
      <w:r w:rsidRPr="00942BD4">
        <w:rPr>
          <w:rStyle w:val="ab"/>
          <w:rFonts w:asciiTheme="majorHAnsi" w:hAnsiTheme="majorHAnsi" w:cs="Calibri Light"/>
          <w:b w:val="0"/>
          <w:sz w:val="16"/>
          <w:szCs w:val="16"/>
        </w:rPr>
        <w:footnoteRef/>
      </w:r>
      <w:r w:rsidRPr="00942BD4">
        <w:rPr>
          <w:rFonts w:asciiTheme="majorHAnsi" w:hAnsiTheme="majorHAnsi" w:cs="Calibri Light"/>
          <w:b w:val="0"/>
          <w:sz w:val="16"/>
          <w:szCs w:val="16"/>
        </w:rPr>
        <w:t xml:space="preserve"> Suma totală a obligațiunilor neachitate.</w:t>
      </w:r>
    </w:p>
  </w:footnote>
  <w:footnote w:id="154">
    <w:p w:rsidR="00510CDB" w:rsidRPr="00942BD4" w:rsidRDefault="00510CDB" w:rsidP="004B6B06">
      <w:pPr>
        <w:pStyle w:val="a9"/>
        <w:jc w:val="both"/>
        <w:rPr>
          <w:rFonts w:asciiTheme="majorHAnsi" w:hAnsiTheme="majorHAnsi" w:cs="Calibri Light"/>
          <w:b w:val="0"/>
          <w:sz w:val="16"/>
          <w:szCs w:val="16"/>
        </w:rPr>
      </w:pPr>
      <w:r w:rsidRPr="00942BD4">
        <w:rPr>
          <w:rStyle w:val="ab"/>
          <w:rFonts w:asciiTheme="majorHAnsi" w:hAnsiTheme="majorHAnsi" w:cs="Calibri Light"/>
          <w:b w:val="0"/>
          <w:sz w:val="16"/>
          <w:szCs w:val="16"/>
        </w:rPr>
        <w:footnoteRef/>
      </w:r>
      <w:r w:rsidRPr="00942BD4">
        <w:rPr>
          <w:rFonts w:asciiTheme="majorHAnsi" w:hAnsiTheme="majorHAnsi" w:cs="Calibri Light"/>
          <w:b w:val="0"/>
          <w:sz w:val="16"/>
          <w:szCs w:val="16"/>
        </w:rPr>
        <w:t xml:space="preserve"> Suma </w:t>
      </w:r>
      <w:r>
        <w:rPr>
          <w:rFonts w:asciiTheme="majorHAnsi" w:hAnsiTheme="majorHAnsi" w:cs="Calibri Light"/>
          <w:b w:val="0"/>
          <w:sz w:val="16"/>
          <w:szCs w:val="16"/>
        </w:rPr>
        <w:t>din procesul-verbal</w:t>
      </w:r>
      <w:r w:rsidRPr="00942BD4">
        <w:rPr>
          <w:rFonts w:asciiTheme="majorHAnsi" w:hAnsiTheme="majorHAnsi" w:cs="Calibri Light"/>
          <w:b w:val="0"/>
          <w:sz w:val="16"/>
          <w:szCs w:val="16"/>
        </w:rPr>
        <w:t xml:space="preserve"> în limita termenului de prescripție de </w:t>
      </w:r>
      <w:r>
        <w:rPr>
          <w:rFonts w:asciiTheme="majorHAnsi" w:hAnsiTheme="majorHAnsi" w:cs="Calibri Light"/>
          <w:b w:val="0"/>
          <w:sz w:val="16"/>
          <w:szCs w:val="16"/>
        </w:rPr>
        <w:t>3</w:t>
      </w:r>
      <w:r w:rsidRPr="00942BD4">
        <w:rPr>
          <w:rFonts w:asciiTheme="majorHAnsi" w:hAnsiTheme="majorHAnsi" w:cs="Calibri Light"/>
          <w:b w:val="0"/>
          <w:sz w:val="16"/>
          <w:szCs w:val="16"/>
        </w:rPr>
        <w:t xml:space="preserve"> an</w:t>
      </w:r>
      <w:r>
        <w:rPr>
          <w:rFonts w:asciiTheme="majorHAnsi" w:hAnsiTheme="majorHAnsi" w:cs="Calibri Light"/>
          <w:b w:val="0"/>
          <w:sz w:val="16"/>
          <w:szCs w:val="16"/>
        </w:rPr>
        <w:t>i</w:t>
      </w:r>
      <w:r w:rsidRPr="00942BD4">
        <w:rPr>
          <w:rFonts w:asciiTheme="majorHAnsi" w:hAnsiTheme="majorHAnsi" w:cs="Calibri Light"/>
          <w:b w:val="0"/>
          <w:sz w:val="16"/>
          <w:szCs w:val="16"/>
        </w:rPr>
        <w:t>.</w:t>
      </w:r>
    </w:p>
  </w:footnote>
  <w:footnote w:id="155">
    <w:p w:rsidR="00510CDB" w:rsidRDefault="00510CDB" w:rsidP="001760F8">
      <w:pPr>
        <w:pStyle w:val="a9"/>
        <w:jc w:val="both"/>
        <w:rPr>
          <w:rFonts w:ascii="Calibri" w:hAnsi="Calibri" w:cs="Arial"/>
        </w:rPr>
      </w:pPr>
      <w:r w:rsidRPr="00707457">
        <w:rPr>
          <w:rStyle w:val="ab"/>
          <w:rFonts w:ascii="Calibri Light" w:hAnsi="Calibri Light" w:cs="Calibri Light"/>
          <w:b w:val="0"/>
          <w:bCs w:val="0"/>
          <w:sz w:val="16"/>
          <w:szCs w:val="16"/>
        </w:rPr>
        <w:footnoteRef/>
      </w:r>
      <w:r w:rsidRPr="00707457">
        <w:rPr>
          <w:rFonts w:ascii="Calibri Light" w:hAnsi="Calibri Light" w:cs="Calibri Light"/>
          <w:b w:val="0"/>
          <w:bCs w:val="0"/>
          <w:sz w:val="16"/>
          <w:szCs w:val="16"/>
        </w:rPr>
        <w:t xml:space="preserve"> Nu s-a</w:t>
      </w:r>
      <w:r>
        <w:rPr>
          <w:rFonts w:ascii="Calibri Light" w:hAnsi="Calibri Light" w:cs="Calibri Light"/>
          <w:b w:val="0"/>
          <w:bCs w:val="0"/>
          <w:sz w:val="16"/>
          <w:szCs w:val="16"/>
        </w:rPr>
        <w:t>u</w:t>
      </w:r>
      <w:r w:rsidRPr="00707457">
        <w:rPr>
          <w:rFonts w:ascii="Calibri Light" w:hAnsi="Calibri Light" w:cs="Calibri Light"/>
          <w:b w:val="0"/>
          <w:bCs w:val="0"/>
          <w:sz w:val="16"/>
          <w:szCs w:val="16"/>
        </w:rPr>
        <w:t xml:space="preserve"> luat în calcul anulările afrente expirarii termenului de prescripție de 1 an, substituirii amenzii calculate cu munca neremunerată sau anulări</w:t>
      </w:r>
      <w:r>
        <w:rPr>
          <w:rFonts w:ascii="Calibri Light" w:hAnsi="Calibri Light" w:cs="Calibri Light"/>
          <w:b w:val="0"/>
          <w:bCs w:val="0"/>
          <w:sz w:val="16"/>
          <w:szCs w:val="16"/>
        </w:rPr>
        <w:t>i</w:t>
      </w:r>
      <w:r w:rsidRPr="00707457">
        <w:rPr>
          <w:rFonts w:ascii="Calibri Light" w:hAnsi="Calibri Light" w:cs="Calibri Light"/>
          <w:b w:val="0"/>
          <w:bCs w:val="0"/>
          <w:sz w:val="16"/>
          <w:szCs w:val="16"/>
        </w:rPr>
        <w:t xml:space="preserve"> ca urmare a contestațiilor</w:t>
      </w:r>
      <w:r>
        <w:rPr>
          <w:rFonts w:ascii="Calibri Light" w:hAnsi="Calibri Light" w:cs="Calibri Light"/>
          <w:b w:val="0"/>
          <w:bCs w:val="0"/>
          <w:sz w:val="16"/>
          <w:szCs w:val="16"/>
        </w:rPr>
        <w:t xml:space="preserve"> depuse</w:t>
      </w:r>
      <w:r w:rsidRPr="00707457">
        <w:rPr>
          <w:rFonts w:ascii="Calibri Light" w:hAnsi="Calibri Light" w:cs="Calibri Light"/>
          <w:b w:val="0"/>
          <w:bCs w:val="0"/>
          <w:sz w:val="16"/>
          <w:szCs w:val="16"/>
        </w:rPr>
        <w:t>.</w:t>
      </w:r>
    </w:p>
  </w:footnote>
  <w:footnote w:id="156">
    <w:p w:rsidR="00510CDB" w:rsidRPr="001B4A95" w:rsidRDefault="00510CDB">
      <w:pPr>
        <w:pStyle w:val="a9"/>
        <w:rPr>
          <w:rFonts w:asciiTheme="majorHAnsi" w:hAnsiTheme="majorHAnsi" w:cstheme="majorHAnsi"/>
          <w:sz w:val="16"/>
          <w:szCs w:val="16"/>
        </w:rPr>
      </w:pPr>
      <w:r w:rsidRPr="001B4A95">
        <w:rPr>
          <w:rStyle w:val="ab"/>
          <w:rFonts w:asciiTheme="majorHAnsi" w:hAnsiTheme="majorHAnsi" w:cstheme="majorHAnsi"/>
          <w:b w:val="0"/>
          <w:sz w:val="16"/>
          <w:szCs w:val="16"/>
        </w:rPr>
        <w:footnoteRef/>
      </w:r>
      <w:r w:rsidRPr="001B4A95">
        <w:rPr>
          <w:rFonts w:asciiTheme="majorHAnsi" w:hAnsiTheme="majorHAnsi" w:cstheme="majorHAnsi"/>
          <w:b w:val="0"/>
          <w:sz w:val="16"/>
          <w:szCs w:val="16"/>
        </w:rPr>
        <w:t xml:space="preserve"> </w:t>
      </w:r>
      <w:r w:rsidRPr="001B4A95">
        <w:rPr>
          <w:rFonts w:asciiTheme="majorHAnsi" w:hAnsiTheme="majorHAnsi" w:cstheme="majorHAnsi"/>
          <w:b w:val="0"/>
          <w:bCs w:val="0"/>
          <w:sz w:val="16"/>
          <w:szCs w:val="16"/>
        </w:rPr>
        <w:t>Calculul: 1</w:t>
      </w:r>
      <w:r>
        <w:rPr>
          <w:rFonts w:asciiTheme="majorHAnsi" w:hAnsiTheme="majorHAnsi" w:cstheme="majorHAnsi"/>
          <w:b w:val="0"/>
          <w:bCs w:val="0"/>
          <w:sz w:val="16"/>
          <w:szCs w:val="16"/>
        </w:rPr>
        <w:t>.</w:t>
      </w:r>
      <w:r w:rsidRPr="001B4A95">
        <w:rPr>
          <w:rFonts w:asciiTheme="majorHAnsi" w:hAnsiTheme="majorHAnsi" w:cstheme="majorHAnsi"/>
          <w:b w:val="0"/>
          <w:bCs w:val="0"/>
          <w:sz w:val="16"/>
          <w:szCs w:val="16"/>
        </w:rPr>
        <w:t>219,9+18,6+194,6=1</w:t>
      </w:r>
      <w:r>
        <w:rPr>
          <w:rFonts w:asciiTheme="majorHAnsi" w:hAnsiTheme="majorHAnsi" w:cstheme="majorHAnsi"/>
          <w:b w:val="0"/>
          <w:bCs w:val="0"/>
          <w:sz w:val="16"/>
          <w:szCs w:val="16"/>
        </w:rPr>
        <w:t>.433,1</w:t>
      </w:r>
      <w:r w:rsidRPr="001B4A95">
        <w:rPr>
          <w:rFonts w:asciiTheme="majorHAnsi" w:hAnsiTheme="majorHAnsi" w:cstheme="majorHAnsi"/>
          <w:b w:val="0"/>
          <w:bCs w:val="0"/>
          <w:sz w:val="16"/>
          <w:szCs w:val="16"/>
        </w:rPr>
        <w:t xml:space="preserve"> mii lei.</w:t>
      </w:r>
    </w:p>
  </w:footnote>
  <w:footnote w:id="157">
    <w:p w:rsidR="00510CDB" w:rsidRPr="006B1461" w:rsidRDefault="00510CDB" w:rsidP="004B6B06">
      <w:pPr>
        <w:pStyle w:val="a9"/>
        <w:rPr>
          <w:rFonts w:asciiTheme="majorHAnsi" w:hAnsiTheme="majorHAnsi" w:cstheme="majorHAnsi"/>
          <w:b w:val="0"/>
          <w:bCs w:val="0"/>
          <w:sz w:val="16"/>
          <w:szCs w:val="16"/>
        </w:rPr>
      </w:pPr>
      <w:r w:rsidRPr="006B1461">
        <w:rPr>
          <w:rStyle w:val="ab"/>
          <w:rFonts w:asciiTheme="majorHAnsi" w:hAnsiTheme="majorHAnsi" w:cstheme="majorHAnsi"/>
          <w:b w:val="0"/>
          <w:bCs w:val="0"/>
          <w:sz w:val="16"/>
          <w:szCs w:val="16"/>
        </w:rPr>
        <w:footnoteRef/>
      </w:r>
      <w:r w:rsidRPr="006B1461">
        <w:rPr>
          <w:rFonts w:asciiTheme="majorHAnsi" w:hAnsiTheme="majorHAnsi" w:cstheme="majorHAnsi"/>
          <w:b w:val="0"/>
          <w:bCs w:val="0"/>
          <w:sz w:val="16"/>
          <w:szCs w:val="16"/>
        </w:rPr>
        <w:t xml:space="preserve"> Date pentru anii 2020-2021 lipsesc. A fost modificat formatul de prezentare a datelor.</w:t>
      </w:r>
    </w:p>
  </w:footnote>
  <w:footnote w:id="158">
    <w:p w:rsidR="00510CDB" w:rsidRPr="00373962" w:rsidRDefault="00510CDB">
      <w:pPr>
        <w:pStyle w:val="a9"/>
        <w:rPr>
          <w:rFonts w:asciiTheme="majorHAnsi" w:hAnsiTheme="majorHAnsi" w:cstheme="majorHAnsi"/>
          <w:b w:val="0"/>
          <w:bCs w:val="0"/>
          <w:sz w:val="16"/>
          <w:szCs w:val="16"/>
        </w:rPr>
      </w:pPr>
      <w:r w:rsidRPr="00BC28D6">
        <w:rPr>
          <w:rStyle w:val="ab"/>
          <w:rFonts w:asciiTheme="majorHAnsi" w:hAnsiTheme="majorHAnsi" w:cstheme="majorHAnsi"/>
          <w:b w:val="0"/>
          <w:bCs w:val="0"/>
          <w:sz w:val="16"/>
          <w:szCs w:val="16"/>
        </w:rPr>
        <w:footnoteRef/>
      </w:r>
      <w:r w:rsidRPr="00BC28D6">
        <w:rPr>
          <w:rFonts w:asciiTheme="majorHAnsi" w:hAnsiTheme="majorHAnsi" w:cstheme="majorHAnsi"/>
          <w:b w:val="0"/>
          <w:bCs w:val="0"/>
          <w:sz w:val="16"/>
          <w:szCs w:val="16"/>
        </w:rPr>
        <w:t xml:space="preserve"> Nivelul de implementare a recomandărilor </w:t>
      </w:r>
      <w:r>
        <w:rPr>
          <w:rFonts w:asciiTheme="majorHAnsi" w:hAnsiTheme="majorHAnsi" w:cstheme="majorHAnsi"/>
          <w:b w:val="0"/>
          <w:bCs w:val="0"/>
          <w:sz w:val="16"/>
          <w:szCs w:val="16"/>
        </w:rPr>
        <w:t>constituie</w:t>
      </w:r>
      <w:r w:rsidRPr="00BC28D6">
        <w:rPr>
          <w:rFonts w:asciiTheme="majorHAnsi" w:hAnsiTheme="majorHAnsi" w:cstheme="majorHAnsi"/>
          <w:b w:val="0"/>
          <w:bCs w:val="0"/>
          <w:sz w:val="16"/>
          <w:szCs w:val="16"/>
        </w:rPr>
        <w:t xml:space="preserve"> 19,2%.</w:t>
      </w:r>
    </w:p>
  </w:footnote>
  <w:footnote w:id="159">
    <w:p w:rsidR="00510CDB" w:rsidRDefault="00510CDB">
      <w:pPr>
        <w:pStyle w:val="a9"/>
      </w:pPr>
      <w:r w:rsidRPr="00BC28D6">
        <w:rPr>
          <w:rStyle w:val="ab"/>
          <w:rFonts w:asciiTheme="majorHAnsi" w:hAnsiTheme="majorHAnsi" w:cstheme="majorHAnsi"/>
          <w:b w:val="0"/>
          <w:bCs w:val="0"/>
          <w:sz w:val="16"/>
          <w:szCs w:val="16"/>
        </w:rPr>
        <w:footnoteRef/>
      </w:r>
      <w:r>
        <w:t xml:space="preserve"> </w:t>
      </w:r>
      <w:r w:rsidRPr="00D33BD9">
        <w:rPr>
          <w:rFonts w:asciiTheme="majorHAnsi" w:hAnsiTheme="majorHAnsi" w:cstheme="majorHAnsi"/>
          <w:b w:val="0"/>
          <w:bCs w:val="0"/>
          <w:sz w:val="16"/>
          <w:szCs w:val="16"/>
        </w:rPr>
        <w:t xml:space="preserve">Nivelul de implementare a recomandărilor </w:t>
      </w:r>
      <w:r>
        <w:rPr>
          <w:rFonts w:asciiTheme="majorHAnsi" w:hAnsiTheme="majorHAnsi" w:cstheme="majorHAnsi"/>
          <w:b w:val="0"/>
          <w:bCs w:val="0"/>
          <w:sz w:val="16"/>
          <w:szCs w:val="16"/>
        </w:rPr>
        <w:t xml:space="preserve"> constituie</w:t>
      </w:r>
      <w:r w:rsidRPr="00D33BD9">
        <w:rPr>
          <w:rFonts w:asciiTheme="majorHAnsi" w:hAnsiTheme="majorHAnsi" w:cstheme="majorHAnsi"/>
          <w:b w:val="0"/>
          <w:bCs w:val="0"/>
          <w:sz w:val="16"/>
          <w:szCs w:val="16"/>
        </w:rPr>
        <w:t xml:space="preserve"> </w:t>
      </w:r>
      <w:r>
        <w:rPr>
          <w:rFonts w:asciiTheme="majorHAnsi" w:hAnsiTheme="majorHAnsi" w:cstheme="majorHAnsi"/>
          <w:b w:val="0"/>
          <w:bCs w:val="0"/>
          <w:sz w:val="16"/>
          <w:szCs w:val="16"/>
        </w:rPr>
        <w:t>24</w:t>
      </w:r>
      <w:r w:rsidRPr="00D33BD9">
        <w:rPr>
          <w:rFonts w:asciiTheme="majorHAnsi" w:hAnsiTheme="majorHAnsi" w:cstheme="majorHAnsi"/>
          <w:b w:val="0"/>
          <w:bCs w:val="0"/>
          <w:sz w:val="16"/>
          <w:szCs w:val="16"/>
        </w:rPr>
        <w:t>,</w:t>
      </w:r>
      <w:r>
        <w:rPr>
          <w:rFonts w:asciiTheme="majorHAnsi" w:hAnsiTheme="majorHAnsi" w:cstheme="majorHAnsi"/>
          <w:b w:val="0"/>
          <w:bCs w:val="0"/>
          <w:sz w:val="16"/>
          <w:szCs w:val="16"/>
        </w:rPr>
        <w:t>3</w:t>
      </w:r>
      <w:r w:rsidRPr="00D33BD9">
        <w:rPr>
          <w:rFonts w:asciiTheme="majorHAnsi" w:hAnsiTheme="majorHAnsi" w:cstheme="majorHAnsi"/>
          <w:b w:val="0"/>
          <w:bCs w:val="0"/>
          <w:sz w:val="16"/>
          <w:szCs w:val="16"/>
        </w:rPr>
        <w:t>%.</w:t>
      </w:r>
    </w:p>
  </w:footnote>
  <w:footnote w:id="160">
    <w:p w:rsidR="00510CDB" w:rsidRPr="006437E2" w:rsidRDefault="00510CDB" w:rsidP="000E184F">
      <w:pPr>
        <w:pStyle w:val="a9"/>
        <w:jc w:val="both"/>
        <w:rPr>
          <w:rFonts w:asciiTheme="majorHAnsi" w:hAnsiTheme="majorHAnsi" w:cstheme="majorHAnsi"/>
          <w:b w:val="0"/>
          <w:bCs w:val="0"/>
          <w:sz w:val="16"/>
          <w:szCs w:val="16"/>
        </w:rPr>
      </w:pPr>
      <w:r w:rsidRPr="00CC1E28">
        <w:rPr>
          <w:rStyle w:val="ab"/>
          <w:rFonts w:asciiTheme="majorHAnsi" w:hAnsiTheme="majorHAnsi" w:cstheme="majorHAnsi"/>
          <w:b w:val="0"/>
          <w:sz w:val="16"/>
          <w:szCs w:val="16"/>
        </w:rPr>
        <w:footnoteRef/>
      </w:r>
      <w:r w:rsidRPr="006437E2">
        <w:rPr>
          <w:rFonts w:asciiTheme="majorHAnsi" w:hAnsiTheme="majorHAnsi" w:cstheme="majorHAnsi"/>
          <w:b w:val="0"/>
          <w:bCs w:val="0"/>
          <w:sz w:val="16"/>
          <w:szCs w:val="16"/>
        </w:rPr>
        <w:t xml:space="preserve"> Programul activității de audit pe anul 2022</w:t>
      </w:r>
      <w:r>
        <w:rPr>
          <w:rFonts w:asciiTheme="majorHAnsi" w:hAnsiTheme="majorHAnsi" w:cstheme="majorHAnsi"/>
          <w:b w:val="0"/>
          <w:bCs w:val="0"/>
          <w:sz w:val="16"/>
          <w:szCs w:val="16"/>
        </w:rPr>
        <w:t>,</w:t>
      </w:r>
      <w:r w:rsidRPr="006437E2">
        <w:rPr>
          <w:rFonts w:asciiTheme="majorHAnsi" w:hAnsiTheme="majorHAnsi" w:cstheme="majorHAnsi"/>
          <w:b w:val="0"/>
          <w:bCs w:val="0"/>
          <w:sz w:val="16"/>
          <w:szCs w:val="16"/>
        </w:rPr>
        <w:t xml:space="preserve"> aprobat prin Hotărârea Curții de Conturi nr.75 din 28.12.2021 şi Programul activității de audit pe anul 2023</w:t>
      </w:r>
      <w:r>
        <w:rPr>
          <w:rFonts w:asciiTheme="majorHAnsi" w:hAnsiTheme="majorHAnsi" w:cstheme="majorHAnsi"/>
          <w:b w:val="0"/>
          <w:bCs w:val="0"/>
          <w:sz w:val="16"/>
          <w:szCs w:val="16"/>
        </w:rPr>
        <w:t>,</w:t>
      </w:r>
      <w:r w:rsidRPr="006437E2">
        <w:rPr>
          <w:rFonts w:asciiTheme="majorHAnsi" w:hAnsiTheme="majorHAnsi" w:cstheme="majorHAnsi"/>
          <w:b w:val="0"/>
          <w:bCs w:val="0"/>
          <w:sz w:val="16"/>
          <w:szCs w:val="16"/>
        </w:rPr>
        <w:t xml:space="preserve"> aprobat prin Hotărârea Curții de Conturi nr.65 din 22.12.2022.</w:t>
      </w:r>
    </w:p>
  </w:footnote>
  <w:footnote w:id="161">
    <w:p w:rsidR="00510CDB" w:rsidRPr="006437E2" w:rsidRDefault="00510CDB" w:rsidP="000E184F">
      <w:pPr>
        <w:pStyle w:val="a9"/>
        <w:rPr>
          <w:rFonts w:asciiTheme="majorHAnsi" w:hAnsiTheme="majorHAnsi" w:cstheme="majorHAnsi"/>
          <w:b w:val="0"/>
          <w:sz w:val="16"/>
          <w:szCs w:val="16"/>
          <w:lang w:val="en-US"/>
        </w:rPr>
      </w:pPr>
      <w:r w:rsidRPr="00CC1E28">
        <w:rPr>
          <w:rStyle w:val="ab"/>
          <w:rFonts w:asciiTheme="majorHAnsi" w:hAnsiTheme="majorHAnsi" w:cstheme="majorHAnsi"/>
          <w:b w:val="0"/>
          <w:sz w:val="16"/>
          <w:szCs w:val="16"/>
        </w:rPr>
        <w:footnoteRef/>
      </w:r>
      <w:r w:rsidRPr="006437E2">
        <w:rPr>
          <w:rFonts w:asciiTheme="majorHAnsi" w:hAnsiTheme="majorHAnsi" w:cstheme="majorHAnsi"/>
          <w:b w:val="0"/>
          <w:sz w:val="16"/>
          <w:szCs w:val="16"/>
          <w:lang w:val="en-US"/>
        </w:rPr>
        <w:t xml:space="preserve"> Aprobate prin Hotărârea Curții de Conturi  nr.2 din 24</w:t>
      </w:r>
      <w:r>
        <w:rPr>
          <w:rFonts w:asciiTheme="majorHAnsi" w:hAnsiTheme="majorHAnsi" w:cstheme="majorHAnsi"/>
          <w:b w:val="0"/>
          <w:sz w:val="16"/>
          <w:szCs w:val="16"/>
          <w:lang w:val="en-US"/>
        </w:rPr>
        <w:t>.01.</w:t>
      </w:r>
      <w:r w:rsidRPr="006437E2">
        <w:rPr>
          <w:rFonts w:asciiTheme="majorHAnsi" w:hAnsiTheme="majorHAnsi" w:cstheme="majorHAnsi"/>
          <w:b w:val="0"/>
          <w:sz w:val="16"/>
          <w:szCs w:val="16"/>
          <w:lang w:val="en-US"/>
        </w:rPr>
        <w:t>2020.</w:t>
      </w:r>
    </w:p>
  </w:footnote>
  <w:footnote w:id="162">
    <w:p w:rsidR="00510CDB" w:rsidRPr="00C41792" w:rsidRDefault="00510CDB" w:rsidP="000E184F">
      <w:pPr>
        <w:pStyle w:val="a9"/>
        <w:rPr>
          <w:rFonts w:asciiTheme="majorHAnsi" w:hAnsiTheme="majorHAnsi" w:cstheme="majorHAnsi"/>
          <w:b w:val="0"/>
          <w:bCs w:val="0"/>
          <w:sz w:val="16"/>
          <w:szCs w:val="16"/>
        </w:rPr>
      </w:pPr>
      <w:r w:rsidRPr="00ED2519">
        <w:rPr>
          <w:rStyle w:val="ab"/>
          <w:rFonts w:asciiTheme="majorHAnsi" w:hAnsiTheme="majorHAnsi" w:cstheme="majorHAnsi"/>
          <w:b w:val="0"/>
          <w:sz w:val="16"/>
          <w:szCs w:val="16"/>
        </w:rPr>
        <w:footnoteRef/>
      </w:r>
      <w:r w:rsidRPr="00C41792">
        <w:rPr>
          <w:rFonts w:asciiTheme="majorHAnsi" w:hAnsiTheme="majorHAnsi" w:cstheme="majorHAnsi"/>
          <w:b w:val="0"/>
          <w:bCs w:val="0"/>
          <w:sz w:val="16"/>
          <w:szCs w:val="16"/>
        </w:rPr>
        <w:t xml:space="preserve"> C – casnici.</w:t>
      </w:r>
    </w:p>
  </w:footnote>
  <w:footnote w:id="163">
    <w:p w:rsidR="00510CDB" w:rsidRPr="00C41792" w:rsidRDefault="00510CDB" w:rsidP="000E184F">
      <w:pPr>
        <w:pStyle w:val="a9"/>
        <w:rPr>
          <w:rFonts w:asciiTheme="majorHAnsi" w:hAnsiTheme="majorHAnsi" w:cstheme="majorHAnsi"/>
          <w:b w:val="0"/>
          <w:bCs w:val="0"/>
          <w:sz w:val="16"/>
          <w:szCs w:val="16"/>
        </w:rPr>
      </w:pPr>
      <w:r w:rsidRPr="00ED2519">
        <w:rPr>
          <w:rStyle w:val="ab"/>
          <w:rFonts w:asciiTheme="majorHAnsi" w:hAnsiTheme="majorHAnsi" w:cstheme="majorHAnsi"/>
          <w:b w:val="0"/>
          <w:sz w:val="16"/>
          <w:szCs w:val="16"/>
        </w:rPr>
        <w:footnoteRef/>
      </w:r>
      <w:r w:rsidRPr="00C41792">
        <w:rPr>
          <w:rFonts w:asciiTheme="majorHAnsi" w:hAnsiTheme="majorHAnsi" w:cstheme="majorHAnsi"/>
          <w:b w:val="0"/>
          <w:bCs w:val="0"/>
          <w:sz w:val="16"/>
          <w:szCs w:val="16"/>
        </w:rPr>
        <w:t xml:space="preserve"> N/C – noncasnici.</w:t>
      </w:r>
    </w:p>
  </w:footnote>
  <w:footnote w:id="164">
    <w:p w:rsidR="00510CDB" w:rsidRPr="00EF6E85" w:rsidRDefault="00510CDB" w:rsidP="000E184F">
      <w:pPr>
        <w:pStyle w:val="a9"/>
        <w:rPr>
          <w:rFonts w:ascii="Calibri Light" w:hAnsi="Calibri Light" w:cs="Calibri Light"/>
          <w:b w:val="0"/>
          <w:bCs w:val="0"/>
          <w:sz w:val="16"/>
          <w:szCs w:val="16"/>
        </w:rPr>
      </w:pPr>
      <w:r w:rsidRPr="006C2B89">
        <w:rPr>
          <w:rStyle w:val="ab"/>
          <w:rFonts w:ascii="Calibri Light" w:hAnsi="Calibri Light" w:cs="Calibri Light"/>
          <w:b w:val="0"/>
          <w:sz w:val="16"/>
          <w:szCs w:val="16"/>
        </w:rPr>
        <w:footnoteRef/>
      </w:r>
      <w:r w:rsidRPr="00EF6E85">
        <w:rPr>
          <w:rFonts w:ascii="Calibri Light" w:hAnsi="Calibri Light" w:cs="Calibri Light"/>
          <w:b w:val="0"/>
          <w:bCs w:val="0"/>
          <w:sz w:val="16"/>
          <w:szCs w:val="16"/>
        </w:rPr>
        <w:t xml:space="preserve"> Art. 149 și art.156 se referă la mai multe domenii de mediu.</w:t>
      </w:r>
    </w:p>
  </w:footnote>
  <w:footnote w:id="165">
    <w:p w:rsidR="00510CDB" w:rsidRPr="002317B0" w:rsidRDefault="00510CDB" w:rsidP="000E184F">
      <w:pPr>
        <w:pStyle w:val="a9"/>
        <w:rPr>
          <w:rFonts w:asciiTheme="majorHAnsi" w:hAnsiTheme="majorHAnsi" w:cstheme="majorHAnsi"/>
          <w:b w:val="0"/>
          <w:sz w:val="16"/>
          <w:szCs w:val="16"/>
        </w:rPr>
      </w:pPr>
      <w:r w:rsidRPr="002317B0">
        <w:rPr>
          <w:rStyle w:val="ab"/>
          <w:rFonts w:asciiTheme="majorHAnsi" w:hAnsiTheme="majorHAnsi" w:cstheme="majorHAnsi"/>
          <w:b w:val="0"/>
          <w:sz w:val="16"/>
          <w:szCs w:val="16"/>
        </w:rPr>
        <w:footnoteRef/>
      </w:r>
      <w:r w:rsidRPr="002317B0">
        <w:rPr>
          <w:rFonts w:asciiTheme="majorHAnsi" w:hAnsiTheme="majorHAnsi" w:cstheme="majorHAnsi"/>
          <w:b w:val="0"/>
          <w:bCs w:val="0"/>
          <w:sz w:val="16"/>
          <w:szCs w:val="16"/>
        </w:rPr>
        <w:t xml:space="preserve"> Datele IPM prezentate la solicitare.</w:t>
      </w:r>
    </w:p>
  </w:footnote>
  <w:footnote w:id="166">
    <w:p w:rsidR="00510CDB" w:rsidRPr="003F602A" w:rsidRDefault="00510CDB" w:rsidP="000E184F">
      <w:pPr>
        <w:pStyle w:val="a9"/>
        <w:jc w:val="both"/>
        <w:rPr>
          <w:rFonts w:ascii="Calibri Light" w:hAnsi="Calibri Light" w:cs="Calibri Light"/>
          <w:b w:val="0"/>
          <w:bCs w:val="0"/>
          <w:sz w:val="16"/>
          <w:szCs w:val="16"/>
        </w:rPr>
      </w:pPr>
      <w:r w:rsidRPr="006C2B89">
        <w:rPr>
          <w:rStyle w:val="ab"/>
          <w:rFonts w:ascii="Calibri Light" w:hAnsi="Calibri Light" w:cs="Calibri Light"/>
          <w:b w:val="0"/>
          <w:sz w:val="16"/>
          <w:szCs w:val="16"/>
        </w:rPr>
        <w:footnoteRef/>
      </w:r>
      <w:r w:rsidRPr="003F602A">
        <w:rPr>
          <w:rFonts w:ascii="Calibri Light" w:hAnsi="Calibri Light" w:cs="Calibri Light"/>
          <w:b w:val="0"/>
          <w:bCs w:val="0"/>
          <w:sz w:val="16"/>
          <w:szCs w:val="16"/>
        </w:rPr>
        <w:t xml:space="preserve"> Au fost prezentate condiţiile ultimului Manual operaţional al Fondului Naţional de Dezvoltare Regională</w:t>
      </w:r>
      <w:r>
        <w:rPr>
          <w:rFonts w:ascii="Calibri Light" w:hAnsi="Calibri Light" w:cs="Calibri Light"/>
          <w:b w:val="0"/>
          <w:bCs w:val="0"/>
          <w:sz w:val="16"/>
          <w:szCs w:val="16"/>
        </w:rPr>
        <w:t>,</w:t>
      </w:r>
      <w:r w:rsidRPr="003F602A">
        <w:rPr>
          <w:rFonts w:ascii="Calibri Light" w:hAnsi="Calibri Light" w:cs="Calibri Light"/>
          <w:b w:val="0"/>
          <w:bCs w:val="0"/>
          <w:sz w:val="16"/>
          <w:szCs w:val="16"/>
        </w:rPr>
        <w:t xml:space="preserve"> aprobat prin Decizia nr.24/20 din 20.10.2020 a Consiliul</w:t>
      </w:r>
      <w:r>
        <w:rPr>
          <w:rFonts w:ascii="Calibri Light" w:hAnsi="Calibri Light" w:cs="Calibri Light"/>
          <w:b w:val="0"/>
          <w:bCs w:val="0"/>
          <w:sz w:val="16"/>
          <w:szCs w:val="16"/>
        </w:rPr>
        <w:t>ui</w:t>
      </w:r>
      <w:r w:rsidRPr="003F602A">
        <w:rPr>
          <w:rFonts w:ascii="Calibri Light" w:hAnsi="Calibri Light" w:cs="Calibri Light"/>
          <w:b w:val="0"/>
          <w:bCs w:val="0"/>
          <w:sz w:val="16"/>
          <w:szCs w:val="16"/>
        </w:rPr>
        <w:t xml:space="preserve"> Naţional de Coordonare a Dezvoltării Regionale.</w:t>
      </w:r>
    </w:p>
  </w:footnote>
  <w:footnote w:id="167">
    <w:p w:rsidR="00510CDB" w:rsidRPr="003F602A" w:rsidRDefault="00510CDB" w:rsidP="000E184F">
      <w:pPr>
        <w:pStyle w:val="a9"/>
        <w:rPr>
          <w:rFonts w:ascii="Calibri Light" w:hAnsi="Calibri Light" w:cs="Calibri Light"/>
          <w:b w:val="0"/>
          <w:bCs w:val="0"/>
          <w:sz w:val="16"/>
          <w:szCs w:val="16"/>
        </w:rPr>
      </w:pPr>
      <w:r w:rsidRPr="00EE587B">
        <w:rPr>
          <w:rStyle w:val="ab"/>
          <w:rFonts w:ascii="Calibri Light" w:hAnsi="Calibri Light" w:cs="Calibri Light"/>
          <w:b w:val="0"/>
          <w:sz w:val="16"/>
          <w:szCs w:val="16"/>
        </w:rPr>
        <w:footnoteRef/>
      </w:r>
      <w:r w:rsidRPr="003F602A">
        <w:rPr>
          <w:rFonts w:ascii="Calibri Light" w:hAnsi="Calibri Light" w:cs="Calibri Light"/>
          <w:b w:val="0"/>
          <w:bCs w:val="0"/>
          <w:sz w:val="16"/>
          <w:szCs w:val="16"/>
        </w:rPr>
        <w:t xml:space="preserve"> Cu condiţia ca serviciile create pot acoperi cel puțin 2 raioane şi cel puțin 60 mii de locuitori pot avea acces la aceste servicii.</w:t>
      </w:r>
    </w:p>
  </w:footnote>
  <w:footnote w:id="168">
    <w:p w:rsidR="00510CDB" w:rsidRPr="003F602A" w:rsidRDefault="00510CDB" w:rsidP="000E184F">
      <w:pPr>
        <w:pStyle w:val="a9"/>
        <w:rPr>
          <w:rFonts w:ascii="Calibri Light" w:hAnsi="Calibri Light" w:cs="Calibri Light"/>
          <w:b w:val="0"/>
          <w:bCs w:val="0"/>
          <w:sz w:val="16"/>
          <w:szCs w:val="16"/>
        </w:rPr>
      </w:pPr>
      <w:r w:rsidRPr="00EE587B">
        <w:rPr>
          <w:rStyle w:val="ab"/>
          <w:rFonts w:ascii="Calibri Light" w:hAnsi="Calibri Light" w:cs="Calibri Light"/>
          <w:b w:val="0"/>
          <w:sz w:val="16"/>
          <w:szCs w:val="16"/>
        </w:rPr>
        <w:footnoteRef/>
      </w:r>
      <w:r w:rsidRPr="003F602A">
        <w:rPr>
          <w:rFonts w:ascii="Calibri Light" w:hAnsi="Calibri Light" w:cs="Calibri Light"/>
          <w:b w:val="0"/>
          <w:bCs w:val="0"/>
          <w:sz w:val="16"/>
          <w:szCs w:val="16"/>
        </w:rPr>
        <w:t xml:space="preserve"> Inclusiv în cazul unui contract de finanțare în derulare de la FEN şi FNDAMR.</w:t>
      </w:r>
    </w:p>
  </w:footnote>
  <w:footnote w:id="169">
    <w:p w:rsidR="00510CDB" w:rsidRPr="00EE587B" w:rsidRDefault="00510CDB" w:rsidP="000E184F">
      <w:pPr>
        <w:pStyle w:val="a9"/>
        <w:rPr>
          <w:rFonts w:ascii="Calibri Light" w:hAnsi="Calibri Light"/>
          <w:b w:val="0"/>
          <w:sz w:val="16"/>
          <w:szCs w:val="16"/>
        </w:rPr>
      </w:pPr>
      <w:r w:rsidRPr="00EE587B">
        <w:rPr>
          <w:rStyle w:val="ab"/>
          <w:rFonts w:ascii="Calibri Light" w:hAnsi="Calibri Light"/>
          <w:b w:val="0"/>
          <w:sz w:val="16"/>
          <w:szCs w:val="16"/>
        </w:rPr>
        <w:footnoteRef/>
      </w:r>
      <w:r w:rsidRPr="003F602A">
        <w:rPr>
          <w:rFonts w:ascii="Calibri Light" w:hAnsi="Calibri Light"/>
          <w:b w:val="0"/>
          <w:bCs w:val="0"/>
          <w:sz w:val="16"/>
          <w:szCs w:val="16"/>
        </w:rPr>
        <w:t xml:space="preserve"> Doar pentru construcția și reabilitarea sistemelor de alimentare cu apă, de epurare a apei și de canalizare, destinate exploatațiilor agricole.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pt;height:10.2pt" o:bullet="t">
        <v:imagedata r:id="rId1" o:title="msoF233"/>
      </v:shape>
    </w:pict>
  </w:numPicBullet>
  <w:abstractNum w:abstractNumId="0" w15:restartNumberingAfterBreak="0">
    <w:nsid w:val="01DB579F"/>
    <w:multiLevelType w:val="hybridMultilevel"/>
    <w:tmpl w:val="75B28B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0F1A17"/>
    <w:multiLevelType w:val="hybridMultilevel"/>
    <w:tmpl w:val="3080281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3D36902"/>
    <w:multiLevelType w:val="hybridMultilevel"/>
    <w:tmpl w:val="7DF6A242"/>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abstractNum w:abstractNumId="3" w15:restartNumberingAfterBreak="0">
    <w:nsid w:val="050F386F"/>
    <w:multiLevelType w:val="hybridMultilevel"/>
    <w:tmpl w:val="1282538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51B0B9C"/>
    <w:multiLevelType w:val="hybridMultilevel"/>
    <w:tmpl w:val="D0A6073A"/>
    <w:lvl w:ilvl="0" w:tplc="AB76725E">
      <w:start w:val="1"/>
      <w:numFmt w:val="lowerRoman"/>
      <w:lvlText w:val="(%1)"/>
      <w:lvlJc w:val="left"/>
      <w:pPr>
        <w:ind w:left="1955" w:hanging="1035"/>
      </w:pPr>
      <w:rPr>
        <w:rFonts w:hint="default"/>
        <w:b/>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5" w15:restartNumberingAfterBreak="0">
    <w:nsid w:val="083E50E3"/>
    <w:multiLevelType w:val="hybridMultilevel"/>
    <w:tmpl w:val="B43AAA34"/>
    <w:lvl w:ilvl="0" w:tplc="08D07660">
      <w:start w:val="1"/>
      <w:numFmt w:val="bullet"/>
      <w:lvlText w:val="-"/>
      <w:lvlJc w:val="left"/>
      <w:pPr>
        <w:tabs>
          <w:tab w:val="num" w:pos="1379"/>
        </w:tabs>
        <w:ind w:left="1379" w:hanging="705"/>
      </w:pPr>
      <w:rPr>
        <w:rFonts w:ascii="Times New Roman" w:eastAsia="Times New Roman" w:hAnsi="Times New Roman" w:hint="default"/>
      </w:rPr>
    </w:lvl>
    <w:lvl w:ilvl="1" w:tplc="04190003" w:tentative="1">
      <w:start w:val="1"/>
      <w:numFmt w:val="bullet"/>
      <w:lvlText w:val="o"/>
      <w:lvlJc w:val="left"/>
      <w:pPr>
        <w:tabs>
          <w:tab w:val="num" w:pos="1754"/>
        </w:tabs>
        <w:ind w:left="1754" w:hanging="360"/>
      </w:pPr>
      <w:rPr>
        <w:rFonts w:ascii="Courier New" w:hAnsi="Courier New" w:hint="default"/>
      </w:rPr>
    </w:lvl>
    <w:lvl w:ilvl="2" w:tplc="04190005" w:tentative="1">
      <w:start w:val="1"/>
      <w:numFmt w:val="bullet"/>
      <w:lvlText w:val=""/>
      <w:lvlJc w:val="left"/>
      <w:pPr>
        <w:tabs>
          <w:tab w:val="num" w:pos="2474"/>
        </w:tabs>
        <w:ind w:left="2474" w:hanging="360"/>
      </w:pPr>
      <w:rPr>
        <w:rFonts w:ascii="Wingdings" w:hAnsi="Wingdings" w:hint="default"/>
      </w:rPr>
    </w:lvl>
    <w:lvl w:ilvl="3" w:tplc="04190001" w:tentative="1">
      <w:start w:val="1"/>
      <w:numFmt w:val="bullet"/>
      <w:lvlText w:val=""/>
      <w:lvlJc w:val="left"/>
      <w:pPr>
        <w:tabs>
          <w:tab w:val="num" w:pos="3194"/>
        </w:tabs>
        <w:ind w:left="3194" w:hanging="360"/>
      </w:pPr>
      <w:rPr>
        <w:rFonts w:ascii="Symbol" w:hAnsi="Symbol" w:hint="default"/>
      </w:rPr>
    </w:lvl>
    <w:lvl w:ilvl="4" w:tplc="04190003" w:tentative="1">
      <w:start w:val="1"/>
      <w:numFmt w:val="bullet"/>
      <w:lvlText w:val="o"/>
      <w:lvlJc w:val="left"/>
      <w:pPr>
        <w:tabs>
          <w:tab w:val="num" w:pos="3914"/>
        </w:tabs>
        <w:ind w:left="3914" w:hanging="360"/>
      </w:pPr>
      <w:rPr>
        <w:rFonts w:ascii="Courier New" w:hAnsi="Courier New" w:hint="default"/>
      </w:rPr>
    </w:lvl>
    <w:lvl w:ilvl="5" w:tplc="04190005" w:tentative="1">
      <w:start w:val="1"/>
      <w:numFmt w:val="bullet"/>
      <w:lvlText w:val=""/>
      <w:lvlJc w:val="left"/>
      <w:pPr>
        <w:tabs>
          <w:tab w:val="num" w:pos="4634"/>
        </w:tabs>
        <w:ind w:left="4634" w:hanging="360"/>
      </w:pPr>
      <w:rPr>
        <w:rFonts w:ascii="Wingdings" w:hAnsi="Wingdings" w:hint="default"/>
      </w:rPr>
    </w:lvl>
    <w:lvl w:ilvl="6" w:tplc="04190001" w:tentative="1">
      <w:start w:val="1"/>
      <w:numFmt w:val="bullet"/>
      <w:lvlText w:val=""/>
      <w:lvlJc w:val="left"/>
      <w:pPr>
        <w:tabs>
          <w:tab w:val="num" w:pos="5354"/>
        </w:tabs>
        <w:ind w:left="5354" w:hanging="360"/>
      </w:pPr>
      <w:rPr>
        <w:rFonts w:ascii="Symbol" w:hAnsi="Symbol" w:hint="default"/>
      </w:rPr>
    </w:lvl>
    <w:lvl w:ilvl="7" w:tplc="04190003" w:tentative="1">
      <w:start w:val="1"/>
      <w:numFmt w:val="bullet"/>
      <w:lvlText w:val="o"/>
      <w:lvlJc w:val="left"/>
      <w:pPr>
        <w:tabs>
          <w:tab w:val="num" w:pos="6074"/>
        </w:tabs>
        <w:ind w:left="6074" w:hanging="360"/>
      </w:pPr>
      <w:rPr>
        <w:rFonts w:ascii="Courier New" w:hAnsi="Courier New" w:hint="default"/>
      </w:rPr>
    </w:lvl>
    <w:lvl w:ilvl="8" w:tplc="04190005" w:tentative="1">
      <w:start w:val="1"/>
      <w:numFmt w:val="bullet"/>
      <w:lvlText w:val=""/>
      <w:lvlJc w:val="left"/>
      <w:pPr>
        <w:tabs>
          <w:tab w:val="num" w:pos="6794"/>
        </w:tabs>
        <w:ind w:left="6794" w:hanging="360"/>
      </w:pPr>
      <w:rPr>
        <w:rFonts w:ascii="Wingdings" w:hAnsi="Wingdings" w:hint="default"/>
      </w:rPr>
    </w:lvl>
  </w:abstractNum>
  <w:abstractNum w:abstractNumId="6" w15:restartNumberingAfterBreak="0">
    <w:nsid w:val="0B754C4D"/>
    <w:multiLevelType w:val="multilevel"/>
    <w:tmpl w:val="7A6AA5DC"/>
    <w:lvl w:ilvl="0">
      <w:start w:val="1"/>
      <w:numFmt w:val="decimal"/>
      <w:lvlText w:val="%1."/>
      <w:lvlJc w:val="left"/>
      <w:pPr>
        <w:ind w:left="1429" w:hanging="360"/>
      </w:pPr>
      <w:rPr>
        <w:b/>
      </w:rPr>
    </w:lvl>
    <w:lvl w:ilvl="1">
      <w:start w:val="1"/>
      <w:numFmt w:val="decimal"/>
      <w:isLgl/>
      <w:lvlText w:val="%1.%2."/>
      <w:lvlJc w:val="left"/>
      <w:pPr>
        <w:ind w:left="1519" w:hanging="45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7" w15:restartNumberingAfterBreak="0">
    <w:nsid w:val="0C986101"/>
    <w:multiLevelType w:val="hybridMultilevel"/>
    <w:tmpl w:val="46C8D81E"/>
    <w:lvl w:ilvl="0" w:tplc="470890B0">
      <w:start w:val="1"/>
      <w:numFmt w:val="bullet"/>
      <w:lvlText w:val="─"/>
      <w:lvlJc w:val="left"/>
      <w:pPr>
        <w:ind w:left="1260" w:hanging="360"/>
      </w:pPr>
      <w:rPr>
        <w:rFonts w:ascii="Calibri Light" w:hAnsi="Calibri Light"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8" w15:restartNumberingAfterBreak="0">
    <w:nsid w:val="0CF70D0D"/>
    <w:multiLevelType w:val="hybridMultilevel"/>
    <w:tmpl w:val="ED9630F0"/>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D885440"/>
    <w:multiLevelType w:val="hybridMultilevel"/>
    <w:tmpl w:val="A3C08752"/>
    <w:lvl w:ilvl="0" w:tplc="04190017">
      <w:start w:val="1"/>
      <w:numFmt w:val="lowerLetter"/>
      <w:lvlText w:val="%1)"/>
      <w:lvlJc w:val="left"/>
      <w:pPr>
        <w:ind w:left="2487" w:hanging="360"/>
      </w:p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0" w15:restartNumberingAfterBreak="0">
    <w:nsid w:val="0F1D0510"/>
    <w:multiLevelType w:val="multilevel"/>
    <w:tmpl w:val="E184F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05C50EF"/>
    <w:multiLevelType w:val="hybridMultilevel"/>
    <w:tmpl w:val="C8ECA92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12" w15:restartNumberingAfterBreak="0">
    <w:nsid w:val="116E4A8D"/>
    <w:multiLevelType w:val="hybridMultilevel"/>
    <w:tmpl w:val="8196E366"/>
    <w:lvl w:ilvl="0" w:tplc="AB76725E">
      <w:start w:val="1"/>
      <w:numFmt w:val="lowerRoman"/>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19662CF"/>
    <w:multiLevelType w:val="multilevel"/>
    <w:tmpl w:val="C0BA4084"/>
    <w:lvl w:ilvl="0">
      <w:start w:val="1"/>
      <w:numFmt w:val="decimal"/>
      <w:pStyle w:val="IFADparagraphnumbering"/>
      <w:lvlText w:val="%1."/>
      <w:lvlJc w:val="left"/>
      <w:pPr>
        <w:tabs>
          <w:tab w:val="num" w:pos="851"/>
        </w:tabs>
        <w:ind w:left="851" w:hanging="567"/>
      </w:pPr>
      <w:rPr>
        <w:rFonts w:ascii="Arial" w:hAnsi="Arial" w:cs="Arial" w:hint="default"/>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rPr>
    </w:lvl>
    <w:lvl w:ilvl="1">
      <w:start w:val="1"/>
      <w:numFmt w:val="lowerLetter"/>
      <w:pStyle w:val="IFADparagraphno2ndlevel"/>
      <w:lvlText w:val="(%2)"/>
      <w:lvlJc w:val="left"/>
      <w:pPr>
        <w:tabs>
          <w:tab w:val="num" w:pos="1417"/>
        </w:tabs>
        <w:ind w:left="1417" w:hanging="567"/>
      </w:pPr>
      <w:rPr>
        <w:b w:val="0"/>
        <w:bCs w:val="0"/>
        <w:i w:val="0"/>
        <w:iCs w:val="0"/>
        <w:caps w:val="0"/>
        <w:smallCaps w:val="0"/>
        <w:strike w:val="0"/>
        <w:dstrike w:val="0"/>
        <w:noProof w:val="0"/>
        <w:vanish w:val="0"/>
        <w:color w:val="000000"/>
        <w:spacing w:val="0"/>
        <w:kern w:val="0"/>
        <w:position w:val="0"/>
        <w:sz w:val="20"/>
        <w:szCs w:val="20"/>
        <w:u w:val="none"/>
        <w:effect w:val="none"/>
        <w:vertAlign w:val="baseline"/>
        <w:em w:val="none"/>
        <w:specVanish w:val="0"/>
      </w:rPr>
    </w:lvl>
    <w:lvl w:ilvl="2">
      <w:start w:val="1"/>
      <w:numFmt w:val="lowerRoman"/>
      <w:pStyle w:val="IFADparagraphno3rdlevel"/>
      <w:lvlText w:val="(%3)"/>
      <w:lvlJc w:val="left"/>
      <w:pPr>
        <w:tabs>
          <w:tab w:val="num" w:pos="1701"/>
        </w:tabs>
        <w:ind w:left="1701" w:hanging="567"/>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bullet"/>
      <w:pStyle w:val="IFADparagraphno4thlevel"/>
      <w:lvlText w:val="-"/>
      <w:lvlJc w:val="left"/>
      <w:pPr>
        <w:tabs>
          <w:tab w:val="num" w:pos="1985"/>
        </w:tabs>
        <w:ind w:left="1985"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4" w15:restartNumberingAfterBreak="0">
    <w:nsid w:val="14426E91"/>
    <w:multiLevelType w:val="multilevel"/>
    <w:tmpl w:val="18C0C668"/>
    <w:lvl w:ilvl="0">
      <w:start w:val="4"/>
      <w:numFmt w:val="decimal"/>
      <w:lvlText w:val="%1."/>
      <w:lvlJc w:val="left"/>
      <w:pPr>
        <w:ind w:left="492" w:hanging="492"/>
      </w:pPr>
      <w:rPr>
        <w:rFonts w:hint="default"/>
      </w:rPr>
    </w:lvl>
    <w:lvl w:ilvl="1">
      <w:start w:val="5"/>
      <w:numFmt w:val="decimal"/>
      <w:lvlText w:val="%1.%2."/>
      <w:lvlJc w:val="left"/>
      <w:pPr>
        <w:ind w:left="492" w:hanging="492"/>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15EB15DA"/>
    <w:multiLevelType w:val="hybridMultilevel"/>
    <w:tmpl w:val="23ACDBC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176125D0"/>
    <w:multiLevelType w:val="multilevel"/>
    <w:tmpl w:val="185C03EE"/>
    <w:lvl w:ilvl="0">
      <w:start w:val="1"/>
      <w:numFmt w:val="upperRoman"/>
      <w:lvlText w:val="%1."/>
      <w:lvlJc w:val="left"/>
      <w:pPr>
        <w:ind w:left="1080" w:hanging="720"/>
      </w:pPr>
      <w:rPr>
        <w:rFonts w:asciiTheme="majorHAnsi" w:hAnsiTheme="majorHAnsi" w:cs="Times New Roman" w:hint="default"/>
      </w:rPr>
    </w:lvl>
    <w:lvl w:ilvl="1">
      <w:start w:val="4"/>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17BC31C2"/>
    <w:multiLevelType w:val="hybridMultilevel"/>
    <w:tmpl w:val="1D98966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8" w15:restartNumberingAfterBreak="0">
    <w:nsid w:val="1C760BEA"/>
    <w:multiLevelType w:val="hybridMultilevel"/>
    <w:tmpl w:val="94341F22"/>
    <w:lvl w:ilvl="0" w:tplc="041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D050CA7"/>
    <w:multiLevelType w:val="hybridMultilevel"/>
    <w:tmpl w:val="F0325DB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1DF33369"/>
    <w:multiLevelType w:val="hybridMultilevel"/>
    <w:tmpl w:val="545CD09E"/>
    <w:lvl w:ilvl="0" w:tplc="041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1" w15:restartNumberingAfterBreak="0">
    <w:nsid w:val="1F3A223B"/>
    <w:multiLevelType w:val="hybridMultilevel"/>
    <w:tmpl w:val="E86C2522"/>
    <w:lvl w:ilvl="0" w:tplc="041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F787C03"/>
    <w:multiLevelType w:val="multilevel"/>
    <w:tmpl w:val="899A8304"/>
    <w:lvl w:ilvl="0">
      <w:start w:val="4"/>
      <w:numFmt w:val="decimal"/>
      <w:lvlText w:val="%1."/>
      <w:lvlJc w:val="left"/>
      <w:pPr>
        <w:ind w:left="690" w:hanging="690"/>
      </w:pPr>
      <w:rPr>
        <w:rFonts w:hint="default"/>
      </w:rPr>
    </w:lvl>
    <w:lvl w:ilvl="1">
      <w:start w:val="3"/>
      <w:numFmt w:val="decimal"/>
      <w:lvlText w:val="%1.%2."/>
      <w:lvlJc w:val="left"/>
      <w:pPr>
        <w:ind w:left="1050" w:hanging="690"/>
      </w:pPr>
      <w:rPr>
        <w:rFonts w:hint="default"/>
      </w:rPr>
    </w:lvl>
    <w:lvl w:ilvl="2">
      <w:start w:val="10"/>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20BA2D86"/>
    <w:multiLevelType w:val="hybridMultilevel"/>
    <w:tmpl w:val="306C07BA"/>
    <w:lvl w:ilvl="0" w:tplc="8E1E9240">
      <w:start w:val="11"/>
      <w:numFmt w:val="bullet"/>
      <w:lvlText w:val="-"/>
      <w:lvlJc w:val="left"/>
      <w:pPr>
        <w:ind w:left="990" w:hanging="360"/>
      </w:pPr>
      <w:rPr>
        <w:rFonts w:ascii="Calibri Light" w:eastAsia="Times New Roman" w:hAnsi="Calibri Light" w:cs="Calibri Light"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4" w15:restartNumberingAfterBreak="0">
    <w:nsid w:val="20FB050D"/>
    <w:multiLevelType w:val="hybridMultilevel"/>
    <w:tmpl w:val="8D0A3704"/>
    <w:lvl w:ilvl="0" w:tplc="04190007">
      <w:start w:val="1"/>
      <w:numFmt w:val="bullet"/>
      <w:lvlText w:val=""/>
      <w:lvlPicBulletId w:val="0"/>
      <w:lvlJc w:val="left"/>
      <w:pPr>
        <w:ind w:left="2771"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215322BA"/>
    <w:multiLevelType w:val="multilevel"/>
    <w:tmpl w:val="D826E05A"/>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225423A8"/>
    <w:multiLevelType w:val="hybridMultilevel"/>
    <w:tmpl w:val="2DAA2BDA"/>
    <w:lvl w:ilvl="0" w:tplc="04190001">
      <w:start w:val="1"/>
      <w:numFmt w:val="bullet"/>
      <w:lvlText w:val=""/>
      <w:lvlJc w:val="left"/>
      <w:pPr>
        <w:ind w:left="5682" w:hanging="720"/>
      </w:pPr>
      <w:rPr>
        <w:rFonts w:ascii="Symbol" w:hAnsi="Symbol" w:hint="default"/>
        <w:i w:val="0"/>
        <w:iCs/>
        <w:color w:val="auto"/>
        <w:sz w:val="24"/>
        <w:szCs w:val="24"/>
      </w:rPr>
    </w:lvl>
    <w:lvl w:ilvl="1" w:tplc="04190019" w:tentative="1">
      <w:start w:val="1"/>
      <w:numFmt w:val="lowerLetter"/>
      <w:lvlText w:val="%2."/>
      <w:lvlJc w:val="left"/>
      <w:pPr>
        <w:ind w:left="6042" w:hanging="360"/>
      </w:pPr>
    </w:lvl>
    <w:lvl w:ilvl="2" w:tplc="0419001B">
      <w:start w:val="1"/>
      <w:numFmt w:val="lowerRoman"/>
      <w:lvlText w:val="%3."/>
      <w:lvlJc w:val="right"/>
      <w:pPr>
        <w:ind w:left="6762" w:hanging="180"/>
      </w:pPr>
    </w:lvl>
    <w:lvl w:ilvl="3" w:tplc="0419000F" w:tentative="1">
      <w:start w:val="1"/>
      <w:numFmt w:val="decimal"/>
      <w:lvlText w:val="%4."/>
      <w:lvlJc w:val="left"/>
      <w:pPr>
        <w:ind w:left="7482" w:hanging="360"/>
      </w:pPr>
    </w:lvl>
    <w:lvl w:ilvl="4" w:tplc="04190019" w:tentative="1">
      <w:start w:val="1"/>
      <w:numFmt w:val="lowerLetter"/>
      <w:lvlText w:val="%5."/>
      <w:lvlJc w:val="left"/>
      <w:pPr>
        <w:ind w:left="8202" w:hanging="360"/>
      </w:pPr>
    </w:lvl>
    <w:lvl w:ilvl="5" w:tplc="0419001B" w:tentative="1">
      <w:start w:val="1"/>
      <w:numFmt w:val="lowerRoman"/>
      <w:lvlText w:val="%6."/>
      <w:lvlJc w:val="right"/>
      <w:pPr>
        <w:ind w:left="8922" w:hanging="180"/>
      </w:pPr>
    </w:lvl>
    <w:lvl w:ilvl="6" w:tplc="0419000F" w:tentative="1">
      <w:start w:val="1"/>
      <w:numFmt w:val="decimal"/>
      <w:lvlText w:val="%7."/>
      <w:lvlJc w:val="left"/>
      <w:pPr>
        <w:ind w:left="9642" w:hanging="360"/>
      </w:pPr>
    </w:lvl>
    <w:lvl w:ilvl="7" w:tplc="04190019" w:tentative="1">
      <w:start w:val="1"/>
      <w:numFmt w:val="lowerLetter"/>
      <w:lvlText w:val="%8."/>
      <w:lvlJc w:val="left"/>
      <w:pPr>
        <w:ind w:left="10362" w:hanging="360"/>
      </w:pPr>
    </w:lvl>
    <w:lvl w:ilvl="8" w:tplc="0419001B" w:tentative="1">
      <w:start w:val="1"/>
      <w:numFmt w:val="lowerRoman"/>
      <w:lvlText w:val="%9."/>
      <w:lvlJc w:val="right"/>
      <w:pPr>
        <w:ind w:left="11082" w:hanging="180"/>
      </w:pPr>
    </w:lvl>
  </w:abstractNum>
  <w:abstractNum w:abstractNumId="27" w15:restartNumberingAfterBreak="0">
    <w:nsid w:val="22733D3C"/>
    <w:multiLevelType w:val="hybridMultilevel"/>
    <w:tmpl w:val="B5F862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227B0EE8"/>
    <w:multiLevelType w:val="hybridMultilevel"/>
    <w:tmpl w:val="2B76BA0C"/>
    <w:lvl w:ilvl="0" w:tplc="AD52AAF6">
      <w:start w:val="1"/>
      <w:numFmt w:val="decimal"/>
      <w:lvlText w:val="%1"/>
      <w:lvlJc w:val="center"/>
      <w:pPr>
        <w:ind w:left="720" w:hanging="360"/>
      </w:pPr>
      <w:rPr>
        <w:rFonts w:hint="default"/>
      </w:rPr>
    </w:lvl>
    <w:lvl w:ilvl="1" w:tplc="08190019" w:tentative="1">
      <w:start w:val="1"/>
      <w:numFmt w:val="lowerLetter"/>
      <w:lvlText w:val="%2."/>
      <w:lvlJc w:val="left"/>
      <w:pPr>
        <w:ind w:left="1440" w:hanging="360"/>
      </w:pPr>
    </w:lvl>
    <w:lvl w:ilvl="2" w:tplc="0819001B" w:tentative="1">
      <w:start w:val="1"/>
      <w:numFmt w:val="lowerRoman"/>
      <w:lvlText w:val="%3."/>
      <w:lvlJc w:val="right"/>
      <w:pPr>
        <w:ind w:left="2160" w:hanging="180"/>
      </w:pPr>
    </w:lvl>
    <w:lvl w:ilvl="3" w:tplc="0819000F" w:tentative="1">
      <w:start w:val="1"/>
      <w:numFmt w:val="decimal"/>
      <w:lvlText w:val="%4."/>
      <w:lvlJc w:val="left"/>
      <w:pPr>
        <w:ind w:left="2880" w:hanging="360"/>
      </w:pPr>
    </w:lvl>
    <w:lvl w:ilvl="4" w:tplc="08190019" w:tentative="1">
      <w:start w:val="1"/>
      <w:numFmt w:val="lowerLetter"/>
      <w:lvlText w:val="%5."/>
      <w:lvlJc w:val="left"/>
      <w:pPr>
        <w:ind w:left="3600" w:hanging="360"/>
      </w:pPr>
    </w:lvl>
    <w:lvl w:ilvl="5" w:tplc="0819001B" w:tentative="1">
      <w:start w:val="1"/>
      <w:numFmt w:val="lowerRoman"/>
      <w:lvlText w:val="%6."/>
      <w:lvlJc w:val="right"/>
      <w:pPr>
        <w:ind w:left="4320" w:hanging="180"/>
      </w:pPr>
    </w:lvl>
    <w:lvl w:ilvl="6" w:tplc="0819000F" w:tentative="1">
      <w:start w:val="1"/>
      <w:numFmt w:val="decimal"/>
      <w:lvlText w:val="%7."/>
      <w:lvlJc w:val="left"/>
      <w:pPr>
        <w:ind w:left="5040" w:hanging="360"/>
      </w:pPr>
    </w:lvl>
    <w:lvl w:ilvl="7" w:tplc="08190019" w:tentative="1">
      <w:start w:val="1"/>
      <w:numFmt w:val="lowerLetter"/>
      <w:lvlText w:val="%8."/>
      <w:lvlJc w:val="left"/>
      <w:pPr>
        <w:ind w:left="5760" w:hanging="360"/>
      </w:pPr>
    </w:lvl>
    <w:lvl w:ilvl="8" w:tplc="0819001B" w:tentative="1">
      <w:start w:val="1"/>
      <w:numFmt w:val="lowerRoman"/>
      <w:lvlText w:val="%9."/>
      <w:lvlJc w:val="right"/>
      <w:pPr>
        <w:ind w:left="6480" w:hanging="180"/>
      </w:pPr>
    </w:lvl>
  </w:abstractNum>
  <w:abstractNum w:abstractNumId="29" w15:restartNumberingAfterBreak="0">
    <w:nsid w:val="22AD7DE8"/>
    <w:multiLevelType w:val="hybridMultilevel"/>
    <w:tmpl w:val="A6823350"/>
    <w:lvl w:ilvl="0" w:tplc="D1AE7954">
      <w:start w:val="1"/>
      <w:numFmt w:val="bullet"/>
      <w:lvlText w:val=""/>
      <w:lvlJc w:val="left"/>
      <w:pPr>
        <w:ind w:left="720" w:hanging="360"/>
      </w:pPr>
      <w:rPr>
        <w:rFonts w:ascii="Symbol" w:hAnsi="Symbol" w:hint="default"/>
        <w:lang w:val="ro-R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2E14C2A"/>
    <w:multiLevelType w:val="hybridMultilevel"/>
    <w:tmpl w:val="D520A45E"/>
    <w:lvl w:ilvl="0" w:tplc="204ED67C">
      <w:start w:val="7"/>
      <w:numFmt w:val="upp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230A79A0"/>
    <w:multiLevelType w:val="hybridMultilevel"/>
    <w:tmpl w:val="9C7A9D60"/>
    <w:lvl w:ilvl="0" w:tplc="04190001">
      <w:start w:val="1"/>
      <w:numFmt w:val="bullet"/>
      <w:lvlText w:val=""/>
      <w:lvlJc w:val="left"/>
      <w:pPr>
        <w:ind w:left="1768" w:hanging="360"/>
      </w:pPr>
      <w:rPr>
        <w:rFonts w:ascii="Symbol" w:hAnsi="Symbol" w:hint="default"/>
      </w:rPr>
    </w:lvl>
    <w:lvl w:ilvl="1" w:tplc="04190003" w:tentative="1">
      <w:start w:val="1"/>
      <w:numFmt w:val="bullet"/>
      <w:lvlText w:val="o"/>
      <w:lvlJc w:val="left"/>
      <w:pPr>
        <w:ind w:left="2488" w:hanging="360"/>
      </w:pPr>
      <w:rPr>
        <w:rFonts w:ascii="Courier New" w:hAnsi="Courier New" w:cs="Courier New" w:hint="default"/>
      </w:rPr>
    </w:lvl>
    <w:lvl w:ilvl="2" w:tplc="04190005" w:tentative="1">
      <w:start w:val="1"/>
      <w:numFmt w:val="bullet"/>
      <w:lvlText w:val=""/>
      <w:lvlJc w:val="left"/>
      <w:pPr>
        <w:ind w:left="3208" w:hanging="360"/>
      </w:pPr>
      <w:rPr>
        <w:rFonts w:ascii="Wingdings" w:hAnsi="Wingdings" w:hint="default"/>
      </w:rPr>
    </w:lvl>
    <w:lvl w:ilvl="3" w:tplc="04190001" w:tentative="1">
      <w:start w:val="1"/>
      <w:numFmt w:val="bullet"/>
      <w:lvlText w:val=""/>
      <w:lvlJc w:val="left"/>
      <w:pPr>
        <w:ind w:left="3928" w:hanging="360"/>
      </w:pPr>
      <w:rPr>
        <w:rFonts w:ascii="Symbol" w:hAnsi="Symbol" w:hint="default"/>
      </w:rPr>
    </w:lvl>
    <w:lvl w:ilvl="4" w:tplc="04190003" w:tentative="1">
      <w:start w:val="1"/>
      <w:numFmt w:val="bullet"/>
      <w:lvlText w:val="o"/>
      <w:lvlJc w:val="left"/>
      <w:pPr>
        <w:ind w:left="4648" w:hanging="360"/>
      </w:pPr>
      <w:rPr>
        <w:rFonts w:ascii="Courier New" w:hAnsi="Courier New" w:cs="Courier New" w:hint="default"/>
      </w:rPr>
    </w:lvl>
    <w:lvl w:ilvl="5" w:tplc="04190005" w:tentative="1">
      <w:start w:val="1"/>
      <w:numFmt w:val="bullet"/>
      <w:lvlText w:val=""/>
      <w:lvlJc w:val="left"/>
      <w:pPr>
        <w:ind w:left="5368" w:hanging="360"/>
      </w:pPr>
      <w:rPr>
        <w:rFonts w:ascii="Wingdings" w:hAnsi="Wingdings" w:hint="default"/>
      </w:rPr>
    </w:lvl>
    <w:lvl w:ilvl="6" w:tplc="04190001" w:tentative="1">
      <w:start w:val="1"/>
      <w:numFmt w:val="bullet"/>
      <w:lvlText w:val=""/>
      <w:lvlJc w:val="left"/>
      <w:pPr>
        <w:ind w:left="6088" w:hanging="360"/>
      </w:pPr>
      <w:rPr>
        <w:rFonts w:ascii="Symbol" w:hAnsi="Symbol" w:hint="default"/>
      </w:rPr>
    </w:lvl>
    <w:lvl w:ilvl="7" w:tplc="04190003" w:tentative="1">
      <w:start w:val="1"/>
      <w:numFmt w:val="bullet"/>
      <w:lvlText w:val="o"/>
      <w:lvlJc w:val="left"/>
      <w:pPr>
        <w:ind w:left="6808" w:hanging="360"/>
      </w:pPr>
      <w:rPr>
        <w:rFonts w:ascii="Courier New" w:hAnsi="Courier New" w:cs="Courier New" w:hint="default"/>
      </w:rPr>
    </w:lvl>
    <w:lvl w:ilvl="8" w:tplc="04190005" w:tentative="1">
      <w:start w:val="1"/>
      <w:numFmt w:val="bullet"/>
      <w:lvlText w:val=""/>
      <w:lvlJc w:val="left"/>
      <w:pPr>
        <w:ind w:left="7528" w:hanging="360"/>
      </w:pPr>
      <w:rPr>
        <w:rFonts w:ascii="Wingdings" w:hAnsi="Wingdings" w:hint="default"/>
      </w:rPr>
    </w:lvl>
  </w:abstractNum>
  <w:abstractNum w:abstractNumId="32" w15:restartNumberingAfterBreak="0">
    <w:nsid w:val="24E6518F"/>
    <w:multiLevelType w:val="hybridMultilevel"/>
    <w:tmpl w:val="E5AC7D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25D76F29"/>
    <w:multiLevelType w:val="hybridMultilevel"/>
    <w:tmpl w:val="8E0038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76510DE"/>
    <w:multiLevelType w:val="multilevel"/>
    <w:tmpl w:val="9760B1B4"/>
    <w:lvl w:ilvl="0">
      <w:start w:val="4"/>
      <w:numFmt w:val="decimal"/>
      <w:lvlText w:val="%1."/>
      <w:lvlJc w:val="left"/>
      <w:pPr>
        <w:ind w:left="540" w:hanging="540"/>
      </w:pPr>
      <w:rPr>
        <w:rFonts w:hint="default"/>
      </w:rPr>
    </w:lvl>
    <w:lvl w:ilvl="1">
      <w:start w:val="4"/>
      <w:numFmt w:val="decimal"/>
      <w:lvlText w:val="%1.%2."/>
      <w:lvlJc w:val="left"/>
      <w:pPr>
        <w:ind w:left="540" w:hanging="54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AF53EC8"/>
    <w:multiLevelType w:val="hybridMultilevel"/>
    <w:tmpl w:val="21868C6E"/>
    <w:lvl w:ilvl="0" w:tplc="9FF882D2">
      <w:start w:val="4"/>
      <w:numFmt w:val="bullet"/>
      <w:lvlText w:val="-"/>
      <w:lvlJc w:val="left"/>
      <w:pPr>
        <w:ind w:left="1069" w:hanging="360"/>
      </w:pPr>
      <w:rPr>
        <w:rFonts w:ascii="Calibri Light" w:eastAsia="MS Mincho" w:hAnsi="Calibri Light" w:cs="Calibri Light"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36" w15:restartNumberingAfterBreak="0">
    <w:nsid w:val="2B9C47E2"/>
    <w:multiLevelType w:val="hybridMultilevel"/>
    <w:tmpl w:val="D14848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BFB0321"/>
    <w:multiLevelType w:val="hybridMultilevel"/>
    <w:tmpl w:val="4CDE598C"/>
    <w:lvl w:ilvl="0" w:tplc="04090007">
      <w:start w:val="1"/>
      <w:numFmt w:val="bullet"/>
      <w:lvlText w:val=""/>
      <w:lvlPicBulletId w:val="0"/>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472436"/>
    <w:multiLevelType w:val="hybridMultilevel"/>
    <w:tmpl w:val="D374BB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2F076CC9"/>
    <w:multiLevelType w:val="hybridMultilevel"/>
    <w:tmpl w:val="57D872B8"/>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40" w15:restartNumberingAfterBreak="0">
    <w:nsid w:val="2FD253C8"/>
    <w:multiLevelType w:val="hybridMultilevel"/>
    <w:tmpl w:val="FBC2D58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15:restartNumberingAfterBreak="0">
    <w:nsid w:val="31275760"/>
    <w:multiLevelType w:val="hybridMultilevel"/>
    <w:tmpl w:val="DBDADDC2"/>
    <w:lvl w:ilvl="0" w:tplc="04C8DA7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2C56570"/>
    <w:multiLevelType w:val="multilevel"/>
    <w:tmpl w:val="2C30A91E"/>
    <w:lvl w:ilvl="0">
      <w:start w:val="3"/>
      <w:numFmt w:val="decimal"/>
      <w:lvlText w:val="%1."/>
      <w:lvlJc w:val="left"/>
      <w:pPr>
        <w:ind w:left="720" w:hanging="360"/>
      </w:pPr>
      <w:rPr>
        <w:rFonts w:hint="default"/>
        <w:b/>
        <w:bCs/>
      </w:rPr>
    </w:lvl>
    <w:lvl w:ilvl="1">
      <w:start w:val="1"/>
      <w:numFmt w:val="decimal"/>
      <w:isLgl/>
      <w:lvlText w:val="%1.%2."/>
      <w:lvlJc w:val="left"/>
      <w:pPr>
        <w:ind w:left="988" w:hanging="420"/>
      </w:pPr>
      <w:rPr>
        <w:rFonts w:eastAsia="Calibri" w:hint="default"/>
        <w:b/>
      </w:rPr>
    </w:lvl>
    <w:lvl w:ilvl="2">
      <w:start w:val="1"/>
      <w:numFmt w:val="decimal"/>
      <w:isLgl/>
      <w:lvlText w:val="%1.%2.%3."/>
      <w:lvlJc w:val="left"/>
      <w:pPr>
        <w:ind w:left="3240" w:hanging="720"/>
      </w:pPr>
      <w:rPr>
        <w:rFonts w:eastAsia="Calibri" w:hint="default"/>
        <w:b/>
      </w:rPr>
    </w:lvl>
    <w:lvl w:ilvl="3">
      <w:start w:val="1"/>
      <w:numFmt w:val="decimal"/>
      <w:isLgl/>
      <w:lvlText w:val="%1.%2.%3.%4."/>
      <w:lvlJc w:val="left"/>
      <w:pPr>
        <w:ind w:left="4320" w:hanging="720"/>
      </w:pPr>
      <w:rPr>
        <w:rFonts w:eastAsia="Calibri" w:hint="default"/>
        <w:b/>
      </w:rPr>
    </w:lvl>
    <w:lvl w:ilvl="4">
      <w:start w:val="1"/>
      <w:numFmt w:val="decimal"/>
      <w:isLgl/>
      <w:lvlText w:val="%1.%2.%3.%4.%5."/>
      <w:lvlJc w:val="left"/>
      <w:pPr>
        <w:ind w:left="5760" w:hanging="1080"/>
      </w:pPr>
      <w:rPr>
        <w:rFonts w:eastAsia="Calibri" w:hint="default"/>
        <w:b/>
      </w:rPr>
    </w:lvl>
    <w:lvl w:ilvl="5">
      <w:start w:val="1"/>
      <w:numFmt w:val="decimal"/>
      <w:isLgl/>
      <w:lvlText w:val="%1.%2.%3.%4.%5.%6."/>
      <w:lvlJc w:val="left"/>
      <w:pPr>
        <w:ind w:left="6840" w:hanging="1080"/>
      </w:pPr>
      <w:rPr>
        <w:rFonts w:eastAsia="Calibri" w:hint="default"/>
        <w:b/>
      </w:rPr>
    </w:lvl>
    <w:lvl w:ilvl="6">
      <w:start w:val="1"/>
      <w:numFmt w:val="decimal"/>
      <w:isLgl/>
      <w:lvlText w:val="%1.%2.%3.%4.%5.%6.%7."/>
      <w:lvlJc w:val="left"/>
      <w:pPr>
        <w:ind w:left="8280" w:hanging="1440"/>
      </w:pPr>
      <w:rPr>
        <w:rFonts w:eastAsia="Calibri" w:hint="default"/>
        <w:b/>
      </w:rPr>
    </w:lvl>
    <w:lvl w:ilvl="7">
      <w:start w:val="1"/>
      <w:numFmt w:val="decimal"/>
      <w:isLgl/>
      <w:lvlText w:val="%1.%2.%3.%4.%5.%6.%7.%8."/>
      <w:lvlJc w:val="left"/>
      <w:pPr>
        <w:ind w:left="9360" w:hanging="1440"/>
      </w:pPr>
      <w:rPr>
        <w:rFonts w:eastAsia="Calibri" w:hint="default"/>
        <w:b/>
      </w:rPr>
    </w:lvl>
    <w:lvl w:ilvl="8">
      <w:start w:val="1"/>
      <w:numFmt w:val="decimal"/>
      <w:isLgl/>
      <w:lvlText w:val="%1.%2.%3.%4.%5.%6.%7.%8.%9."/>
      <w:lvlJc w:val="left"/>
      <w:pPr>
        <w:ind w:left="10800" w:hanging="1800"/>
      </w:pPr>
      <w:rPr>
        <w:rFonts w:eastAsia="Calibri" w:hint="default"/>
        <w:b/>
      </w:rPr>
    </w:lvl>
  </w:abstractNum>
  <w:abstractNum w:abstractNumId="43" w15:restartNumberingAfterBreak="0">
    <w:nsid w:val="34B964AE"/>
    <w:multiLevelType w:val="multilevel"/>
    <w:tmpl w:val="4D6CB1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9A47A04"/>
    <w:multiLevelType w:val="hybridMultilevel"/>
    <w:tmpl w:val="016A91F0"/>
    <w:lvl w:ilvl="0" w:tplc="FD02DF5A">
      <w:numFmt w:val="bullet"/>
      <w:lvlText w:val="-"/>
      <w:lvlJc w:val="left"/>
      <w:pPr>
        <w:ind w:left="927" w:hanging="360"/>
      </w:pPr>
      <w:rPr>
        <w:rFonts w:ascii="Calibri Light" w:eastAsiaTheme="minorHAnsi" w:hAnsi="Calibri Light" w:cs="Calibri Light"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5" w15:restartNumberingAfterBreak="0">
    <w:nsid w:val="3A1873FF"/>
    <w:multiLevelType w:val="hybridMultilevel"/>
    <w:tmpl w:val="2F924D1A"/>
    <w:lvl w:ilvl="0" w:tplc="0419000B">
      <w:start w:val="1"/>
      <w:numFmt w:val="bullet"/>
      <w:lvlText w:val=""/>
      <w:lvlJc w:val="left"/>
      <w:pPr>
        <w:ind w:left="720" w:hanging="360"/>
      </w:pPr>
      <w:rPr>
        <w:rFonts w:ascii="Wingdings" w:hAnsi="Wingdings" w:hint="default"/>
        <w:i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B8C1BBF"/>
    <w:multiLevelType w:val="multilevel"/>
    <w:tmpl w:val="F06AC3F6"/>
    <w:lvl w:ilvl="0">
      <w:start w:val="4"/>
      <w:numFmt w:val="decimal"/>
      <w:lvlText w:val="%1."/>
      <w:lvlJc w:val="left"/>
      <w:pPr>
        <w:ind w:left="645" w:hanging="645"/>
      </w:pPr>
      <w:rPr>
        <w:rFonts w:hint="default"/>
      </w:rPr>
    </w:lvl>
    <w:lvl w:ilvl="1">
      <w:start w:val="5"/>
      <w:numFmt w:val="decimal"/>
      <w:lvlText w:val="%1.%2."/>
      <w:lvlJc w:val="left"/>
      <w:pPr>
        <w:ind w:left="1005" w:hanging="645"/>
      </w:pPr>
      <w:rPr>
        <w:rFonts w:hint="default"/>
        <w:color w:val="0070C0"/>
        <w:sz w:val="24"/>
        <w:szCs w:val="24"/>
        <w:lang w:val="ro-RO"/>
      </w:rPr>
    </w:lvl>
    <w:lvl w:ilvl="2">
      <w:start w:val="21"/>
      <w:numFmt w:val="decimal"/>
      <w:lvlText w:val="%1.%2.%3."/>
      <w:lvlJc w:val="left"/>
      <w:pPr>
        <w:ind w:left="1288"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7" w15:restartNumberingAfterBreak="0">
    <w:nsid w:val="3DA232A1"/>
    <w:multiLevelType w:val="hybridMultilevel"/>
    <w:tmpl w:val="0DEED2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E340BCF"/>
    <w:multiLevelType w:val="hybridMultilevel"/>
    <w:tmpl w:val="710C3A1C"/>
    <w:lvl w:ilvl="0" w:tplc="04090001">
      <w:start w:val="1"/>
      <w:numFmt w:val="bullet"/>
      <w:lvlText w:val=""/>
      <w:lvlJc w:val="left"/>
      <w:pPr>
        <w:ind w:left="720" w:hanging="360"/>
      </w:pPr>
      <w:rPr>
        <w:rFonts w:ascii="Symbol" w:hAnsi="Symbo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1E9589A"/>
    <w:multiLevelType w:val="multilevel"/>
    <w:tmpl w:val="17C42230"/>
    <w:lvl w:ilvl="0">
      <w:start w:val="1"/>
      <w:numFmt w:val="decimal"/>
      <w:lvlText w:val="%1."/>
      <w:lvlJc w:val="left"/>
      <w:pPr>
        <w:ind w:left="720" w:hanging="360"/>
      </w:pPr>
      <w:rPr>
        <w:b/>
        <w:bCs/>
      </w:rPr>
    </w:lvl>
    <w:lvl w:ilvl="1">
      <w:start w:val="1"/>
      <w:numFmt w:val="decimal"/>
      <w:isLgl/>
      <w:lvlText w:val="%1.%2."/>
      <w:lvlJc w:val="left"/>
      <w:pPr>
        <w:ind w:left="1860" w:hanging="420"/>
      </w:pPr>
      <w:rPr>
        <w:rFonts w:eastAsia="Calibri"/>
        <w:b/>
      </w:rPr>
    </w:lvl>
    <w:lvl w:ilvl="2">
      <w:start w:val="1"/>
      <w:numFmt w:val="decimal"/>
      <w:isLgl/>
      <w:lvlText w:val="%1.%2.%3."/>
      <w:lvlJc w:val="left"/>
      <w:pPr>
        <w:ind w:left="3240" w:hanging="720"/>
      </w:pPr>
      <w:rPr>
        <w:rFonts w:eastAsia="Calibri"/>
        <w:b/>
      </w:rPr>
    </w:lvl>
    <w:lvl w:ilvl="3">
      <w:start w:val="1"/>
      <w:numFmt w:val="decimal"/>
      <w:isLgl/>
      <w:lvlText w:val="%1.%2.%3.%4."/>
      <w:lvlJc w:val="left"/>
      <w:pPr>
        <w:ind w:left="4320" w:hanging="720"/>
      </w:pPr>
      <w:rPr>
        <w:rFonts w:eastAsia="Calibri"/>
        <w:b/>
      </w:rPr>
    </w:lvl>
    <w:lvl w:ilvl="4">
      <w:start w:val="1"/>
      <w:numFmt w:val="decimal"/>
      <w:isLgl/>
      <w:lvlText w:val="%1.%2.%3.%4.%5."/>
      <w:lvlJc w:val="left"/>
      <w:pPr>
        <w:ind w:left="5760" w:hanging="1080"/>
      </w:pPr>
      <w:rPr>
        <w:rFonts w:eastAsia="Calibri"/>
        <w:b/>
      </w:rPr>
    </w:lvl>
    <w:lvl w:ilvl="5">
      <w:start w:val="1"/>
      <w:numFmt w:val="decimal"/>
      <w:isLgl/>
      <w:lvlText w:val="%1.%2.%3.%4.%5.%6."/>
      <w:lvlJc w:val="left"/>
      <w:pPr>
        <w:ind w:left="6840" w:hanging="1080"/>
      </w:pPr>
      <w:rPr>
        <w:rFonts w:eastAsia="Calibri"/>
        <w:b/>
      </w:rPr>
    </w:lvl>
    <w:lvl w:ilvl="6">
      <w:start w:val="1"/>
      <w:numFmt w:val="decimal"/>
      <w:isLgl/>
      <w:lvlText w:val="%1.%2.%3.%4.%5.%6.%7."/>
      <w:lvlJc w:val="left"/>
      <w:pPr>
        <w:ind w:left="8280" w:hanging="1440"/>
      </w:pPr>
      <w:rPr>
        <w:rFonts w:eastAsia="Calibri"/>
        <w:b/>
      </w:rPr>
    </w:lvl>
    <w:lvl w:ilvl="7">
      <w:start w:val="1"/>
      <w:numFmt w:val="decimal"/>
      <w:isLgl/>
      <w:lvlText w:val="%1.%2.%3.%4.%5.%6.%7.%8."/>
      <w:lvlJc w:val="left"/>
      <w:pPr>
        <w:ind w:left="9360" w:hanging="1440"/>
      </w:pPr>
      <w:rPr>
        <w:rFonts w:eastAsia="Calibri"/>
        <w:b/>
      </w:rPr>
    </w:lvl>
    <w:lvl w:ilvl="8">
      <w:start w:val="1"/>
      <w:numFmt w:val="decimal"/>
      <w:isLgl/>
      <w:lvlText w:val="%1.%2.%3.%4.%5.%6.%7.%8.%9."/>
      <w:lvlJc w:val="left"/>
      <w:pPr>
        <w:ind w:left="10800" w:hanging="1800"/>
      </w:pPr>
      <w:rPr>
        <w:rFonts w:eastAsia="Calibri"/>
        <w:b/>
      </w:rPr>
    </w:lvl>
  </w:abstractNum>
  <w:abstractNum w:abstractNumId="50" w15:restartNumberingAfterBreak="0">
    <w:nsid w:val="4237696F"/>
    <w:multiLevelType w:val="hybridMultilevel"/>
    <w:tmpl w:val="A296C120"/>
    <w:lvl w:ilvl="0" w:tplc="307EABCE">
      <w:start w:val="1"/>
      <w:numFmt w:val="lowerRoman"/>
      <w:lvlText w:val="(%1)"/>
      <w:lvlJc w:val="left"/>
      <w:pPr>
        <w:ind w:left="1004" w:hanging="720"/>
      </w:pPr>
      <w:rPr>
        <w:rFonts w:hint="default"/>
      </w:rPr>
    </w:lvl>
    <w:lvl w:ilvl="1" w:tplc="6F14B700">
      <w:start w:val="1"/>
      <w:numFmt w:val="decimal"/>
      <w:lvlText w:val="%2."/>
      <w:lvlJc w:val="left"/>
      <w:pPr>
        <w:ind w:left="1956" w:hanging="876"/>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3612E52"/>
    <w:multiLevelType w:val="hybridMultilevel"/>
    <w:tmpl w:val="622EDEEA"/>
    <w:lvl w:ilvl="0" w:tplc="470890B0">
      <w:start w:val="1"/>
      <w:numFmt w:val="bullet"/>
      <w:lvlText w:val="─"/>
      <w:lvlJc w:val="left"/>
      <w:pPr>
        <w:ind w:left="1429" w:hanging="360"/>
      </w:pPr>
      <w:rPr>
        <w:rFonts w:ascii="Calibri Light" w:hAnsi="Calibri Light"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52" w15:restartNumberingAfterBreak="0">
    <w:nsid w:val="451A443F"/>
    <w:multiLevelType w:val="multilevel"/>
    <w:tmpl w:val="CDF26434"/>
    <w:lvl w:ilvl="0">
      <w:start w:val="4"/>
      <w:numFmt w:val="decimal"/>
      <w:lvlText w:val="%1."/>
      <w:lvlJc w:val="left"/>
      <w:pPr>
        <w:ind w:left="492" w:hanging="492"/>
      </w:pPr>
      <w:rPr>
        <w:rFonts w:hint="default"/>
      </w:rPr>
    </w:lvl>
    <w:lvl w:ilvl="1">
      <w:start w:val="5"/>
      <w:numFmt w:val="decimal"/>
      <w:lvlText w:val="%1.%2."/>
      <w:lvlJc w:val="left"/>
      <w:pPr>
        <w:ind w:left="492" w:hanging="492"/>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15:restartNumberingAfterBreak="0">
    <w:nsid w:val="460A2AC9"/>
    <w:multiLevelType w:val="hybridMultilevel"/>
    <w:tmpl w:val="2B42D1E4"/>
    <w:lvl w:ilvl="0" w:tplc="548CF70C">
      <w:start w:val="5"/>
      <w:numFmt w:val="upperRoman"/>
      <w:lvlText w:val="%1."/>
      <w:lvlJc w:val="left"/>
      <w:pPr>
        <w:ind w:left="1800" w:hanging="72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15:restartNumberingAfterBreak="0">
    <w:nsid w:val="469D2C89"/>
    <w:multiLevelType w:val="hybridMultilevel"/>
    <w:tmpl w:val="8A4A9C3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5" w15:restartNumberingAfterBreak="0">
    <w:nsid w:val="477B0ED4"/>
    <w:multiLevelType w:val="hybridMultilevel"/>
    <w:tmpl w:val="C8ECA926"/>
    <w:lvl w:ilvl="0" w:tplc="0409000F">
      <w:start w:val="1"/>
      <w:numFmt w:val="decimal"/>
      <w:lvlText w:val="%1."/>
      <w:lvlJc w:val="left"/>
      <w:pPr>
        <w:ind w:left="1429" w:hanging="360"/>
      </w:p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56" w15:restartNumberingAfterBreak="0">
    <w:nsid w:val="480249C8"/>
    <w:multiLevelType w:val="hybridMultilevel"/>
    <w:tmpl w:val="E790448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8B22135"/>
    <w:multiLevelType w:val="hybridMultilevel"/>
    <w:tmpl w:val="5A34E436"/>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8" w15:restartNumberingAfterBreak="0">
    <w:nsid w:val="48EB35A8"/>
    <w:multiLevelType w:val="hybridMultilevel"/>
    <w:tmpl w:val="26086E24"/>
    <w:lvl w:ilvl="0" w:tplc="CD7ED676">
      <w:start w:val="1"/>
      <w:numFmt w:val="upperRoman"/>
      <w:lvlText w:val="%1."/>
      <w:lvlJc w:val="left"/>
      <w:pPr>
        <w:ind w:left="1080" w:hanging="720"/>
      </w:pPr>
      <w:rPr>
        <w:rFonts w:eastAsia="Calibri" w:hint="default"/>
        <w:color w:val="0563C1" w:themeColor="hyperlink"/>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9B901D8"/>
    <w:multiLevelType w:val="multilevel"/>
    <w:tmpl w:val="3B824E0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60" w15:restartNumberingAfterBreak="0">
    <w:nsid w:val="4B2C0A0A"/>
    <w:multiLevelType w:val="hybridMultilevel"/>
    <w:tmpl w:val="C5583D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4B9C5D4C"/>
    <w:multiLevelType w:val="hybridMultilevel"/>
    <w:tmpl w:val="EAA428F8"/>
    <w:lvl w:ilvl="0" w:tplc="1E224AAE">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C466DEB"/>
    <w:multiLevelType w:val="hybridMultilevel"/>
    <w:tmpl w:val="C67AAA22"/>
    <w:lvl w:ilvl="0" w:tplc="55BA2F30">
      <w:start w:val="5"/>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C4D5FCA"/>
    <w:multiLevelType w:val="hybridMultilevel"/>
    <w:tmpl w:val="2132BC2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64" w15:restartNumberingAfterBreak="0">
    <w:nsid w:val="4CFA53F0"/>
    <w:multiLevelType w:val="hybridMultilevel"/>
    <w:tmpl w:val="D42AC5D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65" w15:restartNumberingAfterBreak="0">
    <w:nsid w:val="504F3BB9"/>
    <w:multiLevelType w:val="multilevel"/>
    <w:tmpl w:val="4FC23354"/>
    <w:lvl w:ilvl="0">
      <w:start w:val="11"/>
      <w:numFmt w:val="decimal"/>
      <w:lvlText w:val="%1."/>
      <w:lvlJc w:val="left"/>
      <w:pPr>
        <w:ind w:left="480" w:hanging="480"/>
      </w:pPr>
    </w:lvl>
    <w:lvl w:ilvl="1">
      <w:start w:val="6"/>
      <w:numFmt w:val="decimal"/>
      <w:lvlText w:val="%1.%2."/>
      <w:lvlJc w:val="left"/>
      <w:pPr>
        <w:ind w:left="480" w:hanging="480"/>
      </w:pPr>
      <w:rPr>
        <w:b/>
        <w:bCs w:val="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6" w15:restartNumberingAfterBreak="0">
    <w:nsid w:val="565D66C7"/>
    <w:multiLevelType w:val="hybridMultilevel"/>
    <w:tmpl w:val="5426AE7C"/>
    <w:lvl w:ilvl="0" w:tplc="98BA8478">
      <w:start w:val="10"/>
      <w:numFmt w:val="decimal"/>
      <w:lvlText w:val="%1."/>
      <w:lvlJc w:val="left"/>
      <w:pPr>
        <w:ind w:left="720" w:hanging="360"/>
      </w:pPr>
      <w:rPr>
        <w:b/>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7" w15:restartNumberingAfterBreak="0">
    <w:nsid w:val="57605521"/>
    <w:multiLevelType w:val="multilevel"/>
    <w:tmpl w:val="48B26B02"/>
    <w:lvl w:ilvl="0">
      <w:start w:val="4"/>
      <w:numFmt w:val="decimal"/>
      <w:lvlText w:val="%1."/>
      <w:lvlJc w:val="left"/>
      <w:pPr>
        <w:ind w:left="540" w:hanging="540"/>
      </w:pPr>
      <w:rPr>
        <w:rFonts w:hint="default"/>
      </w:rPr>
    </w:lvl>
    <w:lvl w:ilvl="1">
      <w:start w:val="2"/>
      <w:numFmt w:val="decimal"/>
      <w:lvlText w:val="%1.%2."/>
      <w:lvlJc w:val="left"/>
      <w:pPr>
        <w:ind w:left="900" w:hanging="54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8" w15:restartNumberingAfterBreak="0">
    <w:nsid w:val="6679733E"/>
    <w:multiLevelType w:val="hybridMultilevel"/>
    <w:tmpl w:val="0010A4B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9" w15:restartNumberingAfterBreak="0">
    <w:nsid w:val="67F02A7B"/>
    <w:multiLevelType w:val="hybridMultilevel"/>
    <w:tmpl w:val="20AAA1E2"/>
    <w:lvl w:ilvl="0" w:tplc="F718F110">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0" w15:restartNumberingAfterBreak="0">
    <w:nsid w:val="68FB4136"/>
    <w:multiLevelType w:val="hybridMultilevel"/>
    <w:tmpl w:val="0228F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70E84ECB"/>
    <w:multiLevelType w:val="multilevel"/>
    <w:tmpl w:val="17C42230"/>
    <w:lvl w:ilvl="0">
      <w:start w:val="1"/>
      <w:numFmt w:val="decimal"/>
      <w:lvlText w:val="%1."/>
      <w:lvlJc w:val="left"/>
      <w:pPr>
        <w:ind w:left="720" w:hanging="360"/>
      </w:pPr>
      <w:rPr>
        <w:b/>
        <w:bCs/>
      </w:rPr>
    </w:lvl>
    <w:lvl w:ilvl="1">
      <w:start w:val="1"/>
      <w:numFmt w:val="decimal"/>
      <w:isLgl/>
      <w:lvlText w:val="%1.%2."/>
      <w:lvlJc w:val="left"/>
      <w:pPr>
        <w:ind w:left="1860" w:hanging="420"/>
      </w:pPr>
      <w:rPr>
        <w:rFonts w:eastAsia="Calibri"/>
        <w:b/>
      </w:rPr>
    </w:lvl>
    <w:lvl w:ilvl="2">
      <w:start w:val="1"/>
      <w:numFmt w:val="decimal"/>
      <w:isLgl/>
      <w:lvlText w:val="%1.%2.%3."/>
      <w:lvlJc w:val="left"/>
      <w:pPr>
        <w:ind w:left="3240" w:hanging="720"/>
      </w:pPr>
      <w:rPr>
        <w:rFonts w:eastAsia="Calibri"/>
        <w:b/>
      </w:rPr>
    </w:lvl>
    <w:lvl w:ilvl="3">
      <w:start w:val="1"/>
      <w:numFmt w:val="decimal"/>
      <w:isLgl/>
      <w:lvlText w:val="%1.%2.%3.%4."/>
      <w:lvlJc w:val="left"/>
      <w:pPr>
        <w:ind w:left="4320" w:hanging="720"/>
      </w:pPr>
      <w:rPr>
        <w:rFonts w:eastAsia="Calibri"/>
        <w:b/>
      </w:rPr>
    </w:lvl>
    <w:lvl w:ilvl="4">
      <w:start w:val="1"/>
      <w:numFmt w:val="decimal"/>
      <w:isLgl/>
      <w:lvlText w:val="%1.%2.%3.%4.%5."/>
      <w:lvlJc w:val="left"/>
      <w:pPr>
        <w:ind w:left="5760" w:hanging="1080"/>
      </w:pPr>
      <w:rPr>
        <w:rFonts w:eastAsia="Calibri"/>
        <w:b/>
      </w:rPr>
    </w:lvl>
    <w:lvl w:ilvl="5">
      <w:start w:val="1"/>
      <w:numFmt w:val="decimal"/>
      <w:isLgl/>
      <w:lvlText w:val="%1.%2.%3.%4.%5.%6."/>
      <w:lvlJc w:val="left"/>
      <w:pPr>
        <w:ind w:left="6840" w:hanging="1080"/>
      </w:pPr>
      <w:rPr>
        <w:rFonts w:eastAsia="Calibri"/>
        <w:b/>
      </w:rPr>
    </w:lvl>
    <w:lvl w:ilvl="6">
      <w:start w:val="1"/>
      <w:numFmt w:val="decimal"/>
      <w:isLgl/>
      <w:lvlText w:val="%1.%2.%3.%4.%5.%6.%7."/>
      <w:lvlJc w:val="left"/>
      <w:pPr>
        <w:ind w:left="8280" w:hanging="1440"/>
      </w:pPr>
      <w:rPr>
        <w:rFonts w:eastAsia="Calibri"/>
        <w:b/>
      </w:rPr>
    </w:lvl>
    <w:lvl w:ilvl="7">
      <w:start w:val="1"/>
      <w:numFmt w:val="decimal"/>
      <w:isLgl/>
      <w:lvlText w:val="%1.%2.%3.%4.%5.%6.%7.%8."/>
      <w:lvlJc w:val="left"/>
      <w:pPr>
        <w:ind w:left="9360" w:hanging="1440"/>
      </w:pPr>
      <w:rPr>
        <w:rFonts w:eastAsia="Calibri"/>
        <w:b/>
      </w:rPr>
    </w:lvl>
    <w:lvl w:ilvl="8">
      <w:start w:val="1"/>
      <w:numFmt w:val="decimal"/>
      <w:isLgl/>
      <w:lvlText w:val="%1.%2.%3.%4.%5.%6.%7.%8.%9."/>
      <w:lvlJc w:val="left"/>
      <w:pPr>
        <w:ind w:left="10800" w:hanging="1800"/>
      </w:pPr>
      <w:rPr>
        <w:rFonts w:eastAsia="Calibri"/>
        <w:b/>
      </w:rPr>
    </w:lvl>
  </w:abstractNum>
  <w:abstractNum w:abstractNumId="72" w15:restartNumberingAfterBreak="0">
    <w:nsid w:val="733A51A8"/>
    <w:multiLevelType w:val="multilevel"/>
    <w:tmpl w:val="9FB67E72"/>
    <w:lvl w:ilvl="0">
      <w:start w:val="4"/>
      <w:numFmt w:val="decimal"/>
      <w:lvlText w:val="%1."/>
      <w:lvlJc w:val="left"/>
      <w:pPr>
        <w:ind w:left="495" w:hanging="495"/>
      </w:pPr>
      <w:rPr>
        <w:rFonts w:hint="default"/>
      </w:rPr>
    </w:lvl>
    <w:lvl w:ilvl="1">
      <w:start w:val="6"/>
      <w:numFmt w:val="decimal"/>
      <w:lvlText w:val="%1.%2."/>
      <w:lvlJc w:val="left"/>
      <w:pPr>
        <w:ind w:left="495" w:hanging="49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15:restartNumberingAfterBreak="0">
    <w:nsid w:val="7657486E"/>
    <w:multiLevelType w:val="hybridMultilevel"/>
    <w:tmpl w:val="0A0845B8"/>
    <w:lvl w:ilvl="0" w:tplc="04190007">
      <w:start w:val="1"/>
      <w:numFmt w:val="bullet"/>
      <w:lvlText w:val=""/>
      <w:lvlPicBulletId w:val="0"/>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15:restartNumberingAfterBreak="0">
    <w:nsid w:val="786F05BB"/>
    <w:multiLevelType w:val="hybridMultilevel"/>
    <w:tmpl w:val="B2120B80"/>
    <w:lvl w:ilvl="0" w:tplc="04090015">
      <w:start w:val="1"/>
      <w:numFmt w:val="upperLetter"/>
      <w:lvlText w:val="%1."/>
      <w:lvlJc w:val="left"/>
      <w:pPr>
        <w:ind w:left="720" w:hanging="360"/>
      </w:pPr>
      <w:rPr>
        <w:rFonts w:hint="default"/>
      </w:rPr>
    </w:lvl>
    <w:lvl w:ilvl="1" w:tplc="A0EE53D8">
      <w:numFmt w:val="bullet"/>
      <w:lvlText w:val="•"/>
      <w:lvlJc w:val="left"/>
      <w:pPr>
        <w:ind w:left="1440" w:hanging="360"/>
      </w:pPr>
      <w:rPr>
        <w:rFonts w:ascii="Times New Roman" w:eastAsiaTheme="minorHAnsi"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79225E97"/>
    <w:multiLevelType w:val="hybridMultilevel"/>
    <w:tmpl w:val="9F60D1E0"/>
    <w:lvl w:ilvl="0" w:tplc="41FCE526">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AA7254E"/>
    <w:multiLevelType w:val="hybridMultilevel"/>
    <w:tmpl w:val="2110E5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7" w15:restartNumberingAfterBreak="0">
    <w:nsid w:val="7EDB6500"/>
    <w:multiLevelType w:val="hybridMultilevel"/>
    <w:tmpl w:val="FA309E92"/>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start w:val="1"/>
      <w:numFmt w:val="bullet"/>
      <w:lvlText w:val=""/>
      <w:lvlJc w:val="left"/>
      <w:pPr>
        <w:ind w:left="2700" w:hanging="360"/>
      </w:pPr>
      <w:rPr>
        <w:rFonts w:ascii="Wingdings" w:hAnsi="Wingdings" w:hint="default"/>
      </w:rPr>
    </w:lvl>
    <w:lvl w:ilvl="3" w:tplc="04090001">
      <w:start w:val="1"/>
      <w:numFmt w:val="bullet"/>
      <w:lvlText w:val=""/>
      <w:lvlJc w:val="left"/>
      <w:pPr>
        <w:ind w:left="3420" w:hanging="360"/>
      </w:pPr>
      <w:rPr>
        <w:rFonts w:ascii="Symbol" w:hAnsi="Symbol" w:hint="default"/>
      </w:rPr>
    </w:lvl>
    <w:lvl w:ilvl="4" w:tplc="04090003">
      <w:start w:val="1"/>
      <w:numFmt w:val="bullet"/>
      <w:lvlText w:val="o"/>
      <w:lvlJc w:val="left"/>
      <w:pPr>
        <w:ind w:left="4140" w:hanging="360"/>
      </w:pPr>
      <w:rPr>
        <w:rFonts w:ascii="Courier New" w:hAnsi="Courier New" w:cs="Courier New" w:hint="default"/>
      </w:rPr>
    </w:lvl>
    <w:lvl w:ilvl="5" w:tplc="04090005">
      <w:start w:val="1"/>
      <w:numFmt w:val="bullet"/>
      <w:lvlText w:val=""/>
      <w:lvlJc w:val="left"/>
      <w:pPr>
        <w:ind w:left="4860" w:hanging="360"/>
      </w:pPr>
      <w:rPr>
        <w:rFonts w:ascii="Wingdings" w:hAnsi="Wingdings" w:hint="default"/>
      </w:rPr>
    </w:lvl>
    <w:lvl w:ilvl="6" w:tplc="04090001">
      <w:start w:val="1"/>
      <w:numFmt w:val="bullet"/>
      <w:lvlText w:val=""/>
      <w:lvlJc w:val="left"/>
      <w:pPr>
        <w:ind w:left="5580" w:hanging="360"/>
      </w:pPr>
      <w:rPr>
        <w:rFonts w:ascii="Symbol" w:hAnsi="Symbol" w:hint="default"/>
      </w:rPr>
    </w:lvl>
    <w:lvl w:ilvl="7" w:tplc="04090003">
      <w:start w:val="1"/>
      <w:numFmt w:val="bullet"/>
      <w:lvlText w:val="o"/>
      <w:lvlJc w:val="left"/>
      <w:pPr>
        <w:ind w:left="6300" w:hanging="360"/>
      </w:pPr>
      <w:rPr>
        <w:rFonts w:ascii="Courier New" w:hAnsi="Courier New" w:cs="Courier New" w:hint="default"/>
      </w:rPr>
    </w:lvl>
    <w:lvl w:ilvl="8" w:tplc="04090005">
      <w:start w:val="1"/>
      <w:numFmt w:val="bullet"/>
      <w:lvlText w:val=""/>
      <w:lvlJc w:val="left"/>
      <w:pPr>
        <w:ind w:left="7020" w:hanging="360"/>
      </w:pPr>
      <w:rPr>
        <w:rFonts w:ascii="Wingdings" w:hAnsi="Wingdings" w:hint="default"/>
      </w:rPr>
    </w:lvl>
  </w:abstractNum>
  <w:num w:numId="1">
    <w:abstractNumId w:val="16"/>
  </w:num>
  <w:num w:numId="2">
    <w:abstractNumId w:val="13"/>
  </w:num>
  <w:num w:numId="3">
    <w:abstractNumId w:val="54"/>
  </w:num>
  <w:num w:numId="4">
    <w:abstractNumId w:val="15"/>
  </w:num>
  <w:num w:numId="5">
    <w:abstractNumId w:val="26"/>
  </w:num>
  <w:num w:numId="6">
    <w:abstractNumId w:val="35"/>
  </w:num>
  <w:num w:numId="7">
    <w:abstractNumId w:val="55"/>
  </w:num>
  <w:num w:numId="8">
    <w:abstractNumId w:val="11"/>
  </w:num>
  <w:num w:numId="9">
    <w:abstractNumId w:val="6"/>
  </w:num>
  <w:num w:numId="10">
    <w:abstractNumId w:val="51"/>
  </w:num>
  <w:num w:numId="11">
    <w:abstractNumId w:val="70"/>
  </w:num>
  <w:num w:numId="12">
    <w:abstractNumId w:val="24"/>
  </w:num>
  <w:num w:numId="13">
    <w:abstractNumId w:val="8"/>
  </w:num>
  <w:num w:numId="14">
    <w:abstractNumId w:val="18"/>
  </w:num>
  <w:num w:numId="15">
    <w:abstractNumId w:val="73"/>
  </w:num>
  <w:num w:numId="16">
    <w:abstractNumId w:val="4"/>
  </w:num>
  <w:num w:numId="17">
    <w:abstractNumId w:val="39"/>
  </w:num>
  <w:num w:numId="18">
    <w:abstractNumId w:val="76"/>
  </w:num>
  <w:num w:numId="19">
    <w:abstractNumId w:val="38"/>
  </w:num>
  <w:num w:numId="20">
    <w:abstractNumId w:val="32"/>
  </w:num>
  <w:num w:numId="21">
    <w:abstractNumId w:val="3"/>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7"/>
  </w:num>
  <w:num w:numId="24">
    <w:abstractNumId w:val="2"/>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0"/>
  </w:num>
  <w:num w:numId="27">
    <w:abstractNumId w:val="68"/>
  </w:num>
  <w:num w:numId="28">
    <w:abstractNumId w:val="50"/>
  </w:num>
  <w:num w:numId="29">
    <w:abstractNumId w:val="20"/>
  </w:num>
  <w:num w:numId="30">
    <w:abstractNumId w:val="17"/>
  </w:num>
  <w:num w:numId="31">
    <w:abstractNumId w:val="29"/>
  </w:num>
  <w:num w:numId="32">
    <w:abstractNumId w:val="19"/>
  </w:num>
  <w:num w:numId="33">
    <w:abstractNumId w:val="59"/>
  </w:num>
  <w:num w:numId="34">
    <w:abstractNumId w:val="45"/>
  </w:num>
  <w:num w:numId="35">
    <w:abstractNumId w:val="21"/>
  </w:num>
  <w:num w:numId="36">
    <w:abstractNumId w:val="60"/>
  </w:num>
  <w:num w:numId="37">
    <w:abstractNumId w:val="53"/>
  </w:num>
  <w:num w:numId="38">
    <w:abstractNumId w:val="67"/>
  </w:num>
  <w:num w:numId="39">
    <w:abstractNumId w:val="22"/>
  </w:num>
  <w:num w:numId="40">
    <w:abstractNumId w:val="46"/>
  </w:num>
  <w:num w:numId="41">
    <w:abstractNumId w:val="34"/>
  </w:num>
  <w:num w:numId="42">
    <w:abstractNumId w:val="62"/>
  </w:num>
  <w:num w:numId="43">
    <w:abstractNumId w:val="37"/>
  </w:num>
  <w:num w:numId="44">
    <w:abstractNumId w:val="25"/>
  </w:num>
  <w:num w:numId="45">
    <w:abstractNumId w:val="72"/>
  </w:num>
  <w:num w:numId="46">
    <w:abstractNumId w:val="31"/>
  </w:num>
  <w:num w:numId="47">
    <w:abstractNumId w:val="9"/>
  </w:num>
  <w:num w:numId="48">
    <w:abstractNumId w:val="1"/>
  </w:num>
  <w:num w:numId="49">
    <w:abstractNumId w:val="57"/>
  </w:num>
  <w:num w:numId="50">
    <w:abstractNumId w:val="52"/>
  </w:num>
  <w:num w:numId="51">
    <w:abstractNumId w:val="5"/>
  </w:num>
  <w:num w:numId="52">
    <w:abstractNumId w:val="63"/>
  </w:num>
  <w:num w:numId="53">
    <w:abstractNumId w:val="44"/>
  </w:num>
  <w:num w:numId="54">
    <w:abstractNumId w:val="7"/>
  </w:num>
  <w:num w:numId="55">
    <w:abstractNumId w:val="28"/>
  </w:num>
  <w:num w:numId="56">
    <w:abstractNumId w:val="74"/>
  </w:num>
  <w:num w:numId="57">
    <w:abstractNumId w:val="36"/>
  </w:num>
  <w:num w:numId="58">
    <w:abstractNumId w:val="61"/>
  </w:num>
  <w:num w:numId="59">
    <w:abstractNumId w:val="75"/>
  </w:num>
  <w:num w:numId="60">
    <w:abstractNumId w:val="12"/>
  </w:num>
  <w:num w:numId="61">
    <w:abstractNumId w:val="48"/>
  </w:num>
  <w:num w:numId="62">
    <w:abstractNumId w:val="43"/>
  </w:num>
  <w:num w:numId="63">
    <w:abstractNumId w:val="10"/>
  </w:num>
  <w:num w:numId="64">
    <w:abstractNumId w:val="33"/>
  </w:num>
  <w:num w:numId="65">
    <w:abstractNumId w:val="47"/>
  </w:num>
  <w:num w:numId="66">
    <w:abstractNumId w:val="0"/>
  </w:num>
  <w:num w:numId="67">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3"/>
  </w:num>
  <w:num w:numId="69">
    <w:abstractNumId w:val="41"/>
  </w:num>
  <w:num w:numId="70">
    <w:abstractNumId w:val="71"/>
  </w:num>
  <w:num w:numId="71">
    <w:abstractNumId w:val="6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65"/>
    <w:lvlOverride w:ilvl="0">
      <w:startOverride w:val="1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4"/>
  </w:num>
  <w:num w:numId="74">
    <w:abstractNumId w:val="49"/>
  </w:num>
  <w:num w:numId="75">
    <w:abstractNumId w:val="42"/>
  </w:num>
  <w:num w:numId="76">
    <w:abstractNumId w:val="56"/>
  </w:num>
  <w:num w:numId="77">
    <w:abstractNumId w:val="30"/>
  </w:num>
  <w:num w:numId="78">
    <w:abstractNumId w:val="58"/>
  </w:num>
  <w:num w:numId="79">
    <w:abstractNumId w:val="6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activeWritingStyle w:appName="MSWord" w:lang="ru-RU" w:vendorID="64" w:dllVersion="131078" w:nlCheck="1" w:checkStyle="0"/>
  <w:activeWritingStyle w:appName="MSWord" w:lang="en-US" w:vendorID="64" w:dllVersion="131078" w:nlCheck="1" w:checkStyle="1"/>
  <w:defaultTabStop w:val="720"/>
  <w:hyphenationZone w:val="425"/>
  <w:drawingGridHorizontalSpacing w:val="221"/>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70B"/>
    <w:rsid w:val="0000070C"/>
    <w:rsid w:val="000012F1"/>
    <w:rsid w:val="00002714"/>
    <w:rsid w:val="00002A54"/>
    <w:rsid w:val="00003488"/>
    <w:rsid w:val="00003DFA"/>
    <w:rsid w:val="00003FC4"/>
    <w:rsid w:val="00004717"/>
    <w:rsid w:val="00004FF5"/>
    <w:rsid w:val="000051AC"/>
    <w:rsid w:val="000055B2"/>
    <w:rsid w:val="000056B2"/>
    <w:rsid w:val="00005C8C"/>
    <w:rsid w:val="00005CB8"/>
    <w:rsid w:val="00005E4A"/>
    <w:rsid w:val="000066FB"/>
    <w:rsid w:val="000067C0"/>
    <w:rsid w:val="0000685A"/>
    <w:rsid w:val="00007461"/>
    <w:rsid w:val="00007C03"/>
    <w:rsid w:val="00010710"/>
    <w:rsid w:val="00011F3D"/>
    <w:rsid w:val="000131D1"/>
    <w:rsid w:val="000139C4"/>
    <w:rsid w:val="00013DBF"/>
    <w:rsid w:val="00014492"/>
    <w:rsid w:val="00015095"/>
    <w:rsid w:val="000153B3"/>
    <w:rsid w:val="00015BDF"/>
    <w:rsid w:val="00016DC0"/>
    <w:rsid w:val="00016EEC"/>
    <w:rsid w:val="00017987"/>
    <w:rsid w:val="00017C3B"/>
    <w:rsid w:val="00020E1C"/>
    <w:rsid w:val="00022125"/>
    <w:rsid w:val="00022434"/>
    <w:rsid w:val="00022792"/>
    <w:rsid w:val="00022A7E"/>
    <w:rsid w:val="00024083"/>
    <w:rsid w:val="000247E8"/>
    <w:rsid w:val="00024849"/>
    <w:rsid w:val="0002565C"/>
    <w:rsid w:val="00025A8F"/>
    <w:rsid w:val="00025E5F"/>
    <w:rsid w:val="0002662E"/>
    <w:rsid w:val="000270E8"/>
    <w:rsid w:val="00027915"/>
    <w:rsid w:val="00027FBF"/>
    <w:rsid w:val="00030341"/>
    <w:rsid w:val="00031C88"/>
    <w:rsid w:val="00032155"/>
    <w:rsid w:val="000328AF"/>
    <w:rsid w:val="000330A7"/>
    <w:rsid w:val="00033136"/>
    <w:rsid w:val="00033E91"/>
    <w:rsid w:val="00034C5B"/>
    <w:rsid w:val="00036071"/>
    <w:rsid w:val="000361EB"/>
    <w:rsid w:val="00036EAE"/>
    <w:rsid w:val="000415E7"/>
    <w:rsid w:val="000419A8"/>
    <w:rsid w:val="00042391"/>
    <w:rsid w:val="00042E38"/>
    <w:rsid w:val="0004314A"/>
    <w:rsid w:val="00043439"/>
    <w:rsid w:val="00043930"/>
    <w:rsid w:val="0004438A"/>
    <w:rsid w:val="00044B32"/>
    <w:rsid w:val="00044DFF"/>
    <w:rsid w:val="00044FCB"/>
    <w:rsid w:val="00045920"/>
    <w:rsid w:val="000461DF"/>
    <w:rsid w:val="00047144"/>
    <w:rsid w:val="00047705"/>
    <w:rsid w:val="00047E88"/>
    <w:rsid w:val="0005064F"/>
    <w:rsid w:val="00050927"/>
    <w:rsid w:val="00050A01"/>
    <w:rsid w:val="00050DBA"/>
    <w:rsid w:val="00052F7C"/>
    <w:rsid w:val="00054B27"/>
    <w:rsid w:val="00056AE7"/>
    <w:rsid w:val="000573CB"/>
    <w:rsid w:val="0006087A"/>
    <w:rsid w:val="00060E29"/>
    <w:rsid w:val="00061BFB"/>
    <w:rsid w:val="00062C58"/>
    <w:rsid w:val="00063B39"/>
    <w:rsid w:val="000644B2"/>
    <w:rsid w:val="00064769"/>
    <w:rsid w:val="00064ABC"/>
    <w:rsid w:val="00064D76"/>
    <w:rsid w:val="0006693B"/>
    <w:rsid w:val="00066AE2"/>
    <w:rsid w:val="00066E41"/>
    <w:rsid w:val="00067151"/>
    <w:rsid w:val="00070540"/>
    <w:rsid w:val="0007081C"/>
    <w:rsid w:val="00070C1E"/>
    <w:rsid w:val="00070D2D"/>
    <w:rsid w:val="000711C3"/>
    <w:rsid w:val="00071F9E"/>
    <w:rsid w:val="00072432"/>
    <w:rsid w:val="00073125"/>
    <w:rsid w:val="00074609"/>
    <w:rsid w:val="000747A8"/>
    <w:rsid w:val="000752F8"/>
    <w:rsid w:val="00075BF1"/>
    <w:rsid w:val="00075E61"/>
    <w:rsid w:val="000763E2"/>
    <w:rsid w:val="00076880"/>
    <w:rsid w:val="00076FD0"/>
    <w:rsid w:val="00077ADC"/>
    <w:rsid w:val="00077B56"/>
    <w:rsid w:val="00080062"/>
    <w:rsid w:val="00080433"/>
    <w:rsid w:val="00080BD6"/>
    <w:rsid w:val="00081321"/>
    <w:rsid w:val="00081ACC"/>
    <w:rsid w:val="000821CC"/>
    <w:rsid w:val="00082442"/>
    <w:rsid w:val="000829CD"/>
    <w:rsid w:val="00082F25"/>
    <w:rsid w:val="00082F67"/>
    <w:rsid w:val="000846A6"/>
    <w:rsid w:val="000846CB"/>
    <w:rsid w:val="00084B24"/>
    <w:rsid w:val="00085599"/>
    <w:rsid w:val="000855E5"/>
    <w:rsid w:val="000859E5"/>
    <w:rsid w:val="00086480"/>
    <w:rsid w:val="00087F76"/>
    <w:rsid w:val="00090150"/>
    <w:rsid w:val="00090A45"/>
    <w:rsid w:val="00090A94"/>
    <w:rsid w:val="00090D64"/>
    <w:rsid w:val="0009119A"/>
    <w:rsid w:val="0009137A"/>
    <w:rsid w:val="0009176B"/>
    <w:rsid w:val="00091D79"/>
    <w:rsid w:val="00092257"/>
    <w:rsid w:val="0009226D"/>
    <w:rsid w:val="00093EBE"/>
    <w:rsid w:val="00093FB9"/>
    <w:rsid w:val="000940CF"/>
    <w:rsid w:val="00094240"/>
    <w:rsid w:val="000945DC"/>
    <w:rsid w:val="00095431"/>
    <w:rsid w:val="000954A3"/>
    <w:rsid w:val="000954B2"/>
    <w:rsid w:val="00095743"/>
    <w:rsid w:val="00095CB7"/>
    <w:rsid w:val="00095DFD"/>
    <w:rsid w:val="00096308"/>
    <w:rsid w:val="0009633A"/>
    <w:rsid w:val="0009643E"/>
    <w:rsid w:val="000967CD"/>
    <w:rsid w:val="00097A8B"/>
    <w:rsid w:val="00097EFB"/>
    <w:rsid w:val="00097FB8"/>
    <w:rsid w:val="000A0581"/>
    <w:rsid w:val="000A125B"/>
    <w:rsid w:val="000A14D8"/>
    <w:rsid w:val="000A2706"/>
    <w:rsid w:val="000A4258"/>
    <w:rsid w:val="000A543D"/>
    <w:rsid w:val="000A5E77"/>
    <w:rsid w:val="000A66E1"/>
    <w:rsid w:val="000A6A0E"/>
    <w:rsid w:val="000A6A1A"/>
    <w:rsid w:val="000A6DB0"/>
    <w:rsid w:val="000B052D"/>
    <w:rsid w:val="000B06DC"/>
    <w:rsid w:val="000B082F"/>
    <w:rsid w:val="000B0B09"/>
    <w:rsid w:val="000B0E2D"/>
    <w:rsid w:val="000B1698"/>
    <w:rsid w:val="000B204D"/>
    <w:rsid w:val="000B26DF"/>
    <w:rsid w:val="000B3618"/>
    <w:rsid w:val="000B4128"/>
    <w:rsid w:val="000B6302"/>
    <w:rsid w:val="000B78DA"/>
    <w:rsid w:val="000C18B6"/>
    <w:rsid w:val="000C196E"/>
    <w:rsid w:val="000C1B2A"/>
    <w:rsid w:val="000C39DB"/>
    <w:rsid w:val="000C3FEA"/>
    <w:rsid w:val="000C4A63"/>
    <w:rsid w:val="000C4C21"/>
    <w:rsid w:val="000C535F"/>
    <w:rsid w:val="000C6547"/>
    <w:rsid w:val="000C6DCF"/>
    <w:rsid w:val="000C7D4E"/>
    <w:rsid w:val="000D0086"/>
    <w:rsid w:val="000D0140"/>
    <w:rsid w:val="000D0AE7"/>
    <w:rsid w:val="000D0C6B"/>
    <w:rsid w:val="000D13A3"/>
    <w:rsid w:val="000D1948"/>
    <w:rsid w:val="000D1A8F"/>
    <w:rsid w:val="000D2946"/>
    <w:rsid w:val="000D2D5E"/>
    <w:rsid w:val="000D442F"/>
    <w:rsid w:val="000D4A9B"/>
    <w:rsid w:val="000D4AED"/>
    <w:rsid w:val="000D4B87"/>
    <w:rsid w:val="000D4D5B"/>
    <w:rsid w:val="000D52CB"/>
    <w:rsid w:val="000D592C"/>
    <w:rsid w:val="000D6921"/>
    <w:rsid w:val="000D69D2"/>
    <w:rsid w:val="000D713C"/>
    <w:rsid w:val="000D75B4"/>
    <w:rsid w:val="000D786A"/>
    <w:rsid w:val="000E0250"/>
    <w:rsid w:val="000E05E3"/>
    <w:rsid w:val="000E1539"/>
    <w:rsid w:val="000E15D8"/>
    <w:rsid w:val="000E184F"/>
    <w:rsid w:val="000E189D"/>
    <w:rsid w:val="000E32A0"/>
    <w:rsid w:val="000E3766"/>
    <w:rsid w:val="000E37FE"/>
    <w:rsid w:val="000E47DF"/>
    <w:rsid w:val="000E4A21"/>
    <w:rsid w:val="000E4CB0"/>
    <w:rsid w:val="000E6ED9"/>
    <w:rsid w:val="000F1336"/>
    <w:rsid w:val="000F1988"/>
    <w:rsid w:val="000F2288"/>
    <w:rsid w:val="000F23B9"/>
    <w:rsid w:val="000F285C"/>
    <w:rsid w:val="000F390F"/>
    <w:rsid w:val="000F3A61"/>
    <w:rsid w:val="000F40A4"/>
    <w:rsid w:val="000F514A"/>
    <w:rsid w:val="000F5412"/>
    <w:rsid w:val="000F6337"/>
    <w:rsid w:val="001001B6"/>
    <w:rsid w:val="001003E1"/>
    <w:rsid w:val="00100B5E"/>
    <w:rsid w:val="00101841"/>
    <w:rsid w:val="00101C6E"/>
    <w:rsid w:val="00102950"/>
    <w:rsid w:val="00103015"/>
    <w:rsid w:val="001032E3"/>
    <w:rsid w:val="001035D3"/>
    <w:rsid w:val="00103B1D"/>
    <w:rsid w:val="00103DC7"/>
    <w:rsid w:val="0010562F"/>
    <w:rsid w:val="001059AE"/>
    <w:rsid w:val="00105F89"/>
    <w:rsid w:val="00106BD4"/>
    <w:rsid w:val="0010717F"/>
    <w:rsid w:val="001110B4"/>
    <w:rsid w:val="00111212"/>
    <w:rsid w:val="00114A68"/>
    <w:rsid w:val="001155B4"/>
    <w:rsid w:val="0011595F"/>
    <w:rsid w:val="00115A36"/>
    <w:rsid w:val="00116484"/>
    <w:rsid w:val="0011652D"/>
    <w:rsid w:val="00116AB8"/>
    <w:rsid w:val="00116EE9"/>
    <w:rsid w:val="00117197"/>
    <w:rsid w:val="0011740D"/>
    <w:rsid w:val="0011787E"/>
    <w:rsid w:val="00120F99"/>
    <w:rsid w:val="00121B4A"/>
    <w:rsid w:val="001221A8"/>
    <w:rsid w:val="001223B8"/>
    <w:rsid w:val="001234FC"/>
    <w:rsid w:val="00124D8D"/>
    <w:rsid w:val="001251C5"/>
    <w:rsid w:val="00125453"/>
    <w:rsid w:val="00126790"/>
    <w:rsid w:val="00127B67"/>
    <w:rsid w:val="001305B8"/>
    <w:rsid w:val="00130847"/>
    <w:rsid w:val="00131398"/>
    <w:rsid w:val="001319B6"/>
    <w:rsid w:val="00132540"/>
    <w:rsid w:val="00133807"/>
    <w:rsid w:val="0013569B"/>
    <w:rsid w:val="0013585A"/>
    <w:rsid w:val="00135B17"/>
    <w:rsid w:val="00136449"/>
    <w:rsid w:val="00136A88"/>
    <w:rsid w:val="00137A44"/>
    <w:rsid w:val="00140405"/>
    <w:rsid w:val="00141637"/>
    <w:rsid w:val="001420E9"/>
    <w:rsid w:val="00142543"/>
    <w:rsid w:val="001426C3"/>
    <w:rsid w:val="001429EC"/>
    <w:rsid w:val="00143243"/>
    <w:rsid w:val="0014329D"/>
    <w:rsid w:val="0014366A"/>
    <w:rsid w:val="00143C34"/>
    <w:rsid w:val="00143D36"/>
    <w:rsid w:val="001442B4"/>
    <w:rsid w:val="00144B87"/>
    <w:rsid w:val="0014529D"/>
    <w:rsid w:val="001452E0"/>
    <w:rsid w:val="00145DD9"/>
    <w:rsid w:val="00147871"/>
    <w:rsid w:val="00150287"/>
    <w:rsid w:val="0015102F"/>
    <w:rsid w:val="00152A81"/>
    <w:rsid w:val="00152EE9"/>
    <w:rsid w:val="00154BF2"/>
    <w:rsid w:val="00155188"/>
    <w:rsid w:val="0015559D"/>
    <w:rsid w:val="00155F01"/>
    <w:rsid w:val="0015672F"/>
    <w:rsid w:val="00156EB2"/>
    <w:rsid w:val="00156F68"/>
    <w:rsid w:val="00157DAD"/>
    <w:rsid w:val="001602AA"/>
    <w:rsid w:val="0016090C"/>
    <w:rsid w:val="0016157D"/>
    <w:rsid w:val="001615E6"/>
    <w:rsid w:val="001618F4"/>
    <w:rsid w:val="00161B22"/>
    <w:rsid w:val="00161C0B"/>
    <w:rsid w:val="0016218D"/>
    <w:rsid w:val="0016263A"/>
    <w:rsid w:val="00162C74"/>
    <w:rsid w:val="00162EAF"/>
    <w:rsid w:val="00162F6B"/>
    <w:rsid w:val="001642CB"/>
    <w:rsid w:val="001656CE"/>
    <w:rsid w:val="00166725"/>
    <w:rsid w:val="00166C98"/>
    <w:rsid w:val="0016729E"/>
    <w:rsid w:val="00167CA3"/>
    <w:rsid w:val="001702DA"/>
    <w:rsid w:val="00170815"/>
    <w:rsid w:val="0017108E"/>
    <w:rsid w:val="0017232F"/>
    <w:rsid w:val="001725BA"/>
    <w:rsid w:val="00173872"/>
    <w:rsid w:val="00173A66"/>
    <w:rsid w:val="00173C4B"/>
    <w:rsid w:val="00173E58"/>
    <w:rsid w:val="00174AC2"/>
    <w:rsid w:val="00174B9B"/>
    <w:rsid w:val="00174C86"/>
    <w:rsid w:val="00174E7A"/>
    <w:rsid w:val="00174FDC"/>
    <w:rsid w:val="001760F8"/>
    <w:rsid w:val="00176F5F"/>
    <w:rsid w:val="00180AA0"/>
    <w:rsid w:val="00181AEC"/>
    <w:rsid w:val="00181F30"/>
    <w:rsid w:val="001824B4"/>
    <w:rsid w:val="00182E86"/>
    <w:rsid w:val="0018388F"/>
    <w:rsid w:val="00185D03"/>
    <w:rsid w:val="00186B9B"/>
    <w:rsid w:val="001902D3"/>
    <w:rsid w:val="00190638"/>
    <w:rsid w:val="001907A4"/>
    <w:rsid w:val="001907C8"/>
    <w:rsid w:val="00190B13"/>
    <w:rsid w:val="00191402"/>
    <w:rsid w:val="00191F8B"/>
    <w:rsid w:val="00192ADC"/>
    <w:rsid w:val="0019304E"/>
    <w:rsid w:val="00193928"/>
    <w:rsid w:val="00194A6C"/>
    <w:rsid w:val="00197335"/>
    <w:rsid w:val="001979FF"/>
    <w:rsid w:val="00197FAD"/>
    <w:rsid w:val="001A0EA7"/>
    <w:rsid w:val="001A35A1"/>
    <w:rsid w:val="001A36CA"/>
    <w:rsid w:val="001A3A06"/>
    <w:rsid w:val="001A3D0D"/>
    <w:rsid w:val="001A40CD"/>
    <w:rsid w:val="001A46C5"/>
    <w:rsid w:val="001A4B74"/>
    <w:rsid w:val="001A5AD7"/>
    <w:rsid w:val="001A5B24"/>
    <w:rsid w:val="001A6471"/>
    <w:rsid w:val="001A6A3F"/>
    <w:rsid w:val="001A74F3"/>
    <w:rsid w:val="001A7836"/>
    <w:rsid w:val="001A7FCF"/>
    <w:rsid w:val="001B118D"/>
    <w:rsid w:val="001B18B1"/>
    <w:rsid w:val="001B1BCE"/>
    <w:rsid w:val="001B1E7E"/>
    <w:rsid w:val="001B1F56"/>
    <w:rsid w:val="001B26EA"/>
    <w:rsid w:val="001B3E5C"/>
    <w:rsid w:val="001B3EFE"/>
    <w:rsid w:val="001B4A95"/>
    <w:rsid w:val="001B4F74"/>
    <w:rsid w:val="001B537C"/>
    <w:rsid w:val="001B58C6"/>
    <w:rsid w:val="001B5B47"/>
    <w:rsid w:val="001B5F33"/>
    <w:rsid w:val="001B5F8B"/>
    <w:rsid w:val="001B6D09"/>
    <w:rsid w:val="001B6DB6"/>
    <w:rsid w:val="001B771C"/>
    <w:rsid w:val="001C16AE"/>
    <w:rsid w:val="001C4037"/>
    <w:rsid w:val="001C43DA"/>
    <w:rsid w:val="001C4514"/>
    <w:rsid w:val="001C58AA"/>
    <w:rsid w:val="001C5CCC"/>
    <w:rsid w:val="001C60A1"/>
    <w:rsid w:val="001C6A92"/>
    <w:rsid w:val="001C7CA1"/>
    <w:rsid w:val="001C7E68"/>
    <w:rsid w:val="001C7EB1"/>
    <w:rsid w:val="001D1FE2"/>
    <w:rsid w:val="001D2241"/>
    <w:rsid w:val="001D2700"/>
    <w:rsid w:val="001D28B6"/>
    <w:rsid w:val="001D393E"/>
    <w:rsid w:val="001D475A"/>
    <w:rsid w:val="001D4A9D"/>
    <w:rsid w:val="001D5A98"/>
    <w:rsid w:val="001E11AF"/>
    <w:rsid w:val="001E1679"/>
    <w:rsid w:val="001E1992"/>
    <w:rsid w:val="001E1BB9"/>
    <w:rsid w:val="001E1DE2"/>
    <w:rsid w:val="001E2887"/>
    <w:rsid w:val="001E2C03"/>
    <w:rsid w:val="001E2D30"/>
    <w:rsid w:val="001E4077"/>
    <w:rsid w:val="001E4F35"/>
    <w:rsid w:val="001E51B3"/>
    <w:rsid w:val="001E59C1"/>
    <w:rsid w:val="001E633A"/>
    <w:rsid w:val="001E6F94"/>
    <w:rsid w:val="001E7CE2"/>
    <w:rsid w:val="001E7F1A"/>
    <w:rsid w:val="001F0B18"/>
    <w:rsid w:val="001F0CCC"/>
    <w:rsid w:val="001F0EC9"/>
    <w:rsid w:val="001F1A82"/>
    <w:rsid w:val="001F205A"/>
    <w:rsid w:val="001F2BFD"/>
    <w:rsid w:val="001F33A4"/>
    <w:rsid w:val="001F3408"/>
    <w:rsid w:val="001F349E"/>
    <w:rsid w:val="001F36FE"/>
    <w:rsid w:val="001F3C66"/>
    <w:rsid w:val="001F3CE1"/>
    <w:rsid w:val="001F462C"/>
    <w:rsid w:val="001F5279"/>
    <w:rsid w:val="001F5493"/>
    <w:rsid w:val="001F55B6"/>
    <w:rsid w:val="001F6667"/>
    <w:rsid w:val="001F6D63"/>
    <w:rsid w:val="001F6EB7"/>
    <w:rsid w:val="002006F8"/>
    <w:rsid w:val="00200CC6"/>
    <w:rsid w:val="00200D38"/>
    <w:rsid w:val="002019B5"/>
    <w:rsid w:val="002019DF"/>
    <w:rsid w:val="0020230A"/>
    <w:rsid w:val="00202ABD"/>
    <w:rsid w:val="00204151"/>
    <w:rsid w:val="00204A50"/>
    <w:rsid w:val="00205144"/>
    <w:rsid w:val="0020528F"/>
    <w:rsid w:val="00205388"/>
    <w:rsid w:val="00205E3A"/>
    <w:rsid w:val="00206852"/>
    <w:rsid w:val="002070C5"/>
    <w:rsid w:val="002071E6"/>
    <w:rsid w:val="002101C9"/>
    <w:rsid w:val="0021285A"/>
    <w:rsid w:val="00212EEE"/>
    <w:rsid w:val="00214863"/>
    <w:rsid w:val="00214EFB"/>
    <w:rsid w:val="00214F0C"/>
    <w:rsid w:val="00215341"/>
    <w:rsid w:val="0021539B"/>
    <w:rsid w:val="002153C3"/>
    <w:rsid w:val="00215EC0"/>
    <w:rsid w:val="00216129"/>
    <w:rsid w:val="00216242"/>
    <w:rsid w:val="00216700"/>
    <w:rsid w:val="00216D27"/>
    <w:rsid w:val="002178E5"/>
    <w:rsid w:val="0021798A"/>
    <w:rsid w:val="002203E6"/>
    <w:rsid w:val="00220603"/>
    <w:rsid w:val="0022073F"/>
    <w:rsid w:val="00220B12"/>
    <w:rsid w:val="00220D44"/>
    <w:rsid w:val="00221214"/>
    <w:rsid w:val="00221614"/>
    <w:rsid w:val="00221DA5"/>
    <w:rsid w:val="00222322"/>
    <w:rsid w:val="00222A05"/>
    <w:rsid w:val="00223D1A"/>
    <w:rsid w:val="0022556F"/>
    <w:rsid w:val="0022571D"/>
    <w:rsid w:val="002258C9"/>
    <w:rsid w:val="00225AAD"/>
    <w:rsid w:val="0022628C"/>
    <w:rsid w:val="00226649"/>
    <w:rsid w:val="002268C0"/>
    <w:rsid w:val="002268F5"/>
    <w:rsid w:val="00226C91"/>
    <w:rsid w:val="00226C9F"/>
    <w:rsid w:val="002278E5"/>
    <w:rsid w:val="00227A6F"/>
    <w:rsid w:val="00227C1D"/>
    <w:rsid w:val="00230129"/>
    <w:rsid w:val="0023052D"/>
    <w:rsid w:val="00230868"/>
    <w:rsid w:val="00230C62"/>
    <w:rsid w:val="00230EED"/>
    <w:rsid w:val="00231255"/>
    <w:rsid w:val="002317B0"/>
    <w:rsid w:val="00231EDD"/>
    <w:rsid w:val="002321E3"/>
    <w:rsid w:val="002326B4"/>
    <w:rsid w:val="00232C30"/>
    <w:rsid w:val="00234716"/>
    <w:rsid w:val="00234D54"/>
    <w:rsid w:val="00234F87"/>
    <w:rsid w:val="00235894"/>
    <w:rsid w:val="002369CC"/>
    <w:rsid w:val="00236E8C"/>
    <w:rsid w:val="0023767C"/>
    <w:rsid w:val="00237CF1"/>
    <w:rsid w:val="00240142"/>
    <w:rsid w:val="002409E0"/>
    <w:rsid w:val="00241260"/>
    <w:rsid w:val="00241DF1"/>
    <w:rsid w:val="002420DB"/>
    <w:rsid w:val="002421EC"/>
    <w:rsid w:val="0024221D"/>
    <w:rsid w:val="002437F8"/>
    <w:rsid w:val="00243BE8"/>
    <w:rsid w:val="00243F26"/>
    <w:rsid w:val="002442E6"/>
    <w:rsid w:val="002445FE"/>
    <w:rsid w:val="00247333"/>
    <w:rsid w:val="002473C0"/>
    <w:rsid w:val="00247AD2"/>
    <w:rsid w:val="002504B8"/>
    <w:rsid w:val="00250A97"/>
    <w:rsid w:val="002511DB"/>
    <w:rsid w:val="00252A29"/>
    <w:rsid w:val="002533E5"/>
    <w:rsid w:val="00254EE2"/>
    <w:rsid w:val="00254F24"/>
    <w:rsid w:val="00255E9C"/>
    <w:rsid w:val="00256513"/>
    <w:rsid w:val="002567DC"/>
    <w:rsid w:val="0025689D"/>
    <w:rsid w:val="00256A47"/>
    <w:rsid w:val="00256D3A"/>
    <w:rsid w:val="00257308"/>
    <w:rsid w:val="00257FE6"/>
    <w:rsid w:val="00260CDF"/>
    <w:rsid w:val="00261F64"/>
    <w:rsid w:val="00262516"/>
    <w:rsid w:val="00262E9B"/>
    <w:rsid w:val="0026352B"/>
    <w:rsid w:val="002636CF"/>
    <w:rsid w:val="002640D0"/>
    <w:rsid w:val="00264B85"/>
    <w:rsid w:val="00265133"/>
    <w:rsid w:val="002655A6"/>
    <w:rsid w:val="00265CC6"/>
    <w:rsid w:val="00265F5A"/>
    <w:rsid w:val="002662D4"/>
    <w:rsid w:val="0026667F"/>
    <w:rsid w:val="00266C3A"/>
    <w:rsid w:val="00267B87"/>
    <w:rsid w:val="00270D85"/>
    <w:rsid w:val="00270FED"/>
    <w:rsid w:val="00273067"/>
    <w:rsid w:val="0027410F"/>
    <w:rsid w:val="00274196"/>
    <w:rsid w:val="002744B1"/>
    <w:rsid w:val="00274D61"/>
    <w:rsid w:val="0027521A"/>
    <w:rsid w:val="00275DFA"/>
    <w:rsid w:val="002764B2"/>
    <w:rsid w:val="0027726A"/>
    <w:rsid w:val="002775CF"/>
    <w:rsid w:val="002801E7"/>
    <w:rsid w:val="0028071C"/>
    <w:rsid w:val="00280798"/>
    <w:rsid w:val="00281175"/>
    <w:rsid w:val="00281BF8"/>
    <w:rsid w:val="002823C8"/>
    <w:rsid w:val="00282B01"/>
    <w:rsid w:val="00282BE7"/>
    <w:rsid w:val="00282C42"/>
    <w:rsid w:val="002841CC"/>
    <w:rsid w:val="00284233"/>
    <w:rsid w:val="0028432F"/>
    <w:rsid w:val="0028536B"/>
    <w:rsid w:val="002855FD"/>
    <w:rsid w:val="00286305"/>
    <w:rsid w:val="00286A05"/>
    <w:rsid w:val="0028714F"/>
    <w:rsid w:val="002873CB"/>
    <w:rsid w:val="002874D6"/>
    <w:rsid w:val="00287638"/>
    <w:rsid w:val="0028765C"/>
    <w:rsid w:val="002901DE"/>
    <w:rsid w:val="00291403"/>
    <w:rsid w:val="00292A97"/>
    <w:rsid w:val="00292E8C"/>
    <w:rsid w:val="00294D64"/>
    <w:rsid w:val="00295562"/>
    <w:rsid w:val="002958B5"/>
    <w:rsid w:val="00295B45"/>
    <w:rsid w:val="00296114"/>
    <w:rsid w:val="00296B44"/>
    <w:rsid w:val="00297DD4"/>
    <w:rsid w:val="002A1140"/>
    <w:rsid w:val="002A1171"/>
    <w:rsid w:val="002A182F"/>
    <w:rsid w:val="002A1C2E"/>
    <w:rsid w:val="002A1E53"/>
    <w:rsid w:val="002A3304"/>
    <w:rsid w:val="002A34E3"/>
    <w:rsid w:val="002A4A3F"/>
    <w:rsid w:val="002A4D28"/>
    <w:rsid w:val="002A5357"/>
    <w:rsid w:val="002A574F"/>
    <w:rsid w:val="002A6352"/>
    <w:rsid w:val="002A695B"/>
    <w:rsid w:val="002A72CB"/>
    <w:rsid w:val="002A73A4"/>
    <w:rsid w:val="002B063B"/>
    <w:rsid w:val="002B1058"/>
    <w:rsid w:val="002B1CAD"/>
    <w:rsid w:val="002B2299"/>
    <w:rsid w:val="002B28E1"/>
    <w:rsid w:val="002B336C"/>
    <w:rsid w:val="002B3CE0"/>
    <w:rsid w:val="002B47E8"/>
    <w:rsid w:val="002B5A61"/>
    <w:rsid w:val="002B5FC1"/>
    <w:rsid w:val="002B6775"/>
    <w:rsid w:val="002B67C7"/>
    <w:rsid w:val="002B7549"/>
    <w:rsid w:val="002B7E3E"/>
    <w:rsid w:val="002C021A"/>
    <w:rsid w:val="002C03EE"/>
    <w:rsid w:val="002C0A49"/>
    <w:rsid w:val="002C0BC9"/>
    <w:rsid w:val="002C1415"/>
    <w:rsid w:val="002C1F8B"/>
    <w:rsid w:val="002C28D7"/>
    <w:rsid w:val="002C2A19"/>
    <w:rsid w:val="002C2D66"/>
    <w:rsid w:val="002C3610"/>
    <w:rsid w:val="002C363C"/>
    <w:rsid w:val="002C41E3"/>
    <w:rsid w:val="002C4724"/>
    <w:rsid w:val="002C5206"/>
    <w:rsid w:val="002C6378"/>
    <w:rsid w:val="002C6FD9"/>
    <w:rsid w:val="002C75C6"/>
    <w:rsid w:val="002C7CAF"/>
    <w:rsid w:val="002D01A9"/>
    <w:rsid w:val="002D0F4F"/>
    <w:rsid w:val="002D104D"/>
    <w:rsid w:val="002D15A4"/>
    <w:rsid w:val="002D1968"/>
    <w:rsid w:val="002D1D85"/>
    <w:rsid w:val="002D29A8"/>
    <w:rsid w:val="002D2FC4"/>
    <w:rsid w:val="002D4C84"/>
    <w:rsid w:val="002D57FF"/>
    <w:rsid w:val="002D67C3"/>
    <w:rsid w:val="002D6AE1"/>
    <w:rsid w:val="002E0436"/>
    <w:rsid w:val="002E0AA1"/>
    <w:rsid w:val="002E0BC5"/>
    <w:rsid w:val="002E1077"/>
    <w:rsid w:val="002E15EA"/>
    <w:rsid w:val="002E1B54"/>
    <w:rsid w:val="002E21A4"/>
    <w:rsid w:val="002E2935"/>
    <w:rsid w:val="002E31A3"/>
    <w:rsid w:val="002E3C9A"/>
    <w:rsid w:val="002E4DEA"/>
    <w:rsid w:val="002E5371"/>
    <w:rsid w:val="002E5551"/>
    <w:rsid w:val="002E73AA"/>
    <w:rsid w:val="002E75A6"/>
    <w:rsid w:val="002F04B0"/>
    <w:rsid w:val="002F1320"/>
    <w:rsid w:val="002F19FB"/>
    <w:rsid w:val="002F1C10"/>
    <w:rsid w:val="002F1DCF"/>
    <w:rsid w:val="002F20D9"/>
    <w:rsid w:val="002F287A"/>
    <w:rsid w:val="002F3D1F"/>
    <w:rsid w:val="002F402E"/>
    <w:rsid w:val="002F4851"/>
    <w:rsid w:val="002F646D"/>
    <w:rsid w:val="002F6864"/>
    <w:rsid w:val="002F74FB"/>
    <w:rsid w:val="002F75F9"/>
    <w:rsid w:val="002F7D2F"/>
    <w:rsid w:val="00300053"/>
    <w:rsid w:val="00300331"/>
    <w:rsid w:val="00300597"/>
    <w:rsid w:val="003008E1"/>
    <w:rsid w:val="00300CAB"/>
    <w:rsid w:val="00300FB9"/>
    <w:rsid w:val="00301F8E"/>
    <w:rsid w:val="00302529"/>
    <w:rsid w:val="00302686"/>
    <w:rsid w:val="00303442"/>
    <w:rsid w:val="00303704"/>
    <w:rsid w:val="003038A2"/>
    <w:rsid w:val="00304079"/>
    <w:rsid w:val="003050F9"/>
    <w:rsid w:val="00305283"/>
    <w:rsid w:val="003052D9"/>
    <w:rsid w:val="00305300"/>
    <w:rsid w:val="003058EC"/>
    <w:rsid w:val="00306739"/>
    <w:rsid w:val="00306C5C"/>
    <w:rsid w:val="0031078B"/>
    <w:rsid w:val="00310828"/>
    <w:rsid w:val="00311A1F"/>
    <w:rsid w:val="00311AF9"/>
    <w:rsid w:val="00312077"/>
    <w:rsid w:val="003122C2"/>
    <w:rsid w:val="00312935"/>
    <w:rsid w:val="00312A70"/>
    <w:rsid w:val="00312C0B"/>
    <w:rsid w:val="00312CB3"/>
    <w:rsid w:val="00313B70"/>
    <w:rsid w:val="00313C06"/>
    <w:rsid w:val="00313C10"/>
    <w:rsid w:val="003140A1"/>
    <w:rsid w:val="003172A4"/>
    <w:rsid w:val="003174D5"/>
    <w:rsid w:val="003213A5"/>
    <w:rsid w:val="0032146C"/>
    <w:rsid w:val="003215B9"/>
    <w:rsid w:val="00321C1F"/>
    <w:rsid w:val="00323614"/>
    <w:rsid w:val="003236C8"/>
    <w:rsid w:val="00323B8E"/>
    <w:rsid w:val="00324C73"/>
    <w:rsid w:val="003253C2"/>
    <w:rsid w:val="0032712D"/>
    <w:rsid w:val="0033005C"/>
    <w:rsid w:val="003307A8"/>
    <w:rsid w:val="00330822"/>
    <w:rsid w:val="00331850"/>
    <w:rsid w:val="00331B02"/>
    <w:rsid w:val="00331C56"/>
    <w:rsid w:val="00331DE4"/>
    <w:rsid w:val="00331FC3"/>
    <w:rsid w:val="00332411"/>
    <w:rsid w:val="00332676"/>
    <w:rsid w:val="00332F1A"/>
    <w:rsid w:val="00333860"/>
    <w:rsid w:val="0033411F"/>
    <w:rsid w:val="0033485E"/>
    <w:rsid w:val="00334D71"/>
    <w:rsid w:val="00334EF9"/>
    <w:rsid w:val="0033604F"/>
    <w:rsid w:val="0033639C"/>
    <w:rsid w:val="00336CC4"/>
    <w:rsid w:val="00337816"/>
    <w:rsid w:val="00337FEF"/>
    <w:rsid w:val="00341EFC"/>
    <w:rsid w:val="00342BA6"/>
    <w:rsid w:val="0034309E"/>
    <w:rsid w:val="0034425E"/>
    <w:rsid w:val="0034647A"/>
    <w:rsid w:val="0034662A"/>
    <w:rsid w:val="00346873"/>
    <w:rsid w:val="00347B38"/>
    <w:rsid w:val="003506D8"/>
    <w:rsid w:val="00350DB6"/>
    <w:rsid w:val="00350E2C"/>
    <w:rsid w:val="0035157A"/>
    <w:rsid w:val="0035222B"/>
    <w:rsid w:val="00352937"/>
    <w:rsid w:val="003530AE"/>
    <w:rsid w:val="00353273"/>
    <w:rsid w:val="0035359B"/>
    <w:rsid w:val="00353B6C"/>
    <w:rsid w:val="00354344"/>
    <w:rsid w:val="00354ECD"/>
    <w:rsid w:val="00354F56"/>
    <w:rsid w:val="0035528A"/>
    <w:rsid w:val="0035549F"/>
    <w:rsid w:val="00355A82"/>
    <w:rsid w:val="00355C46"/>
    <w:rsid w:val="00355CEF"/>
    <w:rsid w:val="00356176"/>
    <w:rsid w:val="00356BC5"/>
    <w:rsid w:val="00356F70"/>
    <w:rsid w:val="00357714"/>
    <w:rsid w:val="00357E8E"/>
    <w:rsid w:val="00360195"/>
    <w:rsid w:val="00360EAA"/>
    <w:rsid w:val="003610AE"/>
    <w:rsid w:val="00361E3A"/>
    <w:rsid w:val="0036260C"/>
    <w:rsid w:val="00362834"/>
    <w:rsid w:val="00362ABB"/>
    <w:rsid w:val="00362F50"/>
    <w:rsid w:val="00363842"/>
    <w:rsid w:val="00363F84"/>
    <w:rsid w:val="00364B8D"/>
    <w:rsid w:val="00364BCE"/>
    <w:rsid w:val="00364C02"/>
    <w:rsid w:val="00364DE8"/>
    <w:rsid w:val="00364E0F"/>
    <w:rsid w:val="0036564C"/>
    <w:rsid w:val="00365667"/>
    <w:rsid w:val="00365C31"/>
    <w:rsid w:val="00366F6C"/>
    <w:rsid w:val="00367817"/>
    <w:rsid w:val="0036789D"/>
    <w:rsid w:val="00370C1E"/>
    <w:rsid w:val="00371061"/>
    <w:rsid w:val="00371539"/>
    <w:rsid w:val="00371EED"/>
    <w:rsid w:val="003725BE"/>
    <w:rsid w:val="00372DA1"/>
    <w:rsid w:val="003732AD"/>
    <w:rsid w:val="0037384A"/>
    <w:rsid w:val="00373962"/>
    <w:rsid w:val="00373B78"/>
    <w:rsid w:val="003749A7"/>
    <w:rsid w:val="003751C9"/>
    <w:rsid w:val="003757B0"/>
    <w:rsid w:val="00375CCD"/>
    <w:rsid w:val="0037662A"/>
    <w:rsid w:val="00376C62"/>
    <w:rsid w:val="00377DC9"/>
    <w:rsid w:val="0038058C"/>
    <w:rsid w:val="00380BF0"/>
    <w:rsid w:val="0038135B"/>
    <w:rsid w:val="00383082"/>
    <w:rsid w:val="00383D3D"/>
    <w:rsid w:val="0038485C"/>
    <w:rsid w:val="00385053"/>
    <w:rsid w:val="003850B5"/>
    <w:rsid w:val="003857E7"/>
    <w:rsid w:val="00385A76"/>
    <w:rsid w:val="00385B42"/>
    <w:rsid w:val="003864FD"/>
    <w:rsid w:val="00387C91"/>
    <w:rsid w:val="00390582"/>
    <w:rsid w:val="00390909"/>
    <w:rsid w:val="003911B4"/>
    <w:rsid w:val="003913C3"/>
    <w:rsid w:val="00391518"/>
    <w:rsid w:val="00391BDC"/>
    <w:rsid w:val="003935F2"/>
    <w:rsid w:val="00394020"/>
    <w:rsid w:val="00394DB4"/>
    <w:rsid w:val="00395355"/>
    <w:rsid w:val="00395F53"/>
    <w:rsid w:val="003966ED"/>
    <w:rsid w:val="00396F71"/>
    <w:rsid w:val="00396FCF"/>
    <w:rsid w:val="003970F9"/>
    <w:rsid w:val="00397261"/>
    <w:rsid w:val="003A04D3"/>
    <w:rsid w:val="003A1769"/>
    <w:rsid w:val="003A1F33"/>
    <w:rsid w:val="003A2964"/>
    <w:rsid w:val="003A40F7"/>
    <w:rsid w:val="003A4DA0"/>
    <w:rsid w:val="003A5032"/>
    <w:rsid w:val="003A59B9"/>
    <w:rsid w:val="003A5CDC"/>
    <w:rsid w:val="003A6574"/>
    <w:rsid w:val="003A6F95"/>
    <w:rsid w:val="003A7786"/>
    <w:rsid w:val="003A7935"/>
    <w:rsid w:val="003B0075"/>
    <w:rsid w:val="003B0C91"/>
    <w:rsid w:val="003B1325"/>
    <w:rsid w:val="003B1DCE"/>
    <w:rsid w:val="003B3058"/>
    <w:rsid w:val="003B31DC"/>
    <w:rsid w:val="003B3B98"/>
    <w:rsid w:val="003B427A"/>
    <w:rsid w:val="003B479E"/>
    <w:rsid w:val="003B4993"/>
    <w:rsid w:val="003B4BB6"/>
    <w:rsid w:val="003B5024"/>
    <w:rsid w:val="003B50D6"/>
    <w:rsid w:val="003B52EC"/>
    <w:rsid w:val="003B5C69"/>
    <w:rsid w:val="003B6DD2"/>
    <w:rsid w:val="003B72E3"/>
    <w:rsid w:val="003B7F99"/>
    <w:rsid w:val="003C010E"/>
    <w:rsid w:val="003C0856"/>
    <w:rsid w:val="003C0D0C"/>
    <w:rsid w:val="003C0E51"/>
    <w:rsid w:val="003C16D4"/>
    <w:rsid w:val="003C1F99"/>
    <w:rsid w:val="003C2F97"/>
    <w:rsid w:val="003C33F2"/>
    <w:rsid w:val="003C3536"/>
    <w:rsid w:val="003C41B0"/>
    <w:rsid w:val="003C4537"/>
    <w:rsid w:val="003C537A"/>
    <w:rsid w:val="003C6EA5"/>
    <w:rsid w:val="003D13DE"/>
    <w:rsid w:val="003D23D1"/>
    <w:rsid w:val="003D2F86"/>
    <w:rsid w:val="003D36F7"/>
    <w:rsid w:val="003D53B3"/>
    <w:rsid w:val="003D5A83"/>
    <w:rsid w:val="003D66B1"/>
    <w:rsid w:val="003D701D"/>
    <w:rsid w:val="003D71E8"/>
    <w:rsid w:val="003D7298"/>
    <w:rsid w:val="003D75E9"/>
    <w:rsid w:val="003E0328"/>
    <w:rsid w:val="003E06B1"/>
    <w:rsid w:val="003E1078"/>
    <w:rsid w:val="003E15D5"/>
    <w:rsid w:val="003E1D90"/>
    <w:rsid w:val="003E2062"/>
    <w:rsid w:val="003E20B7"/>
    <w:rsid w:val="003E2ECA"/>
    <w:rsid w:val="003E337D"/>
    <w:rsid w:val="003E3EE6"/>
    <w:rsid w:val="003E47CE"/>
    <w:rsid w:val="003E6D10"/>
    <w:rsid w:val="003E6F7C"/>
    <w:rsid w:val="003E7456"/>
    <w:rsid w:val="003E74FD"/>
    <w:rsid w:val="003E7648"/>
    <w:rsid w:val="003E7CEA"/>
    <w:rsid w:val="003F0E02"/>
    <w:rsid w:val="003F0E36"/>
    <w:rsid w:val="003F15C5"/>
    <w:rsid w:val="003F214D"/>
    <w:rsid w:val="003F35A5"/>
    <w:rsid w:val="003F365D"/>
    <w:rsid w:val="003F3853"/>
    <w:rsid w:val="003F3AFB"/>
    <w:rsid w:val="003F3D5F"/>
    <w:rsid w:val="003F40FB"/>
    <w:rsid w:val="003F4524"/>
    <w:rsid w:val="003F4E1F"/>
    <w:rsid w:val="003F602A"/>
    <w:rsid w:val="003F6658"/>
    <w:rsid w:val="003F6C2C"/>
    <w:rsid w:val="003F7DC8"/>
    <w:rsid w:val="003F7E36"/>
    <w:rsid w:val="003F7F00"/>
    <w:rsid w:val="00400351"/>
    <w:rsid w:val="004005AD"/>
    <w:rsid w:val="0040073B"/>
    <w:rsid w:val="004007BB"/>
    <w:rsid w:val="00400E43"/>
    <w:rsid w:val="00401602"/>
    <w:rsid w:val="0040166D"/>
    <w:rsid w:val="004019B9"/>
    <w:rsid w:val="00401BCF"/>
    <w:rsid w:val="00403239"/>
    <w:rsid w:val="00403429"/>
    <w:rsid w:val="004038A0"/>
    <w:rsid w:val="004039D7"/>
    <w:rsid w:val="00403ACC"/>
    <w:rsid w:val="00404D45"/>
    <w:rsid w:val="00404D9A"/>
    <w:rsid w:val="0040535F"/>
    <w:rsid w:val="00405D4C"/>
    <w:rsid w:val="00406988"/>
    <w:rsid w:val="00407699"/>
    <w:rsid w:val="004076B6"/>
    <w:rsid w:val="00411503"/>
    <w:rsid w:val="00412145"/>
    <w:rsid w:val="00412D48"/>
    <w:rsid w:val="0041468D"/>
    <w:rsid w:val="00414BFC"/>
    <w:rsid w:val="00414EAC"/>
    <w:rsid w:val="00416817"/>
    <w:rsid w:val="004173DD"/>
    <w:rsid w:val="0042123E"/>
    <w:rsid w:val="00422529"/>
    <w:rsid w:val="004228ED"/>
    <w:rsid w:val="00422A10"/>
    <w:rsid w:val="00422CB8"/>
    <w:rsid w:val="004243E1"/>
    <w:rsid w:val="00424818"/>
    <w:rsid w:val="00425705"/>
    <w:rsid w:val="0042597B"/>
    <w:rsid w:val="00425E8F"/>
    <w:rsid w:val="00425F38"/>
    <w:rsid w:val="00426904"/>
    <w:rsid w:val="00427D39"/>
    <w:rsid w:val="00427E38"/>
    <w:rsid w:val="00430BD5"/>
    <w:rsid w:val="00430CA0"/>
    <w:rsid w:val="00432489"/>
    <w:rsid w:val="0043255C"/>
    <w:rsid w:val="004341E7"/>
    <w:rsid w:val="004342B9"/>
    <w:rsid w:val="004348F9"/>
    <w:rsid w:val="00434B79"/>
    <w:rsid w:val="00435153"/>
    <w:rsid w:val="004357C0"/>
    <w:rsid w:val="00435979"/>
    <w:rsid w:val="00435B17"/>
    <w:rsid w:val="004363CD"/>
    <w:rsid w:val="004364D0"/>
    <w:rsid w:val="00436BC0"/>
    <w:rsid w:val="00436CB5"/>
    <w:rsid w:val="0043714E"/>
    <w:rsid w:val="00437D66"/>
    <w:rsid w:val="00441001"/>
    <w:rsid w:val="0044136A"/>
    <w:rsid w:val="0044200E"/>
    <w:rsid w:val="00442402"/>
    <w:rsid w:val="0044348F"/>
    <w:rsid w:val="004444F8"/>
    <w:rsid w:val="004445BC"/>
    <w:rsid w:val="00445195"/>
    <w:rsid w:val="00445735"/>
    <w:rsid w:val="004461C8"/>
    <w:rsid w:val="00446726"/>
    <w:rsid w:val="00446D7D"/>
    <w:rsid w:val="0044772E"/>
    <w:rsid w:val="004501E8"/>
    <w:rsid w:val="00450278"/>
    <w:rsid w:val="0045055E"/>
    <w:rsid w:val="004513E9"/>
    <w:rsid w:val="00451830"/>
    <w:rsid w:val="00451A6C"/>
    <w:rsid w:val="0045214D"/>
    <w:rsid w:val="00452509"/>
    <w:rsid w:val="004528CE"/>
    <w:rsid w:val="00452C13"/>
    <w:rsid w:val="00453088"/>
    <w:rsid w:val="00453D06"/>
    <w:rsid w:val="00454CAE"/>
    <w:rsid w:val="00455901"/>
    <w:rsid w:val="004559A4"/>
    <w:rsid w:val="00455DA5"/>
    <w:rsid w:val="00455DDF"/>
    <w:rsid w:val="00455F3A"/>
    <w:rsid w:val="00455FA6"/>
    <w:rsid w:val="00456013"/>
    <w:rsid w:val="0045681E"/>
    <w:rsid w:val="00456993"/>
    <w:rsid w:val="00457C51"/>
    <w:rsid w:val="00457C9D"/>
    <w:rsid w:val="00457E53"/>
    <w:rsid w:val="00460014"/>
    <w:rsid w:val="00460159"/>
    <w:rsid w:val="00460754"/>
    <w:rsid w:val="0046077C"/>
    <w:rsid w:val="00460FAF"/>
    <w:rsid w:val="00462101"/>
    <w:rsid w:val="004621EB"/>
    <w:rsid w:val="00462A7A"/>
    <w:rsid w:val="00462D28"/>
    <w:rsid w:val="0046417B"/>
    <w:rsid w:val="00464D96"/>
    <w:rsid w:val="00465276"/>
    <w:rsid w:val="00465D5D"/>
    <w:rsid w:val="0046611A"/>
    <w:rsid w:val="00466160"/>
    <w:rsid w:val="00466D17"/>
    <w:rsid w:val="0046738C"/>
    <w:rsid w:val="00471854"/>
    <w:rsid w:val="00471A53"/>
    <w:rsid w:val="00471E25"/>
    <w:rsid w:val="004730BD"/>
    <w:rsid w:val="004737C5"/>
    <w:rsid w:val="00473A8F"/>
    <w:rsid w:val="00473CE9"/>
    <w:rsid w:val="0047422A"/>
    <w:rsid w:val="004754E8"/>
    <w:rsid w:val="00475C80"/>
    <w:rsid w:val="004775E4"/>
    <w:rsid w:val="00481FDE"/>
    <w:rsid w:val="00482C90"/>
    <w:rsid w:val="00482D45"/>
    <w:rsid w:val="0048300E"/>
    <w:rsid w:val="004837FC"/>
    <w:rsid w:val="00483A99"/>
    <w:rsid w:val="00483B4D"/>
    <w:rsid w:val="004842A3"/>
    <w:rsid w:val="00485C47"/>
    <w:rsid w:val="00486867"/>
    <w:rsid w:val="00490375"/>
    <w:rsid w:val="004903C3"/>
    <w:rsid w:val="00490E25"/>
    <w:rsid w:val="00491BEA"/>
    <w:rsid w:val="00491DD1"/>
    <w:rsid w:val="0049268C"/>
    <w:rsid w:val="00492915"/>
    <w:rsid w:val="0049371B"/>
    <w:rsid w:val="00494FA7"/>
    <w:rsid w:val="0049536F"/>
    <w:rsid w:val="004963DD"/>
    <w:rsid w:val="004963F1"/>
    <w:rsid w:val="00496ED6"/>
    <w:rsid w:val="00496F0A"/>
    <w:rsid w:val="00497211"/>
    <w:rsid w:val="00497C75"/>
    <w:rsid w:val="004A1009"/>
    <w:rsid w:val="004A11A5"/>
    <w:rsid w:val="004A11E8"/>
    <w:rsid w:val="004A1311"/>
    <w:rsid w:val="004A22E3"/>
    <w:rsid w:val="004A2AE6"/>
    <w:rsid w:val="004A2D27"/>
    <w:rsid w:val="004A3F89"/>
    <w:rsid w:val="004A56FE"/>
    <w:rsid w:val="004A5ABE"/>
    <w:rsid w:val="004A5B8D"/>
    <w:rsid w:val="004A6388"/>
    <w:rsid w:val="004B0A84"/>
    <w:rsid w:val="004B0AA9"/>
    <w:rsid w:val="004B0C3F"/>
    <w:rsid w:val="004B0CF4"/>
    <w:rsid w:val="004B11F4"/>
    <w:rsid w:val="004B222C"/>
    <w:rsid w:val="004B2806"/>
    <w:rsid w:val="004B29EE"/>
    <w:rsid w:val="004B2F76"/>
    <w:rsid w:val="004B35C5"/>
    <w:rsid w:val="004B36E9"/>
    <w:rsid w:val="004B40B8"/>
    <w:rsid w:val="004B43F8"/>
    <w:rsid w:val="004B472C"/>
    <w:rsid w:val="004B4DAB"/>
    <w:rsid w:val="004B6389"/>
    <w:rsid w:val="004B63F5"/>
    <w:rsid w:val="004B6519"/>
    <w:rsid w:val="004B6850"/>
    <w:rsid w:val="004B6B06"/>
    <w:rsid w:val="004B7624"/>
    <w:rsid w:val="004B77D0"/>
    <w:rsid w:val="004B7D5D"/>
    <w:rsid w:val="004C06D1"/>
    <w:rsid w:val="004C0F04"/>
    <w:rsid w:val="004C11E7"/>
    <w:rsid w:val="004C1766"/>
    <w:rsid w:val="004C1874"/>
    <w:rsid w:val="004C1E9F"/>
    <w:rsid w:val="004C2010"/>
    <w:rsid w:val="004C246F"/>
    <w:rsid w:val="004C3067"/>
    <w:rsid w:val="004C41F2"/>
    <w:rsid w:val="004C49E1"/>
    <w:rsid w:val="004C4D80"/>
    <w:rsid w:val="004C60CA"/>
    <w:rsid w:val="004C69B0"/>
    <w:rsid w:val="004C6BAF"/>
    <w:rsid w:val="004C7E24"/>
    <w:rsid w:val="004D136D"/>
    <w:rsid w:val="004D1D87"/>
    <w:rsid w:val="004D218A"/>
    <w:rsid w:val="004D301D"/>
    <w:rsid w:val="004D3AA2"/>
    <w:rsid w:val="004D5CE3"/>
    <w:rsid w:val="004D63D4"/>
    <w:rsid w:val="004D68A9"/>
    <w:rsid w:val="004D710E"/>
    <w:rsid w:val="004D76AB"/>
    <w:rsid w:val="004D7748"/>
    <w:rsid w:val="004D7A2D"/>
    <w:rsid w:val="004D7DE4"/>
    <w:rsid w:val="004E123D"/>
    <w:rsid w:val="004E160F"/>
    <w:rsid w:val="004E16FF"/>
    <w:rsid w:val="004E28EA"/>
    <w:rsid w:val="004E45F9"/>
    <w:rsid w:val="004E5054"/>
    <w:rsid w:val="004E67B7"/>
    <w:rsid w:val="004E6906"/>
    <w:rsid w:val="004E6CCB"/>
    <w:rsid w:val="004E796F"/>
    <w:rsid w:val="004E7BAA"/>
    <w:rsid w:val="004E7CE2"/>
    <w:rsid w:val="004E7EC6"/>
    <w:rsid w:val="004F045D"/>
    <w:rsid w:val="004F1019"/>
    <w:rsid w:val="004F1168"/>
    <w:rsid w:val="004F11A4"/>
    <w:rsid w:val="004F1683"/>
    <w:rsid w:val="004F1946"/>
    <w:rsid w:val="004F2498"/>
    <w:rsid w:val="004F2585"/>
    <w:rsid w:val="004F30BA"/>
    <w:rsid w:val="004F3907"/>
    <w:rsid w:val="004F4428"/>
    <w:rsid w:val="004F4795"/>
    <w:rsid w:val="004F4B74"/>
    <w:rsid w:val="004F4B8F"/>
    <w:rsid w:val="004F4BB5"/>
    <w:rsid w:val="004F5340"/>
    <w:rsid w:val="004F5396"/>
    <w:rsid w:val="004F5488"/>
    <w:rsid w:val="004F5D49"/>
    <w:rsid w:val="004F67A3"/>
    <w:rsid w:val="004F7237"/>
    <w:rsid w:val="004F73FB"/>
    <w:rsid w:val="004F7429"/>
    <w:rsid w:val="00500662"/>
    <w:rsid w:val="005019F2"/>
    <w:rsid w:val="00501C66"/>
    <w:rsid w:val="00503D1E"/>
    <w:rsid w:val="005040F6"/>
    <w:rsid w:val="00504447"/>
    <w:rsid w:val="005055D9"/>
    <w:rsid w:val="00505D65"/>
    <w:rsid w:val="00505FFD"/>
    <w:rsid w:val="00507BD8"/>
    <w:rsid w:val="00507F9D"/>
    <w:rsid w:val="005104E7"/>
    <w:rsid w:val="005107F5"/>
    <w:rsid w:val="00510CDB"/>
    <w:rsid w:val="00511087"/>
    <w:rsid w:val="00511D6C"/>
    <w:rsid w:val="00512312"/>
    <w:rsid w:val="00512C9F"/>
    <w:rsid w:val="00513AFE"/>
    <w:rsid w:val="00513B94"/>
    <w:rsid w:val="00513F2A"/>
    <w:rsid w:val="00515324"/>
    <w:rsid w:val="00515AE1"/>
    <w:rsid w:val="0051744B"/>
    <w:rsid w:val="0052020D"/>
    <w:rsid w:val="005213FA"/>
    <w:rsid w:val="0052295E"/>
    <w:rsid w:val="00522C10"/>
    <w:rsid w:val="00523004"/>
    <w:rsid w:val="00523071"/>
    <w:rsid w:val="005244D8"/>
    <w:rsid w:val="00524D82"/>
    <w:rsid w:val="0052517A"/>
    <w:rsid w:val="00526195"/>
    <w:rsid w:val="0052680A"/>
    <w:rsid w:val="00526D0C"/>
    <w:rsid w:val="00526E98"/>
    <w:rsid w:val="00527D70"/>
    <w:rsid w:val="0053052C"/>
    <w:rsid w:val="00530A3F"/>
    <w:rsid w:val="00530D3D"/>
    <w:rsid w:val="00531023"/>
    <w:rsid w:val="0053166E"/>
    <w:rsid w:val="00531CDE"/>
    <w:rsid w:val="0053210B"/>
    <w:rsid w:val="00532FD0"/>
    <w:rsid w:val="0053327D"/>
    <w:rsid w:val="005340C1"/>
    <w:rsid w:val="005349B7"/>
    <w:rsid w:val="00534D52"/>
    <w:rsid w:val="00534DEE"/>
    <w:rsid w:val="00534E75"/>
    <w:rsid w:val="00534E7D"/>
    <w:rsid w:val="0053577E"/>
    <w:rsid w:val="00535924"/>
    <w:rsid w:val="00537046"/>
    <w:rsid w:val="005371F6"/>
    <w:rsid w:val="00537C02"/>
    <w:rsid w:val="00537C45"/>
    <w:rsid w:val="00541B9F"/>
    <w:rsid w:val="00543A41"/>
    <w:rsid w:val="00543CCB"/>
    <w:rsid w:val="00543CE9"/>
    <w:rsid w:val="00544E9E"/>
    <w:rsid w:val="0054521B"/>
    <w:rsid w:val="005458DD"/>
    <w:rsid w:val="00546955"/>
    <w:rsid w:val="00547B7D"/>
    <w:rsid w:val="00551443"/>
    <w:rsid w:val="005515F8"/>
    <w:rsid w:val="005518FE"/>
    <w:rsid w:val="00552038"/>
    <w:rsid w:val="005524DE"/>
    <w:rsid w:val="00552708"/>
    <w:rsid w:val="005531B1"/>
    <w:rsid w:val="005542B9"/>
    <w:rsid w:val="0055436E"/>
    <w:rsid w:val="00554AEF"/>
    <w:rsid w:val="005553A1"/>
    <w:rsid w:val="00557DCC"/>
    <w:rsid w:val="00560713"/>
    <w:rsid w:val="00561450"/>
    <w:rsid w:val="00561657"/>
    <w:rsid w:val="0056174C"/>
    <w:rsid w:val="00561C2D"/>
    <w:rsid w:val="0056206F"/>
    <w:rsid w:val="005644EB"/>
    <w:rsid w:val="005646A4"/>
    <w:rsid w:val="005649C4"/>
    <w:rsid w:val="005654CF"/>
    <w:rsid w:val="0056616A"/>
    <w:rsid w:val="005706C1"/>
    <w:rsid w:val="0057083D"/>
    <w:rsid w:val="00570E15"/>
    <w:rsid w:val="005721F0"/>
    <w:rsid w:val="00572C61"/>
    <w:rsid w:val="005732D3"/>
    <w:rsid w:val="005736C7"/>
    <w:rsid w:val="00573868"/>
    <w:rsid w:val="00573C4F"/>
    <w:rsid w:val="00573EC9"/>
    <w:rsid w:val="00574037"/>
    <w:rsid w:val="0057429D"/>
    <w:rsid w:val="00574664"/>
    <w:rsid w:val="00574CAD"/>
    <w:rsid w:val="00575574"/>
    <w:rsid w:val="00577723"/>
    <w:rsid w:val="00577F64"/>
    <w:rsid w:val="00580D17"/>
    <w:rsid w:val="005819C7"/>
    <w:rsid w:val="00581F6B"/>
    <w:rsid w:val="00583310"/>
    <w:rsid w:val="00583C07"/>
    <w:rsid w:val="00583D9C"/>
    <w:rsid w:val="00583FE0"/>
    <w:rsid w:val="00584955"/>
    <w:rsid w:val="005849FA"/>
    <w:rsid w:val="00587598"/>
    <w:rsid w:val="00587F2E"/>
    <w:rsid w:val="0059064B"/>
    <w:rsid w:val="00590C60"/>
    <w:rsid w:val="00590D98"/>
    <w:rsid w:val="005919CA"/>
    <w:rsid w:val="00591D1A"/>
    <w:rsid w:val="00592919"/>
    <w:rsid w:val="00592E4C"/>
    <w:rsid w:val="0059470A"/>
    <w:rsid w:val="005953C7"/>
    <w:rsid w:val="0059615A"/>
    <w:rsid w:val="00596F1A"/>
    <w:rsid w:val="005970E7"/>
    <w:rsid w:val="0059760D"/>
    <w:rsid w:val="005A00B0"/>
    <w:rsid w:val="005A04BF"/>
    <w:rsid w:val="005A11C0"/>
    <w:rsid w:val="005A2190"/>
    <w:rsid w:val="005A2381"/>
    <w:rsid w:val="005A24BE"/>
    <w:rsid w:val="005A3037"/>
    <w:rsid w:val="005A40E8"/>
    <w:rsid w:val="005A426F"/>
    <w:rsid w:val="005A4D80"/>
    <w:rsid w:val="005A5D70"/>
    <w:rsid w:val="005A7BA8"/>
    <w:rsid w:val="005B111E"/>
    <w:rsid w:val="005B20F0"/>
    <w:rsid w:val="005B237F"/>
    <w:rsid w:val="005B42E5"/>
    <w:rsid w:val="005B4A23"/>
    <w:rsid w:val="005B5FE2"/>
    <w:rsid w:val="005B6096"/>
    <w:rsid w:val="005B6719"/>
    <w:rsid w:val="005B78C2"/>
    <w:rsid w:val="005B7EDD"/>
    <w:rsid w:val="005C00D0"/>
    <w:rsid w:val="005C113C"/>
    <w:rsid w:val="005C234C"/>
    <w:rsid w:val="005C2812"/>
    <w:rsid w:val="005C35D0"/>
    <w:rsid w:val="005C3C86"/>
    <w:rsid w:val="005C3D60"/>
    <w:rsid w:val="005C4A1E"/>
    <w:rsid w:val="005C662A"/>
    <w:rsid w:val="005C6AEF"/>
    <w:rsid w:val="005C71B6"/>
    <w:rsid w:val="005C7A09"/>
    <w:rsid w:val="005C7C93"/>
    <w:rsid w:val="005C7DFD"/>
    <w:rsid w:val="005C7E16"/>
    <w:rsid w:val="005D0223"/>
    <w:rsid w:val="005D08E5"/>
    <w:rsid w:val="005D3BF0"/>
    <w:rsid w:val="005D3D2E"/>
    <w:rsid w:val="005D4030"/>
    <w:rsid w:val="005D5060"/>
    <w:rsid w:val="005D53BE"/>
    <w:rsid w:val="005D59A8"/>
    <w:rsid w:val="005D5C53"/>
    <w:rsid w:val="005D5C72"/>
    <w:rsid w:val="005D6485"/>
    <w:rsid w:val="005D7267"/>
    <w:rsid w:val="005D7420"/>
    <w:rsid w:val="005D7A3C"/>
    <w:rsid w:val="005D7EF2"/>
    <w:rsid w:val="005E0660"/>
    <w:rsid w:val="005E0C9D"/>
    <w:rsid w:val="005E0DC1"/>
    <w:rsid w:val="005E0F85"/>
    <w:rsid w:val="005E163F"/>
    <w:rsid w:val="005E1662"/>
    <w:rsid w:val="005E1C2A"/>
    <w:rsid w:val="005E2CE5"/>
    <w:rsid w:val="005E4656"/>
    <w:rsid w:val="005E5167"/>
    <w:rsid w:val="005E5AB4"/>
    <w:rsid w:val="005E5D0D"/>
    <w:rsid w:val="005E6B8C"/>
    <w:rsid w:val="005E6BD4"/>
    <w:rsid w:val="005E794B"/>
    <w:rsid w:val="005E7B55"/>
    <w:rsid w:val="005F03D5"/>
    <w:rsid w:val="005F03E2"/>
    <w:rsid w:val="005F0872"/>
    <w:rsid w:val="005F0EF4"/>
    <w:rsid w:val="005F181C"/>
    <w:rsid w:val="005F184B"/>
    <w:rsid w:val="005F2048"/>
    <w:rsid w:val="005F2050"/>
    <w:rsid w:val="005F2529"/>
    <w:rsid w:val="005F26D8"/>
    <w:rsid w:val="005F27B2"/>
    <w:rsid w:val="005F371D"/>
    <w:rsid w:val="005F3F45"/>
    <w:rsid w:val="005F4934"/>
    <w:rsid w:val="005F52B4"/>
    <w:rsid w:val="005F5AB5"/>
    <w:rsid w:val="005F5ED1"/>
    <w:rsid w:val="005F6405"/>
    <w:rsid w:val="005F6A28"/>
    <w:rsid w:val="005F7AA4"/>
    <w:rsid w:val="0060022B"/>
    <w:rsid w:val="00600B34"/>
    <w:rsid w:val="006011C4"/>
    <w:rsid w:val="006011D4"/>
    <w:rsid w:val="00601827"/>
    <w:rsid w:val="006018AA"/>
    <w:rsid w:val="00602A0C"/>
    <w:rsid w:val="00604F52"/>
    <w:rsid w:val="00605059"/>
    <w:rsid w:val="00605160"/>
    <w:rsid w:val="0060657C"/>
    <w:rsid w:val="006067A8"/>
    <w:rsid w:val="00606A13"/>
    <w:rsid w:val="00606FF8"/>
    <w:rsid w:val="00607B00"/>
    <w:rsid w:val="00610BB9"/>
    <w:rsid w:val="006110C6"/>
    <w:rsid w:val="0061112B"/>
    <w:rsid w:val="00611265"/>
    <w:rsid w:val="0061166E"/>
    <w:rsid w:val="006133E3"/>
    <w:rsid w:val="00613A65"/>
    <w:rsid w:val="00614805"/>
    <w:rsid w:val="00614D9A"/>
    <w:rsid w:val="0061574B"/>
    <w:rsid w:val="00615AFD"/>
    <w:rsid w:val="00615D13"/>
    <w:rsid w:val="00615D25"/>
    <w:rsid w:val="0061741B"/>
    <w:rsid w:val="00620200"/>
    <w:rsid w:val="00621028"/>
    <w:rsid w:val="00622206"/>
    <w:rsid w:val="00622B9C"/>
    <w:rsid w:val="00623A01"/>
    <w:rsid w:val="00623C61"/>
    <w:rsid w:val="00623EB3"/>
    <w:rsid w:val="0062443B"/>
    <w:rsid w:val="006252D6"/>
    <w:rsid w:val="00625E24"/>
    <w:rsid w:val="00626214"/>
    <w:rsid w:val="0062690C"/>
    <w:rsid w:val="00626FEA"/>
    <w:rsid w:val="00630A90"/>
    <w:rsid w:val="006310F6"/>
    <w:rsid w:val="00634057"/>
    <w:rsid w:val="0063481D"/>
    <w:rsid w:val="00634AF5"/>
    <w:rsid w:val="00634CCA"/>
    <w:rsid w:val="0063504E"/>
    <w:rsid w:val="00636312"/>
    <w:rsid w:val="0063716B"/>
    <w:rsid w:val="00637239"/>
    <w:rsid w:val="00637A1C"/>
    <w:rsid w:val="00637AE3"/>
    <w:rsid w:val="00640684"/>
    <w:rsid w:val="00640A9E"/>
    <w:rsid w:val="00641394"/>
    <w:rsid w:val="00642398"/>
    <w:rsid w:val="00642A28"/>
    <w:rsid w:val="00642A95"/>
    <w:rsid w:val="006437E2"/>
    <w:rsid w:val="006440EB"/>
    <w:rsid w:val="00644B5F"/>
    <w:rsid w:val="00645027"/>
    <w:rsid w:val="00645E36"/>
    <w:rsid w:val="006460BE"/>
    <w:rsid w:val="006468C2"/>
    <w:rsid w:val="006473A1"/>
    <w:rsid w:val="006475B1"/>
    <w:rsid w:val="00647FE6"/>
    <w:rsid w:val="00651AE1"/>
    <w:rsid w:val="0065229C"/>
    <w:rsid w:val="006543AF"/>
    <w:rsid w:val="0065493B"/>
    <w:rsid w:val="00654D08"/>
    <w:rsid w:val="0065585F"/>
    <w:rsid w:val="0065635A"/>
    <w:rsid w:val="00656B06"/>
    <w:rsid w:val="00656D1D"/>
    <w:rsid w:val="00657C49"/>
    <w:rsid w:val="00657EDD"/>
    <w:rsid w:val="0066067B"/>
    <w:rsid w:val="00661187"/>
    <w:rsid w:val="006641C0"/>
    <w:rsid w:val="006643FE"/>
    <w:rsid w:val="006646B3"/>
    <w:rsid w:val="00664CFD"/>
    <w:rsid w:val="00665023"/>
    <w:rsid w:val="006656F8"/>
    <w:rsid w:val="006668E4"/>
    <w:rsid w:val="00666937"/>
    <w:rsid w:val="0066701C"/>
    <w:rsid w:val="006674C0"/>
    <w:rsid w:val="00667853"/>
    <w:rsid w:val="00667C50"/>
    <w:rsid w:val="00667CEA"/>
    <w:rsid w:val="006700CC"/>
    <w:rsid w:val="00671A2A"/>
    <w:rsid w:val="006726EE"/>
    <w:rsid w:val="006729EA"/>
    <w:rsid w:val="00672DFA"/>
    <w:rsid w:val="00674A43"/>
    <w:rsid w:val="00675CE3"/>
    <w:rsid w:val="00675E40"/>
    <w:rsid w:val="0068179F"/>
    <w:rsid w:val="00681871"/>
    <w:rsid w:val="00681A92"/>
    <w:rsid w:val="006821DC"/>
    <w:rsid w:val="00682755"/>
    <w:rsid w:val="00682952"/>
    <w:rsid w:val="00682A05"/>
    <w:rsid w:val="00682E6D"/>
    <w:rsid w:val="006831A2"/>
    <w:rsid w:val="006833B0"/>
    <w:rsid w:val="0068350B"/>
    <w:rsid w:val="00683CBE"/>
    <w:rsid w:val="006853CD"/>
    <w:rsid w:val="006874B3"/>
    <w:rsid w:val="006876D5"/>
    <w:rsid w:val="006902FD"/>
    <w:rsid w:val="00690ABD"/>
    <w:rsid w:val="0069136A"/>
    <w:rsid w:val="00691935"/>
    <w:rsid w:val="0069241F"/>
    <w:rsid w:val="00692DA5"/>
    <w:rsid w:val="00692F86"/>
    <w:rsid w:val="00695109"/>
    <w:rsid w:val="0069559E"/>
    <w:rsid w:val="0069617E"/>
    <w:rsid w:val="00697B9E"/>
    <w:rsid w:val="006A0BD6"/>
    <w:rsid w:val="006A17FE"/>
    <w:rsid w:val="006A31EF"/>
    <w:rsid w:val="006A32F7"/>
    <w:rsid w:val="006A4449"/>
    <w:rsid w:val="006A50B0"/>
    <w:rsid w:val="006A5824"/>
    <w:rsid w:val="006A5E6D"/>
    <w:rsid w:val="006A733E"/>
    <w:rsid w:val="006A7C20"/>
    <w:rsid w:val="006B0C8A"/>
    <w:rsid w:val="006B1461"/>
    <w:rsid w:val="006B1575"/>
    <w:rsid w:val="006B1F67"/>
    <w:rsid w:val="006B256A"/>
    <w:rsid w:val="006B2DC4"/>
    <w:rsid w:val="006B3B24"/>
    <w:rsid w:val="006B405C"/>
    <w:rsid w:val="006B4344"/>
    <w:rsid w:val="006B4AD5"/>
    <w:rsid w:val="006B7512"/>
    <w:rsid w:val="006C07A6"/>
    <w:rsid w:val="006C0CDE"/>
    <w:rsid w:val="006C1B48"/>
    <w:rsid w:val="006C23D5"/>
    <w:rsid w:val="006C2B89"/>
    <w:rsid w:val="006C315A"/>
    <w:rsid w:val="006C4222"/>
    <w:rsid w:val="006C557D"/>
    <w:rsid w:val="006C6640"/>
    <w:rsid w:val="006C74A6"/>
    <w:rsid w:val="006C7597"/>
    <w:rsid w:val="006C7BF6"/>
    <w:rsid w:val="006D035F"/>
    <w:rsid w:val="006D04E0"/>
    <w:rsid w:val="006D054F"/>
    <w:rsid w:val="006D07B4"/>
    <w:rsid w:val="006D1045"/>
    <w:rsid w:val="006D1F7F"/>
    <w:rsid w:val="006D24F2"/>
    <w:rsid w:val="006D289B"/>
    <w:rsid w:val="006D30B0"/>
    <w:rsid w:val="006D313E"/>
    <w:rsid w:val="006D3D64"/>
    <w:rsid w:val="006D4578"/>
    <w:rsid w:val="006D469E"/>
    <w:rsid w:val="006D4E87"/>
    <w:rsid w:val="006D4F4B"/>
    <w:rsid w:val="006D547B"/>
    <w:rsid w:val="006D55A2"/>
    <w:rsid w:val="006D582D"/>
    <w:rsid w:val="006D5C03"/>
    <w:rsid w:val="006D6950"/>
    <w:rsid w:val="006E1E3A"/>
    <w:rsid w:val="006E29D1"/>
    <w:rsid w:val="006E36C5"/>
    <w:rsid w:val="006E39F3"/>
    <w:rsid w:val="006E3EFF"/>
    <w:rsid w:val="006E453D"/>
    <w:rsid w:val="006E53A7"/>
    <w:rsid w:val="006E5F14"/>
    <w:rsid w:val="006E6CD6"/>
    <w:rsid w:val="006E6D9C"/>
    <w:rsid w:val="006E73FE"/>
    <w:rsid w:val="006E7C5E"/>
    <w:rsid w:val="006F10BD"/>
    <w:rsid w:val="006F1B5E"/>
    <w:rsid w:val="006F22B5"/>
    <w:rsid w:val="006F2745"/>
    <w:rsid w:val="006F36CC"/>
    <w:rsid w:val="006F3BC4"/>
    <w:rsid w:val="006F540C"/>
    <w:rsid w:val="006F57DC"/>
    <w:rsid w:val="006F6063"/>
    <w:rsid w:val="006F6B99"/>
    <w:rsid w:val="006F701B"/>
    <w:rsid w:val="006F7A9D"/>
    <w:rsid w:val="006F7B72"/>
    <w:rsid w:val="007001E2"/>
    <w:rsid w:val="007006CC"/>
    <w:rsid w:val="00700DD9"/>
    <w:rsid w:val="007011FC"/>
    <w:rsid w:val="0070123A"/>
    <w:rsid w:val="007030DC"/>
    <w:rsid w:val="00703270"/>
    <w:rsid w:val="00703571"/>
    <w:rsid w:val="00703FA7"/>
    <w:rsid w:val="00704055"/>
    <w:rsid w:val="007040CB"/>
    <w:rsid w:val="007055A5"/>
    <w:rsid w:val="007058E6"/>
    <w:rsid w:val="007059A9"/>
    <w:rsid w:val="0070617A"/>
    <w:rsid w:val="00706A8D"/>
    <w:rsid w:val="00706F4D"/>
    <w:rsid w:val="0070742D"/>
    <w:rsid w:val="00707457"/>
    <w:rsid w:val="00707749"/>
    <w:rsid w:val="00707B9C"/>
    <w:rsid w:val="00707D36"/>
    <w:rsid w:val="00710515"/>
    <w:rsid w:val="0071070D"/>
    <w:rsid w:val="0071095A"/>
    <w:rsid w:val="0071152F"/>
    <w:rsid w:val="00711A93"/>
    <w:rsid w:val="007128F9"/>
    <w:rsid w:val="00713219"/>
    <w:rsid w:val="00714105"/>
    <w:rsid w:val="00714CED"/>
    <w:rsid w:val="00715AE7"/>
    <w:rsid w:val="00715B3C"/>
    <w:rsid w:val="007163AB"/>
    <w:rsid w:val="007168D4"/>
    <w:rsid w:val="007170F1"/>
    <w:rsid w:val="0071719E"/>
    <w:rsid w:val="0072112A"/>
    <w:rsid w:val="007217C8"/>
    <w:rsid w:val="00722D13"/>
    <w:rsid w:val="00723AEF"/>
    <w:rsid w:val="00724D50"/>
    <w:rsid w:val="0072549D"/>
    <w:rsid w:val="00725F2A"/>
    <w:rsid w:val="007261A5"/>
    <w:rsid w:val="00726C70"/>
    <w:rsid w:val="00726ECD"/>
    <w:rsid w:val="00727001"/>
    <w:rsid w:val="007275CC"/>
    <w:rsid w:val="007300AE"/>
    <w:rsid w:val="0073040D"/>
    <w:rsid w:val="00730A73"/>
    <w:rsid w:val="00731150"/>
    <w:rsid w:val="0073192A"/>
    <w:rsid w:val="00731FEB"/>
    <w:rsid w:val="00732046"/>
    <w:rsid w:val="00732FE4"/>
    <w:rsid w:val="007344A2"/>
    <w:rsid w:val="007352D4"/>
    <w:rsid w:val="00735AE9"/>
    <w:rsid w:val="00735C94"/>
    <w:rsid w:val="00735D59"/>
    <w:rsid w:val="007360B2"/>
    <w:rsid w:val="007365ED"/>
    <w:rsid w:val="007374E1"/>
    <w:rsid w:val="00737880"/>
    <w:rsid w:val="00737977"/>
    <w:rsid w:val="00737FE8"/>
    <w:rsid w:val="0074150D"/>
    <w:rsid w:val="00741854"/>
    <w:rsid w:val="0074231C"/>
    <w:rsid w:val="00742385"/>
    <w:rsid w:val="0074299E"/>
    <w:rsid w:val="00742F6D"/>
    <w:rsid w:val="0074426A"/>
    <w:rsid w:val="0074460F"/>
    <w:rsid w:val="007447BD"/>
    <w:rsid w:val="007452FE"/>
    <w:rsid w:val="00746165"/>
    <w:rsid w:val="00746950"/>
    <w:rsid w:val="00746EB4"/>
    <w:rsid w:val="00750264"/>
    <w:rsid w:val="007516DA"/>
    <w:rsid w:val="0075215F"/>
    <w:rsid w:val="007525E9"/>
    <w:rsid w:val="007537B3"/>
    <w:rsid w:val="00753988"/>
    <w:rsid w:val="00754BA9"/>
    <w:rsid w:val="007552B7"/>
    <w:rsid w:val="00755867"/>
    <w:rsid w:val="00755944"/>
    <w:rsid w:val="00755DD6"/>
    <w:rsid w:val="00756A34"/>
    <w:rsid w:val="00756A75"/>
    <w:rsid w:val="00756AE7"/>
    <w:rsid w:val="00756DB1"/>
    <w:rsid w:val="00757F93"/>
    <w:rsid w:val="00762AD5"/>
    <w:rsid w:val="00763254"/>
    <w:rsid w:val="0076329B"/>
    <w:rsid w:val="00763A0E"/>
    <w:rsid w:val="007646A3"/>
    <w:rsid w:val="007655AD"/>
    <w:rsid w:val="0076632C"/>
    <w:rsid w:val="00766BCC"/>
    <w:rsid w:val="00766D1F"/>
    <w:rsid w:val="0076775D"/>
    <w:rsid w:val="00767969"/>
    <w:rsid w:val="0077063F"/>
    <w:rsid w:val="00770AD9"/>
    <w:rsid w:val="00770E18"/>
    <w:rsid w:val="00770FD5"/>
    <w:rsid w:val="00770FEB"/>
    <w:rsid w:val="00771F33"/>
    <w:rsid w:val="00772331"/>
    <w:rsid w:val="00772533"/>
    <w:rsid w:val="00772707"/>
    <w:rsid w:val="00772C36"/>
    <w:rsid w:val="00772DE7"/>
    <w:rsid w:val="00774118"/>
    <w:rsid w:val="0077423A"/>
    <w:rsid w:val="00774A0E"/>
    <w:rsid w:val="00774CF6"/>
    <w:rsid w:val="00775E0D"/>
    <w:rsid w:val="007762FB"/>
    <w:rsid w:val="00776832"/>
    <w:rsid w:val="0077699D"/>
    <w:rsid w:val="00777D71"/>
    <w:rsid w:val="00777DAC"/>
    <w:rsid w:val="00780CA5"/>
    <w:rsid w:val="0078128D"/>
    <w:rsid w:val="00781C32"/>
    <w:rsid w:val="007824E9"/>
    <w:rsid w:val="007830DC"/>
    <w:rsid w:val="0078313B"/>
    <w:rsid w:val="0078467D"/>
    <w:rsid w:val="00785A20"/>
    <w:rsid w:val="007863DF"/>
    <w:rsid w:val="00786BFE"/>
    <w:rsid w:val="00786F65"/>
    <w:rsid w:val="0078713D"/>
    <w:rsid w:val="007874BB"/>
    <w:rsid w:val="00787AE4"/>
    <w:rsid w:val="00787B4B"/>
    <w:rsid w:val="007903CE"/>
    <w:rsid w:val="00790542"/>
    <w:rsid w:val="007907C4"/>
    <w:rsid w:val="00790C5F"/>
    <w:rsid w:val="00791573"/>
    <w:rsid w:val="00791F98"/>
    <w:rsid w:val="00792110"/>
    <w:rsid w:val="00792276"/>
    <w:rsid w:val="00795161"/>
    <w:rsid w:val="00795585"/>
    <w:rsid w:val="007957E3"/>
    <w:rsid w:val="00795803"/>
    <w:rsid w:val="007962B0"/>
    <w:rsid w:val="00796B2F"/>
    <w:rsid w:val="00796B3A"/>
    <w:rsid w:val="007971DD"/>
    <w:rsid w:val="007973DC"/>
    <w:rsid w:val="0079768D"/>
    <w:rsid w:val="007A0DE9"/>
    <w:rsid w:val="007A17D7"/>
    <w:rsid w:val="007A28F2"/>
    <w:rsid w:val="007A2F36"/>
    <w:rsid w:val="007A3107"/>
    <w:rsid w:val="007A315F"/>
    <w:rsid w:val="007A3A46"/>
    <w:rsid w:val="007A3E16"/>
    <w:rsid w:val="007A42ED"/>
    <w:rsid w:val="007A4572"/>
    <w:rsid w:val="007A466A"/>
    <w:rsid w:val="007A5B58"/>
    <w:rsid w:val="007A5BD6"/>
    <w:rsid w:val="007A5CC7"/>
    <w:rsid w:val="007A7A3F"/>
    <w:rsid w:val="007A7FA6"/>
    <w:rsid w:val="007B02F5"/>
    <w:rsid w:val="007B063C"/>
    <w:rsid w:val="007B121F"/>
    <w:rsid w:val="007B374D"/>
    <w:rsid w:val="007B3838"/>
    <w:rsid w:val="007B44ED"/>
    <w:rsid w:val="007B4789"/>
    <w:rsid w:val="007B6CAB"/>
    <w:rsid w:val="007B7DC1"/>
    <w:rsid w:val="007C031C"/>
    <w:rsid w:val="007C09BE"/>
    <w:rsid w:val="007C0F84"/>
    <w:rsid w:val="007C2209"/>
    <w:rsid w:val="007C2D11"/>
    <w:rsid w:val="007C3571"/>
    <w:rsid w:val="007C41C0"/>
    <w:rsid w:val="007C4462"/>
    <w:rsid w:val="007C4570"/>
    <w:rsid w:val="007C4E14"/>
    <w:rsid w:val="007C5577"/>
    <w:rsid w:val="007C5F5A"/>
    <w:rsid w:val="007C6E00"/>
    <w:rsid w:val="007C709D"/>
    <w:rsid w:val="007C72BD"/>
    <w:rsid w:val="007C7F3E"/>
    <w:rsid w:val="007D09C6"/>
    <w:rsid w:val="007D0E33"/>
    <w:rsid w:val="007D18BA"/>
    <w:rsid w:val="007D1EDF"/>
    <w:rsid w:val="007D322F"/>
    <w:rsid w:val="007D35FC"/>
    <w:rsid w:val="007D59FB"/>
    <w:rsid w:val="007D6736"/>
    <w:rsid w:val="007D6C4D"/>
    <w:rsid w:val="007D7325"/>
    <w:rsid w:val="007D790B"/>
    <w:rsid w:val="007E0844"/>
    <w:rsid w:val="007E096B"/>
    <w:rsid w:val="007E1B47"/>
    <w:rsid w:val="007E1F8E"/>
    <w:rsid w:val="007E25C1"/>
    <w:rsid w:val="007E2917"/>
    <w:rsid w:val="007E34AD"/>
    <w:rsid w:val="007E3AF9"/>
    <w:rsid w:val="007E51D0"/>
    <w:rsid w:val="007E5455"/>
    <w:rsid w:val="007E61E2"/>
    <w:rsid w:val="007E6481"/>
    <w:rsid w:val="007E6B52"/>
    <w:rsid w:val="007E7547"/>
    <w:rsid w:val="007E7562"/>
    <w:rsid w:val="007E7D87"/>
    <w:rsid w:val="007F01DE"/>
    <w:rsid w:val="007F1929"/>
    <w:rsid w:val="007F211B"/>
    <w:rsid w:val="007F263E"/>
    <w:rsid w:val="007F2D8E"/>
    <w:rsid w:val="007F3405"/>
    <w:rsid w:val="007F369A"/>
    <w:rsid w:val="007F3768"/>
    <w:rsid w:val="007F3C20"/>
    <w:rsid w:val="007F6CB1"/>
    <w:rsid w:val="007F7F5A"/>
    <w:rsid w:val="0080078F"/>
    <w:rsid w:val="00800FDE"/>
    <w:rsid w:val="0080170E"/>
    <w:rsid w:val="00801B2A"/>
    <w:rsid w:val="0080270B"/>
    <w:rsid w:val="0080293E"/>
    <w:rsid w:val="0080316E"/>
    <w:rsid w:val="0080355C"/>
    <w:rsid w:val="0080416E"/>
    <w:rsid w:val="008051DF"/>
    <w:rsid w:val="008056D3"/>
    <w:rsid w:val="008065ED"/>
    <w:rsid w:val="0080672C"/>
    <w:rsid w:val="00806738"/>
    <w:rsid w:val="00806FB1"/>
    <w:rsid w:val="00807762"/>
    <w:rsid w:val="00807E42"/>
    <w:rsid w:val="00810127"/>
    <w:rsid w:val="0081092F"/>
    <w:rsid w:val="00811DB5"/>
    <w:rsid w:val="0081213D"/>
    <w:rsid w:val="00812414"/>
    <w:rsid w:val="00812814"/>
    <w:rsid w:val="00812EE7"/>
    <w:rsid w:val="00813708"/>
    <w:rsid w:val="008139E5"/>
    <w:rsid w:val="0081417E"/>
    <w:rsid w:val="00814DD2"/>
    <w:rsid w:val="0081500B"/>
    <w:rsid w:val="00815CD2"/>
    <w:rsid w:val="00816E99"/>
    <w:rsid w:val="00821E5C"/>
    <w:rsid w:val="0082204E"/>
    <w:rsid w:val="008238B4"/>
    <w:rsid w:val="00824044"/>
    <w:rsid w:val="008245A4"/>
    <w:rsid w:val="00825854"/>
    <w:rsid w:val="008264A3"/>
    <w:rsid w:val="0082694D"/>
    <w:rsid w:val="00827362"/>
    <w:rsid w:val="00827F55"/>
    <w:rsid w:val="00830827"/>
    <w:rsid w:val="00832408"/>
    <w:rsid w:val="00832FDE"/>
    <w:rsid w:val="0083385D"/>
    <w:rsid w:val="00833A43"/>
    <w:rsid w:val="00834BD4"/>
    <w:rsid w:val="00834E39"/>
    <w:rsid w:val="008353D9"/>
    <w:rsid w:val="008361DA"/>
    <w:rsid w:val="008369B2"/>
    <w:rsid w:val="00836B45"/>
    <w:rsid w:val="00836FE8"/>
    <w:rsid w:val="008376FC"/>
    <w:rsid w:val="00840469"/>
    <w:rsid w:val="008410E4"/>
    <w:rsid w:val="00841552"/>
    <w:rsid w:val="00842E18"/>
    <w:rsid w:val="0084381C"/>
    <w:rsid w:val="00843BBF"/>
    <w:rsid w:val="00843FBD"/>
    <w:rsid w:val="008442E6"/>
    <w:rsid w:val="008452C9"/>
    <w:rsid w:val="00845D4B"/>
    <w:rsid w:val="00845E4F"/>
    <w:rsid w:val="00846309"/>
    <w:rsid w:val="008470DE"/>
    <w:rsid w:val="00850CD3"/>
    <w:rsid w:val="00850FEE"/>
    <w:rsid w:val="0085193A"/>
    <w:rsid w:val="00853A3B"/>
    <w:rsid w:val="00853B80"/>
    <w:rsid w:val="00854176"/>
    <w:rsid w:val="0085425B"/>
    <w:rsid w:val="00854B3F"/>
    <w:rsid w:val="00854DC4"/>
    <w:rsid w:val="00855D58"/>
    <w:rsid w:val="0085601D"/>
    <w:rsid w:val="00856316"/>
    <w:rsid w:val="00856892"/>
    <w:rsid w:val="00857A15"/>
    <w:rsid w:val="00857A77"/>
    <w:rsid w:val="00857E8C"/>
    <w:rsid w:val="008606F4"/>
    <w:rsid w:val="00860D53"/>
    <w:rsid w:val="008610B4"/>
    <w:rsid w:val="00862920"/>
    <w:rsid w:val="008636AF"/>
    <w:rsid w:val="00863879"/>
    <w:rsid w:val="00863EC9"/>
    <w:rsid w:val="00864228"/>
    <w:rsid w:val="00866FB9"/>
    <w:rsid w:val="00866FD2"/>
    <w:rsid w:val="0086761D"/>
    <w:rsid w:val="00870CC1"/>
    <w:rsid w:val="00870CDA"/>
    <w:rsid w:val="00871C50"/>
    <w:rsid w:val="00871D3E"/>
    <w:rsid w:val="00872B7D"/>
    <w:rsid w:val="00872C26"/>
    <w:rsid w:val="00872CB8"/>
    <w:rsid w:val="00874143"/>
    <w:rsid w:val="0087456A"/>
    <w:rsid w:val="00874820"/>
    <w:rsid w:val="00875D41"/>
    <w:rsid w:val="0087625E"/>
    <w:rsid w:val="00877C27"/>
    <w:rsid w:val="0088086E"/>
    <w:rsid w:val="00881375"/>
    <w:rsid w:val="00881F15"/>
    <w:rsid w:val="008822E9"/>
    <w:rsid w:val="00882619"/>
    <w:rsid w:val="00882DDE"/>
    <w:rsid w:val="0088341A"/>
    <w:rsid w:val="0088398D"/>
    <w:rsid w:val="008844D6"/>
    <w:rsid w:val="00886213"/>
    <w:rsid w:val="00887D5B"/>
    <w:rsid w:val="00890C1C"/>
    <w:rsid w:val="0089154F"/>
    <w:rsid w:val="00891906"/>
    <w:rsid w:val="00891DCD"/>
    <w:rsid w:val="0089273C"/>
    <w:rsid w:val="0089274A"/>
    <w:rsid w:val="00893419"/>
    <w:rsid w:val="00893F67"/>
    <w:rsid w:val="00895DE6"/>
    <w:rsid w:val="0089653F"/>
    <w:rsid w:val="00896685"/>
    <w:rsid w:val="00896F4D"/>
    <w:rsid w:val="008971DD"/>
    <w:rsid w:val="00897C48"/>
    <w:rsid w:val="008A0DFA"/>
    <w:rsid w:val="008A13F5"/>
    <w:rsid w:val="008A1459"/>
    <w:rsid w:val="008A22B2"/>
    <w:rsid w:val="008A2600"/>
    <w:rsid w:val="008A2C4E"/>
    <w:rsid w:val="008A2D87"/>
    <w:rsid w:val="008A303A"/>
    <w:rsid w:val="008A334A"/>
    <w:rsid w:val="008A3593"/>
    <w:rsid w:val="008A3838"/>
    <w:rsid w:val="008A42F5"/>
    <w:rsid w:val="008A4A26"/>
    <w:rsid w:val="008A552D"/>
    <w:rsid w:val="008A5669"/>
    <w:rsid w:val="008A59CA"/>
    <w:rsid w:val="008B0157"/>
    <w:rsid w:val="008B0BC6"/>
    <w:rsid w:val="008B0C8A"/>
    <w:rsid w:val="008B0E0F"/>
    <w:rsid w:val="008B18B2"/>
    <w:rsid w:val="008B1E6C"/>
    <w:rsid w:val="008B1F27"/>
    <w:rsid w:val="008B1F64"/>
    <w:rsid w:val="008B326E"/>
    <w:rsid w:val="008B3A9C"/>
    <w:rsid w:val="008B3EC1"/>
    <w:rsid w:val="008B58FC"/>
    <w:rsid w:val="008B5C4D"/>
    <w:rsid w:val="008B617E"/>
    <w:rsid w:val="008B6656"/>
    <w:rsid w:val="008B7445"/>
    <w:rsid w:val="008B77A3"/>
    <w:rsid w:val="008B7E54"/>
    <w:rsid w:val="008C092D"/>
    <w:rsid w:val="008C0B0E"/>
    <w:rsid w:val="008C1769"/>
    <w:rsid w:val="008C182D"/>
    <w:rsid w:val="008C1EE3"/>
    <w:rsid w:val="008C3A1A"/>
    <w:rsid w:val="008C4508"/>
    <w:rsid w:val="008C5269"/>
    <w:rsid w:val="008C5F3C"/>
    <w:rsid w:val="008C7E14"/>
    <w:rsid w:val="008D19D4"/>
    <w:rsid w:val="008D23D2"/>
    <w:rsid w:val="008D3E9A"/>
    <w:rsid w:val="008D4019"/>
    <w:rsid w:val="008D4C4A"/>
    <w:rsid w:val="008D4E4A"/>
    <w:rsid w:val="008D51CF"/>
    <w:rsid w:val="008D5254"/>
    <w:rsid w:val="008D588F"/>
    <w:rsid w:val="008D69B3"/>
    <w:rsid w:val="008D6F8D"/>
    <w:rsid w:val="008D7075"/>
    <w:rsid w:val="008D7796"/>
    <w:rsid w:val="008D7964"/>
    <w:rsid w:val="008E0BF9"/>
    <w:rsid w:val="008E1C9C"/>
    <w:rsid w:val="008E1F86"/>
    <w:rsid w:val="008E2C1E"/>
    <w:rsid w:val="008E2D8A"/>
    <w:rsid w:val="008E2F73"/>
    <w:rsid w:val="008E3086"/>
    <w:rsid w:val="008E323D"/>
    <w:rsid w:val="008E3BA2"/>
    <w:rsid w:val="008E4791"/>
    <w:rsid w:val="008E4FC4"/>
    <w:rsid w:val="008E5410"/>
    <w:rsid w:val="008E5EF3"/>
    <w:rsid w:val="008E7106"/>
    <w:rsid w:val="008E7162"/>
    <w:rsid w:val="008F02AD"/>
    <w:rsid w:val="008F1163"/>
    <w:rsid w:val="008F1C5A"/>
    <w:rsid w:val="008F20F0"/>
    <w:rsid w:val="008F2375"/>
    <w:rsid w:val="008F2908"/>
    <w:rsid w:val="008F2A2B"/>
    <w:rsid w:val="008F351F"/>
    <w:rsid w:val="008F3DDA"/>
    <w:rsid w:val="008F5120"/>
    <w:rsid w:val="008F51A2"/>
    <w:rsid w:val="008F5379"/>
    <w:rsid w:val="008F5E51"/>
    <w:rsid w:val="008F68F8"/>
    <w:rsid w:val="008F7918"/>
    <w:rsid w:val="0090054F"/>
    <w:rsid w:val="00900806"/>
    <w:rsid w:val="00900C8C"/>
    <w:rsid w:val="00900D00"/>
    <w:rsid w:val="009010D6"/>
    <w:rsid w:val="00901AA3"/>
    <w:rsid w:val="00901FAD"/>
    <w:rsid w:val="00902039"/>
    <w:rsid w:val="00902DA1"/>
    <w:rsid w:val="009034B2"/>
    <w:rsid w:val="009039D1"/>
    <w:rsid w:val="00903F04"/>
    <w:rsid w:val="00904100"/>
    <w:rsid w:val="00904D93"/>
    <w:rsid w:val="00905072"/>
    <w:rsid w:val="00905408"/>
    <w:rsid w:val="00905819"/>
    <w:rsid w:val="00905EB0"/>
    <w:rsid w:val="00905F05"/>
    <w:rsid w:val="00907FFE"/>
    <w:rsid w:val="0091082F"/>
    <w:rsid w:val="0091158D"/>
    <w:rsid w:val="0091167E"/>
    <w:rsid w:val="00911C4D"/>
    <w:rsid w:val="00911D85"/>
    <w:rsid w:val="00911E22"/>
    <w:rsid w:val="0091235D"/>
    <w:rsid w:val="00912C2F"/>
    <w:rsid w:val="009132BB"/>
    <w:rsid w:val="00914B4C"/>
    <w:rsid w:val="009166A4"/>
    <w:rsid w:val="00917089"/>
    <w:rsid w:val="009172FD"/>
    <w:rsid w:val="009204ED"/>
    <w:rsid w:val="00920564"/>
    <w:rsid w:val="00920702"/>
    <w:rsid w:val="00920EF8"/>
    <w:rsid w:val="0092109D"/>
    <w:rsid w:val="00921332"/>
    <w:rsid w:val="009213DF"/>
    <w:rsid w:val="0092179F"/>
    <w:rsid w:val="00921B5D"/>
    <w:rsid w:val="00922EE8"/>
    <w:rsid w:val="009238A8"/>
    <w:rsid w:val="00924288"/>
    <w:rsid w:val="00924B19"/>
    <w:rsid w:val="00925D65"/>
    <w:rsid w:val="00926320"/>
    <w:rsid w:val="0092666C"/>
    <w:rsid w:val="00926F71"/>
    <w:rsid w:val="00930CE5"/>
    <w:rsid w:val="00931444"/>
    <w:rsid w:val="0093162E"/>
    <w:rsid w:val="00931D97"/>
    <w:rsid w:val="00933A06"/>
    <w:rsid w:val="009342C4"/>
    <w:rsid w:val="00935696"/>
    <w:rsid w:val="00935E9C"/>
    <w:rsid w:val="009363FE"/>
    <w:rsid w:val="009368AC"/>
    <w:rsid w:val="009378E8"/>
    <w:rsid w:val="0094083C"/>
    <w:rsid w:val="009411A6"/>
    <w:rsid w:val="0094197F"/>
    <w:rsid w:val="00941F51"/>
    <w:rsid w:val="0094270F"/>
    <w:rsid w:val="00942BD4"/>
    <w:rsid w:val="009431A1"/>
    <w:rsid w:val="00943E90"/>
    <w:rsid w:val="00945789"/>
    <w:rsid w:val="00945EAE"/>
    <w:rsid w:val="00946842"/>
    <w:rsid w:val="00946CDF"/>
    <w:rsid w:val="00946F9D"/>
    <w:rsid w:val="00947879"/>
    <w:rsid w:val="0095043B"/>
    <w:rsid w:val="0095062C"/>
    <w:rsid w:val="00951864"/>
    <w:rsid w:val="009519A6"/>
    <w:rsid w:val="009520AB"/>
    <w:rsid w:val="00952799"/>
    <w:rsid w:val="009533E5"/>
    <w:rsid w:val="00953B2C"/>
    <w:rsid w:val="00953F49"/>
    <w:rsid w:val="009548FA"/>
    <w:rsid w:val="009551AC"/>
    <w:rsid w:val="009563FA"/>
    <w:rsid w:val="0095719E"/>
    <w:rsid w:val="00957796"/>
    <w:rsid w:val="00957AA7"/>
    <w:rsid w:val="00961136"/>
    <w:rsid w:val="0096170B"/>
    <w:rsid w:val="00961EF4"/>
    <w:rsid w:val="0096290A"/>
    <w:rsid w:val="009629FE"/>
    <w:rsid w:val="00963578"/>
    <w:rsid w:val="00963812"/>
    <w:rsid w:val="00963AC8"/>
    <w:rsid w:val="00964729"/>
    <w:rsid w:val="00964A64"/>
    <w:rsid w:val="009654E2"/>
    <w:rsid w:val="00966460"/>
    <w:rsid w:val="009709A7"/>
    <w:rsid w:val="00971245"/>
    <w:rsid w:val="00972120"/>
    <w:rsid w:val="009728E2"/>
    <w:rsid w:val="00972986"/>
    <w:rsid w:val="0097403F"/>
    <w:rsid w:val="00974061"/>
    <w:rsid w:val="009741D3"/>
    <w:rsid w:val="0097556F"/>
    <w:rsid w:val="00975779"/>
    <w:rsid w:val="0097604C"/>
    <w:rsid w:val="00976A78"/>
    <w:rsid w:val="00977181"/>
    <w:rsid w:val="00977451"/>
    <w:rsid w:val="00977F52"/>
    <w:rsid w:val="0098007C"/>
    <w:rsid w:val="00981A72"/>
    <w:rsid w:val="00981B92"/>
    <w:rsid w:val="00981E50"/>
    <w:rsid w:val="00983223"/>
    <w:rsid w:val="009839EF"/>
    <w:rsid w:val="00984025"/>
    <w:rsid w:val="00984526"/>
    <w:rsid w:val="00984CEE"/>
    <w:rsid w:val="00985C41"/>
    <w:rsid w:val="0098603C"/>
    <w:rsid w:val="00986371"/>
    <w:rsid w:val="00986E4F"/>
    <w:rsid w:val="00987498"/>
    <w:rsid w:val="00987F71"/>
    <w:rsid w:val="0099011A"/>
    <w:rsid w:val="009902DA"/>
    <w:rsid w:val="00990C0B"/>
    <w:rsid w:val="00991270"/>
    <w:rsid w:val="00991DF8"/>
    <w:rsid w:val="00991F3A"/>
    <w:rsid w:val="00994CA1"/>
    <w:rsid w:val="009962E6"/>
    <w:rsid w:val="00996382"/>
    <w:rsid w:val="00996522"/>
    <w:rsid w:val="0099688F"/>
    <w:rsid w:val="009969DD"/>
    <w:rsid w:val="00996FEC"/>
    <w:rsid w:val="009A0098"/>
    <w:rsid w:val="009A1056"/>
    <w:rsid w:val="009A12FC"/>
    <w:rsid w:val="009A1A8C"/>
    <w:rsid w:val="009A2490"/>
    <w:rsid w:val="009A28BA"/>
    <w:rsid w:val="009A30E2"/>
    <w:rsid w:val="009A3769"/>
    <w:rsid w:val="009A380B"/>
    <w:rsid w:val="009A4BC4"/>
    <w:rsid w:val="009A4DE5"/>
    <w:rsid w:val="009A6E40"/>
    <w:rsid w:val="009A735C"/>
    <w:rsid w:val="009A78D8"/>
    <w:rsid w:val="009B0FA5"/>
    <w:rsid w:val="009B2225"/>
    <w:rsid w:val="009B27B6"/>
    <w:rsid w:val="009B2C81"/>
    <w:rsid w:val="009B2DEB"/>
    <w:rsid w:val="009B2E85"/>
    <w:rsid w:val="009B2FD6"/>
    <w:rsid w:val="009B3501"/>
    <w:rsid w:val="009B37DB"/>
    <w:rsid w:val="009B3DF0"/>
    <w:rsid w:val="009B53AB"/>
    <w:rsid w:val="009B5FAD"/>
    <w:rsid w:val="009B6081"/>
    <w:rsid w:val="009B6311"/>
    <w:rsid w:val="009B6447"/>
    <w:rsid w:val="009B717E"/>
    <w:rsid w:val="009C0599"/>
    <w:rsid w:val="009C07AC"/>
    <w:rsid w:val="009C0F76"/>
    <w:rsid w:val="009C1E4A"/>
    <w:rsid w:val="009C2908"/>
    <w:rsid w:val="009C3B10"/>
    <w:rsid w:val="009C4205"/>
    <w:rsid w:val="009C4346"/>
    <w:rsid w:val="009C47A0"/>
    <w:rsid w:val="009C48CC"/>
    <w:rsid w:val="009C4C0F"/>
    <w:rsid w:val="009C5371"/>
    <w:rsid w:val="009C5A0D"/>
    <w:rsid w:val="009C5E5F"/>
    <w:rsid w:val="009D0BA3"/>
    <w:rsid w:val="009D13C1"/>
    <w:rsid w:val="009D15ED"/>
    <w:rsid w:val="009D1CB9"/>
    <w:rsid w:val="009D1F8C"/>
    <w:rsid w:val="009D1FFE"/>
    <w:rsid w:val="009D272A"/>
    <w:rsid w:val="009D2DEF"/>
    <w:rsid w:val="009D2FE1"/>
    <w:rsid w:val="009D3696"/>
    <w:rsid w:val="009D38C4"/>
    <w:rsid w:val="009D3C7A"/>
    <w:rsid w:val="009D4552"/>
    <w:rsid w:val="009D4791"/>
    <w:rsid w:val="009D4D3D"/>
    <w:rsid w:val="009D4ED8"/>
    <w:rsid w:val="009D53B3"/>
    <w:rsid w:val="009D54A4"/>
    <w:rsid w:val="009D657D"/>
    <w:rsid w:val="009D6760"/>
    <w:rsid w:val="009D67DE"/>
    <w:rsid w:val="009D70E2"/>
    <w:rsid w:val="009D719D"/>
    <w:rsid w:val="009D78DD"/>
    <w:rsid w:val="009E0098"/>
    <w:rsid w:val="009E0897"/>
    <w:rsid w:val="009E0E33"/>
    <w:rsid w:val="009E33B7"/>
    <w:rsid w:val="009E5176"/>
    <w:rsid w:val="009E53F1"/>
    <w:rsid w:val="009E5703"/>
    <w:rsid w:val="009E5D89"/>
    <w:rsid w:val="009E6E54"/>
    <w:rsid w:val="009E7536"/>
    <w:rsid w:val="009E7D1E"/>
    <w:rsid w:val="009F063B"/>
    <w:rsid w:val="009F0EF0"/>
    <w:rsid w:val="009F1E4D"/>
    <w:rsid w:val="009F2751"/>
    <w:rsid w:val="009F282E"/>
    <w:rsid w:val="009F2E68"/>
    <w:rsid w:val="009F36ED"/>
    <w:rsid w:val="009F3C17"/>
    <w:rsid w:val="009F4068"/>
    <w:rsid w:val="009F4267"/>
    <w:rsid w:val="009F556D"/>
    <w:rsid w:val="009F65A9"/>
    <w:rsid w:val="009F6B17"/>
    <w:rsid w:val="009F7043"/>
    <w:rsid w:val="009F7131"/>
    <w:rsid w:val="009F7633"/>
    <w:rsid w:val="009F7A32"/>
    <w:rsid w:val="009F7E18"/>
    <w:rsid w:val="00A01306"/>
    <w:rsid w:val="00A01C40"/>
    <w:rsid w:val="00A02198"/>
    <w:rsid w:val="00A0517F"/>
    <w:rsid w:val="00A057A8"/>
    <w:rsid w:val="00A061B9"/>
    <w:rsid w:val="00A109DA"/>
    <w:rsid w:val="00A11084"/>
    <w:rsid w:val="00A11387"/>
    <w:rsid w:val="00A11714"/>
    <w:rsid w:val="00A11A0E"/>
    <w:rsid w:val="00A120CF"/>
    <w:rsid w:val="00A12911"/>
    <w:rsid w:val="00A12C70"/>
    <w:rsid w:val="00A13788"/>
    <w:rsid w:val="00A1439E"/>
    <w:rsid w:val="00A14528"/>
    <w:rsid w:val="00A16163"/>
    <w:rsid w:val="00A16CAB"/>
    <w:rsid w:val="00A172E4"/>
    <w:rsid w:val="00A20E42"/>
    <w:rsid w:val="00A21139"/>
    <w:rsid w:val="00A21F14"/>
    <w:rsid w:val="00A221EB"/>
    <w:rsid w:val="00A2233D"/>
    <w:rsid w:val="00A23B8A"/>
    <w:rsid w:val="00A24645"/>
    <w:rsid w:val="00A24886"/>
    <w:rsid w:val="00A253BF"/>
    <w:rsid w:val="00A25981"/>
    <w:rsid w:val="00A263D6"/>
    <w:rsid w:val="00A2667D"/>
    <w:rsid w:val="00A26A38"/>
    <w:rsid w:val="00A27336"/>
    <w:rsid w:val="00A27776"/>
    <w:rsid w:val="00A30A37"/>
    <w:rsid w:val="00A31B37"/>
    <w:rsid w:val="00A31F47"/>
    <w:rsid w:val="00A32301"/>
    <w:rsid w:val="00A3317A"/>
    <w:rsid w:val="00A33395"/>
    <w:rsid w:val="00A33DE7"/>
    <w:rsid w:val="00A343BD"/>
    <w:rsid w:val="00A3471A"/>
    <w:rsid w:val="00A34A78"/>
    <w:rsid w:val="00A36F49"/>
    <w:rsid w:val="00A372DC"/>
    <w:rsid w:val="00A37907"/>
    <w:rsid w:val="00A40502"/>
    <w:rsid w:val="00A414E5"/>
    <w:rsid w:val="00A43AF0"/>
    <w:rsid w:val="00A44268"/>
    <w:rsid w:val="00A45909"/>
    <w:rsid w:val="00A45A73"/>
    <w:rsid w:val="00A45D75"/>
    <w:rsid w:val="00A45FD5"/>
    <w:rsid w:val="00A46366"/>
    <w:rsid w:val="00A46483"/>
    <w:rsid w:val="00A46F4F"/>
    <w:rsid w:val="00A46F85"/>
    <w:rsid w:val="00A47D48"/>
    <w:rsid w:val="00A50300"/>
    <w:rsid w:val="00A508FD"/>
    <w:rsid w:val="00A50B5F"/>
    <w:rsid w:val="00A513F5"/>
    <w:rsid w:val="00A523CC"/>
    <w:rsid w:val="00A530E4"/>
    <w:rsid w:val="00A5335F"/>
    <w:rsid w:val="00A53655"/>
    <w:rsid w:val="00A5375E"/>
    <w:rsid w:val="00A53967"/>
    <w:rsid w:val="00A54282"/>
    <w:rsid w:val="00A54EE9"/>
    <w:rsid w:val="00A55B51"/>
    <w:rsid w:val="00A55CAD"/>
    <w:rsid w:val="00A57398"/>
    <w:rsid w:val="00A57D3F"/>
    <w:rsid w:val="00A60152"/>
    <w:rsid w:val="00A613C3"/>
    <w:rsid w:val="00A6148D"/>
    <w:rsid w:val="00A62063"/>
    <w:rsid w:val="00A621A1"/>
    <w:rsid w:val="00A63597"/>
    <w:rsid w:val="00A63AB9"/>
    <w:rsid w:val="00A64251"/>
    <w:rsid w:val="00A657E2"/>
    <w:rsid w:val="00A663EC"/>
    <w:rsid w:val="00A667ED"/>
    <w:rsid w:val="00A66B92"/>
    <w:rsid w:val="00A670C0"/>
    <w:rsid w:val="00A67861"/>
    <w:rsid w:val="00A71D81"/>
    <w:rsid w:val="00A7236B"/>
    <w:rsid w:val="00A72D48"/>
    <w:rsid w:val="00A73452"/>
    <w:rsid w:val="00A73917"/>
    <w:rsid w:val="00A74085"/>
    <w:rsid w:val="00A75C7E"/>
    <w:rsid w:val="00A76477"/>
    <w:rsid w:val="00A76A2F"/>
    <w:rsid w:val="00A7703A"/>
    <w:rsid w:val="00A7725C"/>
    <w:rsid w:val="00A773D9"/>
    <w:rsid w:val="00A81A45"/>
    <w:rsid w:val="00A81DE5"/>
    <w:rsid w:val="00A823E9"/>
    <w:rsid w:val="00A828CA"/>
    <w:rsid w:val="00A829DC"/>
    <w:rsid w:val="00A82F4A"/>
    <w:rsid w:val="00A8403D"/>
    <w:rsid w:val="00A84746"/>
    <w:rsid w:val="00A847A8"/>
    <w:rsid w:val="00A84B04"/>
    <w:rsid w:val="00A84C1C"/>
    <w:rsid w:val="00A857BD"/>
    <w:rsid w:val="00A85A60"/>
    <w:rsid w:val="00A85F0C"/>
    <w:rsid w:val="00A862BA"/>
    <w:rsid w:val="00A86542"/>
    <w:rsid w:val="00A86735"/>
    <w:rsid w:val="00A873CA"/>
    <w:rsid w:val="00A87724"/>
    <w:rsid w:val="00A877FE"/>
    <w:rsid w:val="00A87A76"/>
    <w:rsid w:val="00A90273"/>
    <w:rsid w:val="00A904F2"/>
    <w:rsid w:val="00A905C8"/>
    <w:rsid w:val="00A90F63"/>
    <w:rsid w:val="00A91366"/>
    <w:rsid w:val="00A916DC"/>
    <w:rsid w:val="00A91E6D"/>
    <w:rsid w:val="00A9221C"/>
    <w:rsid w:val="00A92524"/>
    <w:rsid w:val="00A926BC"/>
    <w:rsid w:val="00A92DE1"/>
    <w:rsid w:val="00A931BB"/>
    <w:rsid w:val="00A9360A"/>
    <w:rsid w:val="00A93F6D"/>
    <w:rsid w:val="00A9598E"/>
    <w:rsid w:val="00A97BB6"/>
    <w:rsid w:val="00AA0319"/>
    <w:rsid w:val="00AA1A81"/>
    <w:rsid w:val="00AA1FC2"/>
    <w:rsid w:val="00AA2A69"/>
    <w:rsid w:val="00AA2BC2"/>
    <w:rsid w:val="00AA3246"/>
    <w:rsid w:val="00AA32C0"/>
    <w:rsid w:val="00AA3625"/>
    <w:rsid w:val="00AA444B"/>
    <w:rsid w:val="00AA45DA"/>
    <w:rsid w:val="00AA480B"/>
    <w:rsid w:val="00AA4DFA"/>
    <w:rsid w:val="00AA52A9"/>
    <w:rsid w:val="00AA5498"/>
    <w:rsid w:val="00AA5558"/>
    <w:rsid w:val="00AA5C4A"/>
    <w:rsid w:val="00AA6605"/>
    <w:rsid w:val="00AA67DD"/>
    <w:rsid w:val="00AA6BDA"/>
    <w:rsid w:val="00AA6F31"/>
    <w:rsid w:val="00AA7291"/>
    <w:rsid w:val="00AA74FD"/>
    <w:rsid w:val="00AB03C1"/>
    <w:rsid w:val="00AB06D1"/>
    <w:rsid w:val="00AB0DF5"/>
    <w:rsid w:val="00AB0E34"/>
    <w:rsid w:val="00AB1E36"/>
    <w:rsid w:val="00AB226E"/>
    <w:rsid w:val="00AB254F"/>
    <w:rsid w:val="00AB2D60"/>
    <w:rsid w:val="00AB4AA3"/>
    <w:rsid w:val="00AB4B0C"/>
    <w:rsid w:val="00AB4B9A"/>
    <w:rsid w:val="00AB529A"/>
    <w:rsid w:val="00AB5A3B"/>
    <w:rsid w:val="00AB5C01"/>
    <w:rsid w:val="00AB5DEC"/>
    <w:rsid w:val="00AB6A10"/>
    <w:rsid w:val="00AB70FC"/>
    <w:rsid w:val="00AB77AF"/>
    <w:rsid w:val="00AB791C"/>
    <w:rsid w:val="00AB7C2E"/>
    <w:rsid w:val="00AC0138"/>
    <w:rsid w:val="00AC09DF"/>
    <w:rsid w:val="00AC10FF"/>
    <w:rsid w:val="00AC205F"/>
    <w:rsid w:val="00AC29D7"/>
    <w:rsid w:val="00AC33B0"/>
    <w:rsid w:val="00AC35B3"/>
    <w:rsid w:val="00AC5AB0"/>
    <w:rsid w:val="00AC6D24"/>
    <w:rsid w:val="00AC6E70"/>
    <w:rsid w:val="00AC7A36"/>
    <w:rsid w:val="00AD002E"/>
    <w:rsid w:val="00AD02A8"/>
    <w:rsid w:val="00AD0FCE"/>
    <w:rsid w:val="00AD17FB"/>
    <w:rsid w:val="00AD29C5"/>
    <w:rsid w:val="00AD2C38"/>
    <w:rsid w:val="00AD325A"/>
    <w:rsid w:val="00AD3E09"/>
    <w:rsid w:val="00AD4D78"/>
    <w:rsid w:val="00AD4ECC"/>
    <w:rsid w:val="00AD5508"/>
    <w:rsid w:val="00AD598F"/>
    <w:rsid w:val="00AD6C96"/>
    <w:rsid w:val="00AD7550"/>
    <w:rsid w:val="00AE0854"/>
    <w:rsid w:val="00AE10D0"/>
    <w:rsid w:val="00AE13E5"/>
    <w:rsid w:val="00AE267D"/>
    <w:rsid w:val="00AE400F"/>
    <w:rsid w:val="00AE4681"/>
    <w:rsid w:val="00AE644C"/>
    <w:rsid w:val="00AE6BB6"/>
    <w:rsid w:val="00AE6E8E"/>
    <w:rsid w:val="00AE7021"/>
    <w:rsid w:val="00AE7878"/>
    <w:rsid w:val="00AE7DD9"/>
    <w:rsid w:val="00AF010C"/>
    <w:rsid w:val="00AF0527"/>
    <w:rsid w:val="00AF1777"/>
    <w:rsid w:val="00AF1DBA"/>
    <w:rsid w:val="00AF2728"/>
    <w:rsid w:val="00AF341B"/>
    <w:rsid w:val="00AF4898"/>
    <w:rsid w:val="00AF5B29"/>
    <w:rsid w:val="00AF5F5E"/>
    <w:rsid w:val="00AF6BFD"/>
    <w:rsid w:val="00AF6C53"/>
    <w:rsid w:val="00AF7654"/>
    <w:rsid w:val="00B01623"/>
    <w:rsid w:val="00B01904"/>
    <w:rsid w:val="00B01A00"/>
    <w:rsid w:val="00B0243E"/>
    <w:rsid w:val="00B030ED"/>
    <w:rsid w:val="00B036FF"/>
    <w:rsid w:val="00B038D8"/>
    <w:rsid w:val="00B03973"/>
    <w:rsid w:val="00B03DDE"/>
    <w:rsid w:val="00B057AC"/>
    <w:rsid w:val="00B059CA"/>
    <w:rsid w:val="00B05EB5"/>
    <w:rsid w:val="00B071CD"/>
    <w:rsid w:val="00B107B4"/>
    <w:rsid w:val="00B10F50"/>
    <w:rsid w:val="00B11FC7"/>
    <w:rsid w:val="00B1352E"/>
    <w:rsid w:val="00B140A4"/>
    <w:rsid w:val="00B14458"/>
    <w:rsid w:val="00B1447A"/>
    <w:rsid w:val="00B1467E"/>
    <w:rsid w:val="00B152AE"/>
    <w:rsid w:val="00B1577C"/>
    <w:rsid w:val="00B1650B"/>
    <w:rsid w:val="00B16551"/>
    <w:rsid w:val="00B166B0"/>
    <w:rsid w:val="00B17657"/>
    <w:rsid w:val="00B1789D"/>
    <w:rsid w:val="00B21164"/>
    <w:rsid w:val="00B21864"/>
    <w:rsid w:val="00B21BED"/>
    <w:rsid w:val="00B21CCB"/>
    <w:rsid w:val="00B22ADE"/>
    <w:rsid w:val="00B22D8C"/>
    <w:rsid w:val="00B23F6F"/>
    <w:rsid w:val="00B243E2"/>
    <w:rsid w:val="00B2446D"/>
    <w:rsid w:val="00B24CE8"/>
    <w:rsid w:val="00B25071"/>
    <w:rsid w:val="00B25780"/>
    <w:rsid w:val="00B25DB9"/>
    <w:rsid w:val="00B26470"/>
    <w:rsid w:val="00B26BB4"/>
    <w:rsid w:val="00B27AE6"/>
    <w:rsid w:val="00B30A5E"/>
    <w:rsid w:val="00B30F86"/>
    <w:rsid w:val="00B316C2"/>
    <w:rsid w:val="00B31EB8"/>
    <w:rsid w:val="00B32221"/>
    <w:rsid w:val="00B32B40"/>
    <w:rsid w:val="00B337C8"/>
    <w:rsid w:val="00B33DF7"/>
    <w:rsid w:val="00B34334"/>
    <w:rsid w:val="00B34A8F"/>
    <w:rsid w:val="00B34D26"/>
    <w:rsid w:val="00B35860"/>
    <w:rsid w:val="00B379A6"/>
    <w:rsid w:val="00B40207"/>
    <w:rsid w:val="00B40316"/>
    <w:rsid w:val="00B404AD"/>
    <w:rsid w:val="00B407DD"/>
    <w:rsid w:val="00B40B05"/>
    <w:rsid w:val="00B40FE4"/>
    <w:rsid w:val="00B42184"/>
    <w:rsid w:val="00B421D2"/>
    <w:rsid w:val="00B42406"/>
    <w:rsid w:val="00B4323A"/>
    <w:rsid w:val="00B432F0"/>
    <w:rsid w:val="00B4352A"/>
    <w:rsid w:val="00B43EB7"/>
    <w:rsid w:val="00B44A56"/>
    <w:rsid w:val="00B44B7C"/>
    <w:rsid w:val="00B44C9B"/>
    <w:rsid w:val="00B44F33"/>
    <w:rsid w:val="00B45288"/>
    <w:rsid w:val="00B452B1"/>
    <w:rsid w:val="00B459E3"/>
    <w:rsid w:val="00B465C0"/>
    <w:rsid w:val="00B475D2"/>
    <w:rsid w:val="00B50D1F"/>
    <w:rsid w:val="00B50FA2"/>
    <w:rsid w:val="00B51812"/>
    <w:rsid w:val="00B51818"/>
    <w:rsid w:val="00B52079"/>
    <w:rsid w:val="00B5300D"/>
    <w:rsid w:val="00B545F3"/>
    <w:rsid w:val="00B55A22"/>
    <w:rsid w:val="00B56596"/>
    <w:rsid w:val="00B56C87"/>
    <w:rsid w:val="00B5753F"/>
    <w:rsid w:val="00B605EC"/>
    <w:rsid w:val="00B605EF"/>
    <w:rsid w:val="00B608AF"/>
    <w:rsid w:val="00B61723"/>
    <w:rsid w:val="00B629C6"/>
    <w:rsid w:val="00B637DE"/>
    <w:rsid w:val="00B64327"/>
    <w:rsid w:val="00B64E6B"/>
    <w:rsid w:val="00B64E9E"/>
    <w:rsid w:val="00B65518"/>
    <w:rsid w:val="00B6572A"/>
    <w:rsid w:val="00B66CDD"/>
    <w:rsid w:val="00B675B7"/>
    <w:rsid w:val="00B67B12"/>
    <w:rsid w:val="00B67CEF"/>
    <w:rsid w:val="00B700CA"/>
    <w:rsid w:val="00B70394"/>
    <w:rsid w:val="00B719CD"/>
    <w:rsid w:val="00B72EAD"/>
    <w:rsid w:val="00B7342F"/>
    <w:rsid w:val="00B75BC6"/>
    <w:rsid w:val="00B75C5A"/>
    <w:rsid w:val="00B76F62"/>
    <w:rsid w:val="00B80285"/>
    <w:rsid w:val="00B80289"/>
    <w:rsid w:val="00B838C3"/>
    <w:rsid w:val="00B83C86"/>
    <w:rsid w:val="00B83E6B"/>
    <w:rsid w:val="00B842D6"/>
    <w:rsid w:val="00B842EA"/>
    <w:rsid w:val="00B84710"/>
    <w:rsid w:val="00B84798"/>
    <w:rsid w:val="00B85450"/>
    <w:rsid w:val="00B855A8"/>
    <w:rsid w:val="00B857B0"/>
    <w:rsid w:val="00B85EA6"/>
    <w:rsid w:val="00B864A9"/>
    <w:rsid w:val="00B869A2"/>
    <w:rsid w:val="00B86A89"/>
    <w:rsid w:val="00B87397"/>
    <w:rsid w:val="00B8741E"/>
    <w:rsid w:val="00B877ED"/>
    <w:rsid w:val="00B8786A"/>
    <w:rsid w:val="00B8789B"/>
    <w:rsid w:val="00B902AE"/>
    <w:rsid w:val="00B905B7"/>
    <w:rsid w:val="00B90ACC"/>
    <w:rsid w:val="00B919C3"/>
    <w:rsid w:val="00B922F0"/>
    <w:rsid w:val="00B92A1D"/>
    <w:rsid w:val="00B92BFA"/>
    <w:rsid w:val="00B934BD"/>
    <w:rsid w:val="00B938CE"/>
    <w:rsid w:val="00B94A15"/>
    <w:rsid w:val="00B952F8"/>
    <w:rsid w:val="00B95875"/>
    <w:rsid w:val="00B964D8"/>
    <w:rsid w:val="00B964EC"/>
    <w:rsid w:val="00B96BCF"/>
    <w:rsid w:val="00B96CA8"/>
    <w:rsid w:val="00B97929"/>
    <w:rsid w:val="00B97AC9"/>
    <w:rsid w:val="00BA0263"/>
    <w:rsid w:val="00BA02C1"/>
    <w:rsid w:val="00BA20B3"/>
    <w:rsid w:val="00BA20FE"/>
    <w:rsid w:val="00BA3BE5"/>
    <w:rsid w:val="00BA4327"/>
    <w:rsid w:val="00BA55D3"/>
    <w:rsid w:val="00BA61BD"/>
    <w:rsid w:val="00BA6236"/>
    <w:rsid w:val="00BA6760"/>
    <w:rsid w:val="00BA6A66"/>
    <w:rsid w:val="00BA6F1B"/>
    <w:rsid w:val="00BA7681"/>
    <w:rsid w:val="00BA776E"/>
    <w:rsid w:val="00BA7BC2"/>
    <w:rsid w:val="00BB0075"/>
    <w:rsid w:val="00BB0546"/>
    <w:rsid w:val="00BB2D08"/>
    <w:rsid w:val="00BB3112"/>
    <w:rsid w:val="00BB33AA"/>
    <w:rsid w:val="00BB33AB"/>
    <w:rsid w:val="00BB41AE"/>
    <w:rsid w:val="00BB4D76"/>
    <w:rsid w:val="00BB4FB0"/>
    <w:rsid w:val="00BB5207"/>
    <w:rsid w:val="00BB622D"/>
    <w:rsid w:val="00BB6D20"/>
    <w:rsid w:val="00BB7C8F"/>
    <w:rsid w:val="00BC048A"/>
    <w:rsid w:val="00BC185D"/>
    <w:rsid w:val="00BC23DD"/>
    <w:rsid w:val="00BC28D6"/>
    <w:rsid w:val="00BC2DBE"/>
    <w:rsid w:val="00BC39A5"/>
    <w:rsid w:val="00BC3E7D"/>
    <w:rsid w:val="00BC4026"/>
    <w:rsid w:val="00BC4101"/>
    <w:rsid w:val="00BC49C2"/>
    <w:rsid w:val="00BC4BBC"/>
    <w:rsid w:val="00BC4D9F"/>
    <w:rsid w:val="00BC59B3"/>
    <w:rsid w:val="00BC59C3"/>
    <w:rsid w:val="00BC5C33"/>
    <w:rsid w:val="00BC62EC"/>
    <w:rsid w:val="00BC687E"/>
    <w:rsid w:val="00BC68F0"/>
    <w:rsid w:val="00BC7267"/>
    <w:rsid w:val="00BC77F2"/>
    <w:rsid w:val="00BD0078"/>
    <w:rsid w:val="00BD0D82"/>
    <w:rsid w:val="00BD0F78"/>
    <w:rsid w:val="00BD1459"/>
    <w:rsid w:val="00BD3BFA"/>
    <w:rsid w:val="00BD4173"/>
    <w:rsid w:val="00BD4612"/>
    <w:rsid w:val="00BD4615"/>
    <w:rsid w:val="00BD4854"/>
    <w:rsid w:val="00BD4A22"/>
    <w:rsid w:val="00BD4C46"/>
    <w:rsid w:val="00BD4C73"/>
    <w:rsid w:val="00BD549F"/>
    <w:rsid w:val="00BD559D"/>
    <w:rsid w:val="00BD5B21"/>
    <w:rsid w:val="00BD6FEA"/>
    <w:rsid w:val="00BD7163"/>
    <w:rsid w:val="00BD7AEF"/>
    <w:rsid w:val="00BD7AF8"/>
    <w:rsid w:val="00BD7F14"/>
    <w:rsid w:val="00BE1BB4"/>
    <w:rsid w:val="00BE2772"/>
    <w:rsid w:val="00BE2ABB"/>
    <w:rsid w:val="00BE3466"/>
    <w:rsid w:val="00BE37CD"/>
    <w:rsid w:val="00BE3B68"/>
    <w:rsid w:val="00BE3DEF"/>
    <w:rsid w:val="00BE3FB5"/>
    <w:rsid w:val="00BE44A4"/>
    <w:rsid w:val="00BE49FB"/>
    <w:rsid w:val="00BE5408"/>
    <w:rsid w:val="00BE57DD"/>
    <w:rsid w:val="00BE63FF"/>
    <w:rsid w:val="00BE6ECA"/>
    <w:rsid w:val="00BE7D1E"/>
    <w:rsid w:val="00BE7F70"/>
    <w:rsid w:val="00BF0843"/>
    <w:rsid w:val="00BF0B9E"/>
    <w:rsid w:val="00BF0F1D"/>
    <w:rsid w:val="00BF1940"/>
    <w:rsid w:val="00BF29F0"/>
    <w:rsid w:val="00BF3250"/>
    <w:rsid w:val="00BF3FBC"/>
    <w:rsid w:val="00BF40A3"/>
    <w:rsid w:val="00BF446C"/>
    <w:rsid w:val="00BF5B06"/>
    <w:rsid w:val="00BF67E4"/>
    <w:rsid w:val="00BF7660"/>
    <w:rsid w:val="00BF7900"/>
    <w:rsid w:val="00C00BCD"/>
    <w:rsid w:val="00C00C04"/>
    <w:rsid w:val="00C012D3"/>
    <w:rsid w:val="00C0184D"/>
    <w:rsid w:val="00C01891"/>
    <w:rsid w:val="00C02DC2"/>
    <w:rsid w:val="00C034C5"/>
    <w:rsid w:val="00C04B44"/>
    <w:rsid w:val="00C04E04"/>
    <w:rsid w:val="00C04E95"/>
    <w:rsid w:val="00C050A0"/>
    <w:rsid w:val="00C05760"/>
    <w:rsid w:val="00C06146"/>
    <w:rsid w:val="00C07F90"/>
    <w:rsid w:val="00C102B0"/>
    <w:rsid w:val="00C120C5"/>
    <w:rsid w:val="00C1219E"/>
    <w:rsid w:val="00C12768"/>
    <w:rsid w:val="00C12B91"/>
    <w:rsid w:val="00C13167"/>
    <w:rsid w:val="00C13568"/>
    <w:rsid w:val="00C1410F"/>
    <w:rsid w:val="00C14D53"/>
    <w:rsid w:val="00C15AF7"/>
    <w:rsid w:val="00C15EBF"/>
    <w:rsid w:val="00C15ED3"/>
    <w:rsid w:val="00C162F8"/>
    <w:rsid w:val="00C16A35"/>
    <w:rsid w:val="00C17218"/>
    <w:rsid w:val="00C1754A"/>
    <w:rsid w:val="00C17EE5"/>
    <w:rsid w:val="00C206D2"/>
    <w:rsid w:val="00C2088F"/>
    <w:rsid w:val="00C20D28"/>
    <w:rsid w:val="00C20E6B"/>
    <w:rsid w:val="00C21045"/>
    <w:rsid w:val="00C21B35"/>
    <w:rsid w:val="00C22269"/>
    <w:rsid w:val="00C22D83"/>
    <w:rsid w:val="00C23805"/>
    <w:rsid w:val="00C24791"/>
    <w:rsid w:val="00C247B3"/>
    <w:rsid w:val="00C2490B"/>
    <w:rsid w:val="00C2628A"/>
    <w:rsid w:val="00C2662F"/>
    <w:rsid w:val="00C26E09"/>
    <w:rsid w:val="00C279FA"/>
    <w:rsid w:val="00C27B3E"/>
    <w:rsid w:val="00C27EE1"/>
    <w:rsid w:val="00C30ADD"/>
    <w:rsid w:val="00C30C25"/>
    <w:rsid w:val="00C30F1B"/>
    <w:rsid w:val="00C31211"/>
    <w:rsid w:val="00C32B01"/>
    <w:rsid w:val="00C336E9"/>
    <w:rsid w:val="00C33B6E"/>
    <w:rsid w:val="00C33CBB"/>
    <w:rsid w:val="00C34CC5"/>
    <w:rsid w:val="00C35898"/>
    <w:rsid w:val="00C35E54"/>
    <w:rsid w:val="00C36151"/>
    <w:rsid w:val="00C362CE"/>
    <w:rsid w:val="00C40D0D"/>
    <w:rsid w:val="00C415FB"/>
    <w:rsid w:val="00C41792"/>
    <w:rsid w:val="00C4337F"/>
    <w:rsid w:val="00C43BF2"/>
    <w:rsid w:val="00C452FF"/>
    <w:rsid w:val="00C455EB"/>
    <w:rsid w:val="00C45ED5"/>
    <w:rsid w:val="00C46E96"/>
    <w:rsid w:val="00C51779"/>
    <w:rsid w:val="00C51A6F"/>
    <w:rsid w:val="00C51CF0"/>
    <w:rsid w:val="00C52D2D"/>
    <w:rsid w:val="00C5339D"/>
    <w:rsid w:val="00C545C8"/>
    <w:rsid w:val="00C54A41"/>
    <w:rsid w:val="00C563ED"/>
    <w:rsid w:val="00C56FAB"/>
    <w:rsid w:val="00C6081D"/>
    <w:rsid w:val="00C60E9C"/>
    <w:rsid w:val="00C613F5"/>
    <w:rsid w:val="00C617BF"/>
    <w:rsid w:val="00C6186F"/>
    <w:rsid w:val="00C61D6A"/>
    <w:rsid w:val="00C62615"/>
    <w:rsid w:val="00C628F1"/>
    <w:rsid w:val="00C62EE8"/>
    <w:rsid w:val="00C630F1"/>
    <w:rsid w:val="00C63E89"/>
    <w:rsid w:val="00C63EA3"/>
    <w:rsid w:val="00C64702"/>
    <w:rsid w:val="00C64B54"/>
    <w:rsid w:val="00C64DA4"/>
    <w:rsid w:val="00C64F7E"/>
    <w:rsid w:val="00C64FB9"/>
    <w:rsid w:val="00C657CA"/>
    <w:rsid w:val="00C65E95"/>
    <w:rsid w:val="00C70264"/>
    <w:rsid w:val="00C702C6"/>
    <w:rsid w:val="00C70E8D"/>
    <w:rsid w:val="00C7149A"/>
    <w:rsid w:val="00C71A2A"/>
    <w:rsid w:val="00C7344B"/>
    <w:rsid w:val="00C743C7"/>
    <w:rsid w:val="00C746D3"/>
    <w:rsid w:val="00C75489"/>
    <w:rsid w:val="00C76592"/>
    <w:rsid w:val="00C76DBF"/>
    <w:rsid w:val="00C76F98"/>
    <w:rsid w:val="00C7705F"/>
    <w:rsid w:val="00C77950"/>
    <w:rsid w:val="00C77E96"/>
    <w:rsid w:val="00C80505"/>
    <w:rsid w:val="00C812A2"/>
    <w:rsid w:val="00C81500"/>
    <w:rsid w:val="00C81B66"/>
    <w:rsid w:val="00C820CC"/>
    <w:rsid w:val="00C83C60"/>
    <w:rsid w:val="00C84322"/>
    <w:rsid w:val="00C8434C"/>
    <w:rsid w:val="00C84C15"/>
    <w:rsid w:val="00C85C6D"/>
    <w:rsid w:val="00C85E6E"/>
    <w:rsid w:val="00C91760"/>
    <w:rsid w:val="00C91DBA"/>
    <w:rsid w:val="00C92012"/>
    <w:rsid w:val="00C92495"/>
    <w:rsid w:val="00C92D88"/>
    <w:rsid w:val="00C94114"/>
    <w:rsid w:val="00C95AC7"/>
    <w:rsid w:val="00C95D31"/>
    <w:rsid w:val="00C95F9A"/>
    <w:rsid w:val="00C960E5"/>
    <w:rsid w:val="00C96986"/>
    <w:rsid w:val="00C96A8B"/>
    <w:rsid w:val="00C97204"/>
    <w:rsid w:val="00CA19CF"/>
    <w:rsid w:val="00CA45C0"/>
    <w:rsid w:val="00CA4F27"/>
    <w:rsid w:val="00CA5013"/>
    <w:rsid w:val="00CA7B94"/>
    <w:rsid w:val="00CA7FEF"/>
    <w:rsid w:val="00CB02D8"/>
    <w:rsid w:val="00CB044F"/>
    <w:rsid w:val="00CB061D"/>
    <w:rsid w:val="00CB0CC5"/>
    <w:rsid w:val="00CB124E"/>
    <w:rsid w:val="00CB30D6"/>
    <w:rsid w:val="00CB350A"/>
    <w:rsid w:val="00CB50EF"/>
    <w:rsid w:val="00CB6123"/>
    <w:rsid w:val="00CB6887"/>
    <w:rsid w:val="00CB6C72"/>
    <w:rsid w:val="00CB6E37"/>
    <w:rsid w:val="00CB70FE"/>
    <w:rsid w:val="00CB7474"/>
    <w:rsid w:val="00CB78A0"/>
    <w:rsid w:val="00CB7D9E"/>
    <w:rsid w:val="00CC044B"/>
    <w:rsid w:val="00CC079E"/>
    <w:rsid w:val="00CC1430"/>
    <w:rsid w:val="00CC1989"/>
    <w:rsid w:val="00CC1E28"/>
    <w:rsid w:val="00CC20FE"/>
    <w:rsid w:val="00CC3976"/>
    <w:rsid w:val="00CC4544"/>
    <w:rsid w:val="00CC486C"/>
    <w:rsid w:val="00CC51B4"/>
    <w:rsid w:val="00CC71FA"/>
    <w:rsid w:val="00CC7A26"/>
    <w:rsid w:val="00CC7C9D"/>
    <w:rsid w:val="00CD1220"/>
    <w:rsid w:val="00CD183E"/>
    <w:rsid w:val="00CD1B1E"/>
    <w:rsid w:val="00CD1B99"/>
    <w:rsid w:val="00CD4C77"/>
    <w:rsid w:val="00CD6A2E"/>
    <w:rsid w:val="00CD7288"/>
    <w:rsid w:val="00CD7F25"/>
    <w:rsid w:val="00CE1052"/>
    <w:rsid w:val="00CE1783"/>
    <w:rsid w:val="00CE20F1"/>
    <w:rsid w:val="00CE21A6"/>
    <w:rsid w:val="00CE28A7"/>
    <w:rsid w:val="00CE2C43"/>
    <w:rsid w:val="00CE2D84"/>
    <w:rsid w:val="00CE3051"/>
    <w:rsid w:val="00CE3228"/>
    <w:rsid w:val="00CE357C"/>
    <w:rsid w:val="00CE444A"/>
    <w:rsid w:val="00CE5B48"/>
    <w:rsid w:val="00CE5D5E"/>
    <w:rsid w:val="00CE6450"/>
    <w:rsid w:val="00CE6460"/>
    <w:rsid w:val="00CE699A"/>
    <w:rsid w:val="00CE7720"/>
    <w:rsid w:val="00CE7FF6"/>
    <w:rsid w:val="00CF0ABE"/>
    <w:rsid w:val="00CF2632"/>
    <w:rsid w:val="00CF2A02"/>
    <w:rsid w:val="00CF2DA4"/>
    <w:rsid w:val="00CF3E57"/>
    <w:rsid w:val="00CF51F9"/>
    <w:rsid w:val="00CF52F9"/>
    <w:rsid w:val="00CF5519"/>
    <w:rsid w:val="00CF557B"/>
    <w:rsid w:val="00CF5599"/>
    <w:rsid w:val="00CF6868"/>
    <w:rsid w:val="00CF6998"/>
    <w:rsid w:val="00CF6BF3"/>
    <w:rsid w:val="00CF73A3"/>
    <w:rsid w:val="00CF7710"/>
    <w:rsid w:val="00CF7C36"/>
    <w:rsid w:val="00D00626"/>
    <w:rsid w:val="00D01307"/>
    <w:rsid w:val="00D0145C"/>
    <w:rsid w:val="00D0258A"/>
    <w:rsid w:val="00D02999"/>
    <w:rsid w:val="00D0523F"/>
    <w:rsid w:val="00D05347"/>
    <w:rsid w:val="00D06268"/>
    <w:rsid w:val="00D06CB0"/>
    <w:rsid w:val="00D06DDB"/>
    <w:rsid w:val="00D0710E"/>
    <w:rsid w:val="00D072E0"/>
    <w:rsid w:val="00D073C7"/>
    <w:rsid w:val="00D07AAC"/>
    <w:rsid w:val="00D10C3A"/>
    <w:rsid w:val="00D10F95"/>
    <w:rsid w:val="00D11009"/>
    <w:rsid w:val="00D11495"/>
    <w:rsid w:val="00D114FC"/>
    <w:rsid w:val="00D11879"/>
    <w:rsid w:val="00D118C3"/>
    <w:rsid w:val="00D13901"/>
    <w:rsid w:val="00D13916"/>
    <w:rsid w:val="00D13D05"/>
    <w:rsid w:val="00D13E18"/>
    <w:rsid w:val="00D15658"/>
    <w:rsid w:val="00D15879"/>
    <w:rsid w:val="00D166C6"/>
    <w:rsid w:val="00D16A90"/>
    <w:rsid w:val="00D16B5F"/>
    <w:rsid w:val="00D173C9"/>
    <w:rsid w:val="00D205CC"/>
    <w:rsid w:val="00D211C4"/>
    <w:rsid w:val="00D21383"/>
    <w:rsid w:val="00D217A8"/>
    <w:rsid w:val="00D219F4"/>
    <w:rsid w:val="00D2371C"/>
    <w:rsid w:val="00D24934"/>
    <w:rsid w:val="00D2518E"/>
    <w:rsid w:val="00D25409"/>
    <w:rsid w:val="00D2703D"/>
    <w:rsid w:val="00D272CE"/>
    <w:rsid w:val="00D3092C"/>
    <w:rsid w:val="00D31A62"/>
    <w:rsid w:val="00D31E2A"/>
    <w:rsid w:val="00D31F8E"/>
    <w:rsid w:val="00D323B3"/>
    <w:rsid w:val="00D327FA"/>
    <w:rsid w:val="00D327FC"/>
    <w:rsid w:val="00D32D88"/>
    <w:rsid w:val="00D333E6"/>
    <w:rsid w:val="00D3344F"/>
    <w:rsid w:val="00D33464"/>
    <w:rsid w:val="00D33A15"/>
    <w:rsid w:val="00D34050"/>
    <w:rsid w:val="00D349DD"/>
    <w:rsid w:val="00D350C2"/>
    <w:rsid w:val="00D36E8A"/>
    <w:rsid w:val="00D3781B"/>
    <w:rsid w:val="00D419DD"/>
    <w:rsid w:val="00D41DA4"/>
    <w:rsid w:val="00D41E1A"/>
    <w:rsid w:val="00D42AE9"/>
    <w:rsid w:val="00D42E3E"/>
    <w:rsid w:val="00D4359C"/>
    <w:rsid w:val="00D43916"/>
    <w:rsid w:val="00D457F1"/>
    <w:rsid w:val="00D4584E"/>
    <w:rsid w:val="00D45CC0"/>
    <w:rsid w:val="00D461B8"/>
    <w:rsid w:val="00D4621D"/>
    <w:rsid w:val="00D4659A"/>
    <w:rsid w:val="00D46657"/>
    <w:rsid w:val="00D46F51"/>
    <w:rsid w:val="00D47429"/>
    <w:rsid w:val="00D47B37"/>
    <w:rsid w:val="00D47DB9"/>
    <w:rsid w:val="00D500EE"/>
    <w:rsid w:val="00D50A23"/>
    <w:rsid w:val="00D52624"/>
    <w:rsid w:val="00D532B5"/>
    <w:rsid w:val="00D5335B"/>
    <w:rsid w:val="00D53B35"/>
    <w:rsid w:val="00D540A9"/>
    <w:rsid w:val="00D5414A"/>
    <w:rsid w:val="00D54262"/>
    <w:rsid w:val="00D55278"/>
    <w:rsid w:val="00D552D7"/>
    <w:rsid w:val="00D56B6A"/>
    <w:rsid w:val="00D56F38"/>
    <w:rsid w:val="00D571D4"/>
    <w:rsid w:val="00D57536"/>
    <w:rsid w:val="00D57544"/>
    <w:rsid w:val="00D6055A"/>
    <w:rsid w:val="00D60BD1"/>
    <w:rsid w:val="00D610ED"/>
    <w:rsid w:val="00D612EB"/>
    <w:rsid w:val="00D6264C"/>
    <w:rsid w:val="00D62905"/>
    <w:rsid w:val="00D62C5D"/>
    <w:rsid w:val="00D62C79"/>
    <w:rsid w:val="00D633EC"/>
    <w:rsid w:val="00D64E77"/>
    <w:rsid w:val="00D64F26"/>
    <w:rsid w:val="00D656BF"/>
    <w:rsid w:val="00D65EF7"/>
    <w:rsid w:val="00D65F4A"/>
    <w:rsid w:val="00D66156"/>
    <w:rsid w:val="00D6671C"/>
    <w:rsid w:val="00D67606"/>
    <w:rsid w:val="00D67A76"/>
    <w:rsid w:val="00D724D1"/>
    <w:rsid w:val="00D7278E"/>
    <w:rsid w:val="00D73D35"/>
    <w:rsid w:val="00D763B3"/>
    <w:rsid w:val="00D7692F"/>
    <w:rsid w:val="00D7735F"/>
    <w:rsid w:val="00D80334"/>
    <w:rsid w:val="00D80BD3"/>
    <w:rsid w:val="00D80E00"/>
    <w:rsid w:val="00D8132F"/>
    <w:rsid w:val="00D825BD"/>
    <w:rsid w:val="00D82A8E"/>
    <w:rsid w:val="00D83104"/>
    <w:rsid w:val="00D832FC"/>
    <w:rsid w:val="00D83E66"/>
    <w:rsid w:val="00D8437C"/>
    <w:rsid w:val="00D8461B"/>
    <w:rsid w:val="00D857EB"/>
    <w:rsid w:val="00D878BA"/>
    <w:rsid w:val="00D87A52"/>
    <w:rsid w:val="00D90439"/>
    <w:rsid w:val="00D91374"/>
    <w:rsid w:val="00D91526"/>
    <w:rsid w:val="00D921C8"/>
    <w:rsid w:val="00D92A12"/>
    <w:rsid w:val="00D93F8E"/>
    <w:rsid w:val="00D952C8"/>
    <w:rsid w:val="00D9532C"/>
    <w:rsid w:val="00D95962"/>
    <w:rsid w:val="00D959C3"/>
    <w:rsid w:val="00D97134"/>
    <w:rsid w:val="00D9747D"/>
    <w:rsid w:val="00D97D77"/>
    <w:rsid w:val="00DA0ACC"/>
    <w:rsid w:val="00DA18CF"/>
    <w:rsid w:val="00DA244A"/>
    <w:rsid w:val="00DA29CD"/>
    <w:rsid w:val="00DA2AA5"/>
    <w:rsid w:val="00DA2FC9"/>
    <w:rsid w:val="00DA3882"/>
    <w:rsid w:val="00DA406F"/>
    <w:rsid w:val="00DA499E"/>
    <w:rsid w:val="00DA57E4"/>
    <w:rsid w:val="00DA5F29"/>
    <w:rsid w:val="00DA6365"/>
    <w:rsid w:val="00DA652A"/>
    <w:rsid w:val="00DA6B25"/>
    <w:rsid w:val="00DA70D2"/>
    <w:rsid w:val="00DA7DD5"/>
    <w:rsid w:val="00DA7E13"/>
    <w:rsid w:val="00DA7E44"/>
    <w:rsid w:val="00DB104D"/>
    <w:rsid w:val="00DB1199"/>
    <w:rsid w:val="00DB158E"/>
    <w:rsid w:val="00DB207F"/>
    <w:rsid w:val="00DB2D37"/>
    <w:rsid w:val="00DB2D79"/>
    <w:rsid w:val="00DB2FE1"/>
    <w:rsid w:val="00DB30ED"/>
    <w:rsid w:val="00DB3291"/>
    <w:rsid w:val="00DB48A1"/>
    <w:rsid w:val="00DB4C5C"/>
    <w:rsid w:val="00DB538C"/>
    <w:rsid w:val="00DB6A4E"/>
    <w:rsid w:val="00DB6C99"/>
    <w:rsid w:val="00DB6EAD"/>
    <w:rsid w:val="00DB746F"/>
    <w:rsid w:val="00DB762C"/>
    <w:rsid w:val="00DC05FB"/>
    <w:rsid w:val="00DC13EB"/>
    <w:rsid w:val="00DC1BDD"/>
    <w:rsid w:val="00DC2054"/>
    <w:rsid w:val="00DC263D"/>
    <w:rsid w:val="00DC2AA9"/>
    <w:rsid w:val="00DC2C86"/>
    <w:rsid w:val="00DC3C15"/>
    <w:rsid w:val="00DC4534"/>
    <w:rsid w:val="00DC49B0"/>
    <w:rsid w:val="00DC4CA2"/>
    <w:rsid w:val="00DC512C"/>
    <w:rsid w:val="00DC52AC"/>
    <w:rsid w:val="00DC5C28"/>
    <w:rsid w:val="00DC5D2B"/>
    <w:rsid w:val="00DC6D61"/>
    <w:rsid w:val="00DC7D88"/>
    <w:rsid w:val="00DC7F50"/>
    <w:rsid w:val="00DD10C6"/>
    <w:rsid w:val="00DD1DC4"/>
    <w:rsid w:val="00DD1EC2"/>
    <w:rsid w:val="00DD27D2"/>
    <w:rsid w:val="00DD3902"/>
    <w:rsid w:val="00DD3D86"/>
    <w:rsid w:val="00DD4467"/>
    <w:rsid w:val="00DD4611"/>
    <w:rsid w:val="00DD4905"/>
    <w:rsid w:val="00DD4A2D"/>
    <w:rsid w:val="00DD63B7"/>
    <w:rsid w:val="00DD65E6"/>
    <w:rsid w:val="00DD6D70"/>
    <w:rsid w:val="00DD714E"/>
    <w:rsid w:val="00DD74D0"/>
    <w:rsid w:val="00DE0538"/>
    <w:rsid w:val="00DE14CD"/>
    <w:rsid w:val="00DE2996"/>
    <w:rsid w:val="00DE2A19"/>
    <w:rsid w:val="00DE32D4"/>
    <w:rsid w:val="00DE3C20"/>
    <w:rsid w:val="00DE4A06"/>
    <w:rsid w:val="00DE521D"/>
    <w:rsid w:val="00DE5944"/>
    <w:rsid w:val="00DE683D"/>
    <w:rsid w:val="00DE6C3B"/>
    <w:rsid w:val="00DE7187"/>
    <w:rsid w:val="00DE7293"/>
    <w:rsid w:val="00DE7350"/>
    <w:rsid w:val="00DE79F5"/>
    <w:rsid w:val="00DF0235"/>
    <w:rsid w:val="00DF0603"/>
    <w:rsid w:val="00DF14D4"/>
    <w:rsid w:val="00DF15BE"/>
    <w:rsid w:val="00DF1FCA"/>
    <w:rsid w:val="00DF2487"/>
    <w:rsid w:val="00DF28C3"/>
    <w:rsid w:val="00DF35B3"/>
    <w:rsid w:val="00DF3955"/>
    <w:rsid w:val="00DF43E5"/>
    <w:rsid w:val="00DF45C5"/>
    <w:rsid w:val="00DF4C4A"/>
    <w:rsid w:val="00DF57F2"/>
    <w:rsid w:val="00DF6325"/>
    <w:rsid w:val="00DF6A74"/>
    <w:rsid w:val="00DF6F07"/>
    <w:rsid w:val="00DF7740"/>
    <w:rsid w:val="00E0066E"/>
    <w:rsid w:val="00E010DD"/>
    <w:rsid w:val="00E0251A"/>
    <w:rsid w:val="00E028CC"/>
    <w:rsid w:val="00E03CB8"/>
    <w:rsid w:val="00E041B4"/>
    <w:rsid w:val="00E042DB"/>
    <w:rsid w:val="00E042FD"/>
    <w:rsid w:val="00E06421"/>
    <w:rsid w:val="00E0676B"/>
    <w:rsid w:val="00E06B5A"/>
    <w:rsid w:val="00E06E76"/>
    <w:rsid w:val="00E0741B"/>
    <w:rsid w:val="00E10532"/>
    <w:rsid w:val="00E113E9"/>
    <w:rsid w:val="00E11523"/>
    <w:rsid w:val="00E119E8"/>
    <w:rsid w:val="00E11D7F"/>
    <w:rsid w:val="00E130D4"/>
    <w:rsid w:val="00E13E56"/>
    <w:rsid w:val="00E148A1"/>
    <w:rsid w:val="00E14B4A"/>
    <w:rsid w:val="00E150DE"/>
    <w:rsid w:val="00E15B8C"/>
    <w:rsid w:val="00E15C0F"/>
    <w:rsid w:val="00E15E00"/>
    <w:rsid w:val="00E15F55"/>
    <w:rsid w:val="00E17476"/>
    <w:rsid w:val="00E2051F"/>
    <w:rsid w:val="00E2099A"/>
    <w:rsid w:val="00E21298"/>
    <w:rsid w:val="00E2131F"/>
    <w:rsid w:val="00E21A50"/>
    <w:rsid w:val="00E22385"/>
    <w:rsid w:val="00E23511"/>
    <w:rsid w:val="00E23DC6"/>
    <w:rsid w:val="00E2476B"/>
    <w:rsid w:val="00E2481D"/>
    <w:rsid w:val="00E24AA6"/>
    <w:rsid w:val="00E24AD8"/>
    <w:rsid w:val="00E24BC2"/>
    <w:rsid w:val="00E255CB"/>
    <w:rsid w:val="00E2582C"/>
    <w:rsid w:val="00E2636D"/>
    <w:rsid w:val="00E263D2"/>
    <w:rsid w:val="00E2658D"/>
    <w:rsid w:val="00E269FD"/>
    <w:rsid w:val="00E26B81"/>
    <w:rsid w:val="00E27C3B"/>
    <w:rsid w:val="00E30F65"/>
    <w:rsid w:val="00E31D82"/>
    <w:rsid w:val="00E31EAE"/>
    <w:rsid w:val="00E32610"/>
    <w:rsid w:val="00E32A23"/>
    <w:rsid w:val="00E33260"/>
    <w:rsid w:val="00E3331D"/>
    <w:rsid w:val="00E34F19"/>
    <w:rsid w:val="00E353CD"/>
    <w:rsid w:val="00E36253"/>
    <w:rsid w:val="00E36FB2"/>
    <w:rsid w:val="00E37D2A"/>
    <w:rsid w:val="00E37F5D"/>
    <w:rsid w:val="00E41356"/>
    <w:rsid w:val="00E41FE1"/>
    <w:rsid w:val="00E425D3"/>
    <w:rsid w:val="00E4274A"/>
    <w:rsid w:val="00E42DD5"/>
    <w:rsid w:val="00E43DC9"/>
    <w:rsid w:val="00E44669"/>
    <w:rsid w:val="00E44BB1"/>
    <w:rsid w:val="00E45DEE"/>
    <w:rsid w:val="00E45E39"/>
    <w:rsid w:val="00E46A2D"/>
    <w:rsid w:val="00E46D44"/>
    <w:rsid w:val="00E46E84"/>
    <w:rsid w:val="00E47185"/>
    <w:rsid w:val="00E471EC"/>
    <w:rsid w:val="00E47920"/>
    <w:rsid w:val="00E504FA"/>
    <w:rsid w:val="00E509B9"/>
    <w:rsid w:val="00E50D35"/>
    <w:rsid w:val="00E5182A"/>
    <w:rsid w:val="00E54927"/>
    <w:rsid w:val="00E56198"/>
    <w:rsid w:val="00E57882"/>
    <w:rsid w:val="00E6000E"/>
    <w:rsid w:val="00E6084A"/>
    <w:rsid w:val="00E60A3D"/>
    <w:rsid w:val="00E60DE3"/>
    <w:rsid w:val="00E60F14"/>
    <w:rsid w:val="00E615BA"/>
    <w:rsid w:val="00E61B1A"/>
    <w:rsid w:val="00E62097"/>
    <w:rsid w:val="00E62269"/>
    <w:rsid w:val="00E62DA5"/>
    <w:rsid w:val="00E6364B"/>
    <w:rsid w:val="00E65529"/>
    <w:rsid w:val="00E65857"/>
    <w:rsid w:val="00E65882"/>
    <w:rsid w:val="00E6695D"/>
    <w:rsid w:val="00E66980"/>
    <w:rsid w:val="00E7032B"/>
    <w:rsid w:val="00E70433"/>
    <w:rsid w:val="00E709EE"/>
    <w:rsid w:val="00E70E7C"/>
    <w:rsid w:val="00E729AD"/>
    <w:rsid w:val="00E72C2F"/>
    <w:rsid w:val="00E72CD9"/>
    <w:rsid w:val="00E736EF"/>
    <w:rsid w:val="00E73E77"/>
    <w:rsid w:val="00E73FCD"/>
    <w:rsid w:val="00E74026"/>
    <w:rsid w:val="00E741F5"/>
    <w:rsid w:val="00E7422C"/>
    <w:rsid w:val="00E74C23"/>
    <w:rsid w:val="00E759B4"/>
    <w:rsid w:val="00E76430"/>
    <w:rsid w:val="00E8029E"/>
    <w:rsid w:val="00E80681"/>
    <w:rsid w:val="00E80B3A"/>
    <w:rsid w:val="00E81345"/>
    <w:rsid w:val="00E81499"/>
    <w:rsid w:val="00E8195D"/>
    <w:rsid w:val="00E83590"/>
    <w:rsid w:val="00E839CB"/>
    <w:rsid w:val="00E83D03"/>
    <w:rsid w:val="00E84699"/>
    <w:rsid w:val="00E84C87"/>
    <w:rsid w:val="00E84F97"/>
    <w:rsid w:val="00E87435"/>
    <w:rsid w:val="00E8752C"/>
    <w:rsid w:val="00E9038B"/>
    <w:rsid w:val="00E91266"/>
    <w:rsid w:val="00E916FF"/>
    <w:rsid w:val="00E92391"/>
    <w:rsid w:val="00E928B1"/>
    <w:rsid w:val="00E92FB5"/>
    <w:rsid w:val="00E9306D"/>
    <w:rsid w:val="00E93AD4"/>
    <w:rsid w:val="00E94817"/>
    <w:rsid w:val="00E952AC"/>
    <w:rsid w:val="00E95B19"/>
    <w:rsid w:val="00E967AB"/>
    <w:rsid w:val="00EA030A"/>
    <w:rsid w:val="00EA083D"/>
    <w:rsid w:val="00EA0931"/>
    <w:rsid w:val="00EA1117"/>
    <w:rsid w:val="00EA20B2"/>
    <w:rsid w:val="00EA402A"/>
    <w:rsid w:val="00EA4598"/>
    <w:rsid w:val="00EA4C33"/>
    <w:rsid w:val="00EA5085"/>
    <w:rsid w:val="00EA534F"/>
    <w:rsid w:val="00EA541A"/>
    <w:rsid w:val="00EA5735"/>
    <w:rsid w:val="00EA7DDC"/>
    <w:rsid w:val="00EA7FF2"/>
    <w:rsid w:val="00EB1555"/>
    <w:rsid w:val="00EB1858"/>
    <w:rsid w:val="00EB1B1B"/>
    <w:rsid w:val="00EB1B5B"/>
    <w:rsid w:val="00EB24C5"/>
    <w:rsid w:val="00EB401D"/>
    <w:rsid w:val="00EB4423"/>
    <w:rsid w:val="00EB464E"/>
    <w:rsid w:val="00EB476E"/>
    <w:rsid w:val="00EB4FA9"/>
    <w:rsid w:val="00EB5669"/>
    <w:rsid w:val="00EB5A5C"/>
    <w:rsid w:val="00EB6031"/>
    <w:rsid w:val="00EB644C"/>
    <w:rsid w:val="00EB6983"/>
    <w:rsid w:val="00EC073B"/>
    <w:rsid w:val="00EC0C09"/>
    <w:rsid w:val="00EC0FD3"/>
    <w:rsid w:val="00EC1A68"/>
    <w:rsid w:val="00EC1CE2"/>
    <w:rsid w:val="00EC2FB1"/>
    <w:rsid w:val="00EC30E6"/>
    <w:rsid w:val="00EC35BF"/>
    <w:rsid w:val="00EC3D29"/>
    <w:rsid w:val="00EC3FEB"/>
    <w:rsid w:val="00EC4008"/>
    <w:rsid w:val="00EC4231"/>
    <w:rsid w:val="00EC447E"/>
    <w:rsid w:val="00EC4AE7"/>
    <w:rsid w:val="00EC6082"/>
    <w:rsid w:val="00EC628A"/>
    <w:rsid w:val="00EC655B"/>
    <w:rsid w:val="00EC6F14"/>
    <w:rsid w:val="00EC7F04"/>
    <w:rsid w:val="00ED0FA0"/>
    <w:rsid w:val="00ED1995"/>
    <w:rsid w:val="00ED20B8"/>
    <w:rsid w:val="00ED2165"/>
    <w:rsid w:val="00ED2519"/>
    <w:rsid w:val="00ED299E"/>
    <w:rsid w:val="00ED2B18"/>
    <w:rsid w:val="00ED2CE9"/>
    <w:rsid w:val="00ED2E86"/>
    <w:rsid w:val="00ED3A0F"/>
    <w:rsid w:val="00ED3BFF"/>
    <w:rsid w:val="00ED3D89"/>
    <w:rsid w:val="00ED3F73"/>
    <w:rsid w:val="00ED40B0"/>
    <w:rsid w:val="00ED4371"/>
    <w:rsid w:val="00ED48E5"/>
    <w:rsid w:val="00ED62F2"/>
    <w:rsid w:val="00ED79FC"/>
    <w:rsid w:val="00ED7DFB"/>
    <w:rsid w:val="00EE02D2"/>
    <w:rsid w:val="00EE1237"/>
    <w:rsid w:val="00EE132E"/>
    <w:rsid w:val="00EE15E7"/>
    <w:rsid w:val="00EE22C8"/>
    <w:rsid w:val="00EE2590"/>
    <w:rsid w:val="00EE29ED"/>
    <w:rsid w:val="00EE2A00"/>
    <w:rsid w:val="00EE2E0A"/>
    <w:rsid w:val="00EE3046"/>
    <w:rsid w:val="00EE32B4"/>
    <w:rsid w:val="00EE399C"/>
    <w:rsid w:val="00EE50B3"/>
    <w:rsid w:val="00EE587B"/>
    <w:rsid w:val="00EE5AAA"/>
    <w:rsid w:val="00EE5B94"/>
    <w:rsid w:val="00EE5E50"/>
    <w:rsid w:val="00EE619F"/>
    <w:rsid w:val="00EE6630"/>
    <w:rsid w:val="00EE6BDA"/>
    <w:rsid w:val="00EE6CED"/>
    <w:rsid w:val="00EE701B"/>
    <w:rsid w:val="00EE774C"/>
    <w:rsid w:val="00EF02B0"/>
    <w:rsid w:val="00EF0447"/>
    <w:rsid w:val="00EF0A56"/>
    <w:rsid w:val="00EF0AA8"/>
    <w:rsid w:val="00EF121D"/>
    <w:rsid w:val="00EF26FD"/>
    <w:rsid w:val="00EF2D1F"/>
    <w:rsid w:val="00EF360B"/>
    <w:rsid w:val="00EF3E89"/>
    <w:rsid w:val="00EF4D0D"/>
    <w:rsid w:val="00EF52C5"/>
    <w:rsid w:val="00EF544C"/>
    <w:rsid w:val="00EF62F4"/>
    <w:rsid w:val="00EF63D4"/>
    <w:rsid w:val="00EF6705"/>
    <w:rsid w:val="00EF6B6C"/>
    <w:rsid w:val="00EF6BF1"/>
    <w:rsid w:val="00EF6E85"/>
    <w:rsid w:val="00EF7270"/>
    <w:rsid w:val="00EF7C16"/>
    <w:rsid w:val="00F00448"/>
    <w:rsid w:val="00F00643"/>
    <w:rsid w:val="00F02DDC"/>
    <w:rsid w:val="00F03199"/>
    <w:rsid w:val="00F03AAB"/>
    <w:rsid w:val="00F03CA3"/>
    <w:rsid w:val="00F04EF3"/>
    <w:rsid w:val="00F05230"/>
    <w:rsid w:val="00F06459"/>
    <w:rsid w:val="00F0665D"/>
    <w:rsid w:val="00F06894"/>
    <w:rsid w:val="00F0773B"/>
    <w:rsid w:val="00F07B00"/>
    <w:rsid w:val="00F07C16"/>
    <w:rsid w:val="00F1009B"/>
    <w:rsid w:val="00F10B9A"/>
    <w:rsid w:val="00F10E11"/>
    <w:rsid w:val="00F11477"/>
    <w:rsid w:val="00F11C33"/>
    <w:rsid w:val="00F12909"/>
    <w:rsid w:val="00F132AA"/>
    <w:rsid w:val="00F13335"/>
    <w:rsid w:val="00F13559"/>
    <w:rsid w:val="00F14033"/>
    <w:rsid w:val="00F14A28"/>
    <w:rsid w:val="00F15883"/>
    <w:rsid w:val="00F15ABF"/>
    <w:rsid w:val="00F15FE4"/>
    <w:rsid w:val="00F1660F"/>
    <w:rsid w:val="00F16C66"/>
    <w:rsid w:val="00F1743F"/>
    <w:rsid w:val="00F17E2E"/>
    <w:rsid w:val="00F20AA4"/>
    <w:rsid w:val="00F20B6B"/>
    <w:rsid w:val="00F20C74"/>
    <w:rsid w:val="00F20EA8"/>
    <w:rsid w:val="00F21653"/>
    <w:rsid w:val="00F2183A"/>
    <w:rsid w:val="00F2277D"/>
    <w:rsid w:val="00F22BE3"/>
    <w:rsid w:val="00F22F6A"/>
    <w:rsid w:val="00F231CD"/>
    <w:rsid w:val="00F232E6"/>
    <w:rsid w:val="00F233E3"/>
    <w:rsid w:val="00F2485C"/>
    <w:rsid w:val="00F24AC1"/>
    <w:rsid w:val="00F24ACC"/>
    <w:rsid w:val="00F25014"/>
    <w:rsid w:val="00F25BA2"/>
    <w:rsid w:val="00F26C66"/>
    <w:rsid w:val="00F278F9"/>
    <w:rsid w:val="00F27B3B"/>
    <w:rsid w:val="00F30792"/>
    <w:rsid w:val="00F30BC7"/>
    <w:rsid w:val="00F30BFE"/>
    <w:rsid w:val="00F3174F"/>
    <w:rsid w:val="00F318F0"/>
    <w:rsid w:val="00F32120"/>
    <w:rsid w:val="00F322B0"/>
    <w:rsid w:val="00F335B9"/>
    <w:rsid w:val="00F33DFC"/>
    <w:rsid w:val="00F33F35"/>
    <w:rsid w:val="00F34C8A"/>
    <w:rsid w:val="00F34DB6"/>
    <w:rsid w:val="00F35B7E"/>
    <w:rsid w:val="00F35E72"/>
    <w:rsid w:val="00F3687D"/>
    <w:rsid w:val="00F3714B"/>
    <w:rsid w:val="00F3761F"/>
    <w:rsid w:val="00F37BF7"/>
    <w:rsid w:val="00F40601"/>
    <w:rsid w:val="00F40A86"/>
    <w:rsid w:val="00F40E7E"/>
    <w:rsid w:val="00F40FD4"/>
    <w:rsid w:val="00F41859"/>
    <w:rsid w:val="00F419FC"/>
    <w:rsid w:val="00F41E06"/>
    <w:rsid w:val="00F421D8"/>
    <w:rsid w:val="00F4270A"/>
    <w:rsid w:val="00F42DDE"/>
    <w:rsid w:val="00F42FF4"/>
    <w:rsid w:val="00F43518"/>
    <w:rsid w:val="00F43B57"/>
    <w:rsid w:val="00F43E3A"/>
    <w:rsid w:val="00F43E43"/>
    <w:rsid w:val="00F43FBA"/>
    <w:rsid w:val="00F44AA0"/>
    <w:rsid w:val="00F44C25"/>
    <w:rsid w:val="00F44F69"/>
    <w:rsid w:val="00F457FF"/>
    <w:rsid w:val="00F46232"/>
    <w:rsid w:val="00F46FB7"/>
    <w:rsid w:val="00F4733E"/>
    <w:rsid w:val="00F47B5A"/>
    <w:rsid w:val="00F47FC9"/>
    <w:rsid w:val="00F518B4"/>
    <w:rsid w:val="00F51DD3"/>
    <w:rsid w:val="00F51F0F"/>
    <w:rsid w:val="00F531C4"/>
    <w:rsid w:val="00F534BD"/>
    <w:rsid w:val="00F53634"/>
    <w:rsid w:val="00F53991"/>
    <w:rsid w:val="00F5484D"/>
    <w:rsid w:val="00F554AF"/>
    <w:rsid w:val="00F5618E"/>
    <w:rsid w:val="00F56AB5"/>
    <w:rsid w:val="00F57397"/>
    <w:rsid w:val="00F57AA3"/>
    <w:rsid w:val="00F60121"/>
    <w:rsid w:val="00F61756"/>
    <w:rsid w:val="00F61966"/>
    <w:rsid w:val="00F61E87"/>
    <w:rsid w:val="00F62878"/>
    <w:rsid w:val="00F638F7"/>
    <w:rsid w:val="00F64216"/>
    <w:rsid w:val="00F64460"/>
    <w:rsid w:val="00F64AB5"/>
    <w:rsid w:val="00F64F6D"/>
    <w:rsid w:val="00F6575F"/>
    <w:rsid w:val="00F65E01"/>
    <w:rsid w:val="00F6613D"/>
    <w:rsid w:val="00F675F7"/>
    <w:rsid w:val="00F67752"/>
    <w:rsid w:val="00F70971"/>
    <w:rsid w:val="00F70B1D"/>
    <w:rsid w:val="00F718D5"/>
    <w:rsid w:val="00F71D79"/>
    <w:rsid w:val="00F71DCD"/>
    <w:rsid w:val="00F7228B"/>
    <w:rsid w:val="00F72A91"/>
    <w:rsid w:val="00F72AF4"/>
    <w:rsid w:val="00F73065"/>
    <w:rsid w:val="00F73A2A"/>
    <w:rsid w:val="00F746AE"/>
    <w:rsid w:val="00F7482A"/>
    <w:rsid w:val="00F752DD"/>
    <w:rsid w:val="00F75306"/>
    <w:rsid w:val="00F759B5"/>
    <w:rsid w:val="00F75DB2"/>
    <w:rsid w:val="00F75FCE"/>
    <w:rsid w:val="00F77322"/>
    <w:rsid w:val="00F7749A"/>
    <w:rsid w:val="00F777E1"/>
    <w:rsid w:val="00F80BA2"/>
    <w:rsid w:val="00F80D91"/>
    <w:rsid w:val="00F810FB"/>
    <w:rsid w:val="00F8121B"/>
    <w:rsid w:val="00F826B0"/>
    <w:rsid w:val="00F828F7"/>
    <w:rsid w:val="00F83202"/>
    <w:rsid w:val="00F83F38"/>
    <w:rsid w:val="00F843B8"/>
    <w:rsid w:val="00F8453F"/>
    <w:rsid w:val="00F90D09"/>
    <w:rsid w:val="00F92A9F"/>
    <w:rsid w:val="00F94EBC"/>
    <w:rsid w:val="00F94F10"/>
    <w:rsid w:val="00F950E9"/>
    <w:rsid w:val="00F9566B"/>
    <w:rsid w:val="00F969A9"/>
    <w:rsid w:val="00F9738C"/>
    <w:rsid w:val="00F977CE"/>
    <w:rsid w:val="00F97CEC"/>
    <w:rsid w:val="00F97F0B"/>
    <w:rsid w:val="00FA0579"/>
    <w:rsid w:val="00FA0822"/>
    <w:rsid w:val="00FA092F"/>
    <w:rsid w:val="00FA0B5A"/>
    <w:rsid w:val="00FA1856"/>
    <w:rsid w:val="00FA2942"/>
    <w:rsid w:val="00FA3016"/>
    <w:rsid w:val="00FA32C2"/>
    <w:rsid w:val="00FA33AE"/>
    <w:rsid w:val="00FA3EB5"/>
    <w:rsid w:val="00FA40A3"/>
    <w:rsid w:val="00FA50F9"/>
    <w:rsid w:val="00FA5548"/>
    <w:rsid w:val="00FA589A"/>
    <w:rsid w:val="00FA5D7B"/>
    <w:rsid w:val="00FA5F9C"/>
    <w:rsid w:val="00FA6625"/>
    <w:rsid w:val="00FA734B"/>
    <w:rsid w:val="00FA7EED"/>
    <w:rsid w:val="00FB0D0D"/>
    <w:rsid w:val="00FB168A"/>
    <w:rsid w:val="00FB420A"/>
    <w:rsid w:val="00FB4ED8"/>
    <w:rsid w:val="00FB511E"/>
    <w:rsid w:val="00FB6AA5"/>
    <w:rsid w:val="00FB7468"/>
    <w:rsid w:val="00FB7942"/>
    <w:rsid w:val="00FC0984"/>
    <w:rsid w:val="00FC0D08"/>
    <w:rsid w:val="00FC0D92"/>
    <w:rsid w:val="00FC156E"/>
    <w:rsid w:val="00FC1EC0"/>
    <w:rsid w:val="00FC1F67"/>
    <w:rsid w:val="00FC26C0"/>
    <w:rsid w:val="00FC27CB"/>
    <w:rsid w:val="00FC36AD"/>
    <w:rsid w:val="00FC39BC"/>
    <w:rsid w:val="00FC4F56"/>
    <w:rsid w:val="00FC547A"/>
    <w:rsid w:val="00FC5676"/>
    <w:rsid w:val="00FC62DE"/>
    <w:rsid w:val="00FC6401"/>
    <w:rsid w:val="00FC6FE6"/>
    <w:rsid w:val="00FC7736"/>
    <w:rsid w:val="00FC773B"/>
    <w:rsid w:val="00FC7E62"/>
    <w:rsid w:val="00FD0EC9"/>
    <w:rsid w:val="00FD176A"/>
    <w:rsid w:val="00FD25AA"/>
    <w:rsid w:val="00FD2DDA"/>
    <w:rsid w:val="00FD3191"/>
    <w:rsid w:val="00FD31AB"/>
    <w:rsid w:val="00FD35D1"/>
    <w:rsid w:val="00FD3CB0"/>
    <w:rsid w:val="00FD430D"/>
    <w:rsid w:val="00FD457C"/>
    <w:rsid w:val="00FD48FF"/>
    <w:rsid w:val="00FD6004"/>
    <w:rsid w:val="00FD60FF"/>
    <w:rsid w:val="00FD6EE4"/>
    <w:rsid w:val="00FD79C9"/>
    <w:rsid w:val="00FD7E4F"/>
    <w:rsid w:val="00FE128C"/>
    <w:rsid w:val="00FE2491"/>
    <w:rsid w:val="00FE37B6"/>
    <w:rsid w:val="00FE4053"/>
    <w:rsid w:val="00FE4879"/>
    <w:rsid w:val="00FE4AB2"/>
    <w:rsid w:val="00FE4CF0"/>
    <w:rsid w:val="00FE5DAE"/>
    <w:rsid w:val="00FE6304"/>
    <w:rsid w:val="00FE64E4"/>
    <w:rsid w:val="00FE70BF"/>
    <w:rsid w:val="00FE74D0"/>
    <w:rsid w:val="00FF1238"/>
    <w:rsid w:val="00FF1425"/>
    <w:rsid w:val="00FF1955"/>
    <w:rsid w:val="00FF2F45"/>
    <w:rsid w:val="00FF3368"/>
    <w:rsid w:val="00FF4867"/>
    <w:rsid w:val="00FF4D8C"/>
    <w:rsid w:val="00FF4FB3"/>
    <w:rsid w:val="00FF5CB1"/>
    <w:rsid w:val="00FF660A"/>
    <w:rsid w:val="00FF72EF"/>
    <w:rsid w:val="00FF75E6"/>
    <w:rsid w:val="00FF769E"/>
    <w:rsid w:val="00FF7784"/>
  </w:rsids>
  <m:mathPr>
    <m:mathFont m:val="Cambria Math"/>
    <m:brkBin m:val="before"/>
    <m:brkBinSub m:val="--"/>
    <m:smallFrac m:val="0"/>
    <m:dispDef/>
    <m:lMargin m:val="0"/>
    <m:rMargin m:val="0"/>
    <m:defJc m:val="centerGroup"/>
    <m:wrapIndent m:val="1440"/>
    <m:intLim m:val="subSup"/>
    <m:naryLim m:val="undOvr"/>
  </m:mathPr>
  <w:themeFontLang w:val="ru-RU"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51F9316-ED44-40ED-8D77-D680D855F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ko-K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170B"/>
    <w:rPr>
      <w:rFonts w:eastAsiaTheme="minorHAnsi"/>
      <w:b/>
      <w:bCs/>
      <w:lang w:val="ro-RO" w:eastAsia="en-US"/>
    </w:rPr>
  </w:style>
  <w:style w:type="paragraph" w:styleId="1">
    <w:name w:val="heading 1"/>
    <w:basedOn w:val="a"/>
    <w:next w:val="a"/>
    <w:link w:val="10"/>
    <w:uiPriority w:val="9"/>
    <w:qFormat/>
    <w:rsid w:val="009617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9617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96170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unhideWhenUsed/>
    <w:qFormat/>
    <w:rsid w:val="0096170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96170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6170B"/>
    <w:rPr>
      <w:rFonts w:asciiTheme="majorHAnsi" w:eastAsiaTheme="majorEastAsia" w:hAnsiTheme="majorHAnsi" w:cstheme="majorBidi"/>
      <w:b/>
      <w:bCs/>
      <w:color w:val="2E74B5" w:themeColor="accent1" w:themeShade="BF"/>
      <w:sz w:val="32"/>
      <w:szCs w:val="32"/>
      <w:lang w:val="ro-RO" w:eastAsia="en-US"/>
    </w:rPr>
  </w:style>
  <w:style w:type="character" w:customStyle="1" w:styleId="20">
    <w:name w:val="Заголовок 2 Знак"/>
    <w:basedOn w:val="a0"/>
    <w:link w:val="2"/>
    <w:uiPriority w:val="9"/>
    <w:rsid w:val="0096170B"/>
    <w:rPr>
      <w:rFonts w:asciiTheme="majorHAnsi" w:eastAsiaTheme="majorEastAsia" w:hAnsiTheme="majorHAnsi" w:cstheme="majorBidi"/>
      <w:b/>
      <w:bCs/>
      <w:color w:val="2E74B5" w:themeColor="accent1" w:themeShade="BF"/>
      <w:sz w:val="26"/>
      <w:szCs w:val="26"/>
      <w:lang w:val="ro-RO" w:eastAsia="en-US"/>
    </w:rPr>
  </w:style>
  <w:style w:type="character" w:customStyle="1" w:styleId="30">
    <w:name w:val="Заголовок 3 Знак"/>
    <w:basedOn w:val="a0"/>
    <w:link w:val="3"/>
    <w:uiPriority w:val="9"/>
    <w:rsid w:val="0096170B"/>
    <w:rPr>
      <w:rFonts w:asciiTheme="majorHAnsi" w:eastAsiaTheme="majorEastAsia" w:hAnsiTheme="majorHAnsi" w:cstheme="majorBidi"/>
      <w:b/>
      <w:bCs/>
      <w:color w:val="1F4D78" w:themeColor="accent1" w:themeShade="7F"/>
      <w:sz w:val="24"/>
      <w:szCs w:val="24"/>
      <w:lang w:val="ro-RO" w:eastAsia="en-US"/>
    </w:rPr>
  </w:style>
  <w:style w:type="character" w:customStyle="1" w:styleId="40">
    <w:name w:val="Заголовок 4 Знак"/>
    <w:basedOn w:val="a0"/>
    <w:link w:val="4"/>
    <w:uiPriority w:val="9"/>
    <w:rsid w:val="0096170B"/>
    <w:rPr>
      <w:rFonts w:asciiTheme="majorHAnsi" w:eastAsiaTheme="majorEastAsia" w:hAnsiTheme="majorHAnsi" w:cstheme="majorBidi"/>
      <w:b/>
      <w:bCs/>
      <w:i/>
      <w:iCs/>
      <w:color w:val="2E74B5" w:themeColor="accent1" w:themeShade="BF"/>
      <w:lang w:val="ro-RO" w:eastAsia="en-US"/>
    </w:rPr>
  </w:style>
  <w:style w:type="character" w:customStyle="1" w:styleId="50">
    <w:name w:val="Заголовок 5 Знак"/>
    <w:basedOn w:val="a0"/>
    <w:link w:val="5"/>
    <w:uiPriority w:val="9"/>
    <w:semiHidden/>
    <w:rsid w:val="0096170B"/>
    <w:rPr>
      <w:rFonts w:asciiTheme="majorHAnsi" w:eastAsiaTheme="majorEastAsia" w:hAnsiTheme="majorHAnsi" w:cstheme="majorBidi"/>
      <w:b/>
      <w:bCs/>
      <w:color w:val="2E74B5" w:themeColor="accent1" w:themeShade="BF"/>
      <w:lang w:val="ro-RO" w:eastAsia="en-US"/>
    </w:rPr>
  </w:style>
  <w:style w:type="paragraph" w:styleId="a3">
    <w:name w:val="List Paragraph"/>
    <w:aliases w:val="List Paragraph 1,Scriptoria bullet points,strikethrough,Абзац списка1,standaard met opsomming,List Paragraph1,Bullets,References,Liste 1,List Paragraph nowy,Numbered List Paragraph,List Paragraph (numbered (a)),Medium Grid 1 - Accent 21"/>
    <w:basedOn w:val="a"/>
    <w:link w:val="a4"/>
    <w:uiPriority w:val="34"/>
    <w:qFormat/>
    <w:rsid w:val="0096170B"/>
    <w:pPr>
      <w:spacing w:after="0" w:line="240" w:lineRule="auto"/>
      <w:ind w:left="720"/>
      <w:contextualSpacing/>
    </w:pPr>
    <w:rPr>
      <w:rFonts w:ascii="Times New Roman" w:eastAsia="Times New Roman" w:hAnsi="Times New Roman" w:cs="Times New Roman"/>
      <w:b w:val="0"/>
      <w:bCs w:val="0"/>
      <w:sz w:val="24"/>
      <w:szCs w:val="24"/>
      <w:lang w:val="ru-RU" w:eastAsia="ru-RU"/>
    </w:rPr>
  </w:style>
  <w:style w:type="character" w:customStyle="1" w:styleId="a4">
    <w:name w:val="Абзац списка Знак"/>
    <w:aliases w:val="List Paragraph 1 Знак,Scriptoria bullet points Знак,strikethrough Знак,Абзац списка1 Знак,standaard met opsomming Знак,List Paragraph1 Знак,Bullets Знак,References Знак,Liste 1 Знак,List Paragraph nowy Знак,Numbered List Paragraph Знак"/>
    <w:link w:val="a3"/>
    <w:uiPriority w:val="34"/>
    <w:qFormat/>
    <w:locked/>
    <w:rsid w:val="0096170B"/>
    <w:rPr>
      <w:rFonts w:ascii="Times New Roman" w:eastAsia="Times New Roman" w:hAnsi="Times New Roman" w:cs="Times New Roman"/>
      <w:sz w:val="24"/>
      <w:szCs w:val="24"/>
      <w:lang w:val="ru-RU" w:eastAsia="ru-RU"/>
    </w:rPr>
  </w:style>
  <w:style w:type="paragraph" w:styleId="a5">
    <w:name w:val="header"/>
    <w:basedOn w:val="a"/>
    <w:link w:val="a6"/>
    <w:uiPriority w:val="99"/>
    <w:unhideWhenUsed/>
    <w:rsid w:val="0096170B"/>
    <w:pPr>
      <w:tabs>
        <w:tab w:val="center" w:pos="4680"/>
        <w:tab w:val="right" w:pos="9360"/>
      </w:tabs>
      <w:spacing w:after="0" w:line="240" w:lineRule="auto"/>
    </w:pPr>
  </w:style>
  <w:style w:type="character" w:customStyle="1" w:styleId="a6">
    <w:name w:val="Верхний колонтитул Знак"/>
    <w:basedOn w:val="a0"/>
    <w:link w:val="a5"/>
    <w:uiPriority w:val="99"/>
    <w:rsid w:val="0096170B"/>
    <w:rPr>
      <w:rFonts w:eastAsiaTheme="minorHAnsi"/>
      <w:b/>
      <w:bCs/>
      <w:lang w:val="ro-RO" w:eastAsia="en-US"/>
    </w:rPr>
  </w:style>
  <w:style w:type="paragraph" w:styleId="a7">
    <w:name w:val="footer"/>
    <w:basedOn w:val="a"/>
    <w:link w:val="a8"/>
    <w:uiPriority w:val="99"/>
    <w:unhideWhenUsed/>
    <w:rsid w:val="0096170B"/>
    <w:pPr>
      <w:tabs>
        <w:tab w:val="center" w:pos="4680"/>
        <w:tab w:val="right" w:pos="9360"/>
      </w:tabs>
      <w:spacing w:after="0" w:line="240" w:lineRule="auto"/>
    </w:pPr>
  </w:style>
  <w:style w:type="character" w:customStyle="1" w:styleId="a8">
    <w:name w:val="Нижний колонтитул Знак"/>
    <w:basedOn w:val="a0"/>
    <w:link w:val="a7"/>
    <w:uiPriority w:val="99"/>
    <w:rsid w:val="0096170B"/>
    <w:rPr>
      <w:rFonts w:eastAsiaTheme="minorHAnsi"/>
      <w:b/>
      <w:bCs/>
      <w:lang w:val="ro-RO" w:eastAsia="en-US"/>
    </w:rPr>
  </w:style>
  <w:style w:type="paragraph" w:styleId="a9">
    <w:name w:val="footnote text"/>
    <w:aliases w:val=" Char,Char,single space,footnote text,FOOTNOTES,fn,Footnote Text Char1,Footnote Text Char2 Char,Footnote Text Char1 Char Char,Footnote Text Char2 Char Char Char,Footnote Text Char1 Char Char Char Char, Cha,Cha,ft,ALTS FOOTNOTE,Fußnote,Знак"/>
    <w:basedOn w:val="a"/>
    <w:link w:val="aa"/>
    <w:uiPriority w:val="99"/>
    <w:unhideWhenUsed/>
    <w:qFormat/>
    <w:rsid w:val="0096170B"/>
    <w:pPr>
      <w:spacing w:after="0" w:line="240" w:lineRule="auto"/>
    </w:pPr>
    <w:rPr>
      <w:sz w:val="20"/>
      <w:szCs w:val="20"/>
    </w:rPr>
  </w:style>
  <w:style w:type="character" w:customStyle="1" w:styleId="aa">
    <w:name w:val="Текст сноски Знак"/>
    <w:aliases w:val=" Char Знак,Char Знак,single space Знак,footnote text Знак,FOOTNOTES Знак,fn Знак,Footnote Text Char1 Знак,Footnote Text Char2 Char Знак,Footnote Text Char1 Char Char Знак,Footnote Text Char2 Char Char Char Знак, Cha Знак,Cha Знак"/>
    <w:basedOn w:val="a0"/>
    <w:link w:val="a9"/>
    <w:uiPriority w:val="99"/>
    <w:rsid w:val="0096170B"/>
    <w:rPr>
      <w:rFonts w:eastAsiaTheme="minorHAnsi"/>
      <w:b/>
      <w:bCs/>
      <w:sz w:val="20"/>
      <w:szCs w:val="20"/>
      <w:lang w:val="ro-RO" w:eastAsia="en-US"/>
    </w:rPr>
  </w:style>
  <w:style w:type="character" w:styleId="ab">
    <w:name w:val="footnote reference"/>
    <w:aliases w:val="ftref,Times 10 Point,Exposant 3 Point,Footnote symbol,Footnote reference number,EN Footnote Reference,note TESI,16 Point,Superscript 6 Point,BVI fnr,Char Char1,FOOTNOTES Char1,fn Char1,single space Char1,ft Char1,Ref,fr,R,Cha Char1"/>
    <w:basedOn w:val="a0"/>
    <w:link w:val="FNRefeCharChar"/>
    <w:uiPriority w:val="99"/>
    <w:unhideWhenUsed/>
    <w:rsid w:val="0096170B"/>
    <w:rPr>
      <w:vertAlign w:val="superscript"/>
    </w:rPr>
  </w:style>
  <w:style w:type="paragraph" w:customStyle="1" w:styleId="FNRefeCharChar">
    <w:name w:val="FNRefe Char Char"/>
    <w:aliases w:val="BVI fnr Char Char, BVI fnr Char Char Char, BVI fnr Car Car Char Char Char,BVI fnr Car Char Char Char, BVI fnr Car Car Car Car Char Char Char Char Char,BVI fnr Char Char Char,BVI fnr Car Car Char Char Char"/>
    <w:basedOn w:val="a"/>
    <w:link w:val="ab"/>
    <w:uiPriority w:val="99"/>
    <w:qFormat/>
    <w:rsid w:val="0096170B"/>
    <w:pPr>
      <w:spacing w:line="240" w:lineRule="exact"/>
    </w:pPr>
    <w:rPr>
      <w:rFonts w:eastAsiaTheme="minorEastAsia"/>
      <w:b w:val="0"/>
      <w:bCs w:val="0"/>
      <w:vertAlign w:val="superscript"/>
      <w:lang w:val="en-US" w:eastAsia="ko-KR"/>
    </w:rPr>
  </w:style>
  <w:style w:type="paragraph" w:styleId="ac">
    <w:name w:val="Balloon Text"/>
    <w:basedOn w:val="a"/>
    <w:link w:val="ad"/>
    <w:uiPriority w:val="99"/>
    <w:semiHidden/>
    <w:unhideWhenUsed/>
    <w:rsid w:val="0096170B"/>
    <w:pPr>
      <w:spacing w:after="0" w:line="240" w:lineRule="auto"/>
    </w:pPr>
    <w:rPr>
      <w:rFonts w:ascii="Segoe UI" w:hAnsi="Segoe UI" w:cs="Segoe UI"/>
      <w:sz w:val="18"/>
      <w:szCs w:val="18"/>
    </w:rPr>
  </w:style>
  <w:style w:type="character" w:customStyle="1" w:styleId="ad">
    <w:name w:val="Текст выноски Знак"/>
    <w:basedOn w:val="a0"/>
    <w:link w:val="ac"/>
    <w:uiPriority w:val="99"/>
    <w:semiHidden/>
    <w:rsid w:val="0096170B"/>
    <w:rPr>
      <w:rFonts w:ascii="Segoe UI" w:eastAsiaTheme="minorHAnsi" w:hAnsi="Segoe UI" w:cs="Segoe UI"/>
      <w:b/>
      <w:bCs/>
      <w:sz w:val="18"/>
      <w:szCs w:val="18"/>
      <w:lang w:val="ro-RO" w:eastAsia="en-US"/>
    </w:rPr>
  </w:style>
  <w:style w:type="character" w:styleId="ae">
    <w:name w:val="annotation reference"/>
    <w:basedOn w:val="a0"/>
    <w:uiPriority w:val="99"/>
    <w:semiHidden/>
    <w:unhideWhenUsed/>
    <w:rsid w:val="0096170B"/>
    <w:rPr>
      <w:sz w:val="16"/>
      <w:szCs w:val="16"/>
    </w:rPr>
  </w:style>
  <w:style w:type="paragraph" w:styleId="af">
    <w:name w:val="annotation text"/>
    <w:basedOn w:val="a"/>
    <w:link w:val="af0"/>
    <w:uiPriority w:val="99"/>
    <w:unhideWhenUsed/>
    <w:rsid w:val="0096170B"/>
    <w:pPr>
      <w:spacing w:line="240" w:lineRule="auto"/>
    </w:pPr>
    <w:rPr>
      <w:b w:val="0"/>
      <w:bCs w:val="0"/>
      <w:sz w:val="20"/>
      <w:szCs w:val="20"/>
      <w:lang w:val="en-US"/>
    </w:rPr>
  </w:style>
  <w:style w:type="character" w:customStyle="1" w:styleId="af0">
    <w:name w:val="Текст примечания Знак"/>
    <w:basedOn w:val="a0"/>
    <w:link w:val="af"/>
    <w:uiPriority w:val="99"/>
    <w:rsid w:val="0096170B"/>
    <w:rPr>
      <w:rFonts w:eastAsiaTheme="minorHAnsi"/>
      <w:sz w:val="20"/>
      <w:szCs w:val="20"/>
      <w:lang w:eastAsia="en-US"/>
    </w:rPr>
  </w:style>
  <w:style w:type="paragraph" w:styleId="af1">
    <w:name w:val="Normal (Web)"/>
    <w:basedOn w:val="a"/>
    <w:uiPriority w:val="99"/>
    <w:unhideWhenUsed/>
    <w:rsid w:val="0096170B"/>
    <w:pPr>
      <w:spacing w:after="0" w:line="240" w:lineRule="auto"/>
      <w:ind w:firstLine="567"/>
      <w:jc w:val="both"/>
    </w:pPr>
    <w:rPr>
      <w:rFonts w:ascii="Times New Roman" w:eastAsiaTheme="minorEastAsia" w:hAnsi="Times New Roman" w:cs="Times New Roman"/>
      <w:b w:val="0"/>
      <w:bCs w:val="0"/>
      <w:sz w:val="24"/>
      <w:szCs w:val="24"/>
    </w:rPr>
  </w:style>
  <w:style w:type="paragraph" w:customStyle="1" w:styleId="Style76">
    <w:name w:val="Style76"/>
    <w:basedOn w:val="a"/>
    <w:uiPriority w:val="99"/>
    <w:rsid w:val="0096170B"/>
    <w:pPr>
      <w:widowControl w:val="0"/>
      <w:autoSpaceDE w:val="0"/>
      <w:autoSpaceDN w:val="0"/>
      <w:adjustRightInd w:val="0"/>
      <w:spacing w:after="0" w:line="240" w:lineRule="auto"/>
    </w:pPr>
    <w:rPr>
      <w:rFonts w:ascii="Times New Roman" w:eastAsiaTheme="minorEastAsia" w:hAnsi="Times New Roman" w:cs="Times New Roman"/>
      <w:b w:val="0"/>
      <w:bCs w:val="0"/>
      <w:sz w:val="24"/>
      <w:szCs w:val="24"/>
      <w:lang w:val="en-US"/>
    </w:rPr>
  </w:style>
  <w:style w:type="table" w:styleId="af2">
    <w:name w:val="Table Grid"/>
    <w:basedOn w:val="a1"/>
    <w:uiPriority w:val="39"/>
    <w:qFormat/>
    <w:rsid w:val="0096170B"/>
    <w:pPr>
      <w:spacing w:after="0" w:line="240" w:lineRule="auto"/>
    </w:pPr>
    <w:rPr>
      <w:rFonts w:eastAsiaTheme="minorHAns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85">
    <w:name w:val="Font Style185"/>
    <w:basedOn w:val="a0"/>
    <w:uiPriority w:val="99"/>
    <w:rsid w:val="0096170B"/>
    <w:rPr>
      <w:rFonts w:ascii="Times New Roman" w:hAnsi="Times New Roman" w:cs="Times New Roman"/>
      <w:b/>
      <w:bCs/>
      <w:color w:val="000000"/>
      <w:sz w:val="20"/>
      <w:szCs w:val="20"/>
    </w:rPr>
  </w:style>
  <w:style w:type="table" w:customStyle="1" w:styleId="TableGrid1">
    <w:name w:val="Table Grid1"/>
    <w:basedOn w:val="a1"/>
    <w:next w:val="af2"/>
    <w:uiPriority w:val="39"/>
    <w:qFormat/>
    <w:rsid w:val="0096170B"/>
    <w:pPr>
      <w:spacing w:after="0" w:line="240" w:lineRule="auto"/>
    </w:pPr>
    <w:rPr>
      <w:rFonts w:eastAsiaTheme="minorHAns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n">
    <w:name w:val="cn"/>
    <w:basedOn w:val="a"/>
    <w:rsid w:val="0096170B"/>
    <w:pPr>
      <w:spacing w:after="0" w:line="240" w:lineRule="auto"/>
      <w:jc w:val="center"/>
    </w:pPr>
    <w:rPr>
      <w:rFonts w:ascii="Times New Roman" w:eastAsia="Times New Roman" w:hAnsi="Times New Roman" w:cs="Times New Roman"/>
      <w:b w:val="0"/>
      <w:bCs w:val="0"/>
      <w:sz w:val="24"/>
      <w:szCs w:val="24"/>
      <w:lang w:val="en-US"/>
    </w:rPr>
  </w:style>
  <w:style w:type="character" w:customStyle="1" w:styleId="FontStyle182">
    <w:name w:val="Font Style182"/>
    <w:basedOn w:val="a0"/>
    <w:uiPriority w:val="99"/>
    <w:rsid w:val="0096170B"/>
    <w:rPr>
      <w:rFonts w:ascii="Times New Roman" w:hAnsi="Times New Roman" w:cs="Times New Roman"/>
      <w:color w:val="000000"/>
      <w:sz w:val="20"/>
      <w:szCs w:val="20"/>
    </w:rPr>
  </w:style>
  <w:style w:type="table" w:customStyle="1" w:styleId="GridTable1Light-Accent51">
    <w:name w:val="Grid Table 1 Light - Accent 51"/>
    <w:basedOn w:val="a1"/>
    <w:uiPriority w:val="46"/>
    <w:rsid w:val="0096170B"/>
    <w:pPr>
      <w:spacing w:after="0" w:line="240" w:lineRule="auto"/>
    </w:pPr>
    <w:rPr>
      <w:rFonts w:eastAsiaTheme="minorHAnsi"/>
      <w:lang w:eastAsia="en-US"/>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Style24">
    <w:name w:val="Style24"/>
    <w:basedOn w:val="a"/>
    <w:uiPriority w:val="99"/>
    <w:rsid w:val="0096170B"/>
    <w:pPr>
      <w:widowControl w:val="0"/>
      <w:autoSpaceDE w:val="0"/>
      <w:autoSpaceDN w:val="0"/>
      <w:adjustRightInd w:val="0"/>
      <w:spacing w:after="0" w:line="240" w:lineRule="auto"/>
    </w:pPr>
    <w:rPr>
      <w:rFonts w:ascii="Times New Roman" w:eastAsiaTheme="minorEastAsia" w:hAnsi="Times New Roman" w:cs="Times New Roman"/>
      <w:b w:val="0"/>
      <w:bCs w:val="0"/>
      <w:sz w:val="24"/>
      <w:szCs w:val="24"/>
      <w:lang w:val="en-US"/>
    </w:rPr>
  </w:style>
  <w:style w:type="table" w:customStyle="1" w:styleId="PlainTable21">
    <w:name w:val="Plain Table 21"/>
    <w:basedOn w:val="a1"/>
    <w:uiPriority w:val="42"/>
    <w:rsid w:val="0096170B"/>
    <w:pPr>
      <w:spacing w:after="0" w:line="240" w:lineRule="auto"/>
    </w:pPr>
    <w:rPr>
      <w:rFonts w:eastAsiaTheme="minorHAnsi"/>
      <w:lang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3">
    <w:name w:val="TOC Heading"/>
    <w:basedOn w:val="1"/>
    <w:next w:val="a"/>
    <w:uiPriority w:val="39"/>
    <w:unhideWhenUsed/>
    <w:qFormat/>
    <w:rsid w:val="0096170B"/>
    <w:pPr>
      <w:outlineLvl w:val="9"/>
    </w:pPr>
    <w:rPr>
      <w:b w:val="0"/>
      <w:bCs w:val="0"/>
      <w:lang w:val="en-US"/>
    </w:rPr>
  </w:style>
  <w:style w:type="paragraph" w:styleId="11">
    <w:name w:val="toc 1"/>
    <w:basedOn w:val="a"/>
    <w:next w:val="a"/>
    <w:autoRedefine/>
    <w:uiPriority w:val="39"/>
    <w:unhideWhenUsed/>
    <w:rsid w:val="003850B5"/>
    <w:pPr>
      <w:tabs>
        <w:tab w:val="left" w:pos="142"/>
        <w:tab w:val="left" w:pos="284"/>
        <w:tab w:val="left" w:pos="9498"/>
        <w:tab w:val="left" w:pos="9639"/>
      </w:tabs>
      <w:spacing w:after="0" w:line="240" w:lineRule="auto"/>
      <w:ind w:left="142"/>
      <w:jc w:val="both"/>
    </w:pPr>
    <w:rPr>
      <w:rFonts w:asciiTheme="majorHAnsi" w:eastAsia="Calibri" w:hAnsiTheme="majorHAnsi" w:cstheme="majorHAnsi"/>
      <w:b w:val="0"/>
      <w:bCs w:val="0"/>
      <w:noProof/>
    </w:rPr>
  </w:style>
  <w:style w:type="character" w:styleId="af4">
    <w:name w:val="Hyperlink"/>
    <w:basedOn w:val="a0"/>
    <w:uiPriority w:val="99"/>
    <w:unhideWhenUsed/>
    <w:rsid w:val="0096170B"/>
    <w:rPr>
      <w:color w:val="0563C1" w:themeColor="hyperlink"/>
      <w:u w:val="single"/>
    </w:rPr>
  </w:style>
  <w:style w:type="paragraph" w:styleId="21">
    <w:name w:val="toc 2"/>
    <w:basedOn w:val="a"/>
    <w:next w:val="a"/>
    <w:autoRedefine/>
    <w:uiPriority w:val="39"/>
    <w:unhideWhenUsed/>
    <w:rsid w:val="00900D00"/>
    <w:pPr>
      <w:tabs>
        <w:tab w:val="left" w:pos="450"/>
        <w:tab w:val="right" w:leader="dot" w:pos="9189"/>
      </w:tabs>
      <w:spacing w:after="0" w:line="240" w:lineRule="auto"/>
      <w:jc w:val="both"/>
    </w:pPr>
  </w:style>
  <w:style w:type="paragraph" w:styleId="31">
    <w:name w:val="toc 3"/>
    <w:basedOn w:val="a"/>
    <w:next w:val="a"/>
    <w:autoRedefine/>
    <w:uiPriority w:val="39"/>
    <w:unhideWhenUsed/>
    <w:rsid w:val="000E47DF"/>
    <w:pPr>
      <w:tabs>
        <w:tab w:val="left" w:pos="810"/>
        <w:tab w:val="right" w:leader="dot" w:pos="9639"/>
      </w:tabs>
      <w:spacing w:after="100"/>
      <w:jc w:val="both"/>
    </w:pPr>
  </w:style>
  <w:style w:type="table" w:customStyle="1" w:styleId="GridTable2-Accent51">
    <w:name w:val="Grid Table 2 - Accent 51"/>
    <w:basedOn w:val="a1"/>
    <w:uiPriority w:val="47"/>
    <w:rsid w:val="0096170B"/>
    <w:pPr>
      <w:spacing w:after="0" w:line="240" w:lineRule="auto"/>
    </w:pPr>
    <w:rPr>
      <w:rFonts w:eastAsiaTheme="minorHAnsi"/>
      <w:lang w:eastAsia="en-U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tt">
    <w:name w:val="tt"/>
    <w:basedOn w:val="a"/>
    <w:rsid w:val="0096170B"/>
    <w:pPr>
      <w:spacing w:after="0" w:line="240" w:lineRule="auto"/>
      <w:jc w:val="center"/>
    </w:pPr>
    <w:rPr>
      <w:rFonts w:ascii="Times New Roman" w:eastAsia="Times New Roman" w:hAnsi="Times New Roman" w:cs="Times New Roman"/>
      <w:sz w:val="24"/>
      <w:szCs w:val="24"/>
      <w:lang w:val="en-US"/>
    </w:rPr>
  </w:style>
  <w:style w:type="paragraph" w:styleId="af5">
    <w:name w:val="annotation subject"/>
    <w:basedOn w:val="af"/>
    <w:next w:val="af"/>
    <w:link w:val="af6"/>
    <w:uiPriority w:val="99"/>
    <w:semiHidden/>
    <w:unhideWhenUsed/>
    <w:rsid w:val="0096170B"/>
    <w:rPr>
      <w:b/>
      <w:bCs/>
    </w:rPr>
  </w:style>
  <w:style w:type="character" w:customStyle="1" w:styleId="af6">
    <w:name w:val="Тема примечания Знак"/>
    <w:basedOn w:val="af0"/>
    <w:link w:val="af5"/>
    <w:uiPriority w:val="99"/>
    <w:semiHidden/>
    <w:rsid w:val="0096170B"/>
    <w:rPr>
      <w:rFonts w:eastAsiaTheme="minorHAnsi"/>
      <w:b/>
      <w:bCs/>
      <w:sz w:val="20"/>
      <w:szCs w:val="20"/>
      <w:lang w:eastAsia="en-US"/>
    </w:rPr>
  </w:style>
  <w:style w:type="paragraph" w:styleId="af7">
    <w:name w:val="Revision"/>
    <w:hidden/>
    <w:uiPriority w:val="99"/>
    <w:semiHidden/>
    <w:rsid w:val="0096170B"/>
    <w:pPr>
      <w:spacing w:after="0" w:line="240" w:lineRule="auto"/>
    </w:pPr>
    <w:rPr>
      <w:rFonts w:eastAsiaTheme="minorHAnsi"/>
      <w:b/>
      <w:bCs/>
      <w:lang w:eastAsia="en-US"/>
    </w:rPr>
  </w:style>
  <w:style w:type="table" w:customStyle="1" w:styleId="ListTable7Colorful-Accent51">
    <w:name w:val="List Table 7 Colorful - Accent 51"/>
    <w:basedOn w:val="a1"/>
    <w:uiPriority w:val="52"/>
    <w:rsid w:val="0096170B"/>
    <w:pPr>
      <w:spacing w:after="0" w:line="240" w:lineRule="auto"/>
    </w:pPr>
    <w:rPr>
      <w:rFonts w:eastAsiaTheme="minorHAnsi"/>
      <w:color w:val="2F5496" w:themeColor="accent5" w:themeShade="BF"/>
      <w:lang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af8">
    <w:name w:val="FollowedHyperlink"/>
    <w:basedOn w:val="a0"/>
    <w:uiPriority w:val="99"/>
    <w:semiHidden/>
    <w:unhideWhenUsed/>
    <w:rsid w:val="0096170B"/>
    <w:rPr>
      <w:color w:val="954F72" w:themeColor="followedHyperlink"/>
      <w:u w:val="single"/>
    </w:rPr>
  </w:style>
  <w:style w:type="paragraph" w:styleId="41">
    <w:name w:val="toc 4"/>
    <w:basedOn w:val="a"/>
    <w:next w:val="a"/>
    <w:autoRedefine/>
    <w:uiPriority w:val="39"/>
    <w:unhideWhenUsed/>
    <w:rsid w:val="0096170B"/>
    <w:pPr>
      <w:tabs>
        <w:tab w:val="left" w:pos="90"/>
        <w:tab w:val="left" w:pos="1440"/>
        <w:tab w:val="right" w:leader="dot" w:pos="9189"/>
      </w:tabs>
      <w:spacing w:after="100"/>
    </w:pPr>
  </w:style>
  <w:style w:type="paragraph" w:styleId="51">
    <w:name w:val="toc 5"/>
    <w:basedOn w:val="a"/>
    <w:next w:val="a"/>
    <w:autoRedefine/>
    <w:uiPriority w:val="39"/>
    <w:unhideWhenUsed/>
    <w:rsid w:val="0096170B"/>
    <w:pPr>
      <w:tabs>
        <w:tab w:val="left" w:pos="90"/>
        <w:tab w:val="left" w:pos="180"/>
        <w:tab w:val="left" w:pos="1620"/>
        <w:tab w:val="right" w:leader="dot" w:pos="9189"/>
      </w:tabs>
      <w:spacing w:after="100"/>
      <w:ind w:left="880"/>
    </w:pPr>
  </w:style>
  <w:style w:type="paragraph" w:customStyle="1" w:styleId="IFADparagraphnumbering">
    <w:name w:val="IFAD paragraph numbering"/>
    <w:basedOn w:val="a"/>
    <w:link w:val="IFADparagraphnumberingChar"/>
    <w:qFormat/>
    <w:rsid w:val="0096170B"/>
    <w:pPr>
      <w:numPr>
        <w:numId w:val="2"/>
      </w:numPr>
      <w:tabs>
        <w:tab w:val="left" w:pos="1134"/>
      </w:tabs>
      <w:suppressAutoHyphens/>
      <w:spacing w:after="120" w:line="264" w:lineRule="auto"/>
    </w:pPr>
    <w:rPr>
      <w:rFonts w:ascii="Arial" w:eastAsia="MS Mincho" w:hAnsi="Arial" w:cs="Times New Roman"/>
      <w:b w:val="0"/>
      <w:bCs w:val="0"/>
      <w:kern w:val="2"/>
      <w:sz w:val="20"/>
      <w:lang w:val="en-GB"/>
    </w:rPr>
  </w:style>
  <w:style w:type="paragraph" w:customStyle="1" w:styleId="IFADparagraphno2ndlevel">
    <w:name w:val="IFAD paragraph no. 2nd level"/>
    <w:basedOn w:val="a"/>
    <w:qFormat/>
    <w:rsid w:val="0096170B"/>
    <w:pPr>
      <w:numPr>
        <w:ilvl w:val="1"/>
        <w:numId w:val="2"/>
      </w:numPr>
      <w:spacing w:after="120" w:line="264" w:lineRule="auto"/>
    </w:pPr>
    <w:rPr>
      <w:rFonts w:ascii="Arial" w:eastAsia="Times New Roman" w:hAnsi="Arial" w:cs="Arial"/>
      <w:b w:val="0"/>
      <w:bCs w:val="0"/>
      <w:sz w:val="20"/>
      <w:szCs w:val="20"/>
      <w:lang w:val="en-GB"/>
    </w:rPr>
  </w:style>
  <w:style w:type="paragraph" w:customStyle="1" w:styleId="IFADparagraphno3rdlevel">
    <w:name w:val="IFAD paragraph no. 3rd level"/>
    <w:basedOn w:val="a"/>
    <w:rsid w:val="0096170B"/>
    <w:pPr>
      <w:numPr>
        <w:ilvl w:val="2"/>
        <w:numId w:val="2"/>
      </w:numPr>
      <w:spacing w:after="120" w:line="264" w:lineRule="auto"/>
    </w:pPr>
    <w:rPr>
      <w:rFonts w:ascii="Arial" w:eastAsia="Times New Roman" w:hAnsi="Arial" w:cs="Arial"/>
      <w:b w:val="0"/>
      <w:bCs w:val="0"/>
      <w:sz w:val="20"/>
      <w:szCs w:val="20"/>
      <w:lang w:val="en-GB"/>
    </w:rPr>
  </w:style>
  <w:style w:type="paragraph" w:customStyle="1" w:styleId="IFADparagraphno4thlevel">
    <w:name w:val="IFAD paragraph no. 4th level"/>
    <w:basedOn w:val="a"/>
    <w:qFormat/>
    <w:rsid w:val="0096170B"/>
    <w:pPr>
      <w:numPr>
        <w:ilvl w:val="3"/>
        <w:numId w:val="2"/>
      </w:numPr>
      <w:spacing w:after="0" w:line="264" w:lineRule="auto"/>
    </w:pPr>
    <w:rPr>
      <w:rFonts w:ascii="Arial" w:eastAsia="Times New Roman" w:hAnsi="Arial" w:cs="Arial"/>
      <w:b w:val="0"/>
      <w:bCs w:val="0"/>
      <w:sz w:val="20"/>
      <w:szCs w:val="20"/>
      <w:lang w:val="en-GB"/>
    </w:rPr>
  </w:style>
  <w:style w:type="character" w:customStyle="1" w:styleId="IFADparagraphnumberingChar">
    <w:name w:val="IFAD paragraph numbering Char"/>
    <w:link w:val="IFADparagraphnumbering"/>
    <w:locked/>
    <w:rsid w:val="0096170B"/>
    <w:rPr>
      <w:rFonts w:ascii="Arial" w:eastAsia="MS Mincho" w:hAnsi="Arial" w:cs="Times New Roman"/>
      <w:kern w:val="2"/>
      <w:sz w:val="20"/>
      <w:lang w:val="en-GB" w:eastAsia="en-US"/>
    </w:rPr>
  </w:style>
  <w:style w:type="paragraph" w:customStyle="1" w:styleId="Default">
    <w:name w:val="Default"/>
    <w:rsid w:val="0096170B"/>
    <w:pPr>
      <w:autoSpaceDE w:val="0"/>
      <w:autoSpaceDN w:val="0"/>
      <w:adjustRightInd w:val="0"/>
      <w:spacing w:after="0" w:line="240" w:lineRule="auto"/>
    </w:pPr>
    <w:rPr>
      <w:rFonts w:ascii="Arial" w:eastAsia="Times New Roman" w:hAnsi="Arial" w:cs="Arial"/>
      <w:color w:val="000000"/>
      <w:sz w:val="24"/>
      <w:szCs w:val="24"/>
      <w:lang w:val="fr-FR" w:eastAsia="en-GB"/>
    </w:rPr>
  </w:style>
  <w:style w:type="table" w:customStyle="1" w:styleId="GridTable1Light1">
    <w:name w:val="Grid Table 1 Light1"/>
    <w:basedOn w:val="a1"/>
    <w:next w:val="GridTable1Light2"/>
    <w:uiPriority w:val="46"/>
    <w:rsid w:val="0096170B"/>
    <w:pPr>
      <w:spacing w:after="0" w:line="240" w:lineRule="auto"/>
    </w:pPr>
    <w:rPr>
      <w:rFonts w:eastAsiaTheme="minorHAnsi"/>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GridTable1Light2">
    <w:name w:val="Grid Table 1 Light2"/>
    <w:basedOn w:val="a1"/>
    <w:uiPriority w:val="46"/>
    <w:rsid w:val="0096170B"/>
    <w:pPr>
      <w:spacing w:after="0" w:line="240" w:lineRule="auto"/>
    </w:pPr>
    <w:rPr>
      <w:rFonts w:eastAsiaTheme="minorHAns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2">
    <w:name w:val="Table Grid2"/>
    <w:basedOn w:val="a1"/>
    <w:next w:val="af2"/>
    <w:uiPriority w:val="39"/>
    <w:qFormat/>
    <w:rsid w:val="0096170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f2"/>
    <w:uiPriority w:val="39"/>
    <w:rsid w:val="0061112B"/>
    <w:pPr>
      <w:spacing w:after="0" w:line="240" w:lineRule="auto"/>
    </w:pPr>
    <w:rPr>
      <w:rFonts w:eastAsiaTheme="minorHAns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Emphasis"/>
    <w:basedOn w:val="a0"/>
    <w:uiPriority w:val="20"/>
    <w:qFormat/>
    <w:rsid w:val="001F55B6"/>
    <w:rPr>
      <w:i/>
      <w:iCs/>
    </w:rPr>
  </w:style>
  <w:style w:type="character" w:styleId="afa">
    <w:name w:val="Strong"/>
    <w:basedOn w:val="a0"/>
    <w:uiPriority w:val="22"/>
    <w:qFormat/>
    <w:rsid w:val="001F55B6"/>
    <w:rPr>
      <w:b/>
      <w:bCs/>
    </w:rPr>
  </w:style>
  <w:style w:type="character" w:customStyle="1" w:styleId="s91">
    <w:name w:val="s91"/>
    <w:rsid w:val="007A28F2"/>
    <w:rPr>
      <w:color w:val="000000"/>
    </w:rPr>
  </w:style>
  <w:style w:type="paragraph" w:styleId="HTML">
    <w:name w:val="HTML Preformatted"/>
    <w:basedOn w:val="a"/>
    <w:link w:val="HTML0"/>
    <w:uiPriority w:val="99"/>
    <w:unhideWhenUsed/>
    <w:rsid w:val="00C36151"/>
    <w:pPr>
      <w:spacing w:after="0" w:line="240" w:lineRule="auto"/>
    </w:pPr>
    <w:rPr>
      <w:rFonts w:ascii="Consolas" w:eastAsia="Times New Roman" w:hAnsi="Consolas" w:cs="Times New Roman"/>
      <w:b w:val="0"/>
      <w:bCs w:val="0"/>
      <w:sz w:val="20"/>
      <w:szCs w:val="20"/>
      <w:lang w:val="en-US"/>
    </w:rPr>
  </w:style>
  <w:style w:type="character" w:customStyle="1" w:styleId="HTML0">
    <w:name w:val="Стандартный HTML Знак"/>
    <w:basedOn w:val="a0"/>
    <w:link w:val="HTML"/>
    <w:uiPriority w:val="99"/>
    <w:rsid w:val="00C36151"/>
    <w:rPr>
      <w:rFonts w:ascii="Consolas" w:eastAsia="Times New Roman" w:hAnsi="Consolas" w:cs="Times New Roman"/>
      <w:sz w:val="20"/>
      <w:szCs w:val="20"/>
      <w:lang w:eastAsia="en-US"/>
    </w:rPr>
  </w:style>
  <w:style w:type="paragraph" w:customStyle="1" w:styleId="HTML1">
    <w:name w:val="Стандартный HTML1"/>
    <w:basedOn w:val="a"/>
    <w:rsid w:val="00C361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100" w:lineRule="atLeast"/>
    </w:pPr>
    <w:rPr>
      <w:rFonts w:ascii="Courier New" w:eastAsia="Times New Roman" w:hAnsi="Courier New" w:cs="Courier New"/>
      <w:b w:val="0"/>
      <w:bCs w:val="0"/>
      <w:sz w:val="20"/>
      <w:szCs w:val="20"/>
      <w:lang w:eastAsia="ar-SA"/>
    </w:rPr>
  </w:style>
  <w:style w:type="table" w:customStyle="1" w:styleId="TableGrid3">
    <w:name w:val="Table Grid3"/>
    <w:basedOn w:val="a1"/>
    <w:next w:val="af2"/>
    <w:uiPriority w:val="39"/>
    <w:qFormat/>
    <w:rsid w:val="00223D1A"/>
    <w:pPr>
      <w:spacing w:after="0" w:line="240" w:lineRule="auto"/>
    </w:pPr>
    <w:rPr>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a2"/>
    <w:uiPriority w:val="99"/>
    <w:semiHidden/>
    <w:unhideWhenUsed/>
    <w:rsid w:val="00BE49FB"/>
  </w:style>
  <w:style w:type="table" w:customStyle="1" w:styleId="TableGrid4">
    <w:name w:val="Table Grid4"/>
    <w:basedOn w:val="a1"/>
    <w:next w:val="af2"/>
    <w:uiPriority w:val="39"/>
    <w:rsid w:val="00BE49FB"/>
    <w:pPr>
      <w:spacing w:after="0" w:line="240" w:lineRule="auto"/>
      <w:jc w:val="both"/>
    </w:pPr>
    <w:rPr>
      <w:rFonts w:eastAsia="Calibr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Body Text"/>
    <w:basedOn w:val="a"/>
    <w:link w:val="afc"/>
    <w:uiPriority w:val="1"/>
    <w:qFormat/>
    <w:rsid w:val="00BE49FB"/>
    <w:pPr>
      <w:widowControl w:val="0"/>
      <w:autoSpaceDE w:val="0"/>
      <w:autoSpaceDN w:val="0"/>
      <w:spacing w:after="0" w:line="240" w:lineRule="auto"/>
    </w:pPr>
    <w:rPr>
      <w:rFonts w:ascii="Times New Roman" w:eastAsia="Times New Roman" w:hAnsi="Times New Roman" w:cs="Times New Roman"/>
      <w:b w:val="0"/>
      <w:bCs w:val="0"/>
      <w:sz w:val="26"/>
      <w:szCs w:val="26"/>
    </w:rPr>
  </w:style>
  <w:style w:type="character" w:customStyle="1" w:styleId="afc">
    <w:name w:val="Основной текст Знак"/>
    <w:basedOn w:val="a0"/>
    <w:link w:val="afb"/>
    <w:uiPriority w:val="1"/>
    <w:rsid w:val="00BE49FB"/>
    <w:rPr>
      <w:rFonts w:ascii="Times New Roman" w:eastAsia="Times New Roman" w:hAnsi="Times New Roman" w:cs="Times New Roman"/>
      <w:sz w:val="26"/>
      <w:szCs w:val="26"/>
      <w:lang w:val="ro-RO" w:eastAsia="en-US"/>
    </w:rPr>
  </w:style>
  <w:style w:type="table" w:customStyle="1" w:styleId="TableNormal1">
    <w:name w:val="Table Normal1"/>
    <w:uiPriority w:val="2"/>
    <w:semiHidden/>
    <w:unhideWhenUsed/>
    <w:qFormat/>
    <w:rsid w:val="00BE49FB"/>
    <w:pPr>
      <w:widowControl w:val="0"/>
      <w:autoSpaceDE w:val="0"/>
      <w:autoSpaceDN w:val="0"/>
      <w:spacing w:after="0" w:line="240" w:lineRule="auto"/>
    </w:pPr>
    <w:rPr>
      <w:rFonts w:eastAsia="Calibri"/>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E49FB"/>
    <w:pPr>
      <w:widowControl w:val="0"/>
      <w:autoSpaceDE w:val="0"/>
      <w:autoSpaceDN w:val="0"/>
      <w:spacing w:after="0" w:line="240" w:lineRule="auto"/>
      <w:jc w:val="center"/>
    </w:pPr>
    <w:rPr>
      <w:rFonts w:ascii="Times New Roman" w:eastAsia="Times New Roman" w:hAnsi="Times New Roman" w:cs="Times New Roman"/>
      <w:b w:val="0"/>
      <w:bCs w:val="0"/>
    </w:rPr>
  </w:style>
  <w:style w:type="paragraph" w:customStyle="1" w:styleId="Heading11">
    <w:name w:val="Heading 11"/>
    <w:basedOn w:val="a"/>
    <w:uiPriority w:val="1"/>
    <w:qFormat/>
    <w:rsid w:val="00BE49FB"/>
    <w:pPr>
      <w:widowControl w:val="0"/>
      <w:autoSpaceDE w:val="0"/>
      <w:autoSpaceDN w:val="0"/>
      <w:spacing w:after="0" w:line="240" w:lineRule="auto"/>
      <w:ind w:left="835"/>
      <w:outlineLvl w:val="1"/>
    </w:pPr>
    <w:rPr>
      <w:rFonts w:ascii="Times New Roman" w:eastAsia="Times New Roman" w:hAnsi="Times New Roman" w:cs="Times New Roman"/>
      <w:sz w:val="30"/>
      <w:szCs w:val="30"/>
    </w:rPr>
  </w:style>
  <w:style w:type="paragraph" w:customStyle="1" w:styleId="Heading21">
    <w:name w:val="Heading 21"/>
    <w:basedOn w:val="a"/>
    <w:uiPriority w:val="1"/>
    <w:qFormat/>
    <w:rsid w:val="00BE49FB"/>
    <w:pPr>
      <w:widowControl w:val="0"/>
      <w:autoSpaceDE w:val="0"/>
      <w:autoSpaceDN w:val="0"/>
      <w:spacing w:before="158" w:after="0" w:line="240" w:lineRule="auto"/>
      <w:outlineLvl w:val="2"/>
    </w:pPr>
    <w:rPr>
      <w:rFonts w:ascii="Times New Roman" w:eastAsia="Times New Roman" w:hAnsi="Times New Roman" w:cs="Times New Roman"/>
      <w:sz w:val="28"/>
      <w:szCs w:val="28"/>
    </w:rPr>
  </w:style>
  <w:style w:type="character" w:customStyle="1" w:styleId="UnresolvedMention">
    <w:name w:val="Unresolved Mention"/>
    <w:basedOn w:val="a0"/>
    <w:uiPriority w:val="99"/>
    <w:semiHidden/>
    <w:unhideWhenUsed/>
    <w:rsid w:val="00BE49FB"/>
    <w:rPr>
      <w:color w:val="605E5C"/>
      <w:shd w:val="clear" w:color="auto" w:fill="E1DFDD"/>
    </w:rPr>
  </w:style>
  <w:style w:type="numbering" w:customStyle="1" w:styleId="NoList2">
    <w:name w:val="No List2"/>
    <w:next w:val="a2"/>
    <w:uiPriority w:val="99"/>
    <w:semiHidden/>
    <w:unhideWhenUsed/>
    <w:rsid w:val="003D36F7"/>
  </w:style>
  <w:style w:type="table" w:customStyle="1" w:styleId="TableGrid5">
    <w:name w:val="Table Grid5"/>
    <w:basedOn w:val="a1"/>
    <w:next w:val="af2"/>
    <w:uiPriority w:val="39"/>
    <w:rsid w:val="003D36F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Plain Text"/>
    <w:basedOn w:val="a"/>
    <w:link w:val="afe"/>
    <w:uiPriority w:val="99"/>
    <w:semiHidden/>
    <w:unhideWhenUsed/>
    <w:rsid w:val="003D36F7"/>
    <w:pPr>
      <w:spacing w:after="0" w:line="240" w:lineRule="auto"/>
    </w:pPr>
    <w:rPr>
      <w:rFonts w:ascii="Calibri" w:hAnsi="Calibri"/>
      <w:b w:val="0"/>
      <w:bCs w:val="0"/>
      <w:szCs w:val="21"/>
      <w:lang w:val="en-US"/>
    </w:rPr>
  </w:style>
  <w:style w:type="character" w:customStyle="1" w:styleId="afe">
    <w:name w:val="Текст Знак"/>
    <w:basedOn w:val="a0"/>
    <w:link w:val="afd"/>
    <w:uiPriority w:val="99"/>
    <w:semiHidden/>
    <w:rsid w:val="003D36F7"/>
    <w:rPr>
      <w:rFonts w:ascii="Calibri" w:eastAsiaTheme="minorHAnsi" w:hAnsi="Calibri"/>
      <w:szCs w:val="21"/>
      <w:lang w:eastAsia="en-US"/>
    </w:rPr>
  </w:style>
  <w:style w:type="character" w:customStyle="1" w:styleId="BalloonTextChar1">
    <w:name w:val="Balloon Text Char1"/>
    <w:basedOn w:val="a0"/>
    <w:uiPriority w:val="99"/>
    <w:semiHidden/>
    <w:rsid w:val="003D36F7"/>
    <w:rPr>
      <w:rFonts w:ascii="Segoe UI" w:hAnsi="Segoe UI" w:cs="Segoe UI"/>
      <w:sz w:val="18"/>
      <w:szCs w:val="18"/>
    </w:rPr>
  </w:style>
  <w:style w:type="table" w:customStyle="1" w:styleId="PlainTable11">
    <w:name w:val="Plain Table 11"/>
    <w:basedOn w:val="a1"/>
    <w:uiPriority w:val="41"/>
    <w:rsid w:val="003D36F7"/>
    <w:pPr>
      <w:spacing w:after="0" w:line="240" w:lineRule="auto"/>
    </w:pPr>
    <w:rPr>
      <w:rFonts w:eastAsiaTheme="minorHAnsi"/>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rtejustify">
    <w:name w:val="rtejustify"/>
    <w:basedOn w:val="a"/>
    <w:rsid w:val="00F4733E"/>
    <w:pPr>
      <w:spacing w:before="100" w:beforeAutospacing="1" w:after="100" w:afterAutospacing="1" w:line="240" w:lineRule="auto"/>
    </w:pPr>
    <w:rPr>
      <w:rFonts w:ascii="Times New Roman" w:eastAsia="Times New Roman" w:hAnsi="Times New Roman" w:cs="Times New Roman"/>
      <w:b w:val="0"/>
      <w:bCs w:val="0"/>
      <w:sz w:val="24"/>
      <w:szCs w:val="24"/>
      <w:lang w:val="en-US"/>
    </w:rPr>
  </w:style>
  <w:style w:type="table" w:customStyle="1" w:styleId="TableGrid6">
    <w:name w:val="Table Grid6"/>
    <w:basedOn w:val="a1"/>
    <w:next w:val="af2"/>
    <w:uiPriority w:val="39"/>
    <w:rsid w:val="006468C2"/>
    <w:pPr>
      <w:spacing w:after="0" w:line="240" w:lineRule="auto"/>
    </w:pPr>
    <w:rPr>
      <w:rFonts w:eastAsiaTheme="minorHAnsi"/>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NoList3">
    <w:name w:val="No List3"/>
    <w:next w:val="a2"/>
    <w:uiPriority w:val="99"/>
    <w:semiHidden/>
    <w:unhideWhenUsed/>
    <w:rsid w:val="004005AD"/>
  </w:style>
  <w:style w:type="table" w:customStyle="1" w:styleId="TableNormal11">
    <w:name w:val="Table Normal11"/>
    <w:uiPriority w:val="2"/>
    <w:semiHidden/>
    <w:unhideWhenUsed/>
    <w:qFormat/>
    <w:rsid w:val="004005AD"/>
    <w:pPr>
      <w:widowControl w:val="0"/>
      <w:autoSpaceDE w:val="0"/>
      <w:autoSpaceDN w:val="0"/>
      <w:spacing w:after="0" w:line="240" w:lineRule="auto"/>
    </w:pPr>
    <w:rPr>
      <w:rFonts w:eastAsiaTheme="minorHAnsi"/>
      <w:lang w:eastAsia="en-US"/>
    </w:rPr>
    <w:tblPr>
      <w:tblInd w:w="0" w:type="dxa"/>
      <w:tblCellMar>
        <w:top w:w="0" w:type="dxa"/>
        <w:left w:w="0" w:type="dxa"/>
        <w:bottom w:w="0" w:type="dxa"/>
        <w:right w:w="0" w:type="dxa"/>
      </w:tblCellMar>
    </w:tblPr>
  </w:style>
  <w:style w:type="paragraph" w:styleId="aff">
    <w:name w:val="Title"/>
    <w:basedOn w:val="a"/>
    <w:link w:val="aff0"/>
    <w:uiPriority w:val="1"/>
    <w:qFormat/>
    <w:rsid w:val="004005AD"/>
    <w:pPr>
      <w:widowControl w:val="0"/>
      <w:autoSpaceDE w:val="0"/>
      <w:autoSpaceDN w:val="0"/>
      <w:spacing w:after="0" w:line="240" w:lineRule="auto"/>
      <w:ind w:left="244"/>
    </w:pPr>
    <w:rPr>
      <w:rFonts w:ascii="Times New Roman" w:eastAsia="Times New Roman" w:hAnsi="Times New Roman" w:cs="Times New Roman"/>
      <w:sz w:val="28"/>
      <w:szCs w:val="28"/>
      <w:lang w:val="en-US"/>
    </w:rPr>
  </w:style>
  <w:style w:type="character" w:customStyle="1" w:styleId="aff0">
    <w:name w:val="Название Знак"/>
    <w:basedOn w:val="a0"/>
    <w:link w:val="aff"/>
    <w:uiPriority w:val="1"/>
    <w:rsid w:val="004005AD"/>
    <w:rPr>
      <w:rFonts w:ascii="Times New Roman" w:eastAsia="Times New Roman" w:hAnsi="Times New Roman" w:cs="Times New Roman"/>
      <w:b/>
      <w:bCs/>
      <w:sz w:val="28"/>
      <w:szCs w:val="28"/>
      <w:lang w:eastAsia="en-US"/>
    </w:rPr>
  </w:style>
  <w:style w:type="table" w:customStyle="1" w:styleId="TableGrid7">
    <w:name w:val="Table Grid7"/>
    <w:basedOn w:val="a1"/>
    <w:next w:val="af2"/>
    <w:uiPriority w:val="39"/>
    <w:rsid w:val="004005AD"/>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
    <w:name w:val="Heading #1_"/>
    <w:basedOn w:val="a0"/>
    <w:rsid w:val="004005AD"/>
    <w:rPr>
      <w:rFonts w:ascii="Times New Roman" w:eastAsia="Times New Roman" w:hAnsi="Times New Roman" w:cs="Times New Roman"/>
      <w:b/>
      <w:bCs/>
      <w:i w:val="0"/>
      <w:iCs w:val="0"/>
      <w:smallCaps w:val="0"/>
      <w:strike w:val="0"/>
      <w:sz w:val="22"/>
      <w:szCs w:val="22"/>
      <w:u w:val="none"/>
    </w:rPr>
  </w:style>
  <w:style w:type="character" w:customStyle="1" w:styleId="Bodytext3">
    <w:name w:val="Body text (3)_"/>
    <w:basedOn w:val="a0"/>
    <w:rsid w:val="004005AD"/>
    <w:rPr>
      <w:rFonts w:ascii="Times New Roman" w:eastAsia="Times New Roman" w:hAnsi="Times New Roman" w:cs="Times New Roman"/>
      <w:b/>
      <w:bCs/>
      <w:i w:val="0"/>
      <w:iCs w:val="0"/>
      <w:smallCaps w:val="0"/>
      <w:strike w:val="0"/>
      <w:sz w:val="22"/>
      <w:szCs w:val="22"/>
      <w:u w:val="none"/>
    </w:rPr>
  </w:style>
  <w:style w:type="character" w:customStyle="1" w:styleId="Bodytext2">
    <w:name w:val="Body text (2)_"/>
    <w:basedOn w:val="a0"/>
    <w:rsid w:val="004005AD"/>
    <w:rPr>
      <w:rFonts w:ascii="Times New Roman" w:eastAsia="Times New Roman" w:hAnsi="Times New Roman" w:cs="Times New Roman"/>
      <w:b w:val="0"/>
      <w:bCs w:val="0"/>
      <w:i w:val="0"/>
      <w:iCs w:val="0"/>
      <w:smallCaps w:val="0"/>
      <w:strike w:val="0"/>
      <w:sz w:val="22"/>
      <w:szCs w:val="22"/>
      <w:u w:val="none"/>
    </w:rPr>
  </w:style>
  <w:style w:type="character" w:customStyle="1" w:styleId="Bodytext2115ptItalic">
    <w:name w:val="Body text (2) + 11;5 pt;Italic"/>
    <w:basedOn w:val="Bodytext2"/>
    <w:rsid w:val="004005AD"/>
    <w:rPr>
      <w:rFonts w:ascii="Times New Roman" w:eastAsia="Times New Roman" w:hAnsi="Times New Roman" w:cs="Times New Roman"/>
      <w:b w:val="0"/>
      <w:bCs w:val="0"/>
      <w:i/>
      <w:iCs/>
      <w:smallCaps w:val="0"/>
      <w:strike w:val="0"/>
      <w:color w:val="000000"/>
      <w:spacing w:val="0"/>
      <w:w w:val="100"/>
      <w:position w:val="0"/>
      <w:sz w:val="23"/>
      <w:szCs w:val="23"/>
      <w:u w:val="none"/>
      <w:lang w:val="en-US" w:eastAsia="en-US" w:bidi="en-US"/>
    </w:rPr>
  </w:style>
  <w:style w:type="character" w:customStyle="1" w:styleId="Bodytext24pt">
    <w:name w:val="Body text (2) + 4 pt"/>
    <w:basedOn w:val="Bodytext2"/>
    <w:rsid w:val="004005AD"/>
    <w:rPr>
      <w:rFonts w:ascii="Times New Roman" w:eastAsia="Times New Roman" w:hAnsi="Times New Roman" w:cs="Times New Roman"/>
      <w:b w:val="0"/>
      <w:bCs w:val="0"/>
      <w:i w:val="0"/>
      <w:iCs w:val="0"/>
      <w:smallCaps w:val="0"/>
      <w:strike w:val="0"/>
      <w:color w:val="000000"/>
      <w:spacing w:val="0"/>
      <w:w w:val="100"/>
      <w:position w:val="0"/>
      <w:sz w:val="8"/>
      <w:szCs w:val="8"/>
      <w:u w:val="none"/>
      <w:lang w:val="en-US" w:eastAsia="en-US" w:bidi="en-US"/>
    </w:rPr>
  </w:style>
  <w:style w:type="character" w:customStyle="1" w:styleId="Bodytext2BoldItalic">
    <w:name w:val="Body text (2) + Bold;Italic"/>
    <w:basedOn w:val="Bodytext2"/>
    <w:rsid w:val="004005AD"/>
    <w:rPr>
      <w:rFonts w:ascii="Times New Roman" w:eastAsia="Times New Roman" w:hAnsi="Times New Roman" w:cs="Times New Roman"/>
      <w:b/>
      <w:bCs/>
      <w:i/>
      <w:iCs/>
      <w:smallCaps w:val="0"/>
      <w:strike w:val="0"/>
      <w:color w:val="000000"/>
      <w:spacing w:val="0"/>
      <w:w w:val="100"/>
      <w:position w:val="0"/>
      <w:sz w:val="22"/>
      <w:szCs w:val="22"/>
      <w:u w:val="none"/>
      <w:lang w:val="en-US" w:eastAsia="en-US" w:bidi="en-US"/>
    </w:rPr>
  </w:style>
  <w:style w:type="character" w:customStyle="1" w:styleId="Bodytext4">
    <w:name w:val="Body text (4)_"/>
    <w:basedOn w:val="a0"/>
    <w:link w:val="Bodytext40"/>
    <w:rsid w:val="004005AD"/>
    <w:rPr>
      <w:rFonts w:ascii="Times New Roman" w:eastAsia="Times New Roman" w:hAnsi="Times New Roman" w:cs="Times New Roman"/>
      <w:b/>
      <w:bCs/>
      <w:i/>
      <w:iCs/>
      <w:shd w:val="clear" w:color="auto" w:fill="FFFFFF"/>
    </w:rPr>
  </w:style>
  <w:style w:type="character" w:customStyle="1" w:styleId="Bodytext44ptNotBoldNotItalic">
    <w:name w:val="Body text (4) + 4 pt;Not Bold;Not Italic"/>
    <w:basedOn w:val="Bodytext4"/>
    <w:rsid w:val="004005AD"/>
    <w:rPr>
      <w:rFonts w:ascii="Times New Roman" w:eastAsia="Times New Roman" w:hAnsi="Times New Roman" w:cs="Times New Roman"/>
      <w:b/>
      <w:bCs/>
      <w:i/>
      <w:iCs/>
      <w:color w:val="000000"/>
      <w:spacing w:val="0"/>
      <w:w w:val="100"/>
      <w:position w:val="0"/>
      <w:sz w:val="8"/>
      <w:szCs w:val="8"/>
      <w:shd w:val="clear" w:color="auto" w:fill="FFFFFF"/>
      <w:lang w:val="en-US" w:eastAsia="en-US" w:bidi="en-US"/>
    </w:rPr>
  </w:style>
  <w:style w:type="character" w:customStyle="1" w:styleId="Bodytext4NotBoldNotItalic">
    <w:name w:val="Body text (4) + Not Bold;Not Italic"/>
    <w:basedOn w:val="Bodytext4"/>
    <w:rsid w:val="004005AD"/>
    <w:rPr>
      <w:rFonts w:ascii="Times New Roman" w:eastAsia="Times New Roman" w:hAnsi="Times New Roman" w:cs="Times New Roman"/>
      <w:b/>
      <w:bCs/>
      <w:i/>
      <w:iCs/>
      <w:color w:val="000000"/>
      <w:spacing w:val="0"/>
      <w:w w:val="100"/>
      <w:position w:val="0"/>
      <w:shd w:val="clear" w:color="auto" w:fill="FFFFFF"/>
      <w:lang w:val="en-US" w:eastAsia="en-US" w:bidi="en-US"/>
    </w:rPr>
  </w:style>
  <w:style w:type="character" w:customStyle="1" w:styleId="Bodytext2Bold">
    <w:name w:val="Body text (2) + Bold"/>
    <w:basedOn w:val="Bodytext2"/>
    <w:rsid w:val="004005AD"/>
    <w:rPr>
      <w:rFonts w:ascii="Times New Roman" w:eastAsia="Times New Roman" w:hAnsi="Times New Roman" w:cs="Times New Roman"/>
      <w:b/>
      <w:bCs/>
      <w:i w:val="0"/>
      <w:iCs w:val="0"/>
      <w:smallCaps w:val="0"/>
      <w:strike w:val="0"/>
      <w:color w:val="000000"/>
      <w:spacing w:val="0"/>
      <w:w w:val="100"/>
      <w:position w:val="0"/>
      <w:sz w:val="22"/>
      <w:szCs w:val="22"/>
      <w:u w:val="none"/>
      <w:lang w:val="en-US" w:eastAsia="en-US" w:bidi="en-US"/>
    </w:rPr>
  </w:style>
  <w:style w:type="character" w:customStyle="1" w:styleId="Bodytext20">
    <w:name w:val="Body text (2)"/>
    <w:basedOn w:val="Bodytext2"/>
    <w:rsid w:val="004005AD"/>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en-US" w:eastAsia="en-US" w:bidi="en-US"/>
    </w:rPr>
  </w:style>
  <w:style w:type="character" w:customStyle="1" w:styleId="Bodytext3NotBold">
    <w:name w:val="Body text (3) + Not Bold"/>
    <w:basedOn w:val="Bodytext3"/>
    <w:rsid w:val="004005AD"/>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Bodytext30">
    <w:name w:val="Body text (3)"/>
    <w:basedOn w:val="Bodytext3"/>
    <w:rsid w:val="004005AD"/>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Heading10">
    <w:name w:val="Heading #1"/>
    <w:basedOn w:val="Heading1"/>
    <w:rsid w:val="004005AD"/>
    <w:rPr>
      <w:rFonts w:ascii="Times New Roman" w:eastAsia="Times New Roman" w:hAnsi="Times New Roman" w:cs="Times New Roman"/>
      <w:b/>
      <w:bCs/>
      <w:i w:val="0"/>
      <w:iCs w:val="0"/>
      <w:smallCaps w:val="0"/>
      <w:strike w:val="0"/>
      <w:color w:val="000000"/>
      <w:spacing w:val="0"/>
      <w:w w:val="100"/>
      <w:position w:val="0"/>
      <w:sz w:val="22"/>
      <w:szCs w:val="22"/>
      <w:u w:val="single"/>
      <w:lang w:val="en-US" w:eastAsia="en-US" w:bidi="en-US"/>
    </w:rPr>
  </w:style>
  <w:style w:type="character" w:customStyle="1" w:styleId="Tablecaption">
    <w:name w:val="Table caption_"/>
    <w:basedOn w:val="a0"/>
    <w:link w:val="Tablecaption0"/>
    <w:rsid w:val="004005AD"/>
    <w:rPr>
      <w:rFonts w:ascii="Times New Roman" w:eastAsia="Times New Roman" w:hAnsi="Times New Roman" w:cs="Times New Roman"/>
      <w:b/>
      <w:bCs/>
      <w:shd w:val="clear" w:color="auto" w:fill="FFFFFF"/>
    </w:rPr>
  </w:style>
  <w:style w:type="character" w:customStyle="1" w:styleId="Bodytext5">
    <w:name w:val="Body text (5)_"/>
    <w:basedOn w:val="a0"/>
    <w:link w:val="Bodytext50"/>
    <w:rsid w:val="004005AD"/>
    <w:rPr>
      <w:rFonts w:ascii="Calibri" w:eastAsia="Calibri" w:hAnsi="Calibri" w:cs="Calibri"/>
      <w:b/>
      <w:bCs/>
      <w:sz w:val="20"/>
      <w:szCs w:val="20"/>
      <w:shd w:val="clear" w:color="auto" w:fill="FFFFFF"/>
    </w:rPr>
  </w:style>
  <w:style w:type="character" w:customStyle="1" w:styleId="Bodytext5NotBoldItalic">
    <w:name w:val="Body text (5) + Not Bold;Italic"/>
    <w:basedOn w:val="Bodytext5"/>
    <w:rsid w:val="004005AD"/>
    <w:rPr>
      <w:rFonts w:ascii="Calibri" w:eastAsia="Calibri" w:hAnsi="Calibri" w:cs="Calibri"/>
      <w:b/>
      <w:bCs/>
      <w:i/>
      <w:iCs/>
      <w:color w:val="000000"/>
      <w:spacing w:val="0"/>
      <w:w w:val="100"/>
      <w:position w:val="0"/>
      <w:sz w:val="20"/>
      <w:szCs w:val="20"/>
      <w:shd w:val="clear" w:color="auto" w:fill="FFFFFF"/>
      <w:lang w:val="en-US" w:eastAsia="en-US" w:bidi="en-US"/>
    </w:rPr>
  </w:style>
  <w:style w:type="character" w:customStyle="1" w:styleId="Bodytext27pt">
    <w:name w:val="Body text (2) + 7 pt"/>
    <w:basedOn w:val="Bodytext2"/>
    <w:rsid w:val="004005A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en-US" w:eastAsia="en-US" w:bidi="en-US"/>
    </w:rPr>
  </w:style>
  <w:style w:type="character" w:customStyle="1" w:styleId="Bodytext245pt">
    <w:name w:val="Body text (2) + 4;5 pt"/>
    <w:basedOn w:val="Bodytext2"/>
    <w:rsid w:val="004005AD"/>
    <w:rPr>
      <w:rFonts w:ascii="Times New Roman" w:eastAsia="Times New Roman" w:hAnsi="Times New Roman" w:cs="Times New Roman"/>
      <w:b w:val="0"/>
      <w:bCs w:val="0"/>
      <w:i w:val="0"/>
      <w:iCs w:val="0"/>
      <w:smallCaps w:val="0"/>
      <w:strike w:val="0"/>
      <w:color w:val="000000"/>
      <w:spacing w:val="0"/>
      <w:w w:val="100"/>
      <w:position w:val="0"/>
      <w:sz w:val="9"/>
      <w:szCs w:val="9"/>
      <w:u w:val="none"/>
      <w:lang w:val="en-US" w:eastAsia="en-US" w:bidi="en-US"/>
    </w:rPr>
  </w:style>
  <w:style w:type="character" w:customStyle="1" w:styleId="Bodytext213ptItalic">
    <w:name w:val="Body text (2) + 13 pt;Italic"/>
    <w:basedOn w:val="Bodytext2"/>
    <w:rsid w:val="004005AD"/>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Bodytext27ptItalic">
    <w:name w:val="Body text (2) + 7 pt;Italic"/>
    <w:basedOn w:val="Bodytext2"/>
    <w:rsid w:val="004005AD"/>
    <w:rPr>
      <w:rFonts w:ascii="Times New Roman" w:eastAsia="Times New Roman" w:hAnsi="Times New Roman" w:cs="Times New Roman"/>
      <w:b w:val="0"/>
      <w:bCs w:val="0"/>
      <w:i/>
      <w:iCs/>
      <w:smallCaps w:val="0"/>
      <w:strike w:val="0"/>
      <w:color w:val="000000"/>
      <w:spacing w:val="0"/>
      <w:w w:val="100"/>
      <w:position w:val="0"/>
      <w:sz w:val="14"/>
      <w:szCs w:val="14"/>
      <w:u w:val="none"/>
      <w:lang w:val="en-US" w:eastAsia="en-US" w:bidi="en-US"/>
    </w:rPr>
  </w:style>
  <w:style w:type="character" w:customStyle="1" w:styleId="Bodytext2Consolas24ptSpacing9pt">
    <w:name w:val="Body text (2) + Consolas;24 pt;Spacing 9 pt"/>
    <w:basedOn w:val="Bodytext2"/>
    <w:rsid w:val="004005AD"/>
    <w:rPr>
      <w:rFonts w:ascii="Consolas" w:eastAsia="Consolas" w:hAnsi="Consolas" w:cs="Consolas"/>
      <w:b w:val="0"/>
      <w:bCs w:val="0"/>
      <w:i w:val="0"/>
      <w:iCs w:val="0"/>
      <w:smallCaps w:val="0"/>
      <w:strike w:val="0"/>
      <w:color w:val="000000"/>
      <w:spacing w:val="180"/>
      <w:w w:val="100"/>
      <w:position w:val="0"/>
      <w:sz w:val="48"/>
      <w:szCs w:val="48"/>
      <w:u w:val="none"/>
      <w:lang w:val="en-US" w:eastAsia="en-US" w:bidi="en-US"/>
    </w:rPr>
  </w:style>
  <w:style w:type="character" w:customStyle="1" w:styleId="Bodytext2Calibri75pt">
    <w:name w:val="Body text (2) + Calibri;7;5 pt"/>
    <w:basedOn w:val="Bodytext2"/>
    <w:rsid w:val="004005AD"/>
    <w:rPr>
      <w:rFonts w:ascii="Calibri" w:eastAsia="Calibri" w:hAnsi="Calibri" w:cs="Calibri"/>
      <w:b w:val="0"/>
      <w:bCs w:val="0"/>
      <w:i w:val="0"/>
      <w:iCs w:val="0"/>
      <w:smallCaps w:val="0"/>
      <w:strike w:val="0"/>
      <w:color w:val="000000"/>
      <w:spacing w:val="0"/>
      <w:w w:val="100"/>
      <w:position w:val="0"/>
      <w:sz w:val="15"/>
      <w:szCs w:val="15"/>
      <w:u w:val="none"/>
      <w:lang w:val="en-US" w:eastAsia="en-US" w:bidi="en-US"/>
    </w:rPr>
  </w:style>
  <w:style w:type="character" w:customStyle="1" w:styleId="Bodytext29ptBoldItalic">
    <w:name w:val="Body text (2) + 9 pt;Bold;Italic"/>
    <w:basedOn w:val="Bodytext2"/>
    <w:rsid w:val="004005AD"/>
    <w:rPr>
      <w:rFonts w:ascii="Times New Roman" w:eastAsia="Times New Roman" w:hAnsi="Times New Roman" w:cs="Times New Roman"/>
      <w:b/>
      <w:bCs/>
      <w:i/>
      <w:iCs/>
      <w:smallCaps w:val="0"/>
      <w:strike w:val="0"/>
      <w:color w:val="000000"/>
      <w:spacing w:val="0"/>
      <w:w w:val="100"/>
      <w:position w:val="0"/>
      <w:sz w:val="18"/>
      <w:szCs w:val="18"/>
      <w:u w:val="none"/>
      <w:lang w:val="en-US" w:eastAsia="en-US" w:bidi="en-US"/>
    </w:rPr>
  </w:style>
  <w:style w:type="character" w:customStyle="1" w:styleId="Bodytext265pt">
    <w:name w:val="Body text (2) + 6;5 pt"/>
    <w:basedOn w:val="Bodytext2"/>
    <w:rsid w:val="004005AD"/>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Heading1Exact">
    <w:name w:val="Heading #1 Exact"/>
    <w:basedOn w:val="a0"/>
    <w:rsid w:val="004005AD"/>
    <w:rPr>
      <w:rFonts w:ascii="Times New Roman" w:eastAsia="Times New Roman" w:hAnsi="Times New Roman" w:cs="Times New Roman"/>
      <w:b/>
      <w:bCs/>
      <w:i w:val="0"/>
      <w:iCs w:val="0"/>
      <w:smallCaps w:val="0"/>
      <w:strike w:val="0"/>
      <w:sz w:val="22"/>
      <w:szCs w:val="22"/>
      <w:u w:val="none"/>
    </w:rPr>
  </w:style>
  <w:style w:type="paragraph" w:customStyle="1" w:styleId="Bodytext40">
    <w:name w:val="Body text (4)"/>
    <w:basedOn w:val="a"/>
    <w:link w:val="Bodytext4"/>
    <w:rsid w:val="004005AD"/>
    <w:pPr>
      <w:widowControl w:val="0"/>
      <w:shd w:val="clear" w:color="auto" w:fill="FFFFFF"/>
      <w:spacing w:before="80" w:after="80" w:line="307" w:lineRule="exact"/>
      <w:jc w:val="both"/>
    </w:pPr>
    <w:rPr>
      <w:rFonts w:ascii="Times New Roman" w:eastAsia="Times New Roman" w:hAnsi="Times New Roman" w:cs="Times New Roman"/>
      <w:i/>
      <w:iCs/>
      <w:lang w:val="en-US" w:eastAsia="ko-KR"/>
    </w:rPr>
  </w:style>
  <w:style w:type="paragraph" w:customStyle="1" w:styleId="Tablecaption0">
    <w:name w:val="Table caption"/>
    <w:basedOn w:val="a"/>
    <w:link w:val="Tablecaption"/>
    <w:rsid w:val="004005AD"/>
    <w:pPr>
      <w:widowControl w:val="0"/>
      <w:shd w:val="clear" w:color="auto" w:fill="FFFFFF"/>
      <w:spacing w:after="0" w:line="244" w:lineRule="exact"/>
    </w:pPr>
    <w:rPr>
      <w:rFonts w:ascii="Times New Roman" w:eastAsia="Times New Roman" w:hAnsi="Times New Roman" w:cs="Times New Roman"/>
      <w:lang w:val="en-US" w:eastAsia="ko-KR"/>
    </w:rPr>
  </w:style>
  <w:style w:type="paragraph" w:customStyle="1" w:styleId="Bodytext50">
    <w:name w:val="Body text (5)"/>
    <w:basedOn w:val="a"/>
    <w:link w:val="Bodytext5"/>
    <w:rsid w:val="004005AD"/>
    <w:pPr>
      <w:widowControl w:val="0"/>
      <w:shd w:val="clear" w:color="auto" w:fill="FFFFFF"/>
      <w:spacing w:after="0" w:line="245" w:lineRule="exact"/>
      <w:jc w:val="center"/>
    </w:pPr>
    <w:rPr>
      <w:rFonts w:ascii="Calibri" w:eastAsia="Calibri" w:hAnsi="Calibri" w:cs="Calibri"/>
      <w:sz w:val="20"/>
      <w:szCs w:val="20"/>
      <w:lang w:val="en-US" w:eastAsia="ko-KR"/>
    </w:rPr>
  </w:style>
  <w:style w:type="character" w:customStyle="1" w:styleId="Picturecaption2Exact">
    <w:name w:val="Picture caption (2) Exact"/>
    <w:basedOn w:val="a0"/>
    <w:link w:val="Picturecaption2"/>
    <w:rsid w:val="004005AD"/>
    <w:rPr>
      <w:rFonts w:ascii="Trebuchet MS" w:eastAsia="Trebuchet MS" w:hAnsi="Trebuchet MS" w:cs="Trebuchet MS"/>
      <w:sz w:val="15"/>
      <w:szCs w:val="15"/>
      <w:shd w:val="clear" w:color="auto" w:fill="FFFFFF"/>
    </w:rPr>
  </w:style>
  <w:style w:type="character" w:customStyle="1" w:styleId="Picturecaption3Exact">
    <w:name w:val="Picture caption (3) Exact"/>
    <w:basedOn w:val="a0"/>
    <w:link w:val="Picturecaption3"/>
    <w:rsid w:val="004005AD"/>
    <w:rPr>
      <w:rFonts w:ascii="Times New Roman" w:eastAsia="Times New Roman" w:hAnsi="Times New Roman" w:cs="Times New Roman"/>
      <w:sz w:val="15"/>
      <w:szCs w:val="15"/>
      <w:shd w:val="clear" w:color="auto" w:fill="FFFFFF"/>
    </w:rPr>
  </w:style>
  <w:style w:type="character" w:customStyle="1" w:styleId="Picturecaption4Exact">
    <w:name w:val="Picture caption (4) Exact"/>
    <w:basedOn w:val="a0"/>
    <w:link w:val="Picturecaption4"/>
    <w:rsid w:val="004005AD"/>
    <w:rPr>
      <w:rFonts w:ascii="Times New Roman" w:eastAsia="Times New Roman" w:hAnsi="Times New Roman" w:cs="Times New Roman"/>
      <w:sz w:val="26"/>
      <w:szCs w:val="26"/>
      <w:shd w:val="clear" w:color="auto" w:fill="FFFFFF"/>
    </w:rPr>
  </w:style>
  <w:style w:type="character" w:customStyle="1" w:styleId="PicturecaptionExact">
    <w:name w:val="Picture caption Exact"/>
    <w:basedOn w:val="a0"/>
    <w:link w:val="Picturecaption"/>
    <w:rsid w:val="004005AD"/>
    <w:rPr>
      <w:rFonts w:ascii="Times New Roman" w:eastAsia="Times New Roman" w:hAnsi="Times New Roman" w:cs="Times New Roman"/>
      <w:spacing w:val="10"/>
      <w:sz w:val="13"/>
      <w:szCs w:val="13"/>
      <w:shd w:val="clear" w:color="auto" w:fill="FFFFFF"/>
    </w:rPr>
  </w:style>
  <w:style w:type="character" w:customStyle="1" w:styleId="PicturecaptionTrebuchetMS6ptSpacing0ptExact">
    <w:name w:val="Picture caption + Trebuchet MS;6 pt;Spacing 0 pt Exact"/>
    <w:basedOn w:val="PicturecaptionExact"/>
    <w:rsid w:val="004005AD"/>
    <w:rPr>
      <w:rFonts w:ascii="Trebuchet MS" w:eastAsia="Trebuchet MS" w:hAnsi="Trebuchet MS" w:cs="Trebuchet MS"/>
      <w:color w:val="1E1D1E"/>
      <w:spacing w:val="0"/>
      <w:w w:val="100"/>
      <w:position w:val="0"/>
      <w:sz w:val="12"/>
      <w:szCs w:val="12"/>
      <w:shd w:val="clear" w:color="auto" w:fill="FFFFFF"/>
      <w:lang w:val="en-US" w:eastAsia="en-US" w:bidi="en-US"/>
    </w:rPr>
  </w:style>
  <w:style w:type="character" w:customStyle="1" w:styleId="PicturecaptionLucidaSansUnicode4ptSpacing0ptExact">
    <w:name w:val="Picture caption + Lucida Sans Unicode;4 pt;Spacing 0 pt Exact"/>
    <w:basedOn w:val="PicturecaptionExact"/>
    <w:rsid w:val="004005AD"/>
    <w:rPr>
      <w:rFonts w:ascii="Lucida Sans Unicode" w:eastAsia="Lucida Sans Unicode" w:hAnsi="Lucida Sans Unicode" w:cs="Lucida Sans Unicode"/>
      <w:b/>
      <w:bCs/>
      <w:color w:val="1E1D1E"/>
      <w:spacing w:val="0"/>
      <w:w w:val="100"/>
      <w:position w:val="0"/>
      <w:sz w:val="8"/>
      <w:szCs w:val="8"/>
      <w:shd w:val="clear" w:color="auto" w:fill="FFFFFF"/>
      <w:lang w:val="en-US" w:eastAsia="en-US" w:bidi="en-US"/>
    </w:rPr>
  </w:style>
  <w:style w:type="character" w:customStyle="1" w:styleId="Bodytext4Exact">
    <w:name w:val="Body text (4) Exact"/>
    <w:basedOn w:val="a0"/>
    <w:rsid w:val="004005AD"/>
    <w:rPr>
      <w:rFonts w:ascii="Times New Roman" w:eastAsia="Times New Roman" w:hAnsi="Times New Roman" w:cs="Times New Roman"/>
      <w:b w:val="0"/>
      <w:bCs w:val="0"/>
      <w:i w:val="0"/>
      <w:iCs w:val="0"/>
      <w:smallCaps w:val="0"/>
      <w:strike w:val="0"/>
      <w:sz w:val="11"/>
      <w:szCs w:val="11"/>
      <w:u w:val="none"/>
    </w:rPr>
  </w:style>
  <w:style w:type="character" w:customStyle="1" w:styleId="Heading3">
    <w:name w:val="Heading #3_"/>
    <w:basedOn w:val="a0"/>
    <w:rsid w:val="004005AD"/>
    <w:rPr>
      <w:rFonts w:ascii="Times New Roman" w:eastAsia="Times New Roman" w:hAnsi="Times New Roman" w:cs="Times New Roman"/>
      <w:b/>
      <w:bCs/>
      <w:i w:val="0"/>
      <w:iCs w:val="0"/>
      <w:smallCaps w:val="0"/>
      <w:strike w:val="0"/>
      <w:spacing w:val="20"/>
      <w:sz w:val="26"/>
      <w:szCs w:val="26"/>
      <w:u w:val="none"/>
    </w:rPr>
  </w:style>
  <w:style w:type="character" w:customStyle="1" w:styleId="Heading30">
    <w:name w:val="Heading #3"/>
    <w:basedOn w:val="Heading3"/>
    <w:rsid w:val="004005AD"/>
    <w:rPr>
      <w:rFonts w:ascii="Times New Roman" w:eastAsia="Times New Roman" w:hAnsi="Times New Roman" w:cs="Times New Roman"/>
      <w:b/>
      <w:bCs/>
      <w:i w:val="0"/>
      <w:iCs w:val="0"/>
      <w:smallCaps w:val="0"/>
      <w:strike w:val="0"/>
      <w:color w:val="1E1D1E"/>
      <w:spacing w:val="20"/>
      <w:w w:val="100"/>
      <w:position w:val="0"/>
      <w:sz w:val="26"/>
      <w:szCs w:val="26"/>
      <w:u w:val="none"/>
      <w:lang w:val="en-US" w:eastAsia="en-US" w:bidi="en-US"/>
    </w:rPr>
  </w:style>
  <w:style w:type="character" w:customStyle="1" w:styleId="Bodytext3Italic">
    <w:name w:val="Body text (3) + Italic"/>
    <w:basedOn w:val="Bodytext3"/>
    <w:rsid w:val="004005AD"/>
    <w:rPr>
      <w:rFonts w:ascii="Times New Roman" w:eastAsia="Times New Roman" w:hAnsi="Times New Roman" w:cs="Times New Roman"/>
      <w:b w:val="0"/>
      <w:bCs w:val="0"/>
      <w:i/>
      <w:iCs/>
      <w:smallCaps w:val="0"/>
      <w:strike w:val="0"/>
      <w:color w:val="545455"/>
      <w:spacing w:val="0"/>
      <w:w w:val="100"/>
      <w:position w:val="0"/>
      <w:sz w:val="21"/>
      <w:szCs w:val="21"/>
      <w:u w:val="none"/>
      <w:lang w:val="en-US" w:eastAsia="en-US" w:bidi="en-US"/>
    </w:rPr>
  </w:style>
  <w:style w:type="character" w:customStyle="1" w:styleId="Heading1Spacing6pt">
    <w:name w:val="Heading #1 + Spacing 6 pt"/>
    <w:basedOn w:val="Heading1"/>
    <w:rsid w:val="004005AD"/>
    <w:rPr>
      <w:rFonts w:ascii="Times New Roman" w:eastAsia="Times New Roman" w:hAnsi="Times New Roman" w:cs="Times New Roman"/>
      <w:b w:val="0"/>
      <w:bCs w:val="0"/>
      <w:i w:val="0"/>
      <w:iCs w:val="0"/>
      <w:smallCaps w:val="0"/>
      <w:strike w:val="0"/>
      <w:color w:val="1E1D1E"/>
      <w:spacing w:val="130"/>
      <w:w w:val="100"/>
      <w:position w:val="0"/>
      <w:sz w:val="26"/>
      <w:szCs w:val="26"/>
      <w:u w:val="none"/>
      <w:lang w:val="en-US" w:eastAsia="en-US" w:bidi="en-US"/>
    </w:rPr>
  </w:style>
  <w:style w:type="character" w:customStyle="1" w:styleId="Picturecaption5Exact">
    <w:name w:val="Picture caption (5) Exact"/>
    <w:basedOn w:val="a0"/>
    <w:link w:val="Picturecaption5"/>
    <w:rsid w:val="004005AD"/>
    <w:rPr>
      <w:rFonts w:ascii="Times New Roman" w:eastAsia="Times New Roman" w:hAnsi="Times New Roman" w:cs="Times New Roman"/>
      <w:b/>
      <w:bCs/>
      <w:spacing w:val="20"/>
      <w:sz w:val="26"/>
      <w:szCs w:val="26"/>
      <w:shd w:val="clear" w:color="auto" w:fill="FFFFFF"/>
    </w:rPr>
  </w:style>
  <w:style w:type="character" w:customStyle="1" w:styleId="Bodytext2Exact">
    <w:name w:val="Body text (2) Exact"/>
    <w:basedOn w:val="a0"/>
    <w:rsid w:val="004005AD"/>
    <w:rPr>
      <w:rFonts w:ascii="Times New Roman" w:eastAsia="Times New Roman" w:hAnsi="Times New Roman" w:cs="Times New Roman"/>
      <w:b w:val="0"/>
      <w:bCs w:val="0"/>
      <w:i w:val="0"/>
      <w:iCs w:val="0"/>
      <w:smallCaps w:val="0"/>
      <w:strike w:val="0"/>
      <w:sz w:val="26"/>
      <w:szCs w:val="26"/>
      <w:u w:val="none"/>
    </w:rPr>
  </w:style>
  <w:style w:type="character" w:customStyle="1" w:styleId="Bodytext211ptSpacing1ptExact">
    <w:name w:val="Body text (2) + 11 pt;Spacing 1 pt Exact"/>
    <w:basedOn w:val="Bodytext2"/>
    <w:rsid w:val="004005AD"/>
    <w:rPr>
      <w:rFonts w:ascii="Times New Roman" w:eastAsia="Times New Roman" w:hAnsi="Times New Roman" w:cs="Times New Roman"/>
      <w:b w:val="0"/>
      <w:bCs w:val="0"/>
      <w:i w:val="0"/>
      <w:iCs w:val="0"/>
      <w:smallCaps w:val="0"/>
      <w:strike w:val="0"/>
      <w:spacing w:val="20"/>
      <w:sz w:val="22"/>
      <w:szCs w:val="22"/>
      <w:u w:val="none"/>
    </w:rPr>
  </w:style>
  <w:style w:type="character" w:customStyle="1" w:styleId="Bodytext2ItalicExact">
    <w:name w:val="Body text (2) + Italic Exact"/>
    <w:basedOn w:val="Bodytext2"/>
    <w:rsid w:val="004005AD"/>
    <w:rPr>
      <w:rFonts w:ascii="Times New Roman" w:eastAsia="Times New Roman" w:hAnsi="Times New Roman" w:cs="Times New Roman"/>
      <w:b w:val="0"/>
      <w:bCs w:val="0"/>
      <w:i/>
      <w:iCs/>
      <w:smallCaps w:val="0"/>
      <w:strike w:val="0"/>
      <w:sz w:val="26"/>
      <w:szCs w:val="26"/>
      <w:u w:val="none"/>
    </w:rPr>
  </w:style>
  <w:style w:type="character" w:customStyle="1" w:styleId="Heading2">
    <w:name w:val="Heading #2_"/>
    <w:basedOn w:val="a0"/>
    <w:link w:val="Heading20"/>
    <w:rsid w:val="004005AD"/>
    <w:rPr>
      <w:rFonts w:ascii="Times New Roman" w:eastAsia="Times New Roman" w:hAnsi="Times New Roman" w:cs="Times New Roman"/>
      <w:b/>
      <w:bCs/>
      <w:spacing w:val="20"/>
      <w:sz w:val="26"/>
      <w:szCs w:val="26"/>
      <w:shd w:val="clear" w:color="auto" w:fill="FFFFFF"/>
    </w:rPr>
  </w:style>
  <w:style w:type="character" w:customStyle="1" w:styleId="Bodytext211ptSpacing1pt">
    <w:name w:val="Body text (2) + 11 pt;Spacing 1 pt"/>
    <w:basedOn w:val="Bodytext2"/>
    <w:rsid w:val="004005AD"/>
    <w:rPr>
      <w:rFonts w:ascii="Times New Roman" w:eastAsia="Times New Roman" w:hAnsi="Times New Roman" w:cs="Times New Roman"/>
      <w:b w:val="0"/>
      <w:bCs w:val="0"/>
      <w:i w:val="0"/>
      <w:iCs w:val="0"/>
      <w:smallCaps w:val="0"/>
      <w:strike w:val="0"/>
      <w:color w:val="1E1D1E"/>
      <w:spacing w:val="20"/>
      <w:w w:val="100"/>
      <w:position w:val="0"/>
      <w:sz w:val="22"/>
      <w:szCs w:val="22"/>
      <w:u w:val="none"/>
      <w:lang w:val="en-US" w:eastAsia="en-US" w:bidi="en-US"/>
    </w:rPr>
  </w:style>
  <w:style w:type="character" w:customStyle="1" w:styleId="TablecaptionSmallCaps">
    <w:name w:val="Table caption + Small Caps"/>
    <w:basedOn w:val="Tablecaption"/>
    <w:rsid w:val="004005AD"/>
    <w:rPr>
      <w:rFonts w:ascii="Times New Roman" w:eastAsia="Times New Roman" w:hAnsi="Times New Roman" w:cs="Times New Roman"/>
      <w:b w:val="0"/>
      <w:bCs w:val="0"/>
      <w:i/>
      <w:iCs/>
      <w:smallCaps/>
      <w:color w:val="000000"/>
      <w:spacing w:val="0"/>
      <w:w w:val="100"/>
      <w:position w:val="0"/>
      <w:sz w:val="26"/>
      <w:szCs w:val="26"/>
      <w:shd w:val="clear" w:color="auto" w:fill="FFFFFF"/>
      <w:lang w:val="en-US" w:eastAsia="en-US" w:bidi="en-US"/>
    </w:rPr>
  </w:style>
  <w:style w:type="character" w:customStyle="1" w:styleId="Bodytext2BoldSpacing1pt">
    <w:name w:val="Body text (2) + Bold;Spacing 1 pt"/>
    <w:basedOn w:val="Bodytext2"/>
    <w:rsid w:val="004005AD"/>
    <w:rPr>
      <w:rFonts w:ascii="Times New Roman" w:eastAsia="Times New Roman" w:hAnsi="Times New Roman" w:cs="Times New Roman"/>
      <w:b/>
      <w:bCs/>
      <w:i w:val="0"/>
      <w:iCs w:val="0"/>
      <w:smallCaps w:val="0"/>
      <w:strike w:val="0"/>
      <w:color w:val="1E1D1E"/>
      <w:spacing w:val="20"/>
      <w:w w:val="100"/>
      <w:position w:val="0"/>
      <w:sz w:val="26"/>
      <w:szCs w:val="26"/>
      <w:u w:val="none"/>
      <w:lang w:val="en-US" w:eastAsia="en-US" w:bidi="en-US"/>
    </w:rPr>
  </w:style>
  <w:style w:type="paragraph" w:customStyle="1" w:styleId="Picturecaption2">
    <w:name w:val="Picture caption (2)"/>
    <w:basedOn w:val="a"/>
    <w:link w:val="Picturecaption2Exact"/>
    <w:rsid w:val="004005AD"/>
    <w:pPr>
      <w:widowControl w:val="0"/>
      <w:shd w:val="clear" w:color="auto" w:fill="FFFFFF"/>
      <w:spacing w:after="0" w:line="174" w:lineRule="exact"/>
    </w:pPr>
    <w:rPr>
      <w:rFonts w:ascii="Trebuchet MS" w:eastAsia="Trebuchet MS" w:hAnsi="Trebuchet MS" w:cs="Trebuchet MS"/>
      <w:b w:val="0"/>
      <w:bCs w:val="0"/>
      <w:sz w:val="15"/>
      <w:szCs w:val="15"/>
      <w:lang w:val="en-US" w:eastAsia="ko-KR"/>
    </w:rPr>
  </w:style>
  <w:style w:type="paragraph" w:customStyle="1" w:styleId="Picturecaption3">
    <w:name w:val="Picture caption (3)"/>
    <w:basedOn w:val="a"/>
    <w:link w:val="Picturecaption3Exact"/>
    <w:rsid w:val="004005AD"/>
    <w:pPr>
      <w:widowControl w:val="0"/>
      <w:shd w:val="clear" w:color="auto" w:fill="FFFFFF"/>
      <w:spacing w:after="0" w:line="166" w:lineRule="exact"/>
    </w:pPr>
    <w:rPr>
      <w:rFonts w:ascii="Times New Roman" w:eastAsia="Times New Roman" w:hAnsi="Times New Roman" w:cs="Times New Roman"/>
      <w:b w:val="0"/>
      <w:bCs w:val="0"/>
      <w:sz w:val="15"/>
      <w:szCs w:val="15"/>
      <w:lang w:val="en-US" w:eastAsia="ko-KR"/>
    </w:rPr>
  </w:style>
  <w:style w:type="paragraph" w:customStyle="1" w:styleId="Picturecaption4">
    <w:name w:val="Picture caption (4)"/>
    <w:basedOn w:val="a"/>
    <w:link w:val="Picturecaption4Exact"/>
    <w:rsid w:val="004005AD"/>
    <w:pPr>
      <w:widowControl w:val="0"/>
      <w:shd w:val="clear" w:color="auto" w:fill="FFFFFF"/>
      <w:spacing w:after="0" w:line="288" w:lineRule="exact"/>
    </w:pPr>
    <w:rPr>
      <w:rFonts w:ascii="Times New Roman" w:eastAsia="Times New Roman" w:hAnsi="Times New Roman" w:cs="Times New Roman"/>
      <w:b w:val="0"/>
      <w:bCs w:val="0"/>
      <w:sz w:val="26"/>
      <w:szCs w:val="26"/>
      <w:lang w:val="en-US" w:eastAsia="ko-KR"/>
    </w:rPr>
  </w:style>
  <w:style w:type="paragraph" w:customStyle="1" w:styleId="Picturecaption">
    <w:name w:val="Picture caption"/>
    <w:basedOn w:val="a"/>
    <w:link w:val="PicturecaptionExact"/>
    <w:rsid w:val="004005AD"/>
    <w:pPr>
      <w:widowControl w:val="0"/>
      <w:shd w:val="clear" w:color="auto" w:fill="FFFFFF"/>
      <w:spacing w:after="0" w:line="178" w:lineRule="exact"/>
      <w:jc w:val="center"/>
    </w:pPr>
    <w:rPr>
      <w:rFonts w:ascii="Times New Roman" w:eastAsia="Times New Roman" w:hAnsi="Times New Roman" w:cs="Times New Roman"/>
      <w:b w:val="0"/>
      <w:bCs w:val="0"/>
      <w:spacing w:val="10"/>
      <w:sz w:val="13"/>
      <w:szCs w:val="13"/>
      <w:lang w:val="en-US" w:eastAsia="ko-KR"/>
    </w:rPr>
  </w:style>
  <w:style w:type="paragraph" w:customStyle="1" w:styleId="Picturecaption5">
    <w:name w:val="Picture caption (5)"/>
    <w:basedOn w:val="a"/>
    <w:link w:val="Picturecaption5Exact"/>
    <w:rsid w:val="004005AD"/>
    <w:pPr>
      <w:widowControl w:val="0"/>
      <w:shd w:val="clear" w:color="auto" w:fill="FFFFFF"/>
      <w:spacing w:after="0" w:line="288" w:lineRule="exact"/>
    </w:pPr>
    <w:rPr>
      <w:rFonts w:ascii="Times New Roman" w:eastAsia="Times New Roman" w:hAnsi="Times New Roman" w:cs="Times New Roman"/>
      <w:spacing w:val="20"/>
      <w:sz w:val="26"/>
      <w:szCs w:val="26"/>
      <w:lang w:val="en-US" w:eastAsia="ko-KR"/>
    </w:rPr>
  </w:style>
  <w:style w:type="paragraph" w:customStyle="1" w:styleId="Heading20">
    <w:name w:val="Heading #2"/>
    <w:basedOn w:val="a"/>
    <w:link w:val="Heading2"/>
    <w:rsid w:val="004005AD"/>
    <w:pPr>
      <w:widowControl w:val="0"/>
      <w:shd w:val="clear" w:color="auto" w:fill="FFFFFF"/>
      <w:spacing w:after="480" w:line="288" w:lineRule="exact"/>
      <w:outlineLvl w:val="1"/>
    </w:pPr>
    <w:rPr>
      <w:rFonts w:ascii="Times New Roman" w:eastAsia="Times New Roman" w:hAnsi="Times New Roman" w:cs="Times New Roman"/>
      <w:spacing w:val="20"/>
      <w:sz w:val="26"/>
      <w:szCs w:val="26"/>
      <w:lang w:val="en-US" w:eastAsia="ko-KR"/>
    </w:rPr>
  </w:style>
  <w:style w:type="table" w:customStyle="1" w:styleId="TableGrid8">
    <w:name w:val="Table Grid8"/>
    <w:basedOn w:val="a1"/>
    <w:next w:val="af2"/>
    <w:uiPriority w:val="39"/>
    <w:rsid w:val="004B6B06"/>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Italic">
    <w:name w:val="Body text (2) + Italic"/>
    <w:basedOn w:val="Bodytext2"/>
    <w:rsid w:val="002F19FB"/>
    <w:rPr>
      <w:rFonts w:ascii="Calibri" w:eastAsia="Calibri" w:hAnsi="Calibri" w:cs="Calibri"/>
      <w:b w:val="0"/>
      <w:bCs w:val="0"/>
      <w:i/>
      <w:iCs/>
      <w:smallCaps w:val="0"/>
      <w:strike w:val="0"/>
      <w:color w:val="000000"/>
      <w:spacing w:val="0"/>
      <w:w w:val="100"/>
      <w:position w:val="0"/>
      <w:sz w:val="22"/>
      <w:szCs w:val="22"/>
      <w:u w:val="none"/>
      <w:lang w:eastAsia="en-US" w:bidi="en-US"/>
    </w:rPr>
  </w:style>
  <w:style w:type="character" w:customStyle="1" w:styleId="Bodytext10">
    <w:name w:val="Body text (10)_"/>
    <w:basedOn w:val="a0"/>
    <w:link w:val="Bodytext100"/>
    <w:rsid w:val="002F19FB"/>
    <w:rPr>
      <w:rFonts w:ascii="Calibri" w:eastAsia="Calibri" w:hAnsi="Calibri" w:cs="Calibri"/>
      <w:sz w:val="32"/>
      <w:szCs w:val="32"/>
      <w:shd w:val="clear" w:color="auto" w:fill="FFFFFF"/>
    </w:rPr>
  </w:style>
  <w:style w:type="character" w:customStyle="1" w:styleId="Bodytext11">
    <w:name w:val="Body text (11)_"/>
    <w:basedOn w:val="a0"/>
    <w:link w:val="Bodytext110"/>
    <w:rsid w:val="002F19FB"/>
    <w:rPr>
      <w:rFonts w:ascii="Calibri" w:eastAsia="Calibri" w:hAnsi="Calibri" w:cs="Calibri"/>
      <w:i/>
      <w:iCs/>
      <w:sz w:val="32"/>
      <w:szCs w:val="32"/>
      <w:shd w:val="clear" w:color="auto" w:fill="FFFFFF"/>
    </w:rPr>
  </w:style>
  <w:style w:type="character" w:customStyle="1" w:styleId="Bodytext11NotItalic">
    <w:name w:val="Body text (11) + Not Italic"/>
    <w:basedOn w:val="Bodytext11"/>
    <w:rsid w:val="002F19FB"/>
    <w:rPr>
      <w:rFonts w:ascii="Calibri" w:eastAsia="Calibri" w:hAnsi="Calibri" w:cs="Calibri"/>
      <w:b/>
      <w:bCs/>
      <w:i/>
      <w:iCs/>
      <w:color w:val="000000"/>
      <w:spacing w:val="0"/>
      <w:w w:val="100"/>
      <w:position w:val="0"/>
      <w:sz w:val="32"/>
      <w:szCs w:val="32"/>
      <w:shd w:val="clear" w:color="auto" w:fill="FFFFFF"/>
      <w:lang w:eastAsia="en-US" w:bidi="en-US"/>
    </w:rPr>
  </w:style>
  <w:style w:type="paragraph" w:customStyle="1" w:styleId="Bodytext100">
    <w:name w:val="Body text (10)"/>
    <w:basedOn w:val="a"/>
    <w:link w:val="Bodytext10"/>
    <w:rsid w:val="002F19FB"/>
    <w:pPr>
      <w:widowControl w:val="0"/>
      <w:shd w:val="clear" w:color="auto" w:fill="FFFFFF"/>
      <w:spacing w:before="280" w:after="0" w:line="431" w:lineRule="exact"/>
      <w:ind w:hanging="540"/>
      <w:jc w:val="both"/>
    </w:pPr>
    <w:rPr>
      <w:rFonts w:ascii="Calibri" w:eastAsia="Calibri" w:hAnsi="Calibri" w:cs="Calibri"/>
      <w:b w:val="0"/>
      <w:bCs w:val="0"/>
      <w:sz w:val="32"/>
      <w:szCs w:val="32"/>
      <w:lang w:val="en-US" w:eastAsia="ko-KR"/>
    </w:rPr>
  </w:style>
  <w:style w:type="paragraph" w:customStyle="1" w:styleId="Bodytext110">
    <w:name w:val="Body text (11)"/>
    <w:basedOn w:val="a"/>
    <w:link w:val="Bodytext11"/>
    <w:rsid w:val="002F19FB"/>
    <w:pPr>
      <w:widowControl w:val="0"/>
      <w:shd w:val="clear" w:color="auto" w:fill="FFFFFF"/>
      <w:spacing w:before="360" w:after="0" w:line="390" w:lineRule="exact"/>
    </w:pPr>
    <w:rPr>
      <w:rFonts w:ascii="Calibri" w:eastAsia="Calibri" w:hAnsi="Calibri" w:cs="Calibri"/>
      <w:b w:val="0"/>
      <w:bCs w:val="0"/>
      <w:i/>
      <w:iCs/>
      <w:sz w:val="32"/>
      <w:szCs w:val="32"/>
      <w:lang w:val="en-US" w:eastAsia="ko-KR"/>
    </w:rPr>
  </w:style>
  <w:style w:type="numbering" w:customStyle="1" w:styleId="NoList4">
    <w:name w:val="No List4"/>
    <w:next w:val="a2"/>
    <w:uiPriority w:val="99"/>
    <w:semiHidden/>
    <w:unhideWhenUsed/>
    <w:rsid w:val="002420DB"/>
  </w:style>
  <w:style w:type="table" w:customStyle="1" w:styleId="PlainTable41">
    <w:name w:val="Plain Table 41"/>
    <w:basedOn w:val="a1"/>
    <w:uiPriority w:val="44"/>
    <w:rsid w:val="002420DB"/>
    <w:pPr>
      <w:spacing w:after="0" w:line="240" w:lineRule="auto"/>
    </w:pPr>
    <w:rPr>
      <w:rFonts w:eastAsiaTheme="minorHAnsi"/>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2-Accent31">
    <w:name w:val="Grid Table 2 - Accent 31"/>
    <w:basedOn w:val="a1"/>
    <w:uiPriority w:val="47"/>
    <w:rsid w:val="002420DB"/>
    <w:pPr>
      <w:spacing w:after="0" w:line="240" w:lineRule="auto"/>
    </w:pPr>
    <w:rPr>
      <w:rFonts w:eastAsiaTheme="minorHAnsi"/>
      <w:lang w:eastAsia="en-US"/>
    </w:r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Light1">
    <w:name w:val="Table Grid Light1"/>
    <w:basedOn w:val="a1"/>
    <w:uiPriority w:val="40"/>
    <w:rsid w:val="002420DB"/>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6">
    <w:name w:val="toc 6"/>
    <w:basedOn w:val="a"/>
    <w:next w:val="a"/>
    <w:autoRedefine/>
    <w:uiPriority w:val="39"/>
    <w:unhideWhenUsed/>
    <w:rsid w:val="00B842EA"/>
    <w:pPr>
      <w:spacing w:after="100"/>
      <w:ind w:left="1100"/>
    </w:pPr>
    <w:rPr>
      <w:rFonts w:eastAsiaTheme="minorEastAsia"/>
      <w:b w:val="0"/>
      <w:bCs w:val="0"/>
      <w:lang w:val="en-US"/>
    </w:rPr>
  </w:style>
  <w:style w:type="paragraph" w:styleId="7">
    <w:name w:val="toc 7"/>
    <w:basedOn w:val="a"/>
    <w:next w:val="a"/>
    <w:autoRedefine/>
    <w:uiPriority w:val="39"/>
    <w:unhideWhenUsed/>
    <w:rsid w:val="00B842EA"/>
    <w:pPr>
      <w:spacing w:after="100"/>
      <w:ind w:left="1320"/>
    </w:pPr>
    <w:rPr>
      <w:rFonts w:eastAsiaTheme="minorEastAsia"/>
      <w:b w:val="0"/>
      <w:bCs w:val="0"/>
      <w:lang w:val="en-US"/>
    </w:rPr>
  </w:style>
  <w:style w:type="paragraph" w:styleId="8">
    <w:name w:val="toc 8"/>
    <w:basedOn w:val="a"/>
    <w:next w:val="a"/>
    <w:autoRedefine/>
    <w:uiPriority w:val="39"/>
    <w:unhideWhenUsed/>
    <w:rsid w:val="00B842EA"/>
    <w:pPr>
      <w:spacing w:after="100"/>
      <w:ind w:left="1540"/>
    </w:pPr>
    <w:rPr>
      <w:rFonts w:eastAsiaTheme="minorEastAsia"/>
      <w:b w:val="0"/>
      <w:bCs w:val="0"/>
      <w:lang w:val="en-US"/>
    </w:rPr>
  </w:style>
  <w:style w:type="paragraph" w:styleId="9">
    <w:name w:val="toc 9"/>
    <w:basedOn w:val="a"/>
    <w:next w:val="a"/>
    <w:autoRedefine/>
    <w:uiPriority w:val="39"/>
    <w:unhideWhenUsed/>
    <w:rsid w:val="00B842EA"/>
    <w:pPr>
      <w:spacing w:after="100"/>
      <w:ind w:left="1760"/>
    </w:pPr>
    <w:rPr>
      <w:rFonts w:eastAsiaTheme="minorEastAsia"/>
      <w:b w:val="0"/>
      <w:bCs w:val="0"/>
      <w:lang w:val="en-US"/>
    </w:rPr>
  </w:style>
  <w:style w:type="table" w:customStyle="1" w:styleId="TableGrid9">
    <w:name w:val="Table Grid9"/>
    <w:basedOn w:val="a1"/>
    <w:next w:val="af2"/>
    <w:uiPriority w:val="39"/>
    <w:rsid w:val="00EE132E"/>
    <w:pPr>
      <w:spacing w:after="0" w:line="240" w:lineRule="auto"/>
    </w:pPr>
    <w:rPr>
      <w:rFonts w:ascii="Calibri" w:eastAsia="Calibri" w:hAnsi="Calibri"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1"/>
    <w:next w:val="af2"/>
    <w:uiPriority w:val="39"/>
    <w:qFormat/>
    <w:rsid w:val="00626214"/>
    <w:pPr>
      <w:spacing w:after="0" w:line="240" w:lineRule="auto"/>
    </w:pPr>
    <w:rPr>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ef">
    <w:name w:val="def"/>
    <w:rsid w:val="005D4030"/>
    <w:rPr>
      <w:rFonts w:ascii="Times New Roman" w:hAnsi="Times New Roman" w:cs="Times New Roman" w:hint="default"/>
    </w:rPr>
  </w:style>
  <w:style w:type="character" w:customStyle="1" w:styleId="stylelastupdate">
    <w:name w:val="style_last_update"/>
    <w:basedOn w:val="a0"/>
    <w:rsid w:val="000E184F"/>
  </w:style>
  <w:style w:type="paragraph" w:styleId="z-">
    <w:name w:val="HTML Top of Form"/>
    <w:basedOn w:val="a"/>
    <w:next w:val="a"/>
    <w:link w:val="z-0"/>
    <w:hidden/>
    <w:uiPriority w:val="99"/>
    <w:semiHidden/>
    <w:unhideWhenUsed/>
    <w:rsid w:val="000E184F"/>
    <w:pPr>
      <w:pBdr>
        <w:bottom w:val="single" w:sz="6" w:space="1" w:color="auto"/>
      </w:pBdr>
      <w:spacing w:after="0" w:line="240" w:lineRule="auto"/>
      <w:jc w:val="center"/>
    </w:pPr>
    <w:rPr>
      <w:rFonts w:ascii="Arial" w:eastAsia="Times New Roman" w:hAnsi="Arial" w:cs="Arial"/>
      <w:b w:val="0"/>
      <w:bCs w:val="0"/>
      <w:vanish/>
      <w:sz w:val="16"/>
      <w:szCs w:val="16"/>
      <w:lang w:val="en-US"/>
    </w:rPr>
  </w:style>
  <w:style w:type="character" w:customStyle="1" w:styleId="z-0">
    <w:name w:val="z-Начало формы Знак"/>
    <w:basedOn w:val="a0"/>
    <w:link w:val="z-"/>
    <w:uiPriority w:val="99"/>
    <w:semiHidden/>
    <w:rsid w:val="000E184F"/>
    <w:rPr>
      <w:rFonts w:ascii="Arial" w:eastAsia="Times New Roman" w:hAnsi="Arial" w:cs="Arial"/>
      <w:vanish/>
      <w:sz w:val="16"/>
      <w:szCs w:val="16"/>
      <w:lang w:eastAsia="en-US"/>
    </w:rPr>
  </w:style>
  <w:style w:type="paragraph" w:styleId="z-1">
    <w:name w:val="HTML Bottom of Form"/>
    <w:basedOn w:val="a"/>
    <w:next w:val="a"/>
    <w:link w:val="z-2"/>
    <w:hidden/>
    <w:uiPriority w:val="99"/>
    <w:semiHidden/>
    <w:unhideWhenUsed/>
    <w:rsid w:val="000E184F"/>
    <w:pPr>
      <w:pBdr>
        <w:top w:val="single" w:sz="6" w:space="1" w:color="auto"/>
      </w:pBdr>
      <w:spacing w:after="0" w:line="240" w:lineRule="auto"/>
      <w:jc w:val="center"/>
    </w:pPr>
    <w:rPr>
      <w:rFonts w:ascii="Arial" w:eastAsia="Times New Roman" w:hAnsi="Arial" w:cs="Arial"/>
      <w:b w:val="0"/>
      <w:bCs w:val="0"/>
      <w:vanish/>
      <w:sz w:val="16"/>
      <w:szCs w:val="16"/>
      <w:lang w:val="en-US"/>
    </w:rPr>
  </w:style>
  <w:style w:type="character" w:customStyle="1" w:styleId="z-2">
    <w:name w:val="z-Конец формы Знак"/>
    <w:basedOn w:val="a0"/>
    <w:link w:val="z-1"/>
    <w:uiPriority w:val="99"/>
    <w:semiHidden/>
    <w:rsid w:val="000E184F"/>
    <w:rPr>
      <w:rFonts w:ascii="Arial" w:eastAsia="Times New Roman" w:hAnsi="Arial" w:cs="Arial"/>
      <w:vanish/>
      <w:sz w:val="16"/>
      <w:szCs w:val="16"/>
      <w:lang w:eastAsia="en-US"/>
    </w:rPr>
  </w:style>
  <w:style w:type="table" w:customStyle="1" w:styleId="TableGrid12">
    <w:name w:val="Table Grid12"/>
    <w:basedOn w:val="a1"/>
    <w:next w:val="af2"/>
    <w:uiPriority w:val="39"/>
    <w:qFormat/>
    <w:rsid w:val="000E184F"/>
    <w:pPr>
      <w:spacing w:after="0" w:line="240" w:lineRule="auto"/>
    </w:pPr>
    <w:rPr>
      <w:rFonts w:eastAsia="Calibri"/>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p">
    <w:name w:val="cp"/>
    <w:basedOn w:val="a"/>
    <w:uiPriority w:val="99"/>
    <w:rsid w:val="00A20E42"/>
    <w:pPr>
      <w:spacing w:after="0" w:line="240" w:lineRule="auto"/>
      <w:jc w:val="center"/>
    </w:pPr>
    <w:rPr>
      <w:rFonts w:ascii="Times New Roman" w:eastAsia="Times New Roman" w:hAnsi="Times New Roman" w:cs="Times New Roman"/>
      <w:sz w:val="24"/>
      <w:szCs w:val="24"/>
      <w:lang w:val="ru-RU" w:eastAsia="ru-RU"/>
    </w:rPr>
  </w:style>
  <w:style w:type="paragraph" w:customStyle="1" w:styleId="cb">
    <w:name w:val="cb"/>
    <w:basedOn w:val="a"/>
    <w:rsid w:val="007C5F5A"/>
    <w:pPr>
      <w:spacing w:after="0" w:line="240" w:lineRule="auto"/>
      <w:jc w:val="center"/>
    </w:pPr>
    <w:rPr>
      <w:rFonts w:ascii="Times New Roman" w:eastAsia="Times New Roman" w:hAnsi="Times New Roman" w:cs="Times New Roman"/>
      <w:sz w:val="24"/>
      <w:szCs w:val="24"/>
      <w:lang w:val="en-US"/>
    </w:rPr>
  </w:style>
  <w:style w:type="paragraph" w:customStyle="1" w:styleId="Standard">
    <w:name w:val="Standard"/>
    <w:rsid w:val="00EE5E50"/>
    <w:pPr>
      <w:suppressAutoHyphens/>
      <w:autoSpaceDN w:val="0"/>
      <w:spacing w:after="0" w:line="240" w:lineRule="auto"/>
      <w:textAlignment w:val="baseline"/>
    </w:pPr>
    <w:rPr>
      <w:rFonts w:ascii="Times New Roman" w:eastAsia="SimSun" w:hAnsi="Times New Roman" w:cs="Mangal"/>
      <w:kern w:val="3"/>
      <w:sz w:val="24"/>
      <w:szCs w:val="24"/>
      <w:lang w:val="ro-RO"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90454">
      <w:bodyDiv w:val="1"/>
      <w:marLeft w:val="0"/>
      <w:marRight w:val="0"/>
      <w:marTop w:val="0"/>
      <w:marBottom w:val="0"/>
      <w:divBdr>
        <w:top w:val="none" w:sz="0" w:space="0" w:color="auto"/>
        <w:left w:val="none" w:sz="0" w:space="0" w:color="auto"/>
        <w:bottom w:val="none" w:sz="0" w:space="0" w:color="auto"/>
        <w:right w:val="none" w:sz="0" w:space="0" w:color="auto"/>
      </w:divBdr>
    </w:div>
    <w:div w:id="98720313">
      <w:bodyDiv w:val="1"/>
      <w:marLeft w:val="0"/>
      <w:marRight w:val="0"/>
      <w:marTop w:val="0"/>
      <w:marBottom w:val="0"/>
      <w:divBdr>
        <w:top w:val="none" w:sz="0" w:space="0" w:color="auto"/>
        <w:left w:val="none" w:sz="0" w:space="0" w:color="auto"/>
        <w:bottom w:val="none" w:sz="0" w:space="0" w:color="auto"/>
        <w:right w:val="none" w:sz="0" w:space="0" w:color="auto"/>
      </w:divBdr>
    </w:div>
    <w:div w:id="163208316">
      <w:bodyDiv w:val="1"/>
      <w:marLeft w:val="0"/>
      <w:marRight w:val="0"/>
      <w:marTop w:val="0"/>
      <w:marBottom w:val="0"/>
      <w:divBdr>
        <w:top w:val="none" w:sz="0" w:space="0" w:color="auto"/>
        <w:left w:val="none" w:sz="0" w:space="0" w:color="auto"/>
        <w:bottom w:val="none" w:sz="0" w:space="0" w:color="auto"/>
        <w:right w:val="none" w:sz="0" w:space="0" w:color="auto"/>
      </w:divBdr>
    </w:div>
    <w:div w:id="222451901">
      <w:bodyDiv w:val="1"/>
      <w:marLeft w:val="0"/>
      <w:marRight w:val="0"/>
      <w:marTop w:val="0"/>
      <w:marBottom w:val="0"/>
      <w:divBdr>
        <w:top w:val="none" w:sz="0" w:space="0" w:color="auto"/>
        <w:left w:val="none" w:sz="0" w:space="0" w:color="auto"/>
        <w:bottom w:val="none" w:sz="0" w:space="0" w:color="auto"/>
        <w:right w:val="none" w:sz="0" w:space="0" w:color="auto"/>
      </w:divBdr>
    </w:div>
    <w:div w:id="241569944">
      <w:bodyDiv w:val="1"/>
      <w:marLeft w:val="0"/>
      <w:marRight w:val="0"/>
      <w:marTop w:val="0"/>
      <w:marBottom w:val="0"/>
      <w:divBdr>
        <w:top w:val="none" w:sz="0" w:space="0" w:color="auto"/>
        <w:left w:val="none" w:sz="0" w:space="0" w:color="auto"/>
        <w:bottom w:val="none" w:sz="0" w:space="0" w:color="auto"/>
        <w:right w:val="none" w:sz="0" w:space="0" w:color="auto"/>
      </w:divBdr>
    </w:div>
    <w:div w:id="264459616">
      <w:bodyDiv w:val="1"/>
      <w:marLeft w:val="0"/>
      <w:marRight w:val="0"/>
      <w:marTop w:val="0"/>
      <w:marBottom w:val="0"/>
      <w:divBdr>
        <w:top w:val="none" w:sz="0" w:space="0" w:color="auto"/>
        <w:left w:val="none" w:sz="0" w:space="0" w:color="auto"/>
        <w:bottom w:val="none" w:sz="0" w:space="0" w:color="auto"/>
        <w:right w:val="none" w:sz="0" w:space="0" w:color="auto"/>
      </w:divBdr>
    </w:div>
    <w:div w:id="306398102">
      <w:bodyDiv w:val="1"/>
      <w:marLeft w:val="0"/>
      <w:marRight w:val="0"/>
      <w:marTop w:val="0"/>
      <w:marBottom w:val="0"/>
      <w:divBdr>
        <w:top w:val="none" w:sz="0" w:space="0" w:color="auto"/>
        <w:left w:val="none" w:sz="0" w:space="0" w:color="auto"/>
        <w:bottom w:val="none" w:sz="0" w:space="0" w:color="auto"/>
        <w:right w:val="none" w:sz="0" w:space="0" w:color="auto"/>
      </w:divBdr>
    </w:div>
    <w:div w:id="385572320">
      <w:bodyDiv w:val="1"/>
      <w:marLeft w:val="0"/>
      <w:marRight w:val="0"/>
      <w:marTop w:val="0"/>
      <w:marBottom w:val="0"/>
      <w:divBdr>
        <w:top w:val="none" w:sz="0" w:space="0" w:color="auto"/>
        <w:left w:val="none" w:sz="0" w:space="0" w:color="auto"/>
        <w:bottom w:val="none" w:sz="0" w:space="0" w:color="auto"/>
        <w:right w:val="none" w:sz="0" w:space="0" w:color="auto"/>
      </w:divBdr>
    </w:div>
    <w:div w:id="397480739">
      <w:bodyDiv w:val="1"/>
      <w:marLeft w:val="0"/>
      <w:marRight w:val="0"/>
      <w:marTop w:val="0"/>
      <w:marBottom w:val="0"/>
      <w:divBdr>
        <w:top w:val="none" w:sz="0" w:space="0" w:color="auto"/>
        <w:left w:val="none" w:sz="0" w:space="0" w:color="auto"/>
        <w:bottom w:val="none" w:sz="0" w:space="0" w:color="auto"/>
        <w:right w:val="none" w:sz="0" w:space="0" w:color="auto"/>
      </w:divBdr>
    </w:div>
    <w:div w:id="430320296">
      <w:bodyDiv w:val="1"/>
      <w:marLeft w:val="0"/>
      <w:marRight w:val="0"/>
      <w:marTop w:val="0"/>
      <w:marBottom w:val="0"/>
      <w:divBdr>
        <w:top w:val="none" w:sz="0" w:space="0" w:color="auto"/>
        <w:left w:val="none" w:sz="0" w:space="0" w:color="auto"/>
        <w:bottom w:val="none" w:sz="0" w:space="0" w:color="auto"/>
        <w:right w:val="none" w:sz="0" w:space="0" w:color="auto"/>
      </w:divBdr>
    </w:div>
    <w:div w:id="481393443">
      <w:bodyDiv w:val="1"/>
      <w:marLeft w:val="0"/>
      <w:marRight w:val="0"/>
      <w:marTop w:val="0"/>
      <w:marBottom w:val="0"/>
      <w:divBdr>
        <w:top w:val="none" w:sz="0" w:space="0" w:color="auto"/>
        <w:left w:val="none" w:sz="0" w:space="0" w:color="auto"/>
        <w:bottom w:val="none" w:sz="0" w:space="0" w:color="auto"/>
        <w:right w:val="none" w:sz="0" w:space="0" w:color="auto"/>
      </w:divBdr>
    </w:div>
    <w:div w:id="498889399">
      <w:bodyDiv w:val="1"/>
      <w:marLeft w:val="0"/>
      <w:marRight w:val="0"/>
      <w:marTop w:val="0"/>
      <w:marBottom w:val="0"/>
      <w:divBdr>
        <w:top w:val="none" w:sz="0" w:space="0" w:color="auto"/>
        <w:left w:val="none" w:sz="0" w:space="0" w:color="auto"/>
        <w:bottom w:val="none" w:sz="0" w:space="0" w:color="auto"/>
        <w:right w:val="none" w:sz="0" w:space="0" w:color="auto"/>
      </w:divBdr>
    </w:div>
    <w:div w:id="575431595">
      <w:bodyDiv w:val="1"/>
      <w:marLeft w:val="0"/>
      <w:marRight w:val="0"/>
      <w:marTop w:val="0"/>
      <w:marBottom w:val="0"/>
      <w:divBdr>
        <w:top w:val="none" w:sz="0" w:space="0" w:color="auto"/>
        <w:left w:val="none" w:sz="0" w:space="0" w:color="auto"/>
        <w:bottom w:val="none" w:sz="0" w:space="0" w:color="auto"/>
        <w:right w:val="none" w:sz="0" w:space="0" w:color="auto"/>
      </w:divBdr>
    </w:div>
    <w:div w:id="588077975">
      <w:bodyDiv w:val="1"/>
      <w:marLeft w:val="0"/>
      <w:marRight w:val="0"/>
      <w:marTop w:val="0"/>
      <w:marBottom w:val="0"/>
      <w:divBdr>
        <w:top w:val="none" w:sz="0" w:space="0" w:color="auto"/>
        <w:left w:val="none" w:sz="0" w:space="0" w:color="auto"/>
        <w:bottom w:val="none" w:sz="0" w:space="0" w:color="auto"/>
        <w:right w:val="none" w:sz="0" w:space="0" w:color="auto"/>
      </w:divBdr>
    </w:div>
    <w:div w:id="631247972">
      <w:bodyDiv w:val="1"/>
      <w:marLeft w:val="0"/>
      <w:marRight w:val="0"/>
      <w:marTop w:val="0"/>
      <w:marBottom w:val="0"/>
      <w:divBdr>
        <w:top w:val="none" w:sz="0" w:space="0" w:color="auto"/>
        <w:left w:val="none" w:sz="0" w:space="0" w:color="auto"/>
        <w:bottom w:val="none" w:sz="0" w:space="0" w:color="auto"/>
        <w:right w:val="none" w:sz="0" w:space="0" w:color="auto"/>
      </w:divBdr>
    </w:div>
    <w:div w:id="649477918">
      <w:bodyDiv w:val="1"/>
      <w:marLeft w:val="0"/>
      <w:marRight w:val="0"/>
      <w:marTop w:val="0"/>
      <w:marBottom w:val="0"/>
      <w:divBdr>
        <w:top w:val="none" w:sz="0" w:space="0" w:color="auto"/>
        <w:left w:val="none" w:sz="0" w:space="0" w:color="auto"/>
        <w:bottom w:val="none" w:sz="0" w:space="0" w:color="auto"/>
        <w:right w:val="none" w:sz="0" w:space="0" w:color="auto"/>
      </w:divBdr>
    </w:div>
    <w:div w:id="653996720">
      <w:bodyDiv w:val="1"/>
      <w:marLeft w:val="0"/>
      <w:marRight w:val="0"/>
      <w:marTop w:val="0"/>
      <w:marBottom w:val="0"/>
      <w:divBdr>
        <w:top w:val="none" w:sz="0" w:space="0" w:color="auto"/>
        <w:left w:val="none" w:sz="0" w:space="0" w:color="auto"/>
        <w:bottom w:val="none" w:sz="0" w:space="0" w:color="auto"/>
        <w:right w:val="none" w:sz="0" w:space="0" w:color="auto"/>
      </w:divBdr>
    </w:div>
    <w:div w:id="660623987">
      <w:bodyDiv w:val="1"/>
      <w:marLeft w:val="0"/>
      <w:marRight w:val="0"/>
      <w:marTop w:val="0"/>
      <w:marBottom w:val="0"/>
      <w:divBdr>
        <w:top w:val="none" w:sz="0" w:space="0" w:color="auto"/>
        <w:left w:val="none" w:sz="0" w:space="0" w:color="auto"/>
        <w:bottom w:val="none" w:sz="0" w:space="0" w:color="auto"/>
        <w:right w:val="none" w:sz="0" w:space="0" w:color="auto"/>
      </w:divBdr>
    </w:div>
    <w:div w:id="736393909">
      <w:bodyDiv w:val="1"/>
      <w:marLeft w:val="0"/>
      <w:marRight w:val="0"/>
      <w:marTop w:val="0"/>
      <w:marBottom w:val="0"/>
      <w:divBdr>
        <w:top w:val="none" w:sz="0" w:space="0" w:color="auto"/>
        <w:left w:val="none" w:sz="0" w:space="0" w:color="auto"/>
        <w:bottom w:val="none" w:sz="0" w:space="0" w:color="auto"/>
        <w:right w:val="none" w:sz="0" w:space="0" w:color="auto"/>
      </w:divBdr>
    </w:div>
    <w:div w:id="841043921">
      <w:bodyDiv w:val="1"/>
      <w:marLeft w:val="0"/>
      <w:marRight w:val="0"/>
      <w:marTop w:val="0"/>
      <w:marBottom w:val="0"/>
      <w:divBdr>
        <w:top w:val="none" w:sz="0" w:space="0" w:color="auto"/>
        <w:left w:val="none" w:sz="0" w:space="0" w:color="auto"/>
        <w:bottom w:val="none" w:sz="0" w:space="0" w:color="auto"/>
        <w:right w:val="none" w:sz="0" w:space="0" w:color="auto"/>
      </w:divBdr>
    </w:div>
    <w:div w:id="858615862">
      <w:bodyDiv w:val="1"/>
      <w:marLeft w:val="0"/>
      <w:marRight w:val="0"/>
      <w:marTop w:val="0"/>
      <w:marBottom w:val="0"/>
      <w:divBdr>
        <w:top w:val="none" w:sz="0" w:space="0" w:color="auto"/>
        <w:left w:val="none" w:sz="0" w:space="0" w:color="auto"/>
        <w:bottom w:val="none" w:sz="0" w:space="0" w:color="auto"/>
        <w:right w:val="none" w:sz="0" w:space="0" w:color="auto"/>
      </w:divBdr>
    </w:div>
    <w:div w:id="868642091">
      <w:bodyDiv w:val="1"/>
      <w:marLeft w:val="0"/>
      <w:marRight w:val="0"/>
      <w:marTop w:val="0"/>
      <w:marBottom w:val="0"/>
      <w:divBdr>
        <w:top w:val="none" w:sz="0" w:space="0" w:color="auto"/>
        <w:left w:val="none" w:sz="0" w:space="0" w:color="auto"/>
        <w:bottom w:val="none" w:sz="0" w:space="0" w:color="auto"/>
        <w:right w:val="none" w:sz="0" w:space="0" w:color="auto"/>
      </w:divBdr>
    </w:div>
    <w:div w:id="902838232">
      <w:bodyDiv w:val="1"/>
      <w:marLeft w:val="0"/>
      <w:marRight w:val="0"/>
      <w:marTop w:val="0"/>
      <w:marBottom w:val="0"/>
      <w:divBdr>
        <w:top w:val="none" w:sz="0" w:space="0" w:color="auto"/>
        <w:left w:val="none" w:sz="0" w:space="0" w:color="auto"/>
        <w:bottom w:val="none" w:sz="0" w:space="0" w:color="auto"/>
        <w:right w:val="none" w:sz="0" w:space="0" w:color="auto"/>
      </w:divBdr>
    </w:div>
    <w:div w:id="931671052">
      <w:bodyDiv w:val="1"/>
      <w:marLeft w:val="0"/>
      <w:marRight w:val="0"/>
      <w:marTop w:val="0"/>
      <w:marBottom w:val="0"/>
      <w:divBdr>
        <w:top w:val="none" w:sz="0" w:space="0" w:color="auto"/>
        <w:left w:val="none" w:sz="0" w:space="0" w:color="auto"/>
        <w:bottom w:val="none" w:sz="0" w:space="0" w:color="auto"/>
        <w:right w:val="none" w:sz="0" w:space="0" w:color="auto"/>
      </w:divBdr>
    </w:div>
    <w:div w:id="1071194368">
      <w:bodyDiv w:val="1"/>
      <w:marLeft w:val="0"/>
      <w:marRight w:val="0"/>
      <w:marTop w:val="0"/>
      <w:marBottom w:val="0"/>
      <w:divBdr>
        <w:top w:val="none" w:sz="0" w:space="0" w:color="auto"/>
        <w:left w:val="none" w:sz="0" w:space="0" w:color="auto"/>
        <w:bottom w:val="none" w:sz="0" w:space="0" w:color="auto"/>
        <w:right w:val="none" w:sz="0" w:space="0" w:color="auto"/>
      </w:divBdr>
    </w:div>
    <w:div w:id="1094548491">
      <w:bodyDiv w:val="1"/>
      <w:marLeft w:val="0"/>
      <w:marRight w:val="0"/>
      <w:marTop w:val="0"/>
      <w:marBottom w:val="0"/>
      <w:divBdr>
        <w:top w:val="none" w:sz="0" w:space="0" w:color="auto"/>
        <w:left w:val="none" w:sz="0" w:space="0" w:color="auto"/>
        <w:bottom w:val="none" w:sz="0" w:space="0" w:color="auto"/>
        <w:right w:val="none" w:sz="0" w:space="0" w:color="auto"/>
      </w:divBdr>
    </w:div>
    <w:div w:id="1201864751">
      <w:bodyDiv w:val="1"/>
      <w:marLeft w:val="0"/>
      <w:marRight w:val="0"/>
      <w:marTop w:val="0"/>
      <w:marBottom w:val="0"/>
      <w:divBdr>
        <w:top w:val="none" w:sz="0" w:space="0" w:color="auto"/>
        <w:left w:val="none" w:sz="0" w:space="0" w:color="auto"/>
        <w:bottom w:val="none" w:sz="0" w:space="0" w:color="auto"/>
        <w:right w:val="none" w:sz="0" w:space="0" w:color="auto"/>
      </w:divBdr>
    </w:div>
    <w:div w:id="1259291908">
      <w:bodyDiv w:val="1"/>
      <w:marLeft w:val="0"/>
      <w:marRight w:val="0"/>
      <w:marTop w:val="0"/>
      <w:marBottom w:val="0"/>
      <w:divBdr>
        <w:top w:val="none" w:sz="0" w:space="0" w:color="auto"/>
        <w:left w:val="none" w:sz="0" w:space="0" w:color="auto"/>
        <w:bottom w:val="none" w:sz="0" w:space="0" w:color="auto"/>
        <w:right w:val="none" w:sz="0" w:space="0" w:color="auto"/>
      </w:divBdr>
    </w:div>
    <w:div w:id="1337416717">
      <w:bodyDiv w:val="1"/>
      <w:marLeft w:val="0"/>
      <w:marRight w:val="0"/>
      <w:marTop w:val="0"/>
      <w:marBottom w:val="0"/>
      <w:divBdr>
        <w:top w:val="none" w:sz="0" w:space="0" w:color="auto"/>
        <w:left w:val="none" w:sz="0" w:space="0" w:color="auto"/>
        <w:bottom w:val="none" w:sz="0" w:space="0" w:color="auto"/>
        <w:right w:val="none" w:sz="0" w:space="0" w:color="auto"/>
      </w:divBdr>
    </w:div>
    <w:div w:id="1381441188">
      <w:bodyDiv w:val="1"/>
      <w:marLeft w:val="0"/>
      <w:marRight w:val="0"/>
      <w:marTop w:val="0"/>
      <w:marBottom w:val="0"/>
      <w:divBdr>
        <w:top w:val="none" w:sz="0" w:space="0" w:color="auto"/>
        <w:left w:val="none" w:sz="0" w:space="0" w:color="auto"/>
        <w:bottom w:val="none" w:sz="0" w:space="0" w:color="auto"/>
        <w:right w:val="none" w:sz="0" w:space="0" w:color="auto"/>
      </w:divBdr>
    </w:div>
    <w:div w:id="1501460907">
      <w:bodyDiv w:val="1"/>
      <w:marLeft w:val="0"/>
      <w:marRight w:val="0"/>
      <w:marTop w:val="0"/>
      <w:marBottom w:val="0"/>
      <w:divBdr>
        <w:top w:val="none" w:sz="0" w:space="0" w:color="auto"/>
        <w:left w:val="none" w:sz="0" w:space="0" w:color="auto"/>
        <w:bottom w:val="none" w:sz="0" w:space="0" w:color="auto"/>
        <w:right w:val="none" w:sz="0" w:space="0" w:color="auto"/>
      </w:divBdr>
    </w:div>
    <w:div w:id="1536888580">
      <w:bodyDiv w:val="1"/>
      <w:marLeft w:val="0"/>
      <w:marRight w:val="0"/>
      <w:marTop w:val="0"/>
      <w:marBottom w:val="0"/>
      <w:divBdr>
        <w:top w:val="none" w:sz="0" w:space="0" w:color="auto"/>
        <w:left w:val="none" w:sz="0" w:space="0" w:color="auto"/>
        <w:bottom w:val="none" w:sz="0" w:space="0" w:color="auto"/>
        <w:right w:val="none" w:sz="0" w:space="0" w:color="auto"/>
      </w:divBdr>
    </w:div>
    <w:div w:id="1552762835">
      <w:bodyDiv w:val="1"/>
      <w:marLeft w:val="0"/>
      <w:marRight w:val="0"/>
      <w:marTop w:val="0"/>
      <w:marBottom w:val="0"/>
      <w:divBdr>
        <w:top w:val="none" w:sz="0" w:space="0" w:color="auto"/>
        <w:left w:val="none" w:sz="0" w:space="0" w:color="auto"/>
        <w:bottom w:val="none" w:sz="0" w:space="0" w:color="auto"/>
        <w:right w:val="none" w:sz="0" w:space="0" w:color="auto"/>
      </w:divBdr>
    </w:div>
    <w:div w:id="1765147066">
      <w:bodyDiv w:val="1"/>
      <w:marLeft w:val="0"/>
      <w:marRight w:val="0"/>
      <w:marTop w:val="0"/>
      <w:marBottom w:val="0"/>
      <w:divBdr>
        <w:top w:val="none" w:sz="0" w:space="0" w:color="auto"/>
        <w:left w:val="none" w:sz="0" w:space="0" w:color="auto"/>
        <w:bottom w:val="none" w:sz="0" w:space="0" w:color="auto"/>
        <w:right w:val="none" w:sz="0" w:space="0" w:color="auto"/>
      </w:divBdr>
    </w:div>
    <w:div w:id="1792817088">
      <w:bodyDiv w:val="1"/>
      <w:marLeft w:val="0"/>
      <w:marRight w:val="0"/>
      <w:marTop w:val="0"/>
      <w:marBottom w:val="0"/>
      <w:divBdr>
        <w:top w:val="none" w:sz="0" w:space="0" w:color="auto"/>
        <w:left w:val="none" w:sz="0" w:space="0" w:color="auto"/>
        <w:bottom w:val="none" w:sz="0" w:space="0" w:color="auto"/>
        <w:right w:val="none" w:sz="0" w:space="0" w:color="auto"/>
      </w:divBdr>
    </w:div>
    <w:div w:id="1839884201">
      <w:bodyDiv w:val="1"/>
      <w:marLeft w:val="0"/>
      <w:marRight w:val="0"/>
      <w:marTop w:val="0"/>
      <w:marBottom w:val="0"/>
      <w:divBdr>
        <w:top w:val="none" w:sz="0" w:space="0" w:color="auto"/>
        <w:left w:val="none" w:sz="0" w:space="0" w:color="auto"/>
        <w:bottom w:val="none" w:sz="0" w:space="0" w:color="auto"/>
        <w:right w:val="none" w:sz="0" w:space="0" w:color="auto"/>
      </w:divBdr>
    </w:div>
    <w:div w:id="1930963140">
      <w:bodyDiv w:val="1"/>
      <w:marLeft w:val="0"/>
      <w:marRight w:val="0"/>
      <w:marTop w:val="0"/>
      <w:marBottom w:val="0"/>
      <w:divBdr>
        <w:top w:val="none" w:sz="0" w:space="0" w:color="auto"/>
        <w:left w:val="none" w:sz="0" w:space="0" w:color="auto"/>
        <w:bottom w:val="none" w:sz="0" w:space="0" w:color="auto"/>
        <w:right w:val="none" w:sz="0" w:space="0" w:color="auto"/>
      </w:divBdr>
    </w:div>
    <w:div w:id="1984459089">
      <w:bodyDiv w:val="1"/>
      <w:marLeft w:val="0"/>
      <w:marRight w:val="0"/>
      <w:marTop w:val="0"/>
      <w:marBottom w:val="0"/>
      <w:divBdr>
        <w:top w:val="none" w:sz="0" w:space="0" w:color="auto"/>
        <w:left w:val="none" w:sz="0" w:space="0" w:color="auto"/>
        <w:bottom w:val="none" w:sz="0" w:space="0" w:color="auto"/>
        <w:right w:val="none" w:sz="0" w:space="0" w:color="auto"/>
      </w:divBdr>
    </w:div>
    <w:div w:id="2024672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7.xml"/><Relationship Id="rId21" Type="http://schemas.openxmlformats.org/officeDocument/2006/relationships/image" Target="media/image8.jpeg"/><Relationship Id="rId34" Type="http://schemas.openxmlformats.org/officeDocument/2006/relationships/image" Target="cid:image002.jpg@01D960A1.FEFDB020" TargetMode="External"/><Relationship Id="rId42" Type="http://schemas.openxmlformats.org/officeDocument/2006/relationships/image" Target="cid:image003.jpg@01D960A1.CB17DC40" TargetMode="External"/><Relationship Id="rId47" Type="http://schemas.openxmlformats.org/officeDocument/2006/relationships/image" Target="media/image22.jpeg"/><Relationship Id="rId50" Type="http://schemas.openxmlformats.org/officeDocument/2006/relationships/chart" Target="charts/chart8.xml"/><Relationship Id="rId55" Type="http://schemas.openxmlformats.org/officeDocument/2006/relationships/chart" Target="charts/chart13.xml"/><Relationship Id="rId63" Type="http://schemas.openxmlformats.org/officeDocument/2006/relationships/chart" Target="charts/chart21.xml"/><Relationship Id="rId68" Type="http://schemas.openxmlformats.org/officeDocument/2006/relationships/chart" Target="charts/chart26.xml"/><Relationship Id="rId76" Type="http://schemas.openxmlformats.org/officeDocument/2006/relationships/chart" Target="charts/chart34.xml"/><Relationship Id="rId84" Type="http://schemas.openxmlformats.org/officeDocument/2006/relationships/chart" Target="charts/chart42.xml"/><Relationship Id="rId89" Type="http://schemas.openxmlformats.org/officeDocument/2006/relationships/chart" Target="charts/chart47.xml"/><Relationship Id="rId97" Type="http://schemas.openxmlformats.org/officeDocument/2006/relationships/chart" Target="charts/chart50.xml"/><Relationship Id="rId7" Type="http://schemas.openxmlformats.org/officeDocument/2006/relationships/endnotes" Target="endnotes.xml"/><Relationship Id="rId71" Type="http://schemas.openxmlformats.org/officeDocument/2006/relationships/chart" Target="charts/chart29.xml"/><Relationship Id="rId92"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cid:image002.jpg@01D960A1.FEFDB020" TargetMode="Externa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image" Target="media/image15.jpeg"/><Relationship Id="rId40" Type="http://schemas.openxmlformats.org/officeDocument/2006/relationships/image" Target="cid:image002.jpg@01D960A1.CB17DC40" TargetMode="External"/><Relationship Id="rId45" Type="http://schemas.openxmlformats.org/officeDocument/2006/relationships/image" Target="media/image21.jpeg"/><Relationship Id="rId53" Type="http://schemas.openxmlformats.org/officeDocument/2006/relationships/chart" Target="charts/chart11.xml"/><Relationship Id="rId58" Type="http://schemas.openxmlformats.org/officeDocument/2006/relationships/chart" Target="charts/chart16.xml"/><Relationship Id="rId66" Type="http://schemas.openxmlformats.org/officeDocument/2006/relationships/chart" Target="charts/chart24.xml"/><Relationship Id="rId74" Type="http://schemas.openxmlformats.org/officeDocument/2006/relationships/chart" Target="charts/chart32.xml"/><Relationship Id="rId79" Type="http://schemas.openxmlformats.org/officeDocument/2006/relationships/chart" Target="charts/chart37.xml"/><Relationship Id="rId87" Type="http://schemas.openxmlformats.org/officeDocument/2006/relationships/chart" Target="charts/chart45.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19.xml"/><Relationship Id="rId82" Type="http://schemas.openxmlformats.org/officeDocument/2006/relationships/chart" Target="charts/chart40.xml"/><Relationship Id="rId90" Type="http://schemas.openxmlformats.org/officeDocument/2006/relationships/diagramData" Target="diagrams/data1.xml"/><Relationship Id="rId95" Type="http://schemas.openxmlformats.org/officeDocument/2006/relationships/chart" Target="charts/chart48.xml"/><Relationship Id="rId19" Type="http://schemas.openxmlformats.org/officeDocument/2006/relationships/image" Target="media/image6.jpeg"/><Relationship Id="rId14" Type="http://schemas.openxmlformats.org/officeDocument/2006/relationships/chart" Target="charts/chart1.xml"/><Relationship Id="rId22" Type="http://schemas.openxmlformats.org/officeDocument/2006/relationships/image" Target="media/image9.jpeg"/><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image" Target="media/image17.jpeg"/><Relationship Id="rId43" Type="http://schemas.openxmlformats.org/officeDocument/2006/relationships/image" Target="media/image20.jpeg"/><Relationship Id="rId48" Type="http://schemas.openxmlformats.org/officeDocument/2006/relationships/image" Target="cid:image002.jpg@01D960A1.9FF78420" TargetMode="External"/><Relationship Id="rId56" Type="http://schemas.openxmlformats.org/officeDocument/2006/relationships/chart" Target="charts/chart14.xml"/><Relationship Id="rId64" Type="http://schemas.openxmlformats.org/officeDocument/2006/relationships/chart" Target="charts/chart22.xml"/><Relationship Id="rId69" Type="http://schemas.openxmlformats.org/officeDocument/2006/relationships/chart" Target="charts/chart27.xml"/><Relationship Id="rId77" Type="http://schemas.openxmlformats.org/officeDocument/2006/relationships/chart" Target="charts/chart35.xml"/><Relationship Id="rId100"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chart" Target="charts/chart9.xml"/><Relationship Id="rId72" Type="http://schemas.openxmlformats.org/officeDocument/2006/relationships/chart" Target="charts/chart30.xml"/><Relationship Id="rId80" Type="http://schemas.openxmlformats.org/officeDocument/2006/relationships/chart" Target="charts/chart38.xml"/><Relationship Id="rId85" Type="http://schemas.openxmlformats.org/officeDocument/2006/relationships/chart" Target="charts/chart43.xml"/><Relationship Id="rId93" Type="http://schemas.openxmlformats.org/officeDocument/2006/relationships/diagramColors" Target="diagrams/colors1.xml"/><Relationship Id="rId98" Type="http://schemas.openxmlformats.org/officeDocument/2006/relationships/chart" Target="charts/chart51.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chart" Target="charts/chart4.xml"/><Relationship Id="rId25" Type="http://schemas.openxmlformats.org/officeDocument/2006/relationships/chart" Target="charts/chart6.xml"/><Relationship Id="rId33" Type="http://schemas.openxmlformats.org/officeDocument/2006/relationships/image" Target="media/image16.jpeg"/><Relationship Id="rId38" Type="http://schemas.openxmlformats.org/officeDocument/2006/relationships/image" Target="cid:image001.jpg@01D960A1.CB17DC40" TargetMode="External"/><Relationship Id="rId46" Type="http://schemas.openxmlformats.org/officeDocument/2006/relationships/image" Target="cid:image001.jpg@01D960A1.9FF78420" TargetMode="External"/><Relationship Id="rId59" Type="http://schemas.openxmlformats.org/officeDocument/2006/relationships/chart" Target="charts/chart17.xml"/><Relationship Id="rId67" Type="http://schemas.openxmlformats.org/officeDocument/2006/relationships/chart" Target="charts/chart25.xml"/><Relationship Id="rId20" Type="http://schemas.openxmlformats.org/officeDocument/2006/relationships/image" Target="media/image7.jpeg"/><Relationship Id="rId41" Type="http://schemas.openxmlformats.org/officeDocument/2006/relationships/image" Target="media/image19.jpeg"/><Relationship Id="rId54" Type="http://schemas.openxmlformats.org/officeDocument/2006/relationships/chart" Target="charts/chart12.xml"/><Relationship Id="rId62" Type="http://schemas.openxmlformats.org/officeDocument/2006/relationships/chart" Target="charts/chart20.xml"/><Relationship Id="rId70" Type="http://schemas.openxmlformats.org/officeDocument/2006/relationships/chart" Target="charts/chart28.xml"/><Relationship Id="rId75" Type="http://schemas.openxmlformats.org/officeDocument/2006/relationships/chart" Target="charts/chart33.xml"/><Relationship Id="rId83" Type="http://schemas.openxmlformats.org/officeDocument/2006/relationships/chart" Target="charts/chart41.xml"/><Relationship Id="rId88" Type="http://schemas.openxmlformats.org/officeDocument/2006/relationships/chart" Target="charts/chart46.xml"/><Relationship Id="rId91" Type="http://schemas.openxmlformats.org/officeDocument/2006/relationships/diagramLayout" Target="diagrams/layout1.xml"/><Relationship Id="rId96" Type="http://schemas.openxmlformats.org/officeDocument/2006/relationships/chart" Target="charts/chart4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10.jpeg"/><Relationship Id="rId28" Type="http://schemas.openxmlformats.org/officeDocument/2006/relationships/image" Target="media/image13.jpeg"/><Relationship Id="rId36" Type="http://schemas.openxmlformats.org/officeDocument/2006/relationships/image" Target="cid:image003.jpg@01D960A1.FEFDB020" TargetMode="External"/><Relationship Id="rId49" Type="http://schemas.openxmlformats.org/officeDocument/2006/relationships/image" Target="media/image23.png"/><Relationship Id="rId57" Type="http://schemas.openxmlformats.org/officeDocument/2006/relationships/chart" Target="charts/chart15.xml"/><Relationship Id="rId10" Type="http://schemas.openxmlformats.org/officeDocument/2006/relationships/hyperlink" Target="mailto:ccrm@ccrm.md" TargetMode="External"/><Relationship Id="rId31" Type="http://schemas.openxmlformats.org/officeDocument/2006/relationships/image" Target="cid:image003.jpg@01D960A1.FEFDB020" TargetMode="External"/><Relationship Id="rId44" Type="http://schemas.openxmlformats.org/officeDocument/2006/relationships/image" Target="cid:image004.jpg@01D960A1.CB17DC40" TargetMode="External"/><Relationship Id="rId52" Type="http://schemas.openxmlformats.org/officeDocument/2006/relationships/chart" Target="charts/chart10.xml"/><Relationship Id="rId60" Type="http://schemas.openxmlformats.org/officeDocument/2006/relationships/chart" Target="charts/chart18.xml"/><Relationship Id="rId65" Type="http://schemas.openxmlformats.org/officeDocument/2006/relationships/chart" Target="charts/chart23.xml"/><Relationship Id="rId73" Type="http://schemas.openxmlformats.org/officeDocument/2006/relationships/chart" Target="charts/chart31.xml"/><Relationship Id="rId78" Type="http://schemas.openxmlformats.org/officeDocument/2006/relationships/chart" Target="charts/chart36.xml"/><Relationship Id="rId81" Type="http://schemas.openxmlformats.org/officeDocument/2006/relationships/chart" Target="charts/chart39.xml"/><Relationship Id="rId86" Type="http://schemas.openxmlformats.org/officeDocument/2006/relationships/chart" Target="charts/chart44.xml"/><Relationship Id="rId94" Type="http://schemas.microsoft.com/office/2007/relationships/diagramDrawing" Target="diagrams/drawing1.xml"/><Relationship Id="rId99" Type="http://schemas.openxmlformats.org/officeDocument/2006/relationships/footer" Target="footer1.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ccrm.md" TargetMode="External"/><Relationship Id="rId13" Type="http://schemas.openxmlformats.org/officeDocument/2006/relationships/image" Target="media/image5.jpeg"/><Relationship Id="rId18" Type="http://schemas.openxmlformats.org/officeDocument/2006/relationships/chart" Target="charts/chart5.xml"/><Relationship Id="rId39" Type="http://schemas.openxmlformats.org/officeDocument/2006/relationships/image" Target="media/image18.jpeg"/></Relationships>
</file>

<file path=word/_rels/footnotes.xml.rels><?xml version="1.0" encoding="UTF-8" standalone="yes"?>
<Relationships xmlns="http://schemas.openxmlformats.org/package/2006/relationships"><Relationship Id="rId1" Type="http://schemas.openxmlformats.org/officeDocument/2006/relationships/hyperlink" Target="https://www.asp.gov.md/ro/pief/procurari/anunturi/MD-PSA-346761-GO-RFB"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5.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18.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1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0.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1.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2.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3.xm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4.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25.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26.xml"/></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33.xlsx"/></Relationships>
</file>

<file path=word/charts/_rels/chart35.xml.rels><?xml version="1.0" encoding="UTF-8" standalone="yes"?>
<Relationships xmlns="http://schemas.openxmlformats.org/package/2006/relationships"><Relationship Id="rId3" Type="http://schemas.openxmlformats.org/officeDocument/2006/relationships/oleObject" Target="file:///D:\t_popa\Downloads\starea%20obiectivelor%20de%20alimentare%20cu%20ap&#259;%202014-2021_ANSP.xlsx" TargetMode="External"/><Relationship Id="rId2" Type="http://schemas.microsoft.com/office/2011/relationships/chartColorStyle" Target="colors1.xml"/><Relationship Id="rId1" Type="http://schemas.microsoft.com/office/2011/relationships/chartStyle" Target="style1.xml"/></Relationships>
</file>

<file path=word/charts/_rels/chart36.xml.rels><?xml version="1.0" encoding="UTF-8" standalone="yes"?>
<Relationships xmlns="http://schemas.openxmlformats.org/package/2006/relationships"><Relationship Id="rId3" Type="http://schemas.openxmlformats.org/officeDocument/2006/relationships/oleObject" Target="file:///D:\t_popa\Downloads\starea%20obiectivelor%20de%20alimentare%20cu%20ap&#259;%202014-2021_ANSP.xlsx" TargetMode="External"/><Relationship Id="rId2" Type="http://schemas.microsoft.com/office/2011/relationships/chartColorStyle" Target="colors2.xml"/><Relationship Id="rId1" Type="http://schemas.microsoft.com/office/2011/relationships/chartStyle" Target="style2.xml"/></Relationships>
</file>

<file path=word/charts/_rels/chart37.xml.rels><?xml version="1.0" encoding="UTF-8" standalone="yes"?>
<Relationships xmlns="http://schemas.openxmlformats.org/package/2006/relationships"><Relationship Id="rId3" Type="http://schemas.openxmlformats.org/officeDocument/2006/relationships/oleObject" Target="file:///D:\t_popa\Downloads\starea%20obiectivelor%20de%20alimentare%20cu%20ap&#259;%202014-2021_ANSP.xlsx" TargetMode="External"/><Relationship Id="rId2" Type="http://schemas.microsoft.com/office/2011/relationships/chartColorStyle" Target="colors3.xml"/><Relationship Id="rId1" Type="http://schemas.microsoft.com/office/2011/relationships/chartStyle" Target="style3.xml"/></Relationships>
</file>

<file path=word/charts/_rels/chart38.xml.rels><?xml version="1.0" encoding="UTF-8" standalone="yes"?>
<Relationships xmlns="http://schemas.openxmlformats.org/package/2006/relationships"><Relationship Id="rId3" Type="http://schemas.openxmlformats.org/officeDocument/2006/relationships/oleObject" Target="file:///D:\t_popa\Downloads\starea%20obiectivelor%20de%20alimentare%20cu%20ap&#259;%202014-2021_ANSP.xlsx" TargetMode="External"/><Relationship Id="rId2" Type="http://schemas.microsoft.com/office/2011/relationships/chartColorStyle" Target="colors4.xml"/><Relationship Id="rId1" Type="http://schemas.microsoft.com/office/2011/relationships/chartStyle" Target="style4.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27.xm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28.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29.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0.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1.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2.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33.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34.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35.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36.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37.xml"/></Relationships>
</file>

<file path=word/charts/_rels/chart5.xml.rels><?xml version="1.0" encoding="UTF-8" standalone="yes"?>
<Relationships xmlns="http://schemas.openxmlformats.org/package/2006/relationships"><Relationship Id="rId1" Type="http://schemas.openxmlformats.org/officeDocument/2006/relationships/oleObject" Target="file:///D:\v_verdes\Desktop\1\misiuni%20de%20audit\2022\2.%20Apa_Canal\3.%20Executarea\DL%20FEN\1.1%20Proiecte%20FEN_ap&#259;%20&#537;i%20canalizare.xlsx" TargetMode="Externa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3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3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2.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ro-MD"/>
              <a:t>Investiții realizate în anii 2014-2022, mil.lei</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0.10803002970705229"/>
          <c:y val="0.25374128148507324"/>
          <c:w val="0.89196997029294756"/>
          <c:h val="0.56877824597221327"/>
        </c:manualLayout>
      </c:layout>
      <c:pie3DChart>
        <c:varyColors val="1"/>
        <c:ser>
          <c:idx val="0"/>
          <c:order val="0"/>
          <c:tx>
            <c:strRef>
              <c:f>Лист1!$B$1</c:f>
              <c:strCache>
                <c:ptCount val="1"/>
                <c:pt idx="0">
                  <c:v>Столбец1</c:v>
                </c:pt>
              </c:strCache>
            </c:strRef>
          </c:tx>
          <c:dLbls>
            <c:dLbl>
              <c:idx val="0"/>
              <c:spPr/>
              <c:txPr>
                <a:bodyPr/>
                <a:lstStyle/>
                <a:p>
                  <a:pPr>
                    <a:defRPr b="1">
                      <a:solidFill>
                        <a:schemeClr val="bg1"/>
                      </a:solidFill>
                    </a:defRPr>
                  </a:pPr>
                  <a:endParaRPr lang="ru-RU"/>
                </a:p>
              </c:txPr>
              <c:showLegendKey val="0"/>
              <c:showVal val="1"/>
              <c:showCatName val="0"/>
              <c:showSerName val="0"/>
              <c:showPercent val="0"/>
              <c:showBubbleSize val="0"/>
            </c:dLbl>
            <c:dLbl>
              <c:idx val="1"/>
              <c:spPr/>
              <c:txPr>
                <a:bodyPr/>
                <a:lstStyle/>
                <a:p>
                  <a:pPr>
                    <a:defRPr b="1">
                      <a:solidFill>
                        <a:schemeClr val="bg1"/>
                      </a:solidFill>
                    </a:defRPr>
                  </a:pPr>
                  <a:endParaRPr lang="ru-RU"/>
                </a:p>
              </c:txPr>
              <c:showLegendKey val="0"/>
              <c:showVal val="1"/>
              <c:showCatName val="0"/>
              <c:showSerName val="0"/>
              <c:showPercent val="0"/>
              <c:showBubbleSize val="0"/>
            </c:dLbl>
            <c:dLbl>
              <c:idx val="4"/>
              <c:spPr/>
              <c:txPr>
                <a:bodyPr/>
                <a:lstStyle/>
                <a:p>
                  <a:pPr>
                    <a:defRPr b="1">
                      <a:solidFill>
                        <a:schemeClr val="bg1"/>
                      </a:solidFill>
                    </a:defRPr>
                  </a:pPr>
                  <a:endParaRPr lang="ru-RU"/>
                </a:p>
              </c:txPr>
              <c:showLegendKey val="0"/>
              <c:showVal val="1"/>
              <c:showCatName val="0"/>
              <c:showSerName val="0"/>
              <c:showPercent val="0"/>
              <c:showBubbleSize val="0"/>
            </c:dLbl>
            <c:spPr>
              <a:noFill/>
              <a:ln>
                <a:noFill/>
              </a:ln>
              <a:effectLst/>
            </c:spPr>
            <c:txPr>
              <a:bodyPr/>
              <a:lstStyle/>
              <a:p>
                <a:pPr>
                  <a:defRPr b="1"/>
                </a:pPr>
                <a:endParaRPr lang="ru-RU"/>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FNDR</c:v>
                </c:pt>
                <c:pt idx="1">
                  <c:v>FEN</c:v>
                </c:pt>
                <c:pt idx="2">
                  <c:v>FNDAMR</c:v>
                </c:pt>
                <c:pt idx="3">
                  <c:v>FNDRL </c:v>
                </c:pt>
                <c:pt idx="4">
                  <c:v>Surse externe</c:v>
                </c:pt>
              </c:strCache>
            </c:strRef>
          </c:cat>
          <c:val>
            <c:numRef>
              <c:f>Лист1!$B$2:$B$6</c:f>
              <c:numCache>
                <c:formatCode>#,##0.0</c:formatCode>
                <c:ptCount val="5"/>
                <c:pt idx="0">
                  <c:v>716.5</c:v>
                </c:pt>
                <c:pt idx="1">
                  <c:v>2350.1999999999998</c:v>
                </c:pt>
                <c:pt idx="2">
                  <c:v>27</c:v>
                </c:pt>
                <c:pt idx="3">
                  <c:v>178.9</c:v>
                </c:pt>
                <c:pt idx="4">
                  <c:v>1405.9</c:v>
                </c:pt>
              </c:numCache>
            </c:numRef>
          </c:val>
          <c:extLst xmlns:c16r2="http://schemas.microsoft.com/office/drawing/2015/06/chart">
            <c:ext xmlns:c16="http://schemas.microsoft.com/office/drawing/2014/chart" uri="{C3380CC4-5D6E-409C-BE32-E72D297353CC}">
              <c16:uniqueId val="{00000003-577B-469C-AA75-27F530A678CB}"/>
            </c:ext>
          </c:extLst>
        </c:ser>
        <c:dLbls>
          <c:showLegendKey val="0"/>
          <c:showVal val="0"/>
          <c:showCatName val="0"/>
          <c:showSerName val="0"/>
          <c:showPercent val="0"/>
          <c:showBubbleSize val="0"/>
          <c:showLeaderLines val="1"/>
        </c:dLbls>
      </c:pie3DChart>
    </c:plotArea>
    <c:legend>
      <c:legendPos val="b"/>
      <c:overlay val="0"/>
      <c:txPr>
        <a:bodyPr/>
        <a:lstStyle/>
        <a:p>
          <a:pPr>
            <a:defRPr sz="800"/>
          </a:pPr>
          <a:endParaRPr lang="ru-RU"/>
        </a:p>
      </c:txPr>
    </c:legend>
    <c:plotVisOnly val="1"/>
    <c:dispBlanksAs val="zero"/>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900"/>
          </a:pPr>
          <a:endParaRPr lang="ru-RU"/>
        </a:p>
      </c:txPr>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Populația conectată la sistemele de aprovizionare cu apă, 2016-2021</c:v>
                </c:pt>
              </c:strCache>
            </c:strRef>
          </c:tx>
          <c:spPr>
            <a:solidFill>
              <a:srgbClr val="00B0F0"/>
            </a:solidFill>
          </c:spPr>
          <c:invertIfNegative val="0"/>
          <c:dLbls>
            <c:dLbl>
              <c:idx val="0"/>
              <c:layout>
                <c:manualLayout>
                  <c:x val="6.6793701800964833E-2"/>
                  <c:y val="0.17160244567265093"/>
                </c:manualLayout>
              </c:layout>
              <c:spPr>
                <a:solidFill>
                  <a:schemeClr val="bg1"/>
                </a:solidFill>
              </c:spPr>
              <c:txPr>
                <a:bodyPr rot="-5400000" vert="horz"/>
                <a:lstStyle/>
                <a:p>
                  <a:pP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0F4-4EC7-A7C8-34B93A4FEA5C}"/>
                </c:ext>
                <c:ext xmlns:c15="http://schemas.microsoft.com/office/drawing/2012/chart" uri="{CE6537A1-D6FC-4f65-9D91-7224C49458BB}"/>
              </c:extLst>
            </c:dLbl>
            <c:dLbl>
              <c:idx val="1"/>
              <c:layout>
                <c:manualLayout>
                  <c:x val="6.6793701800964833E-2"/>
                  <c:y val="0.18480263380131778"/>
                </c:manualLayout>
              </c:layout>
              <c:spPr>
                <a:solidFill>
                  <a:schemeClr val="bg1"/>
                </a:solidFill>
              </c:spPr>
              <c:txPr>
                <a:bodyPr rot="-5400000" vert="horz"/>
                <a:lstStyle/>
                <a:p>
                  <a:pP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0F4-4EC7-A7C8-34B93A4FEA5C}"/>
                </c:ext>
                <c:ext xmlns:c15="http://schemas.microsoft.com/office/drawing/2012/chart" uri="{CE6537A1-D6FC-4f65-9D91-7224C49458BB}"/>
              </c:extLst>
            </c:dLbl>
            <c:dLbl>
              <c:idx val="2"/>
              <c:layout>
                <c:manualLayout>
                  <c:x val="7.0968308163524896E-2"/>
                  <c:y val="0.29040413883063998"/>
                </c:manualLayout>
              </c:layout>
              <c:spPr>
                <a:solidFill>
                  <a:schemeClr val="bg1"/>
                </a:solidFill>
              </c:spPr>
              <c:txPr>
                <a:bodyPr rot="-5400000" vert="horz"/>
                <a:lstStyle/>
                <a:p>
                  <a:pP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0F4-4EC7-A7C8-34B93A4FEA5C}"/>
                </c:ext>
                <c:ext xmlns:c15="http://schemas.microsoft.com/office/drawing/2012/chart" uri="{CE6537A1-D6FC-4f65-9D91-7224C49458BB}"/>
              </c:extLst>
            </c:dLbl>
            <c:dLbl>
              <c:idx val="3"/>
              <c:layout>
                <c:manualLayout>
                  <c:x val="6.595301506165005E-2"/>
                  <c:y val="0.32340444108146116"/>
                </c:manualLayout>
              </c:layout>
              <c:spPr>
                <a:solidFill>
                  <a:schemeClr val="bg1"/>
                </a:solidFill>
              </c:spPr>
              <c:txPr>
                <a:bodyPr rot="-5400000" vert="horz"/>
                <a:lstStyle/>
                <a:p>
                  <a:pP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0F4-4EC7-A7C8-34B93A4FEA5C}"/>
                </c:ext>
                <c:ext xmlns:c15="http://schemas.microsoft.com/office/drawing/2012/chart" uri="{CE6537A1-D6FC-4f65-9D91-7224C49458BB}"/>
              </c:extLst>
            </c:dLbl>
            <c:dLbl>
              <c:idx val="4"/>
              <c:layout>
                <c:manualLayout>
                  <c:x val="7.0968308163524896E-2"/>
                  <c:y val="0.31680451508797619"/>
                </c:manualLayout>
              </c:layout>
              <c:spPr>
                <a:solidFill>
                  <a:schemeClr val="bg1"/>
                </a:solidFill>
              </c:spPr>
              <c:txPr>
                <a:bodyPr rot="-5400000" vert="horz"/>
                <a:lstStyle/>
                <a:p>
                  <a:pPr>
                    <a:defRPr b="1"/>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0F4-4EC7-A7C8-34B93A4FEA5C}"/>
                </c:ext>
                <c:ext xmlns:c15="http://schemas.microsoft.com/office/drawing/2012/chart" uri="{CE6537A1-D6FC-4f65-9D91-7224C49458BB}"/>
              </c:extLst>
            </c:dLbl>
            <c:spPr>
              <a:solidFill>
                <a:schemeClr val="bg1"/>
              </a:solidFill>
            </c:spPr>
            <c:txPr>
              <a:bodyPr rot="5400000"/>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Лист1!$A$2:$A$6</c:f>
              <c:numCache>
                <c:formatCode>General</c:formatCode>
                <c:ptCount val="5"/>
                <c:pt idx="0">
                  <c:v>2016</c:v>
                </c:pt>
                <c:pt idx="1">
                  <c:v>2017</c:v>
                </c:pt>
                <c:pt idx="2">
                  <c:v>2018</c:v>
                </c:pt>
                <c:pt idx="3">
                  <c:v>2019</c:v>
                </c:pt>
                <c:pt idx="4">
                  <c:v>2020</c:v>
                </c:pt>
              </c:numCache>
            </c:numRef>
          </c:cat>
          <c:val>
            <c:numRef>
              <c:f>Лист1!$B$2:$B$6</c:f>
              <c:numCache>
                <c:formatCode>#,##0</c:formatCode>
                <c:ptCount val="5"/>
                <c:pt idx="0">
                  <c:v>1899316</c:v>
                </c:pt>
                <c:pt idx="1">
                  <c:v>1921436</c:v>
                </c:pt>
                <c:pt idx="2">
                  <c:v>2143066</c:v>
                </c:pt>
                <c:pt idx="3">
                  <c:v>2169897</c:v>
                </c:pt>
                <c:pt idx="4">
                  <c:v>2239852</c:v>
                </c:pt>
              </c:numCache>
            </c:numRef>
          </c:val>
          <c:extLst xmlns:c16r2="http://schemas.microsoft.com/office/drawing/2015/06/chart">
            <c:ext xmlns:c16="http://schemas.microsoft.com/office/drawing/2014/chart" uri="{C3380CC4-5D6E-409C-BE32-E72D297353CC}">
              <c16:uniqueId val="{00000005-00F4-4EC7-A7C8-34B93A4FEA5C}"/>
            </c:ext>
          </c:extLst>
        </c:ser>
        <c:dLbls>
          <c:showLegendKey val="0"/>
          <c:showVal val="0"/>
          <c:showCatName val="0"/>
          <c:showSerName val="0"/>
          <c:showPercent val="0"/>
          <c:showBubbleSize val="0"/>
        </c:dLbls>
        <c:gapWidth val="150"/>
        <c:shape val="cylinder"/>
        <c:axId val="380903968"/>
        <c:axId val="380903576"/>
        <c:axId val="0"/>
      </c:bar3DChart>
      <c:catAx>
        <c:axId val="380903968"/>
        <c:scaling>
          <c:orientation val="minMax"/>
        </c:scaling>
        <c:delete val="0"/>
        <c:axPos val="b"/>
        <c:numFmt formatCode="General" sourceLinked="1"/>
        <c:majorTickMark val="out"/>
        <c:minorTickMark val="none"/>
        <c:tickLblPos val="nextTo"/>
        <c:txPr>
          <a:bodyPr/>
          <a:lstStyle/>
          <a:p>
            <a:pPr>
              <a:defRPr b="1"/>
            </a:pPr>
            <a:endParaRPr lang="ru-RU"/>
          </a:p>
        </c:txPr>
        <c:crossAx val="380903576"/>
        <c:crosses val="autoZero"/>
        <c:auto val="1"/>
        <c:lblAlgn val="ctr"/>
        <c:lblOffset val="100"/>
        <c:noMultiLvlLbl val="0"/>
      </c:catAx>
      <c:valAx>
        <c:axId val="380903576"/>
        <c:scaling>
          <c:orientation val="minMax"/>
        </c:scaling>
        <c:delete val="1"/>
        <c:axPos val="l"/>
        <c:majorGridlines/>
        <c:numFmt formatCode="#,##0" sourceLinked="1"/>
        <c:majorTickMark val="out"/>
        <c:minorTickMark val="none"/>
        <c:tickLblPos val="none"/>
        <c:crossAx val="380903968"/>
        <c:crosses val="autoZero"/>
        <c:crossBetween val="between"/>
      </c:valAx>
    </c:plotArea>
    <c:plotVisOnly val="1"/>
    <c:dispBlanksAs val="gap"/>
    <c:showDLblsOverMax val="0"/>
  </c:chart>
  <c:spPr>
    <a:solidFill>
      <a:schemeClr val="accent4">
        <a:lumMod val="20000"/>
        <a:lumOff val="80000"/>
      </a:schemeClr>
    </a:soli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ro-RO" sz="800"/>
              <a:t>N</a:t>
            </a:r>
            <a:r>
              <a:rPr lang="vi-VN" sz="800"/>
              <a:t>umărul gospodăriilor conectate la siste</a:t>
            </a:r>
            <a:r>
              <a:rPr lang="x-none" sz="800"/>
              <a:t>m</a:t>
            </a:r>
            <a:r>
              <a:rPr lang="vi-VN" sz="800"/>
              <a:t>ele de aprovizionare cu apă, 2016-2021</a:t>
            </a:r>
          </a:p>
        </c:rich>
      </c:tx>
      <c:layout>
        <c:manualLayout>
          <c:xMode val="edge"/>
          <c:yMode val="edge"/>
          <c:x val="6.0158023881949733E-2"/>
          <c:y val="4.0243366934753284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numărul gospodăriilor conectate la sistelele de aprovizionare cu apă, 2016-2021</c:v>
                </c:pt>
              </c:strCache>
            </c:strRef>
          </c:tx>
          <c:spPr>
            <a:solidFill>
              <a:srgbClr val="FFC000"/>
            </a:solidFill>
          </c:spPr>
          <c:invertIfNegative val="0"/>
          <c:dLbls>
            <c:dLbl>
              <c:idx val="0"/>
              <c:layout>
                <c:manualLayout>
                  <c:x val="7.9147616839298926E-2"/>
                  <c:y val="0.189943332765139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F815-4A13-BE90-066037ED42CA}"/>
                </c:ext>
                <c:ext xmlns:c15="http://schemas.microsoft.com/office/drawing/2012/chart" uri="{CE6537A1-D6FC-4f65-9D91-7224C49458BB}"/>
              </c:extLst>
            </c:dLbl>
            <c:dLbl>
              <c:idx val="1"/>
              <c:layout>
                <c:manualLayout>
                  <c:x val="7.5619732259734521E-2"/>
                  <c:y val="0.19654290370727737"/>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F815-4A13-BE90-066037ED42CA}"/>
                </c:ext>
                <c:ext xmlns:c15="http://schemas.microsoft.com/office/drawing/2012/chart" uri="{CE6537A1-D6FC-4f65-9D91-7224C49458BB}"/>
              </c:extLst>
            </c:dLbl>
            <c:dLbl>
              <c:idx val="2"/>
              <c:layout>
                <c:manualLayout>
                  <c:x val="8.5651642192537555E-2"/>
                  <c:y val="0.220271009075904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F815-4A13-BE90-066037ED42CA}"/>
                </c:ext>
                <c:ext xmlns:c15="http://schemas.microsoft.com/office/drawing/2012/chart" uri="{CE6537A1-D6FC-4f65-9D91-7224C49458BB}"/>
              </c:extLst>
            </c:dLbl>
            <c:dLbl>
              <c:idx val="3"/>
              <c:layout>
                <c:manualLayout>
                  <c:x val="8.97306282685532E-2"/>
                  <c:y val="0.3074904272701193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F815-4A13-BE90-066037ED42CA}"/>
                </c:ext>
                <c:ext xmlns:c15="http://schemas.microsoft.com/office/drawing/2012/chart" uri="{CE6537A1-D6FC-4f65-9D91-7224C49458BB}"/>
              </c:extLst>
            </c:dLbl>
            <c:dLbl>
              <c:idx val="4"/>
              <c:layout>
                <c:manualLayout>
                  <c:x val="7.0495542193655406E-2"/>
                  <c:y val="0.3432343234323432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F815-4A13-BE90-066037ED42CA}"/>
                </c:ext>
                <c:ext xmlns:c15="http://schemas.microsoft.com/office/drawing/2012/chart" uri="{CE6537A1-D6FC-4f65-9D91-7224C49458BB}"/>
              </c:extLst>
            </c:dLbl>
            <c:dLbl>
              <c:idx val="5"/>
              <c:layout>
                <c:manualLayout>
                  <c:x val="7.4642338793282179E-2"/>
                  <c:y val="0.3696369636963703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F815-4A13-BE90-066037ED42CA}"/>
                </c:ext>
                <c:ext xmlns:c15="http://schemas.microsoft.com/office/drawing/2012/chart" uri="{CE6537A1-D6FC-4f65-9D91-7224C49458BB}"/>
              </c:extLst>
            </c:dLbl>
            <c:spPr>
              <a:noFill/>
              <a:ln>
                <a:noFill/>
              </a:ln>
              <a:effectLst/>
            </c:spPr>
            <c:txPr>
              <a:bodyPr rot="-5400000" vert="horz"/>
              <a:lstStyle/>
              <a:p>
                <a:pPr>
                  <a:defRPr sz="9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#,##0</c:formatCode>
                <c:ptCount val="6"/>
                <c:pt idx="0">
                  <c:v>748605</c:v>
                </c:pt>
                <c:pt idx="1">
                  <c:v>767975</c:v>
                </c:pt>
                <c:pt idx="2">
                  <c:v>794010</c:v>
                </c:pt>
                <c:pt idx="3">
                  <c:v>820496</c:v>
                </c:pt>
                <c:pt idx="4">
                  <c:v>843561</c:v>
                </c:pt>
                <c:pt idx="5">
                  <c:v>868953</c:v>
                </c:pt>
              </c:numCache>
            </c:numRef>
          </c:val>
          <c:extLst xmlns:c16r2="http://schemas.microsoft.com/office/drawing/2015/06/chart">
            <c:ext xmlns:c16="http://schemas.microsoft.com/office/drawing/2014/chart" uri="{C3380CC4-5D6E-409C-BE32-E72D297353CC}">
              <c16:uniqueId val="{00000006-F815-4A13-BE90-066037ED42CA}"/>
            </c:ext>
          </c:extLst>
        </c:ser>
        <c:dLbls>
          <c:showLegendKey val="0"/>
          <c:showVal val="0"/>
          <c:showCatName val="0"/>
          <c:showSerName val="0"/>
          <c:showPercent val="0"/>
          <c:showBubbleSize val="0"/>
        </c:dLbls>
        <c:gapWidth val="150"/>
        <c:shape val="cylinder"/>
        <c:axId val="380904360"/>
        <c:axId val="380905144"/>
        <c:axId val="0"/>
      </c:bar3DChart>
      <c:catAx>
        <c:axId val="380904360"/>
        <c:scaling>
          <c:orientation val="minMax"/>
        </c:scaling>
        <c:delete val="0"/>
        <c:axPos val="b"/>
        <c:numFmt formatCode="General" sourceLinked="1"/>
        <c:majorTickMark val="out"/>
        <c:minorTickMark val="none"/>
        <c:tickLblPos val="nextTo"/>
        <c:txPr>
          <a:bodyPr/>
          <a:lstStyle/>
          <a:p>
            <a:pPr>
              <a:defRPr b="1"/>
            </a:pPr>
            <a:endParaRPr lang="ru-RU"/>
          </a:p>
        </c:txPr>
        <c:crossAx val="380905144"/>
        <c:crosses val="autoZero"/>
        <c:auto val="1"/>
        <c:lblAlgn val="ctr"/>
        <c:lblOffset val="100"/>
        <c:noMultiLvlLbl val="0"/>
      </c:catAx>
      <c:valAx>
        <c:axId val="380905144"/>
        <c:scaling>
          <c:orientation val="minMax"/>
        </c:scaling>
        <c:delete val="1"/>
        <c:axPos val="l"/>
        <c:majorGridlines/>
        <c:numFmt formatCode="#,##0" sourceLinked="1"/>
        <c:majorTickMark val="out"/>
        <c:minorTickMark val="none"/>
        <c:tickLblPos val="none"/>
        <c:crossAx val="380904360"/>
        <c:crosses val="autoZero"/>
        <c:crossBetween val="between"/>
      </c:valAx>
    </c:plotArea>
    <c:plotVisOnly val="1"/>
    <c:dispBlanksAs val="gap"/>
    <c:showDLblsOverMax val="0"/>
  </c:chart>
  <c:spPr>
    <a:solidFill>
      <a:srgbClr val="FFC000">
        <a:lumMod val="20000"/>
        <a:lumOff val="80000"/>
      </a:srgbClr>
    </a:solidFill>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vi-VN" sz="900">
                <a:latin typeface="Calibri Light" panose="020F0302020204030204" pitchFamily="34" charset="0"/>
                <a:cs typeface="Calibri Light" panose="020F0302020204030204" pitchFamily="34" charset="0"/>
              </a:rPr>
              <a:t>Numărul localităților conectate la </a:t>
            </a:r>
            <a:r>
              <a:rPr lang="x-none" sz="900">
                <a:latin typeface="Calibri Light" panose="020F0302020204030204" pitchFamily="34" charset="0"/>
                <a:cs typeface="Calibri Light" panose="020F0302020204030204" pitchFamily="34" charset="0"/>
              </a:rPr>
              <a:t>sistemele de alimentare</a:t>
            </a:r>
            <a:r>
              <a:rPr lang="vi-VN" sz="900">
                <a:latin typeface="Calibri Light" panose="020F0302020204030204" pitchFamily="34" charset="0"/>
                <a:cs typeface="Calibri Light" panose="020F0302020204030204" pitchFamily="34" charset="0"/>
              </a:rPr>
              <a:t> </a:t>
            </a:r>
            <a:r>
              <a:rPr lang="x-none" sz="900">
                <a:latin typeface="Calibri Light" panose="020F0302020204030204" pitchFamily="34" charset="0"/>
                <a:cs typeface="Calibri Light" panose="020F0302020204030204" pitchFamily="34" charset="0"/>
              </a:rPr>
              <a:t>cu</a:t>
            </a:r>
            <a:r>
              <a:rPr lang="vi-VN" sz="900">
                <a:latin typeface="Calibri Light" panose="020F0302020204030204" pitchFamily="34" charset="0"/>
                <a:cs typeface="Calibri Light" panose="020F0302020204030204" pitchFamily="34" charset="0"/>
              </a:rPr>
              <a:t> apă</a:t>
            </a:r>
            <a:r>
              <a:rPr lang="ro-RO" sz="900">
                <a:latin typeface="Calibri Light" panose="020F0302020204030204" pitchFamily="34" charset="0"/>
                <a:cs typeface="Calibri Light" panose="020F0302020204030204" pitchFamily="34" charset="0"/>
              </a:rPr>
              <a:t> (fără </a:t>
            </a:r>
            <a:r>
              <a:rPr lang="ro-RO" sz="900">
                <a:solidFill>
                  <a:sysClr val="windowText" lastClr="000000"/>
                </a:solidFill>
                <a:latin typeface="Calibri Light" panose="020F0302020204030204" pitchFamily="34" charset="0"/>
                <a:cs typeface="Calibri Light" panose="020F0302020204030204" pitchFamily="34" charset="0"/>
              </a:rPr>
              <a:t>localităţile situate în partea stângă a r.</a:t>
            </a:r>
            <a:r>
              <a:rPr lang="ro-RO" sz="900" baseline="0">
                <a:solidFill>
                  <a:sysClr val="windowText" lastClr="000000"/>
                </a:solidFill>
                <a:latin typeface="Calibri Light" panose="020F0302020204030204" pitchFamily="34" charset="0"/>
                <a:cs typeface="Calibri Light" panose="020F0302020204030204" pitchFamily="34" charset="0"/>
              </a:rPr>
              <a:t> Nistru</a:t>
            </a:r>
            <a:r>
              <a:rPr lang="ro-RO" sz="900">
                <a:latin typeface="Calibri Light" panose="020F0302020204030204" pitchFamily="34" charset="0"/>
                <a:cs typeface="Calibri Light" panose="020F0302020204030204" pitchFamily="34" charset="0"/>
              </a:rPr>
              <a:t>)</a:t>
            </a:r>
            <a:endParaRPr lang="vi-VN" sz="900">
              <a:latin typeface="Calibri Light" panose="020F0302020204030204" pitchFamily="34" charset="0"/>
              <a:cs typeface="Calibri Light" panose="020F0302020204030204" pitchFamily="34" charset="0"/>
            </a:endParaRPr>
          </a:p>
        </c:rich>
      </c:tx>
      <c:layout>
        <c:manualLayout>
          <c:xMode val="edge"/>
          <c:yMode val="edge"/>
          <c:x val="0.14903379981432519"/>
          <c:y val="0"/>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6.9789909562221794E-2"/>
          <c:y val="0.16796006926794971"/>
          <c:w val="0.92094825844741368"/>
          <c:h val="0.7023083115915667"/>
        </c:manualLayout>
      </c:layout>
      <c:bar3DChart>
        <c:barDir val="col"/>
        <c:grouping val="clustered"/>
        <c:varyColors val="0"/>
        <c:ser>
          <c:idx val="0"/>
          <c:order val="0"/>
          <c:tx>
            <c:strRef>
              <c:f>Лист1!$B$1</c:f>
              <c:strCache>
                <c:ptCount val="1"/>
                <c:pt idx="0">
                  <c:v>Numărul localităților conectate la rețelele de apă</c:v>
                </c:pt>
              </c:strCache>
            </c:strRef>
          </c:tx>
          <c:spPr>
            <a:solidFill>
              <a:srgbClr val="FFFF00"/>
            </a:solidFill>
          </c:spPr>
          <c:invertIfNegative val="0"/>
          <c:dPt>
            <c:idx val="8"/>
            <c:invertIfNegative val="0"/>
            <c:bubble3D val="0"/>
            <c:spPr>
              <a:solidFill>
                <a:srgbClr val="00B0F0"/>
              </a:solidFill>
            </c:spPr>
            <c:extLst xmlns:c16r2="http://schemas.microsoft.com/office/drawing/2015/06/chart">
              <c:ext xmlns:c16="http://schemas.microsoft.com/office/drawing/2014/chart" uri="{C3380CC4-5D6E-409C-BE32-E72D297353CC}">
                <c16:uniqueId val="{00000001-F6C3-40DB-8242-F0AE31858CC5}"/>
              </c:ext>
            </c:extLst>
          </c:dPt>
          <c:dLbls>
            <c:spPr>
              <a:noFill/>
              <a:ln>
                <a:noFill/>
              </a:ln>
              <a:effectLst/>
            </c:spPr>
            <c:txPr>
              <a:bodyPr/>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Лист1!$A$2:$A$10</c:f>
              <c:strCache>
                <c:ptCount val="9"/>
                <c:pt idx="0">
                  <c:v>2014</c:v>
                </c:pt>
                <c:pt idx="1">
                  <c:v>2015</c:v>
                </c:pt>
                <c:pt idx="2">
                  <c:v>2016</c:v>
                </c:pt>
                <c:pt idx="3">
                  <c:v>2017</c:v>
                </c:pt>
                <c:pt idx="4">
                  <c:v>2018</c:v>
                </c:pt>
                <c:pt idx="5">
                  <c:v>2019</c:v>
                </c:pt>
                <c:pt idx="6">
                  <c:v>2020</c:v>
                </c:pt>
                <c:pt idx="7">
                  <c:v>2021</c:v>
                </c:pt>
                <c:pt idx="8">
                  <c:v>total  localități în țată</c:v>
                </c:pt>
              </c:strCache>
            </c:strRef>
          </c:cat>
          <c:val>
            <c:numRef>
              <c:f>Лист1!$B$2:$B$10</c:f>
              <c:numCache>
                <c:formatCode>General</c:formatCode>
                <c:ptCount val="9"/>
                <c:pt idx="0">
                  <c:v>480</c:v>
                </c:pt>
                <c:pt idx="1">
                  <c:v>689</c:v>
                </c:pt>
                <c:pt idx="2">
                  <c:v>735</c:v>
                </c:pt>
                <c:pt idx="3">
                  <c:v>772</c:v>
                </c:pt>
                <c:pt idx="4">
                  <c:v>804</c:v>
                </c:pt>
                <c:pt idx="5">
                  <c:v>831</c:v>
                </c:pt>
                <c:pt idx="6">
                  <c:v>868</c:v>
                </c:pt>
                <c:pt idx="7">
                  <c:v>918</c:v>
                </c:pt>
                <c:pt idx="8">
                  <c:v>1533</c:v>
                </c:pt>
              </c:numCache>
            </c:numRef>
          </c:val>
          <c:extLst xmlns:c16r2="http://schemas.microsoft.com/office/drawing/2015/06/chart">
            <c:ext xmlns:c16="http://schemas.microsoft.com/office/drawing/2014/chart" uri="{C3380CC4-5D6E-409C-BE32-E72D297353CC}">
              <c16:uniqueId val="{00000002-F6C3-40DB-8242-F0AE31858CC5}"/>
            </c:ext>
          </c:extLst>
        </c:ser>
        <c:dLbls>
          <c:showLegendKey val="0"/>
          <c:showVal val="0"/>
          <c:showCatName val="0"/>
          <c:showSerName val="0"/>
          <c:showPercent val="0"/>
          <c:showBubbleSize val="0"/>
        </c:dLbls>
        <c:gapWidth val="150"/>
        <c:shape val="cylinder"/>
        <c:axId val="380905928"/>
        <c:axId val="380906320"/>
        <c:axId val="0"/>
      </c:bar3DChart>
      <c:catAx>
        <c:axId val="380905928"/>
        <c:scaling>
          <c:orientation val="minMax"/>
        </c:scaling>
        <c:delete val="0"/>
        <c:axPos val="b"/>
        <c:minorGridlines/>
        <c:numFmt formatCode="General" sourceLinked="1"/>
        <c:majorTickMark val="out"/>
        <c:minorTickMark val="none"/>
        <c:tickLblPos val="nextTo"/>
        <c:txPr>
          <a:bodyPr/>
          <a:lstStyle/>
          <a:p>
            <a:pPr>
              <a:defRPr sz="800"/>
            </a:pPr>
            <a:endParaRPr lang="ru-RU"/>
          </a:p>
        </c:txPr>
        <c:crossAx val="380906320"/>
        <c:crosses val="autoZero"/>
        <c:auto val="1"/>
        <c:lblAlgn val="ctr"/>
        <c:lblOffset val="100"/>
        <c:noMultiLvlLbl val="0"/>
      </c:catAx>
      <c:valAx>
        <c:axId val="380906320"/>
        <c:scaling>
          <c:orientation val="minMax"/>
        </c:scaling>
        <c:delete val="1"/>
        <c:axPos val="l"/>
        <c:majorGridlines/>
        <c:numFmt formatCode="General" sourceLinked="1"/>
        <c:majorTickMark val="out"/>
        <c:minorTickMark val="none"/>
        <c:tickLblPos val="none"/>
        <c:crossAx val="380905928"/>
        <c:crosses val="autoZero"/>
        <c:crossBetween val="between"/>
      </c:valAx>
      <c:spPr>
        <a:solidFill>
          <a:schemeClr val="bg1"/>
        </a:solidFill>
      </c:spPr>
    </c:plotArea>
    <c:plotVisOnly val="1"/>
    <c:dispBlanksAs val="gap"/>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1000"/>
              <a:t>Numărul localităților conectate la sisteme de alimentare cu apă, 2021 </a:t>
            </a:r>
            <a:endParaRPr lang="ru-RU" sz="1000"/>
          </a:p>
        </c:rich>
      </c:tx>
      <c:layout>
        <c:manualLayout>
          <c:xMode val="edge"/>
          <c:yMode val="edge"/>
          <c:x val="0.18400552259734712"/>
          <c:y val="0"/>
        </c:manualLayout>
      </c:layout>
      <c:overlay val="0"/>
    </c:title>
    <c:autoTitleDeleted val="0"/>
    <c:plotArea>
      <c:layout>
        <c:manualLayout>
          <c:layoutTarget val="inner"/>
          <c:xMode val="edge"/>
          <c:yMode val="edge"/>
          <c:x val="8.1176242987038225E-2"/>
          <c:y val="0.10285019763434779"/>
          <c:w val="0.8910630149757105"/>
          <c:h val="0.59118615624600057"/>
        </c:manualLayout>
      </c:layout>
      <c:barChart>
        <c:barDir val="col"/>
        <c:grouping val="clustered"/>
        <c:varyColors val="0"/>
        <c:ser>
          <c:idx val="0"/>
          <c:order val="0"/>
          <c:tx>
            <c:strRef>
              <c:f>Лист1!$B$1</c:f>
              <c:strCache>
                <c:ptCount val="1"/>
                <c:pt idx="0">
                  <c:v>total</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Лист1!$B$2:$B$36</c:f>
              <c:numCache>
                <c:formatCode>General</c:formatCode>
                <c:ptCount val="35"/>
                <c:pt idx="0">
                  <c:v>35</c:v>
                </c:pt>
                <c:pt idx="1">
                  <c:v>3</c:v>
                </c:pt>
                <c:pt idx="2">
                  <c:v>39</c:v>
                </c:pt>
                <c:pt idx="3">
                  <c:v>30</c:v>
                </c:pt>
                <c:pt idx="4">
                  <c:v>40</c:v>
                </c:pt>
                <c:pt idx="5">
                  <c:v>49</c:v>
                </c:pt>
                <c:pt idx="6">
                  <c:v>76</c:v>
                </c:pt>
                <c:pt idx="7">
                  <c:v>74</c:v>
                </c:pt>
                <c:pt idx="8">
                  <c:v>35</c:v>
                </c:pt>
                <c:pt idx="9">
                  <c:v>33</c:v>
                </c:pt>
                <c:pt idx="10">
                  <c:v>55</c:v>
                </c:pt>
                <c:pt idx="11">
                  <c:v>70</c:v>
                </c:pt>
                <c:pt idx="12">
                  <c:v>68</c:v>
                </c:pt>
                <c:pt idx="13">
                  <c:v>45</c:v>
                </c:pt>
                <c:pt idx="14">
                  <c:v>44</c:v>
                </c:pt>
                <c:pt idx="15">
                  <c:v>43</c:v>
                </c:pt>
                <c:pt idx="16">
                  <c:v>15</c:v>
                </c:pt>
                <c:pt idx="17">
                  <c:v>63</c:v>
                </c:pt>
                <c:pt idx="18">
                  <c:v>34</c:v>
                </c:pt>
                <c:pt idx="19">
                  <c:v>39</c:v>
                </c:pt>
                <c:pt idx="20">
                  <c:v>75</c:v>
                </c:pt>
                <c:pt idx="21">
                  <c:v>41</c:v>
                </c:pt>
                <c:pt idx="22">
                  <c:v>39</c:v>
                </c:pt>
                <c:pt idx="23">
                  <c:v>33</c:v>
                </c:pt>
                <c:pt idx="24">
                  <c:v>54</c:v>
                </c:pt>
                <c:pt idx="25">
                  <c:v>74</c:v>
                </c:pt>
                <c:pt idx="26">
                  <c:v>10</c:v>
                </c:pt>
                <c:pt idx="27">
                  <c:v>55</c:v>
                </c:pt>
                <c:pt idx="28">
                  <c:v>51</c:v>
                </c:pt>
                <c:pt idx="29">
                  <c:v>48</c:v>
                </c:pt>
                <c:pt idx="30">
                  <c:v>39</c:v>
                </c:pt>
                <c:pt idx="31">
                  <c:v>40</c:v>
                </c:pt>
                <c:pt idx="32">
                  <c:v>26</c:v>
                </c:pt>
                <c:pt idx="33">
                  <c:v>26</c:v>
                </c:pt>
                <c:pt idx="34">
                  <c:v>32</c:v>
                </c:pt>
              </c:numCache>
            </c:numRef>
          </c:val>
          <c:extLst xmlns:c16r2="http://schemas.microsoft.com/office/drawing/2015/06/chart">
            <c:ext xmlns:c16="http://schemas.microsoft.com/office/drawing/2014/chart" uri="{C3380CC4-5D6E-409C-BE32-E72D297353CC}">
              <c16:uniqueId val="{00000000-1A6A-44F7-923C-12F99F63E7B2}"/>
            </c:ext>
          </c:extLst>
        </c:ser>
        <c:ser>
          <c:idx val="1"/>
          <c:order val="1"/>
          <c:tx>
            <c:strRef>
              <c:f>Лист1!$C$1</c:f>
              <c:strCache>
                <c:ptCount val="1"/>
                <c:pt idx="0">
                  <c:v>2021</c:v>
                </c:pt>
              </c:strCache>
            </c:strRef>
          </c:tx>
          <c:invertIfNegative val="0"/>
          <c:dLbls>
            <c:dLbl>
              <c:idx val="32"/>
              <c:layout>
                <c:manualLayout>
                  <c:x val="1.9346101760495346E-3"/>
                  <c:y val="2.057003952686979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A6A-44F7-923C-12F99F63E7B2}"/>
                </c:ext>
                <c:ext xmlns:c15="http://schemas.microsoft.com/office/drawing/2012/chart" uri="{CE6537A1-D6FC-4f65-9D91-7224C49458BB}"/>
              </c:extLst>
            </c:dLbl>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Лист1!$C$2:$C$36</c:f>
              <c:numCache>
                <c:formatCode>General</c:formatCode>
                <c:ptCount val="35"/>
                <c:pt idx="0">
                  <c:v>32</c:v>
                </c:pt>
                <c:pt idx="1">
                  <c:v>3</c:v>
                </c:pt>
                <c:pt idx="2">
                  <c:v>10</c:v>
                </c:pt>
                <c:pt idx="3">
                  <c:v>10</c:v>
                </c:pt>
                <c:pt idx="4">
                  <c:v>17</c:v>
                </c:pt>
                <c:pt idx="5">
                  <c:v>17</c:v>
                </c:pt>
                <c:pt idx="6">
                  <c:v>29</c:v>
                </c:pt>
                <c:pt idx="7">
                  <c:v>35</c:v>
                </c:pt>
                <c:pt idx="8">
                  <c:v>18</c:v>
                </c:pt>
                <c:pt idx="9">
                  <c:v>4</c:v>
                </c:pt>
                <c:pt idx="10">
                  <c:v>39</c:v>
                </c:pt>
                <c:pt idx="11">
                  <c:v>43</c:v>
                </c:pt>
                <c:pt idx="12">
                  <c:v>22</c:v>
                </c:pt>
                <c:pt idx="13">
                  <c:v>37</c:v>
                </c:pt>
                <c:pt idx="14">
                  <c:v>32</c:v>
                </c:pt>
                <c:pt idx="15">
                  <c:v>32</c:v>
                </c:pt>
                <c:pt idx="16">
                  <c:v>11</c:v>
                </c:pt>
                <c:pt idx="17">
                  <c:v>38</c:v>
                </c:pt>
                <c:pt idx="18">
                  <c:v>32</c:v>
                </c:pt>
                <c:pt idx="19">
                  <c:v>20</c:v>
                </c:pt>
                <c:pt idx="20">
                  <c:v>64</c:v>
                </c:pt>
                <c:pt idx="21">
                  <c:v>28</c:v>
                </c:pt>
                <c:pt idx="22">
                  <c:v>21</c:v>
                </c:pt>
                <c:pt idx="23">
                  <c:v>16</c:v>
                </c:pt>
                <c:pt idx="24">
                  <c:v>37</c:v>
                </c:pt>
                <c:pt idx="25">
                  <c:v>35</c:v>
                </c:pt>
                <c:pt idx="26">
                  <c:v>7</c:v>
                </c:pt>
                <c:pt idx="27">
                  <c:v>41</c:v>
                </c:pt>
                <c:pt idx="28">
                  <c:v>28</c:v>
                </c:pt>
                <c:pt idx="29">
                  <c:v>37</c:v>
                </c:pt>
                <c:pt idx="30">
                  <c:v>36</c:v>
                </c:pt>
                <c:pt idx="31">
                  <c:v>19</c:v>
                </c:pt>
                <c:pt idx="32">
                  <c:v>24</c:v>
                </c:pt>
                <c:pt idx="33">
                  <c:v>17</c:v>
                </c:pt>
                <c:pt idx="34">
                  <c:v>27</c:v>
                </c:pt>
              </c:numCache>
            </c:numRef>
          </c:val>
          <c:extLst xmlns:c16r2="http://schemas.microsoft.com/office/drawing/2015/06/chart">
            <c:ext xmlns:c16="http://schemas.microsoft.com/office/drawing/2014/chart" uri="{C3380CC4-5D6E-409C-BE32-E72D297353CC}">
              <c16:uniqueId val="{00000002-1A6A-44F7-923C-12F99F63E7B2}"/>
            </c:ext>
          </c:extLst>
        </c:ser>
        <c:dLbls>
          <c:showLegendKey val="0"/>
          <c:showVal val="0"/>
          <c:showCatName val="0"/>
          <c:showSerName val="0"/>
          <c:showPercent val="0"/>
          <c:showBubbleSize val="0"/>
        </c:dLbls>
        <c:gapWidth val="150"/>
        <c:axId val="380907104"/>
        <c:axId val="380907496"/>
      </c:barChart>
      <c:catAx>
        <c:axId val="380907104"/>
        <c:scaling>
          <c:orientation val="minMax"/>
        </c:scaling>
        <c:delete val="0"/>
        <c:axPos val="b"/>
        <c:numFmt formatCode="General" sourceLinked="0"/>
        <c:majorTickMark val="out"/>
        <c:minorTickMark val="none"/>
        <c:tickLblPos val="nextTo"/>
        <c:txPr>
          <a:bodyPr/>
          <a:lstStyle/>
          <a:p>
            <a:pPr>
              <a:defRPr sz="700"/>
            </a:pPr>
            <a:endParaRPr lang="ru-RU"/>
          </a:p>
        </c:txPr>
        <c:crossAx val="380907496"/>
        <c:crosses val="autoZero"/>
        <c:auto val="1"/>
        <c:lblAlgn val="ctr"/>
        <c:lblOffset val="100"/>
        <c:noMultiLvlLbl val="0"/>
      </c:catAx>
      <c:valAx>
        <c:axId val="380907496"/>
        <c:scaling>
          <c:orientation val="minMax"/>
        </c:scaling>
        <c:delete val="1"/>
        <c:axPos val="l"/>
        <c:majorGridlines/>
        <c:numFmt formatCode="General" sourceLinked="1"/>
        <c:majorTickMark val="out"/>
        <c:minorTickMark val="none"/>
        <c:tickLblPos val="none"/>
        <c:crossAx val="380907104"/>
        <c:crosses val="autoZero"/>
        <c:crossBetween val="between"/>
      </c:valAx>
    </c:plotArea>
    <c:legend>
      <c:legendPos val="b"/>
      <c:overlay val="0"/>
      <c:txPr>
        <a:bodyPr/>
        <a:lstStyle/>
        <a:p>
          <a:pPr>
            <a:defRPr sz="700"/>
          </a:pPr>
          <a:endParaRPr lang="ru-RU"/>
        </a:p>
      </c:txPr>
    </c:legend>
    <c:plotVisOnly val="1"/>
    <c:dispBlanksAs val="gap"/>
    <c:showDLblsOverMax val="0"/>
  </c:chart>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US"/>
              <a:t>Numărul f</a:t>
            </a:r>
            <a:r>
              <a:rPr lang="x-none"/>
              <a:t>â</a:t>
            </a:r>
            <a:r>
              <a:rPr lang="en-US"/>
              <a:t>nt</a:t>
            </a:r>
            <a:r>
              <a:rPr lang="x-none"/>
              <a:t>â</a:t>
            </a:r>
            <a:r>
              <a:rPr lang="en-US"/>
              <a:t>nilor arteziene în anii 2016-2021</a:t>
            </a:r>
          </a:p>
        </c:rich>
      </c:tx>
      <c:layout>
        <c:manualLayout>
          <c:xMode val="edge"/>
          <c:yMode val="edge"/>
          <c:x val="0.27109577056292616"/>
          <c:y val="3.8734667527437081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Numărul fîntînilor arteziene în anii 2016-2021</c:v>
                </c:pt>
              </c:strCache>
            </c:strRef>
          </c:tx>
          <c:spPr>
            <a:solidFill>
              <a:srgbClr val="00FF00"/>
            </a:solidFill>
          </c:spPr>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0</c:formatCode>
                <c:ptCount val="6"/>
                <c:pt idx="0">
                  <c:v>1404</c:v>
                </c:pt>
                <c:pt idx="1">
                  <c:v>1434</c:v>
                </c:pt>
                <c:pt idx="2">
                  <c:v>1487</c:v>
                </c:pt>
                <c:pt idx="3">
                  <c:v>1530</c:v>
                </c:pt>
                <c:pt idx="4">
                  <c:v>1598</c:v>
                </c:pt>
                <c:pt idx="5">
                  <c:v>1646</c:v>
                </c:pt>
              </c:numCache>
            </c:numRef>
          </c:val>
          <c:extLst xmlns:c16r2="http://schemas.microsoft.com/office/drawing/2015/06/chart">
            <c:ext xmlns:c16="http://schemas.microsoft.com/office/drawing/2014/chart" uri="{C3380CC4-5D6E-409C-BE32-E72D297353CC}">
              <c16:uniqueId val="{00000000-A497-4622-84FA-3BB90FF87BE9}"/>
            </c:ext>
          </c:extLst>
        </c:ser>
        <c:dLbls>
          <c:showLegendKey val="0"/>
          <c:showVal val="0"/>
          <c:showCatName val="0"/>
          <c:showSerName val="0"/>
          <c:showPercent val="0"/>
          <c:showBubbleSize val="0"/>
        </c:dLbls>
        <c:gapWidth val="150"/>
        <c:shape val="cylinder"/>
        <c:axId val="380908672"/>
        <c:axId val="380909064"/>
        <c:axId val="0"/>
      </c:bar3DChart>
      <c:catAx>
        <c:axId val="380908672"/>
        <c:scaling>
          <c:orientation val="minMax"/>
        </c:scaling>
        <c:delete val="0"/>
        <c:axPos val="b"/>
        <c:numFmt formatCode="General" sourceLinked="1"/>
        <c:majorTickMark val="out"/>
        <c:minorTickMark val="none"/>
        <c:tickLblPos val="nextTo"/>
        <c:txPr>
          <a:bodyPr/>
          <a:lstStyle/>
          <a:p>
            <a:pPr>
              <a:defRPr sz="800"/>
            </a:pPr>
            <a:endParaRPr lang="ru-RU"/>
          </a:p>
        </c:txPr>
        <c:crossAx val="380909064"/>
        <c:crosses val="autoZero"/>
        <c:auto val="1"/>
        <c:lblAlgn val="ctr"/>
        <c:lblOffset val="100"/>
        <c:noMultiLvlLbl val="0"/>
      </c:catAx>
      <c:valAx>
        <c:axId val="380909064"/>
        <c:scaling>
          <c:orientation val="minMax"/>
        </c:scaling>
        <c:delete val="1"/>
        <c:axPos val="l"/>
        <c:majorGridlines/>
        <c:numFmt formatCode="0" sourceLinked="1"/>
        <c:majorTickMark val="out"/>
        <c:minorTickMark val="none"/>
        <c:tickLblPos val="none"/>
        <c:crossAx val="380908672"/>
        <c:crosses val="autoZero"/>
        <c:crossBetween val="between"/>
      </c:valAx>
    </c:plotArea>
    <c:plotVisOnly val="1"/>
    <c:dispBlanksAs val="gap"/>
    <c:showDLblsOverMax val="0"/>
  </c:chart>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en-US" sz="800"/>
              <a:t>Numărul </a:t>
            </a:r>
            <a:r>
              <a:rPr lang="x-none" sz="800"/>
              <a:t> stațiilor de pompare </a:t>
            </a:r>
            <a:r>
              <a:rPr lang="en-US" sz="800"/>
              <a:t>în anii 2016-2021</a:t>
            </a:r>
          </a:p>
        </c:rich>
      </c:tx>
      <c:layout>
        <c:manualLayout>
          <c:xMode val="edge"/>
          <c:yMode val="edge"/>
          <c:x val="0.13045045045045095"/>
          <c:y val="3.3408473741048668E-2"/>
        </c:manualLayout>
      </c:layout>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 SP total</c:v>
                </c:pt>
              </c:strCache>
            </c:strRef>
          </c:tx>
          <c:spPr>
            <a:solidFill>
              <a:srgbClr val="00FF00"/>
            </a:solidFill>
          </c:spPr>
          <c:invertIfNegative val="0"/>
          <c:dLbls>
            <c:spPr>
              <a:noFill/>
              <a:ln>
                <a:noFill/>
              </a:ln>
              <a:effectLst/>
            </c:spPr>
            <c:txPr>
              <a:bodyPr rot="-5400000" vert="horz"/>
              <a:lstStyle/>
              <a:p>
                <a:pPr>
                  <a:defRPr sz="7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0</c:formatCode>
                <c:ptCount val="3"/>
                <c:pt idx="0">
                  <c:v>1496</c:v>
                </c:pt>
                <c:pt idx="1">
                  <c:v>1257</c:v>
                </c:pt>
                <c:pt idx="2">
                  <c:v>1234</c:v>
                </c:pt>
              </c:numCache>
            </c:numRef>
          </c:val>
          <c:extLst xmlns:c16r2="http://schemas.microsoft.com/office/drawing/2015/06/chart">
            <c:ext xmlns:c16="http://schemas.microsoft.com/office/drawing/2014/chart" uri="{C3380CC4-5D6E-409C-BE32-E72D297353CC}">
              <c16:uniqueId val="{00000000-3B73-401B-9543-EB6E9CDB8D35}"/>
            </c:ext>
          </c:extLst>
        </c:ser>
        <c:ser>
          <c:idx val="1"/>
          <c:order val="1"/>
          <c:tx>
            <c:strRef>
              <c:f>Лист1!$C$1</c:f>
              <c:strCache>
                <c:ptCount val="1"/>
                <c:pt idx="0">
                  <c:v>SP funcționale</c:v>
                </c:pt>
              </c:strCache>
            </c:strRef>
          </c:tx>
          <c:invertIfNegative val="0"/>
          <c:dLbls>
            <c:spPr>
              <a:noFill/>
              <a:ln>
                <a:noFill/>
              </a:ln>
              <a:effectLst/>
            </c:spPr>
            <c:txPr>
              <a:bodyPr rot="-5400000" vert="horz"/>
              <a:lstStyle/>
              <a:p>
                <a:pPr>
                  <a:defRPr sz="7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1223</c:v>
                </c:pt>
                <c:pt idx="1">
                  <c:v>1152</c:v>
                </c:pt>
                <c:pt idx="2">
                  <c:v>1146</c:v>
                </c:pt>
              </c:numCache>
            </c:numRef>
          </c:val>
          <c:extLst xmlns:c16r2="http://schemas.microsoft.com/office/drawing/2015/06/chart">
            <c:ext xmlns:c16="http://schemas.microsoft.com/office/drawing/2014/chart" uri="{C3380CC4-5D6E-409C-BE32-E72D297353CC}">
              <c16:uniqueId val="{00000001-3B73-401B-9543-EB6E9CDB8D35}"/>
            </c:ext>
          </c:extLst>
        </c:ser>
        <c:ser>
          <c:idx val="2"/>
          <c:order val="2"/>
          <c:tx>
            <c:strRef>
              <c:f>Лист1!$D$1</c:f>
              <c:strCache>
                <c:ptCount val="1"/>
                <c:pt idx="0">
                  <c:v>SP nefuncționale</c:v>
                </c:pt>
              </c:strCache>
            </c:strRef>
          </c:tx>
          <c:spPr>
            <a:solidFill>
              <a:srgbClr val="00B0F0"/>
            </a:solidFill>
          </c:spPr>
          <c:invertIfNegative val="0"/>
          <c:dLbls>
            <c:spPr>
              <a:noFill/>
              <a:ln>
                <a:noFill/>
              </a:ln>
              <a:effectLst/>
            </c:spPr>
            <c:txPr>
              <a:bodyPr rot="-5400000" vert="horz" wrap="square" lIns="38100" tIns="19050" rIns="38100" bIns="19050" anchor="ctr">
                <a:spAutoFit/>
              </a:bodyPr>
              <a:lstStyle/>
              <a:p>
                <a:pPr>
                  <a:defRPr sz="7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Лист1!$A$2:$A$4</c:f>
              <c:numCache>
                <c:formatCode>General</c:formatCode>
                <c:ptCount val="3"/>
                <c:pt idx="0">
                  <c:v>2016</c:v>
                </c:pt>
                <c:pt idx="1">
                  <c:v>2017</c:v>
                </c:pt>
                <c:pt idx="2">
                  <c:v>2018</c:v>
                </c:pt>
              </c:numCache>
            </c:numRef>
          </c:cat>
          <c:val>
            <c:numRef>
              <c:f>Лист1!$D$2:$D$4</c:f>
              <c:numCache>
                <c:formatCode>General</c:formatCode>
                <c:ptCount val="3"/>
                <c:pt idx="0">
                  <c:v>273</c:v>
                </c:pt>
                <c:pt idx="1">
                  <c:v>105</c:v>
                </c:pt>
                <c:pt idx="2">
                  <c:v>88</c:v>
                </c:pt>
              </c:numCache>
            </c:numRef>
          </c:val>
          <c:extLst xmlns:c16r2="http://schemas.microsoft.com/office/drawing/2015/06/chart">
            <c:ext xmlns:c16="http://schemas.microsoft.com/office/drawing/2014/chart" uri="{C3380CC4-5D6E-409C-BE32-E72D297353CC}">
              <c16:uniqueId val="{00000002-3B73-401B-9543-EB6E9CDB8D35}"/>
            </c:ext>
          </c:extLst>
        </c:ser>
        <c:dLbls>
          <c:showLegendKey val="0"/>
          <c:showVal val="0"/>
          <c:showCatName val="0"/>
          <c:showSerName val="0"/>
          <c:showPercent val="0"/>
          <c:showBubbleSize val="0"/>
        </c:dLbls>
        <c:gapWidth val="150"/>
        <c:shape val="cylinder"/>
        <c:axId val="380909456"/>
        <c:axId val="380909848"/>
        <c:axId val="0"/>
      </c:bar3DChart>
      <c:catAx>
        <c:axId val="380909456"/>
        <c:scaling>
          <c:orientation val="minMax"/>
        </c:scaling>
        <c:delete val="0"/>
        <c:axPos val="b"/>
        <c:numFmt formatCode="General" sourceLinked="1"/>
        <c:majorTickMark val="out"/>
        <c:minorTickMark val="none"/>
        <c:tickLblPos val="nextTo"/>
        <c:txPr>
          <a:bodyPr/>
          <a:lstStyle/>
          <a:p>
            <a:pPr>
              <a:defRPr sz="700"/>
            </a:pPr>
            <a:endParaRPr lang="ru-RU"/>
          </a:p>
        </c:txPr>
        <c:crossAx val="380909848"/>
        <c:crosses val="autoZero"/>
        <c:auto val="1"/>
        <c:lblAlgn val="ctr"/>
        <c:lblOffset val="100"/>
        <c:noMultiLvlLbl val="0"/>
      </c:catAx>
      <c:valAx>
        <c:axId val="380909848"/>
        <c:scaling>
          <c:orientation val="minMax"/>
        </c:scaling>
        <c:delete val="1"/>
        <c:axPos val="l"/>
        <c:majorGridlines/>
        <c:numFmt formatCode="0" sourceLinked="1"/>
        <c:majorTickMark val="out"/>
        <c:minorTickMark val="none"/>
        <c:tickLblPos val="none"/>
        <c:crossAx val="380909456"/>
        <c:crosses val="autoZero"/>
        <c:crossBetween val="between"/>
      </c:valAx>
    </c:plotArea>
    <c:legend>
      <c:legendPos val="b"/>
      <c:overlay val="0"/>
      <c:txPr>
        <a:bodyPr/>
        <a:lstStyle/>
        <a:p>
          <a:pPr>
            <a:defRPr sz="700"/>
          </a:pPr>
          <a:endParaRPr lang="ru-RU"/>
        </a:p>
      </c:txPr>
    </c:legend>
    <c:plotVisOnly val="1"/>
    <c:dispBlanksAs val="gap"/>
    <c:showDLblsOverMax val="0"/>
  </c:chart>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ro-RO" sz="800"/>
              <a:t>Starea stațiilor de pompare în anii 2016-2021</a:t>
            </a:r>
            <a:endParaRPr lang="ru-RU" sz="8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035172384388674"/>
          <c:y val="0.12248637700728172"/>
          <c:w val="0.84311461736475335"/>
          <c:h val="0.58454847604768445"/>
        </c:manualLayout>
      </c:layout>
      <c:bar3DChart>
        <c:barDir val="col"/>
        <c:grouping val="stacked"/>
        <c:varyColors val="0"/>
        <c:ser>
          <c:idx val="0"/>
          <c:order val="0"/>
          <c:tx>
            <c:strRef>
              <c:f>Лист1!$B$1</c:f>
              <c:strCache>
                <c:ptCount val="1"/>
                <c:pt idx="0">
                  <c:v>stații de pompare funcționale</c:v>
                </c:pt>
              </c:strCache>
            </c:strRef>
          </c:tx>
          <c:invertIfNegative val="0"/>
          <c:dLbls>
            <c:dLbl>
              <c:idx val="0"/>
              <c:layout>
                <c:manualLayout>
                  <c:x val="1.269099785219015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980-4401-BAA5-8CA0B10E37A4}"/>
                </c:ext>
                <c:ext xmlns:c15="http://schemas.microsoft.com/office/drawing/2012/chart" uri="{CE6537A1-D6FC-4f65-9D91-7224C49458BB}"/>
              </c:extLst>
            </c:dLbl>
            <c:dLbl>
              <c:idx val="1"/>
              <c:layout>
                <c:manualLayout>
                  <c:x val="8.46066523479350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980-4401-BAA5-8CA0B10E37A4}"/>
                </c:ext>
                <c:ext xmlns:c15="http://schemas.microsoft.com/office/drawing/2012/chart" uri="{CE6537A1-D6FC-4f65-9D91-7224C49458BB}"/>
              </c:extLst>
            </c:dLbl>
            <c:dLbl>
              <c:idx val="2"/>
              <c:layout>
                <c:manualLayout>
                  <c:x val="8.46066523479350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980-4401-BAA5-8CA0B10E37A4}"/>
                </c:ext>
                <c:ext xmlns:c15="http://schemas.microsoft.com/office/drawing/2012/chart" uri="{CE6537A1-D6FC-4f65-9D91-7224C49458BB}"/>
              </c:extLst>
            </c:dLbl>
            <c:dLbl>
              <c:idx val="3"/>
              <c:layout>
                <c:manualLayout>
                  <c:x val="8.46066523479350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980-4401-BAA5-8CA0B10E37A4}"/>
                </c:ext>
                <c:ext xmlns:c15="http://schemas.microsoft.com/office/drawing/2012/chart" uri="{CE6537A1-D6FC-4f65-9D91-7224C49458BB}"/>
              </c:extLst>
            </c:dLbl>
            <c:dLbl>
              <c:idx val="4"/>
              <c:layout>
                <c:manualLayout>
                  <c:x val="8.46066523479350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980-4401-BAA5-8CA0B10E37A4}"/>
                </c:ext>
                <c:ext xmlns:c15="http://schemas.microsoft.com/office/drawing/2012/chart" uri="{CE6537A1-D6FC-4f65-9D91-7224C49458BB}"/>
              </c:extLst>
            </c:dLbl>
            <c:dLbl>
              <c:idx val="5"/>
              <c:layout>
                <c:manualLayout>
                  <c:x val="8.46066523479350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980-4401-BAA5-8CA0B10E37A4}"/>
                </c:ext>
                <c:ext xmlns:c15="http://schemas.microsoft.com/office/drawing/2012/chart" uri="{CE6537A1-D6FC-4f65-9D91-7224C49458BB}"/>
              </c:extLst>
            </c:dLbl>
            <c:spPr>
              <a:noFill/>
              <a:ln>
                <a:noFill/>
              </a:ln>
              <a:effectLst/>
            </c:spPr>
            <c:txPr>
              <a:bodyPr rot="-5400000" vert="horz"/>
              <a:lstStyle/>
              <a:p>
                <a:pPr>
                  <a:defRPr sz="7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Лист1!$B$2:$B$4</c:f>
              <c:numCache>
                <c:formatCode>General</c:formatCode>
                <c:ptCount val="3"/>
                <c:pt idx="0">
                  <c:v>1223</c:v>
                </c:pt>
                <c:pt idx="1">
                  <c:v>1152</c:v>
                </c:pt>
                <c:pt idx="2">
                  <c:v>1146</c:v>
                </c:pt>
              </c:numCache>
            </c:numRef>
          </c:val>
          <c:extLst xmlns:c16r2="http://schemas.microsoft.com/office/drawing/2015/06/chart">
            <c:ext xmlns:c16="http://schemas.microsoft.com/office/drawing/2014/chart" uri="{C3380CC4-5D6E-409C-BE32-E72D297353CC}">
              <c16:uniqueId val="{00000006-B980-4401-BAA5-8CA0B10E37A4}"/>
            </c:ext>
          </c:extLst>
        </c:ser>
        <c:ser>
          <c:idx val="1"/>
          <c:order val="1"/>
          <c:tx>
            <c:strRef>
              <c:f>Лист1!$C$1</c:f>
              <c:strCache>
                <c:ptCount val="1"/>
                <c:pt idx="0">
                  <c:v>stații de pompare nefuncționale</c:v>
                </c:pt>
              </c:strCache>
            </c:strRef>
          </c:tx>
          <c:spPr>
            <a:solidFill>
              <a:srgbClr val="FFC000"/>
            </a:solidFill>
          </c:spPr>
          <c:invertIfNegative val="0"/>
          <c:dLbls>
            <c:spPr>
              <a:noFill/>
              <a:ln>
                <a:noFill/>
              </a:ln>
              <a:effectLst/>
            </c:spPr>
            <c:txPr>
              <a:bodyPr/>
              <a:lstStyle/>
              <a:p>
                <a:pPr>
                  <a:defRPr sz="7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Лист1!$A$2:$A$4</c:f>
              <c:numCache>
                <c:formatCode>General</c:formatCode>
                <c:ptCount val="3"/>
                <c:pt idx="0">
                  <c:v>2016</c:v>
                </c:pt>
                <c:pt idx="1">
                  <c:v>2017</c:v>
                </c:pt>
                <c:pt idx="2">
                  <c:v>2018</c:v>
                </c:pt>
              </c:numCache>
            </c:numRef>
          </c:cat>
          <c:val>
            <c:numRef>
              <c:f>Лист1!$C$2:$C$4</c:f>
              <c:numCache>
                <c:formatCode>General</c:formatCode>
                <c:ptCount val="3"/>
                <c:pt idx="0">
                  <c:v>273</c:v>
                </c:pt>
                <c:pt idx="1">
                  <c:v>105</c:v>
                </c:pt>
                <c:pt idx="2">
                  <c:v>88</c:v>
                </c:pt>
              </c:numCache>
            </c:numRef>
          </c:val>
          <c:extLst xmlns:c16r2="http://schemas.microsoft.com/office/drawing/2015/06/chart">
            <c:ext xmlns:c16="http://schemas.microsoft.com/office/drawing/2014/chart" uri="{C3380CC4-5D6E-409C-BE32-E72D297353CC}">
              <c16:uniqueId val="{00000007-B980-4401-BAA5-8CA0B10E37A4}"/>
            </c:ext>
          </c:extLst>
        </c:ser>
        <c:dLbls>
          <c:showLegendKey val="0"/>
          <c:showVal val="0"/>
          <c:showCatName val="0"/>
          <c:showSerName val="0"/>
          <c:showPercent val="0"/>
          <c:showBubbleSize val="0"/>
        </c:dLbls>
        <c:gapWidth val="150"/>
        <c:shape val="cylinder"/>
        <c:axId val="380910632"/>
        <c:axId val="380911024"/>
        <c:axId val="0"/>
      </c:bar3DChart>
      <c:catAx>
        <c:axId val="380910632"/>
        <c:scaling>
          <c:orientation val="minMax"/>
        </c:scaling>
        <c:delete val="0"/>
        <c:axPos val="b"/>
        <c:numFmt formatCode="General" sourceLinked="1"/>
        <c:majorTickMark val="out"/>
        <c:minorTickMark val="none"/>
        <c:tickLblPos val="nextTo"/>
        <c:txPr>
          <a:bodyPr/>
          <a:lstStyle/>
          <a:p>
            <a:pPr>
              <a:defRPr sz="700"/>
            </a:pPr>
            <a:endParaRPr lang="ru-RU"/>
          </a:p>
        </c:txPr>
        <c:crossAx val="380911024"/>
        <c:crosses val="autoZero"/>
        <c:auto val="1"/>
        <c:lblAlgn val="ctr"/>
        <c:lblOffset val="100"/>
        <c:noMultiLvlLbl val="0"/>
      </c:catAx>
      <c:valAx>
        <c:axId val="380911024"/>
        <c:scaling>
          <c:orientation val="minMax"/>
        </c:scaling>
        <c:delete val="1"/>
        <c:axPos val="l"/>
        <c:majorGridlines/>
        <c:numFmt formatCode="General" sourceLinked="1"/>
        <c:majorTickMark val="out"/>
        <c:minorTickMark val="none"/>
        <c:tickLblPos val="none"/>
        <c:crossAx val="380910632"/>
        <c:crosses val="autoZero"/>
        <c:crossBetween val="between"/>
      </c:valAx>
    </c:plotArea>
    <c:legend>
      <c:legendPos val="b"/>
      <c:layout>
        <c:manualLayout>
          <c:xMode val="edge"/>
          <c:yMode val="edge"/>
          <c:x val="0.26122368585657219"/>
          <c:y val="0.78238871177562685"/>
          <c:w val="0.47755229557547096"/>
          <c:h val="0.17526711007652521"/>
        </c:manualLayout>
      </c:layout>
      <c:overlay val="0"/>
      <c:txPr>
        <a:bodyPr/>
        <a:lstStyle/>
        <a:p>
          <a:pPr>
            <a:defRPr sz="700"/>
          </a:pPr>
          <a:endParaRPr lang="ru-RU"/>
        </a:p>
      </c:txPr>
    </c:legend>
    <c:plotVisOnly val="1"/>
    <c:dispBlanksAs val="gap"/>
    <c:showDLblsOverMax val="0"/>
  </c:chart>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ro-RO" sz="900"/>
              <a:t>Volumul de apă captat, furnizat și pierderile de apă, mil.m</a:t>
            </a:r>
            <a:r>
              <a:rPr lang="ro-RO" sz="900" baseline="30000"/>
              <a:t>3</a:t>
            </a:r>
            <a:r>
              <a:rPr lang="ro-RO" sz="900"/>
              <a:t>, în anii 2016-2021</a:t>
            </a:r>
            <a:endParaRPr lang="ru-RU" sz="9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Vomumul de apă caprat, mil. m3</c:v>
                </c:pt>
              </c:strCache>
            </c:strRef>
          </c:tx>
          <c:spPr>
            <a:gradFill>
              <a:gsLst>
                <a:gs pos="0">
                  <a:srgbClr val="00B050"/>
                </a:gs>
                <a:gs pos="50000">
                  <a:srgbClr val="5B9BD5">
                    <a:tint val="44500"/>
                    <a:satMod val="160000"/>
                  </a:srgbClr>
                </a:gs>
                <a:gs pos="100000">
                  <a:srgbClr val="5B9BD5">
                    <a:tint val="23500"/>
                    <a:satMod val="160000"/>
                  </a:srgbClr>
                </a:gs>
              </a:gsLst>
              <a:lin ang="5400000" scaled="0"/>
            </a:gradFill>
          </c:spPr>
          <c:invertIfNegative val="0"/>
          <c:dLbls>
            <c:dLbl>
              <c:idx val="0"/>
              <c:layout>
                <c:manualLayout>
                  <c:x val="4.6296717727239414E-3"/>
                  <c:y val="0.3433652482190783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973-4FD6-8994-21D52874DACE}"/>
                </c:ext>
                <c:ext xmlns:c15="http://schemas.microsoft.com/office/drawing/2012/chart" uri="{CE6537A1-D6FC-4f65-9D91-7224C49458BB}"/>
              </c:extLst>
            </c:dLbl>
            <c:dLbl>
              <c:idx val="1"/>
              <c:layout>
                <c:manualLayout>
                  <c:x val="5.1514032807556242E-3"/>
                  <c:y val="0.326449544807745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973-4FD6-8994-21D52874DACE}"/>
                </c:ext>
                <c:ext xmlns:c15="http://schemas.microsoft.com/office/drawing/2012/chart" uri="{CE6537A1-D6FC-4f65-9D91-7224C49458BB}"/>
              </c:extLst>
            </c:dLbl>
            <c:dLbl>
              <c:idx val="2"/>
              <c:layout>
                <c:manualLayout>
                  <c:x val="4.9776051596633524E-3"/>
                  <c:y val="0.30849137232528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973-4FD6-8994-21D52874DACE}"/>
                </c:ext>
                <c:ext xmlns:c15="http://schemas.microsoft.com/office/drawing/2012/chart" uri="{CE6537A1-D6FC-4f65-9D91-7224C49458BB}"/>
              </c:extLst>
            </c:dLbl>
            <c:dLbl>
              <c:idx val="3"/>
              <c:layout>
                <c:manualLayout>
                  <c:x val="7.1184743525555625E-3"/>
                  <c:y val="0.3383544705629039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973-4FD6-8994-21D52874DACE}"/>
                </c:ext>
                <c:ext xmlns:c15="http://schemas.microsoft.com/office/drawing/2012/chart" uri="{CE6537A1-D6FC-4f65-9D91-7224C49458BB}"/>
              </c:extLst>
            </c:dLbl>
            <c:dLbl>
              <c:idx val="4"/>
              <c:layout>
                <c:manualLayout>
                  <c:x val="4.6296717727239804E-3"/>
                  <c:y val="0.2959586564225285"/>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973-4FD6-8994-21D52874DACE}"/>
                </c:ext>
                <c:ext xmlns:c15="http://schemas.microsoft.com/office/drawing/2012/chart" uri="{CE6537A1-D6FC-4f65-9D91-7224C49458BB}"/>
              </c:extLst>
            </c:dLbl>
            <c:dLbl>
              <c:idx val="5"/>
              <c:layout>
                <c:manualLayout>
                  <c:x val="4.6296717727239804E-3"/>
                  <c:y val="0.2840541746490887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973-4FD6-8994-21D52874DACE}"/>
                </c:ext>
                <c:ext xmlns:c15="http://schemas.microsoft.com/office/drawing/2012/chart" uri="{CE6537A1-D6FC-4f65-9D91-7224C49458BB}"/>
              </c:extLst>
            </c:dLbl>
            <c:spPr>
              <a:noFill/>
              <a:ln>
                <a:noFill/>
              </a:ln>
              <a:effectLst/>
            </c:spPr>
            <c:txPr>
              <a:bodyPr rot="-5400000" vert="horz"/>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131623.4</c:v>
                </c:pt>
                <c:pt idx="1">
                  <c:v>131202.1</c:v>
                </c:pt>
                <c:pt idx="2">
                  <c:v>131322.4</c:v>
                </c:pt>
                <c:pt idx="3">
                  <c:v>133291.6</c:v>
                </c:pt>
                <c:pt idx="4">
                  <c:v>134698.79999999999</c:v>
                </c:pt>
                <c:pt idx="5">
                  <c:v>131028.1</c:v>
                </c:pt>
              </c:numCache>
            </c:numRef>
          </c:val>
          <c:extLst xmlns:c16r2="http://schemas.microsoft.com/office/drawing/2015/06/chart">
            <c:ext xmlns:c16="http://schemas.microsoft.com/office/drawing/2014/chart" uri="{C3380CC4-5D6E-409C-BE32-E72D297353CC}">
              <c16:uniqueId val="{00000006-8973-4FD6-8994-21D52874DACE}"/>
            </c:ext>
          </c:extLst>
        </c:ser>
        <c:ser>
          <c:idx val="1"/>
          <c:order val="1"/>
          <c:tx>
            <c:strRef>
              <c:f>Лист1!$C$1</c:f>
              <c:strCache>
                <c:ptCount val="1"/>
                <c:pt idx="0">
                  <c:v>Volumul de apă furnizat, mil. m3</c:v>
                </c:pt>
              </c:strCache>
            </c:strRef>
          </c:tx>
          <c:spPr>
            <a:gradFill>
              <a:gsLst>
                <a:gs pos="0">
                  <a:srgbClr val="00B0F0"/>
                </a:gs>
                <a:gs pos="50000">
                  <a:srgbClr val="5B9BD5">
                    <a:tint val="44500"/>
                    <a:satMod val="160000"/>
                  </a:srgbClr>
                </a:gs>
                <a:gs pos="100000">
                  <a:srgbClr val="5B9BD5">
                    <a:tint val="23500"/>
                    <a:satMod val="160000"/>
                  </a:srgbClr>
                </a:gs>
              </a:gsLst>
              <a:lin ang="5400000" scaled="0"/>
            </a:gradFill>
          </c:spPr>
          <c:invertIfNegative val="0"/>
          <c:dLbls>
            <c:dLbl>
              <c:idx val="0"/>
              <c:layout>
                <c:manualLayout>
                  <c:x val="6.9444444444444874E-3"/>
                  <c:y val="0.138888888888888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973-4FD6-8994-21D52874DACE}"/>
                </c:ext>
                <c:ext xmlns:c15="http://schemas.microsoft.com/office/drawing/2012/chart" uri="{CE6537A1-D6FC-4f65-9D91-7224C49458BB}"/>
              </c:extLst>
            </c:dLbl>
            <c:dLbl>
              <c:idx val="1"/>
              <c:layout>
                <c:manualLayout>
                  <c:x val="6.9444444444444874E-3"/>
                  <c:y val="0.17857142857142999"/>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973-4FD6-8994-21D52874DACE}"/>
                </c:ext>
                <c:ext xmlns:c15="http://schemas.microsoft.com/office/drawing/2012/chart" uri="{CE6537A1-D6FC-4f65-9D91-7224C49458BB}"/>
              </c:extLst>
            </c:dLbl>
            <c:dLbl>
              <c:idx val="2"/>
              <c:layout>
                <c:manualLayout>
                  <c:x val="2.3148148148148147E-3"/>
                  <c:y val="0.194444444444446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973-4FD6-8994-21D52874DACE}"/>
                </c:ext>
                <c:ext xmlns:c15="http://schemas.microsoft.com/office/drawing/2012/chart" uri="{CE6537A1-D6FC-4f65-9D91-7224C49458BB}"/>
              </c:extLst>
            </c:dLbl>
            <c:dLbl>
              <c:idx val="3"/>
              <c:layout>
                <c:manualLayout>
                  <c:x val="4.6296296296296658E-3"/>
                  <c:y val="0.2936507936507938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973-4FD6-8994-21D52874DACE}"/>
                </c:ext>
                <c:ext xmlns:c15="http://schemas.microsoft.com/office/drawing/2012/chart" uri="{CE6537A1-D6FC-4f65-9D91-7224C49458BB}"/>
              </c:extLst>
            </c:dLbl>
            <c:dLbl>
              <c:idx val="4"/>
              <c:layout>
                <c:manualLayout>
                  <c:x val="1.1574074074074073E-2"/>
                  <c:y val="0.28174603174603174"/>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973-4FD6-8994-21D52874DACE}"/>
                </c:ext>
                <c:ext xmlns:c15="http://schemas.microsoft.com/office/drawing/2012/chart" uri="{CE6537A1-D6FC-4f65-9D91-7224C49458BB}"/>
              </c:extLst>
            </c:dLbl>
            <c:dLbl>
              <c:idx val="5"/>
              <c:layout>
                <c:manualLayout>
                  <c:x val="2.3148148148148147E-3"/>
                  <c:y val="0.2579365079365079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973-4FD6-8994-21D52874DACE}"/>
                </c:ext>
                <c:ext xmlns:c15="http://schemas.microsoft.com/office/drawing/2012/chart" uri="{CE6537A1-D6FC-4f65-9D91-7224C49458BB}"/>
              </c:extLst>
            </c:dLbl>
            <c:spPr>
              <a:noFill/>
              <a:ln>
                <a:noFill/>
              </a:ln>
              <a:effectLst/>
            </c:spPr>
            <c:txPr>
              <a:bodyPr rot="-5400000" vert="horz"/>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84055.3</c:v>
                </c:pt>
                <c:pt idx="1">
                  <c:v>86117.1</c:v>
                </c:pt>
                <c:pt idx="2">
                  <c:v>89128.9</c:v>
                </c:pt>
                <c:pt idx="3">
                  <c:v>91755.6</c:v>
                </c:pt>
                <c:pt idx="4">
                  <c:v>94106.5</c:v>
                </c:pt>
                <c:pt idx="5" formatCode="0.0">
                  <c:v>92845</c:v>
                </c:pt>
              </c:numCache>
            </c:numRef>
          </c:val>
          <c:extLst xmlns:c16r2="http://schemas.microsoft.com/office/drawing/2015/06/chart">
            <c:ext xmlns:c16="http://schemas.microsoft.com/office/drawing/2014/chart" uri="{C3380CC4-5D6E-409C-BE32-E72D297353CC}">
              <c16:uniqueId val="{0000000D-8973-4FD6-8994-21D52874DACE}"/>
            </c:ext>
          </c:extLst>
        </c:ser>
        <c:ser>
          <c:idx val="2"/>
          <c:order val="2"/>
          <c:tx>
            <c:strRef>
              <c:f>Лист1!$D$1</c:f>
              <c:strCache>
                <c:ptCount val="1"/>
                <c:pt idx="0">
                  <c:v>Volumul de apă folosit în procesele tehnologice, mii m3</c:v>
                </c:pt>
              </c:strCache>
            </c:strRef>
          </c:tx>
          <c:spPr>
            <a:gradFill>
              <a:gsLst>
                <a:gs pos="0">
                  <a:srgbClr val="FFC000"/>
                </a:gs>
                <a:gs pos="50000">
                  <a:srgbClr val="5B9BD5">
                    <a:tint val="44500"/>
                    <a:satMod val="160000"/>
                  </a:srgbClr>
                </a:gs>
                <a:gs pos="100000">
                  <a:srgbClr val="5B9BD5">
                    <a:tint val="23500"/>
                    <a:satMod val="160000"/>
                  </a:srgbClr>
                </a:gs>
              </a:gsLst>
              <a:lin ang="5400000" scaled="0"/>
            </a:gradFill>
          </c:spPr>
          <c:invertIfNegative val="0"/>
          <c:dLbls>
            <c:dLbl>
              <c:idx val="0"/>
              <c:layout>
                <c:manualLayout>
                  <c:x val="4.6296717727239414E-3"/>
                  <c:y val="-1.021424337745775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973-4FD6-8994-21D52874DACE}"/>
                </c:ext>
                <c:ext xmlns:c15="http://schemas.microsoft.com/office/drawing/2012/chart" uri="{CE6537A1-D6FC-4f65-9D91-7224C49458BB}"/>
              </c:extLst>
            </c:dLbl>
            <c:dLbl>
              <c:idx val="1"/>
              <c:layout>
                <c:manualLayout>
                  <c:x val="4.9776051596632934E-3"/>
                  <c:y val="-1.02142433774577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973-4FD6-8994-21D52874DACE}"/>
                </c:ext>
                <c:ext xmlns:c15="http://schemas.microsoft.com/office/drawing/2012/chart" uri="{CE6537A1-D6FC-4f65-9D91-7224C49458BB}"/>
              </c:extLst>
            </c:dLbl>
            <c:dLbl>
              <c:idx val="2"/>
              <c:layout>
                <c:manualLayout>
                  <c:x val="6.9445076590859672E-3"/>
                  <c:y val="5.031200815150405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973-4FD6-8994-21D52874DACE}"/>
                </c:ext>
                <c:ext xmlns:c15="http://schemas.microsoft.com/office/drawing/2012/chart" uri="{CE6537A1-D6FC-4f65-9D91-7224C49458BB}"/>
              </c:extLst>
            </c:dLbl>
            <c:dLbl>
              <c:idx val="3"/>
              <c:layout>
                <c:manualLayout>
                  <c:x val="6.9445076590859672E-3"/>
                  <c:y val="4.47036311044714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973-4FD6-8994-21D52874DACE}"/>
                </c:ext>
                <c:ext xmlns:c15="http://schemas.microsoft.com/office/drawing/2012/chart" uri="{CE6537A1-D6FC-4f65-9D91-7224C49458BB}"/>
              </c:extLst>
            </c:dLbl>
            <c:dLbl>
              <c:idx val="4"/>
              <c:layout>
                <c:manualLayout>
                  <c:x val="6.9445076590859672E-3"/>
                  <c:y val="2.945818691186290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8973-4FD6-8994-21D52874DACE}"/>
                </c:ext>
                <c:ext xmlns:c15="http://schemas.microsoft.com/office/drawing/2012/chart" uri="{CE6537A1-D6FC-4f65-9D91-7224C49458BB}"/>
              </c:extLst>
            </c:dLbl>
            <c:dLbl>
              <c:idx val="5"/>
              <c:layout>
                <c:manualLayout>
                  <c:x val="6.9445076590859672E-3"/>
                  <c:y val="1.254248350052939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8973-4FD6-8994-21D52874DACE}"/>
                </c:ext>
                <c:ext xmlns:c15="http://schemas.microsoft.com/office/drawing/2012/chart" uri="{CE6537A1-D6FC-4f65-9D91-7224C49458BB}"/>
              </c:extLst>
            </c:dLbl>
            <c:spPr>
              <a:noFill/>
              <a:ln>
                <a:noFill/>
              </a:ln>
              <a:effectLst/>
            </c:spPr>
            <c:txPr>
              <a:bodyPr rot="-5400000" vert="horz" anchor="b" anchorCtr="0"/>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Лист1!$D$2:$D$7</c:f>
              <c:numCache>
                <c:formatCode>General</c:formatCode>
                <c:ptCount val="6"/>
                <c:pt idx="0">
                  <c:v>5807.6</c:v>
                </c:pt>
                <c:pt idx="1">
                  <c:v>10384.1</c:v>
                </c:pt>
                <c:pt idx="2" formatCode="0.0">
                  <c:v>9729</c:v>
                </c:pt>
                <c:pt idx="3" formatCode="_(* #,##0.0_);_(* \(#,##0.0\);_(* &quot;-&quot;??_);_(@_)">
                  <c:v>10123.6</c:v>
                </c:pt>
                <c:pt idx="4" formatCode="_(* #,##0.0_);_(* \(#,##0.0\);_(* &quot;-&quot;??_);_(@_)">
                  <c:v>10732.8</c:v>
                </c:pt>
                <c:pt idx="5">
                  <c:v>10464.4</c:v>
                </c:pt>
              </c:numCache>
            </c:numRef>
          </c:val>
          <c:extLst xmlns:c16r2="http://schemas.microsoft.com/office/drawing/2015/06/chart">
            <c:ext xmlns:c16="http://schemas.microsoft.com/office/drawing/2014/chart" uri="{C3380CC4-5D6E-409C-BE32-E72D297353CC}">
              <c16:uniqueId val="{00000014-8973-4FD6-8994-21D52874DACE}"/>
            </c:ext>
          </c:extLst>
        </c:ser>
        <c:ser>
          <c:idx val="3"/>
          <c:order val="3"/>
          <c:tx>
            <c:strRef>
              <c:f>Лист1!$E$1</c:f>
              <c:strCache>
                <c:ptCount val="1"/>
                <c:pt idx="0">
                  <c:v>Pierderi de apă, mil. m3</c:v>
                </c:pt>
              </c:strCache>
            </c:strRef>
          </c:tx>
          <c:spPr>
            <a:gradFill>
              <a:gsLst>
                <a:gs pos="0">
                  <a:srgbClr val="FF0000"/>
                </a:gs>
                <a:gs pos="50000">
                  <a:srgbClr val="5B9BD5">
                    <a:tint val="44500"/>
                    <a:satMod val="160000"/>
                  </a:srgbClr>
                </a:gs>
                <a:gs pos="100000">
                  <a:srgbClr val="5B9BD5">
                    <a:tint val="23500"/>
                    <a:satMod val="160000"/>
                  </a:srgbClr>
                </a:gs>
              </a:gsLst>
              <a:lin ang="5400000" scaled="0"/>
            </a:gradFill>
          </c:spPr>
          <c:invertIfNegative val="0"/>
          <c:dLbls>
            <c:spPr>
              <a:noFill/>
              <a:ln>
                <a:noFill/>
              </a:ln>
              <a:effectLst/>
            </c:spPr>
            <c:txPr>
              <a:bodyPr rot="-5400000" vert="horz" wrap="square" lIns="38100" tIns="19050" rIns="38100" bIns="19050" anchor="ctr">
                <a:spAutoFit/>
              </a:bodyPr>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Лист1!$E$2:$E$7</c:f>
              <c:numCache>
                <c:formatCode>General</c:formatCode>
                <c:ptCount val="6"/>
                <c:pt idx="0">
                  <c:v>41760.499999999993</c:v>
                </c:pt>
                <c:pt idx="1">
                  <c:v>34700.9</c:v>
                </c:pt>
                <c:pt idx="2">
                  <c:v>32464.5</c:v>
                </c:pt>
                <c:pt idx="3">
                  <c:v>31412.400000000001</c:v>
                </c:pt>
                <c:pt idx="4">
                  <c:v>29859.499999999982</c:v>
                </c:pt>
                <c:pt idx="5">
                  <c:v>27718.700000000004</c:v>
                </c:pt>
              </c:numCache>
            </c:numRef>
          </c:val>
          <c:extLst xmlns:c16r2="http://schemas.microsoft.com/office/drawing/2015/06/chart">
            <c:ext xmlns:c16="http://schemas.microsoft.com/office/drawing/2014/chart" uri="{C3380CC4-5D6E-409C-BE32-E72D297353CC}">
              <c16:uniqueId val="{00000015-8973-4FD6-8994-21D52874DACE}"/>
            </c:ext>
          </c:extLst>
        </c:ser>
        <c:dLbls>
          <c:showLegendKey val="0"/>
          <c:showVal val="0"/>
          <c:showCatName val="0"/>
          <c:showSerName val="0"/>
          <c:showPercent val="0"/>
          <c:showBubbleSize val="0"/>
        </c:dLbls>
        <c:gapWidth val="75"/>
        <c:shape val="cylinder"/>
        <c:axId val="380911808"/>
        <c:axId val="380912200"/>
        <c:axId val="0"/>
      </c:bar3DChart>
      <c:catAx>
        <c:axId val="380911808"/>
        <c:scaling>
          <c:orientation val="minMax"/>
        </c:scaling>
        <c:delete val="0"/>
        <c:axPos val="b"/>
        <c:numFmt formatCode="General" sourceLinked="1"/>
        <c:majorTickMark val="none"/>
        <c:minorTickMark val="none"/>
        <c:tickLblPos val="nextTo"/>
        <c:txPr>
          <a:bodyPr/>
          <a:lstStyle/>
          <a:p>
            <a:pPr>
              <a:defRPr sz="800"/>
            </a:pPr>
            <a:endParaRPr lang="ru-RU"/>
          </a:p>
        </c:txPr>
        <c:crossAx val="380912200"/>
        <c:crosses val="autoZero"/>
        <c:auto val="1"/>
        <c:lblAlgn val="ctr"/>
        <c:lblOffset val="100"/>
        <c:noMultiLvlLbl val="0"/>
      </c:catAx>
      <c:valAx>
        <c:axId val="380912200"/>
        <c:scaling>
          <c:orientation val="minMax"/>
        </c:scaling>
        <c:delete val="1"/>
        <c:axPos val="l"/>
        <c:majorGridlines/>
        <c:numFmt formatCode="General" sourceLinked="1"/>
        <c:majorTickMark val="none"/>
        <c:minorTickMark val="none"/>
        <c:tickLblPos val="none"/>
        <c:crossAx val="380911808"/>
        <c:crosses val="autoZero"/>
        <c:crossBetween val="between"/>
      </c:valAx>
    </c:plotArea>
    <c:legend>
      <c:legendPos val="b"/>
      <c:layout>
        <c:manualLayout>
          <c:xMode val="edge"/>
          <c:yMode val="edge"/>
          <c:x val="8.4105310535605063E-2"/>
          <c:y val="0.75948256467941511"/>
          <c:w val="0.81038068699986687"/>
          <c:h val="0.22038028900233644"/>
        </c:manualLayout>
      </c:layout>
      <c:overlay val="0"/>
      <c:txPr>
        <a:bodyPr/>
        <a:lstStyle/>
        <a:p>
          <a:pPr>
            <a:defRPr sz="700"/>
          </a:pPr>
          <a:endParaRPr lang="ru-RU"/>
        </a:p>
      </c:txPr>
    </c:legend>
    <c:plotVisOnly val="1"/>
    <c:dispBlanksAs val="gap"/>
    <c:showDLblsOverMax val="0"/>
  </c:chart>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800"/>
              <a:t>Piederile de apă pe raioane</a:t>
            </a:r>
            <a:r>
              <a:rPr lang="ro-RO" sz="800" baseline="0"/>
              <a:t>,%, anii </a:t>
            </a:r>
            <a:r>
              <a:rPr lang="ro-RO" sz="800"/>
              <a:t>2016-2021</a:t>
            </a:r>
            <a:endParaRPr lang="ru-RU" sz="800"/>
          </a:p>
        </c:rich>
      </c:tx>
      <c:overlay val="0"/>
    </c:title>
    <c:autoTitleDeleted val="0"/>
    <c:plotArea>
      <c:layout>
        <c:manualLayout>
          <c:layoutTarget val="inner"/>
          <c:xMode val="edge"/>
          <c:yMode val="edge"/>
          <c:x val="6.1315451495121777E-2"/>
          <c:y val="0.12617151904736368"/>
          <c:w val="0.92573360812819161"/>
          <c:h val="0.59516872890888639"/>
        </c:manualLayout>
      </c:layout>
      <c:barChart>
        <c:barDir val="col"/>
        <c:grouping val="clustered"/>
        <c:varyColors val="0"/>
        <c:ser>
          <c:idx val="0"/>
          <c:order val="0"/>
          <c:tx>
            <c:strRef>
              <c:f>Лист1!$B$1</c:f>
              <c:strCache>
                <c:ptCount val="1"/>
                <c:pt idx="0">
                  <c:v>2016</c:v>
                </c:pt>
              </c:strCache>
            </c:strRef>
          </c:tx>
          <c:invertIfNegative val="0"/>
          <c:dLbls>
            <c:spPr>
              <a:noFill/>
              <a:ln>
                <a:noFill/>
              </a:ln>
              <a:effectLst/>
            </c:spPr>
            <c:txPr>
              <a:bodyPr rot="-540000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Лист1!$B$2:$B$36</c:f>
              <c:numCache>
                <c:formatCode>0.0%</c:formatCode>
                <c:ptCount val="35"/>
                <c:pt idx="0">
                  <c:v>0.36000000000000032</c:v>
                </c:pt>
                <c:pt idx="1">
                  <c:v>0.49000000000000032</c:v>
                </c:pt>
                <c:pt idx="2">
                  <c:v>0.22</c:v>
                </c:pt>
                <c:pt idx="3">
                  <c:v>0.11</c:v>
                </c:pt>
                <c:pt idx="4">
                  <c:v>0.41000000000000031</c:v>
                </c:pt>
                <c:pt idx="5">
                  <c:v>0.53</c:v>
                </c:pt>
                <c:pt idx="6">
                  <c:v>0.22</c:v>
                </c:pt>
                <c:pt idx="7">
                  <c:v>0.25</c:v>
                </c:pt>
                <c:pt idx="8">
                  <c:v>0.13</c:v>
                </c:pt>
                <c:pt idx="9">
                  <c:v>0.24000000000000021</c:v>
                </c:pt>
                <c:pt idx="10">
                  <c:v>0.18000000000000024</c:v>
                </c:pt>
                <c:pt idx="11">
                  <c:v>0.27</c:v>
                </c:pt>
                <c:pt idx="12">
                  <c:v>9.0000000000000024E-2</c:v>
                </c:pt>
                <c:pt idx="13">
                  <c:v>0.26</c:v>
                </c:pt>
                <c:pt idx="14">
                  <c:v>0.23</c:v>
                </c:pt>
                <c:pt idx="15">
                  <c:v>0.26</c:v>
                </c:pt>
                <c:pt idx="16">
                  <c:v>0</c:v>
                </c:pt>
                <c:pt idx="17">
                  <c:v>0.18000000000000024</c:v>
                </c:pt>
                <c:pt idx="18">
                  <c:v>0</c:v>
                </c:pt>
                <c:pt idx="19">
                  <c:v>0.29000000000000031</c:v>
                </c:pt>
                <c:pt idx="20">
                  <c:v>0.21000000000000021</c:v>
                </c:pt>
                <c:pt idx="21">
                  <c:v>0.38000000000000067</c:v>
                </c:pt>
                <c:pt idx="22">
                  <c:v>0.44</c:v>
                </c:pt>
                <c:pt idx="23">
                  <c:v>0.11</c:v>
                </c:pt>
                <c:pt idx="24">
                  <c:v>0.15000000000000024</c:v>
                </c:pt>
                <c:pt idx="25">
                  <c:v>0.21000000000000021</c:v>
                </c:pt>
                <c:pt idx="26">
                  <c:v>0.38000000000000067</c:v>
                </c:pt>
                <c:pt idx="27">
                  <c:v>0.33000000000000085</c:v>
                </c:pt>
                <c:pt idx="28">
                  <c:v>0.15000000000000024</c:v>
                </c:pt>
                <c:pt idx="29">
                  <c:v>0.23</c:v>
                </c:pt>
                <c:pt idx="30">
                  <c:v>0.23</c:v>
                </c:pt>
                <c:pt idx="31">
                  <c:v>0.17</c:v>
                </c:pt>
                <c:pt idx="32">
                  <c:v>7.0000000000000021E-2</c:v>
                </c:pt>
                <c:pt idx="33">
                  <c:v>0.24000000000000021</c:v>
                </c:pt>
                <c:pt idx="34">
                  <c:v>0.26</c:v>
                </c:pt>
              </c:numCache>
            </c:numRef>
          </c:val>
          <c:extLst xmlns:c16r2="http://schemas.microsoft.com/office/drawing/2015/06/chart">
            <c:ext xmlns:c16="http://schemas.microsoft.com/office/drawing/2014/chart" uri="{C3380CC4-5D6E-409C-BE32-E72D297353CC}">
              <c16:uniqueId val="{00000000-6E3F-40CE-AC30-021E742801B3}"/>
            </c:ext>
          </c:extLst>
        </c:ser>
        <c:ser>
          <c:idx val="1"/>
          <c:order val="1"/>
          <c:tx>
            <c:strRef>
              <c:f>Лист1!$C$1</c:f>
              <c:strCache>
                <c:ptCount val="1"/>
                <c:pt idx="0">
                  <c:v>2021</c:v>
                </c:pt>
              </c:strCache>
            </c:strRef>
          </c:tx>
          <c:invertIfNegative val="0"/>
          <c:dPt>
            <c:idx val="12"/>
            <c:invertIfNegative val="0"/>
            <c:bubble3D val="0"/>
            <c:spPr>
              <a:solidFill>
                <a:srgbClr val="FF0000"/>
              </a:solidFill>
            </c:spPr>
            <c:extLst xmlns:c16r2="http://schemas.microsoft.com/office/drawing/2015/06/chart">
              <c:ext xmlns:c16="http://schemas.microsoft.com/office/drawing/2014/chart" uri="{C3380CC4-5D6E-409C-BE32-E72D297353CC}">
                <c16:uniqueId val="{00000002-6E3F-40CE-AC30-021E742801B3}"/>
              </c:ext>
            </c:extLst>
          </c:dPt>
          <c:dPt>
            <c:idx val="14"/>
            <c:invertIfNegative val="0"/>
            <c:bubble3D val="0"/>
            <c:spPr>
              <a:solidFill>
                <a:srgbClr val="FF0000"/>
              </a:solidFill>
            </c:spPr>
            <c:extLst xmlns:c16r2="http://schemas.microsoft.com/office/drawing/2015/06/chart">
              <c:ext xmlns:c16="http://schemas.microsoft.com/office/drawing/2014/chart" uri="{C3380CC4-5D6E-409C-BE32-E72D297353CC}">
                <c16:uniqueId val="{00000004-6E3F-40CE-AC30-021E742801B3}"/>
              </c:ext>
            </c:extLst>
          </c:dPt>
          <c:dLbls>
            <c:dLbl>
              <c:idx val="12"/>
              <c:spPr>
                <a:noFill/>
                <a:ln>
                  <a:noFill/>
                </a:ln>
                <a:effectLst/>
              </c:spPr>
              <c:txPr>
                <a:bodyPr rot="-5400000" vert="horz"/>
                <a:lstStyle/>
                <a:p>
                  <a:pPr>
                    <a:defRPr sz="600" b="1">
                      <a:solidFill>
                        <a:srgbClr val="FF0000"/>
                      </a:solidFill>
                    </a:defRPr>
                  </a:pPr>
                  <a:endParaRPr lang="ru-RU"/>
                </a:p>
              </c:txPr>
              <c:showLegendKey val="0"/>
              <c:showVal val="1"/>
              <c:showCatName val="0"/>
              <c:showSerName val="0"/>
              <c:showPercent val="0"/>
              <c:showBubbleSize val="0"/>
            </c:dLbl>
            <c:spPr>
              <a:noFill/>
              <a:ln>
                <a:noFill/>
              </a:ln>
              <a:effectLst/>
            </c:spPr>
            <c:txPr>
              <a:bodyPr rot="-5400000" vert="horz"/>
              <a:lstStyle/>
              <a:p>
                <a:pPr>
                  <a:defRPr sz="600" b="1">
                    <a:solidFill>
                      <a:schemeClr val="tx1"/>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Лист1!$C$2:$C$36</c:f>
              <c:numCache>
                <c:formatCode>0.0%</c:formatCode>
                <c:ptCount val="35"/>
                <c:pt idx="0">
                  <c:v>0.18000000000000024</c:v>
                </c:pt>
                <c:pt idx="1">
                  <c:v>0.62000000000000122</c:v>
                </c:pt>
                <c:pt idx="2">
                  <c:v>0.30000000000000032</c:v>
                </c:pt>
                <c:pt idx="3">
                  <c:v>0.22</c:v>
                </c:pt>
                <c:pt idx="4">
                  <c:v>0.25</c:v>
                </c:pt>
                <c:pt idx="5">
                  <c:v>0.26</c:v>
                </c:pt>
                <c:pt idx="6">
                  <c:v>0.2</c:v>
                </c:pt>
                <c:pt idx="7">
                  <c:v>0.24000000000000021</c:v>
                </c:pt>
                <c:pt idx="8">
                  <c:v>0.13</c:v>
                </c:pt>
                <c:pt idx="9">
                  <c:v>0.37000000000000038</c:v>
                </c:pt>
                <c:pt idx="10">
                  <c:v>0.16</c:v>
                </c:pt>
                <c:pt idx="11">
                  <c:v>0.21000000000000021</c:v>
                </c:pt>
                <c:pt idx="12">
                  <c:v>0.05</c:v>
                </c:pt>
                <c:pt idx="13">
                  <c:v>0.16</c:v>
                </c:pt>
                <c:pt idx="14">
                  <c:v>9.0000000000000024E-2</c:v>
                </c:pt>
                <c:pt idx="15">
                  <c:v>0.14000000000000001</c:v>
                </c:pt>
                <c:pt idx="16">
                  <c:v>8.0000000000000043E-2</c:v>
                </c:pt>
                <c:pt idx="17">
                  <c:v>0.26</c:v>
                </c:pt>
                <c:pt idx="18">
                  <c:v>2.0000000000000011E-2</c:v>
                </c:pt>
                <c:pt idx="19">
                  <c:v>0.15000000000000024</c:v>
                </c:pt>
                <c:pt idx="20">
                  <c:v>0.17</c:v>
                </c:pt>
                <c:pt idx="21">
                  <c:v>0.23</c:v>
                </c:pt>
                <c:pt idx="22">
                  <c:v>0.31000000000000061</c:v>
                </c:pt>
                <c:pt idx="23">
                  <c:v>0.30000000000000032</c:v>
                </c:pt>
                <c:pt idx="24">
                  <c:v>9.0000000000000024E-2</c:v>
                </c:pt>
                <c:pt idx="25">
                  <c:v>4.0000000000000022E-2</c:v>
                </c:pt>
                <c:pt idx="26">
                  <c:v>0.37000000000000038</c:v>
                </c:pt>
                <c:pt idx="27">
                  <c:v>0.24000000000000021</c:v>
                </c:pt>
                <c:pt idx="28">
                  <c:v>3.0000000000000002E-2</c:v>
                </c:pt>
                <c:pt idx="29">
                  <c:v>0.11</c:v>
                </c:pt>
                <c:pt idx="30">
                  <c:v>0.26</c:v>
                </c:pt>
                <c:pt idx="31">
                  <c:v>0.16</c:v>
                </c:pt>
                <c:pt idx="32">
                  <c:v>0.05</c:v>
                </c:pt>
                <c:pt idx="33">
                  <c:v>0.29000000000000031</c:v>
                </c:pt>
                <c:pt idx="34">
                  <c:v>0.28000000000000008</c:v>
                </c:pt>
              </c:numCache>
            </c:numRef>
          </c:val>
          <c:extLst xmlns:c16r2="http://schemas.microsoft.com/office/drawing/2015/06/chart">
            <c:ext xmlns:c16="http://schemas.microsoft.com/office/drawing/2014/chart" uri="{C3380CC4-5D6E-409C-BE32-E72D297353CC}">
              <c16:uniqueId val="{00000005-6E3F-40CE-AC30-021E742801B3}"/>
            </c:ext>
          </c:extLst>
        </c:ser>
        <c:dLbls>
          <c:showLegendKey val="0"/>
          <c:showVal val="0"/>
          <c:showCatName val="0"/>
          <c:showSerName val="0"/>
          <c:showPercent val="0"/>
          <c:showBubbleSize val="0"/>
        </c:dLbls>
        <c:gapWidth val="150"/>
        <c:axId val="380912984"/>
        <c:axId val="380913376"/>
      </c:barChart>
      <c:catAx>
        <c:axId val="380912984"/>
        <c:scaling>
          <c:orientation val="minMax"/>
        </c:scaling>
        <c:delete val="0"/>
        <c:axPos val="b"/>
        <c:numFmt formatCode="General" sourceLinked="0"/>
        <c:majorTickMark val="out"/>
        <c:minorTickMark val="none"/>
        <c:tickLblPos val="nextTo"/>
        <c:txPr>
          <a:bodyPr/>
          <a:lstStyle/>
          <a:p>
            <a:pPr>
              <a:defRPr sz="700"/>
            </a:pPr>
            <a:endParaRPr lang="ru-RU"/>
          </a:p>
        </c:txPr>
        <c:crossAx val="380913376"/>
        <c:crosses val="autoZero"/>
        <c:auto val="1"/>
        <c:lblAlgn val="ctr"/>
        <c:lblOffset val="100"/>
        <c:noMultiLvlLbl val="0"/>
      </c:catAx>
      <c:valAx>
        <c:axId val="380913376"/>
        <c:scaling>
          <c:orientation val="minMax"/>
        </c:scaling>
        <c:delete val="1"/>
        <c:axPos val="l"/>
        <c:majorGridlines/>
        <c:numFmt formatCode="0.0%" sourceLinked="1"/>
        <c:majorTickMark val="out"/>
        <c:minorTickMark val="none"/>
        <c:tickLblPos val="none"/>
        <c:crossAx val="380912984"/>
        <c:crosses val="autoZero"/>
        <c:crossBetween val="between"/>
      </c:valAx>
    </c:plotArea>
    <c:legend>
      <c:legendPos val="b"/>
      <c:overlay val="0"/>
      <c:txPr>
        <a:bodyPr/>
        <a:lstStyle/>
        <a:p>
          <a:pPr>
            <a:defRPr sz="700"/>
          </a:pPr>
          <a:endParaRPr lang="ru-RU"/>
        </a:p>
      </c:txPr>
    </c:legend>
    <c:plotVisOnly val="1"/>
    <c:dispBlanksAs val="gap"/>
    <c:showDLblsOverMax val="0"/>
  </c:chart>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o-RO" sz="800"/>
              <a:t>Volumul piederilor de apă pe raioane</a:t>
            </a:r>
            <a:r>
              <a:rPr lang="ro-RO" sz="800" baseline="0"/>
              <a:t>, mii m</a:t>
            </a:r>
            <a:r>
              <a:rPr lang="ro-RO" sz="800" baseline="30000"/>
              <a:t>3</a:t>
            </a:r>
            <a:r>
              <a:rPr lang="ro-RO" sz="800" baseline="0"/>
              <a:t>, anii </a:t>
            </a:r>
            <a:r>
              <a:rPr lang="ro-RO" sz="800"/>
              <a:t>2016-2021</a:t>
            </a:r>
            <a:endParaRPr lang="ru-RU" sz="800"/>
          </a:p>
        </c:rich>
      </c:tx>
      <c:overlay val="0"/>
    </c:title>
    <c:autoTitleDeleted val="0"/>
    <c:plotArea>
      <c:layout>
        <c:manualLayout>
          <c:layoutTarget val="inner"/>
          <c:xMode val="edge"/>
          <c:yMode val="edge"/>
          <c:x val="6.1123139923478821E-2"/>
          <c:y val="0.13618145704759879"/>
          <c:w val="0.92640165549331965"/>
          <c:h val="0.65203865282605555"/>
        </c:manualLayout>
      </c:layout>
      <c:barChart>
        <c:barDir val="col"/>
        <c:grouping val="clustered"/>
        <c:varyColors val="0"/>
        <c:ser>
          <c:idx val="0"/>
          <c:order val="0"/>
          <c:tx>
            <c:strRef>
              <c:f>Лист1!$B$1</c:f>
              <c:strCache>
                <c:ptCount val="1"/>
                <c:pt idx="0">
                  <c:v>2016</c:v>
                </c:pt>
              </c:strCache>
            </c:strRef>
          </c:tx>
          <c:invertIfNegative val="0"/>
          <c:dLbls>
            <c:spPr>
              <a:noFill/>
              <a:ln>
                <a:noFill/>
              </a:ln>
              <a:effectLst/>
            </c:spPr>
            <c:txPr>
              <a:bodyPr rot="-5400000" vert="horz"/>
              <a:lstStyle/>
              <a:p>
                <a:pPr>
                  <a:defRPr sz="5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Лист1!$B$2:$B$36</c:f>
              <c:numCache>
                <c:formatCode>#,##0</c:formatCode>
                <c:ptCount val="35"/>
                <c:pt idx="0">
                  <c:v>28066</c:v>
                </c:pt>
                <c:pt idx="1">
                  <c:v>4313</c:v>
                </c:pt>
                <c:pt idx="2" formatCode="General">
                  <c:v>145</c:v>
                </c:pt>
                <c:pt idx="3" formatCode="General">
                  <c:v>51</c:v>
                </c:pt>
                <c:pt idx="4" formatCode="General">
                  <c:v>375</c:v>
                </c:pt>
                <c:pt idx="5" formatCode="General">
                  <c:v>770</c:v>
                </c:pt>
                <c:pt idx="6" formatCode="General">
                  <c:v>164</c:v>
                </c:pt>
                <c:pt idx="7" formatCode="General">
                  <c:v>224</c:v>
                </c:pt>
                <c:pt idx="8" formatCode="General">
                  <c:v>88</c:v>
                </c:pt>
                <c:pt idx="9" formatCode="General">
                  <c:v>40</c:v>
                </c:pt>
                <c:pt idx="10" formatCode="General">
                  <c:v>165</c:v>
                </c:pt>
                <c:pt idx="11" formatCode="General">
                  <c:v>225</c:v>
                </c:pt>
                <c:pt idx="12">
                  <c:v>1198</c:v>
                </c:pt>
                <c:pt idx="13">
                  <c:v>510</c:v>
                </c:pt>
                <c:pt idx="14" formatCode="General">
                  <c:v>177</c:v>
                </c:pt>
                <c:pt idx="15">
                  <c:v>277</c:v>
                </c:pt>
                <c:pt idx="16">
                  <c:v>0</c:v>
                </c:pt>
                <c:pt idx="17">
                  <c:v>169</c:v>
                </c:pt>
                <c:pt idx="18">
                  <c:v>5</c:v>
                </c:pt>
                <c:pt idx="19">
                  <c:v>111</c:v>
                </c:pt>
                <c:pt idx="20">
                  <c:v>488</c:v>
                </c:pt>
                <c:pt idx="21">
                  <c:v>246</c:v>
                </c:pt>
                <c:pt idx="22">
                  <c:v>566</c:v>
                </c:pt>
                <c:pt idx="23">
                  <c:v>14</c:v>
                </c:pt>
                <c:pt idx="24">
                  <c:v>126</c:v>
                </c:pt>
                <c:pt idx="25">
                  <c:v>476</c:v>
                </c:pt>
                <c:pt idx="26">
                  <c:v>201</c:v>
                </c:pt>
                <c:pt idx="27">
                  <c:v>987</c:v>
                </c:pt>
                <c:pt idx="28">
                  <c:v>69</c:v>
                </c:pt>
                <c:pt idx="29">
                  <c:v>228</c:v>
                </c:pt>
                <c:pt idx="30">
                  <c:v>228</c:v>
                </c:pt>
                <c:pt idx="31">
                  <c:v>73</c:v>
                </c:pt>
                <c:pt idx="32">
                  <c:v>70</c:v>
                </c:pt>
                <c:pt idx="33">
                  <c:v>166</c:v>
                </c:pt>
                <c:pt idx="34">
                  <c:v>841</c:v>
                </c:pt>
              </c:numCache>
            </c:numRef>
          </c:val>
          <c:extLst xmlns:c16r2="http://schemas.microsoft.com/office/drawing/2015/06/chart">
            <c:ext xmlns:c16="http://schemas.microsoft.com/office/drawing/2014/chart" uri="{C3380CC4-5D6E-409C-BE32-E72D297353CC}">
              <c16:uniqueId val="{00000000-4CF3-403B-9D6F-8088DF054109}"/>
            </c:ext>
          </c:extLst>
        </c:ser>
        <c:ser>
          <c:idx val="1"/>
          <c:order val="1"/>
          <c:tx>
            <c:strRef>
              <c:f>Лист1!$C$1</c:f>
              <c:strCache>
                <c:ptCount val="1"/>
                <c:pt idx="0">
                  <c:v>2021</c:v>
                </c:pt>
              </c:strCache>
            </c:strRef>
          </c:tx>
          <c:invertIfNegative val="0"/>
          <c:dLbls>
            <c:spPr>
              <a:noFill/>
              <a:ln>
                <a:noFill/>
              </a:ln>
              <a:effectLst/>
            </c:spPr>
            <c:txPr>
              <a:bodyPr rot="-5400000" vert="horz"/>
              <a:lstStyle/>
              <a:p>
                <a:pPr>
                  <a:defRPr sz="5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Лист1!$C$2:$C$36</c:f>
              <c:numCache>
                <c:formatCode>#,##0</c:formatCode>
                <c:ptCount val="35"/>
                <c:pt idx="0">
                  <c:v>12702</c:v>
                </c:pt>
                <c:pt idx="1">
                  <c:v>6686</c:v>
                </c:pt>
                <c:pt idx="2" formatCode="General">
                  <c:v>169</c:v>
                </c:pt>
                <c:pt idx="3" formatCode="General">
                  <c:v>74</c:v>
                </c:pt>
                <c:pt idx="4" formatCode="General">
                  <c:v>340</c:v>
                </c:pt>
                <c:pt idx="5" formatCode="General">
                  <c:v>415</c:v>
                </c:pt>
                <c:pt idx="6" formatCode="General">
                  <c:v>171</c:v>
                </c:pt>
                <c:pt idx="7" formatCode="General">
                  <c:v>275</c:v>
                </c:pt>
                <c:pt idx="8" formatCode="General">
                  <c:v>79</c:v>
                </c:pt>
                <c:pt idx="9" formatCode="General">
                  <c:v>106</c:v>
                </c:pt>
                <c:pt idx="10" formatCode="General">
                  <c:v>172</c:v>
                </c:pt>
                <c:pt idx="11" formatCode="General">
                  <c:v>213</c:v>
                </c:pt>
                <c:pt idx="12">
                  <c:v>797</c:v>
                </c:pt>
                <c:pt idx="13">
                  <c:v>331</c:v>
                </c:pt>
                <c:pt idx="14" formatCode="General">
                  <c:v>82</c:v>
                </c:pt>
                <c:pt idx="15">
                  <c:v>209</c:v>
                </c:pt>
                <c:pt idx="16">
                  <c:v>56</c:v>
                </c:pt>
                <c:pt idx="17">
                  <c:v>320</c:v>
                </c:pt>
                <c:pt idx="18">
                  <c:v>40</c:v>
                </c:pt>
                <c:pt idx="19">
                  <c:v>91</c:v>
                </c:pt>
                <c:pt idx="20">
                  <c:v>433</c:v>
                </c:pt>
                <c:pt idx="21">
                  <c:v>177</c:v>
                </c:pt>
                <c:pt idx="22">
                  <c:v>432</c:v>
                </c:pt>
                <c:pt idx="23">
                  <c:v>76</c:v>
                </c:pt>
                <c:pt idx="24">
                  <c:v>82</c:v>
                </c:pt>
                <c:pt idx="25">
                  <c:v>97</c:v>
                </c:pt>
                <c:pt idx="26">
                  <c:v>234</c:v>
                </c:pt>
                <c:pt idx="27">
                  <c:v>818</c:v>
                </c:pt>
                <c:pt idx="28">
                  <c:v>27</c:v>
                </c:pt>
                <c:pt idx="29">
                  <c:v>186</c:v>
                </c:pt>
                <c:pt idx="30">
                  <c:v>288</c:v>
                </c:pt>
                <c:pt idx="31">
                  <c:v>101</c:v>
                </c:pt>
                <c:pt idx="32">
                  <c:v>63</c:v>
                </c:pt>
                <c:pt idx="33">
                  <c:v>305</c:v>
                </c:pt>
                <c:pt idx="34">
                  <c:v>1073</c:v>
                </c:pt>
              </c:numCache>
            </c:numRef>
          </c:val>
          <c:extLst xmlns:c16r2="http://schemas.microsoft.com/office/drawing/2015/06/chart">
            <c:ext xmlns:c16="http://schemas.microsoft.com/office/drawing/2014/chart" uri="{C3380CC4-5D6E-409C-BE32-E72D297353CC}">
              <c16:uniqueId val="{00000001-4CF3-403B-9D6F-8088DF054109}"/>
            </c:ext>
          </c:extLst>
        </c:ser>
        <c:dLbls>
          <c:showLegendKey val="0"/>
          <c:showVal val="0"/>
          <c:showCatName val="0"/>
          <c:showSerName val="0"/>
          <c:showPercent val="0"/>
          <c:showBubbleSize val="0"/>
        </c:dLbls>
        <c:gapWidth val="150"/>
        <c:axId val="380914160"/>
        <c:axId val="380914552"/>
      </c:barChart>
      <c:catAx>
        <c:axId val="380914160"/>
        <c:scaling>
          <c:orientation val="minMax"/>
        </c:scaling>
        <c:delete val="0"/>
        <c:axPos val="b"/>
        <c:numFmt formatCode="General" sourceLinked="0"/>
        <c:majorTickMark val="out"/>
        <c:minorTickMark val="none"/>
        <c:tickLblPos val="nextTo"/>
        <c:txPr>
          <a:bodyPr/>
          <a:lstStyle/>
          <a:p>
            <a:pPr>
              <a:defRPr sz="700"/>
            </a:pPr>
            <a:endParaRPr lang="ru-RU"/>
          </a:p>
        </c:txPr>
        <c:crossAx val="380914552"/>
        <c:crosses val="autoZero"/>
        <c:auto val="1"/>
        <c:lblAlgn val="ctr"/>
        <c:lblOffset val="100"/>
        <c:noMultiLvlLbl val="0"/>
      </c:catAx>
      <c:valAx>
        <c:axId val="380914552"/>
        <c:scaling>
          <c:orientation val="minMax"/>
        </c:scaling>
        <c:delete val="1"/>
        <c:axPos val="l"/>
        <c:majorGridlines/>
        <c:numFmt formatCode="#,##0" sourceLinked="1"/>
        <c:majorTickMark val="out"/>
        <c:minorTickMark val="none"/>
        <c:tickLblPos val="none"/>
        <c:crossAx val="380914160"/>
        <c:crosses val="autoZero"/>
        <c:crossBetween val="between"/>
      </c:valAx>
    </c:plotArea>
    <c:legend>
      <c:legendPos val="l"/>
      <c:layout>
        <c:manualLayout>
          <c:xMode val="edge"/>
          <c:yMode val="edge"/>
          <c:x val="0"/>
          <c:y val="0.47452569279274365"/>
          <c:w val="6.1888058494086157E-2"/>
          <c:h val="0.14510521283572891"/>
        </c:manualLayout>
      </c:layout>
      <c:overlay val="0"/>
      <c:txPr>
        <a:bodyPr/>
        <a:lstStyle/>
        <a:p>
          <a:pPr>
            <a:defRPr sz="700"/>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a:pPr>
            <a:r>
              <a:rPr lang="ro-MD" sz="800"/>
              <a:t>Investiții realizate în anii 2014-2022, ponderea în </a:t>
            </a:r>
            <a:r>
              <a:rPr lang="ro-MD" sz="800" b="1"/>
              <a:t>%</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dLbls>
            <c:dLbl>
              <c:idx val="0"/>
              <c:spPr/>
              <c:txPr>
                <a:bodyPr/>
                <a:lstStyle/>
                <a:p>
                  <a:pPr>
                    <a:defRPr b="1">
                      <a:solidFill>
                        <a:schemeClr val="bg1"/>
                      </a:solidFill>
                    </a:defRPr>
                  </a:pPr>
                  <a:endParaRPr lang="ru-RU"/>
                </a:p>
              </c:txPr>
              <c:showLegendKey val="0"/>
              <c:showVal val="0"/>
              <c:showCatName val="0"/>
              <c:showSerName val="0"/>
              <c:showPercent val="1"/>
              <c:showBubbleSize val="0"/>
            </c:dLbl>
            <c:dLbl>
              <c:idx val="1"/>
              <c:spPr/>
              <c:txPr>
                <a:bodyPr/>
                <a:lstStyle/>
                <a:p>
                  <a:pPr>
                    <a:defRPr b="1">
                      <a:solidFill>
                        <a:schemeClr val="bg1"/>
                      </a:solidFill>
                    </a:defRPr>
                  </a:pPr>
                  <a:endParaRPr lang="ru-RU"/>
                </a:p>
              </c:txPr>
              <c:showLegendKey val="0"/>
              <c:showVal val="0"/>
              <c:showCatName val="0"/>
              <c:showSerName val="0"/>
              <c:showPercent val="1"/>
              <c:showBubbleSize val="0"/>
            </c:dLbl>
            <c:dLbl>
              <c:idx val="4"/>
              <c:spPr/>
              <c:txPr>
                <a:bodyPr/>
                <a:lstStyle/>
                <a:p>
                  <a:pPr>
                    <a:defRPr b="1">
                      <a:solidFill>
                        <a:schemeClr val="bg1"/>
                      </a:solidFill>
                    </a:defRPr>
                  </a:pPr>
                  <a:endParaRPr lang="ru-RU"/>
                </a:p>
              </c:txPr>
              <c:showLegendKey val="0"/>
              <c:showVal val="0"/>
              <c:showCatName val="0"/>
              <c:showSerName val="0"/>
              <c:showPercent val="1"/>
              <c:showBubbleSize val="0"/>
            </c:dLbl>
            <c:spPr>
              <a:noFill/>
              <a:ln>
                <a:noFill/>
              </a:ln>
              <a:effectLst/>
            </c:spPr>
            <c:txPr>
              <a:bodyPr/>
              <a:lstStyle/>
              <a:p>
                <a:pPr>
                  <a:defRPr b="1"/>
                </a:pPr>
                <a:endParaRPr lang="ru-RU"/>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Лист1!$A$2:$A$6</c:f>
              <c:strCache>
                <c:ptCount val="5"/>
                <c:pt idx="0">
                  <c:v>FNDR</c:v>
                </c:pt>
                <c:pt idx="1">
                  <c:v>FEN</c:v>
                </c:pt>
                <c:pt idx="2">
                  <c:v>FNDAMR</c:v>
                </c:pt>
                <c:pt idx="3">
                  <c:v>FNDRL </c:v>
                </c:pt>
                <c:pt idx="4">
                  <c:v>Surse externe</c:v>
                </c:pt>
              </c:strCache>
            </c:strRef>
          </c:cat>
          <c:val>
            <c:numRef>
              <c:f>Лист1!$B$2:$B$6</c:f>
              <c:numCache>
                <c:formatCode>#,##0.0</c:formatCode>
                <c:ptCount val="5"/>
                <c:pt idx="0">
                  <c:v>716.5</c:v>
                </c:pt>
                <c:pt idx="1">
                  <c:v>2350.1999999999998</c:v>
                </c:pt>
                <c:pt idx="2">
                  <c:v>27</c:v>
                </c:pt>
                <c:pt idx="3">
                  <c:v>178.9</c:v>
                </c:pt>
                <c:pt idx="4">
                  <c:v>1405.9</c:v>
                </c:pt>
              </c:numCache>
            </c:numRef>
          </c:val>
          <c:extLst xmlns:c16r2="http://schemas.microsoft.com/office/drawing/2015/06/chart">
            <c:ext xmlns:c16="http://schemas.microsoft.com/office/drawing/2014/chart" uri="{C3380CC4-5D6E-409C-BE32-E72D297353CC}">
              <c16:uniqueId val="{00000003-63F4-4EA5-8DC8-DAD544C6260E}"/>
            </c:ext>
          </c:extLst>
        </c:ser>
        <c:dLbls>
          <c:showLegendKey val="0"/>
          <c:showVal val="0"/>
          <c:showCatName val="0"/>
          <c:showSerName val="0"/>
          <c:showPercent val="1"/>
          <c:showBubbleSize val="0"/>
          <c:showLeaderLines val="1"/>
        </c:dLbls>
      </c:pie3DChart>
    </c:plotArea>
    <c:legend>
      <c:legendPos val="b"/>
      <c:overlay val="0"/>
      <c:txPr>
        <a:bodyPr/>
        <a:lstStyle/>
        <a:p>
          <a:pPr>
            <a:defRPr sz="800"/>
          </a:pPr>
          <a:endParaRPr lang="ru-RU"/>
        </a:p>
      </c:txPr>
    </c:legend>
    <c:plotVisOnly val="1"/>
    <c:dispBlanksAs val="zero"/>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x-none" sz="1000"/>
              <a:t>Gradul de uzură (%)</a:t>
            </a:r>
            <a:r>
              <a:rPr lang="x-none" sz="1000" baseline="0"/>
              <a:t> a construcțiilor speciale, 2019 </a:t>
            </a:r>
            <a:endParaRPr lang="en-US" sz="10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2650056625141596E-2"/>
          <c:y val="0.16505485994578517"/>
          <c:w val="0.95016987542469034"/>
          <c:h val="0.488814594896951"/>
        </c:manualLayout>
      </c:layout>
      <c:bar3DChart>
        <c:barDir val="col"/>
        <c:grouping val="clustered"/>
        <c:varyColors val="0"/>
        <c:ser>
          <c:idx val="0"/>
          <c:order val="0"/>
          <c:tx>
            <c:strRef>
              <c:f>Лист1!$B$1</c:f>
              <c:strCache>
                <c:ptCount val="1"/>
                <c:pt idx="0">
                  <c:v>% pierderi  mii m3</c:v>
                </c:pt>
              </c:strCache>
            </c:strRef>
          </c:tx>
          <c:spPr>
            <a:solidFill>
              <a:srgbClr val="00B0F0"/>
            </a:solidFill>
          </c:spPr>
          <c:invertIfNegative val="0"/>
          <c:dLbls>
            <c:dLbl>
              <c:idx val="0"/>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1"/>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2"/>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3"/>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9"/>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14"/>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29"/>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Лист1!$A$2:$A$32</c:f>
              <c:strCache>
                <c:ptCount val="31"/>
                <c:pt idx="0">
                  <c:v> CHISINAU</c:v>
                </c:pt>
                <c:pt idx="1">
                  <c:v>Bălți</c:v>
                </c:pt>
                <c:pt idx="2">
                  <c:v>CANTEMIR</c:v>
                </c:pt>
                <c:pt idx="3">
                  <c:v>CAHUL</c:v>
                </c:pt>
                <c:pt idx="4">
                  <c:v> Ungheni</c:v>
                </c:pt>
                <c:pt idx="5">
                  <c:v>ACVA-NORD</c:v>
                </c:pt>
                <c:pt idx="6">
                  <c:v>ORHEI</c:v>
                </c:pt>
                <c:pt idx="7">
                  <c:v>VULCANESTI</c:v>
                </c:pt>
                <c:pt idx="8">
                  <c:v> HINCESTI</c:v>
                </c:pt>
                <c:pt idx="9">
                  <c:v> STEFAN  VODA</c:v>
                </c:pt>
                <c:pt idx="10">
                  <c:v>TELENESTI</c:v>
                </c:pt>
                <c:pt idx="11">
                  <c:v>ANENII NOI</c:v>
                </c:pt>
                <c:pt idx="12">
                  <c:v> FLORESTI</c:v>
                </c:pt>
                <c:pt idx="13">
                  <c:v>CAUSENI</c:v>
                </c:pt>
                <c:pt idx="14">
                  <c:v>TARACLIA</c:v>
                </c:pt>
                <c:pt idx="15">
                  <c:v> DROCHIA</c:v>
                </c:pt>
                <c:pt idx="16">
                  <c:v>SOROCA</c:v>
                </c:pt>
                <c:pt idx="17">
                  <c:v>RISCANI</c:v>
                </c:pt>
                <c:pt idx="18">
                  <c:v>LEOVA</c:v>
                </c:pt>
                <c:pt idx="19">
                  <c:v> OCNITA</c:v>
                </c:pt>
                <c:pt idx="20">
                  <c:v>IntSINGEREI</c:v>
                </c:pt>
                <c:pt idx="21">
                  <c:v>BRICENI</c:v>
                </c:pt>
                <c:pt idx="22">
                  <c:v>FALESTI</c:v>
                </c:pt>
                <c:pt idx="23">
                  <c:v>CIMISLIA</c:v>
                </c:pt>
                <c:pt idx="24">
                  <c:v>COMRAT,</c:v>
                </c:pt>
                <c:pt idx="25">
                  <c:v>REZINA</c:v>
                </c:pt>
                <c:pt idx="26">
                  <c:v>CRIULENI</c:v>
                </c:pt>
                <c:pt idx="27">
                  <c:v>GLODENI</c:v>
                </c:pt>
                <c:pt idx="28">
                  <c:v>Straseni </c:v>
                </c:pt>
                <c:pt idx="29">
                  <c:v>Edinet</c:v>
                </c:pt>
                <c:pt idx="30">
                  <c:v> NISPORENI</c:v>
                </c:pt>
              </c:strCache>
            </c:strRef>
          </c:cat>
          <c:val>
            <c:numRef>
              <c:f>Лист1!$B$2:$B$32</c:f>
              <c:numCache>
                <c:formatCode>0.0%</c:formatCode>
                <c:ptCount val="31"/>
                <c:pt idx="0">
                  <c:v>0.83500000000000063</c:v>
                </c:pt>
                <c:pt idx="1">
                  <c:v>0.96300000000000063</c:v>
                </c:pt>
                <c:pt idx="2">
                  <c:v>0.85500000000000065</c:v>
                </c:pt>
                <c:pt idx="3">
                  <c:v>0.95800000000000063</c:v>
                </c:pt>
                <c:pt idx="4">
                  <c:v>0.43600000000000078</c:v>
                </c:pt>
                <c:pt idx="5">
                  <c:v>0.69000000000000061</c:v>
                </c:pt>
                <c:pt idx="6">
                  <c:v>0.67000000000000204</c:v>
                </c:pt>
                <c:pt idx="7">
                  <c:v>0.73000000000000065</c:v>
                </c:pt>
                <c:pt idx="8">
                  <c:v>0.26</c:v>
                </c:pt>
                <c:pt idx="9">
                  <c:v>0.89400000000000002</c:v>
                </c:pt>
                <c:pt idx="10">
                  <c:v>0.54200000000000004</c:v>
                </c:pt>
                <c:pt idx="11">
                  <c:v>0.46800000000000008</c:v>
                </c:pt>
                <c:pt idx="12">
                  <c:v>0.43000000000000038</c:v>
                </c:pt>
                <c:pt idx="13">
                  <c:v>0.251</c:v>
                </c:pt>
                <c:pt idx="14">
                  <c:v>0.79200000000000004</c:v>
                </c:pt>
                <c:pt idx="15">
                  <c:v>0.31800000000000089</c:v>
                </c:pt>
                <c:pt idx="16">
                  <c:v>0.44400000000000001</c:v>
                </c:pt>
                <c:pt idx="17">
                  <c:v>0.14300000000000004</c:v>
                </c:pt>
                <c:pt idx="18">
                  <c:v>0.49800000000000078</c:v>
                </c:pt>
                <c:pt idx="19">
                  <c:v>0.505</c:v>
                </c:pt>
                <c:pt idx="20">
                  <c:v>0.65400000000000202</c:v>
                </c:pt>
                <c:pt idx="21">
                  <c:v>0.70900000000000063</c:v>
                </c:pt>
                <c:pt idx="22">
                  <c:v>0.33600000000000102</c:v>
                </c:pt>
                <c:pt idx="23">
                  <c:v>0.73300000000000065</c:v>
                </c:pt>
                <c:pt idx="24">
                  <c:v>0.47900000000000031</c:v>
                </c:pt>
                <c:pt idx="25">
                  <c:v>0.29300000000000032</c:v>
                </c:pt>
                <c:pt idx="26">
                  <c:v>0.63600000000000179</c:v>
                </c:pt>
                <c:pt idx="27">
                  <c:v>0.17300000000000001</c:v>
                </c:pt>
                <c:pt idx="28">
                  <c:v>0.441</c:v>
                </c:pt>
                <c:pt idx="29">
                  <c:v>0.81200000000000061</c:v>
                </c:pt>
                <c:pt idx="30">
                  <c:v>2.2000000000000016E-2</c:v>
                </c:pt>
              </c:numCache>
            </c:numRef>
          </c:val>
          <c:extLst xmlns:c16r2="http://schemas.microsoft.com/office/drawing/2015/06/chart">
            <c:ext xmlns:c16="http://schemas.microsoft.com/office/drawing/2014/chart" uri="{C3380CC4-5D6E-409C-BE32-E72D297353CC}">
              <c16:uniqueId val="{00000007-46EC-4FA7-AE5B-3B1EFB3C1C82}"/>
            </c:ext>
          </c:extLst>
        </c:ser>
        <c:dLbls>
          <c:showLegendKey val="0"/>
          <c:showVal val="0"/>
          <c:showCatName val="0"/>
          <c:showSerName val="0"/>
          <c:showPercent val="0"/>
          <c:showBubbleSize val="0"/>
        </c:dLbls>
        <c:gapWidth val="150"/>
        <c:shape val="cylinder"/>
        <c:axId val="380868264"/>
        <c:axId val="380870616"/>
        <c:axId val="0"/>
      </c:bar3DChart>
      <c:catAx>
        <c:axId val="380868264"/>
        <c:scaling>
          <c:orientation val="minMax"/>
        </c:scaling>
        <c:delete val="0"/>
        <c:axPos val="b"/>
        <c:numFmt formatCode="General" sourceLinked="0"/>
        <c:majorTickMark val="out"/>
        <c:minorTickMark val="none"/>
        <c:tickLblPos val="nextTo"/>
        <c:txPr>
          <a:bodyPr/>
          <a:lstStyle/>
          <a:p>
            <a:pPr>
              <a:defRPr sz="800"/>
            </a:pPr>
            <a:endParaRPr lang="ru-RU"/>
          </a:p>
        </c:txPr>
        <c:crossAx val="380870616"/>
        <c:crosses val="autoZero"/>
        <c:auto val="1"/>
        <c:lblAlgn val="ctr"/>
        <c:lblOffset val="100"/>
        <c:noMultiLvlLbl val="0"/>
      </c:catAx>
      <c:valAx>
        <c:axId val="380870616"/>
        <c:scaling>
          <c:orientation val="minMax"/>
        </c:scaling>
        <c:delete val="1"/>
        <c:axPos val="l"/>
        <c:majorGridlines/>
        <c:numFmt formatCode="0.0%" sourceLinked="1"/>
        <c:majorTickMark val="out"/>
        <c:minorTickMark val="none"/>
        <c:tickLblPos val="none"/>
        <c:crossAx val="380868264"/>
        <c:crosses val="autoZero"/>
        <c:crossBetween val="between"/>
      </c:valAx>
    </c:plotArea>
    <c:plotVisOnly val="1"/>
    <c:dispBlanksAs val="gap"/>
    <c:showDLblsOverMax val="0"/>
  </c:chart>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x-none" sz="1000"/>
              <a:t>Gradul de uzură (%)</a:t>
            </a:r>
            <a:r>
              <a:rPr lang="x-none" sz="1000" baseline="0"/>
              <a:t> a mijloacelor fixe primite în gestiune, 2019 </a:t>
            </a:r>
            <a:endParaRPr lang="en-US" sz="10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2.2650056625141596E-2"/>
          <c:y val="0.16505485994578517"/>
          <c:w val="0.95016987542469034"/>
          <c:h val="0.488814594896951"/>
        </c:manualLayout>
      </c:layout>
      <c:bar3DChart>
        <c:barDir val="col"/>
        <c:grouping val="clustered"/>
        <c:varyColors val="0"/>
        <c:ser>
          <c:idx val="0"/>
          <c:order val="0"/>
          <c:tx>
            <c:strRef>
              <c:f>Лист1!$B$1</c:f>
              <c:strCache>
                <c:ptCount val="1"/>
                <c:pt idx="0">
                  <c:v>% pierderi  mii m3</c:v>
                </c:pt>
              </c:strCache>
            </c:strRef>
          </c:tx>
          <c:spPr>
            <a:solidFill>
              <a:srgbClr val="00B0F0"/>
            </a:solidFill>
          </c:spPr>
          <c:invertIfNegative val="0"/>
          <c:dLbls>
            <c:dLbl>
              <c:idx val="1"/>
              <c:layout>
                <c:manualLayout>
                  <c:x val="4.1591806872538477E-3"/>
                  <c:y val="0.19216501041959072"/>
                </c:manualLayout>
              </c:layout>
              <c:spPr>
                <a:noFill/>
                <a:ln>
                  <a:noFill/>
                </a:ln>
                <a:effectLst/>
              </c:spPr>
              <c:txPr>
                <a:bodyPr rot="-5400000" vert="horz" anchor="ctr" anchorCtr="1"/>
                <a:lstStyle/>
                <a:p>
                  <a:pPr>
                    <a:defRPr sz="700" b="1">
                      <a:solidFill>
                        <a:srgbClr val="FF0000"/>
                      </a:solidFill>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DD6-4DD0-8A13-C83588CDBCF9}"/>
                </c:ext>
                <c:ext xmlns:c15="http://schemas.microsoft.com/office/drawing/2012/chart" uri="{CE6537A1-D6FC-4f65-9D91-7224C49458BB}"/>
              </c:extLst>
            </c:dLbl>
            <c:dLbl>
              <c:idx val="4"/>
              <c:layout>
                <c:manualLayout>
                  <c:x val="3.6887347772349395E-3"/>
                  <c:y val="0.18455197847000546"/>
                </c:manualLayout>
              </c:layout>
              <c:spPr>
                <a:noFill/>
                <a:ln>
                  <a:noFill/>
                </a:ln>
                <a:effectLst/>
              </c:spPr>
              <c:txPr>
                <a:bodyPr rot="-5400000" vert="horz" anchor="ctr" anchorCtr="1"/>
                <a:lstStyle/>
                <a:p>
                  <a:pPr>
                    <a:defRPr sz="700" b="1">
                      <a:solidFill>
                        <a:srgbClr val="FF0000"/>
                      </a:solidFill>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5987-411E-A64D-9B46FCDBA00A}"/>
                </c:ext>
                <c:ext xmlns:c15="http://schemas.microsoft.com/office/drawing/2012/chart" uri="{CE6537A1-D6FC-4f65-9D91-7224C49458BB}"/>
              </c:extLst>
            </c:dLbl>
            <c:dLbl>
              <c:idx val="7"/>
              <c:layout>
                <c:manualLayout>
                  <c:x val="4.1591806872538477E-3"/>
                  <c:y val="0.1921650104195907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F7C-4830-9683-19157B651565}"/>
                </c:ext>
                <c:ext xmlns:c15="http://schemas.microsoft.com/office/drawing/2012/chart" uri="{CE6537A1-D6FC-4f65-9D91-7224C49458BB}"/>
              </c:extLst>
            </c:dLbl>
            <c:dLbl>
              <c:idx val="11"/>
              <c:layout>
                <c:manualLayout>
                  <c:x val="4.6296296296295504E-3"/>
                  <c:y val="0.2244039270687237"/>
                </c:manualLayout>
              </c:layout>
              <c:spPr>
                <a:noFill/>
                <a:ln>
                  <a:noFill/>
                </a:ln>
                <a:effectLst/>
              </c:spPr>
              <c:txPr>
                <a:bodyPr rot="-5400000" vert="horz" anchor="ctr" anchorCtr="1"/>
                <a:lstStyle/>
                <a:p>
                  <a:pPr>
                    <a:defRPr sz="700" b="1">
                      <a:solidFill>
                        <a:srgbClr val="FF0000"/>
                      </a:solidFill>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987-411E-A64D-9B46FCDBA00A}"/>
                </c:ext>
                <c:ext xmlns:c15="http://schemas.microsoft.com/office/drawing/2012/chart" uri="{CE6537A1-D6FC-4f65-9D91-7224C49458BB}">
                  <c15:layout>
                    <c:manualLayout>
                      <c:w val="6.3761665208515603E-2"/>
                      <c:h val="0.13217391304347825"/>
                    </c:manualLayout>
                  </c15:layout>
                </c:ext>
              </c:extLst>
            </c:dLbl>
            <c:spPr>
              <a:noFill/>
              <a:ln>
                <a:noFill/>
              </a:ln>
              <a:effectLst/>
            </c:spPr>
            <c:txPr>
              <a:bodyPr rot="-5400000" vert="horz" anchor="ctr" anchorCtr="1"/>
              <a:lstStyle/>
              <a:p>
                <a:pPr>
                  <a:defRPr sz="700" b="1">
                    <a:solidFill>
                      <a:sysClr val="windowText" lastClr="000000"/>
                    </a:solidFill>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Лист1!$A$2:$A$15</c:f>
              <c:strCache>
                <c:ptCount val="14"/>
                <c:pt idx="0">
                  <c:v>CANTEMIR</c:v>
                </c:pt>
                <c:pt idx="1">
                  <c:v> Ungheni</c:v>
                </c:pt>
                <c:pt idx="2">
                  <c:v>ORHEI</c:v>
                </c:pt>
                <c:pt idx="3">
                  <c:v> STEFAN  VODA</c:v>
                </c:pt>
                <c:pt idx="4">
                  <c:v>ANENII NOI</c:v>
                </c:pt>
                <c:pt idx="5">
                  <c:v>SOROCA</c:v>
                </c:pt>
                <c:pt idx="6">
                  <c:v>RISCANI</c:v>
                </c:pt>
                <c:pt idx="7">
                  <c:v> OCNITA</c:v>
                </c:pt>
                <c:pt idx="8">
                  <c:v>SINGEREI</c:v>
                </c:pt>
                <c:pt idx="9">
                  <c:v>REZINA</c:v>
                </c:pt>
                <c:pt idx="10">
                  <c:v>CRIULENI</c:v>
                </c:pt>
                <c:pt idx="11">
                  <c:v>Calarași</c:v>
                </c:pt>
                <c:pt idx="12">
                  <c:v>Glodeni</c:v>
                </c:pt>
                <c:pt idx="13">
                  <c:v>Strășeni</c:v>
                </c:pt>
              </c:strCache>
            </c:strRef>
          </c:cat>
          <c:val>
            <c:numRef>
              <c:f>Лист1!$B$2:$B$15</c:f>
              <c:numCache>
                <c:formatCode>0.0%</c:formatCode>
                <c:ptCount val="14"/>
                <c:pt idx="0">
                  <c:v>0.53799999999999992</c:v>
                </c:pt>
                <c:pt idx="1">
                  <c:v>0.87600000000000156</c:v>
                </c:pt>
                <c:pt idx="2">
                  <c:v>1.8000000000000023E-2</c:v>
                </c:pt>
                <c:pt idx="3">
                  <c:v>0.59200000000000008</c:v>
                </c:pt>
                <c:pt idx="4">
                  <c:v>0.95000000000000062</c:v>
                </c:pt>
                <c:pt idx="5">
                  <c:v>4.4000000000000032E-2</c:v>
                </c:pt>
                <c:pt idx="6">
                  <c:v>0.46300000000000002</c:v>
                </c:pt>
                <c:pt idx="7">
                  <c:v>0.75000000000000167</c:v>
                </c:pt>
                <c:pt idx="8">
                  <c:v>5.4000000000000034E-2</c:v>
                </c:pt>
                <c:pt idx="9">
                  <c:v>0.19400000000000001</c:v>
                </c:pt>
                <c:pt idx="10">
                  <c:v>0.10600000000000002</c:v>
                </c:pt>
                <c:pt idx="11">
                  <c:v>0.98199999999999998</c:v>
                </c:pt>
                <c:pt idx="12">
                  <c:v>1.3999999999999999E-2</c:v>
                </c:pt>
                <c:pt idx="13">
                  <c:v>0.10600000000000002</c:v>
                </c:pt>
              </c:numCache>
            </c:numRef>
          </c:val>
          <c:extLst xmlns:c16r2="http://schemas.microsoft.com/office/drawing/2015/06/chart">
            <c:ext xmlns:c16="http://schemas.microsoft.com/office/drawing/2014/chart" uri="{C3380CC4-5D6E-409C-BE32-E72D297353CC}">
              <c16:uniqueId val="{00000003-5987-411E-A64D-9B46FCDBA00A}"/>
            </c:ext>
          </c:extLst>
        </c:ser>
        <c:dLbls>
          <c:showLegendKey val="0"/>
          <c:showVal val="0"/>
          <c:showCatName val="0"/>
          <c:showSerName val="0"/>
          <c:showPercent val="0"/>
          <c:showBubbleSize val="0"/>
        </c:dLbls>
        <c:gapWidth val="150"/>
        <c:shape val="cylinder"/>
        <c:axId val="380866696"/>
        <c:axId val="380868656"/>
        <c:axId val="0"/>
      </c:bar3DChart>
      <c:catAx>
        <c:axId val="380866696"/>
        <c:scaling>
          <c:orientation val="minMax"/>
        </c:scaling>
        <c:delete val="0"/>
        <c:axPos val="b"/>
        <c:numFmt formatCode="General" sourceLinked="0"/>
        <c:majorTickMark val="out"/>
        <c:minorTickMark val="none"/>
        <c:tickLblPos val="nextTo"/>
        <c:txPr>
          <a:bodyPr/>
          <a:lstStyle/>
          <a:p>
            <a:pPr>
              <a:defRPr sz="700"/>
            </a:pPr>
            <a:endParaRPr lang="ru-RU"/>
          </a:p>
        </c:txPr>
        <c:crossAx val="380868656"/>
        <c:crosses val="autoZero"/>
        <c:auto val="1"/>
        <c:lblAlgn val="ctr"/>
        <c:lblOffset val="100"/>
        <c:noMultiLvlLbl val="0"/>
      </c:catAx>
      <c:valAx>
        <c:axId val="380868656"/>
        <c:scaling>
          <c:orientation val="minMax"/>
        </c:scaling>
        <c:delete val="1"/>
        <c:axPos val="l"/>
        <c:majorGridlines/>
        <c:numFmt formatCode="0.0%" sourceLinked="1"/>
        <c:majorTickMark val="out"/>
        <c:minorTickMark val="none"/>
        <c:tickLblPos val="none"/>
        <c:crossAx val="380866696"/>
        <c:crosses val="autoZero"/>
        <c:crossBetween val="between"/>
      </c:valAx>
    </c:plotArea>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800"/>
              <a:t>Numărul sistemelor de canalizare</a:t>
            </a:r>
            <a:r>
              <a:rPr lang="ro-RO" sz="800" baseline="0"/>
              <a:t>, </a:t>
            </a:r>
            <a:r>
              <a:rPr lang="ro-RO" sz="800"/>
              <a:t>2016-2021</a:t>
            </a:r>
            <a:endParaRPr lang="ru-RU" sz="800"/>
          </a:p>
        </c:rich>
      </c:tx>
      <c:overlay val="0"/>
    </c:title>
    <c:autoTitleDeleted val="0"/>
    <c:plotArea>
      <c:layout>
        <c:manualLayout>
          <c:layoutTarget val="inner"/>
          <c:xMode val="edge"/>
          <c:yMode val="edge"/>
          <c:x val="0.10612253474720471"/>
          <c:y val="0.13196442548564194"/>
          <c:w val="0.87238662875473849"/>
          <c:h val="0.59516872890888639"/>
        </c:manualLayout>
      </c:layout>
      <c:barChart>
        <c:barDir val="col"/>
        <c:grouping val="clustered"/>
        <c:varyColors val="0"/>
        <c:ser>
          <c:idx val="0"/>
          <c:order val="0"/>
          <c:tx>
            <c:strRef>
              <c:f>Лист1!$B$1</c:f>
              <c:strCache>
                <c:ptCount val="1"/>
                <c:pt idx="0">
                  <c:v>2016</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Лист1!$B$2:$B$36</c:f>
              <c:numCache>
                <c:formatCode>General</c:formatCode>
                <c:ptCount val="35"/>
                <c:pt idx="0">
                  <c:v>11</c:v>
                </c:pt>
                <c:pt idx="1">
                  <c:v>2</c:v>
                </c:pt>
                <c:pt idx="3">
                  <c:v>4</c:v>
                </c:pt>
                <c:pt idx="4">
                  <c:v>2</c:v>
                </c:pt>
                <c:pt idx="5">
                  <c:v>4</c:v>
                </c:pt>
                <c:pt idx="6">
                  <c:v>1</c:v>
                </c:pt>
                <c:pt idx="7">
                  <c:v>3</c:v>
                </c:pt>
                <c:pt idx="8">
                  <c:v>2</c:v>
                </c:pt>
                <c:pt idx="9">
                  <c:v>3</c:v>
                </c:pt>
                <c:pt idx="10">
                  <c:v>4</c:v>
                </c:pt>
                <c:pt idx="11">
                  <c:v>4</c:v>
                </c:pt>
                <c:pt idx="12">
                  <c:v>1</c:v>
                </c:pt>
                <c:pt idx="13">
                  <c:v>14</c:v>
                </c:pt>
                <c:pt idx="14">
                  <c:v>5</c:v>
                </c:pt>
                <c:pt idx="15">
                  <c:v>5</c:v>
                </c:pt>
                <c:pt idx="16">
                  <c:v>1</c:v>
                </c:pt>
                <c:pt idx="17">
                  <c:v>2</c:v>
                </c:pt>
                <c:pt idx="18">
                  <c:v>6</c:v>
                </c:pt>
                <c:pt idx="19">
                  <c:v>2</c:v>
                </c:pt>
                <c:pt idx="20">
                  <c:v>6</c:v>
                </c:pt>
                <c:pt idx="21">
                  <c:v>1</c:v>
                </c:pt>
                <c:pt idx="22">
                  <c:v>7</c:v>
                </c:pt>
                <c:pt idx="23">
                  <c:v>1</c:v>
                </c:pt>
                <c:pt idx="24">
                  <c:v>2</c:v>
                </c:pt>
                <c:pt idx="25">
                  <c:v>3</c:v>
                </c:pt>
                <c:pt idx="26">
                  <c:v>1</c:v>
                </c:pt>
                <c:pt idx="27">
                  <c:v>5</c:v>
                </c:pt>
                <c:pt idx="28">
                  <c:v>1</c:v>
                </c:pt>
                <c:pt idx="29">
                  <c:v>1</c:v>
                </c:pt>
                <c:pt idx="30">
                  <c:v>7</c:v>
                </c:pt>
                <c:pt idx="31">
                  <c:v>2</c:v>
                </c:pt>
                <c:pt idx="32">
                  <c:v>5</c:v>
                </c:pt>
                <c:pt idx="33">
                  <c:v>3</c:v>
                </c:pt>
                <c:pt idx="34">
                  <c:v>8</c:v>
                </c:pt>
              </c:numCache>
            </c:numRef>
          </c:val>
          <c:extLst xmlns:c16r2="http://schemas.microsoft.com/office/drawing/2015/06/chart">
            <c:ext xmlns:c16="http://schemas.microsoft.com/office/drawing/2014/chart" uri="{C3380CC4-5D6E-409C-BE32-E72D297353CC}">
              <c16:uniqueId val="{00000000-4F69-485D-B822-357C7B0A9C0D}"/>
            </c:ext>
          </c:extLst>
        </c:ser>
        <c:ser>
          <c:idx val="1"/>
          <c:order val="1"/>
          <c:tx>
            <c:strRef>
              <c:f>Лист1!$C$1</c:f>
              <c:strCache>
                <c:ptCount val="1"/>
                <c:pt idx="0">
                  <c:v>2021</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Лист1!$C$2:$C$36</c:f>
              <c:numCache>
                <c:formatCode>General</c:formatCode>
                <c:ptCount val="35"/>
                <c:pt idx="0">
                  <c:v>10</c:v>
                </c:pt>
                <c:pt idx="1">
                  <c:v>2</c:v>
                </c:pt>
                <c:pt idx="3">
                  <c:v>4</c:v>
                </c:pt>
                <c:pt idx="4">
                  <c:v>2</c:v>
                </c:pt>
                <c:pt idx="5">
                  <c:v>4</c:v>
                </c:pt>
                <c:pt idx="6">
                  <c:v>1</c:v>
                </c:pt>
                <c:pt idx="7">
                  <c:v>4</c:v>
                </c:pt>
                <c:pt idx="8">
                  <c:v>1</c:v>
                </c:pt>
                <c:pt idx="9">
                  <c:v>4</c:v>
                </c:pt>
                <c:pt idx="10">
                  <c:v>4</c:v>
                </c:pt>
                <c:pt idx="11">
                  <c:v>4</c:v>
                </c:pt>
                <c:pt idx="12">
                  <c:v>1</c:v>
                </c:pt>
                <c:pt idx="13">
                  <c:v>12</c:v>
                </c:pt>
                <c:pt idx="14">
                  <c:v>10</c:v>
                </c:pt>
                <c:pt idx="15">
                  <c:v>6</c:v>
                </c:pt>
                <c:pt idx="16">
                  <c:v>2</c:v>
                </c:pt>
                <c:pt idx="17">
                  <c:v>4</c:v>
                </c:pt>
                <c:pt idx="18">
                  <c:v>7</c:v>
                </c:pt>
                <c:pt idx="19">
                  <c:v>3</c:v>
                </c:pt>
                <c:pt idx="20">
                  <c:v>6</c:v>
                </c:pt>
                <c:pt idx="21">
                  <c:v>1</c:v>
                </c:pt>
                <c:pt idx="22">
                  <c:v>4</c:v>
                </c:pt>
                <c:pt idx="23">
                  <c:v>4</c:v>
                </c:pt>
                <c:pt idx="24">
                  <c:v>3</c:v>
                </c:pt>
                <c:pt idx="25">
                  <c:v>3</c:v>
                </c:pt>
                <c:pt idx="26">
                  <c:v>1</c:v>
                </c:pt>
                <c:pt idx="27">
                  <c:v>4</c:v>
                </c:pt>
                <c:pt idx="28">
                  <c:v>1</c:v>
                </c:pt>
                <c:pt idx="29">
                  <c:v>2</c:v>
                </c:pt>
                <c:pt idx="30">
                  <c:v>2</c:v>
                </c:pt>
                <c:pt idx="31">
                  <c:v>4</c:v>
                </c:pt>
                <c:pt idx="32">
                  <c:v>2</c:v>
                </c:pt>
                <c:pt idx="33">
                  <c:v>3</c:v>
                </c:pt>
                <c:pt idx="34">
                  <c:v>8</c:v>
                </c:pt>
              </c:numCache>
            </c:numRef>
          </c:val>
          <c:extLst xmlns:c16r2="http://schemas.microsoft.com/office/drawing/2015/06/chart">
            <c:ext xmlns:c16="http://schemas.microsoft.com/office/drawing/2014/chart" uri="{C3380CC4-5D6E-409C-BE32-E72D297353CC}">
              <c16:uniqueId val="{00000001-4F69-485D-B822-357C7B0A9C0D}"/>
            </c:ext>
          </c:extLst>
        </c:ser>
        <c:dLbls>
          <c:showLegendKey val="0"/>
          <c:showVal val="0"/>
          <c:showCatName val="0"/>
          <c:showSerName val="0"/>
          <c:showPercent val="0"/>
          <c:showBubbleSize val="0"/>
        </c:dLbls>
        <c:gapWidth val="150"/>
        <c:axId val="380867480"/>
        <c:axId val="380867088"/>
      </c:barChart>
      <c:catAx>
        <c:axId val="380867480"/>
        <c:scaling>
          <c:orientation val="minMax"/>
        </c:scaling>
        <c:delete val="0"/>
        <c:axPos val="b"/>
        <c:numFmt formatCode="General" sourceLinked="0"/>
        <c:majorTickMark val="out"/>
        <c:minorTickMark val="none"/>
        <c:tickLblPos val="nextTo"/>
        <c:txPr>
          <a:bodyPr/>
          <a:lstStyle/>
          <a:p>
            <a:pPr>
              <a:defRPr sz="700"/>
            </a:pPr>
            <a:endParaRPr lang="ru-RU"/>
          </a:p>
        </c:txPr>
        <c:crossAx val="380867088"/>
        <c:crosses val="autoZero"/>
        <c:auto val="1"/>
        <c:lblAlgn val="ctr"/>
        <c:lblOffset val="100"/>
        <c:noMultiLvlLbl val="0"/>
      </c:catAx>
      <c:valAx>
        <c:axId val="380867088"/>
        <c:scaling>
          <c:orientation val="minMax"/>
        </c:scaling>
        <c:delete val="1"/>
        <c:axPos val="l"/>
        <c:majorGridlines/>
        <c:numFmt formatCode="General" sourceLinked="1"/>
        <c:majorTickMark val="out"/>
        <c:minorTickMark val="none"/>
        <c:tickLblPos val="none"/>
        <c:crossAx val="380867480"/>
        <c:crosses val="autoZero"/>
        <c:crossBetween val="between"/>
      </c:valAx>
    </c:plotArea>
    <c:legend>
      <c:legendPos val="l"/>
      <c:overlay val="0"/>
      <c:txPr>
        <a:bodyPr/>
        <a:lstStyle/>
        <a:p>
          <a:pPr>
            <a:defRPr sz="700"/>
          </a:pPr>
          <a:endParaRPr lang="ru-RU"/>
        </a:p>
      </c:txPr>
    </c:legend>
    <c:plotVisOnly val="1"/>
    <c:dispBlanksAs val="gap"/>
    <c:showDLblsOverMax val="0"/>
  </c:chart>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800"/>
              <a:t>Numărul stațiilor de tratare a apei, pe raioane, anii 2016-2021</a:t>
            </a:r>
            <a:endParaRPr lang="ru-RU" sz="800"/>
          </a:p>
        </c:rich>
      </c:tx>
      <c:overlay val="0"/>
    </c:title>
    <c:autoTitleDeleted val="0"/>
    <c:plotArea>
      <c:layout>
        <c:manualLayout>
          <c:layoutTarget val="inner"/>
          <c:xMode val="edge"/>
          <c:yMode val="edge"/>
          <c:x val="0.10612256052143942"/>
          <c:y val="0.12617151904736368"/>
          <c:w val="0.87238662875473849"/>
          <c:h val="0.59516872890888639"/>
        </c:manualLayout>
      </c:layout>
      <c:barChart>
        <c:barDir val="col"/>
        <c:grouping val="clustered"/>
        <c:varyColors val="0"/>
        <c:ser>
          <c:idx val="0"/>
          <c:order val="0"/>
          <c:tx>
            <c:strRef>
              <c:f>Лист1!$B$1</c:f>
              <c:strCache>
                <c:ptCount val="1"/>
                <c:pt idx="0">
                  <c:v>2016</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Лист1!$B$2:$B$36</c:f>
              <c:numCache>
                <c:formatCode>General</c:formatCode>
                <c:ptCount val="35"/>
                <c:pt idx="0">
                  <c:v>2</c:v>
                </c:pt>
                <c:pt idx="1">
                  <c:v>0</c:v>
                </c:pt>
                <c:pt idx="2">
                  <c:v>0</c:v>
                </c:pt>
                <c:pt idx="3">
                  <c:v>5</c:v>
                </c:pt>
                <c:pt idx="4">
                  <c:v>0</c:v>
                </c:pt>
                <c:pt idx="5">
                  <c:v>1</c:v>
                </c:pt>
                <c:pt idx="6">
                  <c:v>0</c:v>
                </c:pt>
                <c:pt idx="7">
                  <c:v>2</c:v>
                </c:pt>
                <c:pt idx="8">
                  <c:v>0</c:v>
                </c:pt>
                <c:pt idx="9">
                  <c:v>0</c:v>
                </c:pt>
                <c:pt idx="10">
                  <c:v>0</c:v>
                </c:pt>
                <c:pt idx="11">
                  <c:v>0</c:v>
                </c:pt>
                <c:pt idx="12">
                  <c:v>1</c:v>
                </c:pt>
                <c:pt idx="13">
                  <c:v>9</c:v>
                </c:pt>
                <c:pt idx="14">
                  <c:v>0</c:v>
                </c:pt>
                <c:pt idx="15">
                  <c:v>1</c:v>
                </c:pt>
                <c:pt idx="16">
                  <c:v>1</c:v>
                </c:pt>
                <c:pt idx="17">
                  <c:v>0</c:v>
                </c:pt>
                <c:pt idx="18">
                  <c:v>0</c:v>
                </c:pt>
                <c:pt idx="19">
                  <c:v>4</c:v>
                </c:pt>
                <c:pt idx="20">
                  <c:v>0</c:v>
                </c:pt>
                <c:pt idx="21">
                  <c:v>0</c:v>
                </c:pt>
                <c:pt idx="22">
                  <c:v>0</c:v>
                </c:pt>
                <c:pt idx="23">
                  <c:v>0</c:v>
                </c:pt>
                <c:pt idx="24">
                  <c:v>0</c:v>
                </c:pt>
                <c:pt idx="25">
                  <c:v>7</c:v>
                </c:pt>
                <c:pt idx="26">
                  <c:v>8</c:v>
                </c:pt>
                <c:pt idx="27">
                  <c:v>3</c:v>
                </c:pt>
                <c:pt idx="28">
                  <c:v>3</c:v>
                </c:pt>
                <c:pt idx="29">
                  <c:v>0</c:v>
                </c:pt>
                <c:pt idx="30">
                  <c:v>0</c:v>
                </c:pt>
                <c:pt idx="31">
                  <c:v>1</c:v>
                </c:pt>
                <c:pt idx="32">
                  <c:v>8</c:v>
                </c:pt>
                <c:pt idx="33">
                  <c:v>0</c:v>
                </c:pt>
                <c:pt idx="34">
                  <c:v>0</c:v>
                </c:pt>
              </c:numCache>
            </c:numRef>
          </c:val>
          <c:extLst xmlns:c16r2="http://schemas.microsoft.com/office/drawing/2015/06/chart">
            <c:ext xmlns:c16="http://schemas.microsoft.com/office/drawing/2014/chart" uri="{C3380CC4-5D6E-409C-BE32-E72D297353CC}">
              <c16:uniqueId val="{00000000-EA45-411A-99BF-0ECC67AE8DFE}"/>
            </c:ext>
          </c:extLst>
        </c:ser>
        <c:ser>
          <c:idx val="1"/>
          <c:order val="1"/>
          <c:tx>
            <c:strRef>
              <c:f>Лист1!$C$1</c:f>
              <c:strCache>
                <c:ptCount val="1"/>
                <c:pt idx="0">
                  <c:v>2021</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Лист1!$C$2:$C$36</c:f>
              <c:numCache>
                <c:formatCode>General</c:formatCode>
                <c:ptCount val="35"/>
                <c:pt idx="0">
                  <c:v>4</c:v>
                </c:pt>
                <c:pt idx="1">
                  <c:v>0</c:v>
                </c:pt>
                <c:pt idx="2">
                  <c:v>5</c:v>
                </c:pt>
                <c:pt idx="3">
                  <c:v>6</c:v>
                </c:pt>
                <c:pt idx="4">
                  <c:v>0</c:v>
                </c:pt>
                <c:pt idx="5">
                  <c:v>1</c:v>
                </c:pt>
                <c:pt idx="6">
                  <c:v>0</c:v>
                </c:pt>
                <c:pt idx="7">
                  <c:v>8</c:v>
                </c:pt>
                <c:pt idx="8">
                  <c:v>2</c:v>
                </c:pt>
                <c:pt idx="9">
                  <c:v>2</c:v>
                </c:pt>
                <c:pt idx="10">
                  <c:v>1</c:v>
                </c:pt>
                <c:pt idx="11">
                  <c:v>0</c:v>
                </c:pt>
                <c:pt idx="12">
                  <c:v>1</c:v>
                </c:pt>
                <c:pt idx="13">
                  <c:v>1</c:v>
                </c:pt>
                <c:pt idx="14">
                  <c:v>2</c:v>
                </c:pt>
                <c:pt idx="15">
                  <c:v>4</c:v>
                </c:pt>
                <c:pt idx="16">
                  <c:v>0</c:v>
                </c:pt>
                <c:pt idx="17">
                  <c:v>1</c:v>
                </c:pt>
                <c:pt idx="18">
                  <c:v>0</c:v>
                </c:pt>
                <c:pt idx="19">
                  <c:v>4</c:v>
                </c:pt>
                <c:pt idx="20">
                  <c:v>3</c:v>
                </c:pt>
                <c:pt idx="21">
                  <c:v>2</c:v>
                </c:pt>
                <c:pt idx="22">
                  <c:v>5</c:v>
                </c:pt>
                <c:pt idx="23">
                  <c:v>5</c:v>
                </c:pt>
                <c:pt idx="24">
                  <c:v>4</c:v>
                </c:pt>
                <c:pt idx="25">
                  <c:v>6</c:v>
                </c:pt>
                <c:pt idx="26">
                  <c:v>12</c:v>
                </c:pt>
                <c:pt idx="27">
                  <c:v>4</c:v>
                </c:pt>
                <c:pt idx="28">
                  <c:v>1</c:v>
                </c:pt>
                <c:pt idx="29">
                  <c:v>0</c:v>
                </c:pt>
                <c:pt idx="30">
                  <c:v>0</c:v>
                </c:pt>
                <c:pt idx="31">
                  <c:v>1</c:v>
                </c:pt>
                <c:pt idx="32">
                  <c:v>3</c:v>
                </c:pt>
                <c:pt idx="33">
                  <c:v>3</c:v>
                </c:pt>
                <c:pt idx="34">
                  <c:v>15</c:v>
                </c:pt>
              </c:numCache>
            </c:numRef>
          </c:val>
          <c:extLst xmlns:c16r2="http://schemas.microsoft.com/office/drawing/2015/06/chart">
            <c:ext xmlns:c16="http://schemas.microsoft.com/office/drawing/2014/chart" uri="{C3380CC4-5D6E-409C-BE32-E72D297353CC}">
              <c16:uniqueId val="{00000001-EA45-411A-99BF-0ECC67AE8DFE}"/>
            </c:ext>
          </c:extLst>
        </c:ser>
        <c:dLbls>
          <c:showLegendKey val="0"/>
          <c:showVal val="0"/>
          <c:showCatName val="0"/>
          <c:showSerName val="0"/>
          <c:showPercent val="0"/>
          <c:showBubbleSize val="0"/>
        </c:dLbls>
        <c:gapWidth val="150"/>
        <c:axId val="380872576"/>
        <c:axId val="380874144"/>
      </c:barChart>
      <c:catAx>
        <c:axId val="380872576"/>
        <c:scaling>
          <c:orientation val="minMax"/>
        </c:scaling>
        <c:delete val="0"/>
        <c:axPos val="b"/>
        <c:numFmt formatCode="General" sourceLinked="0"/>
        <c:majorTickMark val="out"/>
        <c:minorTickMark val="none"/>
        <c:tickLblPos val="nextTo"/>
        <c:txPr>
          <a:bodyPr/>
          <a:lstStyle/>
          <a:p>
            <a:pPr>
              <a:defRPr sz="700"/>
            </a:pPr>
            <a:endParaRPr lang="ru-RU"/>
          </a:p>
        </c:txPr>
        <c:crossAx val="380874144"/>
        <c:crosses val="autoZero"/>
        <c:auto val="1"/>
        <c:lblAlgn val="ctr"/>
        <c:lblOffset val="100"/>
        <c:noMultiLvlLbl val="0"/>
      </c:catAx>
      <c:valAx>
        <c:axId val="380874144"/>
        <c:scaling>
          <c:orientation val="minMax"/>
        </c:scaling>
        <c:delete val="1"/>
        <c:axPos val="l"/>
        <c:majorGridlines/>
        <c:numFmt formatCode="General" sourceLinked="1"/>
        <c:majorTickMark val="out"/>
        <c:minorTickMark val="none"/>
        <c:tickLblPos val="none"/>
        <c:crossAx val="380872576"/>
        <c:crosses val="autoZero"/>
        <c:crossBetween val="between"/>
      </c:valAx>
    </c:plotArea>
    <c:legend>
      <c:legendPos val="l"/>
      <c:overlay val="0"/>
      <c:txPr>
        <a:bodyPr/>
        <a:lstStyle/>
        <a:p>
          <a:pPr>
            <a:defRPr sz="700"/>
          </a:pPr>
          <a:endParaRPr lang="ru-RU"/>
        </a:p>
      </c:txPr>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xPr>
        <a:bodyPr/>
        <a:lstStyle/>
        <a:p>
          <a:pPr>
            <a:defRPr sz="1000" baseline="30000"/>
          </a:pPr>
          <a:endParaRPr lang="ru-RU"/>
        </a:p>
      </c:txPr>
    </c:title>
    <c:autoTitleDeleted val="0"/>
    <c:view3D>
      <c:rotX val="15"/>
      <c:rotY val="20"/>
      <c:rAngAx val="1"/>
    </c:view3D>
    <c:floor>
      <c:thickness val="0"/>
    </c:floor>
    <c:sideWall>
      <c:thickness val="0"/>
    </c:sideWall>
    <c:backWall>
      <c:thickness val="0"/>
    </c:backWall>
    <c:plotArea>
      <c:layout>
        <c:manualLayout>
          <c:layoutTarget val="inner"/>
          <c:xMode val="edge"/>
          <c:yMode val="edge"/>
          <c:x val="7.1726450860309182E-2"/>
          <c:y val="0.16191476065491822"/>
          <c:w val="0.75697725284340434"/>
          <c:h val="0.59517745211669493"/>
        </c:manualLayout>
      </c:layout>
      <c:bar3DChart>
        <c:barDir val="col"/>
        <c:grouping val="clustered"/>
        <c:varyColors val="0"/>
        <c:ser>
          <c:idx val="0"/>
          <c:order val="0"/>
          <c:tx>
            <c:strRef>
              <c:f>Лист1!$B$1</c:f>
              <c:strCache>
                <c:ptCount val="1"/>
                <c:pt idx="0">
                  <c:v>Numărul stațiilor de epurare</c:v>
                </c:pt>
              </c:strCache>
            </c:strRef>
          </c:tx>
          <c:spPr>
            <a:solidFill>
              <a:srgbClr val="00B050"/>
            </a:solidFill>
          </c:spPr>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87</c:v>
                </c:pt>
                <c:pt idx="1">
                  <c:v>83</c:v>
                </c:pt>
                <c:pt idx="2">
                  <c:v>85</c:v>
                </c:pt>
                <c:pt idx="3">
                  <c:v>90</c:v>
                </c:pt>
                <c:pt idx="4">
                  <c:v>92</c:v>
                </c:pt>
                <c:pt idx="5">
                  <c:v>101</c:v>
                </c:pt>
              </c:numCache>
            </c:numRef>
          </c:val>
          <c:extLst xmlns:c16r2="http://schemas.microsoft.com/office/drawing/2015/06/chart">
            <c:ext xmlns:c16="http://schemas.microsoft.com/office/drawing/2014/chart" uri="{C3380CC4-5D6E-409C-BE32-E72D297353CC}">
              <c16:uniqueId val="{00000000-378B-4501-A7F6-85D26E61DA6C}"/>
            </c:ext>
          </c:extLst>
        </c:ser>
        <c:dLbls>
          <c:showLegendKey val="0"/>
          <c:showVal val="0"/>
          <c:showCatName val="0"/>
          <c:showSerName val="0"/>
          <c:showPercent val="0"/>
          <c:showBubbleSize val="0"/>
        </c:dLbls>
        <c:gapWidth val="150"/>
        <c:shape val="cylinder"/>
        <c:axId val="260440800"/>
        <c:axId val="258275888"/>
        <c:axId val="0"/>
      </c:bar3DChart>
      <c:catAx>
        <c:axId val="260440800"/>
        <c:scaling>
          <c:orientation val="minMax"/>
        </c:scaling>
        <c:delete val="0"/>
        <c:axPos val="b"/>
        <c:numFmt formatCode="General" sourceLinked="1"/>
        <c:majorTickMark val="out"/>
        <c:minorTickMark val="none"/>
        <c:tickLblPos val="nextTo"/>
        <c:txPr>
          <a:bodyPr/>
          <a:lstStyle/>
          <a:p>
            <a:pPr>
              <a:defRPr sz="800"/>
            </a:pPr>
            <a:endParaRPr lang="ru-RU"/>
          </a:p>
        </c:txPr>
        <c:crossAx val="258275888"/>
        <c:crosses val="autoZero"/>
        <c:auto val="1"/>
        <c:lblAlgn val="ctr"/>
        <c:lblOffset val="100"/>
        <c:noMultiLvlLbl val="0"/>
      </c:catAx>
      <c:valAx>
        <c:axId val="258275888"/>
        <c:scaling>
          <c:orientation val="minMax"/>
        </c:scaling>
        <c:delete val="0"/>
        <c:axPos val="l"/>
        <c:majorGridlines/>
        <c:numFmt formatCode="General" sourceLinked="1"/>
        <c:majorTickMark val="out"/>
        <c:minorTickMark val="none"/>
        <c:tickLblPos val="nextTo"/>
        <c:txPr>
          <a:bodyPr/>
          <a:lstStyle/>
          <a:p>
            <a:pPr>
              <a:defRPr sz="800"/>
            </a:pPr>
            <a:endParaRPr lang="ru-RU"/>
          </a:p>
        </c:txPr>
        <c:crossAx val="260440800"/>
        <c:crosses val="autoZero"/>
        <c:crossBetween val="between"/>
      </c:valAx>
    </c:plotArea>
    <c:legend>
      <c:legendPos val="b"/>
      <c:overlay val="0"/>
      <c:txPr>
        <a:bodyPr/>
        <a:lstStyle/>
        <a:p>
          <a:pPr>
            <a:defRPr sz="800"/>
          </a:pPr>
          <a:endParaRPr lang="ru-RU"/>
        </a:p>
      </c:txPr>
    </c:legend>
    <c:plotVisOnly val="1"/>
    <c:dispBlanksAs val="gap"/>
    <c:showDLblsOverMax val="0"/>
  </c:chart>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700"/>
              <a:t>Starea stațiilor de epurare a apelor uzate în anii 2016-2021</a:t>
            </a:r>
            <a:endParaRPr lang="ru-RU" sz="7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1035172384388674"/>
          <c:y val="0.12248637700728172"/>
          <c:w val="0.84311461736475335"/>
          <c:h val="0.69107308717247684"/>
        </c:manualLayout>
      </c:layout>
      <c:bar3DChart>
        <c:barDir val="col"/>
        <c:grouping val="stacked"/>
        <c:varyColors val="0"/>
        <c:ser>
          <c:idx val="0"/>
          <c:order val="0"/>
          <c:tx>
            <c:strRef>
              <c:f>Лист1!$B$1</c:f>
              <c:strCache>
                <c:ptCount val="1"/>
                <c:pt idx="0">
                  <c:v>stații de epurare funcționale</c:v>
                </c:pt>
              </c:strCache>
            </c:strRef>
          </c:tx>
          <c:invertIfNegative val="0"/>
          <c:dLbls>
            <c:dLbl>
              <c:idx val="0"/>
              <c:layout>
                <c:manualLayout>
                  <c:x val="1.2690997852190158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DF05-41E1-891D-2A05B9F2BD2A}"/>
                </c:ext>
                <c:ext xmlns:c15="http://schemas.microsoft.com/office/drawing/2012/chart" uri="{CE6537A1-D6FC-4f65-9D91-7224C49458BB}"/>
              </c:extLst>
            </c:dLbl>
            <c:dLbl>
              <c:idx val="1"/>
              <c:layout>
                <c:manualLayout>
                  <c:x val="8.46066523479350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DF05-41E1-891D-2A05B9F2BD2A}"/>
                </c:ext>
                <c:ext xmlns:c15="http://schemas.microsoft.com/office/drawing/2012/chart" uri="{CE6537A1-D6FC-4f65-9D91-7224C49458BB}"/>
              </c:extLst>
            </c:dLbl>
            <c:dLbl>
              <c:idx val="2"/>
              <c:layout>
                <c:manualLayout>
                  <c:x val="8.46066523479350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DF05-41E1-891D-2A05B9F2BD2A}"/>
                </c:ext>
                <c:ext xmlns:c15="http://schemas.microsoft.com/office/drawing/2012/chart" uri="{CE6537A1-D6FC-4f65-9D91-7224C49458BB}"/>
              </c:extLst>
            </c:dLbl>
            <c:dLbl>
              <c:idx val="3"/>
              <c:layout>
                <c:manualLayout>
                  <c:x val="8.46066523479350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DF05-41E1-891D-2A05B9F2BD2A}"/>
                </c:ext>
                <c:ext xmlns:c15="http://schemas.microsoft.com/office/drawing/2012/chart" uri="{CE6537A1-D6FC-4f65-9D91-7224C49458BB}"/>
              </c:extLst>
            </c:dLbl>
            <c:dLbl>
              <c:idx val="4"/>
              <c:layout>
                <c:manualLayout>
                  <c:x val="8.46066523479350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DF05-41E1-891D-2A05B9F2BD2A}"/>
                </c:ext>
                <c:ext xmlns:c15="http://schemas.microsoft.com/office/drawing/2012/chart" uri="{CE6537A1-D6FC-4f65-9D91-7224C49458BB}"/>
              </c:extLst>
            </c:dLbl>
            <c:dLbl>
              <c:idx val="5"/>
              <c:layout>
                <c:manualLayout>
                  <c:x val="8.4606652347935067E-3"/>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DF05-41E1-891D-2A05B9F2BD2A}"/>
                </c:ext>
                <c:ext xmlns:c15="http://schemas.microsoft.com/office/drawing/2012/chart" uri="{CE6537A1-D6FC-4f65-9D91-7224C49458BB}"/>
              </c:extLst>
            </c:dLbl>
            <c:spPr>
              <a:noFill/>
              <a:ln>
                <a:noFill/>
              </a:ln>
              <a:effectLst/>
            </c:spPr>
            <c:txPr>
              <a:bodyPr rot="-5400000" vert="horz"/>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73</c:v>
                </c:pt>
                <c:pt idx="1">
                  <c:v>70</c:v>
                </c:pt>
                <c:pt idx="2">
                  <c:v>72</c:v>
                </c:pt>
                <c:pt idx="3">
                  <c:v>74</c:v>
                </c:pt>
                <c:pt idx="4">
                  <c:v>81</c:v>
                </c:pt>
                <c:pt idx="5">
                  <c:v>92</c:v>
                </c:pt>
              </c:numCache>
            </c:numRef>
          </c:val>
          <c:extLst xmlns:c16r2="http://schemas.microsoft.com/office/drawing/2015/06/chart">
            <c:ext xmlns:c16="http://schemas.microsoft.com/office/drawing/2014/chart" uri="{C3380CC4-5D6E-409C-BE32-E72D297353CC}">
              <c16:uniqueId val="{00000006-DF05-41E1-891D-2A05B9F2BD2A}"/>
            </c:ext>
          </c:extLst>
        </c:ser>
        <c:ser>
          <c:idx val="1"/>
          <c:order val="1"/>
          <c:tx>
            <c:strRef>
              <c:f>Лист1!$C$1</c:f>
              <c:strCache>
                <c:ptCount val="1"/>
                <c:pt idx="0">
                  <c:v>stații de epurare nefuncționale</c:v>
                </c:pt>
              </c:strCache>
            </c:strRef>
          </c:tx>
          <c:spPr>
            <a:solidFill>
              <a:srgbClr val="FFC000"/>
            </a:solidFill>
          </c:spPr>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14</c:v>
                </c:pt>
                <c:pt idx="1">
                  <c:v>13</c:v>
                </c:pt>
                <c:pt idx="2">
                  <c:v>13</c:v>
                </c:pt>
                <c:pt idx="3">
                  <c:v>16</c:v>
                </c:pt>
                <c:pt idx="4">
                  <c:v>11</c:v>
                </c:pt>
                <c:pt idx="5">
                  <c:v>9</c:v>
                </c:pt>
              </c:numCache>
            </c:numRef>
          </c:val>
          <c:extLst xmlns:c16r2="http://schemas.microsoft.com/office/drawing/2015/06/chart">
            <c:ext xmlns:c16="http://schemas.microsoft.com/office/drawing/2014/chart" uri="{C3380CC4-5D6E-409C-BE32-E72D297353CC}">
              <c16:uniqueId val="{00000007-DF05-41E1-891D-2A05B9F2BD2A}"/>
            </c:ext>
          </c:extLst>
        </c:ser>
        <c:dLbls>
          <c:showLegendKey val="0"/>
          <c:showVal val="0"/>
          <c:showCatName val="0"/>
          <c:showSerName val="0"/>
          <c:showPercent val="0"/>
          <c:showBubbleSize val="0"/>
        </c:dLbls>
        <c:gapWidth val="150"/>
        <c:shape val="cylinder"/>
        <c:axId val="256922888"/>
        <c:axId val="254306088"/>
        <c:axId val="0"/>
      </c:bar3DChart>
      <c:catAx>
        <c:axId val="256922888"/>
        <c:scaling>
          <c:orientation val="minMax"/>
        </c:scaling>
        <c:delete val="0"/>
        <c:axPos val="b"/>
        <c:numFmt formatCode="General" sourceLinked="1"/>
        <c:majorTickMark val="out"/>
        <c:minorTickMark val="none"/>
        <c:tickLblPos val="nextTo"/>
        <c:txPr>
          <a:bodyPr/>
          <a:lstStyle/>
          <a:p>
            <a:pPr>
              <a:defRPr sz="800"/>
            </a:pPr>
            <a:endParaRPr lang="ru-RU"/>
          </a:p>
        </c:txPr>
        <c:crossAx val="254306088"/>
        <c:crosses val="autoZero"/>
        <c:auto val="1"/>
        <c:lblAlgn val="ctr"/>
        <c:lblOffset val="100"/>
        <c:noMultiLvlLbl val="0"/>
      </c:catAx>
      <c:valAx>
        <c:axId val="254306088"/>
        <c:scaling>
          <c:orientation val="minMax"/>
        </c:scaling>
        <c:delete val="0"/>
        <c:axPos val="l"/>
        <c:majorGridlines/>
        <c:numFmt formatCode="General" sourceLinked="1"/>
        <c:majorTickMark val="out"/>
        <c:minorTickMark val="none"/>
        <c:tickLblPos val="nextTo"/>
        <c:txPr>
          <a:bodyPr/>
          <a:lstStyle/>
          <a:p>
            <a:pPr>
              <a:defRPr sz="800"/>
            </a:pPr>
            <a:endParaRPr lang="ru-RU"/>
          </a:p>
        </c:txPr>
        <c:crossAx val="256922888"/>
        <c:crosses val="autoZero"/>
        <c:crossBetween val="between"/>
      </c:valAx>
    </c:plotArea>
    <c:legend>
      <c:legendPos val="b"/>
      <c:layout>
        <c:manualLayout>
          <c:xMode val="edge"/>
          <c:yMode val="edge"/>
          <c:x val="5.0000016640491189E-2"/>
          <c:y val="0.90168296179318852"/>
          <c:w val="0.89999996671901761"/>
          <c:h val="9.831703820681123E-2"/>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800"/>
              <a:t>Numărul stațiilor de epurare a apelor uzate, în anii 2016-2021</a:t>
            </a:r>
            <a:endParaRPr lang="ru-RU" sz="800"/>
          </a:p>
        </c:rich>
      </c:tx>
      <c:overlay val="0"/>
    </c:title>
    <c:autoTitleDeleted val="0"/>
    <c:plotArea>
      <c:layout>
        <c:manualLayout>
          <c:layoutTarget val="inner"/>
          <c:xMode val="edge"/>
          <c:yMode val="edge"/>
          <c:x val="0.10612256052143942"/>
          <c:y val="0.12617151904736368"/>
          <c:w val="0.87238662875473849"/>
          <c:h val="0.59516872890888639"/>
        </c:manualLayout>
      </c:layout>
      <c:barChart>
        <c:barDir val="col"/>
        <c:grouping val="clustered"/>
        <c:varyColors val="0"/>
        <c:ser>
          <c:idx val="0"/>
          <c:order val="0"/>
          <c:tx>
            <c:strRef>
              <c:f>Лист1!$B$1</c:f>
              <c:strCache>
                <c:ptCount val="1"/>
                <c:pt idx="0">
                  <c:v>2016</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Лист1!$B$2:$B$36</c:f>
              <c:numCache>
                <c:formatCode>General</c:formatCode>
                <c:ptCount val="35"/>
                <c:pt idx="0">
                  <c:v>8</c:v>
                </c:pt>
                <c:pt idx="1">
                  <c:v>12</c:v>
                </c:pt>
                <c:pt idx="2">
                  <c:v>1</c:v>
                </c:pt>
                <c:pt idx="3">
                  <c:v>2</c:v>
                </c:pt>
                <c:pt idx="4">
                  <c:v>1</c:v>
                </c:pt>
                <c:pt idx="5">
                  <c:v>2</c:v>
                </c:pt>
                <c:pt idx="6">
                  <c:v>1</c:v>
                </c:pt>
                <c:pt idx="7">
                  <c:v>2</c:v>
                </c:pt>
                <c:pt idx="8">
                  <c:v>0</c:v>
                </c:pt>
                <c:pt idx="9">
                  <c:v>3</c:v>
                </c:pt>
                <c:pt idx="10">
                  <c:v>3</c:v>
                </c:pt>
                <c:pt idx="11">
                  <c:v>1</c:v>
                </c:pt>
                <c:pt idx="12">
                  <c:v>1</c:v>
                </c:pt>
                <c:pt idx="13">
                  <c:v>4</c:v>
                </c:pt>
                <c:pt idx="14">
                  <c:v>3</c:v>
                </c:pt>
                <c:pt idx="15">
                  <c:v>2</c:v>
                </c:pt>
                <c:pt idx="16">
                  <c:v>0</c:v>
                </c:pt>
                <c:pt idx="17">
                  <c:v>2</c:v>
                </c:pt>
                <c:pt idx="18">
                  <c:v>1</c:v>
                </c:pt>
                <c:pt idx="19">
                  <c:v>2</c:v>
                </c:pt>
                <c:pt idx="20">
                  <c:v>5</c:v>
                </c:pt>
                <c:pt idx="21">
                  <c:v>0</c:v>
                </c:pt>
                <c:pt idx="22">
                  <c:v>5</c:v>
                </c:pt>
                <c:pt idx="23">
                  <c:v>4</c:v>
                </c:pt>
                <c:pt idx="24">
                  <c:v>2</c:v>
                </c:pt>
                <c:pt idx="25">
                  <c:v>3</c:v>
                </c:pt>
                <c:pt idx="26">
                  <c:v>1</c:v>
                </c:pt>
                <c:pt idx="27">
                  <c:v>5</c:v>
                </c:pt>
                <c:pt idx="28">
                  <c:v>1</c:v>
                </c:pt>
                <c:pt idx="29">
                  <c:v>2</c:v>
                </c:pt>
                <c:pt idx="30">
                  <c:v>4</c:v>
                </c:pt>
                <c:pt idx="31">
                  <c:v>4</c:v>
                </c:pt>
                <c:pt idx="32">
                  <c:v>3</c:v>
                </c:pt>
                <c:pt idx="33">
                  <c:v>2</c:v>
                </c:pt>
                <c:pt idx="34">
                  <c:v>6</c:v>
                </c:pt>
              </c:numCache>
            </c:numRef>
          </c:val>
          <c:extLst xmlns:c16r2="http://schemas.microsoft.com/office/drawing/2015/06/chart">
            <c:ext xmlns:c16="http://schemas.microsoft.com/office/drawing/2014/chart" uri="{C3380CC4-5D6E-409C-BE32-E72D297353CC}">
              <c16:uniqueId val="{00000000-382A-4128-9CD7-E10F0B6060CE}"/>
            </c:ext>
          </c:extLst>
        </c:ser>
        <c:ser>
          <c:idx val="1"/>
          <c:order val="1"/>
          <c:tx>
            <c:strRef>
              <c:f>Лист1!$C$1</c:f>
              <c:strCache>
                <c:ptCount val="1"/>
                <c:pt idx="0">
                  <c:v>2021</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Лист1!$C$2:$C$36</c:f>
              <c:numCache>
                <c:formatCode>General</c:formatCode>
                <c:ptCount val="35"/>
                <c:pt idx="0">
                  <c:v>9</c:v>
                </c:pt>
                <c:pt idx="1">
                  <c:v>2</c:v>
                </c:pt>
                <c:pt idx="2">
                  <c:v>1</c:v>
                </c:pt>
                <c:pt idx="3">
                  <c:v>3</c:v>
                </c:pt>
                <c:pt idx="4">
                  <c:v>2</c:v>
                </c:pt>
                <c:pt idx="5">
                  <c:v>3</c:v>
                </c:pt>
                <c:pt idx="6">
                  <c:v>1</c:v>
                </c:pt>
                <c:pt idx="7">
                  <c:v>3</c:v>
                </c:pt>
                <c:pt idx="8">
                  <c:v>0</c:v>
                </c:pt>
                <c:pt idx="9">
                  <c:v>4</c:v>
                </c:pt>
                <c:pt idx="10">
                  <c:v>3</c:v>
                </c:pt>
                <c:pt idx="11">
                  <c:v>1</c:v>
                </c:pt>
                <c:pt idx="12">
                  <c:v>0</c:v>
                </c:pt>
                <c:pt idx="13">
                  <c:v>5</c:v>
                </c:pt>
                <c:pt idx="14">
                  <c:v>7</c:v>
                </c:pt>
                <c:pt idx="15">
                  <c:v>2</c:v>
                </c:pt>
                <c:pt idx="16">
                  <c:v>0</c:v>
                </c:pt>
                <c:pt idx="17">
                  <c:v>4</c:v>
                </c:pt>
                <c:pt idx="18">
                  <c:v>2</c:v>
                </c:pt>
                <c:pt idx="19">
                  <c:v>3</c:v>
                </c:pt>
                <c:pt idx="20">
                  <c:v>6</c:v>
                </c:pt>
                <c:pt idx="21">
                  <c:v>0</c:v>
                </c:pt>
                <c:pt idx="22">
                  <c:v>3</c:v>
                </c:pt>
                <c:pt idx="23">
                  <c:v>4</c:v>
                </c:pt>
                <c:pt idx="24">
                  <c:v>4</c:v>
                </c:pt>
                <c:pt idx="25">
                  <c:v>3</c:v>
                </c:pt>
                <c:pt idx="26">
                  <c:v>1</c:v>
                </c:pt>
                <c:pt idx="27">
                  <c:v>3</c:v>
                </c:pt>
                <c:pt idx="28">
                  <c:v>1</c:v>
                </c:pt>
                <c:pt idx="29">
                  <c:v>2</c:v>
                </c:pt>
                <c:pt idx="30">
                  <c:v>2</c:v>
                </c:pt>
                <c:pt idx="31">
                  <c:v>7</c:v>
                </c:pt>
                <c:pt idx="32">
                  <c:v>2</c:v>
                </c:pt>
                <c:pt idx="33">
                  <c:v>2</c:v>
                </c:pt>
                <c:pt idx="34">
                  <c:v>6</c:v>
                </c:pt>
              </c:numCache>
            </c:numRef>
          </c:val>
          <c:extLst xmlns:c16r2="http://schemas.microsoft.com/office/drawing/2015/06/chart">
            <c:ext xmlns:c16="http://schemas.microsoft.com/office/drawing/2014/chart" uri="{C3380CC4-5D6E-409C-BE32-E72D297353CC}">
              <c16:uniqueId val="{00000001-382A-4128-9CD7-E10F0B6060CE}"/>
            </c:ext>
          </c:extLst>
        </c:ser>
        <c:dLbls>
          <c:showLegendKey val="0"/>
          <c:showVal val="0"/>
          <c:showCatName val="0"/>
          <c:showSerName val="0"/>
          <c:showPercent val="0"/>
          <c:showBubbleSize val="0"/>
        </c:dLbls>
        <c:gapWidth val="150"/>
        <c:axId val="190703976"/>
        <c:axId val="385821056"/>
      </c:barChart>
      <c:catAx>
        <c:axId val="190703976"/>
        <c:scaling>
          <c:orientation val="minMax"/>
        </c:scaling>
        <c:delete val="0"/>
        <c:axPos val="b"/>
        <c:numFmt formatCode="General" sourceLinked="0"/>
        <c:majorTickMark val="out"/>
        <c:minorTickMark val="none"/>
        <c:tickLblPos val="nextTo"/>
        <c:txPr>
          <a:bodyPr/>
          <a:lstStyle/>
          <a:p>
            <a:pPr>
              <a:defRPr sz="700"/>
            </a:pPr>
            <a:endParaRPr lang="ru-RU"/>
          </a:p>
        </c:txPr>
        <c:crossAx val="385821056"/>
        <c:crosses val="autoZero"/>
        <c:auto val="1"/>
        <c:lblAlgn val="ctr"/>
        <c:lblOffset val="100"/>
        <c:noMultiLvlLbl val="0"/>
      </c:catAx>
      <c:valAx>
        <c:axId val="385821056"/>
        <c:scaling>
          <c:orientation val="minMax"/>
        </c:scaling>
        <c:delete val="1"/>
        <c:axPos val="l"/>
        <c:majorGridlines/>
        <c:numFmt formatCode="General" sourceLinked="1"/>
        <c:majorTickMark val="out"/>
        <c:minorTickMark val="none"/>
        <c:tickLblPos val="none"/>
        <c:crossAx val="190703976"/>
        <c:crosses val="autoZero"/>
        <c:crossBetween val="between"/>
      </c:valAx>
    </c:plotArea>
    <c:legend>
      <c:legendPos val="l"/>
      <c:overlay val="0"/>
      <c:txPr>
        <a:bodyPr/>
        <a:lstStyle/>
        <a:p>
          <a:pPr>
            <a:defRPr sz="700"/>
          </a:pPr>
          <a:endParaRPr lang="ru-RU"/>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800"/>
              <a:t>Dezvoltarea sistemelor de alimentare cu apă și sanitație în anii 2016-2021</a:t>
            </a:r>
            <a:endParaRPr lang="ru-RU" sz="800"/>
          </a:p>
        </c:rich>
      </c:tx>
      <c:overlay val="0"/>
    </c:title>
    <c:autoTitleDeleted val="0"/>
    <c:plotArea>
      <c:layout/>
      <c:barChart>
        <c:barDir val="col"/>
        <c:grouping val="clustered"/>
        <c:varyColors val="0"/>
        <c:ser>
          <c:idx val="0"/>
          <c:order val="0"/>
          <c:tx>
            <c:strRef>
              <c:f>Лист1!$B$1</c:f>
              <c:strCache>
                <c:ptCount val="1"/>
                <c:pt idx="0">
                  <c:v>lungimea apreduct și rețelelor de distribuție a apei, km</c:v>
                </c:pt>
              </c:strCache>
            </c:strRef>
          </c:tx>
          <c:spPr>
            <a:solidFill>
              <a:srgbClr val="00B0F0"/>
            </a:solidFill>
          </c:spPr>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a:solidFill>
                  <a:srgbClr val="FF0000"/>
                </a:solidFill>
                <a:prstDash val="lgDash"/>
              </a:ln>
            </c:spPr>
            <c:trendlineType val="linear"/>
            <c:dispRSqr val="0"/>
            <c:dispEq val="0"/>
          </c:trendline>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13353</c:v>
                </c:pt>
                <c:pt idx="1">
                  <c:v>13851</c:v>
                </c:pt>
                <c:pt idx="2">
                  <c:v>14401</c:v>
                </c:pt>
                <c:pt idx="3">
                  <c:v>14947</c:v>
                </c:pt>
                <c:pt idx="4">
                  <c:v>15610</c:v>
                </c:pt>
                <c:pt idx="5">
                  <c:v>16446</c:v>
                </c:pt>
              </c:numCache>
            </c:numRef>
          </c:val>
          <c:extLst xmlns:c16r2="http://schemas.microsoft.com/office/drawing/2015/06/chart">
            <c:ext xmlns:c16="http://schemas.microsoft.com/office/drawing/2014/chart" uri="{C3380CC4-5D6E-409C-BE32-E72D297353CC}">
              <c16:uniqueId val="{00000000-01AF-4418-ADB4-C67A37F26E34}"/>
            </c:ext>
          </c:extLst>
        </c:ser>
        <c:ser>
          <c:idx val="1"/>
          <c:order val="1"/>
          <c:tx>
            <c:strRef>
              <c:f>Лист1!$C$1</c:f>
              <c:strCache>
                <c:ptCount val="1"/>
                <c:pt idx="0">
                  <c:v>Lungimea  rețelelor de canalizare</c:v>
                </c:pt>
              </c:strCache>
            </c:strRef>
          </c:tx>
          <c:spPr>
            <a:solidFill>
              <a:srgbClr val="FFC000"/>
            </a:solidFill>
          </c:spPr>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a:solidFill>
                  <a:srgbClr val="7030A0"/>
                </a:solidFill>
                <a:prstDash val="lgDash"/>
              </a:ln>
            </c:spPr>
            <c:trendlineType val="linear"/>
            <c:dispRSqr val="0"/>
            <c:dispEq val="0"/>
          </c:trendline>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2815</c:v>
                </c:pt>
                <c:pt idx="1">
                  <c:v>2828</c:v>
                </c:pt>
                <c:pt idx="2">
                  <c:v>2900</c:v>
                </c:pt>
                <c:pt idx="3">
                  <c:v>2931</c:v>
                </c:pt>
                <c:pt idx="4">
                  <c:v>2970</c:v>
                </c:pt>
                <c:pt idx="5">
                  <c:v>3021</c:v>
                </c:pt>
              </c:numCache>
            </c:numRef>
          </c:val>
          <c:extLst xmlns:c16r2="http://schemas.microsoft.com/office/drawing/2015/06/chart">
            <c:ext xmlns:c16="http://schemas.microsoft.com/office/drawing/2014/chart" uri="{C3380CC4-5D6E-409C-BE32-E72D297353CC}">
              <c16:uniqueId val="{00000001-01AF-4418-ADB4-C67A37F26E34}"/>
            </c:ext>
          </c:extLst>
        </c:ser>
        <c:dLbls>
          <c:showLegendKey val="0"/>
          <c:showVal val="0"/>
          <c:showCatName val="0"/>
          <c:showSerName val="0"/>
          <c:showPercent val="0"/>
          <c:showBubbleSize val="0"/>
        </c:dLbls>
        <c:gapWidth val="150"/>
        <c:axId val="385821840"/>
        <c:axId val="385822232"/>
      </c:barChart>
      <c:catAx>
        <c:axId val="385821840"/>
        <c:scaling>
          <c:orientation val="minMax"/>
        </c:scaling>
        <c:delete val="0"/>
        <c:axPos val="b"/>
        <c:numFmt formatCode="General" sourceLinked="1"/>
        <c:majorTickMark val="out"/>
        <c:minorTickMark val="none"/>
        <c:tickLblPos val="nextTo"/>
        <c:txPr>
          <a:bodyPr/>
          <a:lstStyle/>
          <a:p>
            <a:pPr>
              <a:defRPr sz="800"/>
            </a:pPr>
            <a:endParaRPr lang="ru-RU"/>
          </a:p>
        </c:txPr>
        <c:crossAx val="385822232"/>
        <c:crosses val="autoZero"/>
        <c:auto val="1"/>
        <c:lblAlgn val="ctr"/>
        <c:lblOffset val="100"/>
        <c:noMultiLvlLbl val="0"/>
      </c:catAx>
      <c:valAx>
        <c:axId val="385822232"/>
        <c:scaling>
          <c:orientation val="minMax"/>
        </c:scaling>
        <c:delete val="1"/>
        <c:axPos val="l"/>
        <c:majorGridlines/>
        <c:numFmt formatCode="General" sourceLinked="1"/>
        <c:majorTickMark val="out"/>
        <c:minorTickMark val="none"/>
        <c:tickLblPos val="none"/>
        <c:crossAx val="385821840"/>
        <c:crosses val="autoZero"/>
        <c:crossBetween val="between"/>
      </c:valAx>
    </c:plotArea>
    <c:legend>
      <c:legendPos val="b"/>
      <c:layout>
        <c:manualLayout>
          <c:xMode val="edge"/>
          <c:yMode val="edge"/>
          <c:x val="1.4594816272965862E-2"/>
          <c:y val="0.73928830943140789"/>
          <c:w val="0.9638657407407405"/>
          <c:h val="0.23690229098815843"/>
        </c:manualLayout>
      </c:layout>
      <c:overlay val="0"/>
      <c:txPr>
        <a:bodyPr/>
        <a:lstStyle/>
        <a:p>
          <a:pPr>
            <a:defRPr sz="600"/>
          </a:pPr>
          <a:endParaRPr lang="ru-RU"/>
        </a:p>
      </c:txPr>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800"/>
              <a:t>Dezvoltarea sistemelor de alimentare cu apă și canalizare</a:t>
            </a:r>
            <a:r>
              <a:rPr lang="ro-RO" sz="800" baseline="0"/>
              <a:t> funcționale, în anii 2016-2021</a:t>
            </a:r>
            <a:endParaRPr lang="ru-RU" sz="800"/>
          </a:p>
        </c:rich>
      </c:tx>
      <c:overlay val="0"/>
    </c:title>
    <c:autoTitleDeleted val="0"/>
    <c:plotArea>
      <c:layout/>
      <c:barChart>
        <c:barDir val="col"/>
        <c:grouping val="clustered"/>
        <c:varyColors val="0"/>
        <c:ser>
          <c:idx val="0"/>
          <c:order val="0"/>
          <c:tx>
            <c:strRef>
              <c:f>Лист1!$B$1</c:f>
              <c:strCache>
                <c:ptCount val="1"/>
                <c:pt idx="0">
                  <c:v>lungimea apeduct, km</c:v>
                </c:pt>
              </c:strCache>
            </c:strRef>
          </c:tx>
          <c:spPr>
            <a:solidFill>
              <a:srgbClr val="00B0F0"/>
            </a:solidFill>
          </c:spPr>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a:solidFill>
                  <a:srgbClr val="FF0000"/>
                </a:solidFill>
                <a:prstDash val="lgDash"/>
              </a:ln>
            </c:spPr>
            <c:trendlineType val="exp"/>
            <c:dispRSqr val="0"/>
            <c:dispEq val="0"/>
          </c:trendline>
          <c:cat>
            <c:numRef>
              <c:f>Лист1!$A$2:$A$7</c:f>
              <c:numCache>
                <c:formatCode>General</c:formatCode>
                <c:ptCount val="6"/>
                <c:pt idx="0">
                  <c:v>2016</c:v>
                </c:pt>
                <c:pt idx="1">
                  <c:v>2017</c:v>
                </c:pt>
                <c:pt idx="2">
                  <c:v>2018</c:v>
                </c:pt>
                <c:pt idx="3">
                  <c:v>2019</c:v>
                </c:pt>
                <c:pt idx="4">
                  <c:v>2020</c:v>
                </c:pt>
                <c:pt idx="5">
                  <c:v>2021</c:v>
                </c:pt>
              </c:numCache>
            </c:numRef>
          </c:cat>
          <c:val>
            <c:numRef>
              <c:f>Лист1!$B$2:$B$7</c:f>
              <c:numCache>
                <c:formatCode>General</c:formatCode>
                <c:ptCount val="6"/>
                <c:pt idx="0">
                  <c:v>13120</c:v>
                </c:pt>
                <c:pt idx="1">
                  <c:v>13673</c:v>
                </c:pt>
                <c:pt idx="2">
                  <c:v>14249</c:v>
                </c:pt>
                <c:pt idx="3">
                  <c:v>14789</c:v>
                </c:pt>
                <c:pt idx="4">
                  <c:v>15435</c:v>
                </c:pt>
                <c:pt idx="5">
                  <c:v>16289</c:v>
                </c:pt>
              </c:numCache>
            </c:numRef>
          </c:val>
          <c:extLst xmlns:c16r2="http://schemas.microsoft.com/office/drawing/2015/06/chart">
            <c:ext xmlns:c16="http://schemas.microsoft.com/office/drawing/2014/chart" uri="{C3380CC4-5D6E-409C-BE32-E72D297353CC}">
              <c16:uniqueId val="{00000000-0C17-4532-B442-FB8C019135D7}"/>
            </c:ext>
          </c:extLst>
        </c:ser>
        <c:ser>
          <c:idx val="1"/>
          <c:order val="1"/>
          <c:tx>
            <c:strRef>
              <c:f>Лист1!$C$1</c:f>
              <c:strCache>
                <c:ptCount val="1"/>
                <c:pt idx="0">
                  <c:v>lungimea sisteme de canalizare, km</c:v>
                </c:pt>
              </c:strCache>
            </c:strRef>
          </c:tx>
          <c:spPr>
            <a:solidFill>
              <a:srgbClr val="FFC000"/>
            </a:solidFill>
          </c:spPr>
          <c:invertIfNegative val="0"/>
          <c:dLbls>
            <c:spPr>
              <a:noFill/>
              <a:ln>
                <a:noFill/>
              </a:ln>
              <a:effectLst/>
            </c:spPr>
            <c:txPr>
              <a:bodyPr/>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trendline>
            <c:spPr>
              <a:ln>
                <a:solidFill>
                  <a:srgbClr val="00B050"/>
                </a:solidFill>
                <a:prstDash val="lgDash"/>
              </a:ln>
            </c:spPr>
            <c:trendlineType val="linear"/>
            <c:dispRSqr val="0"/>
            <c:dispEq val="0"/>
          </c:trendline>
          <c:cat>
            <c:numRef>
              <c:f>Лист1!$A$2:$A$7</c:f>
              <c:numCache>
                <c:formatCode>General</c:formatCode>
                <c:ptCount val="6"/>
                <c:pt idx="0">
                  <c:v>2016</c:v>
                </c:pt>
                <c:pt idx="1">
                  <c:v>2017</c:v>
                </c:pt>
                <c:pt idx="2">
                  <c:v>2018</c:v>
                </c:pt>
                <c:pt idx="3">
                  <c:v>2019</c:v>
                </c:pt>
                <c:pt idx="4">
                  <c:v>2020</c:v>
                </c:pt>
                <c:pt idx="5">
                  <c:v>2021</c:v>
                </c:pt>
              </c:numCache>
            </c:numRef>
          </c:cat>
          <c:val>
            <c:numRef>
              <c:f>Лист1!$C$2:$C$7</c:f>
              <c:numCache>
                <c:formatCode>General</c:formatCode>
                <c:ptCount val="6"/>
                <c:pt idx="0">
                  <c:v>2729</c:v>
                </c:pt>
                <c:pt idx="1">
                  <c:v>2781</c:v>
                </c:pt>
                <c:pt idx="2">
                  <c:v>2831</c:v>
                </c:pt>
                <c:pt idx="3">
                  <c:v>2891</c:v>
                </c:pt>
                <c:pt idx="4">
                  <c:v>2935</c:v>
                </c:pt>
                <c:pt idx="5">
                  <c:v>2984</c:v>
                </c:pt>
              </c:numCache>
            </c:numRef>
          </c:val>
          <c:extLst xmlns:c16r2="http://schemas.microsoft.com/office/drawing/2015/06/chart">
            <c:ext xmlns:c16="http://schemas.microsoft.com/office/drawing/2014/chart" uri="{C3380CC4-5D6E-409C-BE32-E72D297353CC}">
              <c16:uniqueId val="{00000001-0C17-4532-B442-FB8C019135D7}"/>
            </c:ext>
          </c:extLst>
        </c:ser>
        <c:dLbls>
          <c:showLegendKey val="0"/>
          <c:showVal val="0"/>
          <c:showCatName val="0"/>
          <c:showSerName val="0"/>
          <c:showPercent val="0"/>
          <c:showBubbleSize val="0"/>
        </c:dLbls>
        <c:gapWidth val="150"/>
        <c:axId val="385823016"/>
        <c:axId val="385823408"/>
      </c:barChart>
      <c:catAx>
        <c:axId val="385823016"/>
        <c:scaling>
          <c:orientation val="minMax"/>
        </c:scaling>
        <c:delete val="0"/>
        <c:axPos val="b"/>
        <c:numFmt formatCode="General" sourceLinked="1"/>
        <c:majorTickMark val="out"/>
        <c:minorTickMark val="none"/>
        <c:tickLblPos val="nextTo"/>
        <c:txPr>
          <a:bodyPr/>
          <a:lstStyle/>
          <a:p>
            <a:pPr>
              <a:defRPr sz="800"/>
            </a:pPr>
            <a:endParaRPr lang="ru-RU"/>
          </a:p>
        </c:txPr>
        <c:crossAx val="385823408"/>
        <c:crosses val="autoZero"/>
        <c:auto val="1"/>
        <c:lblAlgn val="ctr"/>
        <c:lblOffset val="100"/>
        <c:noMultiLvlLbl val="0"/>
      </c:catAx>
      <c:valAx>
        <c:axId val="385823408"/>
        <c:scaling>
          <c:orientation val="minMax"/>
        </c:scaling>
        <c:delete val="1"/>
        <c:axPos val="l"/>
        <c:majorGridlines/>
        <c:numFmt formatCode="General" sourceLinked="1"/>
        <c:majorTickMark val="out"/>
        <c:minorTickMark val="none"/>
        <c:tickLblPos val="none"/>
        <c:crossAx val="385823016"/>
        <c:crosses val="autoZero"/>
        <c:crossBetween val="between"/>
      </c:valAx>
    </c:plotArea>
    <c:legend>
      <c:legendPos val="b"/>
      <c:overlay val="0"/>
      <c:txPr>
        <a:bodyPr/>
        <a:lstStyle/>
        <a:p>
          <a:pPr>
            <a:defRPr sz="600"/>
          </a:pPr>
          <a:endParaRPr lang="ru-RU"/>
        </a:p>
      </c:txPr>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r">
              <a:defRPr/>
            </a:pPr>
            <a:endParaRPr lang="ro-RO" sz="800"/>
          </a:p>
          <a:p>
            <a:pPr algn="r">
              <a:defRPr/>
            </a:pPr>
            <a:r>
              <a:rPr lang="ro-RO" sz="800"/>
              <a:t>Numărul de localități conectate la sistemele de canalizare în anul 2021, comparativ cu anul 2016</a:t>
            </a:r>
            <a:endParaRPr lang="ru-RU" sz="800"/>
          </a:p>
        </c:rich>
      </c:tx>
      <c:layout>
        <c:manualLayout>
          <c:xMode val="edge"/>
          <c:yMode val="edge"/>
          <c:x val="0.21815689204585795"/>
          <c:y val="0"/>
        </c:manualLayout>
      </c:layout>
      <c:overlay val="0"/>
    </c:title>
    <c:autoTitleDeleted val="0"/>
    <c:plotArea>
      <c:layout>
        <c:manualLayout>
          <c:layoutTarget val="inner"/>
          <c:xMode val="edge"/>
          <c:yMode val="edge"/>
          <c:x val="0.10612258374874745"/>
          <c:y val="0.13173611503617136"/>
          <c:w val="0.87238662875473849"/>
          <c:h val="0.59516872890888639"/>
        </c:manualLayout>
      </c:layout>
      <c:barChart>
        <c:barDir val="col"/>
        <c:grouping val="clustered"/>
        <c:varyColors val="0"/>
        <c:ser>
          <c:idx val="0"/>
          <c:order val="0"/>
          <c:tx>
            <c:strRef>
              <c:f>Лист1!$B$1</c:f>
              <c:strCache>
                <c:ptCount val="1"/>
                <c:pt idx="0">
                  <c:v>total localități în raion</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Лист1!$B$2:$B$36</c:f>
              <c:numCache>
                <c:formatCode>General</c:formatCode>
                <c:ptCount val="35"/>
                <c:pt idx="0">
                  <c:v>35</c:v>
                </c:pt>
                <c:pt idx="1">
                  <c:v>3</c:v>
                </c:pt>
                <c:pt idx="2">
                  <c:v>39</c:v>
                </c:pt>
                <c:pt idx="3">
                  <c:v>30</c:v>
                </c:pt>
                <c:pt idx="4">
                  <c:v>40</c:v>
                </c:pt>
                <c:pt idx="5">
                  <c:v>49</c:v>
                </c:pt>
                <c:pt idx="6">
                  <c:v>76</c:v>
                </c:pt>
                <c:pt idx="7">
                  <c:v>74</c:v>
                </c:pt>
                <c:pt idx="8">
                  <c:v>35</c:v>
                </c:pt>
                <c:pt idx="9">
                  <c:v>33</c:v>
                </c:pt>
                <c:pt idx="10">
                  <c:v>55</c:v>
                </c:pt>
                <c:pt idx="11">
                  <c:v>70</c:v>
                </c:pt>
                <c:pt idx="12">
                  <c:v>68</c:v>
                </c:pt>
                <c:pt idx="13">
                  <c:v>45</c:v>
                </c:pt>
                <c:pt idx="14">
                  <c:v>44</c:v>
                </c:pt>
                <c:pt idx="15">
                  <c:v>43</c:v>
                </c:pt>
                <c:pt idx="16">
                  <c:v>15</c:v>
                </c:pt>
                <c:pt idx="17">
                  <c:v>63</c:v>
                </c:pt>
                <c:pt idx="18">
                  <c:v>34</c:v>
                </c:pt>
                <c:pt idx="19">
                  <c:v>39</c:v>
                </c:pt>
                <c:pt idx="20">
                  <c:v>75</c:v>
                </c:pt>
                <c:pt idx="21">
                  <c:v>41</c:v>
                </c:pt>
                <c:pt idx="22">
                  <c:v>39</c:v>
                </c:pt>
                <c:pt idx="23">
                  <c:v>33</c:v>
                </c:pt>
                <c:pt idx="24">
                  <c:v>54</c:v>
                </c:pt>
                <c:pt idx="25">
                  <c:v>74</c:v>
                </c:pt>
                <c:pt idx="26">
                  <c:v>10</c:v>
                </c:pt>
                <c:pt idx="27">
                  <c:v>55</c:v>
                </c:pt>
                <c:pt idx="28">
                  <c:v>51</c:v>
                </c:pt>
                <c:pt idx="29">
                  <c:v>48</c:v>
                </c:pt>
                <c:pt idx="30">
                  <c:v>39</c:v>
                </c:pt>
                <c:pt idx="31">
                  <c:v>40</c:v>
                </c:pt>
                <c:pt idx="32">
                  <c:v>26</c:v>
                </c:pt>
                <c:pt idx="33">
                  <c:v>26</c:v>
                </c:pt>
                <c:pt idx="34">
                  <c:v>32</c:v>
                </c:pt>
              </c:numCache>
            </c:numRef>
          </c:val>
          <c:extLst xmlns:c16r2="http://schemas.microsoft.com/office/drawing/2015/06/chart">
            <c:ext xmlns:c16="http://schemas.microsoft.com/office/drawing/2014/chart" uri="{C3380CC4-5D6E-409C-BE32-E72D297353CC}">
              <c16:uniqueId val="{00000000-5C6E-4D39-AA2F-C7103F80E277}"/>
            </c:ext>
          </c:extLst>
        </c:ser>
        <c:ser>
          <c:idx val="1"/>
          <c:order val="1"/>
          <c:tx>
            <c:strRef>
              <c:f>Лист1!$C$1</c:f>
              <c:strCache>
                <c:ptCount val="1"/>
                <c:pt idx="0">
                  <c:v>2016</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Лист1!$C$2:$C$36</c:f>
              <c:numCache>
                <c:formatCode>General</c:formatCode>
                <c:ptCount val="35"/>
                <c:pt idx="0">
                  <c:v>19</c:v>
                </c:pt>
                <c:pt idx="1">
                  <c:v>2</c:v>
                </c:pt>
                <c:pt idx="2">
                  <c:v>2</c:v>
                </c:pt>
                <c:pt idx="3">
                  <c:v>3</c:v>
                </c:pt>
                <c:pt idx="4">
                  <c:v>1</c:v>
                </c:pt>
                <c:pt idx="5">
                  <c:v>3</c:v>
                </c:pt>
                <c:pt idx="6">
                  <c:v>1</c:v>
                </c:pt>
                <c:pt idx="7">
                  <c:v>3</c:v>
                </c:pt>
                <c:pt idx="8">
                  <c:v>1</c:v>
                </c:pt>
                <c:pt idx="9">
                  <c:v>3</c:v>
                </c:pt>
                <c:pt idx="10">
                  <c:v>3</c:v>
                </c:pt>
                <c:pt idx="11">
                  <c:v>2</c:v>
                </c:pt>
                <c:pt idx="12">
                  <c:v>1</c:v>
                </c:pt>
                <c:pt idx="13">
                  <c:v>8</c:v>
                </c:pt>
                <c:pt idx="14">
                  <c:v>3</c:v>
                </c:pt>
                <c:pt idx="15">
                  <c:v>4</c:v>
                </c:pt>
                <c:pt idx="16">
                  <c:v>1</c:v>
                </c:pt>
                <c:pt idx="17">
                  <c:v>2</c:v>
                </c:pt>
                <c:pt idx="18">
                  <c:v>3</c:v>
                </c:pt>
                <c:pt idx="19">
                  <c:v>2</c:v>
                </c:pt>
                <c:pt idx="20">
                  <c:v>5</c:v>
                </c:pt>
                <c:pt idx="21">
                  <c:v>1</c:v>
                </c:pt>
                <c:pt idx="22">
                  <c:v>6</c:v>
                </c:pt>
                <c:pt idx="23">
                  <c:v>1</c:v>
                </c:pt>
                <c:pt idx="24">
                  <c:v>2</c:v>
                </c:pt>
                <c:pt idx="25">
                  <c:v>3</c:v>
                </c:pt>
                <c:pt idx="26">
                  <c:v>1</c:v>
                </c:pt>
                <c:pt idx="27">
                  <c:v>3</c:v>
                </c:pt>
                <c:pt idx="28">
                  <c:v>1</c:v>
                </c:pt>
                <c:pt idx="29">
                  <c:v>1</c:v>
                </c:pt>
                <c:pt idx="30">
                  <c:v>2</c:v>
                </c:pt>
                <c:pt idx="31">
                  <c:v>2</c:v>
                </c:pt>
                <c:pt idx="32">
                  <c:v>3</c:v>
                </c:pt>
                <c:pt idx="33">
                  <c:v>3</c:v>
                </c:pt>
                <c:pt idx="34">
                  <c:v>4</c:v>
                </c:pt>
              </c:numCache>
            </c:numRef>
          </c:val>
          <c:extLst xmlns:c16r2="http://schemas.microsoft.com/office/drawing/2015/06/chart">
            <c:ext xmlns:c16="http://schemas.microsoft.com/office/drawing/2014/chart" uri="{C3380CC4-5D6E-409C-BE32-E72D297353CC}">
              <c16:uniqueId val="{00000001-5C6E-4D39-AA2F-C7103F80E277}"/>
            </c:ext>
          </c:extLst>
        </c:ser>
        <c:ser>
          <c:idx val="2"/>
          <c:order val="2"/>
          <c:tx>
            <c:strRef>
              <c:f>Лист1!$D$1</c:f>
              <c:strCache>
                <c:ptCount val="1"/>
                <c:pt idx="0">
                  <c:v>2021</c:v>
                </c:pt>
              </c:strCache>
            </c:strRef>
          </c:tx>
          <c:spPr>
            <a:solidFill>
              <a:srgbClr val="92D050"/>
            </a:solidFill>
          </c:spPr>
          <c:invertIfNegative val="0"/>
          <c:dLbls>
            <c:spPr>
              <a:noFill/>
              <a:ln>
                <a:noFill/>
              </a:ln>
              <a:effectLst/>
            </c:spPr>
            <c:txPr>
              <a:bodyPr rot="-5400000" vert="horz"/>
              <a:lstStyle/>
              <a:p>
                <a:pPr>
                  <a:defRPr sz="600"/>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Лист1!$D$2:$D$36</c:f>
              <c:numCache>
                <c:formatCode>General</c:formatCode>
                <c:ptCount val="35"/>
                <c:pt idx="0">
                  <c:v>27</c:v>
                </c:pt>
                <c:pt idx="1">
                  <c:v>2</c:v>
                </c:pt>
                <c:pt idx="2">
                  <c:v>2</c:v>
                </c:pt>
                <c:pt idx="3">
                  <c:v>3</c:v>
                </c:pt>
                <c:pt idx="4">
                  <c:v>1</c:v>
                </c:pt>
                <c:pt idx="5">
                  <c:v>3</c:v>
                </c:pt>
                <c:pt idx="6">
                  <c:v>1</c:v>
                </c:pt>
                <c:pt idx="7">
                  <c:v>3</c:v>
                </c:pt>
                <c:pt idx="8">
                  <c:v>1</c:v>
                </c:pt>
                <c:pt idx="9">
                  <c:v>3</c:v>
                </c:pt>
                <c:pt idx="10">
                  <c:v>4</c:v>
                </c:pt>
                <c:pt idx="11">
                  <c:v>2</c:v>
                </c:pt>
                <c:pt idx="12">
                  <c:v>1</c:v>
                </c:pt>
                <c:pt idx="13">
                  <c:v>10</c:v>
                </c:pt>
                <c:pt idx="14">
                  <c:v>8</c:v>
                </c:pt>
                <c:pt idx="15">
                  <c:v>7</c:v>
                </c:pt>
                <c:pt idx="16">
                  <c:v>2</c:v>
                </c:pt>
                <c:pt idx="17">
                  <c:v>4</c:v>
                </c:pt>
                <c:pt idx="18">
                  <c:v>3</c:v>
                </c:pt>
                <c:pt idx="19">
                  <c:v>3</c:v>
                </c:pt>
                <c:pt idx="20">
                  <c:v>6</c:v>
                </c:pt>
                <c:pt idx="21">
                  <c:v>1</c:v>
                </c:pt>
                <c:pt idx="22">
                  <c:v>4</c:v>
                </c:pt>
                <c:pt idx="23">
                  <c:v>2</c:v>
                </c:pt>
                <c:pt idx="24">
                  <c:v>3</c:v>
                </c:pt>
                <c:pt idx="25">
                  <c:v>3</c:v>
                </c:pt>
                <c:pt idx="26">
                  <c:v>1</c:v>
                </c:pt>
                <c:pt idx="27">
                  <c:v>3</c:v>
                </c:pt>
                <c:pt idx="28">
                  <c:v>1</c:v>
                </c:pt>
                <c:pt idx="29">
                  <c:v>2</c:v>
                </c:pt>
                <c:pt idx="30">
                  <c:v>2</c:v>
                </c:pt>
                <c:pt idx="31">
                  <c:v>4</c:v>
                </c:pt>
                <c:pt idx="32">
                  <c:v>2</c:v>
                </c:pt>
                <c:pt idx="33">
                  <c:v>3</c:v>
                </c:pt>
                <c:pt idx="34">
                  <c:v>7</c:v>
                </c:pt>
              </c:numCache>
            </c:numRef>
          </c:val>
          <c:extLst xmlns:c16r2="http://schemas.microsoft.com/office/drawing/2015/06/chart">
            <c:ext xmlns:c16="http://schemas.microsoft.com/office/drawing/2014/chart" uri="{C3380CC4-5D6E-409C-BE32-E72D297353CC}">
              <c16:uniqueId val="{00000002-5C6E-4D39-AA2F-C7103F80E277}"/>
            </c:ext>
          </c:extLst>
        </c:ser>
        <c:dLbls>
          <c:showLegendKey val="0"/>
          <c:showVal val="0"/>
          <c:showCatName val="0"/>
          <c:showSerName val="0"/>
          <c:showPercent val="0"/>
          <c:showBubbleSize val="0"/>
        </c:dLbls>
        <c:gapWidth val="150"/>
        <c:axId val="385824192"/>
        <c:axId val="385824584"/>
      </c:barChart>
      <c:catAx>
        <c:axId val="385824192"/>
        <c:scaling>
          <c:orientation val="minMax"/>
        </c:scaling>
        <c:delete val="0"/>
        <c:axPos val="b"/>
        <c:numFmt formatCode="General" sourceLinked="0"/>
        <c:majorTickMark val="out"/>
        <c:minorTickMark val="none"/>
        <c:tickLblPos val="nextTo"/>
        <c:txPr>
          <a:bodyPr/>
          <a:lstStyle/>
          <a:p>
            <a:pPr>
              <a:defRPr sz="700"/>
            </a:pPr>
            <a:endParaRPr lang="ru-RU"/>
          </a:p>
        </c:txPr>
        <c:crossAx val="385824584"/>
        <c:crosses val="autoZero"/>
        <c:auto val="1"/>
        <c:lblAlgn val="ctr"/>
        <c:lblOffset val="100"/>
        <c:noMultiLvlLbl val="0"/>
      </c:catAx>
      <c:valAx>
        <c:axId val="385824584"/>
        <c:scaling>
          <c:orientation val="minMax"/>
        </c:scaling>
        <c:delete val="1"/>
        <c:axPos val="l"/>
        <c:majorGridlines/>
        <c:numFmt formatCode="General" sourceLinked="1"/>
        <c:majorTickMark val="out"/>
        <c:minorTickMark val="none"/>
        <c:tickLblPos val="none"/>
        <c:crossAx val="385824192"/>
        <c:crosses val="autoZero"/>
        <c:crossBetween val="between"/>
      </c:valAx>
    </c:plotArea>
    <c:legend>
      <c:legendPos val="l"/>
      <c:layout>
        <c:manualLayout>
          <c:xMode val="edge"/>
          <c:yMode val="edge"/>
          <c:x val="1.2455472095901251E-2"/>
          <c:y val="0.14151422463670021"/>
          <c:w val="7.5699194137493792E-2"/>
          <c:h val="0.73104918936373764"/>
        </c:manualLayout>
      </c:layout>
      <c:overlay val="0"/>
      <c:txPr>
        <a:bodyPr/>
        <a:lstStyle/>
        <a:p>
          <a:pPr>
            <a:defRPr sz="700"/>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00"/>
            </a:pPr>
            <a:r>
              <a:rPr lang="ro-RO" sz="800"/>
              <a:t>Valoarea</a:t>
            </a:r>
            <a:r>
              <a:rPr lang="ro-RO" sz="800" baseline="0"/>
              <a:t> investițiilor realizate în anii 2014-2022 pe raioane</a:t>
            </a:r>
            <a:endParaRPr lang="ru-RU" sz="800"/>
          </a:p>
        </c:rich>
      </c:tx>
      <c:overlay val="0"/>
    </c:title>
    <c:autoTitleDeleted val="0"/>
    <c:plotArea>
      <c:layout>
        <c:manualLayout>
          <c:layoutTarget val="inner"/>
          <c:xMode val="edge"/>
          <c:yMode val="edge"/>
          <c:x val="8.1176242987038225E-2"/>
          <c:y val="0.10285019763434784"/>
          <c:w val="0.8910630149757105"/>
          <c:h val="0.59118615624600057"/>
        </c:manualLayout>
      </c:layout>
      <c:barChart>
        <c:barDir val="col"/>
        <c:grouping val="clustered"/>
        <c:varyColors val="0"/>
        <c:ser>
          <c:idx val="0"/>
          <c:order val="0"/>
          <c:tx>
            <c:strRef>
              <c:f>Лист1!$B$1</c:f>
              <c:strCache>
                <c:ptCount val="1"/>
                <c:pt idx="0">
                  <c:v>Столбец1</c:v>
                </c:pt>
              </c:strCache>
            </c:strRef>
          </c:tx>
          <c:invertIfNegative val="0"/>
          <c:dLbls>
            <c:dLbl>
              <c:idx val="5"/>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7"/>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8"/>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16"/>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17"/>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19"/>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21"/>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dLbl>
              <c:idx val="35"/>
              <c:spPr>
                <a:noFill/>
                <a:ln>
                  <a:noFill/>
                </a:ln>
                <a:effectLst/>
              </c:spPr>
              <c:txPr>
                <a:bodyPr rot="-5400000" vert="horz"/>
                <a:lstStyle/>
                <a:p>
                  <a:pPr>
                    <a:defRPr sz="700" b="1">
                      <a:solidFill>
                        <a:srgbClr val="FF0000"/>
                      </a:solidFill>
                    </a:defRPr>
                  </a:pPr>
                  <a:endParaRPr lang="ru-RU"/>
                </a:p>
              </c:txPr>
              <c:showLegendKey val="0"/>
              <c:showVal val="1"/>
              <c:showCatName val="0"/>
              <c:showSerName val="0"/>
              <c:showPercent val="0"/>
              <c:showBubbleSize val="0"/>
            </c:dLbl>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Лист1!$A$2:$A$39</c:f>
              <c:strCache>
                <c:ptCount val="38"/>
                <c:pt idx="0">
                  <c:v>Anenii Noi</c:v>
                </c:pt>
                <c:pt idx="1">
                  <c:v>Basarabeasca</c:v>
                </c:pt>
                <c:pt idx="2">
                  <c:v>Bălți</c:v>
                </c:pt>
                <c:pt idx="3">
                  <c:v>Briceni</c:v>
                </c:pt>
                <c:pt idx="4">
                  <c:v>Cahul</c:v>
                </c:pt>
                <c:pt idx="5">
                  <c:v>Cantemir</c:v>
                </c:pt>
                <c:pt idx="6">
                  <c:v>Călărași </c:v>
                </c:pt>
                <c:pt idx="7">
                  <c:v>Căușeni</c:v>
                </c:pt>
                <c:pt idx="8">
                  <c:v>Chișinău</c:v>
                </c:pt>
                <c:pt idx="9">
                  <c:v>Cimișlia</c:v>
                </c:pt>
                <c:pt idx="10">
                  <c:v>Comrat</c:v>
                </c:pt>
                <c:pt idx="11">
                  <c:v>Criuleni</c:v>
                </c:pt>
                <c:pt idx="12">
                  <c:v>Dondușeni</c:v>
                </c:pt>
                <c:pt idx="13">
                  <c:v>Drochia</c:v>
                </c:pt>
                <c:pt idx="14">
                  <c:v>Dubăsari</c:v>
                </c:pt>
                <c:pt idx="15">
                  <c:v>Edineț</c:v>
                </c:pt>
                <c:pt idx="16">
                  <c:v>Fălești</c:v>
                </c:pt>
                <c:pt idx="17">
                  <c:v>Florești</c:v>
                </c:pt>
                <c:pt idx="18">
                  <c:v>Glodeni</c:v>
                </c:pt>
                <c:pt idx="19">
                  <c:v>Hîncești</c:v>
                </c:pt>
                <c:pt idx="20">
                  <c:v>Ialoveni</c:v>
                </c:pt>
                <c:pt idx="21">
                  <c:v>Leova</c:v>
                </c:pt>
                <c:pt idx="22">
                  <c:v>Nisporeni</c:v>
                </c:pt>
                <c:pt idx="23">
                  <c:v>Ocnița</c:v>
                </c:pt>
                <c:pt idx="24">
                  <c:v>Orhei</c:v>
                </c:pt>
                <c:pt idx="25">
                  <c:v>Rezina</c:v>
                </c:pt>
                <c:pt idx="26">
                  <c:v>Rîșcani</c:v>
                </c:pt>
                <c:pt idx="27">
                  <c:v>Sîngerei</c:v>
                </c:pt>
                <c:pt idx="28">
                  <c:v>Soldănești</c:v>
                </c:pt>
                <c:pt idx="29">
                  <c:v>Soroca </c:v>
                </c:pt>
                <c:pt idx="30">
                  <c:v>Strășeni</c:v>
                </c:pt>
                <c:pt idx="31">
                  <c:v>Şoldăneşti</c:v>
                </c:pt>
                <c:pt idx="32">
                  <c:v>Ștefan-Vodă</c:v>
                </c:pt>
                <c:pt idx="33">
                  <c:v>Taraclia</c:v>
                </c:pt>
                <c:pt idx="34">
                  <c:v>Telenești</c:v>
                </c:pt>
                <c:pt idx="35">
                  <c:v>Ungheni</c:v>
                </c:pt>
                <c:pt idx="36">
                  <c:v>UTAG</c:v>
                </c:pt>
                <c:pt idx="37">
                  <c:v>APP (Magistrala Chişinău-Străşeni-Călăraşi)</c:v>
                </c:pt>
              </c:strCache>
            </c:strRef>
          </c:cat>
          <c:val>
            <c:numRef>
              <c:f>Лист1!$B$2:$B$39</c:f>
              <c:numCache>
                <c:formatCode>General</c:formatCode>
                <c:ptCount val="38"/>
                <c:pt idx="0">
                  <c:v>58.9</c:v>
                </c:pt>
                <c:pt idx="1">
                  <c:v>69.400000000000006</c:v>
                </c:pt>
                <c:pt idx="2">
                  <c:v>42.8</c:v>
                </c:pt>
                <c:pt idx="3">
                  <c:v>74.400000000000006</c:v>
                </c:pt>
                <c:pt idx="4">
                  <c:v>150.1</c:v>
                </c:pt>
                <c:pt idx="5">
                  <c:v>226.7</c:v>
                </c:pt>
                <c:pt idx="6">
                  <c:v>123.5</c:v>
                </c:pt>
                <c:pt idx="7">
                  <c:v>234.2</c:v>
                </c:pt>
                <c:pt idx="8">
                  <c:v>210.3</c:v>
                </c:pt>
                <c:pt idx="9">
                  <c:v>81.400000000000006</c:v>
                </c:pt>
                <c:pt idx="10">
                  <c:v>60.8</c:v>
                </c:pt>
                <c:pt idx="11">
                  <c:v>111</c:v>
                </c:pt>
                <c:pt idx="12">
                  <c:v>90</c:v>
                </c:pt>
                <c:pt idx="13">
                  <c:v>180.4</c:v>
                </c:pt>
                <c:pt idx="14">
                  <c:v>26.3</c:v>
                </c:pt>
                <c:pt idx="15">
                  <c:v>171</c:v>
                </c:pt>
                <c:pt idx="16">
                  <c:v>247.2</c:v>
                </c:pt>
                <c:pt idx="17">
                  <c:v>260.2</c:v>
                </c:pt>
                <c:pt idx="18">
                  <c:v>109.4</c:v>
                </c:pt>
                <c:pt idx="19">
                  <c:v>201.3</c:v>
                </c:pt>
                <c:pt idx="20">
                  <c:v>134.4</c:v>
                </c:pt>
                <c:pt idx="21">
                  <c:v>339.1</c:v>
                </c:pt>
                <c:pt idx="22">
                  <c:v>196.6</c:v>
                </c:pt>
                <c:pt idx="23">
                  <c:v>27.5</c:v>
                </c:pt>
                <c:pt idx="24">
                  <c:v>99.8</c:v>
                </c:pt>
                <c:pt idx="25">
                  <c:v>81.099999999999994</c:v>
                </c:pt>
                <c:pt idx="26">
                  <c:v>51.9</c:v>
                </c:pt>
                <c:pt idx="27">
                  <c:v>148.5</c:v>
                </c:pt>
                <c:pt idx="28">
                  <c:v>57.3</c:v>
                </c:pt>
                <c:pt idx="29">
                  <c:v>175.1</c:v>
                </c:pt>
                <c:pt idx="30">
                  <c:v>121.8</c:v>
                </c:pt>
                <c:pt idx="31">
                  <c:v>12.8</c:v>
                </c:pt>
                <c:pt idx="32">
                  <c:v>47.6</c:v>
                </c:pt>
                <c:pt idx="33">
                  <c:v>22.4</c:v>
                </c:pt>
                <c:pt idx="34">
                  <c:v>84.8</c:v>
                </c:pt>
                <c:pt idx="35">
                  <c:v>282.89999999999969</c:v>
                </c:pt>
                <c:pt idx="36">
                  <c:v>46.9</c:v>
                </c:pt>
                <c:pt idx="37">
                  <c:v>18.7</c:v>
                </c:pt>
              </c:numCache>
            </c:numRef>
          </c:val>
          <c:extLst xmlns:c16r2="http://schemas.microsoft.com/office/drawing/2015/06/chart">
            <c:ext xmlns:c16="http://schemas.microsoft.com/office/drawing/2014/chart" uri="{C3380CC4-5D6E-409C-BE32-E72D297353CC}">
              <c16:uniqueId val="{00000000-88FE-4685-994B-B1A248064519}"/>
            </c:ext>
          </c:extLst>
        </c:ser>
        <c:dLbls>
          <c:showLegendKey val="0"/>
          <c:showVal val="0"/>
          <c:showCatName val="0"/>
          <c:showSerName val="0"/>
          <c:showPercent val="0"/>
          <c:showBubbleSize val="0"/>
        </c:dLbls>
        <c:gapWidth val="150"/>
        <c:axId val="258271576"/>
        <c:axId val="258276280"/>
      </c:barChart>
      <c:catAx>
        <c:axId val="258271576"/>
        <c:scaling>
          <c:orientation val="minMax"/>
        </c:scaling>
        <c:delete val="0"/>
        <c:axPos val="b"/>
        <c:numFmt formatCode="General" sourceLinked="0"/>
        <c:majorTickMark val="out"/>
        <c:minorTickMark val="none"/>
        <c:tickLblPos val="nextTo"/>
        <c:txPr>
          <a:bodyPr/>
          <a:lstStyle/>
          <a:p>
            <a:pPr>
              <a:defRPr sz="700"/>
            </a:pPr>
            <a:endParaRPr lang="ru-RU"/>
          </a:p>
        </c:txPr>
        <c:crossAx val="258276280"/>
        <c:crosses val="autoZero"/>
        <c:auto val="1"/>
        <c:lblAlgn val="ctr"/>
        <c:lblOffset val="100"/>
        <c:noMultiLvlLbl val="0"/>
      </c:catAx>
      <c:valAx>
        <c:axId val="258276280"/>
        <c:scaling>
          <c:orientation val="minMax"/>
        </c:scaling>
        <c:delete val="1"/>
        <c:axPos val="l"/>
        <c:majorGridlines/>
        <c:numFmt formatCode="General" sourceLinked="1"/>
        <c:majorTickMark val="out"/>
        <c:minorTickMark val="none"/>
        <c:tickLblPos val="none"/>
        <c:crossAx val="258271576"/>
        <c:crosses val="autoZero"/>
        <c:crossBetween val="between"/>
      </c:valAx>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800"/>
              <a:t>Numărul de localități conectate la stațiile de tratare a apei, 2021 față de 2016</a:t>
            </a:r>
            <a:endParaRPr lang="ru-RU" sz="800"/>
          </a:p>
        </c:rich>
      </c:tx>
      <c:overlay val="0"/>
    </c:title>
    <c:autoTitleDeleted val="0"/>
    <c:plotArea>
      <c:layout>
        <c:manualLayout>
          <c:layoutTarget val="inner"/>
          <c:xMode val="edge"/>
          <c:yMode val="edge"/>
          <c:x val="0.10612256052143942"/>
          <c:y val="0.12617151904736368"/>
          <c:w val="0.87238662875473849"/>
          <c:h val="0.59516872890888639"/>
        </c:manualLayout>
      </c:layout>
      <c:barChart>
        <c:barDir val="col"/>
        <c:grouping val="clustered"/>
        <c:varyColors val="0"/>
        <c:ser>
          <c:idx val="0"/>
          <c:order val="0"/>
          <c:tx>
            <c:strRef>
              <c:f>Лист1!$B$1</c:f>
              <c:strCache>
                <c:ptCount val="1"/>
                <c:pt idx="0">
                  <c:v>total </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Лист1!$B$2:$B$36</c:f>
              <c:numCache>
                <c:formatCode>General</c:formatCode>
                <c:ptCount val="35"/>
                <c:pt idx="0">
                  <c:v>35</c:v>
                </c:pt>
                <c:pt idx="1">
                  <c:v>3</c:v>
                </c:pt>
                <c:pt idx="2">
                  <c:v>39</c:v>
                </c:pt>
                <c:pt idx="3">
                  <c:v>30</c:v>
                </c:pt>
                <c:pt idx="4">
                  <c:v>40</c:v>
                </c:pt>
                <c:pt idx="5">
                  <c:v>49</c:v>
                </c:pt>
                <c:pt idx="6">
                  <c:v>76</c:v>
                </c:pt>
                <c:pt idx="7">
                  <c:v>74</c:v>
                </c:pt>
                <c:pt idx="8">
                  <c:v>35</c:v>
                </c:pt>
                <c:pt idx="9">
                  <c:v>33</c:v>
                </c:pt>
                <c:pt idx="10">
                  <c:v>55</c:v>
                </c:pt>
                <c:pt idx="11">
                  <c:v>70</c:v>
                </c:pt>
                <c:pt idx="12">
                  <c:v>68</c:v>
                </c:pt>
                <c:pt idx="13">
                  <c:v>45</c:v>
                </c:pt>
                <c:pt idx="14">
                  <c:v>44</c:v>
                </c:pt>
                <c:pt idx="15">
                  <c:v>43</c:v>
                </c:pt>
                <c:pt idx="16">
                  <c:v>15</c:v>
                </c:pt>
                <c:pt idx="17">
                  <c:v>63</c:v>
                </c:pt>
                <c:pt idx="18">
                  <c:v>34</c:v>
                </c:pt>
                <c:pt idx="19">
                  <c:v>39</c:v>
                </c:pt>
                <c:pt idx="20">
                  <c:v>75</c:v>
                </c:pt>
                <c:pt idx="21">
                  <c:v>41</c:v>
                </c:pt>
                <c:pt idx="22">
                  <c:v>39</c:v>
                </c:pt>
                <c:pt idx="23">
                  <c:v>33</c:v>
                </c:pt>
                <c:pt idx="24">
                  <c:v>54</c:v>
                </c:pt>
                <c:pt idx="25">
                  <c:v>74</c:v>
                </c:pt>
                <c:pt idx="26">
                  <c:v>10</c:v>
                </c:pt>
                <c:pt idx="27">
                  <c:v>55</c:v>
                </c:pt>
                <c:pt idx="28">
                  <c:v>51</c:v>
                </c:pt>
                <c:pt idx="29">
                  <c:v>48</c:v>
                </c:pt>
                <c:pt idx="30">
                  <c:v>39</c:v>
                </c:pt>
                <c:pt idx="31">
                  <c:v>40</c:v>
                </c:pt>
                <c:pt idx="32">
                  <c:v>26</c:v>
                </c:pt>
                <c:pt idx="33">
                  <c:v>26</c:v>
                </c:pt>
                <c:pt idx="34">
                  <c:v>32</c:v>
                </c:pt>
              </c:numCache>
            </c:numRef>
          </c:val>
          <c:extLst xmlns:c16r2="http://schemas.microsoft.com/office/drawing/2015/06/chart">
            <c:ext xmlns:c16="http://schemas.microsoft.com/office/drawing/2014/chart" uri="{C3380CC4-5D6E-409C-BE32-E72D297353CC}">
              <c16:uniqueId val="{00000000-90B1-4F4C-A299-54DA691916DD}"/>
            </c:ext>
          </c:extLst>
        </c:ser>
        <c:ser>
          <c:idx val="1"/>
          <c:order val="1"/>
          <c:tx>
            <c:strRef>
              <c:f>Лист1!$C$1</c:f>
              <c:strCache>
                <c:ptCount val="1"/>
                <c:pt idx="0">
                  <c:v>2016</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Лист1!$C$2:$C$36</c:f>
              <c:numCache>
                <c:formatCode>General</c:formatCode>
                <c:ptCount val="35"/>
                <c:pt idx="0">
                  <c:v>1</c:v>
                </c:pt>
                <c:pt idx="1">
                  <c:v>0</c:v>
                </c:pt>
                <c:pt idx="2">
                  <c:v>0</c:v>
                </c:pt>
                <c:pt idx="3">
                  <c:v>3</c:v>
                </c:pt>
                <c:pt idx="4">
                  <c:v>0</c:v>
                </c:pt>
                <c:pt idx="5">
                  <c:v>1</c:v>
                </c:pt>
                <c:pt idx="6">
                  <c:v>0</c:v>
                </c:pt>
                <c:pt idx="7">
                  <c:v>2</c:v>
                </c:pt>
                <c:pt idx="8">
                  <c:v>0</c:v>
                </c:pt>
                <c:pt idx="9">
                  <c:v>0</c:v>
                </c:pt>
                <c:pt idx="10">
                  <c:v>0</c:v>
                </c:pt>
                <c:pt idx="11">
                  <c:v>0</c:v>
                </c:pt>
                <c:pt idx="12">
                  <c:v>1</c:v>
                </c:pt>
                <c:pt idx="13">
                  <c:v>6</c:v>
                </c:pt>
                <c:pt idx="14">
                  <c:v>0</c:v>
                </c:pt>
                <c:pt idx="15">
                  <c:v>1</c:v>
                </c:pt>
                <c:pt idx="16">
                  <c:v>1</c:v>
                </c:pt>
                <c:pt idx="17">
                  <c:v>0</c:v>
                </c:pt>
                <c:pt idx="18">
                  <c:v>0</c:v>
                </c:pt>
                <c:pt idx="19">
                  <c:v>3</c:v>
                </c:pt>
                <c:pt idx="20">
                  <c:v>0</c:v>
                </c:pt>
                <c:pt idx="21">
                  <c:v>0</c:v>
                </c:pt>
                <c:pt idx="22">
                  <c:v>0</c:v>
                </c:pt>
                <c:pt idx="23">
                  <c:v>0</c:v>
                </c:pt>
                <c:pt idx="24">
                  <c:v>0</c:v>
                </c:pt>
                <c:pt idx="25">
                  <c:v>6</c:v>
                </c:pt>
                <c:pt idx="26">
                  <c:v>4</c:v>
                </c:pt>
                <c:pt idx="27">
                  <c:v>3</c:v>
                </c:pt>
                <c:pt idx="28">
                  <c:v>2</c:v>
                </c:pt>
                <c:pt idx="29">
                  <c:v>1</c:v>
                </c:pt>
                <c:pt idx="30">
                  <c:v>0</c:v>
                </c:pt>
                <c:pt idx="31">
                  <c:v>1</c:v>
                </c:pt>
                <c:pt idx="32">
                  <c:v>3</c:v>
                </c:pt>
                <c:pt idx="33">
                  <c:v>0</c:v>
                </c:pt>
                <c:pt idx="34">
                  <c:v>0</c:v>
                </c:pt>
              </c:numCache>
            </c:numRef>
          </c:val>
          <c:extLst xmlns:c16r2="http://schemas.microsoft.com/office/drawing/2015/06/chart">
            <c:ext xmlns:c16="http://schemas.microsoft.com/office/drawing/2014/chart" uri="{C3380CC4-5D6E-409C-BE32-E72D297353CC}">
              <c16:uniqueId val="{00000001-90B1-4F4C-A299-54DA691916DD}"/>
            </c:ext>
          </c:extLst>
        </c:ser>
        <c:ser>
          <c:idx val="2"/>
          <c:order val="2"/>
          <c:tx>
            <c:strRef>
              <c:f>Лист1!$D$1</c:f>
              <c:strCache>
                <c:ptCount val="1"/>
                <c:pt idx="0">
                  <c:v>2021</c:v>
                </c:pt>
              </c:strCache>
            </c:strRef>
          </c:tx>
          <c:spPr>
            <a:solidFill>
              <a:srgbClr val="92D050"/>
            </a:solidFill>
          </c:spPr>
          <c:invertIfNegative val="0"/>
          <c:dLbls>
            <c:spPr>
              <a:noFill/>
              <a:ln>
                <a:noFill/>
              </a:ln>
              <a:effectLst/>
            </c:spPr>
            <c:txPr>
              <a:bodyPr rot="-5400000" vert="horz"/>
              <a:lstStyle/>
              <a:p>
                <a:pPr>
                  <a:defRPr sz="6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Лист1!$D$2:$D$36</c:f>
              <c:numCache>
                <c:formatCode>General</c:formatCode>
                <c:ptCount val="35"/>
                <c:pt idx="0">
                  <c:v>3</c:v>
                </c:pt>
                <c:pt idx="1">
                  <c:v>0</c:v>
                </c:pt>
                <c:pt idx="2">
                  <c:v>1</c:v>
                </c:pt>
                <c:pt idx="3">
                  <c:v>3</c:v>
                </c:pt>
                <c:pt idx="4">
                  <c:v>0</c:v>
                </c:pt>
                <c:pt idx="5">
                  <c:v>1</c:v>
                </c:pt>
                <c:pt idx="6">
                  <c:v>0</c:v>
                </c:pt>
                <c:pt idx="7">
                  <c:v>7</c:v>
                </c:pt>
                <c:pt idx="8">
                  <c:v>1</c:v>
                </c:pt>
                <c:pt idx="9">
                  <c:v>1</c:v>
                </c:pt>
                <c:pt idx="10">
                  <c:v>1</c:v>
                </c:pt>
                <c:pt idx="11">
                  <c:v>0</c:v>
                </c:pt>
                <c:pt idx="12">
                  <c:v>1</c:v>
                </c:pt>
                <c:pt idx="13">
                  <c:v>1</c:v>
                </c:pt>
                <c:pt idx="14">
                  <c:v>2</c:v>
                </c:pt>
                <c:pt idx="15">
                  <c:v>1</c:v>
                </c:pt>
                <c:pt idx="16">
                  <c:v>0</c:v>
                </c:pt>
                <c:pt idx="17">
                  <c:v>1</c:v>
                </c:pt>
                <c:pt idx="18">
                  <c:v>0</c:v>
                </c:pt>
                <c:pt idx="19">
                  <c:v>3</c:v>
                </c:pt>
                <c:pt idx="20">
                  <c:v>2</c:v>
                </c:pt>
                <c:pt idx="21">
                  <c:v>1</c:v>
                </c:pt>
                <c:pt idx="22">
                  <c:v>4</c:v>
                </c:pt>
                <c:pt idx="23">
                  <c:v>3</c:v>
                </c:pt>
                <c:pt idx="24">
                  <c:v>3</c:v>
                </c:pt>
                <c:pt idx="25">
                  <c:v>5</c:v>
                </c:pt>
                <c:pt idx="26">
                  <c:v>6</c:v>
                </c:pt>
                <c:pt idx="27">
                  <c:v>3</c:v>
                </c:pt>
                <c:pt idx="28">
                  <c:v>1</c:v>
                </c:pt>
                <c:pt idx="29">
                  <c:v>0</c:v>
                </c:pt>
                <c:pt idx="30">
                  <c:v>0</c:v>
                </c:pt>
                <c:pt idx="31">
                  <c:v>1</c:v>
                </c:pt>
                <c:pt idx="32">
                  <c:v>1</c:v>
                </c:pt>
                <c:pt idx="33">
                  <c:v>1</c:v>
                </c:pt>
                <c:pt idx="34">
                  <c:v>9</c:v>
                </c:pt>
              </c:numCache>
            </c:numRef>
          </c:val>
          <c:extLst xmlns:c16r2="http://schemas.microsoft.com/office/drawing/2015/06/chart">
            <c:ext xmlns:c16="http://schemas.microsoft.com/office/drawing/2014/chart" uri="{C3380CC4-5D6E-409C-BE32-E72D297353CC}">
              <c16:uniqueId val="{00000002-90B1-4F4C-A299-54DA691916DD}"/>
            </c:ext>
          </c:extLst>
        </c:ser>
        <c:dLbls>
          <c:showLegendKey val="0"/>
          <c:showVal val="0"/>
          <c:showCatName val="0"/>
          <c:showSerName val="0"/>
          <c:showPercent val="0"/>
          <c:showBubbleSize val="0"/>
        </c:dLbls>
        <c:gapWidth val="150"/>
        <c:axId val="385825368"/>
        <c:axId val="385825760"/>
      </c:barChart>
      <c:catAx>
        <c:axId val="385825368"/>
        <c:scaling>
          <c:orientation val="minMax"/>
        </c:scaling>
        <c:delete val="0"/>
        <c:axPos val="b"/>
        <c:numFmt formatCode="General" sourceLinked="0"/>
        <c:majorTickMark val="out"/>
        <c:minorTickMark val="none"/>
        <c:tickLblPos val="nextTo"/>
        <c:txPr>
          <a:bodyPr/>
          <a:lstStyle/>
          <a:p>
            <a:pPr>
              <a:defRPr sz="700"/>
            </a:pPr>
            <a:endParaRPr lang="ru-RU"/>
          </a:p>
        </c:txPr>
        <c:crossAx val="385825760"/>
        <c:crosses val="autoZero"/>
        <c:auto val="1"/>
        <c:lblAlgn val="ctr"/>
        <c:lblOffset val="100"/>
        <c:noMultiLvlLbl val="0"/>
      </c:catAx>
      <c:valAx>
        <c:axId val="385825760"/>
        <c:scaling>
          <c:orientation val="minMax"/>
        </c:scaling>
        <c:delete val="1"/>
        <c:axPos val="l"/>
        <c:majorGridlines/>
        <c:numFmt formatCode="General" sourceLinked="1"/>
        <c:majorTickMark val="out"/>
        <c:minorTickMark val="none"/>
        <c:tickLblPos val="none"/>
        <c:crossAx val="385825368"/>
        <c:crosses val="autoZero"/>
        <c:crossBetween val="between"/>
      </c:valAx>
    </c:plotArea>
    <c:legend>
      <c:legendPos val="l"/>
      <c:overlay val="0"/>
      <c:txPr>
        <a:bodyPr/>
        <a:lstStyle/>
        <a:p>
          <a:pPr>
            <a:defRPr sz="700"/>
          </a:pPr>
          <a:endParaRPr lang="ru-RU"/>
        </a:p>
      </c:txPr>
    </c:legend>
    <c:plotVisOnly val="1"/>
    <c:dispBlanksAs val="gap"/>
    <c:showDLblsOverMax val="0"/>
  </c:chart>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lgn="r">
              <a:defRPr/>
            </a:pPr>
            <a:r>
              <a:rPr lang="ro-RO" sz="800"/>
              <a:t>Numărul de localități conectate la stațiile de epurare a apelor uzate,</a:t>
            </a:r>
            <a:r>
              <a:rPr lang="ro-RO" sz="800" baseline="0"/>
              <a:t> </a:t>
            </a:r>
            <a:r>
              <a:rPr lang="ro-RO" sz="800"/>
              <a:t>2021 față de 2016</a:t>
            </a:r>
            <a:endParaRPr lang="ru-RU" sz="800"/>
          </a:p>
        </c:rich>
      </c:tx>
      <c:layout>
        <c:manualLayout>
          <c:xMode val="edge"/>
          <c:yMode val="edge"/>
          <c:x val="0.26934740005018526"/>
          <c:y val="3.9336892385501601E-2"/>
        </c:manualLayout>
      </c:layout>
      <c:overlay val="0"/>
    </c:title>
    <c:autoTitleDeleted val="0"/>
    <c:plotArea>
      <c:layout>
        <c:manualLayout>
          <c:layoutTarget val="inner"/>
          <c:xMode val="edge"/>
          <c:yMode val="edge"/>
          <c:x val="0.10612256052143942"/>
          <c:y val="0.12617151904736368"/>
          <c:w val="0.87238662875473849"/>
          <c:h val="0.59516872890888639"/>
        </c:manualLayout>
      </c:layout>
      <c:barChart>
        <c:barDir val="col"/>
        <c:grouping val="clustered"/>
        <c:varyColors val="0"/>
        <c:ser>
          <c:idx val="0"/>
          <c:order val="0"/>
          <c:tx>
            <c:strRef>
              <c:f>Лист1!$B$1</c:f>
              <c:strCache>
                <c:ptCount val="1"/>
                <c:pt idx="0">
                  <c:v>total </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Лист1!$B$2:$B$36</c:f>
              <c:numCache>
                <c:formatCode>General</c:formatCode>
                <c:ptCount val="35"/>
                <c:pt idx="0">
                  <c:v>35</c:v>
                </c:pt>
                <c:pt idx="1">
                  <c:v>3</c:v>
                </c:pt>
                <c:pt idx="2">
                  <c:v>39</c:v>
                </c:pt>
                <c:pt idx="3">
                  <c:v>30</c:v>
                </c:pt>
                <c:pt idx="4">
                  <c:v>40</c:v>
                </c:pt>
                <c:pt idx="5">
                  <c:v>49</c:v>
                </c:pt>
                <c:pt idx="6">
                  <c:v>76</c:v>
                </c:pt>
                <c:pt idx="7">
                  <c:v>74</c:v>
                </c:pt>
                <c:pt idx="8">
                  <c:v>35</c:v>
                </c:pt>
                <c:pt idx="9">
                  <c:v>33</c:v>
                </c:pt>
                <c:pt idx="10">
                  <c:v>55</c:v>
                </c:pt>
                <c:pt idx="11">
                  <c:v>70</c:v>
                </c:pt>
                <c:pt idx="12">
                  <c:v>68</c:v>
                </c:pt>
                <c:pt idx="13">
                  <c:v>45</c:v>
                </c:pt>
                <c:pt idx="14">
                  <c:v>44</c:v>
                </c:pt>
                <c:pt idx="15">
                  <c:v>43</c:v>
                </c:pt>
                <c:pt idx="16">
                  <c:v>15</c:v>
                </c:pt>
                <c:pt idx="17">
                  <c:v>63</c:v>
                </c:pt>
                <c:pt idx="18">
                  <c:v>34</c:v>
                </c:pt>
                <c:pt idx="19">
                  <c:v>39</c:v>
                </c:pt>
                <c:pt idx="20">
                  <c:v>75</c:v>
                </c:pt>
                <c:pt idx="21">
                  <c:v>41</c:v>
                </c:pt>
                <c:pt idx="22">
                  <c:v>39</c:v>
                </c:pt>
                <c:pt idx="23">
                  <c:v>33</c:v>
                </c:pt>
                <c:pt idx="24">
                  <c:v>54</c:v>
                </c:pt>
                <c:pt idx="25">
                  <c:v>74</c:v>
                </c:pt>
                <c:pt idx="26">
                  <c:v>10</c:v>
                </c:pt>
                <c:pt idx="27">
                  <c:v>55</c:v>
                </c:pt>
                <c:pt idx="28">
                  <c:v>51</c:v>
                </c:pt>
                <c:pt idx="29">
                  <c:v>48</c:v>
                </c:pt>
                <c:pt idx="30">
                  <c:v>39</c:v>
                </c:pt>
                <c:pt idx="31">
                  <c:v>40</c:v>
                </c:pt>
                <c:pt idx="32">
                  <c:v>26</c:v>
                </c:pt>
                <c:pt idx="33">
                  <c:v>26</c:v>
                </c:pt>
                <c:pt idx="34">
                  <c:v>32</c:v>
                </c:pt>
              </c:numCache>
            </c:numRef>
          </c:val>
          <c:extLst xmlns:c16r2="http://schemas.microsoft.com/office/drawing/2015/06/chart">
            <c:ext xmlns:c16="http://schemas.microsoft.com/office/drawing/2014/chart" uri="{C3380CC4-5D6E-409C-BE32-E72D297353CC}">
              <c16:uniqueId val="{00000000-93FE-474E-8FFF-FD22E3310BDE}"/>
            </c:ext>
          </c:extLst>
        </c:ser>
        <c:ser>
          <c:idx val="1"/>
          <c:order val="1"/>
          <c:tx>
            <c:strRef>
              <c:f>Лист1!$C$1</c:f>
              <c:strCache>
                <c:ptCount val="1"/>
                <c:pt idx="0">
                  <c:v>2016</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Лист1!$C$2:$C$36</c:f>
              <c:numCache>
                <c:formatCode>General</c:formatCode>
                <c:ptCount val="35"/>
                <c:pt idx="0">
                  <c:v>5</c:v>
                </c:pt>
                <c:pt idx="1">
                  <c:v>1</c:v>
                </c:pt>
                <c:pt idx="2">
                  <c:v>1</c:v>
                </c:pt>
                <c:pt idx="3">
                  <c:v>2</c:v>
                </c:pt>
                <c:pt idx="4">
                  <c:v>1</c:v>
                </c:pt>
                <c:pt idx="5">
                  <c:v>1</c:v>
                </c:pt>
                <c:pt idx="6">
                  <c:v>1</c:v>
                </c:pt>
                <c:pt idx="7">
                  <c:v>2</c:v>
                </c:pt>
                <c:pt idx="8">
                  <c:v>0</c:v>
                </c:pt>
                <c:pt idx="9">
                  <c:v>3</c:v>
                </c:pt>
                <c:pt idx="10">
                  <c:v>3</c:v>
                </c:pt>
                <c:pt idx="11">
                  <c:v>1</c:v>
                </c:pt>
                <c:pt idx="12">
                  <c:v>0</c:v>
                </c:pt>
                <c:pt idx="13">
                  <c:v>2</c:v>
                </c:pt>
                <c:pt idx="14">
                  <c:v>3</c:v>
                </c:pt>
                <c:pt idx="15">
                  <c:v>2</c:v>
                </c:pt>
                <c:pt idx="16">
                  <c:v>0</c:v>
                </c:pt>
                <c:pt idx="17">
                  <c:v>2</c:v>
                </c:pt>
                <c:pt idx="18">
                  <c:v>0</c:v>
                </c:pt>
                <c:pt idx="19">
                  <c:v>2</c:v>
                </c:pt>
                <c:pt idx="20">
                  <c:v>4</c:v>
                </c:pt>
                <c:pt idx="21">
                  <c:v>0</c:v>
                </c:pt>
                <c:pt idx="22">
                  <c:v>3</c:v>
                </c:pt>
                <c:pt idx="23">
                  <c:v>1</c:v>
                </c:pt>
                <c:pt idx="24">
                  <c:v>2</c:v>
                </c:pt>
                <c:pt idx="25">
                  <c:v>3</c:v>
                </c:pt>
                <c:pt idx="26">
                  <c:v>1</c:v>
                </c:pt>
                <c:pt idx="27">
                  <c:v>3</c:v>
                </c:pt>
                <c:pt idx="28">
                  <c:v>1</c:v>
                </c:pt>
                <c:pt idx="29">
                  <c:v>2</c:v>
                </c:pt>
                <c:pt idx="30">
                  <c:v>2</c:v>
                </c:pt>
                <c:pt idx="31">
                  <c:v>2</c:v>
                </c:pt>
                <c:pt idx="32">
                  <c:v>3</c:v>
                </c:pt>
                <c:pt idx="33">
                  <c:v>1</c:v>
                </c:pt>
                <c:pt idx="34">
                  <c:v>3</c:v>
                </c:pt>
              </c:numCache>
            </c:numRef>
          </c:val>
          <c:extLst xmlns:c16r2="http://schemas.microsoft.com/office/drawing/2015/06/chart">
            <c:ext xmlns:c16="http://schemas.microsoft.com/office/drawing/2014/chart" uri="{C3380CC4-5D6E-409C-BE32-E72D297353CC}">
              <c16:uniqueId val="{00000001-93FE-474E-8FFF-FD22E3310BDE}"/>
            </c:ext>
          </c:extLst>
        </c:ser>
        <c:ser>
          <c:idx val="2"/>
          <c:order val="2"/>
          <c:tx>
            <c:strRef>
              <c:f>Лист1!$D$1</c:f>
              <c:strCache>
                <c:ptCount val="1"/>
                <c:pt idx="0">
                  <c:v>2021</c:v>
                </c:pt>
              </c:strCache>
            </c:strRef>
          </c:tx>
          <c:spPr>
            <a:solidFill>
              <a:srgbClr val="92D050"/>
            </a:solidFill>
          </c:spPr>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Лист1!$D$2:$D$36</c:f>
              <c:numCache>
                <c:formatCode>General</c:formatCode>
                <c:ptCount val="35"/>
                <c:pt idx="0">
                  <c:v>9</c:v>
                </c:pt>
                <c:pt idx="1">
                  <c:v>2</c:v>
                </c:pt>
                <c:pt idx="2">
                  <c:v>1</c:v>
                </c:pt>
                <c:pt idx="3">
                  <c:v>3</c:v>
                </c:pt>
                <c:pt idx="4">
                  <c:v>1</c:v>
                </c:pt>
                <c:pt idx="5">
                  <c:v>2</c:v>
                </c:pt>
                <c:pt idx="6">
                  <c:v>1</c:v>
                </c:pt>
                <c:pt idx="7">
                  <c:v>2</c:v>
                </c:pt>
                <c:pt idx="8">
                  <c:v>0</c:v>
                </c:pt>
                <c:pt idx="9">
                  <c:v>3</c:v>
                </c:pt>
                <c:pt idx="10">
                  <c:v>3</c:v>
                </c:pt>
                <c:pt idx="11">
                  <c:v>1</c:v>
                </c:pt>
                <c:pt idx="12">
                  <c:v>0</c:v>
                </c:pt>
                <c:pt idx="13">
                  <c:v>3</c:v>
                </c:pt>
                <c:pt idx="14">
                  <c:v>6</c:v>
                </c:pt>
                <c:pt idx="15">
                  <c:v>2</c:v>
                </c:pt>
                <c:pt idx="16">
                  <c:v>0</c:v>
                </c:pt>
                <c:pt idx="17">
                  <c:v>4</c:v>
                </c:pt>
                <c:pt idx="18">
                  <c:v>0</c:v>
                </c:pt>
                <c:pt idx="19">
                  <c:v>3</c:v>
                </c:pt>
                <c:pt idx="20">
                  <c:v>5</c:v>
                </c:pt>
                <c:pt idx="21">
                  <c:v>0</c:v>
                </c:pt>
                <c:pt idx="22">
                  <c:v>1</c:v>
                </c:pt>
                <c:pt idx="23">
                  <c:v>2</c:v>
                </c:pt>
                <c:pt idx="24">
                  <c:v>3</c:v>
                </c:pt>
                <c:pt idx="25">
                  <c:v>3</c:v>
                </c:pt>
                <c:pt idx="26">
                  <c:v>1</c:v>
                </c:pt>
                <c:pt idx="27">
                  <c:v>2</c:v>
                </c:pt>
                <c:pt idx="28">
                  <c:v>1</c:v>
                </c:pt>
                <c:pt idx="29">
                  <c:v>2</c:v>
                </c:pt>
                <c:pt idx="30">
                  <c:v>2</c:v>
                </c:pt>
                <c:pt idx="31">
                  <c:v>4</c:v>
                </c:pt>
                <c:pt idx="32">
                  <c:v>2</c:v>
                </c:pt>
                <c:pt idx="33">
                  <c:v>2</c:v>
                </c:pt>
                <c:pt idx="34">
                  <c:v>4</c:v>
                </c:pt>
              </c:numCache>
            </c:numRef>
          </c:val>
          <c:extLst xmlns:c16r2="http://schemas.microsoft.com/office/drawing/2015/06/chart">
            <c:ext xmlns:c16="http://schemas.microsoft.com/office/drawing/2014/chart" uri="{C3380CC4-5D6E-409C-BE32-E72D297353CC}">
              <c16:uniqueId val="{00000002-93FE-474E-8FFF-FD22E3310BDE}"/>
            </c:ext>
          </c:extLst>
        </c:ser>
        <c:dLbls>
          <c:showLegendKey val="0"/>
          <c:showVal val="0"/>
          <c:showCatName val="0"/>
          <c:showSerName val="0"/>
          <c:showPercent val="0"/>
          <c:showBubbleSize val="0"/>
        </c:dLbls>
        <c:gapWidth val="150"/>
        <c:axId val="385826544"/>
        <c:axId val="385826936"/>
      </c:barChart>
      <c:catAx>
        <c:axId val="385826544"/>
        <c:scaling>
          <c:orientation val="minMax"/>
        </c:scaling>
        <c:delete val="0"/>
        <c:axPos val="b"/>
        <c:numFmt formatCode="General" sourceLinked="0"/>
        <c:majorTickMark val="out"/>
        <c:minorTickMark val="none"/>
        <c:tickLblPos val="nextTo"/>
        <c:txPr>
          <a:bodyPr/>
          <a:lstStyle/>
          <a:p>
            <a:pPr>
              <a:defRPr sz="700"/>
            </a:pPr>
            <a:endParaRPr lang="ru-RU"/>
          </a:p>
        </c:txPr>
        <c:crossAx val="385826936"/>
        <c:crosses val="autoZero"/>
        <c:auto val="1"/>
        <c:lblAlgn val="ctr"/>
        <c:lblOffset val="100"/>
        <c:noMultiLvlLbl val="0"/>
      </c:catAx>
      <c:valAx>
        <c:axId val="385826936"/>
        <c:scaling>
          <c:orientation val="minMax"/>
        </c:scaling>
        <c:delete val="1"/>
        <c:axPos val="l"/>
        <c:majorGridlines/>
        <c:numFmt formatCode="General" sourceLinked="1"/>
        <c:majorTickMark val="out"/>
        <c:minorTickMark val="none"/>
        <c:tickLblPos val="none"/>
        <c:crossAx val="385826544"/>
        <c:crosses val="autoZero"/>
        <c:crossBetween val="between"/>
      </c:valAx>
    </c:plotArea>
    <c:legend>
      <c:legendPos val="l"/>
      <c:overlay val="0"/>
      <c:txPr>
        <a:bodyPr/>
        <a:lstStyle/>
        <a:p>
          <a:pPr>
            <a:defRPr sz="700"/>
          </a:pPr>
          <a:endParaRPr lang="ru-RU"/>
        </a:p>
      </c:txPr>
    </c:legend>
    <c:plotVisOnly val="1"/>
    <c:dispBlanksAs val="gap"/>
    <c:showDLblsOverMax val="0"/>
  </c:chart>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ro-RO" sz="800"/>
              <a:t>Numărul de indicatori colectați de BNS în domeniul alimentării cu apă și sanitației (2014-2021), conform Formularului nr.1 Apeduct-canalizare</a:t>
            </a:r>
            <a:endParaRPr lang="ru-RU" sz="800"/>
          </a:p>
        </c:rich>
      </c:tx>
      <c:layout>
        <c:manualLayout>
          <c:xMode val="edge"/>
          <c:yMode val="edge"/>
          <c:x val="0.11561205655744645"/>
          <c:y val="3.2448611266390884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4.5029693409511594E-2"/>
          <c:y val="0.24147387369662326"/>
          <c:w val="0.93248700410396657"/>
          <c:h val="0.46639662768540596"/>
        </c:manualLayout>
      </c:layout>
      <c:bar3DChart>
        <c:barDir val="col"/>
        <c:grouping val="clustered"/>
        <c:varyColors val="0"/>
        <c:ser>
          <c:idx val="0"/>
          <c:order val="0"/>
          <c:tx>
            <c:strRef>
              <c:f>Лист1!$B$1</c:f>
              <c:strCache>
                <c:ptCount val="1"/>
                <c:pt idx="0">
                  <c:v>Numărul de indicatori pentru SAA</c:v>
                </c:pt>
              </c:strCache>
            </c:strRef>
          </c:tx>
          <c:spPr>
            <a:solidFill>
              <a:srgbClr val="FFC00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în anii 2014-2018</c:v>
                </c:pt>
                <c:pt idx="1">
                  <c:v>în anii 2019-2020</c:v>
                </c:pt>
                <c:pt idx="2">
                  <c:v>în anul 2021</c:v>
                </c:pt>
              </c:strCache>
            </c:strRef>
          </c:cat>
          <c:val>
            <c:numRef>
              <c:f>Лист1!$B$2:$B$4</c:f>
              <c:numCache>
                <c:formatCode>General</c:formatCode>
                <c:ptCount val="3"/>
                <c:pt idx="0">
                  <c:v>30</c:v>
                </c:pt>
                <c:pt idx="1">
                  <c:v>20</c:v>
                </c:pt>
                <c:pt idx="2">
                  <c:v>18</c:v>
                </c:pt>
              </c:numCache>
            </c:numRef>
          </c:val>
          <c:extLst xmlns:c16r2="http://schemas.microsoft.com/office/drawing/2015/06/chart">
            <c:ext xmlns:c16="http://schemas.microsoft.com/office/drawing/2014/chart" uri="{C3380CC4-5D6E-409C-BE32-E72D297353CC}">
              <c16:uniqueId val="{00000000-971B-4EC1-B205-352A6C2170E4}"/>
            </c:ext>
          </c:extLst>
        </c:ser>
        <c:ser>
          <c:idx val="1"/>
          <c:order val="1"/>
          <c:tx>
            <c:strRef>
              <c:f>Лист1!$C$1</c:f>
              <c:strCache>
                <c:ptCount val="1"/>
                <c:pt idx="0">
                  <c:v>Numărul de indicatori pentru SC</c:v>
                </c:pt>
              </c:strCache>
            </c:strRef>
          </c:tx>
          <c:spPr>
            <a:solidFill>
              <a:srgbClr val="00B0F0"/>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în anii 2014-2018</c:v>
                </c:pt>
                <c:pt idx="1">
                  <c:v>în anii 2019-2020</c:v>
                </c:pt>
                <c:pt idx="2">
                  <c:v>în anul 2021</c:v>
                </c:pt>
              </c:strCache>
            </c:strRef>
          </c:cat>
          <c:val>
            <c:numRef>
              <c:f>Лист1!$C$2:$C$4</c:f>
              <c:numCache>
                <c:formatCode>General</c:formatCode>
                <c:ptCount val="3"/>
                <c:pt idx="0">
                  <c:v>34</c:v>
                </c:pt>
                <c:pt idx="1">
                  <c:v>15</c:v>
                </c:pt>
                <c:pt idx="2">
                  <c:v>14</c:v>
                </c:pt>
              </c:numCache>
            </c:numRef>
          </c:val>
          <c:extLst xmlns:c16r2="http://schemas.microsoft.com/office/drawing/2015/06/chart">
            <c:ext xmlns:c16="http://schemas.microsoft.com/office/drawing/2014/chart" uri="{C3380CC4-5D6E-409C-BE32-E72D297353CC}">
              <c16:uniqueId val="{00000001-971B-4EC1-B205-352A6C2170E4}"/>
            </c:ext>
          </c:extLst>
        </c:ser>
        <c:dLbls>
          <c:showLegendKey val="0"/>
          <c:showVal val="0"/>
          <c:showCatName val="0"/>
          <c:showSerName val="0"/>
          <c:showPercent val="0"/>
          <c:showBubbleSize val="0"/>
        </c:dLbls>
        <c:gapWidth val="150"/>
        <c:shape val="cylinder"/>
        <c:axId val="385827720"/>
        <c:axId val="385828112"/>
        <c:axId val="0"/>
      </c:bar3DChart>
      <c:catAx>
        <c:axId val="385827720"/>
        <c:scaling>
          <c:orientation val="minMax"/>
        </c:scaling>
        <c:delete val="0"/>
        <c:axPos val="b"/>
        <c:numFmt formatCode="General" sourceLinked="0"/>
        <c:majorTickMark val="out"/>
        <c:minorTickMark val="none"/>
        <c:tickLblPos val="nextTo"/>
        <c:txPr>
          <a:bodyPr/>
          <a:lstStyle/>
          <a:p>
            <a:pPr>
              <a:defRPr sz="800"/>
            </a:pPr>
            <a:endParaRPr lang="ru-RU"/>
          </a:p>
        </c:txPr>
        <c:crossAx val="385828112"/>
        <c:crosses val="autoZero"/>
        <c:auto val="1"/>
        <c:lblAlgn val="ctr"/>
        <c:lblOffset val="100"/>
        <c:noMultiLvlLbl val="0"/>
      </c:catAx>
      <c:valAx>
        <c:axId val="385828112"/>
        <c:scaling>
          <c:orientation val="minMax"/>
        </c:scaling>
        <c:delete val="0"/>
        <c:axPos val="l"/>
        <c:majorGridlines/>
        <c:numFmt formatCode="General" sourceLinked="1"/>
        <c:majorTickMark val="out"/>
        <c:minorTickMark val="none"/>
        <c:tickLblPos val="nextTo"/>
        <c:txPr>
          <a:bodyPr/>
          <a:lstStyle/>
          <a:p>
            <a:pPr>
              <a:defRPr sz="800"/>
            </a:pPr>
            <a:endParaRPr lang="ru-RU"/>
          </a:p>
        </c:txPr>
        <c:crossAx val="385827720"/>
        <c:crosses val="autoZero"/>
        <c:crossBetween val="between"/>
      </c:valAx>
    </c:plotArea>
    <c:legend>
      <c:legendPos val="b"/>
      <c:layout>
        <c:manualLayout>
          <c:xMode val="edge"/>
          <c:yMode val="edge"/>
          <c:x val="0.26708682707009052"/>
          <c:y val="0.85667088056939811"/>
          <c:w val="0.46582634585982347"/>
          <c:h val="0.11899111630946441"/>
        </c:manualLayout>
      </c:layout>
      <c:overlay val="0"/>
      <c:txPr>
        <a:bodyPr/>
        <a:lstStyle/>
        <a:p>
          <a:pPr>
            <a:defRPr sz="800"/>
          </a:pPr>
          <a:endParaRPr lang="ru-RU"/>
        </a:p>
      </c:txPr>
    </c:legend>
    <c:plotVisOnly val="1"/>
    <c:dispBlanksAs val="gap"/>
    <c:showDLblsOverMax val="0"/>
  </c:chart>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mj-lt"/>
                <a:ea typeface="+mn-ea"/>
                <a:cs typeface="+mn-cs"/>
              </a:defRPr>
            </a:pPr>
            <a:r>
              <a:rPr lang="en-US"/>
              <a:t>Debursări, mil.</a:t>
            </a:r>
            <a:r>
              <a:rPr lang="x-none"/>
              <a:t> euro</a:t>
            </a:r>
            <a:endParaRPr lang="en-US"/>
          </a:p>
        </c:rich>
      </c:tx>
      <c:overlay val="0"/>
      <c:spPr>
        <a:noFill/>
        <a:ln>
          <a:noFill/>
        </a:ln>
        <a:effectLst/>
      </c:spPr>
    </c:title>
    <c:autoTitleDeleted val="0"/>
    <c:plotArea>
      <c:layout/>
      <c:barChart>
        <c:barDir val="col"/>
        <c:grouping val="clustered"/>
        <c:varyColors val="0"/>
        <c:ser>
          <c:idx val="0"/>
          <c:order val="0"/>
          <c:tx>
            <c:strRef>
              <c:f>Sheet1!$B$1</c:f>
              <c:strCache>
                <c:ptCount val="1"/>
                <c:pt idx="0">
                  <c:v>Debursări, mil. EUR</c:v>
                </c:pt>
              </c:strCache>
            </c:strRef>
          </c:tx>
          <c: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lin ang="162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accent1">
                        <a:lumMod val="7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6"/>
                </a:solidFill>
                <a:prstDash val="sysDot"/>
              </a:ln>
              <a:effectLst/>
            </c:spPr>
            <c:trendlineType val="exp"/>
            <c:dispRSqr val="0"/>
            <c:dispEq val="0"/>
          </c:trendline>
          <c:cat>
            <c:numRef>
              <c:f>Sheet1!$A$2:$A$4</c:f>
              <c:numCache>
                <c:formatCode>General</c:formatCode>
                <c:ptCount val="3"/>
                <c:pt idx="0">
                  <c:v>2020</c:v>
                </c:pt>
                <c:pt idx="1">
                  <c:v>2021</c:v>
                </c:pt>
                <c:pt idx="2">
                  <c:v>2022</c:v>
                </c:pt>
              </c:numCache>
            </c:numRef>
          </c:cat>
          <c:val>
            <c:numRef>
              <c:f>Sheet1!$B$2:$B$4</c:f>
              <c:numCache>
                <c:formatCode>General</c:formatCode>
                <c:ptCount val="3"/>
                <c:pt idx="0">
                  <c:v>0.37000000000000038</c:v>
                </c:pt>
                <c:pt idx="1">
                  <c:v>0.86000000000000065</c:v>
                </c:pt>
                <c:pt idx="2">
                  <c:v>2.3199999999999967</c:v>
                </c:pt>
              </c:numCache>
            </c:numRef>
          </c:val>
          <c:extLst xmlns:c16r2="http://schemas.microsoft.com/office/drawing/2015/06/chart">
            <c:ext xmlns:c16="http://schemas.microsoft.com/office/drawing/2014/chart" uri="{C3380CC4-5D6E-409C-BE32-E72D297353CC}">
              <c16:uniqueId val="{00000000-6A9A-46C1-993A-7955D674A3C1}"/>
            </c:ext>
          </c:extLst>
        </c:ser>
        <c:dLbls>
          <c:showLegendKey val="0"/>
          <c:showVal val="1"/>
          <c:showCatName val="0"/>
          <c:showSerName val="0"/>
          <c:showPercent val="0"/>
          <c:showBubbleSize val="0"/>
        </c:dLbls>
        <c:gapWidth val="219"/>
        <c:overlap val="-27"/>
        <c:axId val="385828896"/>
        <c:axId val="385829288"/>
      </c:barChart>
      <c:catAx>
        <c:axId val="3858288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829288"/>
        <c:crosses val="autoZero"/>
        <c:auto val="1"/>
        <c:lblAlgn val="ctr"/>
        <c:lblOffset val="100"/>
        <c:noMultiLvlLbl val="0"/>
      </c:catAx>
      <c:valAx>
        <c:axId val="385829288"/>
        <c:scaling>
          <c:orientation val="minMax"/>
        </c:scaling>
        <c:delete val="1"/>
        <c:axPos val="l"/>
        <c:numFmt formatCode="General" sourceLinked="1"/>
        <c:majorTickMark val="out"/>
        <c:minorTickMark val="none"/>
        <c:tickLblPos val="none"/>
        <c:crossAx val="385828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ysClr val="windowText" lastClr="000000"/>
                </a:solidFill>
                <a:latin typeface="+mj-lt"/>
                <a:ea typeface="+mn-ea"/>
                <a:cs typeface="+mn-cs"/>
              </a:defRPr>
            </a:pPr>
            <a:r>
              <a:rPr lang="ro-RO" sz="1000" b="1"/>
              <a:t>Valorificarea bugetului PIEF în dinamică, mil. euro</a:t>
            </a:r>
            <a:endParaRPr lang="en-US" sz="1000" b="1"/>
          </a:p>
        </c:rich>
      </c:tx>
      <c:overlay val="0"/>
      <c:spPr>
        <a:noFill/>
        <a:ln>
          <a:noFill/>
        </a:ln>
        <a:effectLst/>
      </c:spPr>
    </c:title>
    <c:autoTitleDeleted val="0"/>
    <c:plotArea>
      <c:layout>
        <c:manualLayout>
          <c:layoutTarget val="inner"/>
          <c:xMode val="edge"/>
          <c:yMode val="edge"/>
          <c:x val="2.3338708308580158E-2"/>
          <c:y val="0.18094343604243038"/>
          <c:w val="0.8083434295104186"/>
          <c:h val="0.68871751289707073"/>
        </c:manualLayout>
      </c:layout>
      <c:barChart>
        <c:barDir val="col"/>
        <c:grouping val="stacked"/>
        <c:varyColors val="0"/>
        <c:ser>
          <c:idx val="0"/>
          <c:order val="0"/>
          <c:tx>
            <c:strRef>
              <c:f>Sheet1!$B$1</c:f>
              <c:strCache>
                <c:ptCount val="1"/>
                <c:pt idx="0">
                  <c:v>Executat</c:v>
                </c:pt>
              </c:strCache>
            </c:strRef>
          </c:tx>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6350" cap="flat" cmpd="sng" algn="ctr">
              <a:solidFill>
                <a:schemeClr val="accent6"/>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j-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2019-2021</c:v>
                </c:pt>
                <c:pt idx="1">
                  <c:v>2019-2022</c:v>
                </c:pt>
                <c:pt idx="2">
                  <c:v>2019-2023 (prognozat)</c:v>
                </c:pt>
              </c:strCache>
            </c:strRef>
          </c:cat>
          <c:val>
            <c:numRef>
              <c:f>Sheet1!$B$2:$B$4</c:f>
              <c:numCache>
                <c:formatCode>General</c:formatCode>
                <c:ptCount val="3"/>
                <c:pt idx="0">
                  <c:v>1.2</c:v>
                </c:pt>
                <c:pt idx="1">
                  <c:v>3.5</c:v>
                </c:pt>
                <c:pt idx="2">
                  <c:v>12.39</c:v>
                </c:pt>
              </c:numCache>
            </c:numRef>
          </c:val>
          <c:extLst xmlns:c16r2="http://schemas.microsoft.com/office/drawing/2015/06/chart">
            <c:ext xmlns:c16="http://schemas.microsoft.com/office/drawing/2014/chart" uri="{C3380CC4-5D6E-409C-BE32-E72D297353CC}">
              <c16:uniqueId val="{00000000-E0B1-44CE-8852-B6822987D6C6}"/>
            </c:ext>
          </c:extLst>
        </c:ser>
        <c:ser>
          <c:idx val="1"/>
          <c:order val="1"/>
          <c:tx>
            <c:strRef>
              <c:f>Sheet1!$C$1</c:f>
              <c:strCache>
                <c:ptCount val="1"/>
                <c:pt idx="0">
                  <c:v>Angajamente (neexecutate)</c:v>
                </c:pt>
              </c:strCache>
            </c:strRef>
          </c:tx>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6350" cap="flat" cmpd="sng" algn="ctr">
              <a:solidFill>
                <a:schemeClr val="accent2"/>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j-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2019-2021</c:v>
                </c:pt>
                <c:pt idx="1">
                  <c:v>2019-2022</c:v>
                </c:pt>
                <c:pt idx="2">
                  <c:v>2019-2023 (prognozat)</c:v>
                </c:pt>
              </c:strCache>
            </c:strRef>
          </c:cat>
          <c:val>
            <c:numRef>
              <c:f>Sheet1!$C$2:$C$4</c:f>
              <c:numCache>
                <c:formatCode>General</c:formatCode>
                <c:ptCount val="3"/>
                <c:pt idx="0">
                  <c:v>5</c:v>
                </c:pt>
                <c:pt idx="1">
                  <c:v>8.8500000000000068</c:v>
                </c:pt>
                <c:pt idx="2">
                  <c:v>2.56</c:v>
                </c:pt>
              </c:numCache>
            </c:numRef>
          </c:val>
          <c:extLst xmlns:c16r2="http://schemas.microsoft.com/office/drawing/2015/06/chart">
            <c:ext xmlns:c16="http://schemas.microsoft.com/office/drawing/2014/chart" uri="{C3380CC4-5D6E-409C-BE32-E72D297353CC}">
              <c16:uniqueId val="{00000001-E0B1-44CE-8852-B6822987D6C6}"/>
            </c:ext>
          </c:extLst>
        </c:ser>
        <c:ser>
          <c:idx val="2"/>
          <c:order val="2"/>
          <c:tx>
            <c:strRef>
              <c:f>Sheet1!$D$1</c:f>
              <c:strCache>
                <c:ptCount val="1"/>
                <c:pt idx="0">
                  <c:v>Nevalorificat</c:v>
                </c:pt>
              </c:strCache>
            </c:strRef>
          </c:tx>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6350" cap="flat" cmpd="sng" algn="ctr">
              <a:solidFill>
                <a:schemeClr val="accent3"/>
              </a:solidFill>
              <a:prstDash val="solid"/>
              <a:miter lim="800000"/>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j-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2019-2021</c:v>
                </c:pt>
                <c:pt idx="1">
                  <c:v>2019-2022</c:v>
                </c:pt>
                <c:pt idx="2">
                  <c:v>2019-2023 (prognozat)</c:v>
                </c:pt>
              </c:strCache>
            </c:strRef>
          </c:cat>
          <c:val>
            <c:numRef>
              <c:f>Sheet1!$D$2:$D$4</c:f>
              <c:numCache>
                <c:formatCode>General</c:formatCode>
                <c:ptCount val="3"/>
                <c:pt idx="0">
                  <c:v>17.45</c:v>
                </c:pt>
                <c:pt idx="1">
                  <c:v>11.3</c:v>
                </c:pt>
                <c:pt idx="2">
                  <c:v>8.7000000000000011</c:v>
                </c:pt>
              </c:numCache>
            </c:numRef>
          </c:val>
          <c:extLst xmlns:c16r2="http://schemas.microsoft.com/office/drawing/2015/06/chart">
            <c:ext xmlns:c16="http://schemas.microsoft.com/office/drawing/2014/chart" uri="{C3380CC4-5D6E-409C-BE32-E72D297353CC}">
              <c16:uniqueId val="{00000002-E0B1-44CE-8852-B6822987D6C6}"/>
            </c:ext>
          </c:extLst>
        </c:ser>
        <c:dLbls>
          <c:showLegendKey val="0"/>
          <c:showVal val="0"/>
          <c:showCatName val="0"/>
          <c:showSerName val="0"/>
          <c:showPercent val="0"/>
          <c:showBubbleSize val="0"/>
        </c:dLbls>
        <c:gapWidth val="150"/>
        <c:overlap val="100"/>
        <c:axId val="385830072"/>
        <c:axId val="385830464"/>
      </c:barChart>
      <c:catAx>
        <c:axId val="3858300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ru-RU"/>
          </a:p>
        </c:txPr>
        <c:crossAx val="385830464"/>
        <c:crosses val="autoZero"/>
        <c:auto val="1"/>
        <c:lblAlgn val="ctr"/>
        <c:lblOffset val="100"/>
        <c:noMultiLvlLbl val="0"/>
      </c:catAx>
      <c:valAx>
        <c:axId val="38583046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one"/>
        <c:crossAx val="385830072"/>
        <c:crosses val="autoZero"/>
        <c:crossBetween val="between"/>
      </c:valAx>
      <c:spPr>
        <a:noFill/>
        <a:ln>
          <a:noFill/>
        </a:ln>
        <a:effectLst/>
      </c:spPr>
    </c:plotArea>
    <c:legend>
      <c:legendPos val="r"/>
      <c:layout>
        <c:manualLayout>
          <c:xMode val="edge"/>
          <c:yMode val="edge"/>
          <c:x val="0.8147085317763948"/>
          <c:y val="0.1027160273173252"/>
          <c:w val="0.17256126369165239"/>
          <c:h val="0.896852190124124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j-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mj-lt"/>
        </a:defRPr>
      </a:pPr>
      <a:endParaRPr lang="ru-RU"/>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r>
              <a:rPr lang="ro-MD" sz="1000"/>
              <a:t>Numărul de investigații ale calității apei potabile efectuate de către CSP </a:t>
            </a:r>
          </a:p>
          <a:p>
            <a:pPr>
              <a:defRPr sz="1000"/>
            </a:pPr>
            <a:r>
              <a:rPr lang="ro-MD" sz="1000"/>
              <a:t>în perioada 2017-2021</a:t>
            </a:r>
            <a:endParaRPr lang="en-US" sz="1000"/>
          </a:p>
        </c:rich>
      </c:tx>
      <c:layout>
        <c:manualLayout>
          <c:xMode val="edge"/>
          <c:yMode val="edge"/>
          <c:x val="0.14289322938678906"/>
          <c:y val="6.0251506874831683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2"/>
              </a:solidFill>
              <a:latin typeface="+mn-lt"/>
              <a:ea typeface="+mn-ea"/>
              <a:cs typeface="+mn-cs"/>
            </a:defRPr>
          </a:pPr>
          <a:endParaRPr lang="ru-RU"/>
        </a:p>
      </c:txPr>
    </c:title>
    <c:autoTitleDeleted val="0"/>
    <c:plotArea>
      <c:layout/>
      <c:barChart>
        <c:barDir val="col"/>
        <c:grouping val="stacked"/>
        <c:varyColors val="0"/>
        <c:ser>
          <c:idx val="0"/>
          <c:order val="0"/>
          <c:tx>
            <c:strRef>
              <c:f>'[starea obiectivelor de alimentare cu apă 2014-2021_ANSP.xlsx]Sheet2'!$B$37</c:f>
              <c:strCache>
                <c:ptCount val="1"/>
                <c:pt idx="0">
                  <c:v>2017</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cat>
            <c:strRef>
              <c:f>'[starea obiectivelor de alimentare cu apă 2014-2021_ANSP.xlsx]Sheet2'!$A$38:$A$48</c:f>
              <c:strCache>
                <c:ptCount val="11"/>
                <c:pt idx="0">
                  <c:v>CSP Edineț</c:v>
                </c:pt>
                <c:pt idx="1">
                  <c:v>CSP Soroca</c:v>
                </c:pt>
                <c:pt idx="2">
                  <c:v>CSP Bălți</c:v>
                </c:pt>
                <c:pt idx="3">
                  <c:v>CSP Hâncești</c:v>
                </c:pt>
                <c:pt idx="4">
                  <c:v>CSP Orhei</c:v>
                </c:pt>
                <c:pt idx="5">
                  <c:v>CSP Chișinau</c:v>
                </c:pt>
                <c:pt idx="6">
                  <c:v>CSP Ungheni</c:v>
                </c:pt>
                <c:pt idx="7">
                  <c:v>CSP Căușeni</c:v>
                </c:pt>
                <c:pt idx="8">
                  <c:v>CSP Comrat</c:v>
                </c:pt>
                <c:pt idx="9">
                  <c:v>CSP Cahul</c:v>
                </c:pt>
                <c:pt idx="10">
                  <c:v>ANSP</c:v>
                </c:pt>
              </c:strCache>
            </c:strRef>
          </c:cat>
          <c:val>
            <c:numRef>
              <c:f>'[starea obiectivelor de alimentare cu apă 2014-2021_ANSP.xlsx]Sheet2'!$B$38:$B$48</c:f>
              <c:numCache>
                <c:formatCode>General</c:formatCode>
                <c:ptCount val="11"/>
                <c:pt idx="0">
                  <c:v>8945</c:v>
                </c:pt>
                <c:pt idx="1">
                  <c:v>7246</c:v>
                </c:pt>
                <c:pt idx="2">
                  <c:v>14066</c:v>
                </c:pt>
                <c:pt idx="3">
                  <c:v>6998</c:v>
                </c:pt>
                <c:pt idx="4">
                  <c:v>11695</c:v>
                </c:pt>
                <c:pt idx="5">
                  <c:v>26782</c:v>
                </c:pt>
                <c:pt idx="6">
                  <c:v>10938</c:v>
                </c:pt>
                <c:pt idx="7">
                  <c:v>10561</c:v>
                </c:pt>
                <c:pt idx="8">
                  <c:v>15087</c:v>
                </c:pt>
                <c:pt idx="9">
                  <c:v>1465</c:v>
                </c:pt>
                <c:pt idx="10">
                  <c:v>3959</c:v>
                </c:pt>
              </c:numCache>
            </c:numRef>
          </c:val>
          <c:extLst xmlns:c16r2="http://schemas.microsoft.com/office/drawing/2015/06/chart">
            <c:ext xmlns:c16="http://schemas.microsoft.com/office/drawing/2014/chart" uri="{C3380CC4-5D6E-409C-BE32-E72D297353CC}">
              <c16:uniqueId val="{00000000-0A22-4489-80B7-94393150EE89}"/>
            </c:ext>
          </c:extLst>
        </c:ser>
        <c:ser>
          <c:idx val="1"/>
          <c:order val="1"/>
          <c:tx>
            <c:strRef>
              <c:f>'[starea obiectivelor de alimentare cu apă 2014-2021_ANSP.xlsx]Sheet2'!$C$37</c:f>
              <c:strCache>
                <c:ptCount val="1"/>
                <c:pt idx="0">
                  <c:v>2018</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cat>
            <c:strRef>
              <c:f>'[starea obiectivelor de alimentare cu apă 2014-2021_ANSP.xlsx]Sheet2'!$A$38:$A$48</c:f>
              <c:strCache>
                <c:ptCount val="11"/>
                <c:pt idx="0">
                  <c:v>CSP Edineț</c:v>
                </c:pt>
                <c:pt idx="1">
                  <c:v>CSP Soroca</c:v>
                </c:pt>
                <c:pt idx="2">
                  <c:v>CSP Bălți</c:v>
                </c:pt>
                <c:pt idx="3">
                  <c:v>CSP Hâncești</c:v>
                </c:pt>
                <c:pt idx="4">
                  <c:v>CSP Orhei</c:v>
                </c:pt>
                <c:pt idx="5">
                  <c:v>CSP Chișinau</c:v>
                </c:pt>
                <c:pt idx="6">
                  <c:v>CSP Ungheni</c:v>
                </c:pt>
                <c:pt idx="7">
                  <c:v>CSP Căușeni</c:v>
                </c:pt>
                <c:pt idx="8">
                  <c:v>CSP Comrat</c:v>
                </c:pt>
                <c:pt idx="9">
                  <c:v>CSP Cahul</c:v>
                </c:pt>
                <c:pt idx="10">
                  <c:v>ANSP</c:v>
                </c:pt>
              </c:strCache>
            </c:strRef>
          </c:cat>
          <c:val>
            <c:numRef>
              <c:f>'[starea obiectivelor de alimentare cu apă 2014-2021_ANSP.xlsx]Sheet2'!$C$38:$C$48</c:f>
              <c:numCache>
                <c:formatCode>General</c:formatCode>
                <c:ptCount val="11"/>
                <c:pt idx="0">
                  <c:v>4567</c:v>
                </c:pt>
                <c:pt idx="1">
                  <c:v>5350</c:v>
                </c:pt>
                <c:pt idx="2">
                  <c:v>9257</c:v>
                </c:pt>
                <c:pt idx="3">
                  <c:v>4771</c:v>
                </c:pt>
                <c:pt idx="4">
                  <c:v>5238</c:v>
                </c:pt>
                <c:pt idx="5">
                  <c:v>13603</c:v>
                </c:pt>
                <c:pt idx="6">
                  <c:v>4482</c:v>
                </c:pt>
                <c:pt idx="7">
                  <c:v>7302</c:v>
                </c:pt>
                <c:pt idx="8">
                  <c:v>8870</c:v>
                </c:pt>
                <c:pt idx="9">
                  <c:v>1567</c:v>
                </c:pt>
                <c:pt idx="10">
                  <c:v>2826</c:v>
                </c:pt>
              </c:numCache>
            </c:numRef>
          </c:val>
          <c:extLst xmlns:c16r2="http://schemas.microsoft.com/office/drawing/2015/06/chart">
            <c:ext xmlns:c16="http://schemas.microsoft.com/office/drawing/2014/chart" uri="{C3380CC4-5D6E-409C-BE32-E72D297353CC}">
              <c16:uniqueId val="{00000001-0A22-4489-80B7-94393150EE89}"/>
            </c:ext>
          </c:extLst>
        </c:ser>
        <c:ser>
          <c:idx val="2"/>
          <c:order val="2"/>
          <c:tx>
            <c:strRef>
              <c:f>'[starea obiectivelor de alimentare cu apă 2014-2021_ANSP.xlsx]Sheet2'!$D$37</c:f>
              <c:strCache>
                <c:ptCount val="1"/>
                <c:pt idx="0">
                  <c:v>2019</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c:spPr>
          <c:invertIfNegative val="0"/>
          <c:cat>
            <c:strRef>
              <c:f>'[starea obiectivelor de alimentare cu apă 2014-2021_ANSP.xlsx]Sheet2'!$A$38:$A$48</c:f>
              <c:strCache>
                <c:ptCount val="11"/>
                <c:pt idx="0">
                  <c:v>CSP Edineț</c:v>
                </c:pt>
                <c:pt idx="1">
                  <c:v>CSP Soroca</c:v>
                </c:pt>
                <c:pt idx="2">
                  <c:v>CSP Bălți</c:v>
                </c:pt>
                <c:pt idx="3">
                  <c:v>CSP Hâncești</c:v>
                </c:pt>
                <c:pt idx="4">
                  <c:v>CSP Orhei</c:v>
                </c:pt>
                <c:pt idx="5">
                  <c:v>CSP Chișinau</c:v>
                </c:pt>
                <c:pt idx="6">
                  <c:v>CSP Ungheni</c:v>
                </c:pt>
                <c:pt idx="7">
                  <c:v>CSP Căușeni</c:v>
                </c:pt>
                <c:pt idx="8">
                  <c:v>CSP Comrat</c:v>
                </c:pt>
                <c:pt idx="9">
                  <c:v>CSP Cahul</c:v>
                </c:pt>
                <c:pt idx="10">
                  <c:v>ANSP</c:v>
                </c:pt>
              </c:strCache>
            </c:strRef>
          </c:cat>
          <c:val>
            <c:numRef>
              <c:f>'[starea obiectivelor de alimentare cu apă 2014-2021_ANSP.xlsx]Sheet2'!$D$38:$D$48</c:f>
              <c:numCache>
                <c:formatCode>General</c:formatCode>
                <c:ptCount val="11"/>
                <c:pt idx="0">
                  <c:v>4700</c:v>
                </c:pt>
                <c:pt idx="1">
                  <c:v>6479</c:v>
                </c:pt>
                <c:pt idx="2">
                  <c:v>9553</c:v>
                </c:pt>
                <c:pt idx="3">
                  <c:v>7585</c:v>
                </c:pt>
                <c:pt idx="4">
                  <c:v>6009</c:v>
                </c:pt>
                <c:pt idx="5">
                  <c:v>12863</c:v>
                </c:pt>
                <c:pt idx="6">
                  <c:v>5379</c:v>
                </c:pt>
                <c:pt idx="7">
                  <c:v>12838</c:v>
                </c:pt>
                <c:pt idx="8">
                  <c:v>9451</c:v>
                </c:pt>
                <c:pt idx="9">
                  <c:v>2387</c:v>
                </c:pt>
                <c:pt idx="10">
                  <c:v>4062</c:v>
                </c:pt>
              </c:numCache>
            </c:numRef>
          </c:val>
          <c:extLst xmlns:c16r2="http://schemas.microsoft.com/office/drawing/2015/06/chart">
            <c:ext xmlns:c16="http://schemas.microsoft.com/office/drawing/2014/chart" uri="{C3380CC4-5D6E-409C-BE32-E72D297353CC}">
              <c16:uniqueId val="{00000002-0A22-4489-80B7-94393150EE89}"/>
            </c:ext>
          </c:extLst>
        </c:ser>
        <c:ser>
          <c:idx val="3"/>
          <c:order val="3"/>
          <c:tx>
            <c:strRef>
              <c:f>'[starea obiectivelor de alimentare cu apă 2014-2021_ANSP.xlsx]Sheet2'!$E$37</c:f>
              <c:strCache>
                <c:ptCount val="1"/>
                <c:pt idx="0">
                  <c:v>2020</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c:spPr>
          <c:invertIfNegative val="0"/>
          <c:cat>
            <c:strRef>
              <c:f>'[starea obiectivelor de alimentare cu apă 2014-2021_ANSP.xlsx]Sheet2'!$A$38:$A$48</c:f>
              <c:strCache>
                <c:ptCount val="11"/>
                <c:pt idx="0">
                  <c:v>CSP Edineț</c:v>
                </c:pt>
                <c:pt idx="1">
                  <c:v>CSP Soroca</c:v>
                </c:pt>
                <c:pt idx="2">
                  <c:v>CSP Bălți</c:v>
                </c:pt>
                <c:pt idx="3">
                  <c:v>CSP Hâncești</c:v>
                </c:pt>
                <c:pt idx="4">
                  <c:v>CSP Orhei</c:v>
                </c:pt>
                <c:pt idx="5">
                  <c:v>CSP Chișinau</c:v>
                </c:pt>
                <c:pt idx="6">
                  <c:v>CSP Ungheni</c:v>
                </c:pt>
                <c:pt idx="7">
                  <c:v>CSP Căușeni</c:v>
                </c:pt>
                <c:pt idx="8">
                  <c:v>CSP Comrat</c:v>
                </c:pt>
                <c:pt idx="9">
                  <c:v>CSP Cahul</c:v>
                </c:pt>
                <c:pt idx="10">
                  <c:v>ANSP</c:v>
                </c:pt>
              </c:strCache>
            </c:strRef>
          </c:cat>
          <c:val>
            <c:numRef>
              <c:f>'[starea obiectivelor de alimentare cu apă 2014-2021_ANSP.xlsx]Sheet2'!$E$38:$E$48</c:f>
              <c:numCache>
                <c:formatCode>General</c:formatCode>
                <c:ptCount val="11"/>
                <c:pt idx="0">
                  <c:v>5624</c:v>
                </c:pt>
                <c:pt idx="1">
                  <c:v>9792</c:v>
                </c:pt>
                <c:pt idx="2">
                  <c:v>7821</c:v>
                </c:pt>
                <c:pt idx="3">
                  <c:v>10627</c:v>
                </c:pt>
                <c:pt idx="4">
                  <c:v>6493</c:v>
                </c:pt>
                <c:pt idx="5">
                  <c:v>11858</c:v>
                </c:pt>
                <c:pt idx="6">
                  <c:v>6163</c:v>
                </c:pt>
                <c:pt idx="7">
                  <c:v>10293</c:v>
                </c:pt>
                <c:pt idx="8">
                  <c:v>7661</c:v>
                </c:pt>
                <c:pt idx="9">
                  <c:v>3350</c:v>
                </c:pt>
                <c:pt idx="10">
                  <c:v>4206</c:v>
                </c:pt>
              </c:numCache>
            </c:numRef>
          </c:val>
          <c:extLst xmlns:c16r2="http://schemas.microsoft.com/office/drawing/2015/06/chart">
            <c:ext xmlns:c16="http://schemas.microsoft.com/office/drawing/2014/chart" uri="{C3380CC4-5D6E-409C-BE32-E72D297353CC}">
              <c16:uniqueId val="{00000003-0A22-4489-80B7-94393150EE89}"/>
            </c:ext>
          </c:extLst>
        </c:ser>
        <c:ser>
          <c:idx val="4"/>
          <c:order val="4"/>
          <c:tx>
            <c:strRef>
              <c:f>'[starea obiectivelor de alimentare cu apă 2014-2021_ANSP.xlsx]Sheet2'!$F$37</c:f>
              <c:strCache>
                <c:ptCount val="1"/>
                <c:pt idx="0">
                  <c:v>2021</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cat>
            <c:strRef>
              <c:f>'[starea obiectivelor de alimentare cu apă 2014-2021_ANSP.xlsx]Sheet2'!$A$38:$A$48</c:f>
              <c:strCache>
                <c:ptCount val="11"/>
                <c:pt idx="0">
                  <c:v>CSP Edineț</c:v>
                </c:pt>
                <c:pt idx="1">
                  <c:v>CSP Soroca</c:v>
                </c:pt>
                <c:pt idx="2">
                  <c:v>CSP Bălți</c:v>
                </c:pt>
                <c:pt idx="3">
                  <c:v>CSP Hâncești</c:v>
                </c:pt>
                <c:pt idx="4">
                  <c:v>CSP Orhei</c:v>
                </c:pt>
                <c:pt idx="5">
                  <c:v>CSP Chișinau</c:v>
                </c:pt>
                <c:pt idx="6">
                  <c:v>CSP Ungheni</c:v>
                </c:pt>
                <c:pt idx="7">
                  <c:v>CSP Căușeni</c:v>
                </c:pt>
                <c:pt idx="8">
                  <c:v>CSP Comrat</c:v>
                </c:pt>
                <c:pt idx="9">
                  <c:v>CSP Cahul</c:v>
                </c:pt>
                <c:pt idx="10">
                  <c:v>ANSP</c:v>
                </c:pt>
              </c:strCache>
            </c:strRef>
          </c:cat>
          <c:val>
            <c:numRef>
              <c:f>'[starea obiectivelor de alimentare cu apă 2014-2021_ANSP.xlsx]Sheet2'!$F$38:$F$48</c:f>
              <c:numCache>
                <c:formatCode>General</c:formatCode>
                <c:ptCount val="11"/>
                <c:pt idx="0">
                  <c:v>5029</c:v>
                </c:pt>
                <c:pt idx="1">
                  <c:v>11320</c:v>
                </c:pt>
                <c:pt idx="2">
                  <c:v>8222</c:v>
                </c:pt>
                <c:pt idx="3">
                  <c:v>10142</c:v>
                </c:pt>
                <c:pt idx="4">
                  <c:v>9101</c:v>
                </c:pt>
                <c:pt idx="5">
                  <c:v>13102</c:v>
                </c:pt>
                <c:pt idx="6">
                  <c:v>6588</c:v>
                </c:pt>
                <c:pt idx="7">
                  <c:v>10178</c:v>
                </c:pt>
                <c:pt idx="8">
                  <c:v>10720</c:v>
                </c:pt>
                <c:pt idx="9">
                  <c:v>2929</c:v>
                </c:pt>
                <c:pt idx="10">
                  <c:v>3408</c:v>
                </c:pt>
              </c:numCache>
            </c:numRef>
          </c:val>
          <c:extLst xmlns:c16r2="http://schemas.microsoft.com/office/drawing/2015/06/chart">
            <c:ext xmlns:c16="http://schemas.microsoft.com/office/drawing/2014/chart" uri="{C3380CC4-5D6E-409C-BE32-E72D297353CC}">
              <c16:uniqueId val="{00000004-0A22-4489-80B7-94393150EE89}"/>
            </c:ext>
          </c:extLst>
        </c:ser>
        <c:dLbls>
          <c:showLegendKey val="0"/>
          <c:showVal val="0"/>
          <c:showCatName val="0"/>
          <c:showSerName val="0"/>
          <c:showPercent val="0"/>
          <c:showBubbleSize val="0"/>
        </c:dLbls>
        <c:gapWidth val="150"/>
        <c:overlap val="100"/>
        <c:axId val="385831248"/>
        <c:axId val="385831640"/>
      </c:barChart>
      <c:catAx>
        <c:axId val="385831248"/>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85831640"/>
        <c:crosses val="autoZero"/>
        <c:auto val="1"/>
        <c:lblAlgn val="ctr"/>
        <c:lblOffset val="100"/>
        <c:noMultiLvlLbl val="0"/>
      </c:catAx>
      <c:valAx>
        <c:axId val="385831640"/>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3858312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3">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MD" sz="1000"/>
              <a:t>Ponderea</a:t>
            </a:r>
            <a:r>
              <a:rPr lang="ro-MD" sz="1000" baseline="0"/>
              <a:t> probelor neconforme a calității apei potabile din totalul investigațiilor efectuate de către CSP în anii 2017-2021</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'[starea obiectivelor de alimentare cu apă 2014-2021_ANSP.xlsx]Sheet2'!$B$17</c:f>
              <c:strCache>
                <c:ptCount val="1"/>
                <c:pt idx="0">
                  <c:v>2017</c:v>
                </c:pt>
              </c:strCache>
            </c:strRef>
          </c:tx>
          <c:spPr>
            <a:solidFill>
              <a:schemeClr val="accent1"/>
            </a:solidFill>
            <a:ln>
              <a:noFill/>
            </a:ln>
            <a:effectLst/>
          </c:spPr>
          <c:invertIfNegative val="0"/>
          <c:cat>
            <c:strRef>
              <c:f>'[starea obiectivelor de alimentare cu apă 2014-2021_ANSP.xlsx]Sheet2'!$A$18:$A$28</c:f>
              <c:strCache>
                <c:ptCount val="11"/>
                <c:pt idx="0">
                  <c:v>CSP Edineț</c:v>
                </c:pt>
                <c:pt idx="1">
                  <c:v>CSP Soroca</c:v>
                </c:pt>
                <c:pt idx="2">
                  <c:v>CSP Bălți</c:v>
                </c:pt>
                <c:pt idx="3">
                  <c:v>CSP Hâncești</c:v>
                </c:pt>
                <c:pt idx="4">
                  <c:v>CSP Orhei</c:v>
                </c:pt>
                <c:pt idx="5">
                  <c:v>CSP Chișinau</c:v>
                </c:pt>
                <c:pt idx="6">
                  <c:v>CSP Ungheni</c:v>
                </c:pt>
                <c:pt idx="7">
                  <c:v>CSP Căușeni</c:v>
                </c:pt>
                <c:pt idx="8">
                  <c:v>CSP Comrat</c:v>
                </c:pt>
                <c:pt idx="9">
                  <c:v>CSP Cahul</c:v>
                </c:pt>
                <c:pt idx="10">
                  <c:v>ANSP</c:v>
                </c:pt>
              </c:strCache>
            </c:strRef>
          </c:cat>
          <c:val>
            <c:numRef>
              <c:f>'[starea obiectivelor de alimentare cu apă 2014-2021_ANSP.xlsx]Sheet2'!$B$18:$B$28</c:f>
              <c:numCache>
                <c:formatCode>0.0</c:formatCode>
                <c:ptCount val="11"/>
                <c:pt idx="0">
                  <c:v>10.855226383454445</c:v>
                </c:pt>
                <c:pt idx="1">
                  <c:v>4.4576317968534358</c:v>
                </c:pt>
                <c:pt idx="2">
                  <c:v>10.799090004265604</c:v>
                </c:pt>
                <c:pt idx="3">
                  <c:v>17.362103458130896</c:v>
                </c:pt>
                <c:pt idx="4">
                  <c:v>13.689610944848226</c:v>
                </c:pt>
                <c:pt idx="5">
                  <c:v>5.6381151519677397</c:v>
                </c:pt>
                <c:pt idx="6">
                  <c:v>13.018833424757725</c:v>
                </c:pt>
                <c:pt idx="7">
                  <c:v>17.138528548432912</c:v>
                </c:pt>
                <c:pt idx="8">
                  <c:v>16.398223636243124</c:v>
                </c:pt>
                <c:pt idx="9">
                  <c:v>5.6655290102389078</c:v>
                </c:pt>
                <c:pt idx="10">
                  <c:v>5.1022985602424855</c:v>
                </c:pt>
              </c:numCache>
            </c:numRef>
          </c:val>
          <c:extLst xmlns:c16r2="http://schemas.microsoft.com/office/drawing/2015/06/chart">
            <c:ext xmlns:c16="http://schemas.microsoft.com/office/drawing/2014/chart" uri="{C3380CC4-5D6E-409C-BE32-E72D297353CC}">
              <c16:uniqueId val="{00000000-7515-4B72-85CA-FB7CB9BF8D41}"/>
            </c:ext>
          </c:extLst>
        </c:ser>
        <c:ser>
          <c:idx val="1"/>
          <c:order val="1"/>
          <c:tx>
            <c:strRef>
              <c:f>'[starea obiectivelor de alimentare cu apă 2014-2021_ANSP.xlsx]Sheet2'!$C$17</c:f>
              <c:strCache>
                <c:ptCount val="1"/>
                <c:pt idx="0">
                  <c:v>2018</c:v>
                </c:pt>
              </c:strCache>
            </c:strRef>
          </c:tx>
          <c:spPr>
            <a:solidFill>
              <a:schemeClr val="accent2"/>
            </a:solidFill>
            <a:ln>
              <a:noFill/>
            </a:ln>
            <a:effectLst/>
          </c:spPr>
          <c:invertIfNegative val="0"/>
          <c:cat>
            <c:strRef>
              <c:f>'[starea obiectivelor de alimentare cu apă 2014-2021_ANSP.xlsx]Sheet2'!$A$18:$A$28</c:f>
              <c:strCache>
                <c:ptCount val="11"/>
                <c:pt idx="0">
                  <c:v>CSP Edineț</c:v>
                </c:pt>
                <c:pt idx="1">
                  <c:v>CSP Soroca</c:v>
                </c:pt>
                <c:pt idx="2">
                  <c:v>CSP Bălți</c:v>
                </c:pt>
                <c:pt idx="3">
                  <c:v>CSP Hâncești</c:v>
                </c:pt>
                <c:pt idx="4">
                  <c:v>CSP Orhei</c:v>
                </c:pt>
                <c:pt idx="5">
                  <c:v>CSP Chișinau</c:v>
                </c:pt>
                <c:pt idx="6">
                  <c:v>CSP Ungheni</c:v>
                </c:pt>
                <c:pt idx="7">
                  <c:v>CSP Căușeni</c:v>
                </c:pt>
                <c:pt idx="8">
                  <c:v>CSP Comrat</c:v>
                </c:pt>
                <c:pt idx="9">
                  <c:v>CSP Cahul</c:v>
                </c:pt>
                <c:pt idx="10">
                  <c:v>ANSP</c:v>
                </c:pt>
              </c:strCache>
            </c:strRef>
          </c:cat>
          <c:val>
            <c:numRef>
              <c:f>'[starea obiectivelor de alimentare cu apă 2014-2021_ANSP.xlsx]Sheet2'!$C$18:$C$28</c:f>
              <c:numCache>
                <c:formatCode>0.0</c:formatCode>
                <c:ptCount val="11"/>
                <c:pt idx="0">
                  <c:v>14.517188526384937</c:v>
                </c:pt>
                <c:pt idx="1">
                  <c:v>5.2710280373831777</c:v>
                </c:pt>
                <c:pt idx="2">
                  <c:v>14.551150480717295</c:v>
                </c:pt>
                <c:pt idx="3">
                  <c:v>16.726053238314819</c:v>
                </c:pt>
                <c:pt idx="4">
                  <c:v>11.741122565864833</c:v>
                </c:pt>
                <c:pt idx="5">
                  <c:v>4.1020363155186352</c:v>
                </c:pt>
                <c:pt idx="6">
                  <c:v>10.35252119589469</c:v>
                </c:pt>
                <c:pt idx="7">
                  <c:v>16.406463982470555</c:v>
                </c:pt>
                <c:pt idx="8">
                  <c:v>16.877113866967306</c:v>
                </c:pt>
                <c:pt idx="9">
                  <c:v>4.2118698149329923</c:v>
                </c:pt>
                <c:pt idx="10">
                  <c:v>2.9370134465675868</c:v>
                </c:pt>
              </c:numCache>
            </c:numRef>
          </c:val>
          <c:extLst xmlns:c16r2="http://schemas.microsoft.com/office/drawing/2015/06/chart">
            <c:ext xmlns:c16="http://schemas.microsoft.com/office/drawing/2014/chart" uri="{C3380CC4-5D6E-409C-BE32-E72D297353CC}">
              <c16:uniqueId val="{00000001-7515-4B72-85CA-FB7CB9BF8D41}"/>
            </c:ext>
          </c:extLst>
        </c:ser>
        <c:ser>
          <c:idx val="2"/>
          <c:order val="2"/>
          <c:tx>
            <c:strRef>
              <c:f>'[starea obiectivelor de alimentare cu apă 2014-2021_ANSP.xlsx]Sheet2'!$D$17</c:f>
              <c:strCache>
                <c:ptCount val="1"/>
                <c:pt idx="0">
                  <c:v>2019</c:v>
                </c:pt>
              </c:strCache>
            </c:strRef>
          </c:tx>
          <c:spPr>
            <a:solidFill>
              <a:schemeClr val="accent3"/>
            </a:solidFill>
            <a:ln>
              <a:noFill/>
            </a:ln>
            <a:effectLst/>
          </c:spPr>
          <c:invertIfNegative val="0"/>
          <c:cat>
            <c:strRef>
              <c:f>'[starea obiectivelor de alimentare cu apă 2014-2021_ANSP.xlsx]Sheet2'!$A$18:$A$28</c:f>
              <c:strCache>
                <c:ptCount val="11"/>
                <c:pt idx="0">
                  <c:v>CSP Edineț</c:v>
                </c:pt>
                <c:pt idx="1">
                  <c:v>CSP Soroca</c:v>
                </c:pt>
                <c:pt idx="2">
                  <c:v>CSP Bălți</c:v>
                </c:pt>
                <c:pt idx="3">
                  <c:v>CSP Hâncești</c:v>
                </c:pt>
                <c:pt idx="4">
                  <c:v>CSP Orhei</c:v>
                </c:pt>
                <c:pt idx="5">
                  <c:v>CSP Chișinau</c:v>
                </c:pt>
                <c:pt idx="6">
                  <c:v>CSP Ungheni</c:v>
                </c:pt>
                <c:pt idx="7">
                  <c:v>CSP Căușeni</c:v>
                </c:pt>
                <c:pt idx="8">
                  <c:v>CSP Comrat</c:v>
                </c:pt>
                <c:pt idx="9">
                  <c:v>CSP Cahul</c:v>
                </c:pt>
                <c:pt idx="10">
                  <c:v>ANSP</c:v>
                </c:pt>
              </c:strCache>
            </c:strRef>
          </c:cat>
          <c:val>
            <c:numRef>
              <c:f>'[starea obiectivelor de alimentare cu apă 2014-2021_ANSP.xlsx]Sheet2'!$D$18:$D$28</c:f>
              <c:numCache>
                <c:formatCode>0.0</c:formatCode>
                <c:ptCount val="11"/>
                <c:pt idx="0">
                  <c:v>15.021276595744681</c:v>
                </c:pt>
                <c:pt idx="1">
                  <c:v>6.3281370581879921</c:v>
                </c:pt>
                <c:pt idx="2">
                  <c:v>12.791793153983042</c:v>
                </c:pt>
                <c:pt idx="3">
                  <c:v>12.841133816743572</c:v>
                </c:pt>
                <c:pt idx="4">
                  <c:v>10.783824263604593</c:v>
                </c:pt>
                <c:pt idx="5">
                  <c:v>3.7394076032029857</c:v>
                </c:pt>
                <c:pt idx="6">
                  <c:v>10.85703662390779</c:v>
                </c:pt>
                <c:pt idx="7">
                  <c:v>11.356909175884095</c:v>
                </c:pt>
                <c:pt idx="8">
                  <c:v>12.728811765950693</c:v>
                </c:pt>
                <c:pt idx="9">
                  <c:v>5.8651026392961878</c:v>
                </c:pt>
                <c:pt idx="10">
                  <c:v>4.0374199901526335</c:v>
                </c:pt>
              </c:numCache>
            </c:numRef>
          </c:val>
          <c:extLst xmlns:c16r2="http://schemas.microsoft.com/office/drawing/2015/06/chart">
            <c:ext xmlns:c16="http://schemas.microsoft.com/office/drawing/2014/chart" uri="{C3380CC4-5D6E-409C-BE32-E72D297353CC}">
              <c16:uniqueId val="{00000002-7515-4B72-85CA-FB7CB9BF8D41}"/>
            </c:ext>
          </c:extLst>
        </c:ser>
        <c:ser>
          <c:idx val="3"/>
          <c:order val="3"/>
          <c:tx>
            <c:strRef>
              <c:f>'[starea obiectivelor de alimentare cu apă 2014-2021_ANSP.xlsx]Sheet2'!$E$17</c:f>
              <c:strCache>
                <c:ptCount val="1"/>
                <c:pt idx="0">
                  <c:v>2020</c:v>
                </c:pt>
              </c:strCache>
            </c:strRef>
          </c:tx>
          <c:spPr>
            <a:solidFill>
              <a:schemeClr val="accent4"/>
            </a:solidFill>
            <a:ln>
              <a:noFill/>
            </a:ln>
            <a:effectLst/>
          </c:spPr>
          <c:invertIfNegative val="0"/>
          <c:cat>
            <c:strRef>
              <c:f>'[starea obiectivelor de alimentare cu apă 2014-2021_ANSP.xlsx]Sheet2'!$A$18:$A$28</c:f>
              <c:strCache>
                <c:ptCount val="11"/>
                <c:pt idx="0">
                  <c:v>CSP Edineț</c:v>
                </c:pt>
                <c:pt idx="1">
                  <c:v>CSP Soroca</c:v>
                </c:pt>
                <c:pt idx="2">
                  <c:v>CSP Bălți</c:v>
                </c:pt>
                <c:pt idx="3">
                  <c:v>CSP Hâncești</c:v>
                </c:pt>
                <c:pt idx="4">
                  <c:v>CSP Orhei</c:v>
                </c:pt>
                <c:pt idx="5">
                  <c:v>CSP Chișinau</c:v>
                </c:pt>
                <c:pt idx="6">
                  <c:v>CSP Ungheni</c:v>
                </c:pt>
                <c:pt idx="7">
                  <c:v>CSP Căușeni</c:v>
                </c:pt>
                <c:pt idx="8">
                  <c:v>CSP Comrat</c:v>
                </c:pt>
                <c:pt idx="9">
                  <c:v>CSP Cahul</c:v>
                </c:pt>
                <c:pt idx="10">
                  <c:v>ANSP</c:v>
                </c:pt>
              </c:strCache>
            </c:strRef>
          </c:cat>
          <c:val>
            <c:numRef>
              <c:f>'[starea obiectivelor de alimentare cu apă 2014-2021_ANSP.xlsx]Sheet2'!$E$18:$E$28</c:f>
              <c:numCache>
                <c:formatCode>0.0</c:formatCode>
                <c:ptCount val="11"/>
                <c:pt idx="0">
                  <c:v>15.967283072546232</c:v>
                </c:pt>
                <c:pt idx="1">
                  <c:v>6.9546568627450984</c:v>
                </c:pt>
                <c:pt idx="2">
                  <c:v>13.195243574990412</c:v>
                </c:pt>
                <c:pt idx="3">
                  <c:v>12.995200903359367</c:v>
                </c:pt>
                <c:pt idx="4">
                  <c:v>10.688433697828431</c:v>
                </c:pt>
                <c:pt idx="5">
                  <c:v>4.8153145555742958</c:v>
                </c:pt>
                <c:pt idx="6">
                  <c:v>9.7841960084374495</c:v>
                </c:pt>
                <c:pt idx="7">
                  <c:v>11.182356941610804</c:v>
                </c:pt>
                <c:pt idx="8">
                  <c:v>13.744941913588304</c:v>
                </c:pt>
                <c:pt idx="9">
                  <c:v>8.4477611940298516</c:v>
                </c:pt>
                <c:pt idx="10">
                  <c:v>2.377555872563005</c:v>
                </c:pt>
              </c:numCache>
            </c:numRef>
          </c:val>
          <c:extLst xmlns:c16r2="http://schemas.microsoft.com/office/drawing/2015/06/chart">
            <c:ext xmlns:c16="http://schemas.microsoft.com/office/drawing/2014/chart" uri="{C3380CC4-5D6E-409C-BE32-E72D297353CC}">
              <c16:uniqueId val="{00000003-7515-4B72-85CA-FB7CB9BF8D41}"/>
            </c:ext>
          </c:extLst>
        </c:ser>
        <c:ser>
          <c:idx val="4"/>
          <c:order val="4"/>
          <c:tx>
            <c:strRef>
              <c:f>'[starea obiectivelor de alimentare cu apă 2014-2021_ANSP.xlsx]Sheet2'!$F$17</c:f>
              <c:strCache>
                <c:ptCount val="1"/>
                <c:pt idx="0">
                  <c:v>2021</c:v>
                </c:pt>
              </c:strCache>
            </c:strRef>
          </c:tx>
          <c:spPr>
            <a:solidFill>
              <a:schemeClr val="accent5"/>
            </a:solidFill>
            <a:ln>
              <a:noFill/>
            </a:ln>
            <a:effectLst/>
          </c:spPr>
          <c:invertIfNegative val="0"/>
          <c:cat>
            <c:strRef>
              <c:f>'[starea obiectivelor de alimentare cu apă 2014-2021_ANSP.xlsx]Sheet2'!$A$18:$A$28</c:f>
              <c:strCache>
                <c:ptCount val="11"/>
                <c:pt idx="0">
                  <c:v>CSP Edineț</c:v>
                </c:pt>
                <c:pt idx="1">
                  <c:v>CSP Soroca</c:v>
                </c:pt>
                <c:pt idx="2">
                  <c:v>CSP Bălți</c:v>
                </c:pt>
                <c:pt idx="3">
                  <c:v>CSP Hâncești</c:v>
                </c:pt>
                <c:pt idx="4">
                  <c:v>CSP Orhei</c:v>
                </c:pt>
                <c:pt idx="5">
                  <c:v>CSP Chișinau</c:v>
                </c:pt>
                <c:pt idx="6">
                  <c:v>CSP Ungheni</c:v>
                </c:pt>
                <c:pt idx="7">
                  <c:v>CSP Căușeni</c:v>
                </c:pt>
                <c:pt idx="8">
                  <c:v>CSP Comrat</c:v>
                </c:pt>
                <c:pt idx="9">
                  <c:v>CSP Cahul</c:v>
                </c:pt>
                <c:pt idx="10">
                  <c:v>ANSP</c:v>
                </c:pt>
              </c:strCache>
            </c:strRef>
          </c:cat>
          <c:val>
            <c:numRef>
              <c:f>'[starea obiectivelor de alimentare cu apă 2014-2021_ANSP.xlsx]Sheet2'!$F$18:$F$28</c:f>
              <c:numCache>
                <c:formatCode>0.0</c:formatCode>
                <c:ptCount val="11"/>
                <c:pt idx="0">
                  <c:v>14.69477033207397</c:v>
                </c:pt>
                <c:pt idx="1">
                  <c:v>7.4558303886925792</c:v>
                </c:pt>
                <c:pt idx="2">
                  <c:v>14.753101435173924</c:v>
                </c:pt>
                <c:pt idx="3">
                  <c:v>7.9372904752514293</c:v>
                </c:pt>
                <c:pt idx="4">
                  <c:v>12.701900890012086</c:v>
                </c:pt>
                <c:pt idx="5">
                  <c:v>4.7092047015722791</c:v>
                </c:pt>
                <c:pt idx="6">
                  <c:v>10.018214936247723</c:v>
                </c:pt>
                <c:pt idx="7">
                  <c:v>11.397131067007271</c:v>
                </c:pt>
                <c:pt idx="8">
                  <c:v>16.25</c:v>
                </c:pt>
                <c:pt idx="9">
                  <c:v>7.135541140320929</c:v>
                </c:pt>
                <c:pt idx="10">
                  <c:v>2.7582159624413145</c:v>
                </c:pt>
              </c:numCache>
            </c:numRef>
          </c:val>
          <c:extLst xmlns:c16r2="http://schemas.microsoft.com/office/drawing/2015/06/chart">
            <c:ext xmlns:c16="http://schemas.microsoft.com/office/drawing/2014/chart" uri="{C3380CC4-5D6E-409C-BE32-E72D297353CC}">
              <c16:uniqueId val="{00000004-7515-4B72-85CA-FB7CB9BF8D41}"/>
            </c:ext>
          </c:extLst>
        </c:ser>
        <c:dLbls>
          <c:showLegendKey val="0"/>
          <c:showVal val="0"/>
          <c:showCatName val="0"/>
          <c:showSerName val="0"/>
          <c:showPercent val="0"/>
          <c:showBubbleSize val="0"/>
        </c:dLbls>
        <c:gapWidth val="219"/>
        <c:overlap val="-27"/>
        <c:axId val="385832424"/>
        <c:axId val="385832816"/>
      </c:barChart>
      <c:catAx>
        <c:axId val="385832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832816"/>
        <c:crosses val="autoZero"/>
        <c:auto val="1"/>
        <c:lblAlgn val="ctr"/>
        <c:lblOffset val="100"/>
        <c:noMultiLvlLbl val="0"/>
      </c:catAx>
      <c:valAx>
        <c:axId val="38583281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crossAx val="3858324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j-lt"/>
                <a:ea typeface="+mn-ea"/>
                <a:cs typeface="+mn-cs"/>
              </a:defRPr>
            </a:pPr>
            <a:r>
              <a:rPr lang="ro-MD" sz="1000" b="1">
                <a:solidFill>
                  <a:sysClr val="windowText" lastClr="000000"/>
                </a:solidFill>
                <a:latin typeface="+mj-lt"/>
              </a:rPr>
              <a:t>Ponderea investigațiilor privind parametrii microbiologici efectuate din nr total de investigații de către csp regionale în anii 2017-2021 </a:t>
            </a:r>
            <a:endParaRPr lang="en-US" sz="1000" b="1">
              <a:solidFill>
                <a:sysClr val="windowText" lastClr="000000"/>
              </a:solidFill>
              <a:latin typeface="+mj-lt"/>
            </a:endParaRP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j-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1-47F9-499C-BA44-4DB191753598}"/>
              </c:ext>
            </c:extLst>
          </c:dPt>
          <c:dPt>
            <c:idx val="1"/>
            <c:bubble3D val="0"/>
            <c:spPr>
              <a:solidFill>
                <a:schemeClr val="accent2"/>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3-47F9-499C-BA44-4DB191753598}"/>
              </c:ext>
            </c:extLst>
          </c:dPt>
          <c:dPt>
            <c:idx val="2"/>
            <c:bubble3D val="0"/>
            <c:spPr>
              <a:solidFill>
                <a:schemeClr val="accent3"/>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5-47F9-499C-BA44-4DB191753598}"/>
              </c:ext>
            </c:extLst>
          </c:dPt>
          <c:dPt>
            <c:idx val="3"/>
            <c:bubble3D val="0"/>
            <c:spPr>
              <a:solidFill>
                <a:schemeClr val="accent4"/>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7-47F9-499C-BA44-4DB191753598}"/>
              </c:ext>
            </c:extLst>
          </c:dPt>
          <c:dPt>
            <c:idx val="4"/>
            <c:bubble3D val="0"/>
            <c:spPr>
              <a:solidFill>
                <a:schemeClr val="accent5"/>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9-47F9-499C-BA44-4DB191753598}"/>
              </c:ext>
            </c:extLst>
          </c:dPt>
          <c:dPt>
            <c:idx val="5"/>
            <c:bubble3D val="0"/>
            <c:spPr>
              <a:solidFill>
                <a:schemeClr val="accent6"/>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B-47F9-499C-BA44-4DB191753598}"/>
              </c:ext>
            </c:extLst>
          </c:dPt>
          <c:dPt>
            <c:idx val="6"/>
            <c:bubble3D val="0"/>
            <c:spPr>
              <a:solidFill>
                <a:schemeClr val="accent1">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D-47F9-499C-BA44-4DB191753598}"/>
              </c:ext>
            </c:extLst>
          </c:dPt>
          <c:dPt>
            <c:idx val="7"/>
            <c:bubble3D val="0"/>
            <c:spPr>
              <a:solidFill>
                <a:schemeClr val="accent2">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0F-47F9-499C-BA44-4DB191753598}"/>
              </c:ext>
            </c:extLst>
          </c:dPt>
          <c:dPt>
            <c:idx val="8"/>
            <c:bubble3D val="0"/>
            <c:spPr>
              <a:solidFill>
                <a:schemeClr val="accent3">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1-47F9-499C-BA44-4DB191753598}"/>
              </c:ext>
            </c:extLst>
          </c:dPt>
          <c:dPt>
            <c:idx val="9"/>
            <c:bubble3D val="0"/>
            <c:spPr>
              <a:solidFill>
                <a:schemeClr val="accent4">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3-47F9-499C-BA44-4DB191753598}"/>
              </c:ext>
            </c:extLst>
          </c:dPt>
          <c:dPt>
            <c:idx val="10"/>
            <c:bubble3D val="0"/>
            <c:spPr>
              <a:solidFill>
                <a:schemeClr val="accent5">
                  <a:lumMod val="60000"/>
                </a:schemeClr>
              </a:solidFill>
              <a:ln w="25400">
                <a:solidFill>
                  <a:schemeClr val="lt1"/>
                </a:solidFill>
              </a:ln>
              <a:effectLst/>
              <a:sp3d contourW="25400">
                <a:contourClr>
                  <a:schemeClr val="lt1"/>
                </a:contourClr>
              </a:sp3d>
            </c:spPr>
            <c:extLst xmlns:c16r2="http://schemas.microsoft.com/office/drawing/2015/06/chart">
              <c:ext xmlns:c16="http://schemas.microsoft.com/office/drawing/2014/chart" uri="{C3380CC4-5D6E-409C-BE32-E72D297353CC}">
                <c16:uniqueId val="{00000015-47F9-499C-BA44-4DB191753598}"/>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ru-RU"/>
                </a:p>
              </c:txPr>
              <c:dLblPos val="outEnd"/>
              <c:showLegendKey val="0"/>
              <c:showVal val="0"/>
              <c:showCatName val="1"/>
              <c:showSerName val="0"/>
              <c:showPercent val="1"/>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solidFill>
                      <a:latin typeface="+mn-lt"/>
                      <a:ea typeface="+mn-ea"/>
                      <a:cs typeface="+mn-cs"/>
                    </a:defRPr>
                  </a:pPr>
                  <a:endParaRPr lang="ru-RU"/>
                </a:p>
              </c:txPr>
              <c:dLblPos val="outEnd"/>
              <c:showLegendKey val="0"/>
              <c:showVal val="0"/>
              <c:showCatName val="1"/>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2">
                          <a:lumMod val="75000"/>
                        </a:schemeClr>
                      </a:solidFill>
                      <a:latin typeface="+mn-lt"/>
                      <a:ea typeface="+mn-ea"/>
                      <a:cs typeface="+mn-cs"/>
                    </a:defRPr>
                  </a:pPr>
                  <a:endParaRPr lang="ru-RU"/>
                </a:p>
              </c:txPr>
              <c:dLblPos val="outEnd"/>
              <c:showLegendKey val="0"/>
              <c:showVal val="0"/>
              <c:showCatName val="1"/>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60000"/>
                          <a:lumOff val="40000"/>
                        </a:schemeClr>
                      </a:solidFill>
                      <a:latin typeface="+mn-lt"/>
                      <a:ea typeface="+mn-ea"/>
                      <a:cs typeface="+mn-cs"/>
                    </a:defRPr>
                  </a:pPr>
                  <a:endParaRPr lang="ru-RU"/>
                </a:p>
              </c:txPr>
              <c:dLblPos val="outEnd"/>
              <c:showLegendKey val="0"/>
              <c:showVal val="0"/>
              <c:showCatName val="1"/>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ru-RU"/>
                </a:p>
              </c:txPr>
              <c:dLblPos val="outEnd"/>
              <c:showLegendKey val="0"/>
              <c:showVal val="0"/>
              <c:showCatName val="1"/>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75000"/>
                        </a:schemeClr>
                      </a:solidFill>
                      <a:latin typeface="+mn-lt"/>
                      <a:ea typeface="+mn-ea"/>
                      <a:cs typeface="+mn-cs"/>
                    </a:defRPr>
                  </a:pPr>
                  <a:endParaRPr lang="ru-RU"/>
                </a:p>
              </c:txPr>
              <c:dLblPos val="outEnd"/>
              <c:showLegendKey val="0"/>
              <c:showVal val="0"/>
              <c:showCatName val="1"/>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75000"/>
                        </a:schemeClr>
                      </a:solidFill>
                      <a:latin typeface="+mn-lt"/>
                      <a:ea typeface="+mn-ea"/>
                      <a:cs typeface="+mn-cs"/>
                    </a:defRPr>
                  </a:pPr>
                  <a:endParaRPr lang="ru-RU"/>
                </a:p>
              </c:txPr>
              <c:dLblPos val="outEnd"/>
              <c:showLegendKey val="0"/>
              <c:showVal val="0"/>
              <c:showCatName val="1"/>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75000"/>
                        </a:schemeClr>
                      </a:solidFill>
                      <a:latin typeface="+mn-lt"/>
                      <a:ea typeface="+mn-ea"/>
                      <a:cs typeface="+mn-cs"/>
                    </a:defRPr>
                  </a:pPr>
                  <a:endParaRPr lang="ru-RU"/>
                </a:p>
              </c:txPr>
              <c:dLblPos val="outEnd"/>
              <c:showLegendKey val="0"/>
              <c:showVal val="0"/>
              <c:showCatName val="1"/>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lumMod val="50000"/>
                        </a:schemeClr>
                      </a:solidFill>
                      <a:latin typeface="+mn-lt"/>
                      <a:ea typeface="+mn-ea"/>
                      <a:cs typeface="+mn-cs"/>
                    </a:defRPr>
                  </a:pPr>
                  <a:endParaRPr lang="ru-RU"/>
                </a:p>
              </c:txPr>
              <c:dLblPos val="outEnd"/>
              <c:showLegendKey val="0"/>
              <c:showVal val="0"/>
              <c:showCatName val="1"/>
              <c:showSerName val="0"/>
              <c:showPercent val="1"/>
              <c:showBubbleSize val="0"/>
            </c:dLbl>
            <c:dLbl>
              <c:idx val="9"/>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75000"/>
                        </a:schemeClr>
                      </a:solidFill>
                      <a:latin typeface="+mn-lt"/>
                      <a:ea typeface="+mn-ea"/>
                      <a:cs typeface="+mn-cs"/>
                    </a:defRPr>
                  </a:pPr>
                  <a:endParaRPr lang="ru-RU"/>
                </a:p>
              </c:txPr>
              <c:dLblPos val="outEnd"/>
              <c:showLegendKey val="0"/>
              <c:showVal val="0"/>
              <c:showCatName val="1"/>
              <c:showSerName val="0"/>
              <c:showPercent val="1"/>
              <c:showBubbleSize val="0"/>
            </c:dLbl>
            <c:dLbl>
              <c:idx val="10"/>
              <c:layout>
                <c:manualLayout>
                  <c:x val="4.1400297136778202E-2"/>
                  <c:y val="-1.774376191504091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lumMod val="50000"/>
                        </a:schemeClr>
                      </a:solidFill>
                      <a:latin typeface="+mn-lt"/>
                      <a:ea typeface="+mn-ea"/>
                      <a:cs typeface="+mn-cs"/>
                    </a:defRPr>
                  </a:pPr>
                  <a:endParaRPr lang="ru-RU"/>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5-47F9-499C-BA44-4DB19175359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'[starea obiectivelor de alimentare cu apă 2014-2021_ANSP.xlsx]Sheet2'!$A$84:$A$94</c:f>
              <c:strCache>
                <c:ptCount val="11"/>
                <c:pt idx="0">
                  <c:v>CSP Bălţi</c:v>
                </c:pt>
                <c:pt idx="1">
                  <c:v>CSP Soroca</c:v>
                </c:pt>
                <c:pt idx="2">
                  <c:v>CSP Edineț</c:v>
                </c:pt>
                <c:pt idx="3">
                  <c:v> CSP Hânceşti</c:v>
                </c:pt>
                <c:pt idx="4">
                  <c:v>CSP Orhei</c:v>
                </c:pt>
                <c:pt idx="5">
                  <c:v>CSP Cahul</c:v>
                </c:pt>
                <c:pt idx="6">
                  <c:v>CSP Chișinău</c:v>
                </c:pt>
                <c:pt idx="7">
                  <c:v>CSP Căuşeni</c:v>
                </c:pt>
                <c:pt idx="8">
                  <c:v>CSP Ungheni</c:v>
                </c:pt>
                <c:pt idx="9">
                  <c:v>CSP Comrat</c:v>
                </c:pt>
                <c:pt idx="10">
                  <c:v>LMS (sediu central)</c:v>
                </c:pt>
              </c:strCache>
            </c:strRef>
          </c:cat>
          <c:val>
            <c:numRef>
              <c:f>'[starea obiectivelor de alimentare cu apă 2014-2021_ANSP.xlsx]Sheet2'!$H$84:$H$94</c:f>
              <c:numCache>
                <c:formatCode>General</c:formatCode>
                <c:ptCount val="11"/>
                <c:pt idx="0">
                  <c:v>11.471929548671175</c:v>
                </c:pt>
                <c:pt idx="1">
                  <c:v>14.579511104121892</c:v>
                </c:pt>
                <c:pt idx="2">
                  <c:v>8.4604497562509824</c:v>
                </c:pt>
                <c:pt idx="3">
                  <c:v>9.8416941867169889</c:v>
                </c:pt>
                <c:pt idx="4">
                  <c:v>8.2018486484597499</c:v>
                </c:pt>
                <c:pt idx="5">
                  <c:v>3.4989778267023119</c:v>
                </c:pt>
                <c:pt idx="6">
                  <c:v>17.138438957907429</c:v>
                </c:pt>
                <c:pt idx="7">
                  <c:v>8.8920340374971616</c:v>
                </c:pt>
                <c:pt idx="8">
                  <c:v>7.9642151980569968</c:v>
                </c:pt>
                <c:pt idx="9">
                  <c:v>6.3811570652268879</c:v>
                </c:pt>
                <c:pt idx="10">
                  <c:v>3.5697436703884255</c:v>
                </c:pt>
              </c:numCache>
            </c:numRef>
          </c:val>
          <c:extLst xmlns:c16r2="http://schemas.microsoft.com/office/drawing/2015/06/chart">
            <c:ext xmlns:c16="http://schemas.microsoft.com/office/drawing/2014/chart" uri="{C3380CC4-5D6E-409C-BE32-E72D297353CC}">
              <c16:uniqueId val="{00000016-47F9-499C-BA44-4DB19175359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o-MD" sz="1000"/>
              <a:t>Ponderea parametrilor necalitativi privind existența elementelor</a:t>
            </a:r>
            <a:r>
              <a:rPr lang="ro-MD" sz="1000" baseline="0"/>
              <a:t> microbiologice nocive în apa potabilă, %, 2017-2021</a:t>
            </a:r>
            <a:endParaRPr lang="en-US" sz="10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stacked"/>
        <c:varyColors val="0"/>
        <c:ser>
          <c:idx val="0"/>
          <c:order val="0"/>
          <c:tx>
            <c:strRef>
              <c:f>'[starea obiectivelor de alimentare cu apă 2014-2021_ANSP.xlsx]Sheet2'!$B$69</c:f>
              <c:strCache>
                <c:ptCount val="1"/>
                <c:pt idx="0">
                  <c:v>2017</c:v>
                </c:pt>
              </c:strCache>
            </c:strRef>
          </c:tx>
          <c:spPr>
            <a:solidFill>
              <a:schemeClr val="accent1"/>
            </a:solidFill>
            <a:ln>
              <a:noFill/>
            </a:ln>
            <a:effectLst/>
          </c:spPr>
          <c:invertIfNegative val="0"/>
          <c:cat>
            <c:strRef>
              <c:f>'[starea obiectivelor de alimentare cu apă 2014-2021_ANSP.xlsx]Sheet2'!$A$70:$A$80</c:f>
              <c:strCache>
                <c:ptCount val="11"/>
                <c:pt idx="0">
                  <c:v>CSP Bălţi</c:v>
                </c:pt>
                <c:pt idx="1">
                  <c:v>CSP Soroca</c:v>
                </c:pt>
                <c:pt idx="2">
                  <c:v>CSP Edineț</c:v>
                </c:pt>
                <c:pt idx="3">
                  <c:v> CSP Hânceşti</c:v>
                </c:pt>
                <c:pt idx="4">
                  <c:v>CSP Orhei</c:v>
                </c:pt>
                <c:pt idx="5">
                  <c:v>CSP Cahul</c:v>
                </c:pt>
                <c:pt idx="6">
                  <c:v>CSP Chișinău</c:v>
                </c:pt>
                <c:pt idx="7">
                  <c:v>CSP Căuşeni</c:v>
                </c:pt>
                <c:pt idx="8">
                  <c:v>CSP Ungheni</c:v>
                </c:pt>
                <c:pt idx="9">
                  <c:v>CSP Comrat</c:v>
                </c:pt>
                <c:pt idx="10">
                  <c:v>Laboratorul Central</c:v>
                </c:pt>
              </c:strCache>
            </c:strRef>
          </c:cat>
          <c:val>
            <c:numRef>
              <c:f>'[starea obiectivelor de alimentare cu apă 2014-2021_ANSP.xlsx]Sheet2'!$B$70:$B$80</c:f>
              <c:numCache>
                <c:formatCode>0.0</c:formatCode>
                <c:ptCount val="11"/>
                <c:pt idx="0">
                  <c:v>15.80349215744303</c:v>
                </c:pt>
                <c:pt idx="1">
                  <c:v>16.242380781642165</c:v>
                </c:pt>
                <c:pt idx="2">
                  <c:v>23.088743757203229</c:v>
                </c:pt>
                <c:pt idx="3">
                  <c:v>33.072289156626503</c:v>
                </c:pt>
                <c:pt idx="4">
                  <c:v>8.1196581196581192</c:v>
                </c:pt>
                <c:pt idx="5">
                  <c:v>20.245398773006134</c:v>
                </c:pt>
                <c:pt idx="6">
                  <c:v>21.9435736677116</c:v>
                </c:pt>
                <c:pt idx="7">
                  <c:v>12.289485662266728</c:v>
                </c:pt>
                <c:pt idx="8">
                  <c:v>35.493421052631582</c:v>
                </c:pt>
                <c:pt idx="9">
                  <c:v>22.688751926040062</c:v>
                </c:pt>
                <c:pt idx="10">
                  <c:v>8.5051546391752577</c:v>
                </c:pt>
              </c:numCache>
            </c:numRef>
          </c:val>
          <c:extLst xmlns:c16r2="http://schemas.microsoft.com/office/drawing/2015/06/chart">
            <c:ext xmlns:c16="http://schemas.microsoft.com/office/drawing/2014/chart" uri="{C3380CC4-5D6E-409C-BE32-E72D297353CC}">
              <c16:uniqueId val="{00000000-B4DE-467D-9523-9D288368ADAC}"/>
            </c:ext>
          </c:extLst>
        </c:ser>
        <c:ser>
          <c:idx val="1"/>
          <c:order val="1"/>
          <c:tx>
            <c:strRef>
              <c:f>'[starea obiectivelor de alimentare cu apă 2014-2021_ANSP.xlsx]Sheet2'!$C$69</c:f>
              <c:strCache>
                <c:ptCount val="1"/>
                <c:pt idx="0">
                  <c:v>2018</c:v>
                </c:pt>
              </c:strCache>
            </c:strRef>
          </c:tx>
          <c:spPr>
            <a:solidFill>
              <a:schemeClr val="accent2"/>
            </a:solidFill>
            <a:ln>
              <a:noFill/>
            </a:ln>
            <a:effectLst/>
          </c:spPr>
          <c:invertIfNegative val="0"/>
          <c:cat>
            <c:strRef>
              <c:f>'[starea obiectivelor de alimentare cu apă 2014-2021_ANSP.xlsx]Sheet2'!$A$70:$A$80</c:f>
              <c:strCache>
                <c:ptCount val="11"/>
                <c:pt idx="0">
                  <c:v>CSP Bălţi</c:v>
                </c:pt>
                <c:pt idx="1">
                  <c:v>CSP Soroca</c:v>
                </c:pt>
                <c:pt idx="2">
                  <c:v>CSP Edineț</c:v>
                </c:pt>
                <c:pt idx="3">
                  <c:v> CSP Hânceşti</c:v>
                </c:pt>
                <c:pt idx="4">
                  <c:v>CSP Orhei</c:v>
                </c:pt>
                <c:pt idx="5">
                  <c:v>CSP Cahul</c:v>
                </c:pt>
                <c:pt idx="6">
                  <c:v>CSP Chișinău</c:v>
                </c:pt>
                <c:pt idx="7">
                  <c:v>CSP Căuşeni</c:v>
                </c:pt>
                <c:pt idx="8">
                  <c:v>CSP Ungheni</c:v>
                </c:pt>
                <c:pt idx="9">
                  <c:v>CSP Comrat</c:v>
                </c:pt>
                <c:pt idx="10">
                  <c:v>Laboratorul Central</c:v>
                </c:pt>
              </c:strCache>
            </c:strRef>
          </c:cat>
          <c:val>
            <c:numRef>
              <c:f>'[starea obiectivelor de alimentare cu apă 2014-2021_ANSP.xlsx]Sheet2'!$C$70:$C$80</c:f>
              <c:numCache>
                <c:formatCode>0.0</c:formatCode>
                <c:ptCount val="11"/>
                <c:pt idx="0">
                  <c:v>22.403560830860535</c:v>
                </c:pt>
                <c:pt idx="1">
                  <c:v>13.936535162950255</c:v>
                </c:pt>
                <c:pt idx="2">
                  <c:v>12.741312741312742</c:v>
                </c:pt>
                <c:pt idx="3">
                  <c:v>31.855421686746986</c:v>
                </c:pt>
                <c:pt idx="4">
                  <c:v>9.4265514532600161</c:v>
                </c:pt>
                <c:pt idx="5">
                  <c:v>24.820659971305595</c:v>
                </c:pt>
                <c:pt idx="6">
                  <c:v>18.687150837988828</c:v>
                </c:pt>
                <c:pt idx="7">
                  <c:v>5.825242718446602</c:v>
                </c:pt>
                <c:pt idx="8">
                  <c:v>20.848310567936736</c:v>
                </c:pt>
                <c:pt idx="9">
                  <c:v>11.5748031496063</c:v>
                </c:pt>
                <c:pt idx="10">
                  <c:v>5.2173913043478262</c:v>
                </c:pt>
              </c:numCache>
            </c:numRef>
          </c:val>
          <c:extLst xmlns:c16r2="http://schemas.microsoft.com/office/drawing/2015/06/chart">
            <c:ext xmlns:c16="http://schemas.microsoft.com/office/drawing/2014/chart" uri="{C3380CC4-5D6E-409C-BE32-E72D297353CC}">
              <c16:uniqueId val="{00000001-B4DE-467D-9523-9D288368ADAC}"/>
            </c:ext>
          </c:extLst>
        </c:ser>
        <c:ser>
          <c:idx val="2"/>
          <c:order val="2"/>
          <c:tx>
            <c:strRef>
              <c:f>'[starea obiectivelor de alimentare cu apă 2014-2021_ANSP.xlsx]Sheet2'!$D$69</c:f>
              <c:strCache>
                <c:ptCount val="1"/>
                <c:pt idx="0">
                  <c:v>2019</c:v>
                </c:pt>
              </c:strCache>
            </c:strRef>
          </c:tx>
          <c:spPr>
            <a:solidFill>
              <a:schemeClr val="accent3"/>
            </a:solidFill>
            <a:ln>
              <a:noFill/>
            </a:ln>
            <a:effectLst/>
          </c:spPr>
          <c:invertIfNegative val="0"/>
          <c:cat>
            <c:strRef>
              <c:f>'[starea obiectivelor de alimentare cu apă 2014-2021_ANSP.xlsx]Sheet2'!$A$70:$A$80</c:f>
              <c:strCache>
                <c:ptCount val="11"/>
                <c:pt idx="0">
                  <c:v>CSP Bălţi</c:v>
                </c:pt>
                <c:pt idx="1">
                  <c:v>CSP Soroca</c:v>
                </c:pt>
                <c:pt idx="2">
                  <c:v>CSP Edineț</c:v>
                </c:pt>
                <c:pt idx="3">
                  <c:v> CSP Hânceşti</c:v>
                </c:pt>
                <c:pt idx="4">
                  <c:v>CSP Orhei</c:v>
                </c:pt>
                <c:pt idx="5">
                  <c:v>CSP Cahul</c:v>
                </c:pt>
                <c:pt idx="6">
                  <c:v>CSP Chișinău</c:v>
                </c:pt>
                <c:pt idx="7">
                  <c:v>CSP Căuşeni</c:v>
                </c:pt>
                <c:pt idx="8">
                  <c:v>CSP Ungheni</c:v>
                </c:pt>
                <c:pt idx="9">
                  <c:v>CSP Comrat</c:v>
                </c:pt>
                <c:pt idx="10">
                  <c:v>Laboratorul Central</c:v>
                </c:pt>
              </c:strCache>
            </c:strRef>
          </c:cat>
          <c:val>
            <c:numRef>
              <c:f>'[starea obiectivelor de alimentare cu apă 2014-2021_ANSP.xlsx]Sheet2'!$D$70:$D$80</c:f>
              <c:numCache>
                <c:formatCode>0.0</c:formatCode>
                <c:ptCount val="11"/>
                <c:pt idx="0">
                  <c:v>26.958174904942965</c:v>
                </c:pt>
                <c:pt idx="1">
                  <c:v>18.495297805642632</c:v>
                </c:pt>
                <c:pt idx="2">
                  <c:v>10.237467018469657</c:v>
                </c:pt>
                <c:pt idx="3">
                  <c:v>46.194456665200178</c:v>
                </c:pt>
                <c:pt idx="4">
                  <c:v>8.473520249221183</c:v>
                </c:pt>
                <c:pt idx="5">
                  <c:v>20.342857142857142</c:v>
                </c:pt>
                <c:pt idx="6">
                  <c:v>15.24951212712573</c:v>
                </c:pt>
                <c:pt idx="7">
                  <c:v>14.737378888322283</c:v>
                </c:pt>
                <c:pt idx="8">
                  <c:v>32.800441014332968</c:v>
                </c:pt>
                <c:pt idx="9">
                  <c:v>16.544117647058822</c:v>
                </c:pt>
                <c:pt idx="10">
                  <c:v>5.07399577167019</c:v>
                </c:pt>
              </c:numCache>
            </c:numRef>
          </c:val>
          <c:extLst xmlns:c16r2="http://schemas.microsoft.com/office/drawing/2015/06/chart">
            <c:ext xmlns:c16="http://schemas.microsoft.com/office/drawing/2014/chart" uri="{C3380CC4-5D6E-409C-BE32-E72D297353CC}">
              <c16:uniqueId val="{00000002-B4DE-467D-9523-9D288368ADAC}"/>
            </c:ext>
          </c:extLst>
        </c:ser>
        <c:ser>
          <c:idx val="3"/>
          <c:order val="3"/>
          <c:tx>
            <c:strRef>
              <c:f>'[starea obiectivelor de alimentare cu apă 2014-2021_ANSP.xlsx]Sheet2'!$E$69</c:f>
              <c:strCache>
                <c:ptCount val="1"/>
                <c:pt idx="0">
                  <c:v>2020</c:v>
                </c:pt>
              </c:strCache>
            </c:strRef>
          </c:tx>
          <c:spPr>
            <a:solidFill>
              <a:schemeClr val="accent4"/>
            </a:solidFill>
            <a:ln>
              <a:noFill/>
            </a:ln>
            <a:effectLst/>
          </c:spPr>
          <c:invertIfNegative val="0"/>
          <c:cat>
            <c:strRef>
              <c:f>'[starea obiectivelor de alimentare cu apă 2014-2021_ANSP.xlsx]Sheet2'!$A$70:$A$80</c:f>
              <c:strCache>
                <c:ptCount val="11"/>
                <c:pt idx="0">
                  <c:v>CSP Bălţi</c:v>
                </c:pt>
                <c:pt idx="1">
                  <c:v>CSP Soroca</c:v>
                </c:pt>
                <c:pt idx="2">
                  <c:v>CSP Edineț</c:v>
                </c:pt>
                <c:pt idx="3">
                  <c:v> CSP Hânceşti</c:v>
                </c:pt>
                <c:pt idx="4">
                  <c:v>CSP Orhei</c:v>
                </c:pt>
                <c:pt idx="5">
                  <c:v>CSP Cahul</c:v>
                </c:pt>
                <c:pt idx="6">
                  <c:v>CSP Chișinău</c:v>
                </c:pt>
                <c:pt idx="7">
                  <c:v>CSP Căuşeni</c:v>
                </c:pt>
                <c:pt idx="8">
                  <c:v>CSP Ungheni</c:v>
                </c:pt>
                <c:pt idx="9">
                  <c:v>CSP Comrat</c:v>
                </c:pt>
                <c:pt idx="10">
                  <c:v>Laboratorul Central</c:v>
                </c:pt>
              </c:strCache>
            </c:strRef>
          </c:cat>
          <c:val>
            <c:numRef>
              <c:f>'[starea obiectivelor de alimentare cu apă 2014-2021_ANSP.xlsx]Sheet2'!$E$70:$E$80</c:f>
              <c:numCache>
                <c:formatCode>0.0</c:formatCode>
                <c:ptCount val="11"/>
                <c:pt idx="0">
                  <c:v>21.735604217356041</c:v>
                </c:pt>
                <c:pt idx="1">
                  <c:v>28.56791338582677</c:v>
                </c:pt>
                <c:pt idx="2">
                  <c:v>19.538537064310262</c:v>
                </c:pt>
                <c:pt idx="3">
                  <c:v>31.490015360983104</c:v>
                </c:pt>
                <c:pt idx="4">
                  <c:v>30.694511898980085</c:v>
                </c:pt>
                <c:pt idx="5">
                  <c:v>32.195845697329375</c:v>
                </c:pt>
                <c:pt idx="6">
                  <c:v>13.764813126709207</c:v>
                </c:pt>
                <c:pt idx="7">
                  <c:v>13.215859030837004</c:v>
                </c:pt>
                <c:pt idx="8">
                  <c:v>38.397581254724109</c:v>
                </c:pt>
                <c:pt idx="9">
                  <c:v>24.891304347826086</c:v>
                </c:pt>
                <c:pt idx="10">
                  <c:v>7.329192546583851</c:v>
                </c:pt>
              </c:numCache>
            </c:numRef>
          </c:val>
          <c:extLst xmlns:c16r2="http://schemas.microsoft.com/office/drawing/2015/06/chart">
            <c:ext xmlns:c16="http://schemas.microsoft.com/office/drawing/2014/chart" uri="{C3380CC4-5D6E-409C-BE32-E72D297353CC}">
              <c16:uniqueId val="{00000003-B4DE-467D-9523-9D288368ADAC}"/>
            </c:ext>
          </c:extLst>
        </c:ser>
        <c:ser>
          <c:idx val="4"/>
          <c:order val="4"/>
          <c:tx>
            <c:strRef>
              <c:f>'[starea obiectivelor de alimentare cu apă 2014-2021_ANSP.xlsx]Sheet2'!$F$69</c:f>
              <c:strCache>
                <c:ptCount val="1"/>
                <c:pt idx="0">
                  <c:v>2021</c:v>
                </c:pt>
              </c:strCache>
            </c:strRef>
          </c:tx>
          <c:spPr>
            <a:solidFill>
              <a:schemeClr val="accent5"/>
            </a:solidFill>
            <a:ln>
              <a:noFill/>
            </a:ln>
            <a:effectLst/>
          </c:spPr>
          <c:invertIfNegative val="0"/>
          <c:cat>
            <c:strRef>
              <c:f>'[starea obiectivelor de alimentare cu apă 2014-2021_ANSP.xlsx]Sheet2'!$A$70:$A$80</c:f>
              <c:strCache>
                <c:ptCount val="11"/>
                <c:pt idx="0">
                  <c:v>CSP Bălţi</c:v>
                </c:pt>
                <c:pt idx="1">
                  <c:v>CSP Soroca</c:v>
                </c:pt>
                <c:pt idx="2">
                  <c:v>CSP Edineț</c:v>
                </c:pt>
                <c:pt idx="3">
                  <c:v> CSP Hânceşti</c:v>
                </c:pt>
                <c:pt idx="4">
                  <c:v>CSP Orhei</c:v>
                </c:pt>
                <c:pt idx="5">
                  <c:v>CSP Cahul</c:v>
                </c:pt>
                <c:pt idx="6">
                  <c:v>CSP Chișinău</c:v>
                </c:pt>
                <c:pt idx="7">
                  <c:v>CSP Căuşeni</c:v>
                </c:pt>
                <c:pt idx="8">
                  <c:v>CSP Ungheni</c:v>
                </c:pt>
                <c:pt idx="9">
                  <c:v>CSP Comrat</c:v>
                </c:pt>
                <c:pt idx="10">
                  <c:v>Laboratorul Central</c:v>
                </c:pt>
              </c:strCache>
            </c:strRef>
          </c:cat>
          <c:val>
            <c:numRef>
              <c:f>'[starea obiectivelor de alimentare cu apă 2014-2021_ANSP.xlsx]Sheet2'!$F$70:$F$80</c:f>
              <c:numCache>
                <c:formatCode>0.0</c:formatCode>
                <c:ptCount val="11"/>
                <c:pt idx="0">
                  <c:v>18.41305998481397</c:v>
                </c:pt>
                <c:pt idx="1">
                  <c:v>25.828889404127057</c:v>
                </c:pt>
                <c:pt idx="2">
                  <c:v>23.203592814371259</c:v>
                </c:pt>
                <c:pt idx="3">
                  <c:v>35.964035964035965</c:v>
                </c:pt>
                <c:pt idx="4">
                  <c:v>13.798614810868406</c:v>
                </c:pt>
                <c:pt idx="5">
                  <c:v>28.283898305084747</c:v>
                </c:pt>
                <c:pt idx="6">
                  <c:v>17.817947062621045</c:v>
                </c:pt>
                <c:pt idx="7">
                  <c:v>10.975035327366934</c:v>
                </c:pt>
                <c:pt idx="8">
                  <c:v>43.475452196382427</c:v>
                </c:pt>
                <c:pt idx="9">
                  <c:v>31.3986013986014</c:v>
                </c:pt>
                <c:pt idx="10">
                  <c:v>6.3660477453580899</c:v>
                </c:pt>
              </c:numCache>
            </c:numRef>
          </c:val>
          <c:extLst xmlns:c16r2="http://schemas.microsoft.com/office/drawing/2015/06/chart">
            <c:ext xmlns:c16="http://schemas.microsoft.com/office/drawing/2014/chart" uri="{C3380CC4-5D6E-409C-BE32-E72D297353CC}">
              <c16:uniqueId val="{00000004-B4DE-467D-9523-9D288368ADAC}"/>
            </c:ext>
          </c:extLst>
        </c:ser>
        <c:dLbls>
          <c:showLegendKey val="0"/>
          <c:showVal val="0"/>
          <c:showCatName val="0"/>
          <c:showSerName val="0"/>
          <c:showPercent val="0"/>
          <c:showBubbleSize val="0"/>
        </c:dLbls>
        <c:gapWidth val="150"/>
        <c:overlap val="100"/>
        <c:axId val="385834384"/>
        <c:axId val="385834776"/>
      </c:barChart>
      <c:catAx>
        <c:axId val="385834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834776"/>
        <c:crosses val="autoZero"/>
        <c:auto val="1"/>
        <c:lblAlgn val="ctr"/>
        <c:lblOffset val="100"/>
        <c:noMultiLvlLbl val="0"/>
      </c:catAx>
      <c:valAx>
        <c:axId val="3858347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834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800"/>
            </a:pPr>
            <a:r>
              <a:rPr lang="x-none" sz="800"/>
              <a:t>C</a:t>
            </a:r>
            <a:r>
              <a:rPr lang="en-US" sz="800"/>
              <a:t>reștere</a:t>
            </a:r>
            <a:r>
              <a:rPr lang="x-none" sz="800"/>
              <a:t>a datoriilor în anul 2021 față de 2014</a:t>
            </a:r>
            <a:r>
              <a:rPr lang="en-US" sz="800"/>
              <a:t>,</a:t>
            </a:r>
            <a:r>
              <a:rPr lang="ro-RO" sz="800"/>
              <a:t> în </a:t>
            </a:r>
            <a:r>
              <a:rPr lang="en-US" sz="800"/>
              <a:t> </a:t>
            </a:r>
            <a:r>
              <a:rPr lang="ro-RO" sz="800"/>
              <a:t>nr. de ori</a:t>
            </a:r>
            <a:endParaRPr lang="en-US" sz="800"/>
          </a:p>
        </c:rich>
      </c:tx>
      <c:layout>
        <c:manualLayout>
          <c:xMode val="edge"/>
          <c:yMode val="edge"/>
          <c:x val="0.28449686537031238"/>
          <c:y val="4.4215147303140426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Series 2</c:v>
                </c:pt>
              </c:strCache>
            </c:strRef>
          </c:tx>
          <c:spPr>
            <a:solidFill>
              <a:schemeClr val="accent1"/>
            </a:solidFill>
            <a:ln>
              <a:noFill/>
            </a:ln>
            <a:effectLst/>
          </c:spPr>
          <c:invertIfNegative val="0"/>
          <c:cat>
            <c:strRef>
              <c:f>Sheet1!$A$2:$A$36</c:f>
              <c:strCache>
                <c:ptCount val="35"/>
                <c:pt idx="0">
                  <c:v>Chișinău</c:v>
                </c:pt>
                <c:pt idx="1">
                  <c:v>Bălți</c:v>
                </c:pt>
                <c:pt idx="2">
                  <c:v>Cantemir</c:v>
                </c:pt>
                <c:pt idx="3">
                  <c:v>Cahul</c:v>
                </c:pt>
                <c:pt idx="4">
                  <c:v>Ungheni</c:v>
                </c:pt>
                <c:pt idx="5">
                  <c:v>IIS "Acva-Nord"</c:v>
                </c:pt>
                <c:pt idx="6">
                  <c:v>Orhei </c:v>
                </c:pt>
                <c:pt idx="7">
                  <c:v>Vulcanești</c:v>
                </c:pt>
                <c:pt idx="8">
                  <c:v>Hîncești</c:v>
                </c:pt>
                <c:pt idx="9">
                  <c:v>Ștefan Vodă</c:v>
                </c:pt>
                <c:pt idx="10">
                  <c:v>Telenești</c:v>
                </c:pt>
                <c:pt idx="11">
                  <c:v>Anenii Noi</c:v>
                </c:pt>
                <c:pt idx="12">
                  <c:v>Florești</c:v>
                </c:pt>
                <c:pt idx="13">
                  <c:v>Caușeni</c:v>
                </c:pt>
                <c:pt idx="14">
                  <c:v>Taraclia</c:v>
                </c:pt>
                <c:pt idx="15">
                  <c:v>Drichia</c:v>
                </c:pt>
                <c:pt idx="16">
                  <c:v>Soroca</c:v>
                </c:pt>
                <c:pt idx="17">
                  <c:v>Rîșcani</c:v>
                </c:pt>
                <c:pt idx="18">
                  <c:v>Leova</c:v>
                </c:pt>
                <c:pt idx="19">
                  <c:v>Ocnița</c:v>
                </c:pt>
                <c:pt idx="20">
                  <c:v>Sîngerei</c:v>
                </c:pt>
                <c:pt idx="21">
                  <c:v>Briceni</c:v>
                </c:pt>
                <c:pt idx="22">
                  <c:v>Fălești</c:v>
                </c:pt>
                <c:pt idx="23">
                  <c:v>Cimișlia</c:v>
                </c:pt>
                <c:pt idx="24">
                  <c:v>Comrat</c:v>
                </c:pt>
                <c:pt idx="25">
                  <c:v>Rezina</c:v>
                </c:pt>
                <c:pt idx="26">
                  <c:v>Criuleni</c:v>
                </c:pt>
                <c:pt idx="27">
                  <c:v>Călărași</c:v>
                </c:pt>
                <c:pt idx="28">
                  <c:v> "AQUA Basarabeasca" </c:v>
                </c:pt>
                <c:pt idx="29">
                  <c:v>Glodeni</c:v>
                </c:pt>
                <c:pt idx="30">
                  <c:v>Straseni</c:v>
                </c:pt>
                <c:pt idx="31">
                  <c:v> Edinet</c:v>
                </c:pt>
                <c:pt idx="32">
                  <c:v> Basarabeasca</c:v>
                </c:pt>
                <c:pt idx="33">
                  <c:v>Șoldănelti</c:v>
                </c:pt>
                <c:pt idx="34">
                  <c:v>Dondușeni</c:v>
                </c:pt>
              </c:strCache>
            </c:strRef>
          </c:cat>
          <c:val>
            <c:numRef>
              <c:f>Sheet1!$B$2:$B$36</c:f>
            </c:numRef>
          </c:val>
          <c:extLst xmlns:c16r2="http://schemas.microsoft.com/office/drawing/2015/06/chart">
            <c:ext xmlns:c16="http://schemas.microsoft.com/office/drawing/2014/chart" uri="{C3380CC4-5D6E-409C-BE32-E72D297353CC}">
              <c16:uniqueId val="{00000000-4DE1-47A3-9504-2C8A70F691A3}"/>
            </c:ext>
          </c:extLst>
        </c:ser>
        <c:ser>
          <c:idx val="1"/>
          <c:order val="1"/>
          <c:tx>
            <c:strRef>
              <c:f>Sheet1!$C$1</c:f>
              <c:strCache>
                <c:ptCount val="1"/>
                <c:pt idx="0">
                  <c:v>creștere, ori</c:v>
                </c:pt>
              </c:strCache>
            </c:strRef>
          </c:tx>
          <c:spPr>
            <a:solidFill>
              <a:schemeClr val="accent2"/>
            </a:solidFill>
            <a:ln>
              <a:noFill/>
            </a:ln>
            <a:effectLst/>
          </c:spPr>
          <c:invertIfNegative val="0"/>
          <c:dPt>
            <c:idx val="2"/>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2-4DE1-47A3-9504-2C8A70F691A3}"/>
              </c:ext>
            </c:extLst>
          </c:dPt>
          <c:dPt>
            <c:idx val="10"/>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4-4DE1-47A3-9504-2C8A70F691A3}"/>
              </c:ext>
            </c:extLst>
          </c:dPt>
          <c:dPt>
            <c:idx val="17"/>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6-4DE1-47A3-9504-2C8A70F691A3}"/>
              </c:ext>
            </c:extLst>
          </c:dPt>
          <c:dPt>
            <c:idx val="21"/>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8-4DE1-47A3-9504-2C8A70F691A3}"/>
              </c:ext>
            </c:extLst>
          </c:dPt>
          <c:dPt>
            <c:idx val="28"/>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A-4DE1-47A3-9504-2C8A70F691A3}"/>
              </c:ext>
            </c:extLst>
          </c:dPt>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Sheet1!$A$2:$A$36</c:f>
              <c:strCache>
                <c:ptCount val="35"/>
                <c:pt idx="0">
                  <c:v>Chișinău</c:v>
                </c:pt>
                <c:pt idx="1">
                  <c:v>Bălți</c:v>
                </c:pt>
                <c:pt idx="2">
                  <c:v>Cantemir</c:v>
                </c:pt>
                <c:pt idx="3">
                  <c:v>Cahul</c:v>
                </c:pt>
                <c:pt idx="4">
                  <c:v>Ungheni</c:v>
                </c:pt>
                <c:pt idx="5">
                  <c:v>IIS "Acva-Nord"</c:v>
                </c:pt>
                <c:pt idx="6">
                  <c:v>Orhei </c:v>
                </c:pt>
                <c:pt idx="7">
                  <c:v>Vulcanești</c:v>
                </c:pt>
                <c:pt idx="8">
                  <c:v>Hîncești</c:v>
                </c:pt>
                <c:pt idx="9">
                  <c:v>Ștefan Vodă</c:v>
                </c:pt>
                <c:pt idx="10">
                  <c:v>Telenești</c:v>
                </c:pt>
                <c:pt idx="11">
                  <c:v>Anenii Noi</c:v>
                </c:pt>
                <c:pt idx="12">
                  <c:v>Florești</c:v>
                </c:pt>
                <c:pt idx="13">
                  <c:v>Caușeni</c:v>
                </c:pt>
                <c:pt idx="14">
                  <c:v>Taraclia</c:v>
                </c:pt>
                <c:pt idx="15">
                  <c:v>Drichia</c:v>
                </c:pt>
                <c:pt idx="16">
                  <c:v>Soroca</c:v>
                </c:pt>
                <c:pt idx="17">
                  <c:v>Rîșcani</c:v>
                </c:pt>
                <c:pt idx="18">
                  <c:v>Leova</c:v>
                </c:pt>
                <c:pt idx="19">
                  <c:v>Ocnița</c:v>
                </c:pt>
                <c:pt idx="20">
                  <c:v>Sîngerei</c:v>
                </c:pt>
                <c:pt idx="21">
                  <c:v>Briceni</c:v>
                </c:pt>
                <c:pt idx="22">
                  <c:v>Fălești</c:v>
                </c:pt>
                <c:pt idx="23">
                  <c:v>Cimișlia</c:v>
                </c:pt>
                <c:pt idx="24">
                  <c:v>Comrat</c:v>
                </c:pt>
                <c:pt idx="25">
                  <c:v>Rezina</c:v>
                </c:pt>
                <c:pt idx="26">
                  <c:v>Criuleni</c:v>
                </c:pt>
                <c:pt idx="27">
                  <c:v>Călărași</c:v>
                </c:pt>
                <c:pt idx="28">
                  <c:v> "AQUA Basarabeasca" </c:v>
                </c:pt>
                <c:pt idx="29">
                  <c:v>Glodeni</c:v>
                </c:pt>
                <c:pt idx="30">
                  <c:v>Straseni</c:v>
                </c:pt>
                <c:pt idx="31">
                  <c:v> Edinet</c:v>
                </c:pt>
                <c:pt idx="32">
                  <c:v> Basarabeasca</c:v>
                </c:pt>
                <c:pt idx="33">
                  <c:v>Șoldănelti</c:v>
                </c:pt>
                <c:pt idx="34">
                  <c:v>Dondușeni</c:v>
                </c:pt>
              </c:strCache>
            </c:strRef>
          </c:cat>
          <c:val>
            <c:numRef>
              <c:f>Sheet1!$C$2:$C$36</c:f>
              <c:numCache>
                <c:formatCode>#,##0.0</c:formatCode>
                <c:ptCount val="35"/>
                <c:pt idx="0" formatCode="General">
                  <c:v>2.1</c:v>
                </c:pt>
                <c:pt idx="1">
                  <c:v>4.5</c:v>
                </c:pt>
                <c:pt idx="2">
                  <c:v>12.5</c:v>
                </c:pt>
                <c:pt idx="3">
                  <c:v>1.1000000000000001</c:v>
                </c:pt>
                <c:pt idx="4">
                  <c:v>1</c:v>
                </c:pt>
                <c:pt idx="5">
                  <c:v>1.9000000000000001</c:v>
                </c:pt>
                <c:pt idx="6">
                  <c:v>1.4</c:v>
                </c:pt>
                <c:pt idx="7">
                  <c:v>0.60000000000000064</c:v>
                </c:pt>
                <c:pt idx="8">
                  <c:v>1</c:v>
                </c:pt>
                <c:pt idx="9">
                  <c:v>1.6</c:v>
                </c:pt>
                <c:pt idx="10">
                  <c:v>8</c:v>
                </c:pt>
                <c:pt idx="11">
                  <c:v>1.5</c:v>
                </c:pt>
                <c:pt idx="12">
                  <c:v>0.9</c:v>
                </c:pt>
                <c:pt idx="13">
                  <c:v>1.2</c:v>
                </c:pt>
                <c:pt idx="14">
                  <c:v>6.9</c:v>
                </c:pt>
                <c:pt idx="15">
                  <c:v>2.8</c:v>
                </c:pt>
                <c:pt idx="16">
                  <c:v>1</c:v>
                </c:pt>
                <c:pt idx="17">
                  <c:v>26.8</c:v>
                </c:pt>
                <c:pt idx="18">
                  <c:v>4.8</c:v>
                </c:pt>
                <c:pt idx="19">
                  <c:v>1.6</c:v>
                </c:pt>
                <c:pt idx="20">
                  <c:v>1.4</c:v>
                </c:pt>
                <c:pt idx="21">
                  <c:v>7.2</c:v>
                </c:pt>
                <c:pt idx="22">
                  <c:v>0.1</c:v>
                </c:pt>
                <c:pt idx="23">
                  <c:v>1.3</c:v>
                </c:pt>
                <c:pt idx="24">
                  <c:v>3.9</c:v>
                </c:pt>
                <c:pt idx="25">
                  <c:v>2.2999999999999998</c:v>
                </c:pt>
                <c:pt idx="26">
                  <c:v>10.4</c:v>
                </c:pt>
                <c:pt idx="27">
                  <c:v>0.60000000000000064</c:v>
                </c:pt>
                <c:pt idx="28">
                  <c:v>19.399999999999999</c:v>
                </c:pt>
                <c:pt idx="29">
                  <c:v>0.5</c:v>
                </c:pt>
                <c:pt idx="30">
                  <c:v>4.5</c:v>
                </c:pt>
                <c:pt idx="31">
                  <c:v>0.5</c:v>
                </c:pt>
                <c:pt idx="32">
                  <c:v>1.4</c:v>
                </c:pt>
                <c:pt idx="33">
                  <c:v>0.9</c:v>
                </c:pt>
                <c:pt idx="34">
                  <c:v>3.3</c:v>
                </c:pt>
              </c:numCache>
            </c:numRef>
          </c:val>
          <c:extLst xmlns:c16r2="http://schemas.microsoft.com/office/drawing/2015/06/chart">
            <c:ext xmlns:c16="http://schemas.microsoft.com/office/drawing/2014/chart" uri="{C3380CC4-5D6E-409C-BE32-E72D297353CC}">
              <c16:uniqueId val="{0000000B-4DE1-47A3-9504-2C8A70F691A3}"/>
            </c:ext>
          </c:extLst>
        </c:ser>
        <c:dLbls>
          <c:showLegendKey val="0"/>
          <c:showVal val="0"/>
          <c:showCatName val="0"/>
          <c:showSerName val="0"/>
          <c:showPercent val="0"/>
          <c:showBubbleSize val="0"/>
        </c:dLbls>
        <c:gapWidth val="219"/>
        <c:overlap val="-27"/>
        <c:axId val="385835560"/>
        <c:axId val="385835952"/>
      </c:barChart>
      <c:catAx>
        <c:axId val="385835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85835952"/>
        <c:crosses val="autoZero"/>
        <c:auto val="1"/>
        <c:lblAlgn val="ctr"/>
        <c:lblOffset val="100"/>
        <c:noMultiLvlLbl val="0"/>
      </c:catAx>
      <c:valAx>
        <c:axId val="385835952"/>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385835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ysClr val="windowText" lastClr="000000"/>
                </a:solidFill>
                <a:latin typeface="+mj-lt"/>
                <a:ea typeface="+mn-ea"/>
                <a:cs typeface="+mn-cs"/>
              </a:defRPr>
            </a:pPr>
            <a:r>
              <a:rPr lang="x-none" sz="1000" b="1">
                <a:solidFill>
                  <a:sysClr val="windowText" lastClr="000000"/>
                </a:solidFill>
                <a:latin typeface="+mj-lt"/>
              </a:rPr>
              <a:t>Numărul de</a:t>
            </a:r>
            <a:r>
              <a:rPr lang="en-US" sz="1000" b="1">
                <a:solidFill>
                  <a:sysClr val="windowText" lastClr="000000"/>
                </a:solidFill>
                <a:latin typeface="+mj-lt"/>
              </a:rPr>
              <a:t> pr</a:t>
            </a:r>
            <a:r>
              <a:rPr lang="x-none" sz="1000" b="1">
                <a:solidFill>
                  <a:sysClr val="windowText" lastClr="000000"/>
                </a:solidFill>
                <a:latin typeface="+mj-lt"/>
              </a:rPr>
              <a:t>o</a:t>
            </a:r>
            <a:r>
              <a:rPr lang="en-US" sz="1000" b="1">
                <a:solidFill>
                  <a:sysClr val="windowText" lastClr="000000"/>
                </a:solidFill>
                <a:latin typeface="+mj-lt"/>
              </a:rPr>
              <a:t>iecte aprobate</a:t>
            </a:r>
            <a:r>
              <a:rPr lang="x-none" sz="1000" b="1">
                <a:solidFill>
                  <a:sysClr val="windowText" lastClr="000000"/>
                </a:solidFill>
                <a:latin typeface="+mj-lt"/>
              </a:rPr>
              <a:t> de către CA FEN și implementate în perioada 2014-2022</a:t>
            </a:r>
            <a:endParaRPr lang="en-US" sz="1000" b="1">
              <a:solidFill>
                <a:sysClr val="windowText" lastClr="000000"/>
              </a:solidFill>
              <a:latin typeface="+mj-lt"/>
            </a:endParaRPr>
          </a:p>
        </c:rich>
      </c:tx>
      <c:overlay val="0"/>
      <c:spPr>
        <a:noFill/>
        <a:ln>
          <a:noFill/>
        </a:ln>
        <a:effectLst/>
      </c:spPr>
    </c:title>
    <c:autoTitleDeleted val="0"/>
    <c:plotArea>
      <c:layout/>
      <c:barChart>
        <c:barDir val="col"/>
        <c:grouping val="clustered"/>
        <c:varyColors val="0"/>
        <c:ser>
          <c:idx val="0"/>
          <c:order val="0"/>
          <c:tx>
            <c:strRef>
              <c:f>Sheet1!$B$40</c:f>
              <c:strCache>
                <c:ptCount val="1"/>
                <c:pt idx="0">
                  <c:v>nr proiecte</c:v>
                </c:pt>
              </c:strCache>
            </c:strRef>
          </c:tx>
          <c:spPr>
            <a:solidFill>
              <a:srgbClr val="7030A0"/>
            </a:solidFill>
            <a:ln>
              <a:noFill/>
            </a:ln>
            <a:effectLst/>
          </c:spPr>
          <c:invertIfNegative val="0"/>
          <c:dLbls>
            <c:dLbl>
              <c:idx val="8"/>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dLbl>
              <c:idx val="1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ru-RU"/>
                </a:p>
              </c:txPr>
              <c:dLblPos val="outEnd"/>
              <c:showLegendKey val="0"/>
              <c:showVal val="1"/>
              <c:showCatName val="0"/>
              <c:showSerName val="0"/>
              <c:showPercent val="0"/>
              <c:showBubbleSize val="0"/>
            </c:dLbl>
            <c:dLbl>
              <c:idx val="15"/>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ru-RU"/>
                </a:p>
              </c:txPr>
              <c:dLblPos val="outEnd"/>
              <c:showLegendKey val="0"/>
              <c:showVal val="1"/>
              <c:showCatName val="0"/>
              <c:showSerName val="0"/>
              <c:showPercent val="0"/>
              <c:showBubbleSize val="0"/>
            </c:dLbl>
            <c:dLbl>
              <c:idx val="2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ru-RU"/>
                </a:p>
              </c:txPr>
              <c:dLblPos val="outEnd"/>
              <c:showLegendKey val="0"/>
              <c:showVal val="1"/>
              <c:showCatName val="0"/>
              <c:showSerName val="0"/>
              <c:showPercent val="0"/>
              <c:showBubbleSize val="0"/>
            </c:dLbl>
            <c:dLbl>
              <c:idx val="26"/>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ru-RU"/>
                </a:p>
              </c:txPr>
              <c:dLblPos val="outEnd"/>
              <c:showLegendKey val="0"/>
              <c:showVal val="1"/>
              <c:showCatName val="0"/>
              <c:showSerName val="0"/>
              <c:showPercent val="0"/>
              <c:showBubbleSize val="0"/>
            </c:dLbl>
            <c:dLbl>
              <c:idx val="27"/>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ru-RU"/>
                </a:p>
              </c:txPr>
              <c:dLblPos val="outEnd"/>
              <c:showLegendKey val="0"/>
              <c:showVal val="1"/>
              <c:showCatName val="0"/>
              <c:showSerName val="0"/>
              <c:showPercent val="0"/>
              <c:showBubbleSize val="0"/>
            </c:dLbl>
            <c:dLbl>
              <c:idx val="33"/>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mn-lt"/>
                      <a:ea typeface="+mn-ea"/>
                      <a:cs typeface="+mn-cs"/>
                    </a:defRPr>
                  </a:pPr>
                  <a:endParaRPr lang="ru-RU"/>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Sheet1!$A$41:$A$75</c:f>
              <c:strCache>
                <c:ptCount val="35"/>
                <c:pt idx="0">
                  <c:v>Anenii Noi</c:v>
                </c:pt>
                <c:pt idx="1">
                  <c:v>Bălți</c:v>
                </c:pt>
                <c:pt idx="2">
                  <c:v>Basarabeasca</c:v>
                </c:pt>
                <c:pt idx="3">
                  <c:v>Briceni</c:v>
                </c:pt>
                <c:pt idx="4">
                  <c:v>Cahul</c:v>
                </c:pt>
                <c:pt idx="5">
                  <c:v>Călărași</c:v>
                </c:pt>
                <c:pt idx="6">
                  <c:v>Cantemir</c:v>
                </c:pt>
                <c:pt idx="7">
                  <c:v>Causeni</c:v>
                </c:pt>
                <c:pt idx="8">
                  <c:v>Chișinău</c:v>
                </c:pt>
                <c:pt idx="9">
                  <c:v>Cimislia</c:v>
                </c:pt>
                <c:pt idx="10">
                  <c:v>Criuleni</c:v>
                </c:pt>
                <c:pt idx="11">
                  <c:v>Donduseni</c:v>
                </c:pt>
                <c:pt idx="12">
                  <c:v>Drochia</c:v>
                </c:pt>
                <c:pt idx="13">
                  <c:v>Dubasari</c:v>
                </c:pt>
                <c:pt idx="14">
                  <c:v>Edinet</c:v>
                </c:pt>
                <c:pt idx="15">
                  <c:v>Fălești</c:v>
                </c:pt>
                <c:pt idx="16">
                  <c:v>Floresti</c:v>
                </c:pt>
                <c:pt idx="17">
                  <c:v>Glodeni</c:v>
                </c:pt>
                <c:pt idx="18">
                  <c:v>Hancesti</c:v>
                </c:pt>
                <c:pt idx="19">
                  <c:v>Ialoveni</c:v>
                </c:pt>
                <c:pt idx="20">
                  <c:v>Leova</c:v>
                </c:pt>
                <c:pt idx="21">
                  <c:v>Nisporeni</c:v>
                </c:pt>
                <c:pt idx="22">
                  <c:v>Ocnita</c:v>
                </c:pt>
                <c:pt idx="23">
                  <c:v>Orhei</c:v>
                </c:pt>
                <c:pt idx="24">
                  <c:v>Rezina</c:v>
                </c:pt>
                <c:pt idx="25">
                  <c:v>Rîșcani</c:v>
                </c:pt>
                <c:pt idx="26">
                  <c:v>Sîngerei</c:v>
                </c:pt>
                <c:pt idx="27">
                  <c:v>Șoldănești</c:v>
                </c:pt>
                <c:pt idx="28">
                  <c:v>Soroca</c:v>
                </c:pt>
                <c:pt idx="29">
                  <c:v>Ștefan Vodă</c:v>
                </c:pt>
                <c:pt idx="30">
                  <c:v>Strășeni</c:v>
                </c:pt>
                <c:pt idx="31">
                  <c:v>Taraclia</c:v>
                </c:pt>
                <c:pt idx="32">
                  <c:v>Telenești</c:v>
                </c:pt>
                <c:pt idx="33">
                  <c:v>Ungheni</c:v>
                </c:pt>
                <c:pt idx="34">
                  <c:v>UTAG</c:v>
                </c:pt>
              </c:strCache>
            </c:strRef>
          </c:cat>
          <c:val>
            <c:numRef>
              <c:f>Sheet1!$B$41:$B$75</c:f>
              <c:numCache>
                <c:formatCode>General</c:formatCode>
                <c:ptCount val="35"/>
                <c:pt idx="0">
                  <c:v>20</c:v>
                </c:pt>
                <c:pt idx="1">
                  <c:v>3</c:v>
                </c:pt>
                <c:pt idx="2">
                  <c:v>9</c:v>
                </c:pt>
                <c:pt idx="3">
                  <c:v>7</c:v>
                </c:pt>
                <c:pt idx="4">
                  <c:v>11</c:v>
                </c:pt>
                <c:pt idx="5">
                  <c:v>17</c:v>
                </c:pt>
                <c:pt idx="6">
                  <c:v>17</c:v>
                </c:pt>
                <c:pt idx="7">
                  <c:v>15</c:v>
                </c:pt>
                <c:pt idx="8">
                  <c:v>28</c:v>
                </c:pt>
                <c:pt idx="9">
                  <c:v>19</c:v>
                </c:pt>
                <c:pt idx="10">
                  <c:v>24</c:v>
                </c:pt>
                <c:pt idx="11">
                  <c:v>12</c:v>
                </c:pt>
                <c:pt idx="12">
                  <c:v>18</c:v>
                </c:pt>
                <c:pt idx="13">
                  <c:v>11</c:v>
                </c:pt>
                <c:pt idx="14">
                  <c:v>14</c:v>
                </c:pt>
                <c:pt idx="15">
                  <c:v>26</c:v>
                </c:pt>
                <c:pt idx="16">
                  <c:v>12</c:v>
                </c:pt>
                <c:pt idx="17">
                  <c:v>10</c:v>
                </c:pt>
                <c:pt idx="18">
                  <c:v>19</c:v>
                </c:pt>
                <c:pt idx="19">
                  <c:v>19</c:v>
                </c:pt>
                <c:pt idx="20">
                  <c:v>14</c:v>
                </c:pt>
                <c:pt idx="21">
                  <c:v>20</c:v>
                </c:pt>
                <c:pt idx="22">
                  <c:v>7</c:v>
                </c:pt>
                <c:pt idx="23">
                  <c:v>26</c:v>
                </c:pt>
                <c:pt idx="24">
                  <c:v>21</c:v>
                </c:pt>
                <c:pt idx="25">
                  <c:v>12</c:v>
                </c:pt>
                <c:pt idx="26">
                  <c:v>24</c:v>
                </c:pt>
                <c:pt idx="27">
                  <c:v>25</c:v>
                </c:pt>
                <c:pt idx="28">
                  <c:v>8</c:v>
                </c:pt>
                <c:pt idx="29">
                  <c:v>15</c:v>
                </c:pt>
                <c:pt idx="30">
                  <c:v>19</c:v>
                </c:pt>
                <c:pt idx="31">
                  <c:v>10</c:v>
                </c:pt>
                <c:pt idx="32">
                  <c:v>18</c:v>
                </c:pt>
                <c:pt idx="33">
                  <c:v>31</c:v>
                </c:pt>
                <c:pt idx="34">
                  <c:v>19</c:v>
                </c:pt>
              </c:numCache>
            </c:numRef>
          </c:val>
          <c:extLst xmlns:c16r2="http://schemas.microsoft.com/office/drawing/2015/06/chart">
            <c:ext xmlns:c16="http://schemas.microsoft.com/office/drawing/2014/chart" uri="{C3380CC4-5D6E-409C-BE32-E72D297353CC}">
              <c16:uniqueId val="{00000007-3F00-4817-B34A-10F36F45DBF4}"/>
            </c:ext>
          </c:extLst>
        </c:ser>
        <c:dLbls>
          <c:showLegendKey val="0"/>
          <c:showVal val="1"/>
          <c:showCatName val="0"/>
          <c:showSerName val="0"/>
          <c:showPercent val="0"/>
          <c:showBubbleSize val="0"/>
        </c:dLbls>
        <c:gapWidth val="219"/>
        <c:overlap val="-27"/>
        <c:axId val="258274320"/>
        <c:axId val="258270008"/>
      </c:barChart>
      <c:catAx>
        <c:axId val="25827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258270008"/>
        <c:crosses val="autoZero"/>
        <c:auto val="1"/>
        <c:lblAlgn val="ctr"/>
        <c:lblOffset val="100"/>
        <c:noMultiLvlLbl val="0"/>
      </c:catAx>
      <c:valAx>
        <c:axId val="258270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274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chemeClr val="tx1">
                    <a:lumMod val="65000"/>
                    <a:lumOff val="35000"/>
                  </a:schemeClr>
                </a:solidFill>
                <a:latin typeface="+mn-lt"/>
                <a:ea typeface="+mn-ea"/>
                <a:cs typeface="+mn-cs"/>
              </a:defRPr>
            </a:pPr>
            <a:r>
              <a:rPr lang="x-none" sz="900" b="1"/>
              <a:t>Ponderea investițiilor acceptate pentru includere în tarif în valoarea investițiilor solicitate pentru a fi incluse în tarif, % </a:t>
            </a:r>
            <a:endParaRPr lang="en-US" sz="900" b="1"/>
          </a:p>
        </c:rich>
      </c:tx>
      <c:overlay val="0"/>
      <c:spPr>
        <a:noFill/>
        <a:ln>
          <a:noFill/>
        </a:ln>
        <a:effectLst/>
      </c:spPr>
    </c:title>
    <c:autoTitleDeleted val="0"/>
    <c:plotArea>
      <c:layout>
        <c:manualLayout>
          <c:layoutTarget val="inner"/>
          <c:xMode val="edge"/>
          <c:yMode val="edge"/>
          <c:x val="6.5525811409673881E-2"/>
          <c:y val="0.15734715966361551"/>
          <c:w val="0.92960848643919913"/>
          <c:h val="0.43730563432275915"/>
        </c:manualLayout>
      </c:layout>
      <c:lineChart>
        <c:grouping val="standard"/>
        <c:varyColors val="0"/>
        <c:ser>
          <c:idx val="0"/>
          <c:order val="0"/>
          <c:tx>
            <c:strRef>
              <c:f>Sheet1!$B$1</c:f>
              <c:strCache>
                <c:ptCount val="1"/>
                <c:pt idx="0">
                  <c:v>%</c:v>
                </c:pt>
              </c:strCache>
            </c:strRef>
          </c:tx>
          <c:spPr>
            <a:ln w="28575" cap="rnd">
              <a:solidFill>
                <a:srgbClr val="FF0000"/>
              </a:solidFill>
              <a:round/>
            </a:ln>
            <a:effectLst/>
          </c:spPr>
          <c:marker>
            <c:symbol val="none"/>
          </c:marker>
          <c:dLbls>
            <c:dLbl>
              <c:idx val="0"/>
              <c:spPr>
                <a:noFill/>
                <a:ln>
                  <a:noFill/>
                </a:ln>
                <a:effectLst/>
              </c:spPr>
              <c:txPr>
                <a:bodyPr rot="0" spcFirstLastPara="1" vertOverflow="ellipsis" horzOverflow="clip"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6DB-41C7-BA58-D0B7EF6244F4}"/>
                </c:ext>
                <c:ext xmlns:c15="http://schemas.microsoft.com/office/drawing/2012/chart" uri="{CE6537A1-D6FC-4f65-9D91-7224C49458BB}">
                  <c15:spPr xmlns:c15="http://schemas.microsoft.com/office/drawing/2012/chart">
                    <a:prstGeom prst="rect">
                      <a:avLst/>
                    </a:prstGeom>
                  </c15:spPr>
                </c:ext>
              </c:extLst>
            </c:dLbl>
            <c:dLbl>
              <c:idx val="1"/>
              <c:layout>
                <c:manualLayout>
                  <c:x val="-1.8309429356118491E-2"/>
                  <c:y val="-0.14170996693434121"/>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49D9-45E3-8A19-C275494DA625}"/>
                </c:ext>
                <c:ext xmlns:c15="http://schemas.microsoft.com/office/drawing/2012/chart" uri="{CE6537A1-D6FC-4f65-9D91-7224C49458BB}"/>
              </c:extLst>
            </c:dLbl>
            <c:dLbl>
              <c:idx val="2"/>
              <c:spPr>
                <a:noFill/>
                <a:ln>
                  <a:noFill/>
                </a:ln>
                <a:effectLst/>
              </c:spPr>
              <c:txPr>
                <a:bodyPr rot="0" spcFirstLastPara="1" vertOverflow="ellipsis" horzOverflow="clip" vert="horz" wrap="square" lIns="38100" tIns="19050" rIns="38100" bIns="19050" anchor="ctr" anchorCtr="1">
                  <a:noAutofit/>
                </a:bodyPr>
                <a:lstStyle/>
                <a:p>
                  <a:pPr>
                    <a:defRPr sz="8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6DB-41C7-BA58-D0B7EF6244F4}"/>
                </c:ext>
                <c:ext xmlns:c15="http://schemas.microsoft.com/office/drawing/2012/chart" uri="{CE6537A1-D6FC-4f65-9D91-7224C49458BB}">
                  <c15:spPr xmlns:c15="http://schemas.microsoft.com/office/drawing/2012/chart">
                    <a:prstGeom prst="rect">
                      <a:avLst/>
                    </a:prstGeom>
                  </c15:spPr>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Sheet1!$A$3:$A$7</c:f>
              <c:numCache>
                <c:formatCode>General</c:formatCode>
                <c:ptCount val="5"/>
                <c:pt idx="0">
                  <c:v>2017</c:v>
                </c:pt>
                <c:pt idx="1">
                  <c:v>2018</c:v>
                </c:pt>
                <c:pt idx="2">
                  <c:v>2019</c:v>
                </c:pt>
                <c:pt idx="3">
                  <c:v>2020</c:v>
                </c:pt>
                <c:pt idx="4">
                  <c:v>2021</c:v>
                </c:pt>
              </c:numCache>
            </c:numRef>
          </c:cat>
          <c:val>
            <c:numRef>
              <c:f>Sheet1!$B$2:$B$7</c:f>
              <c:numCache>
                <c:formatCode>0.0%</c:formatCode>
                <c:ptCount val="6"/>
                <c:pt idx="0">
                  <c:v>0.26600000000000001</c:v>
                </c:pt>
                <c:pt idx="1">
                  <c:v>6.5000000000000002E-2</c:v>
                </c:pt>
                <c:pt idx="2">
                  <c:v>0.72000000000000064</c:v>
                </c:pt>
                <c:pt idx="3">
                  <c:v>0.16500000000000001</c:v>
                </c:pt>
                <c:pt idx="4">
                  <c:v>5.3000000000000012E-2</c:v>
                </c:pt>
                <c:pt idx="5">
                  <c:v>0.19900000000000001</c:v>
                </c:pt>
              </c:numCache>
            </c:numRef>
          </c:val>
          <c:smooth val="0"/>
          <c:extLst xmlns:c16r2="http://schemas.microsoft.com/office/drawing/2015/06/chart">
            <c:ext xmlns:c16="http://schemas.microsoft.com/office/drawing/2014/chart" uri="{C3380CC4-5D6E-409C-BE32-E72D297353CC}">
              <c16:uniqueId val="{00000003-49D9-45E3-8A19-C275494DA625}"/>
            </c:ext>
          </c:extLst>
        </c:ser>
        <c:dLbls>
          <c:showLegendKey val="0"/>
          <c:showVal val="0"/>
          <c:showCatName val="0"/>
          <c:showSerName val="0"/>
          <c:showPercent val="0"/>
          <c:showBubbleSize val="0"/>
        </c:dLbls>
        <c:smooth val="0"/>
        <c:axId val="385836736"/>
        <c:axId val="387093736"/>
      </c:lineChart>
      <c:catAx>
        <c:axId val="385836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crossAx val="387093736"/>
        <c:crosses val="autoZero"/>
        <c:auto val="1"/>
        <c:lblAlgn val="ctr"/>
        <c:lblOffset val="100"/>
        <c:noMultiLvlLbl val="0"/>
      </c:catAx>
      <c:valAx>
        <c:axId val="387093736"/>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385836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900" b="1" i="0" u="none" strike="noStrike" kern="1200" spc="0" baseline="0">
                <a:solidFill>
                  <a:sysClr val="windowText" lastClr="000000"/>
                </a:solidFill>
                <a:latin typeface="+mn-lt"/>
                <a:ea typeface="+mn-ea"/>
                <a:cs typeface="+mn-cs"/>
              </a:defRPr>
            </a:pPr>
            <a:r>
              <a:rPr lang="x-none" sz="800" b="1">
                <a:solidFill>
                  <a:sysClr val="windowText" lastClr="000000"/>
                </a:solidFill>
              </a:rPr>
              <a:t>V</a:t>
            </a:r>
            <a:r>
              <a:rPr lang="ro-RO" sz="800" b="1">
                <a:solidFill>
                  <a:sysClr val="windowText" lastClr="000000"/>
                </a:solidFill>
              </a:rPr>
              <a:t>e</a:t>
            </a:r>
            <a:r>
              <a:rPr lang="x-none" sz="800" b="1">
                <a:solidFill>
                  <a:sysClr val="windowText" lastClr="000000"/>
                </a:solidFill>
              </a:rPr>
              <a:t>niturile din vânzări, costul</a:t>
            </a:r>
            <a:r>
              <a:rPr lang="x-none" sz="800" b="1" baseline="0">
                <a:solidFill>
                  <a:sysClr val="windowText" lastClr="000000"/>
                </a:solidFill>
              </a:rPr>
              <a:t> vânzărilor și profituri/pierderi din vânzările realizate în anii 2014-2021</a:t>
            </a:r>
            <a:r>
              <a:rPr lang="ro-RO" sz="800" b="1" baseline="0">
                <a:solidFill>
                  <a:sysClr val="windowText" lastClr="000000"/>
                </a:solidFill>
              </a:rPr>
              <a:t>, mil.lei</a:t>
            </a:r>
            <a:endParaRPr lang="en-US" sz="800" b="1">
              <a:solidFill>
                <a:sysClr val="windowText" lastClr="000000"/>
              </a:solidFill>
            </a:endParaRPr>
          </a:p>
        </c:rich>
      </c:tx>
      <c:layout>
        <c:manualLayout>
          <c:xMode val="edge"/>
          <c:yMode val="edge"/>
          <c:x val="6.353887140923356E-2"/>
          <c:y val="2.3809581162867726E-2"/>
        </c:manualLayout>
      </c:layout>
      <c:overlay val="0"/>
      <c:spPr>
        <a:noFill/>
        <a:ln>
          <a:noFill/>
        </a:ln>
        <a:effectLst/>
      </c:spPr>
    </c:title>
    <c:autoTitleDeleted val="0"/>
    <c:plotArea>
      <c:layout>
        <c:manualLayout>
          <c:layoutTarget val="inner"/>
          <c:xMode val="edge"/>
          <c:yMode val="edge"/>
          <c:x val="2.3635178416835625E-2"/>
          <c:y val="0.22764505736051308"/>
          <c:w val="0.9527296431663298"/>
          <c:h val="0.49045496973894309"/>
        </c:manualLayout>
      </c:layout>
      <c:barChart>
        <c:barDir val="col"/>
        <c:grouping val="clustered"/>
        <c:varyColors val="0"/>
        <c:ser>
          <c:idx val="0"/>
          <c:order val="0"/>
          <c:tx>
            <c:strRef>
              <c:f>Sheet1!$B$1</c:f>
              <c:strCache>
                <c:ptCount val="1"/>
                <c:pt idx="0">
                  <c:v>2014</c:v>
                </c:pt>
              </c:strCache>
            </c:strRef>
          </c:tx>
          <c:spPr>
            <a:solidFill>
              <a:srgbClr val="92D05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venituri din vînzari</c:v>
                </c:pt>
                <c:pt idx="1">
                  <c:v>costul vînzărilor</c:v>
                </c:pt>
                <c:pt idx="2">
                  <c:v>profit</c:v>
                </c:pt>
                <c:pt idx="3">
                  <c:v>pierdere</c:v>
                </c:pt>
              </c:strCache>
            </c:strRef>
          </c:cat>
          <c:val>
            <c:numRef>
              <c:f>Sheet1!$B$2:$B$5</c:f>
              <c:numCache>
                <c:formatCode>#,##0.0</c:formatCode>
                <c:ptCount val="4"/>
                <c:pt idx="0">
                  <c:v>912.6</c:v>
                </c:pt>
                <c:pt idx="1">
                  <c:v>693.7</c:v>
                </c:pt>
                <c:pt idx="2">
                  <c:v>221.4</c:v>
                </c:pt>
                <c:pt idx="3">
                  <c:v>2.5</c:v>
                </c:pt>
              </c:numCache>
            </c:numRef>
          </c:val>
          <c:extLst xmlns:c16r2="http://schemas.microsoft.com/office/drawing/2015/06/chart">
            <c:ext xmlns:c16="http://schemas.microsoft.com/office/drawing/2014/chart" uri="{C3380CC4-5D6E-409C-BE32-E72D297353CC}">
              <c16:uniqueId val="{00000000-12D2-48B8-A258-8EAE9FF33304}"/>
            </c:ext>
          </c:extLst>
        </c:ser>
        <c:ser>
          <c:idx val="1"/>
          <c:order val="1"/>
          <c:tx>
            <c:strRef>
              <c:f>Sheet1!$C$1</c:f>
              <c:strCache>
                <c:ptCount val="1"/>
                <c:pt idx="0">
                  <c:v>2019</c:v>
                </c:pt>
              </c:strCache>
            </c:strRef>
          </c:tx>
          <c:spPr>
            <a:solidFill>
              <a:srgbClr val="FFC000"/>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venituri din vînzari</c:v>
                </c:pt>
                <c:pt idx="1">
                  <c:v>costul vînzărilor</c:v>
                </c:pt>
                <c:pt idx="2">
                  <c:v>profit</c:v>
                </c:pt>
                <c:pt idx="3">
                  <c:v>pierdere</c:v>
                </c:pt>
              </c:strCache>
            </c:strRef>
          </c:cat>
          <c:val>
            <c:numRef>
              <c:f>Sheet1!$C$2:$C$5</c:f>
              <c:numCache>
                <c:formatCode>#,##0.0</c:formatCode>
                <c:ptCount val="4"/>
                <c:pt idx="0">
                  <c:v>1150.7</c:v>
                </c:pt>
                <c:pt idx="1">
                  <c:v>851.8</c:v>
                </c:pt>
                <c:pt idx="2">
                  <c:v>308.7</c:v>
                </c:pt>
                <c:pt idx="3">
                  <c:v>9.8000000000000007</c:v>
                </c:pt>
              </c:numCache>
            </c:numRef>
          </c:val>
          <c:extLst xmlns:c16r2="http://schemas.microsoft.com/office/drawing/2015/06/chart">
            <c:ext xmlns:c16="http://schemas.microsoft.com/office/drawing/2014/chart" uri="{C3380CC4-5D6E-409C-BE32-E72D297353CC}">
              <c16:uniqueId val="{00000001-12D2-48B8-A258-8EAE9FF33304}"/>
            </c:ext>
          </c:extLst>
        </c:ser>
        <c:ser>
          <c:idx val="2"/>
          <c:order val="2"/>
          <c:tx>
            <c:strRef>
              <c:f>Sheet1!$D$1</c:f>
              <c:strCache>
                <c:ptCount val="1"/>
                <c:pt idx="0">
                  <c:v>2020</c:v>
                </c:pt>
              </c:strCache>
            </c:strRef>
          </c:tx>
          <c:spPr>
            <a:solidFill>
              <a:srgbClr val="00B0F0"/>
            </a:solidFill>
            <a:ln>
              <a:noFill/>
            </a:ln>
            <a:effectLst/>
          </c:spPr>
          <c:invertIfNegative val="0"/>
          <c:dLbls>
            <c:dLbl>
              <c:idx val="0"/>
              <c:layout>
                <c:manualLayout>
                  <c:x val="-2.3148148148148147E-3"/>
                  <c:y val="-6.686351706036782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12D2-48B8-A258-8EAE9FF33304}"/>
                </c:ext>
                <c:ext xmlns:c15="http://schemas.microsoft.com/office/drawing/2012/chart" uri="{CE6537A1-D6FC-4f65-9D91-7224C49458BB}"/>
              </c:extLst>
            </c:dLbl>
            <c:dLbl>
              <c:idx val="1"/>
              <c:layout>
                <c:manualLayout>
                  <c:x val="0"/>
                  <c:y val="-9.980314960629991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12D2-48B8-A258-8EAE9FF33304}"/>
                </c:ext>
                <c:ext xmlns:c15="http://schemas.microsoft.com/office/drawing/2012/chart" uri="{CE6537A1-D6FC-4f65-9D91-7224C49458BB}"/>
              </c:extLst>
            </c:dLbl>
            <c:dLbl>
              <c:idx val="2"/>
              <c:layout>
                <c:manualLayout>
                  <c:x val="0"/>
                  <c:y val="-3.548681414823154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12D2-48B8-A258-8EAE9FF33304}"/>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ru-RU"/>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venituri din vînzari</c:v>
                </c:pt>
                <c:pt idx="1">
                  <c:v>costul vînzărilor</c:v>
                </c:pt>
                <c:pt idx="2">
                  <c:v>profit</c:v>
                </c:pt>
                <c:pt idx="3">
                  <c:v>pierdere</c:v>
                </c:pt>
              </c:strCache>
            </c:strRef>
          </c:cat>
          <c:val>
            <c:numRef>
              <c:f>Sheet1!$D$2:$D$5</c:f>
              <c:numCache>
                <c:formatCode>#,##0.0</c:formatCode>
                <c:ptCount val="4"/>
                <c:pt idx="0">
                  <c:v>1134.0999999999999</c:v>
                </c:pt>
                <c:pt idx="1">
                  <c:v>869.1</c:v>
                </c:pt>
                <c:pt idx="2">
                  <c:v>269.2</c:v>
                </c:pt>
                <c:pt idx="3">
                  <c:v>4.2</c:v>
                </c:pt>
              </c:numCache>
            </c:numRef>
          </c:val>
          <c:extLst xmlns:c16r2="http://schemas.microsoft.com/office/drawing/2015/06/chart">
            <c:ext xmlns:c16="http://schemas.microsoft.com/office/drawing/2014/chart" uri="{C3380CC4-5D6E-409C-BE32-E72D297353CC}">
              <c16:uniqueId val="{00000005-12D2-48B8-A258-8EAE9FF33304}"/>
            </c:ext>
          </c:extLst>
        </c:ser>
        <c:ser>
          <c:idx val="3"/>
          <c:order val="3"/>
          <c:tx>
            <c:strRef>
              <c:f>Sheet1!$E$1</c:f>
              <c:strCache>
                <c:ptCount val="1"/>
                <c:pt idx="0">
                  <c:v>2021</c:v>
                </c:pt>
              </c:strCache>
            </c:strRef>
          </c:tx>
          <c:spPr>
            <a:solidFill>
              <a:srgbClr val="7030A0"/>
            </a:solidFill>
            <a:ln>
              <a:noFill/>
            </a:ln>
            <a:effectLst/>
          </c:spPr>
          <c:invertIfNegative val="0"/>
          <c:dLbls>
            <c:dLbl>
              <c:idx val="0"/>
              <c:layout>
                <c:manualLayout>
                  <c:x val="0"/>
                  <c:y val="-3.10492438445197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12D2-48B8-A258-8EAE9FF33304}"/>
                </c:ext>
                <c:ext xmlns:c15="http://schemas.microsoft.com/office/drawing/2012/chart" uri="{CE6537A1-D6FC-4f65-9D91-7224C49458BB}"/>
              </c:extLst>
            </c:dLbl>
            <c:dLbl>
              <c:idx val="1"/>
              <c:layout>
                <c:manualLayout>
                  <c:x val="0"/>
                  <c:y val="-7.513435820522470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12D2-48B8-A258-8EAE9FF33304}"/>
                </c:ext>
                <c:ext xmlns:c15="http://schemas.microsoft.com/office/drawing/2012/chart" uri="{CE6537A1-D6FC-4f65-9D91-7224C49458BB}"/>
              </c:extLst>
            </c:dLbl>
            <c:dLbl>
              <c:idx val="2"/>
              <c:layout>
                <c:manualLayout>
                  <c:x val="0"/>
                  <c:y val="-3.5380577427821705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12D2-48B8-A258-8EAE9FF33304}"/>
                </c:ext>
                <c:ext xmlns:c15="http://schemas.microsoft.com/office/drawing/2012/chart" uri="{CE6537A1-D6FC-4f65-9D91-7224C49458BB}"/>
              </c:extLst>
            </c:dLbl>
            <c:spPr>
              <a:noFill/>
              <a:ln>
                <a:noFill/>
              </a:ln>
              <a:effectLst/>
            </c:spPr>
            <c:txPr>
              <a:bodyPr rot="-5400000" spcFirstLastPara="1" vertOverflow="ellipsis"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venituri din vînzari</c:v>
                </c:pt>
                <c:pt idx="1">
                  <c:v>costul vînzărilor</c:v>
                </c:pt>
                <c:pt idx="2">
                  <c:v>profit</c:v>
                </c:pt>
                <c:pt idx="3">
                  <c:v>pierdere</c:v>
                </c:pt>
              </c:strCache>
            </c:strRef>
          </c:cat>
          <c:val>
            <c:numRef>
              <c:f>Sheet1!$E$2:$E$5</c:f>
              <c:numCache>
                <c:formatCode>#,##0.0</c:formatCode>
                <c:ptCount val="4"/>
                <c:pt idx="0">
                  <c:v>1171.2</c:v>
                </c:pt>
                <c:pt idx="1">
                  <c:v>899.1</c:v>
                </c:pt>
                <c:pt idx="2">
                  <c:v>278.10000000000002</c:v>
                </c:pt>
                <c:pt idx="3">
                  <c:v>6</c:v>
                </c:pt>
              </c:numCache>
            </c:numRef>
          </c:val>
          <c:extLst xmlns:c16r2="http://schemas.microsoft.com/office/drawing/2015/06/chart">
            <c:ext xmlns:c16="http://schemas.microsoft.com/office/drawing/2014/chart" uri="{C3380CC4-5D6E-409C-BE32-E72D297353CC}">
              <c16:uniqueId val="{00000009-12D2-48B8-A258-8EAE9FF33304}"/>
            </c:ext>
          </c:extLst>
        </c:ser>
        <c:dLbls>
          <c:showLegendKey val="0"/>
          <c:showVal val="0"/>
          <c:showCatName val="0"/>
          <c:showSerName val="0"/>
          <c:showPercent val="0"/>
          <c:showBubbleSize val="0"/>
        </c:dLbls>
        <c:gapWidth val="219"/>
        <c:overlap val="-27"/>
        <c:axId val="387094520"/>
        <c:axId val="387094912"/>
      </c:barChart>
      <c:catAx>
        <c:axId val="387094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387094912"/>
        <c:crosses val="autoZero"/>
        <c:auto val="1"/>
        <c:lblAlgn val="ctr"/>
        <c:lblOffset val="100"/>
        <c:noMultiLvlLbl val="0"/>
      </c:catAx>
      <c:valAx>
        <c:axId val="387094912"/>
        <c:scaling>
          <c:orientation val="minMax"/>
        </c:scaling>
        <c:delete val="1"/>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one"/>
        <c:crossAx val="3870945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x-none" sz="1000" b="1">
                <a:solidFill>
                  <a:sysClr val="windowText" lastClr="000000"/>
                </a:solidFill>
              </a:rPr>
              <a:t>Pierderile din</a:t>
            </a:r>
            <a:r>
              <a:rPr lang="x-none" sz="1000" b="1" baseline="0">
                <a:solidFill>
                  <a:sysClr val="windowText" lastClr="000000"/>
                </a:solidFill>
              </a:rPr>
              <a:t> vânzări înregistrate la finele anului 2021</a:t>
            </a:r>
            <a:endParaRPr lang="en-US" sz="1000"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ÎM Regia "Apa Canal Balți”</c:v>
                </c:pt>
                <c:pt idx="1">
                  <c:v>SA "Apa canal Leova"</c:v>
                </c:pt>
                <c:pt idx="2">
                  <c:v>ÎM "Aapa canal Ocnița"</c:v>
                </c:pt>
                <c:pt idx="3">
                  <c:v>ÎM"Regia apa Șoldănești"</c:v>
                </c:pt>
              </c:strCache>
            </c:strRef>
          </c:cat>
          <c:val>
            <c:numRef>
              <c:f>Sheet1!$B$2:$B$5</c:f>
              <c:numCache>
                <c:formatCode>General</c:formatCode>
                <c:ptCount val="4"/>
                <c:pt idx="0">
                  <c:v>1.9000000000000001</c:v>
                </c:pt>
                <c:pt idx="1">
                  <c:v>3.6</c:v>
                </c:pt>
                <c:pt idx="2">
                  <c:v>0.2</c:v>
                </c:pt>
                <c:pt idx="3">
                  <c:v>0.30000000000000032</c:v>
                </c:pt>
              </c:numCache>
            </c:numRef>
          </c:val>
          <c:extLst xmlns:c16r2="http://schemas.microsoft.com/office/drawing/2015/06/chart">
            <c:ext xmlns:c16="http://schemas.microsoft.com/office/drawing/2014/chart" uri="{C3380CC4-5D6E-409C-BE32-E72D297353CC}">
              <c16:uniqueId val="{00000000-D5A5-46C4-A2CA-E9A5E4D1E534}"/>
            </c:ext>
          </c:extLst>
        </c:ser>
        <c:dLbls>
          <c:showLegendKey val="0"/>
          <c:showVal val="0"/>
          <c:showCatName val="0"/>
          <c:showSerName val="0"/>
          <c:showPercent val="0"/>
          <c:showBubbleSize val="0"/>
        </c:dLbls>
        <c:gapWidth val="219"/>
        <c:overlap val="-27"/>
        <c:axId val="387095696"/>
        <c:axId val="387096088"/>
      </c:barChart>
      <c:catAx>
        <c:axId val="387095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ru-RU"/>
          </a:p>
        </c:txPr>
        <c:crossAx val="387096088"/>
        <c:crosses val="autoZero"/>
        <c:auto val="1"/>
        <c:lblAlgn val="ctr"/>
        <c:lblOffset val="100"/>
        <c:noMultiLvlLbl val="0"/>
      </c:catAx>
      <c:valAx>
        <c:axId val="387096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70956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0" i="0" u="none" strike="noStrike" kern="1200" spc="0" baseline="0">
                <a:solidFill>
                  <a:schemeClr val="tx1">
                    <a:lumMod val="65000"/>
                    <a:lumOff val="35000"/>
                  </a:schemeClr>
                </a:solidFill>
                <a:latin typeface="+mn-lt"/>
                <a:ea typeface="+mn-ea"/>
                <a:cs typeface="+mn-cs"/>
              </a:defRPr>
            </a:pPr>
            <a:r>
              <a:rPr lang="ro-RO" sz="900" b="1" i="0" baseline="0">
                <a:solidFill>
                  <a:sysClr val="windowText" lastClr="000000"/>
                </a:solidFill>
                <a:effectLst/>
              </a:rPr>
              <a:t>Veniturile obținute de ANRE din stabilirea plăților regulatorii pentri operatorii serviciilor de alimentare cu apă și sanitație </a:t>
            </a:r>
            <a:endParaRPr lang="en-US" sz="900">
              <a:solidFill>
                <a:sysClr val="windowText" lastClr="000000"/>
              </a:solidFill>
              <a:effectLst/>
            </a:endParaRPr>
          </a:p>
        </c:rich>
      </c:tx>
      <c:layout>
        <c:manualLayout>
          <c:xMode val="edge"/>
          <c:yMode val="edge"/>
          <c:x val="0.12912037037037036"/>
          <c:y val="3.968253968253968E-2"/>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Planificat</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2019</c:v>
                </c:pt>
                <c:pt idx="1">
                  <c:v>2020</c:v>
                </c:pt>
                <c:pt idx="2">
                  <c:v>2021</c:v>
                </c:pt>
                <c:pt idx="3">
                  <c:v>2022</c:v>
                </c:pt>
              </c:numCache>
            </c:numRef>
          </c:cat>
          <c:val>
            <c:numRef>
              <c:f>Sheet1!$B$2:$B$5</c:f>
              <c:numCache>
                <c:formatCode>#,##0.0</c:formatCode>
                <c:ptCount val="4"/>
                <c:pt idx="0">
                  <c:v>1158</c:v>
                </c:pt>
                <c:pt idx="1">
                  <c:v>1667</c:v>
                </c:pt>
                <c:pt idx="2">
                  <c:v>2148.8000000000002</c:v>
                </c:pt>
                <c:pt idx="3">
                  <c:v>2191</c:v>
                </c:pt>
              </c:numCache>
            </c:numRef>
          </c:val>
          <c:extLst xmlns:c16r2="http://schemas.microsoft.com/office/drawing/2015/06/chart">
            <c:ext xmlns:c16="http://schemas.microsoft.com/office/drawing/2014/chart" uri="{C3380CC4-5D6E-409C-BE32-E72D297353CC}">
              <c16:uniqueId val="{00000000-4112-4F6A-AB5F-D5575CE68B43}"/>
            </c:ext>
          </c:extLst>
        </c:ser>
        <c:ser>
          <c:idx val="1"/>
          <c:order val="1"/>
          <c:tx>
            <c:strRef>
              <c:f>Sheet1!$C$1</c:f>
              <c:strCache>
                <c:ptCount val="1"/>
                <c:pt idx="0">
                  <c:v>Executat</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Sheet1!$A$2:$A$5</c:f>
              <c:numCache>
                <c:formatCode>General</c:formatCode>
                <c:ptCount val="4"/>
                <c:pt idx="0">
                  <c:v>2019</c:v>
                </c:pt>
                <c:pt idx="1">
                  <c:v>2020</c:v>
                </c:pt>
                <c:pt idx="2">
                  <c:v>2021</c:v>
                </c:pt>
                <c:pt idx="3">
                  <c:v>2022</c:v>
                </c:pt>
              </c:numCache>
            </c:numRef>
          </c:cat>
          <c:val>
            <c:numRef>
              <c:f>Sheet1!$C$2:$C$5</c:f>
              <c:numCache>
                <c:formatCode>#,##0.0</c:formatCode>
                <c:ptCount val="4"/>
                <c:pt idx="0">
                  <c:v>1611.2</c:v>
                </c:pt>
                <c:pt idx="1">
                  <c:v>1609.7</c:v>
                </c:pt>
                <c:pt idx="2">
                  <c:v>2062.3000000000002</c:v>
                </c:pt>
                <c:pt idx="3">
                  <c:v>1099.8499999999999</c:v>
                </c:pt>
              </c:numCache>
            </c:numRef>
          </c:val>
          <c:extLst xmlns:c16r2="http://schemas.microsoft.com/office/drawing/2015/06/chart">
            <c:ext xmlns:c16="http://schemas.microsoft.com/office/drawing/2014/chart" uri="{C3380CC4-5D6E-409C-BE32-E72D297353CC}">
              <c16:uniqueId val="{00000001-4112-4F6A-AB5F-D5575CE68B43}"/>
            </c:ext>
          </c:extLst>
        </c:ser>
        <c:dLbls>
          <c:showLegendKey val="0"/>
          <c:showVal val="0"/>
          <c:showCatName val="0"/>
          <c:showSerName val="0"/>
          <c:showPercent val="0"/>
          <c:showBubbleSize val="0"/>
        </c:dLbls>
        <c:gapWidth val="219"/>
        <c:overlap val="-27"/>
        <c:axId val="387096872"/>
        <c:axId val="387097264"/>
      </c:barChart>
      <c:catAx>
        <c:axId val="387096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ru-RU"/>
          </a:p>
        </c:txPr>
        <c:crossAx val="387097264"/>
        <c:crosses val="autoZero"/>
        <c:auto val="1"/>
        <c:lblAlgn val="ctr"/>
        <c:lblOffset val="100"/>
        <c:noMultiLvlLbl val="0"/>
      </c:catAx>
      <c:valAx>
        <c:axId val="387097264"/>
        <c:scaling>
          <c:orientation val="minMax"/>
        </c:scaling>
        <c:delete val="1"/>
        <c:axPos val="l"/>
        <c:majorGridlines>
          <c:spPr>
            <a:ln w="9525" cap="flat" cmpd="sng" algn="ctr">
              <a:noFill/>
              <a:round/>
            </a:ln>
            <a:effectLst/>
          </c:spPr>
        </c:majorGridlines>
        <c:numFmt formatCode="#,##0.0" sourceLinked="1"/>
        <c:majorTickMark val="none"/>
        <c:minorTickMark val="none"/>
        <c:tickLblPos val="none"/>
        <c:crossAx val="387096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l">
              <a:defRPr sz="900" b="1" i="0" u="none" strike="noStrike" kern="1200" spc="0" baseline="0">
                <a:solidFill>
                  <a:sysClr val="windowText" lastClr="000000"/>
                </a:solidFill>
                <a:latin typeface="+mn-lt"/>
                <a:ea typeface="+mn-ea"/>
                <a:cs typeface="+mn-cs"/>
              </a:defRPr>
            </a:pPr>
            <a:r>
              <a:rPr lang="x-none" sz="900" b="1">
                <a:solidFill>
                  <a:sysClr val="windowText" lastClr="000000"/>
                </a:solidFill>
              </a:rPr>
              <a:t>Întreruperi neplanificate</a:t>
            </a:r>
            <a:endParaRPr lang="en-US" sz="900" b="1">
              <a:solidFill>
                <a:sysClr val="windowText" lastClr="000000"/>
              </a:solidFill>
            </a:endParaRPr>
          </a:p>
        </c:rich>
      </c:tx>
      <c:layout>
        <c:manualLayout>
          <c:xMode val="edge"/>
          <c:yMode val="edge"/>
          <c:x val="0.14555781969994955"/>
          <c:y val="2.3809688896207732E-2"/>
        </c:manualLayout>
      </c:layout>
      <c:overlay val="0"/>
      <c:spPr>
        <a:noFill/>
        <a:ln>
          <a:noFill/>
        </a:ln>
        <a:effectLst/>
      </c:spPr>
    </c:title>
    <c:autoTitleDeleted val="0"/>
    <c:plotArea>
      <c:layout>
        <c:manualLayout>
          <c:layoutTarget val="inner"/>
          <c:xMode val="edge"/>
          <c:yMode val="edge"/>
          <c:x val="0.11862113589967922"/>
          <c:y val="0.13130952380952382"/>
          <c:w val="0.84369367891513758"/>
          <c:h val="0.6699865641794791"/>
        </c:manualLayout>
      </c:layout>
      <c:barChart>
        <c:barDir val="bar"/>
        <c:grouping val="clustered"/>
        <c:varyColors val="0"/>
        <c:ser>
          <c:idx val="0"/>
          <c:order val="0"/>
          <c:tx>
            <c:strRef>
              <c:f>Sheet1!$B$1</c:f>
              <c:strCache>
                <c:ptCount val="1"/>
                <c:pt idx="0">
                  <c:v>2019</c:v>
                </c:pt>
              </c:strCache>
            </c:strRef>
          </c:tx>
          <c:spPr>
            <a:solidFill>
              <a:srgbClr val="FFC000"/>
            </a:solidFill>
            <a:ln>
              <a:noFill/>
            </a:ln>
            <a:effectLst/>
          </c:spPr>
          <c:invertIfNegative val="0"/>
          <c:dLbls>
            <c:dLbl>
              <c:idx val="1"/>
              <c:layout>
                <c:manualLayout>
                  <c:x val="7.6760698522356742E-3"/>
                  <c:y val="3.2154340836012811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F83-413A-93A4-CF670947BCD4}"/>
                </c:ext>
                <c:ext xmlns:c15="http://schemas.microsoft.com/office/drawing/2012/chart" uri="{CE6537A1-D6FC-4f65-9D91-7224C49458BB}"/>
              </c:extLst>
            </c:dLbl>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SC</c:v>
                </c:pt>
                <c:pt idx="1">
                  <c:v>SAA</c:v>
                </c:pt>
              </c:strCache>
            </c:strRef>
          </c:cat>
          <c:val>
            <c:numRef>
              <c:f>Sheet1!$B$2:$B$3</c:f>
              <c:numCache>
                <c:formatCode>General</c:formatCode>
                <c:ptCount val="2"/>
                <c:pt idx="0">
                  <c:v>4342</c:v>
                </c:pt>
                <c:pt idx="1">
                  <c:v>10610</c:v>
                </c:pt>
              </c:numCache>
            </c:numRef>
          </c:val>
          <c:extLst xmlns:c16r2="http://schemas.microsoft.com/office/drawing/2015/06/chart">
            <c:ext xmlns:c16="http://schemas.microsoft.com/office/drawing/2014/chart" uri="{C3380CC4-5D6E-409C-BE32-E72D297353CC}">
              <c16:uniqueId val="{00000001-AF83-413A-93A4-CF670947BCD4}"/>
            </c:ext>
          </c:extLst>
        </c:ser>
        <c:ser>
          <c:idx val="1"/>
          <c:order val="1"/>
          <c:tx>
            <c:strRef>
              <c:f>Sheet1!$C$1</c:f>
              <c:strCache>
                <c:ptCount val="1"/>
                <c:pt idx="0">
                  <c:v>2020</c:v>
                </c:pt>
              </c:strCache>
            </c:strRef>
          </c:tx>
          <c:spPr>
            <a:solidFill>
              <a:srgbClr val="00B0F0"/>
            </a:solidFill>
            <a:ln>
              <a:noFill/>
            </a:ln>
            <a:effectLst/>
          </c:spPr>
          <c:invertIfNegative val="0"/>
          <c:dLbls>
            <c:spPr>
              <a:noFill/>
              <a:ln>
                <a:noFill/>
              </a:ln>
              <a:effectLst/>
            </c:spPr>
            <c:txPr>
              <a:bodyPr/>
              <a:lstStyle/>
              <a:p>
                <a:pPr>
                  <a:defRPr sz="800">
                    <a:solidFill>
                      <a:sysClr val="windowText" lastClr="000000"/>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SC</c:v>
                </c:pt>
                <c:pt idx="1">
                  <c:v>SAA</c:v>
                </c:pt>
              </c:strCache>
            </c:strRef>
          </c:cat>
          <c:val>
            <c:numRef>
              <c:f>Sheet1!$C$2:$C$3</c:f>
              <c:numCache>
                <c:formatCode>General</c:formatCode>
                <c:ptCount val="2"/>
                <c:pt idx="0">
                  <c:v>6211</c:v>
                </c:pt>
                <c:pt idx="1">
                  <c:v>11684</c:v>
                </c:pt>
              </c:numCache>
            </c:numRef>
          </c:val>
          <c:extLst xmlns:c16r2="http://schemas.microsoft.com/office/drawing/2015/06/chart">
            <c:ext xmlns:c16="http://schemas.microsoft.com/office/drawing/2014/chart" uri="{C3380CC4-5D6E-409C-BE32-E72D297353CC}">
              <c16:uniqueId val="{00000002-AF83-413A-93A4-CF670947BCD4}"/>
            </c:ext>
          </c:extLst>
        </c:ser>
        <c:ser>
          <c:idx val="2"/>
          <c:order val="2"/>
          <c:tx>
            <c:strRef>
              <c:f>Sheet1!$D$1</c:f>
              <c:strCache>
                <c:ptCount val="1"/>
                <c:pt idx="0">
                  <c:v>2021</c:v>
                </c:pt>
              </c:strCache>
            </c:strRef>
          </c:tx>
          <c:spPr>
            <a:solidFill>
              <a:srgbClr val="92D050"/>
            </a:solidFill>
            <a:ln>
              <a:noFill/>
            </a:ln>
            <a:effectLst/>
          </c:spPr>
          <c:invertIfNegative val="0"/>
          <c:dLbls>
            <c:dLbl>
              <c:idx val="1"/>
              <c:layout>
                <c:manualLayout>
                  <c:x val="7.6760698522356742E-3"/>
                  <c:y val="-3.21543408360128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AF83-413A-93A4-CF670947BCD4}"/>
                </c:ext>
                <c:ext xmlns:c15="http://schemas.microsoft.com/office/drawing/2012/chart" uri="{CE6537A1-D6FC-4f65-9D91-7224C49458BB}"/>
              </c:extLst>
            </c:dLbl>
            <c:spPr>
              <a:noFill/>
              <a:ln>
                <a:noFill/>
              </a:ln>
              <a:effectLst/>
            </c:spPr>
            <c:txPr>
              <a:bodyPr/>
              <a:lstStyle/>
              <a:p>
                <a:pPr>
                  <a:defRPr sz="800">
                    <a:solidFill>
                      <a:sysClr val="windowText" lastClr="000000"/>
                    </a:solidFill>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SC</c:v>
                </c:pt>
                <c:pt idx="1">
                  <c:v>SAA</c:v>
                </c:pt>
              </c:strCache>
            </c:strRef>
          </c:cat>
          <c:val>
            <c:numRef>
              <c:f>Sheet1!$D$2:$D$3</c:f>
              <c:numCache>
                <c:formatCode>General</c:formatCode>
                <c:ptCount val="2"/>
                <c:pt idx="0">
                  <c:v>7661</c:v>
                </c:pt>
                <c:pt idx="1">
                  <c:v>10481</c:v>
                </c:pt>
              </c:numCache>
            </c:numRef>
          </c:val>
          <c:extLst xmlns:c16r2="http://schemas.microsoft.com/office/drawing/2015/06/chart">
            <c:ext xmlns:c16="http://schemas.microsoft.com/office/drawing/2014/chart" uri="{C3380CC4-5D6E-409C-BE32-E72D297353CC}">
              <c16:uniqueId val="{00000004-AF83-413A-93A4-CF670947BCD4}"/>
            </c:ext>
          </c:extLst>
        </c:ser>
        <c:dLbls>
          <c:showLegendKey val="0"/>
          <c:showVal val="1"/>
          <c:showCatName val="0"/>
          <c:showSerName val="0"/>
          <c:showPercent val="0"/>
          <c:showBubbleSize val="0"/>
        </c:dLbls>
        <c:gapWidth val="182"/>
        <c:axId val="387098048"/>
        <c:axId val="387098440"/>
      </c:barChart>
      <c:catAx>
        <c:axId val="3870980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7098440"/>
        <c:crosses val="autoZero"/>
        <c:auto val="1"/>
        <c:lblAlgn val="ctr"/>
        <c:lblOffset val="100"/>
        <c:noMultiLvlLbl val="0"/>
      </c:catAx>
      <c:valAx>
        <c:axId val="387098440"/>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387098048"/>
        <c:crosses val="autoZero"/>
        <c:crossBetween val="between"/>
      </c:valAx>
      <c:spPr>
        <a:noFill/>
        <a:ln>
          <a:noFill/>
        </a:ln>
        <a:effectLst/>
      </c:spPr>
    </c:plotArea>
    <c:legend>
      <c:legendPos val="b"/>
      <c:layout>
        <c:manualLayout>
          <c:xMode val="edge"/>
          <c:yMode val="edge"/>
          <c:x val="0.30568890460367798"/>
          <c:y val="0.79769433965448966"/>
          <c:w val="0.38862219079264559"/>
          <c:h val="0.137996978673485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ysClr val="windowText" lastClr="000000"/>
                </a:solidFill>
                <a:latin typeface="+mn-lt"/>
                <a:ea typeface="+mn-ea"/>
                <a:cs typeface="+mn-cs"/>
              </a:defRPr>
            </a:pPr>
            <a:r>
              <a:rPr lang="x-none" sz="900" b="1">
                <a:solidFill>
                  <a:sysClr val="windowText" lastClr="000000"/>
                </a:solidFill>
              </a:rPr>
              <a:t>Întreruperi planificate</a:t>
            </a:r>
            <a:endParaRPr lang="en-US" sz="900" b="1">
              <a:solidFill>
                <a:sysClr val="windowText" lastClr="000000"/>
              </a:solidFill>
            </a:endParaRPr>
          </a:p>
        </c:rich>
      </c:tx>
      <c:layout>
        <c:manualLayout>
          <c:xMode val="edge"/>
          <c:yMode val="edge"/>
          <c:x val="0.21048117407325884"/>
          <c:y val="2.3809688896207732E-2"/>
        </c:manualLayout>
      </c:layout>
      <c:overlay val="0"/>
      <c:spPr>
        <a:noFill/>
        <a:ln>
          <a:noFill/>
        </a:ln>
        <a:effectLst/>
      </c:spPr>
    </c:title>
    <c:autoTitleDeleted val="0"/>
    <c:plotArea>
      <c:layout>
        <c:manualLayout>
          <c:layoutTarget val="inner"/>
          <c:xMode val="edge"/>
          <c:yMode val="edge"/>
          <c:x val="0.12130874254691361"/>
          <c:y val="0.14782049302660696"/>
          <c:w val="0.81076022871876352"/>
          <c:h val="0.64246854943902509"/>
        </c:manualLayout>
      </c:layout>
      <c:barChart>
        <c:barDir val="bar"/>
        <c:grouping val="clustered"/>
        <c:varyColors val="0"/>
        <c:ser>
          <c:idx val="0"/>
          <c:order val="0"/>
          <c:tx>
            <c:strRef>
              <c:f>Sheet1!$B$1</c:f>
              <c:strCache>
                <c:ptCount val="1"/>
                <c:pt idx="0">
                  <c:v>2019</c:v>
                </c:pt>
              </c:strCache>
            </c:strRef>
          </c:tx>
          <c:spPr>
            <a:solidFill>
              <a:srgbClr val="FFC000"/>
            </a:solidFill>
            <a:ln>
              <a:noFill/>
            </a:ln>
            <a:effectLst/>
          </c:spPr>
          <c:invertIfNegative val="0"/>
          <c:dLbls>
            <c:dLbl>
              <c:idx val="0"/>
              <c:layout>
                <c:manualLayout>
                  <c:x val="4.7047753469771818E-3"/>
                  <c:y val="3.267973856209149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095-4487-BA2D-3C23110E6D3F}"/>
                </c:ext>
                <c:ext xmlns:c15="http://schemas.microsoft.com/office/drawing/2012/chart" uri="{CE6537A1-D6FC-4f65-9D91-7224C49458BB}"/>
              </c:extLst>
            </c:dLbl>
            <c:dLbl>
              <c:idx val="1"/>
              <c:layout>
                <c:manualLayout>
                  <c:x val="4.7047753469771818E-3"/>
                  <c:y val="6.5359477124183024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095-4487-BA2D-3C23110E6D3F}"/>
                </c:ext>
                <c:ext xmlns:c15="http://schemas.microsoft.com/office/drawing/2012/chart" uri="{CE6537A1-D6FC-4f65-9D91-7224C49458BB}"/>
              </c:extLst>
            </c:dLbl>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SC</c:v>
                </c:pt>
                <c:pt idx="1">
                  <c:v>SAA</c:v>
                </c:pt>
              </c:strCache>
            </c:strRef>
          </c:cat>
          <c:val>
            <c:numRef>
              <c:f>Sheet1!$B$2:$B$3</c:f>
              <c:numCache>
                <c:formatCode>General</c:formatCode>
                <c:ptCount val="2"/>
                <c:pt idx="0">
                  <c:v>357</c:v>
                </c:pt>
                <c:pt idx="1">
                  <c:v>1540</c:v>
                </c:pt>
              </c:numCache>
            </c:numRef>
          </c:val>
          <c:extLst xmlns:c16r2="http://schemas.microsoft.com/office/drawing/2015/06/chart">
            <c:ext xmlns:c16="http://schemas.microsoft.com/office/drawing/2014/chart" uri="{C3380CC4-5D6E-409C-BE32-E72D297353CC}">
              <c16:uniqueId val="{00000002-2095-4487-BA2D-3C23110E6D3F}"/>
            </c:ext>
          </c:extLst>
        </c:ser>
        <c:ser>
          <c:idx val="1"/>
          <c:order val="1"/>
          <c:tx>
            <c:strRef>
              <c:f>Sheet1!$C$1</c:f>
              <c:strCache>
                <c:ptCount val="1"/>
                <c:pt idx="0">
                  <c:v>2020</c:v>
                </c:pt>
              </c:strCache>
            </c:strRef>
          </c:tx>
          <c:spPr>
            <a:solidFill>
              <a:srgbClr val="00B0F0"/>
            </a:solidFill>
            <a:ln>
              <a:noFill/>
            </a:ln>
            <a:effectLst/>
          </c:spPr>
          <c:invertIfNegative val="0"/>
          <c:dLbls>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SC</c:v>
                </c:pt>
                <c:pt idx="1">
                  <c:v>SAA</c:v>
                </c:pt>
              </c:strCache>
            </c:strRef>
          </c:cat>
          <c:val>
            <c:numRef>
              <c:f>Sheet1!$C$2:$C$3</c:f>
              <c:numCache>
                <c:formatCode>General</c:formatCode>
                <c:ptCount val="2"/>
                <c:pt idx="0">
                  <c:v>362</c:v>
                </c:pt>
                <c:pt idx="1">
                  <c:v>1596</c:v>
                </c:pt>
              </c:numCache>
            </c:numRef>
          </c:val>
          <c:extLst xmlns:c16r2="http://schemas.microsoft.com/office/drawing/2015/06/chart">
            <c:ext xmlns:c16="http://schemas.microsoft.com/office/drawing/2014/chart" uri="{C3380CC4-5D6E-409C-BE32-E72D297353CC}">
              <c16:uniqueId val="{00000003-2095-4487-BA2D-3C23110E6D3F}"/>
            </c:ext>
          </c:extLst>
        </c:ser>
        <c:ser>
          <c:idx val="2"/>
          <c:order val="2"/>
          <c:tx>
            <c:strRef>
              <c:f>Sheet1!$D$1</c:f>
              <c:strCache>
                <c:ptCount val="1"/>
                <c:pt idx="0">
                  <c:v>2021</c:v>
                </c:pt>
              </c:strCache>
            </c:strRef>
          </c:tx>
          <c:spPr>
            <a:solidFill>
              <a:srgbClr val="92D050"/>
            </a:solidFill>
            <a:ln>
              <a:solidFill>
                <a:srgbClr val="92D050"/>
              </a:solidFill>
            </a:ln>
            <a:effectLst/>
          </c:spPr>
          <c:invertIfNegative val="0"/>
          <c:dLbls>
            <c:dLbl>
              <c:idx val="0"/>
              <c:layout>
                <c:manualLayout>
                  <c:x val="4.7047753469771818E-3"/>
                  <c:y val="-4.357298474945540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2095-4487-BA2D-3C23110E6D3F}"/>
                </c:ext>
                <c:ext xmlns:c15="http://schemas.microsoft.com/office/drawing/2012/chart" uri="{CE6537A1-D6FC-4f65-9D91-7224C49458BB}"/>
              </c:extLst>
            </c:dLbl>
            <c:spPr>
              <a:noFill/>
              <a:ln>
                <a:noFill/>
              </a:ln>
              <a:effectLst/>
            </c:spPr>
            <c:txPr>
              <a:bodyPr/>
              <a:lstStyle/>
              <a:p>
                <a:pPr>
                  <a:defRPr sz="800"/>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Sheet1!$A$2:$A$3</c:f>
              <c:strCache>
                <c:ptCount val="2"/>
                <c:pt idx="0">
                  <c:v>SC</c:v>
                </c:pt>
                <c:pt idx="1">
                  <c:v>SAA</c:v>
                </c:pt>
              </c:strCache>
            </c:strRef>
          </c:cat>
          <c:val>
            <c:numRef>
              <c:f>Sheet1!$D$2:$D$3</c:f>
              <c:numCache>
                <c:formatCode>General</c:formatCode>
                <c:ptCount val="2"/>
                <c:pt idx="0">
                  <c:v>295</c:v>
                </c:pt>
                <c:pt idx="1">
                  <c:v>1118</c:v>
                </c:pt>
              </c:numCache>
            </c:numRef>
          </c:val>
          <c:extLst xmlns:c16r2="http://schemas.microsoft.com/office/drawing/2015/06/chart">
            <c:ext xmlns:c16="http://schemas.microsoft.com/office/drawing/2014/chart" uri="{C3380CC4-5D6E-409C-BE32-E72D297353CC}">
              <c16:uniqueId val="{00000005-2095-4487-BA2D-3C23110E6D3F}"/>
            </c:ext>
          </c:extLst>
        </c:ser>
        <c:dLbls>
          <c:showLegendKey val="0"/>
          <c:showVal val="1"/>
          <c:showCatName val="0"/>
          <c:showSerName val="0"/>
          <c:showPercent val="0"/>
          <c:showBubbleSize val="0"/>
        </c:dLbls>
        <c:gapWidth val="182"/>
        <c:axId val="387099224"/>
        <c:axId val="387099616"/>
      </c:barChart>
      <c:catAx>
        <c:axId val="3870992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7099616"/>
        <c:crosses val="autoZero"/>
        <c:auto val="1"/>
        <c:lblAlgn val="ctr"/>
        <c:lblOffset val="100"/>
        <c:noMultiLvlLbl val="0"/>
      </c:catAx>
      <c:valAx>
        <c:axId val="387099616"/>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387099224"/>
        <c:crosses val="autoZero"/>
        <c:crossBetween val="between"/>
      </c:valAx>
      <c:spPr>
        <a:noFill/>
        <a:ln>
          <a:noFill/>
        </a:ln>
        <a:effectLst/>
      </c:spPr>
    </c:plotArea>
    <c:legend>
      <c:legendPos val="b"/>
      <c:layout>
        <c:manualLayout>
          <c:xMode val="edge"/>
          <c:yMode val="edge"/>
          <c:x val="0.26180778214297001"/>
          <c:y val="0.80528193779699109"/>
          <c:w val="0.47638443571406147"/>
          <c:h val="0.1293585850788259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x-none" sz="1000" b="1">
                <a:solidFill>
                  <a:schemeClr val="tx1"/>
                </a:solidFill>
              </a:rPr>
              <a:t>Depășirea numărului de întreruperi de prestare a serviciilor</a:t>
            </a:r>
            <a:endParaRPr lang="en-US" sz="1000" b="1">
              <a:solidFill>
                <a:schemeClr val="tx1"/>
              </a:solidFill>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2019</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SC</c:v>
                </c:pt>
                <c:pt idx="1">
                  <c:v>SAA</c:v>
                </c:pt>
              </c:strCache>
            </c:strRef>
          </c:cat>
          <c:val>
            <c:numRef>
              <c:f>Sheet1!$B$2:$B$3</c:f>
              <c:numCache>
                <c:formatCode>#,##0</c:formatCode>
                <c:ptCount val="2"/>
                <c:pt idx="0">
                  <c:v>12.162464985994404</c:v>
                </c:pt>
                <c:pt idx="1">
                  <c:v>6.8896103896103904</c:v>
                </c:pt>
              </c:numCache>
            </c:numRef>
          </c:val>
          <c:extLst xmlns:c16r2="http://schemas.microsoft.com/office/drawing/2015/06/chart">
            <c:ext xmlns:c16="http://schemas.microsoft.com/office/drawing/2014/chart" uri="{C3380CC4-5D6E-409C-BE32-E72D297353CC}">
              <c16:uniqueId val="{00000000-E641-4135-9D48-B2118ADBC403}"/>
            </c:ext>
          </c:extLst>
        </c:ser>
        <c:ser>
          <c:idx val="1"/>
          <c:order val="1"/>
          <c:tx>
            <c:strRef>
              <c:f>Sheet1!$C$1</c:f>
              <c:strCache>
                <c:ptCount val="1"/>
                <c:pt idx="0">
                  <c:v>2020</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SC</c:v>
                </c:pt>
                <c:pt idx="1">
                  <c:v>SAA</c:v>
                </c:pt>
              </c:strCache>
            </c:strRef>
          </c:cat>
          <c:val>
            <c:numRef>
              <c:f>Sheet1!$C$2:$C$3</c:f>
              <c:numCache>
                <c:formatCode>#,##0</c:formatCode>
                <c:ptCount val="2"/>
                <c:pt idx="0">
                  <c:v>17.157458563535911</c:v>
                </c:pt>
                <c:pt idx="1">
                  <c:v>7.3208020050125313</c:v>
                </c:pt>
              </c:numCache>
            </c:numRef>
          </c:val>
          <c:extLst xmlns:c16r2="http://schemas.microsoft.com/office/drawing/2015/06/chart">
            <c:ext xmlns:c16="http://schemas.microsoft.com/office/drawing/2014/chart" uri="{C3380CC4-5D6E-409C-BE32-E72D297353CC}">
              <c16:uniqueId val="{00000001-E641-4135-9D48-B2118ADBC403}"/>
            </c:ext>
          </c:extLst>
        </c:ser>
        <c:ser>
          <c:idx val="2"/>
          <c:order val="2"/>
          <c:tx>
            <c:strRef>
              <c:f>Sheet1!$D$1</c:f>
              <c:strCache>
                <c:ptCount val="1"/>
                <c:pt idx="0">
                  <c:v>2021</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SC</c:v>
                </c:pt>
                <c:pt idx="1">
                  <c:v>SAA</c:v>
                </c:pt>
              </c:strCache>
            </c:strRef>
          </c:cat>
          <c:val>
            <c:numRef>
              <c:f>Sheet1!$D$2:$D$3</c:f>
              <c:numCache>
                <c:formatCode>#,##0</c:formatCode>
                <c:ptCount val="2"/>
                <c:pt idx="0">
                  <c:v>25.969491525423674</c:v>
                </c:pt>
                <c:pt idx="1">
                  <c:v>9.3747763864043048</c:v>
                </c:pt>
              </c:numCache>
            </c:numRef>
          </c:val>
          <c:extLst xmlns:c16r2="http://schemas.microsoft.com/office/drawing/2015/06/chart">
            <c:ext xmlns:c16="http://schemas.microsoft.com/office/drawing/2014/chart" uri="{C3380CC4-5D6E-409C-BE32-E72D297353CC}">
              <c16:uniqueId val="{00000002-E641-4135-9D48-B2118ADBC403}"/>
            </c:ext>
          </c:extLst>
        </c:ser>
        <c:dLbls>
          <c:showLegendKey val="0"/>
          <c:showVal val="0"/>
          <c:showCatName val="0"/>
          <c:showSerName val="0"/>
          <c:showPercent val="0"/>
          <c:showBubbleSize val="0"/>
        </c:dLbls>
        <c:gapWidth val="219"/>
        <c:overlap val="-27"/>
        <c:axId val="387100400"/>
        <c:axId val="387100792"/>
      </c:barChart>
      <c:catAx>
        <c:axId val="387100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7100792"/>
        <c:crosses val="autoZero"/>
        <c:auto val="1"/>
        <c:lblAlgn val="ctr"/>
        <c:lblOffset val="100"/>
        <c:noMultiLvlLbl val="0"/>
      </c:catAx>
      <c:valAx>
        <c:axId val="387100792"/>
        <c:scaling>
          <c:orientation val="minMax"/>
        </c:scaling>
        <c:delete val="1"/>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one"/>
        <c:crossAx val="38710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ysClr val="windowText" lastClr="000000"/>
                </a:solidFill>
                <a:latin typeface="+mn-lt"/>
                <a:ea typeface="+mn-ea"/>
                <a:cs typeface="+mn-cs"/>
              </a:defRPr>
            </a:pPr>
            <a:r>
              <a:rPr lang="x-none" sz="1000" b="1">
                <a:solidFill>
                  <a:sysClr val="windowText" lastClr="000000"/>
                </a:solidFill>
              </a:rPr>
              <a:t>Numărul operatorilor de servicii conform datelor</a:t>
            </a:r>
            <a:r>
              <a:rPr lang="x-none" sz="1000" b="1" baseline="0">
                <a:solidFill>
                  <a:sysClr val="windowText" lastClr="000000"/>
                </a:solidFill>
              </a:rPr>
              <a:t> BNS și celor licențiați conform datelor ANRE</a:t>
            </a:r>
            <a:endParaRPr lang="en-US" sz="1000" b="1">
              <a:solidFill>
                <a:sysClr val="windowText" lastClr="000000"/>
              </a:solidFill>
            </a:endParaRPr>
          </a:p>
        </c:rich>
      </c:tx>
      <c:overlay val="0"/>
      <c:spPr>
        <a:noFill/>
        <a:ln>
          <a:noFill/>
        </a:ln>
        <a:effectLst/>
      </c:spPr>
    </c:title>
    <c:autoTitleDeleted val="0"/>
    <c:plotArea>
      <c:layout/>
      <c:barChart>
        <c:barDir val="col"/>
        <c:grouping val="clustered"/>
        <c:varyColors val="0"/>
        <c:ser>
          <c:idx val="0"/>
          <c:order val="0"/>
          <c:tx>
            <c:strRef>
              <c:f>Sheet1!$B$1</c:f>
              <c:strCache>
                <c:ptCount val="1"/>
                <c:pt idx="0">
                  <c:v>BNS Operatorii SAA</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2016</c:v>
                </c:pt>
                <c:pt idx="1">
                  <c:v>2017</c:v>
                </c:pt>
                <c:pt idx="2">
                  <c:v>2018</c:v>
                </c:pt>
                <c:pt idx="3">
                  <c:v>2019</c:v>
                </c:pt>
                <c:pt idx="4">
                  <c:v>2020</c:v>
                </c:pt>
                <c:pt idx="5">
                  <c:v>2021</c:v>
                </c:pt>
              </c:numCache>
            </c:numRef>
          </c:cat>
          <c:val>
            <c:numRef>
              <c:f>Sheet1!$B$2:$B$7</c:f>
              <c:numCache>
                <c:formatCode>General</c:formatCode>
                <c:ptCount val="6"/>
                <c:pt idx="0">
                  <c:v>614</c:v>
                </c:pt>
                <c:pt idx="1">
                  <c:v>614</c:v>
                </c:pt>
                <c:pt idx="2">
                  <c:v>623</c:v>
                </c:pt>
                <c:pt idx="3">
                  <c:v>630</c:v>
                </c:pt>
                <c:pt idx="4">
                  <c:v>651</c:v>
                </c:pt>
                <c:pt idx="5">
                  <c:v>685</c:v>
                </c:pt>
              </c:numCache>
            </c:numRef>
          </c:val>
          <c:extLst xmlns:c16r2="http://schemas.microsoft.com/office/drawing/2015/06/chart">
            <c:ext xmlns:c16="http://schemas.microsoft.com/office/drawing/2014/chart" uri="{C3380CC4-5D6E-409C-BE32-E72D297353CC}">
              <c16:uniqueId val="{00000000-9C4B-4850-80B9-E31D8A0812C6}"/>
            </c:ext>
          </c:extLst>
        </c:ser>
        <c:ser>
          <c:idx val="1"/>
          <c:order val="1"/>
          <c:tx>
            <c:strRef>
              <c:f>Sheet1!$C$1</c:f>
              <c:strCache>
                <c:ptCount val="1"/>
                <c:pt idx="0">
                  <c:v> BNS Operatorii SC</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2016</c:v>
                </c:pt>
                <c:pt idx="1">
                  <c:v>2017</c:v>
                </c:pt>
                <c:pt idx="2">
                  <c:v>2018</c:v>
                </c:pt>
                <c:pt idx="3">
                  <c:v>2019</c:v>
                </c:pt>
                <c:pt idx="4">
                  <c:v>2020</c:v>
                </c:pt>
                <c:pt idx="5">
                  <c:v>2021</c:v>
                </c:pt>
              </c:numCache>
            </c:numRef>
          </c:cat>
          <c:val>
            <c:numRef>
              <c:f>Sheet1!$C$2:$C$7</c:f>
              <c:numCache>
                <c:formatCode>General</c:formatCode>
                <c:ptCount val="6"/>
                <c:pt idx="0">
                  <c:v>109</c:v>
                </c:pt>
                <c:pt idx="1">
                  <c:v>99</c:v>
                </c:pt>
                <c:pt idx="2">
                  <c:v>98</c:v>
                </c:pt>
                <c:pt idx="3">
                  <c:v>99</c:v>
                </c:pt>
                <c:pt idx="4">
                  <c:v>101</c:v>
                </c:pt>
                <c:pt idx="5">
                  <c:v>105</c:v>
                </c:pt>
              </c:numCache>
            </c:numRef>
          </c:val>
          <c:extLst xmlns:c16r2="http://schemas.microsoft.com/office/drawing/2015/06/chart">
            <c:ext xmlns:c16="http://schemas.microsoft.com/office/drawing/2014/chart" uri="{C3380CC4-5D6E-409C-BE32-E72D297353CC}">
              <c16:uniqueId val="{00000001-9C4B-4850-80B9-E31D8A0812C6}"/>
            </c:ext>
          </c:extLst>
        </c:ser>
        <c:ser>
          <c:idx val="2"/>
          <c:order val="2"/>
          <c:tx>
            <c:strRef>
              <c:f>Sheet1!$D$1</c:f>
              <c:strCache>
                <c:ptCount val="1"/>
                <c:pt idx="0">
                  <c:v>ANRE  operatorii licențiați</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Sheet1!$A$2:$A$7</c:f>
              <c:numCache>
                <c:formatCode>General</c:formatCode>
                <c:ptCount val="6"/>
                <c:pt idx="0">
                  <c:v>2016</c:v>
                </c:pt>
                <c:pt idx="1">
                  <c:v>2017</c:v>
                </c:pt>
                <c:pt idx="2">
                  <c:v>2018</c:v>
                </c:pt>
                <c:pt idx="3">
                  <c:v>2019</c:v>
                </c:pt>
                <c:pt idx="4">
                  <c:v>2020</c:v>
                </c:pt>
                <c:pt idx="5">
                  <c:v>2021</c:v>
                </c:pt>
              </c:numCache>
            </c:numRef>
          </c:cat>
          <c:val>
            <c:numRef>
              <c:f>Sheet1!$D$2:$D$7</c:f>
              <c:numCache>
                <c:formatCode>General</c:formatCode>
                <c:ptCount val="6"/>
                <c:pt idx="0">
                  <c:v>40</c:v>
                </c:pt>
                <c:pt idx="1">
                  <c:v>40</c:v>
                </c:pt>
                <c:pt idx="2">
                  <c:v>44</c:v>
                </c:pt>
                <c:pt idx="3">
                  <c:v>44</c:v>
                </c:pt>
                <c:pt idx="4">
                  <c:v>42</c:v>
                </c:pt>
                <c:pt idx="5">
                  <c:v>44</c:v>
                </c:pt>
              </c:numCache>
            </c:numRef>
          </c:val>
          <c:extLst xmlns:c16r2="http://schemas.microsoft.com/office/drawing/2015/06/chart">
            <c:ext xmlns:c16="http://schemas.microsoft.com/office/drawing/2014/chart" uri="{C3380CC4-5D6E-409C-BE32-E72D297353CC}">
              <c16:uniqueId val="{00000002-9C4B-4850-80B9-E31D8A0812C6}"/>
            </c:ext>
          </c:extLst>
        </c:ser>
        <c:dLbls>
          <c:showLegendKey val="0"/>
          <c:showVal val="0"/>
          <c:showCatName val="0"/>
          <c:showSerName val="0"/>
          <c:showPercent val="0"/>
          <c:showBubbleSize val="0"/>
        </c:dLbls>
        <c:gapWidth val="219"/>
        <c:overlap val="-27"/>
        <c:axId val="387101576"/>
        <c:axId val="387101968"/>
      </c:barChart>
      <c:catAx>
        <c:axId val="387101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387101968"/>
        <c:crosses val="autoZero"/>
        <c:auto val="1"/>
        <c:lblAlgn val="ctr"/>
        <c:lblOffset val="100"/>
        <c:noMultiLvlLbl val="0"/>
      </c:catAx>
      <c:valAx>
        <c:axId val="3871019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one"/>
        <c:crossAx val="387101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800"/>
              <a:t>Evoluția în mun.Chișunău</a:t>
            </a:r>
            <a:r>
              <a:rPr lang="ro-RO" sz="800" baseline="0"/>
              <a:t> și UTA Găgăuzia </a:t>
            </a:r>
            <a:r>
              <a:rPr lang="ro-RO" sz="800"/>
              <a:t>a lungimii apeductelor și sistemelor</a:t>
            </a:r>
            <a:r>
              <a:rPr lang="ro-RO" sz="800" baseline="0"/>
              <a:t> de canalizare, anul  </a:t>
            </a:r>
          </a:p>
          <a:p>
            <a:pPr>
              <a:defRPr/>
            </a:pPr>
            <a:r>
              <a:rPr lang="ro-RO" sz="800" baseline="0"/>
              <a:t>2021 față de anul 2016</a:t>
            </a:r>
            <a:endParaRPr lang="ru-RU" sz="800"/>
          </a:p>
        </c:rich>
      </c:tx>
      <c:overlay val="0"/>
    </c:title>
    <c:autoTitleDeleted val="0"/>
    <c:plotArea>
      <c:layout/>
      <c:barChart>
        <c:barDir val="col"/>
        <c:grouping val="clustered"/>
        <c:varyColors val="0"/>
        <c:ser>
          <c:idx val="0"/>
          <c:order val="0"/>
          <c:tx>
            <c:strRef>
              <c:f>Лист1!$B$1</c:f>
              <c:strCache>
                <c:ptCount val="1"/>
                <c:pt idx="0">
                  <c:v>lungimera apeduct, km</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mun.Chișinău</c:v>
                </c:pt>
                <c:pt idx="1">
                  <c:v>UTA Gagauzia</c:v>
                </c:pt>
              </c:strCache>
            </c:strRef>
          </c:cat>
          <c:val>
            <c:numRef>
              <c:f>Лист1!$B$2:$B$3</c:f>
              <c:numCache>
                <c:formatCode>General</c:formatCode>
                <c:ptCount val="2"/>
                <c:pt idx="0">
                  <c:v>2034</c:v>
                </c:pt>
                <c:pt idx="1">
                  <c:v>879</c:v>
                </c:pt>
              </c:numCache>
            </c:numRef>
          </c:val>
          <c:extLst xmlns:c16r2="http://schemas.microsoft.com/office/drawing/2015/06/chart">
            <c:ext xmlns:c16="http://schemas.microsoft.com/office/drawing/2014/chart" uri="{C3380CC4-5D6E-409C-BE32-E72D297353CC}">
              <c16:uniqueId val="{00000000-1AE8-4546-B7CA-6A75F42F6DAB}"/>
            </c:ext>
          </c:extLst>
        </c:ser>
        <c:ser>
          <c:idx val="1"/>
          <c:order val="1"/>
          <c:tx>
            <c:strRef>
              <c:f>Лист1!$C$1</c:f>
              <c:strCache>
                <c:ptCount val="1"/>
                <c:pt idx="0">
                  <c:v>lungimea sistem de canalizare, km</c:v>
                </c:pt>
              </c:strCache>
            </c:strRef>
          </c:tx>
          <c:invertIfNegative val="0"/>
          <c:dLbls>
            <c:spPr>
              <a:noFill/>
              <a:ln>
                <a:noFill/>
              </a:ln>
              <a:effectLst/>
            </c:spPr>
            <c:txPr>
              <a:bodyPr/>
              <a:lstStyle/>
              <a:p>
                <a:pPr>
                  <a:defRPr sz="8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mun.Chișinău</c:v>
                </c:pt>
                <c:pt idx="1">
                  <c:v>UTA Gagauzia</c:v>
                </c:pt>
              </c:strCache>
            </c:strRef>
          </c:cat>
          <c:val>
            <c:numRef>
              <c:f>Лист1!$C$2:$C$3</c:f>
              <c:numCache>
                <c:formatCode>General</c:formatCode>
                <c:ptCount val="2"/>
                <c:pt idx="0">
                  <c:v>1148</c:v>
                </c:pt>
                <c:pt idx="1">
                  <c:v>124</c:v>
                </c:pt>
              </c:numCache>
            </c:numRef>
          </c:val>
          <c:extLst xmlns:c16r2="http://schemas.microsoft.com/office/drawing/2015/06/chart">
            <c:ext xmlns:c16="http://schemas.microsoft.com/office/drawing/2014/chart" uri="{C3380CC4-5D6E-409C-BE32-E72D297353CC}">
              <c16:uniqueId val="{00000001-1AE8-4546-B7CA-6A75F42F6DAB}"/>
            </c:ext>
          </c:extLst>
        </c:ser>
        <c:ser>
          <c:idx val="2"/>
          <c:order val="2"/>
          <c:tx>
            <c:strRef>
              <c:f>Лист1!$D$1</c:f>
              <c:strCache>
                <c:ptCount val="1"/>
                <c:pt idx="0">
                  <c:v>lungimera apeduct, km2</c:v>
                </c:pt>
              </c:strCache>
            </c:strRef>
          </c:tx>
          <c:spPr>
            <a:solidFill>
              <a:schemeClr val="accent1"/>
            </a:solidFill>
          </c:spPr>
          <c:invertIfNegative val="0"/>
          <c:dLbls>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mun.Chișinău</c:v>
                </c:pt>
                <c:pt idx="1">
                  <c:v>UTA Gagauzia</c:v>
                </c:pt>
              </c:strCache>
            </c:strRef>
          </c:cat>
          <c:val>
            <c:numRef>
              <c:f>Лист1!$D$2:$D$3</c:f>
              <c:numCache>
                <c:formatCode>General</c:formatCode>
                <c:ptCount val="2"/>
                <c:pt idx="0">
                  <c:v>2060</c:v>
                </c:pt>
                <c:pt idx="1">
                  <c:v>969</c:v>
                </c:pt>
              </c:numCache>
            </c:numRef>
          </c:val>
          <c:extLst xmlns:c16r2="http://schemas.microsoft.com/office/drawing/2015/06/chart">
            <c:ext xmlns:c16="http://schemas.microsoft.com/office/drawing/2014/chart" uri="{C3380CC4-5D6E-409C-BE32-E72D297353CC}">
              <c16:uniqueId val="{00000002-1AE8-4546-B7CA-6A75F42F6DAB}"/>
            </c:ext>
          </c:extLst>
        </c:ser>
        <c:ser>
          <c:idx val="3"/>
          <c:order val="3"/>
          <c:tx>
            <c:strRef>
              <c:f>Лист1!$E$1</c:f>
              <c:strCache>
                <c:ptCount val="1"/>
                <c:pt idx="0">
                  <c:v>lungimea sistem de canalizare, km3</c:v>
                </c:pt>
              </c:strCache>
            </c:strRef>
          </c:tx>
          <c:spPr>
            <a:solidFill>
              <a:schemeClr val="accent2"/>
            </a:solidFill>
          </c:spPr>
          <c:invertIfNegative val="0"/>
          <c:dLbls>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c:f>
              <c:strCache>
                <c:ptCount val="2"/>
                <c:pt idx="0">
                  <c:v>mun.Chișinău</c:v>
                </c:pt>
                <c:pt idx="1">
                  <c:v>UTA Gagauzia</c:v>
                </c:pt>
              </c:strCache>
            </c:strRef>
          </c:cat>
          <c:val>
            <c:numRef>
              <c:f>Лист1!$E$2:$E$3</c:f>
              <c:numCache>
                <c:formatCode>General</c:formatCode>
                <c:ptCount val="2"/>
                <c:pt idx="0">
                  <c:v>1151</c:v>
                </c:pt>
                <c:pt idx="1">
                  <c:v>178</c:v>
                </c:pt>
              </c:numCache>
            </c:numRef>
          </c:val>
          <c:extLst xmlns:c16r2="http://schemas.microsoft.com/office/drawing/2015/06/chart">
            <c:ext xmlns:c16="http://schemas.microsoft.com/office/drawing/2014/chart" uri="{C3380CC4-5D6E-409C-BE32-E72D297353CC}">
              <c16:uniqueId val="{00000003-1AE8-4546-B7CA-6A75F42F6DAB}"/>
            </c:ext>
          </c:extLst>
        </c:ser>
        <c:dLbls>
          <c:showLegendKey val="0"/>
          <c:showVal val="0"/>
          <c:showCatName val="0"/>
          <c:showSerName val="0"/>
          <c:showPercent val="0"/>
          <c:showBubbleSize val="0"/>
        </c:dLbls>
        <c:gapWidth val="150"/>
        <c:axId val="387107456"/>
        <c:axId val="387107848"/>
      </c:barChart>
      <c:catAx>
        <c:axId val="387107456"/>
        <c:scaling>
          <c:orientation val="minMax"/>
        </c:scaling>
        <c:delete val="0"/>
        <c:axPos val="b"/>
        <c:numFmt formatCode="General" sourceLinked="1"/>
        <c:majorTickMark val="out"/>
        <c:minorTickMark val="none"/>
        <c:tickLblPos val="nextTo"/>
        <c:txPr>
          <a:bodyPr/>
          <a:lstStyle/>
          <a:p>
            <a:pPr>
              <a:defRPr sz="700"/>
            </a:pPr>
            <a:endParaRPr lang="ru-RU"/>
          </a:p>
        </c:txPr>
        <c:crossAx val="387107848"/>
        <c:crosses val="autoZero"/>
        <c:auto val="1"/>
        <c:lblAlgn val="ctr"/>
        <c:lblOffset val="100"/>
        <c:noMultiLvlLbl val="0"/>
      </c:catAx>
      <c:valAx>
        <c:axId val="387107848"/>
        <c:scaling>
          <c:orientation val="minMax"/>
        </c:scaling>
        <c:delete val="1"/>
        <c:axPos val="l"/>
        <c:majorGridlines/>
        <c:numFmt formatCode="General" sourceLinked="1"/>
        <c:majorTickMark val="out"/>
        <c:minorTickMark val="none"/>
        <c:tickLblPos val="none"/>
        <c:crossAx val="387107456"/>
        <c:crosses val="autoZero"/>
        <c:crossBetween val="between"/>
      </c:valAx>
    </c:plotArea>
    <c:legend>
      <c:legendPos val="b"/>
      <c:overlay val="0"/>
      <c:txPr>
        <a:bodyPr/>
        <a:lstStyle/>
        <a:p>
          <a:pPr>
            <a:defRPr sz="700"/>
          </a:pPr>
          <a:endParaRPr lang="ru-RU"/>
        </a:p>
      </c:txPr>
    </c:legend>
    <c:plotVisOnly val="1"/>
    <c:dispBlanksAs val="gap"/>
    <c:showDLblsOverMax val="0"/>
  </c:chart>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a:pPr>
            <a:r>
              <a:rPr lang="ro-RO" sz="800"/>
              <a:t>Evoluția pe raioane,</a:t>
            </a:r>
            <a:r>
              <a:rPr lang="ro-RO" sz="800" baseline="0"/>
              <a:t> r</a:t>
            </a:r>
            <a:r>
              <a:rPr lang="ro-RO" sz="800"/>
              <a:t>egiunea Nord,  a lungimii apeductelor</a:t>
            </a:r>
            <a:r>
              <a:rPr lang="ro-RO" sz="800" baseline="0"/>
              <a:t> și sistemelor de  canalizare, anul 2021 față de  2016</a:t>
            </a:r>
            <a:endParaRPr lang="ru-RU" sz="800"/>
          </a:p>
        </c:rich>
      </c:tx>
      <c:overlay val="0"/>
    </c:title>
    <c:autoTitleDeleted val="0"/>
    <c:plotArea>
      <c:layout/>
      <c:barChart>
        <c:barDir val="col"/>
        <c:grouping val="clustered"/>
        <c:varyColors val="0"/>
        <c:ser>
          <c:idx val="0"/>
          <c:order val="0"/>
          <c:tx>
            <c:strRef>
              <c:f>Лист1!$B$1</c:f>
              <c:strCache>
                <c:ptCount val="1"/>
                <c:pt idx="0">
                  <c:v>lungimea apeduct, km</c:v>
                </c:pt>
              </c:strCache>
            </c:strRef>
          </c:tx>
          <c:spPr>
            <a:solidFill>
              <a:srgbClr val="00B0F0"/>
            </a:solidFill>
          </c:spPr>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mun.Balți</c:v>
                </c:pt>
                <c:pt idx="1">
                  <c:v>Briceni</c:v>
                </c:pt>
                <c:pt idx="2">
                  <c:v>Dondușeni</c:v>
                </c:pt>
                <c:pt idx="3">
                  <c:v>Drochia </c:v>
                </c:pt>
                <c:pt idx="4">
                  <c:v>Edineț</c:v>
                </c:pt>
                <c:pt idx="5">
                  <c:v>Falesti</c:v>
                </c:pt>
                <c:pt idx="6">
                  <c:v>Florești </c:v>
                </c:pt>
                <c:pt idx="7">
                  <c:v>Glodeni</c:v>
                </c:pt>
                <c:pt idx="8">
                  <c:v>Ocnita</c:v>
                </c:pt>
                <c:pt idx="9">
                  <c:v>Riscani </c:v>
                </c:pt>
                <c:pt idx="10">
                  <c:v>Singerei </c:v>
                </c:pt>
                <c:pt idx="11">
                  <c:v>Sorica</c:v>
                </c:pt>
              </c:strCache>
            </c:strRef>
          </c:cat>
          <c:val>
            <c:numRef>
              <c:f>Лист1!$B$2:$B$13</c:f>
              <c:numCache>
                <c:formatCode>General</c:formatCode>
                <c:ptCount val="12"/>
                <c:pt idx="0">
                  <c:v>252</c:v>
                </c:pt>
                <c:pt idx="1">
                  <c:v>188</c:v>
                </c:pt>
                <c:pt idx="2">
                  <c:v>95</c:v>
                </c:pt>
                <c:pt idx="3">
                  <c:v>282</c:v>
                </c:pt>
                <c:pt idx="4">
                  <c:v>210</c:v>
                </c:pt>
                <c:pt idx="5">
                  <c:v>270</c:v>
                </c:pt>
                <c:pt idx="6">
                  <c:v>418</c:v>
                </c:pt>
                <c:pt idx="7">
                  <c:v>191</c:v>
                </c:pt>
                <c:pt idx="8">
                  <c:v>41</c:v>
                </c:pt>
                <c:pt idx="9">
                  <c:v>396</c:v>
                </c:pt>
                <c:pt idx="10">
                  <c:v>322</c:v>
                </c:pt>
                <c:pt idx="11">
                  <c:v>100</c:v>
                </c:pt>
              </c:numCache>
            </c:numRef>
          </c:val>
          <c:extLst xmlns:c16r2="http://schemas.microsoft.com/office/drawing/2015/06/chart">
            <c:ext xmlns:c16="http://schemas.microsoft.com/office/drawing/2014/chart" uri="{C3380CC4-5D6E-409C-BE32-E72D297353CC}">
              <c16:uniqueId val="{00000000-5763-4927-883F-93A2530345EA}"/>
            </c:ext>
          </c:extLst>
        </c:ser>
        <c:ser>
          <c:idx val="1"/>
          <c:order val="1"/>
          <c:tx>
            <c:strRef>
              <c:f>Лист1!$C$1</c:f>
              <c:strCache>
                <c:ptCount val="1"/>
                <c:pt idx="0">
                  <c:v>lungimea sistem de canalizare, km</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mun.Balți</c:v>
                </c:pt>
                <c:pt idx="1">
                  <c:v>Briceni</c:v>
                </c:pt>
                <c:pt idx="2">
                  <c:v>Dondușeni</c:v>
                </c:pt>
                <c:pt idx="3">
                  <c:v>Drochia </c:v>
                </c:pt>
                <c:pt idx="4">
                  <c:v>Edineț</c:v>
                </c:pt>
                <c:pt idx="5">
                  <c:v>Falesti</c:v>
                </c:pt>
                <c:pt idx="6">
                  <c:v>Florești </c:v>
                </c:pt>
                <c:pt idx="7">
                  <c:v>Glodeni</c:v>
                </c:pt>
                <c:pt idx="8">
                  <c:v>Ocnita</c:v>
                </c:pt>
                <c:pt idx="9">
                  <c:v>Riscani </c:v>
                </c:pt>
                <c:pt idx="10">
                  <c:v>Singerei </c:v>
                </c:pt>
                <c:pt idx="11">
                  <c:v>Sorica</c:v>
                </c:pt>
              </c:strCache>
            </c:strRef>
          </c:cat>
          <c:val>
            <c:numRef>
              <c:f>Лист1!$C$2:$C$13</c:f>
              <c:numCache>
                <c:formatCode>General</c:formatCode>
                <c:ptCount val="12"/>
                <c:pt idx="0">
                  <c:v>155</c:v>
                </c:pt>
                <c:pt idx="1">
                  <c:v>31</c:v>
                </c:pt>
                <c:pt idx="2">
                  <c:v>27</c:v>
                </c:pt>
                <c:pt idx="3">
                  <c:v>46</c:v>
                </c:pt>
                <c:pt idx="4">
                  <c:v>55</c:v>
                </c:pt>
                <c:pt idx="5">
                  <c:v>32</c:v>
                </c:pt>
                <c:pt idx="6">
                  <c:v>41</c:v>
                </c:pt>
                <c:pt idx="7">
                  <c:v>18</c:v>
                </c:pt>
                <c:pt idx="8">
                  <c:v>18</c:v>
                </c:pt>
                <c:pt idx="9">
                  <c:v>29</c:v>
                </c:pt>
                <c:pt idx="10">
                  <c:v>29</c:v>
                </c:pt>
                <c:pt idx="11">
                  <c:v>53</c:v>
                </c:pt>
              </c:numCache>
            </c:numRef>
          </c:val>
          <c:extLst xmlns:c16r2="http://schemas.microsoft.com/office/drawing/2015/06/chart">
            <c:ext xmlns:c16="http://schemas.microsoft.com/office/drawing/2014/chart" uri="{C3380CC4-5D6E-409C-BE32-E72D297353CC}">
              <c16:uniqueId val="{00000001-5763-4927-883F-93A2530345EA}"/>
            </c:ext>
          </c:extLst>
        </c:ser>
        <c:ser>
          <c:idx val="2"/>
          <c:order val="2"/>
          <c:tx>
            <c:strRef>
              <c:f>Лист1!$D$1</c:f>
              <c:strCache>
                <c:ptCount val="1"/>
                <c:pt idx="0">
                  <c:v>lungimea apeduct, km2</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mun.Balți</c:v>
                </c:pt>
                <c:pt idx="1">
                  <c:v>Briceni</c:v>
                </c:pt>
                <c:pt idx="2">
                  <c:v>Dondușeni</c:v>
                </c:pt>
                <c:pt idx="3">
                  <c:v>Drochia </c:v>
                </c:pt>
                <c:pt idx="4">
                  <c:v>Edineț</c:v>
                </c:pt>
                <c:pt idx="5">
                  <c:v>Falesti</c:v>
                </c:pt>
                <c:pt idx="6">
                  <c:v>Florești </c:v>
                </c:pt>
                <c:pt idx="7">
                  <c:v>Glodeni</c:v>
                </c:pt>
                <c:pt idx="8">
                  <c:v>Ocnita</c:v>
                </c:pt>
                <c:pt idx="9">
                  <c:v>Riscani </c:v>
                </c:pt>
                <c:pt idx="10">
                  <c:v>Singerei </c:v>
                </c:pt>
                <c:pt idx="11">
                  <c:v>Sorica</c:v>
                </c:pt>
              </c:strCache>
            </c:strRef>
          </c:cat>
          <c:val>
            <c:numRef>
              <c:f>Лист1!$D$2:$D$13</c:f>
              <c:numCache>
                <c:formatCode>General</c:formatCode>
                <c:ptCount val="12"/>
                <c:pt idx="0">
                  <c:v>273</c:v>
                </c:pt>
                <c:pt idx="1">
                  <c:v>196</c:v>
                </c:pt>
                <c:pt idx="2">
                  <c:v>156</c:v>
                </c:pt>
                <c:pt idx="3">
                  <c:v>428</c:v>
                </c:pt>
                <c:pt idx="4">
                  <c:v>315</c:v>
                </c:pt>
                <c:pt idx="5">
                  <c:v>384</c:v>
                </c:pt>
                <c:pt idx="6">
                  <c:v>609</c:v>
                </c:pt>
                <c:pt idx="7">
                  <c:v>279</c:v>
                </c:pt>
                <c:pt idx="8">
                  <c:v>68</c:v>
                </c:pt>
                <c:pt idx="9">
                  <c:v>483</c:v>
                </c:pt>
                <c:pt idx="10">
                  <c:v>504</c:v>
                </c:pt>
                <c:pt idx="11">
                  <c:v>416</c:v>
                </c:pt>
              </c:numCache>
            </c:numRef>
          </c:val>
          <c:extLst xmlns:c16r2="http://schemas.microsoft.com/office/drawing/2015/06/chart">
            <c:ext xmlns:c16="http://schemas.microsoft.com/office/drawing/2014/chart" uri="{C3380CC4-5D6E-409C-BE32-E72D297353CC}">
              <c16:uniqueId val="{00000002-5763-4927-883F-93A2530345EA}"/>
            </c:ext>
          </c:extLst>
        </c:ser>
        <c:ser>
          <c:idx val="3"/>
          <c:order val="3"/>
          <c:tx>
            <c:strRef>
              <c:f>Лист1!$E$1</c:f>
              <c:strCache>
                <c:ptCount val="1"/>
                <c:pt idx="0">
                  <c:v>lungimea sistem de canalizare, km3</c:v>
                </c:pt>
              </c:strCache>
            </c:strRef>
          </c:tx>
          <c:spPr>
            <a:solidFill>
              <a:schemeClr val="accent2"/>
            </a:solidFill>
          </c:spPr>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Лист1!$A$2:$A$13</c:f>
              <c:strCache>
                <c:ptCount val="12"/>
                <c:pt idx="0">
                  <c:v>mun.Balți</c:v>
                </c:pt>
                <c:pt idx="1">
                  <c:v>Briceni</c:v>
                </c:pt>
                <c:pt idx="2">
                  <c:v>Dondușeni</c:v>
                </c:pt>
                <c:pt idx="3">
                  <c:v>Drochia </c:v>
                </c:pt>
                <c:pt idx="4">
                  <c:v>Edineț</c:v>
                </c:pt>
                <c:pt idx="5">
                  <c:v>Falesti</c:v>
                </c:pt>
                <c:pt idx="6">
                  <c:v>Florești </c:v>
                </c:pt>
                <c:pt idx="7">
                  <c:v>Glodeni</c:v>
                </c:pt>
                <c:pt idx="8">
                  <c:v>Ocnita</c:v>
                </c:pt>
                <c:pt idx="9">
                  <c:v>Riscani </c:v>
                </c:pt>
                <c:pt idx="10">
                  <c:v>Singerei </c:v>
                </c:pt>
                <c:pt idx="11">
                  <c:v>Sorica</c:v>
                </c:pt>
              </c:strCache>
            </c:strRef>
          </c:cat>
          <c:val>
            <c:numRef>
              <c:f>Лист1!$E$2:$E$13</c:f>
              <c:numCache>
                <c:formatCode>General</c:formatCode>
                <c:ptCount val="12"/>
                <c:pt idx="0">
                  <c:v>157</c:v>
                </c:pt>
                <c:pt idx="1">
                  <c:v>30</c:v>
                </c:pt>
                <c:pt idx="2">
                  <c:v>23</c:v>
                </c:pt>
                <c:pt idx="3">
                  <c:v>46</c:v>
                </c:pt>
                <c:pt idx="4">
                  <c:v>56</c:v>
                </c:pt>
                <c:pt idx="5">
                  <c:v>42</c:v>
                </c:pt>
                <c:pt idx="6">
                  <c:v>47</c:v>
                </c:pt>
                <c:pt idx="7">
                  <c:v>18</c:v>
                </c:pt>
                <c:pt idx="8">
                  <c:v>12</c:v>
                </c:pt>
                <c:pt idx="9">
                  <c:v>49</c:v>
                </c:pt>
                <c:pt idx="10">
                  <c:v>34</c:v>
                </c:pt>
                <c:pt idx="11">
                  <c:v>56</c:v>
                </c:pt>
              </c:numCache>
            </c:numRef>
          </c:val>
          <c:extLst xmlns:c16r2="http://schemas.microsoft.com/office/drawing/2015/06/chart">
            <c:ext xmlns:c16="http://schemas.microsoft.com/office/drawing/2014/chart" uri="{C3380CC4-5D6E-409C-BE32-E72D297353CC}">
              <c16:uniqueId val="{00000003-5763-4927-883F-93A2530345EA}"/>
            </c:ext>
          </c:extLst>
        </c:ser>
        <c:dLbls>
          <c:showLegendKey val="0"/>
          <c:showVal val="0"/>
          <c:showCatName val="0"/>
          <c:showSerName val="0"/>
          <c:showPercent val="0"/>
          <c:showBubbleSize val="0"/>
        </c:dLbls>
        <c:gapWidth val="150"/>
        <c:axId val="387108632"/>
        <c:axId val="387109024"/>
      </c:barChart>
      <c:catAx>
        <c:axId val="387108632"/>
        <c:scaling>
          <c:orientation val="minMax"/>
        </c:scaling>
        <c:delete val="0"/>
        <c:axPos val="b"/>
        <c:numFmt formatCode="General" sourceLinked="0"/>
        <c:majorTickMark val="out"/>
        <c:minorTickMark val="none"/>
        <c:tickLblPos val="nextTo"/>
        <c:txPr>
          <a:bodyPr/>
          <a:lstStyle/>
          <a:p>
            <a:pPr>
              <a:defRPr sz="700"/>
            </a:pPr>
            <a:endParaRPr lang="ru-RU"/>
          </a:p>
        </c:txPr>
        <c:crossAx val="387109024"/>
        <c:crosses val="autoZero"/>
        <c:auto val="1"/>
        <c:lblAlgn val="ctr"/>
        <c:lblOffset val="100"/>
        <c:noMultiLvlLbl val="0"/>
      </c:catAx>
      <c:valAx>
        <c:axId val="387109024"/>
        <c:scaling>
          <c:orientation val="minMax"/>
        </c:scaling>
        <c:delete val="1"/>
        <c:axPos val="l"/>
        <c:majorGridlines/>
        <c:numFmt formatCode="General" sourceLinked="1"/>
        <c:majorTickMark val="out"/>
        <c:minorTickMark val="none"/>
        <c:tickLblPos val="none"/>
        <c:crossAx val="387108632"/>
        <c:crosses val="autoZero"/>
        <c:crossBetween val="between"/>
      </c:valAx>
    </c:plotArea>
    <c:legend>
      <c:legendPos val="b"/>
      <c:overlay val="0"/>
      <c:txPr>
        <a:bodyPr/>
        <a:lstStyle/>
        <a:p>
          <a:pPr>
            <a:defRPr sz="700"/>
          </a:pPr>
          <a:endParaRPr lang="ru-RU"/>
        </a:p>
      </c:txPr>
    </c:legend>
    <c:plotVisOnly val="1"/>
    <c:dispBlanksAs val="gap"/>
    <c:showDLblsOverMax val="0"/>
  </c:chart>
  <c:txPr>
    <a:bodyPr/>
    <a:lstStyle/>
    <a:p>
      <a:pPr>
        <a:defRPr sz="800"/>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cap="all" spc="120" normalizeH="0" baseline="0">
                <a:solidFill>
                  <a:sysClr val="windowText" lastClr="000000"/>
                </a:solidFill>
                <a:latin typeface="+mn-lt"/>
                <a:ea typeface="+mn-ea"/>
                <a:cs typeface="+mn-cs"/>
              </a:defRPr>
            </a:pPr>
            <a:r>
              <a:rPr lang="ro-RO" sz="900" cap="none">
                <a:solidFill>
                  <a:sysClr val="windowText" lastClr="000000"/>
                </a:solidFill>
                <a:latin typeface="+mj-lt"/>
                <a:cs typeface="Times New Roman" pitchFamily="18" charset="0"/>
              </a:rPr>
              <a:t>V</a:t>
            </a:r>
            <a:r>
              <a:rPr lang="en-US" sz="900" cap="none">
                <a:solidFill>
                  <a:sysClr val="windowText" lastClr="000000"/>
                </a:solidFill>
                <a:latin typeface="+mj-lt"/>
                <a:cs typeface="Times New Roman" pitchFamily="18" charset="0"/>
              </a:rPr>
              <a:t>aloarea proiectelor aprobate de către </a:t>
            </a:r>
            <a:r>
              <a:rPr lang="x-none" sz="900" cap="none">
                <a:solidFill>
                  <a:sysClr val="windowText" lastClr="000000"/>
                </a:solidFill>
                <a:latin typeface="+mj-lt"/>
                <a:cs typeface="Times New Roman" pitchFamily="18" charset="0"/>
              </a:rPr>
              <a:t>CA</a:t>
            </a:r>
            <a:r>
              <a:rPr lang="x-none" sz="900" cap="none" baseline="0">
                <a:solidFill>
                  <a:sysClr val="windowText" lastClr="000000"/>
                </a:solidFill>
                <a:latin typeface="+mj-lt"/>
                <a:cs typeface="Times New Roman" pitchFamily="18" charset="0"/>
              </a:rPr>
              <a:t> al </a:t>
            </a:r>
            <a:r>
              <a:rPr lang="ro-RO" sz="900" cap="none" baseline="0">
                <a:solidFill>
                  <a:sysClr val="windowText" lastClr="000000"/>
                </a:solidFill>
                <a:latin typeface="+mj-lt"/>
                <a:cs typeface="Times New Roman" pitchFamily="18" charset="0"/>
              </a:rPr>
              <a:t>FEN</a:t>
            </a:r>
          </a:p>
          <a:p>
            <a:pPr>
              <a:defRPr sz="900" b="1" i="0" u="none" strike="noStrike" kern="1200" cap="all" spc="120" normalizeH="0" baseline="0">
                <a:solidFill>
                  <a:sysClr val="windowText" lastClr="000000"/>
                </a:solidFill>
                <a:latin typeface="+mn-lt"/>
                <a:ea typeface="+mn-ea"/>
                <a:cs typeface="+mn-cs"/>
              </a:defRPr>
            </a:pPr>
            <a:r>
              <a:rPr lang="x-none" sz="900" cap="none" baseline="0">
                <a:solidFill>
                  <a:sysClr val="windowText" lastClr="000000"/>
                </a:solidFill>
                <a:latin typeface="+mj-lt"/>
                <a:cs typeface="Times New Roman" pitchFamily="18" charset="0"/>
              </a:rPr>
              <a:t> în perioada 2011-2022</a:t>
            </a:r>
            <a:r>
              <a:rPr lang="en-US" sz="900" cap="none">
                <a:solidFill>
                  <a:sysClr val="windowText" lastClr="000000"/>
                </a:solidFill>
                <a:latin typeface="+mj-lt"/>
                <a:cs typeface="Times New Roman" pitchFamily="18" charset="0"/>
              </a:rPr>
              <a:t>, mil</a:t>
            </a:r>
            <a:r>
              <a:rPr lang="x-none" sz="900" cap="none">
                <a:solidFill>
                  <a:sysClr val="windowText" lastClr="000000"/>
                </a:solidFill>
                <a:latin typeface="+mj-lt"/>
                <a:cs typeface="Times New Roman" pitchFamily="18" charset="0"/>
              </a:rPr>
              <a:t>.</a:t>
            </a:r>
            <a:r>
              <a:rPr lang="en-US" sz="900" cap="none">
                <a:solidFill>
                  <a:sysClr val="windowText" lastClr="000000"/>
                </a:solidFill>
                <a:latin typeface="+mj-lt"/>
                <a:cs typeface="Times New Roman" pitchFamily="18" charset="0"/>
              </a:rPr>
              <a:t> lei</a:t>
            </a:r>
          </a:p>
        </c:rich>
      </c:tx>
      <c:overlay val="0"/>
      <c:spPr>
        <a:noFill/>
        <a:ln>
          <a:noFill/>
        </a:ln>
        <a:effectLst/>
      </c:spPr>
    </c:title>
    <c:autoTitleDeleted val="0"/>
    <c:plotArea>
      <c:layout/>
      <c:barChart>
        <c:barDir val="col"/>
        <c:grouping val="clustered"/>
        <c:varyColors val="0"/>
        <c:ser>
          <c:idx val="0"/>
          <c:order val="0"/>
          <c:tx>
            <c:strRef>
              <c:f>Sheet1!$B$42</c:f>
              <c:strCache>
                <c:ptCount val="1"/>
                <c:pt idx="0">
                  <c:v>valoarea proiectelor aprobate de către CA, mil lei</c:v>
                </c:pt>
              </c:strCache>
            </c:strRef>
          </c:tx>
          <c:spPr>
            <a:solidFill>
              <a:srgbClr val="7030A0"/>
            </a:solidFill>
            <a:ln>
              <a:noFill/>
            </a:ln>
            <a:effectLst/>
          </c:spPr>
          <c:invertIfNegative val="0"/>
          <c:dLbls>
            <c:dLbl>
              <c:idx val="0"/>
              <c:spPr>
                <a:noFill/>
                <a:ln>
                  <a:noFill/>
                </a:ln>
                <a:effectLst/>
              </c:spPr>
              <c:txPr>
                <a:bodyPr rot="-5400000" spcFirstLastPara="1" vertOverflow="clip" horzOverflow="clip"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dLbl>
              <c:idx val="12"/>
              <c:spPr>
                <a:noFill/>
                <a:ln>
                  <a:noFill/>
                </a:ln>
                <a:effectLst/>
              </c:spPr>
              <c:txPr>
                <a:bodyPr rot="-5400000" spcFirstLastPara="1" vertOverflow="clip" horzOverflow="clip"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dLbl>
              <c:idx val="17"/>
              <c:spPr>
                <a:noFill/>
                <a:ln>
                  <a:noFill/>
                </a:ln>
                <a:effectLst/>
              </c:spPr>
              <c:txPr>
                <a:bodyPr rot="-5400000" spcFirstLastPara="1" vertOverflow="clip" horzOverflow="clip"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dLbl>
              <c:idx val="20"/>
              <c:tx>
                <c:rich>
                  <a:bodyPr/>
                  <a:lstStyle/>
                  <a:p>
                    <a:r>
                      <a:rPr lang="en-US" b="1">
                        <a:solidFill>
                          <a:srgbClr val="FF0000"/>
                        </a:solidFill>
                      </a:rPr>
                      <a:t>120,29</a:t>
                    </a:r>
                  </a:p>
                </c:rich>
              </c:tx>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8BD-4464-AE74-131A99FC7916}"/>
                </c:ext>
                <c:ext xmlns:c15="http://schemas.microsoft.com/office/drawing/2012/chart" uri="{CE6537A1-D6FC-4f65-9D91-7224C49458BB}"/>
              </c:extLst>
            </c:dLbl>
            <c:dLbl>
              <c:idx val="21"/>
              <c:spPr>
                <a:noFill/>
                <a:ln>
                  <a:noFill/>
                </a:ln>
                <a:effectLst/>
              </c:spPr>
              <c:txPr>
                <a:bodyPr rot="-5400000" spcFirstLastPara="1" vertOverflow="clip" horzOverflow="clip"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dLbl>
              <c:idx val="25"/>
              <c:spPr>
                <a:noFill/>
                <a:ln>
                  <a:noFill/>
                </a:ln>
                <a:effectLst/>
              </c:spPr>
              <c:txPr>
                <a:bodyPr rot="-5400000" spcFirstLastPara="1" vertOverflow="clip" horzOverflow="clip"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dLbl>
              <c:idx val="26"/>
              <c:spPr>
                <a:noFill/>
                <a:ln>
                  <a:noFill/>
                </a:ln>
                <a:effectLst/>
              </c:spPr>
              <c:txPr>
                <a:bodyPr rot="-5400000" spcFirstLastPara="1" vertOverflow="clip" horzOverflow="clip"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dLbl>
              <c:idx val="28"/>
              <c:spPr>
                <a:noFill/>
                <a:ln>
                  <a:noFill/>
                </a:ln>
                <a:effectLst/>
              </c:spPr>
              <c:txPr>
                <a:bodyPr rot="-5400000" spcFirstLastPara="1" vertOverflow="clip" horzOverflow="clip"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dLbl>
              <c:idx val="35"/>
              <c:spPr>
                <a:noFill/>
                <a:ln>
                  <a:noFill/>
                </a:ln>
                <a:effectLst/>
              </c:spPr>
              <c:txPr>
                <a:bodyPr rot="-5400000" spcFirstLastPara="1" vertOverflow="clip" horzOverflow="clip" vert="horz" wrap="square" lIns="38100" tIns="19050" rIns="38100" bIns="19050" anchor="ctr" anchorCtr="1">
                  <a:spAutoFit/>
                </a:bodyPr>
                <a:lstStyle/>
                <a:p>
                  <a:pPr>
                    <a:defRPr sz="700" b="1" i="0" u="none" strike="noStrike" kern="1200" baseline="0">
                      <a:solidFill>
                        <a:srgbClr val="FF0000"/>
                      </a:solidFill>
                      <a:latin typeface="+mn-lt"/>
                      <a:ea typeface="+mn-ea"/>
                      <a:cs typeface="+mn-cs"/>
                    </a:defRPr>
                  </a:pPr>
                  <a:endParaRPr lang="ru-RU"/>
                </a:p>
              </c:txPr>
              <c:dLblPos val="outEnd"/>
              <c:showLegendKey val="0"/>
              <c:showVal val="1"/>
              <c:showCatName val="0"/>
              <c:showSerName val="0"/>
              <c:showPercent val="0"/>
              <c:showBubbleSize val="0"/>
            </c:dLbl>
            <c:spPr>
              <a:noFill/>
              <a:ln>
                <a:noFill/>
              </a:ln>
              <a:effectLst/>
            </c:spPr>
            <c:txPr>
              <a:bodyPr rot="-5400000" spcFirstLastPara="1" vertOverflow="clip" horzOverflow="clip" vert="horz" wrap="square" lIns="38100" tIns="19050" rIns="38100" bIns="19050" anchor="ctr" anchorCtr="1">
                <a:spAutoFit/>
              </a:bodyPr>
              <a:lstStyle/>
              <a:p>
                <a:pPr>
                  <a:defRPr sz="700" b="0" i="0" u="none" strike="noStrike" kern="1200" baseline="0">
                    <a:solidFill>
                      <a:sysClr val="windowText" lastClr="000000"/>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Sheet1!$A$43:$A$79</c:f>
              <c:strCache>
                <c:ptCount val="37"/>
                <c:pt idx="0">
                  <c:v>Chișinău</c:v>
                </c:pt>
                <c:pt idx="1">
                  <c:v>Bălți</c:v>
                </c:pt>
                <c:pt idx="2">
                  <c:v>Anenii  Noi</c:v>
                </c:pt>
                <c:pt idx="3">
                  <c:v>Basarabeasca</c:v>
                </c:pt>
                <c:pt idx="4">
                  <c:v>Briceni</c:v>
                </c:pt>
                <c:pt idx="5">
                  <c:v>Călărași</c:v>
                </c:pt>
                <c:pt idx="6">
                  <c:v>Cahul</c:v>
                </c:pt>
                <c:pt idx="7">
                  <c:v>Cantemir</c:v>
                </c:pt>
                <c:pt idx="8">
                  <c:v>Căușeni</c:v>
                </c:pt>
                <c:pt idx="9">
                  <c:v>Ceadîr Lunga</c:v>
                </c:pt>
                <c:pt idx="10">
                  <c:v>Cimișlia</c:v>
                </c:pt>
                <c:pt idx="11">
                  <c:v>Comrat</c:v>
                </c:pt>
                <c:pt idx="12">
                  <c:v>Criuleni</c:v>
                </c:pt>
                <c:pt idx="13">
                  <c:v>Dondușeni</c:v>
                </c:pt>
                <c:pt idx="14">
                  <c:v>Drochia</c:v>
                </c:pt>
                <c:pt idx="15">
                  <c:v>Dubăsari</c:v>
                </c:pt>
                <c:pt idx="16">
                  <c:v>Edineț</c:v>
                </c:pt>
                <c:pt idx="17">
                  <c:v>Fălești</c:v>
                </c:pt>
                <c:pt idx="18">
                  <c:v>Florești</c:v>
                </c:pt>
                <c:pt idx="19">
                  <c:v>Glodeni</c:v>
                </c:pt>
                <c:pt idx="20">
                  <c:v>Hâncești</c:v>
                </c:pt>
                <c:pt idx="21">
                  <c:v>Ialoveni</c:v>
                </c:pt>
                <c:pt idx="22">
                  <c:v>Leova</c:v>
                </c:pt>
                <c:pt idx="23">
                  <c:v>Nisporeni</c:v>
                </c:pt>
                <c:pt idx="24">
                  <c:v>Ocnița</c:v>
                </c:pt>
                <c:pt idx="25">
                  <c:v>Orhei</c:v>
                </c:pt>
                <c:pt idx="26">
                  <c:v>Rezina</c:v>
                </c:pt>
                <c:pt idx="27">
                  <c:v>Râșcani</c:v>
                </c:pt>
                <c:pt idx="28">
                  <c:v>Sângerei</c:v>
                </c:pt>
                <c:pt idx="29">
                  <c:v>Șoldănești</c:v>
                </c:pt>
                <c:pt idx="30">
                  <c:v>Soroca</c:v>
                </c:pt>
                <c:pt idx="31">
                  <c:v>Ștefan Vodă</c:v>
                </c:pt>
                <c:pt idx="32">
                  <c:v>Strășeni</c:v>
                </c:pt>
                <c:pt idx="33">
                  <c:v>Taraclia</c:v>
                </c:pt>
                <c:pt idx="34">
                  <c:v>Telenești</c:v>
                </c:pt>
                <c:pt idx="35">
                  <c:v>Ungheni</c:v>
                </c:pt>
                <c:pt idx="36">
                  <c:v>UTAG</c:v>
                </c:pt>
              </c:strCache>
            </c:strRef>
          </c:cat>
          <c:val>
            <c:numRef>
              <c:f>Sheet1!$B$43:$B$79</c:f>
              <c:numCache>
                <c:formatCode>0.00</c:formatCode>
                <c:ptCount val="37"/>
                <c:pt idx="0">
                  <c:v>214.09728998000031</c:v>
                </c:pt>
                <c:pt idx="1">
                  <c:v>11.021701999999999</c:v>
                </c:pt>
                <c:pt idx="2">
                  <c:v>56.938110000000087</c:v>
                </c:pt>
                <c:pt idx="3">
                  <c:v>70.926062770000001</c:v>
                </c:pt>
                <c:pt idx="4">
                  <c:v>12.160707</c:v>
                </c:pt>
                <c:pt idx="5">
                  <c:v>88.537333000000004</c:v>
                </c:pt>
                <c:pt idx="6">
                  <c:v>34.757223999999994</c:v>
                </c:pt>
                <c:pt idx="7">
                  <c:v>56.851935069999996</c:v>
                </c:pt>
                <c:pt idx="8">
                  <c:v>63.384817999999996</c:v>
                </c:pt>
                <c:pt idx="9">
                  <c:v>14.741468999999999</c:v>
                </c:pt>
                <c:pt idx="10">
                  <c:v>57.03998601</c:v>
                </c:pt>
                <c:pt idx="11">
                  <c:v>53.924911100000003</c:v>
                </c:pt>
                <c:pt idx="12">
                  <c:v>114.908979</c:v>
                </c:pt>
                <c:pt idx="13">
                  <c:v>66.97272599999998</c:v>
                </c:pt>
                <c:pt idx="14">
                  <c:v>72.953702020000009</c:v>
                </c:pt>
                <c:pt idx="15">
                  <c:v>31.167743999999956</c:v>
                </c:pt>
                <c:pt idx="16">
                  <c:v>50.587409999999998</c:v>
                </c:pt>
                <c:pt idx="17">
                  <c:v>144.57587019999968</c:v>
                </c:pt>
                <c:pt idx="18">
                  <c:v>42.566566000000002</c:v>
                </c:pt>
                <c:pt idx="19">
                  <c:v>46.928984</c:v>
                </c:pt>
                <c:pt idx="20">
                  <c:v>120.28550799999998</c:v>
                </c:pt>
                <c:pt idx="21">
                  <c:v>127.09287999999998</c:v>
                </c:pt>
                <c:pt idx="22">
                  <c:v>86.212173000000007</c:v>
                </c:pt>
                <c:pt idx="23">
                  <c:v>89.265132599999959</c:v>
                </c:pt>
                <c:pt idx="24">
                  <c:v>19.009788</c:v>
                </c:pt>
                <c:pt idx="25">
                  <c:v>130.47222300000001</c:v>
                </c:pt>
                <c:pt idx="26">
                  <c:v>109.86053800000001</c:v>
                </c:pt>
                <c:pt idx="27">
                  <c:v>35.749756000000012</c:v>
                </c:pt>
                <c:pt idx="28">
                  <c:v>109.51597808999998</c:v>
                </c:pt>
                <c:pt idx="29">
                  <c:v>60.510822400000002</c:v>
                </c:pt>
                <c:pt idx="30">
                  <c:v>28.874341000000001</c:v>
                </c:pt>
                <c:pt idx="31">
                  <c:v>58.457713000000005</c:v>
                </c:pt>
                <c:pt idx="32">
                  <c:v>92.078669999999988</c:v>
                </c:pt>
                <c:pt idx="33">
                  <c:v>25.447823</c:v>
                </c:pt>
                <c:pt idx="34">
                  <c:v>55.662795000000109</c:v>
                </c:pt>
                <c:pt idx="35">
                  <c:v>173.57391169999968</c:v>
                </c:pt>
                <c:pt idx="36">
                  <c:v>5.6193600000000004</c:v>
                </c:pt>
              </c:numCache>
            </c:numRef>
          </c:val>
          <c:extLst xmlns:c16r2="http://schemas.microsoft.com/office/drawing/2015/06/chart">
            <c:ext xmlns:c16="http://schemas.microsoft.com/office/drawing/2014/chart" uri="{C3380CC4-5D6E-409C-BE32-E72D297353CC}">
              <c16:uniqueId val="{00000000-9063-453E-A711-7306C2024903}"/>
            </c:ext>
          </c:extLst>
        </c:ser>
        <c:dLbls>
          <c:showLegendKey val="0"/>
          <c:showVal val="1"/>
          <c:showCatName val="0"/>
          <c:showSerName val="0"/>
          <c:showPercent val="0"/>
          <c:showBubbleSize val="0"/>
        </c:dLbls>
        <c:gapWidth val="444"/>
        <c:overlap val="-90"/>
        <c:axId val="258270792"/>
        <c:axId val="258270400"/>
      </c:barChart>
      <c:catAx>
        <c:axId val="2582707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cap="none" spc="120" normalizeH="0" baseline="0">
                <a:solidFill>
                  <a:sysClr val="windowText" lastClr="000000"/>
                </a:solidFill>
                <a:latin typeface="+mj-lt"/>
                <a:ea typeface="+mn-ea"/>
                <a:cs typeface="Times New Roman" pitchFamily="18" charset="0"/>
              </a:defRPr>
            </a:pPr>
            <a:endParaRPr lang="ru-RU"/>
          </a:p>
        </c:txPr>
        <c:crossAx val="258270400"/>
        <c:crosses val="autoZero"/>
        <c:auto val="1"/>
        <c:lblAlgn val="ctr"/>
        <c:lblOffset val="100"/>
        <c:noMultiLvlLbl val="0"/>
      </c:catAx>
      <c:valAx>
        <c:axId val="258270400"/>
        <c:scaling>
          <c:orientation val="minMax"/>
        </c:scaling>
        <c:delete val="1"/>
        <c:axPos val="l"/>
        <c:numFmt formatCode="0.00" sourceLinked="1"/>
        <c:majorTickMark val="none"/>
        <c:minorTickMark val="none"/>
        <c:tickLblPos val="none"/>
        <c:crossAx val="25827079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800"/>
              <a:t>Evoluția pe raioane,</a:t>
            </a:r>
            <a:r>
              <a:rPr lang="ro-RO" sz="800" baseline="0"/>
              <a:t> </a:t>
            </a:r>
            <a:r>
              <a:rPr lang="ro-RO" sz="800"/>
              <a:t>regiunea Centru,</a:t>
            </a:r>
            <a:r>
              <a:rPr lang="ro-RO" sz="800" baseline="0"/>
              <a:t> </a:t>
            </a:r>
            <a:r>
              <a:rPr lang="ro-RO" sz="800"/>
              <a:t>a lungimii apeductelor și sistemelor</a:t>
            </a:r>
            <a:r>
              <a:rPr lang="ro-RO" sz="800" baseline="0"/>
              <a:t> de canalizare, </a:t>
            </a:r>
          </a:p>
          <a:p>
            <a:pPr>
              <a:defRPr/>
            </a:pPr>
            <a:r>
              <a:rPr lang="ro-RO" sz="800" baseline="0"/>
              <a:t> anul 2021 față de 2016</a:t>
            </a:r>
            <a:endParaRPr lang="ru-RU" sz="800"/>
          </a:p>
        </c:rich>
      </c:tx>
      <c:overlay val="0"/>
    </c:title>
    <c:autoTitleDeleted val="0"/>
    <c:plotArea>
      <c:layout/>
      <c:barChart>
        <c:barDir val="col"/>
        <c:grouping val="clustered"/>
        <c:varyColors val="0"/>
        <c:ser>
          <c:idx val="0"/>
          <c:order val="0"/>
          <c:tx>
            <c:strRef>
              <c:f>Лист1!$B$1</c:f>
              <c:strCache>
                <c:ptCount val="1"/>
                <c:pt idx="0">
                  <c:v>lungimera apeduct, km</c:v>
                </c:pt>
              </c:strCache>
            </c:strRef>
          </c:tx>
          <c:spPr>
            <a:solidFill>
              <a:srgbClr val="00B0F0"/>
            </a:solidFill>
          </c:spPr>
          <c:invertIfNegative val="0"/>
          <c:dLbls>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Anenii Noi</c:v>
                </c:pt>
                <c:pt idx="1">
                  <c:v>Călărași</c:v>
                </c:pt>
                <c:pt idx="2">
                  <c:v>Criuleni</c:v>
                </c:pt>
                <c:pt idx="3">
                  <c:v>Dubăsari</c:v>
                </c:pt>
                <c:pt idx="4">
                  <c:v>Hîncești</c:v>
                </c:pt>
                <c:pt idx="5">
                  <c:v>Ialoveni</c:v>
                </c:pt>
                <c:pt idx="6">
                  <c:v>Nisporeni</c:v>
                </c:pt>
                <c:pt idx="7">
                  <c:v>Orhei</c:v>
                </c:pt>
                <c:pt idx="8">
                  <c:v>Rezina</c:v>
                </c:pt>
                <c:pt idx="9">
                  <c:v>Strășeni</c:v>
                </c:pt>
                <c:pt idx="10">
                  <c:v>Șoldănești</c:v>
                </c:pt>
                <c:pt idx="11">
                  <c:v>Telenești</c:v>
                </c:pt>
                <c:pt idx="12">
                  <c:v>Ungheni</c:v>
                </c:pt>
              </c:strCache>
            </c:strRef>
          </c:cat>
          <c:val>
            <c:numRef>
              <c:f>Лист1!$B$2:$B$14</c:f>
              <c:numCache>
                <c:formatCode>#,##0</c:formatCode>
                <c:ptCount val="13"/>
                <c:pt idx="0">
                  <c:v>511</c:v>
                </c:pt>
                <c:pt idx="1">
                  <c:v>316</c:v>
                </c:pt>
                <c:pt idx="2">
                  <c:v>369</c:v>
                </c:pt>
                <c:pt idx="3">
                  <c:v>170</c:v>
                </c:pt>
                <c:pt idx="4">
                  <c:v>512</c:v>
                </c:pt>
                <c:pt idx="5">
                  <c:v>430</c:v>
                </c:pt>
                <c:pt idx="6">
                  <c:v>314</c:v>
                </c:pt>
                <c:pt idx="7">
                  <c:v>747</c:v>
                </c:pt>
                <c:pt idx="8">
                  <c:v>184</c:v>
                </c:pt>
                <c:pt idx="9">
                  <c:v>193</c:v>
                </c:pt>
                <c:pt idx="10">
                  <c:v>59</c:v>
                </c:pt>
                <c:pt idx="11">
                  <c:v>273</c:v>
                </c:pt>
                <c:pt idx="12">
                  <c:v>454</c:v>
                </c:pt>
              </c:numCache>
            </c:numRef>
          </c:val>
          <c:extLst xmlns:c16r2="http://schemas.microsoft.com/office/drawing/2015/06/chart">
            <c:ext xmlns:c16="http://schemas.microsoft.com/office/drawing/2014/chart" uri="{C3380CC4-5D6E-409C-BE32-E72D297353CC}">
              <c16:uniqueId val="{00000000-1B32-4039-A51E-556CFF3A3A55}"/>
            </c:ext>
          </c:extLst>
        </c:ser>
        <c:ser>
          <c:idx val="1"/>
          <c:order val="1"/>
          <c:tx>
            <c:strRef>
              <c:f>Лист1!$C$1</c:f>
              <c:strCache>
                <c:ptCount val="1"/>
                <c:pt idx="0">
                  <c:v>lungimea sistem de canalizare, km</c:v>
                </c:pt>
              </c:strCache>
            </c:strRef>
          </c:tx>
          <c:invertIfNegative val="0"/>
          <c:dLbls>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Anenii Noi</c:v>
                </c:pt>
                <c:pt idx="1">
                  <c:v>Călărași</c:v>
                </c:pt>
                <c:pt idx="2">
                  <c:v>Criuleni</c:v>
                </c:pt>
                <c:pt idx="3">
                  <c:v>Dubăsari</c:v>
                </c:pt>
                <c:pt idx="4">
                  <c:v>Hîncești</c:v>
                </c:pt>
                <c:pt idx="5">
                  <c:v>Ialoveni</c:v>
                </c:pt>
                <c:pt idx="6">
                  <c:v>Nisporeni</c:v>
                </c:pt>
                <c:pt idx="7">
                  <c:v>Orhei</c:v>
                </c:pt>
                <c:pt idx="8">
                  <c:v>Rezina</c:v>
                </c:pt>
                <c:pt idx="9">
                  <c:v>Strășeni</c:v>
                </c:pt>
                <c:pt idx="10">
                  <c:v>Șoldănești</c:v>
                </c:pt>
                <c:pt idx="11">
                  <c:v>Telenești</c:v>
                </c:pt>
                <c:pt idx="12">
                  <c:v>Ungheni</c:v>
                </c:pt>
              </c:strCache>
            </c:strRef>
          </c:cat>
          <c:val>
            <c:numRef>
              <c:f>Лист1!$C$2:$C$14</c:f>
              <c:numCache>
                <c:formatCode>#,##0</c:formatCode>
                <c:ptCount val="13"/>
                <c:pt idx="0">
                  <c:v>130</c:v>
                </c:pt>
                <c:pt idx="1">
                  <c:v>51</c:v>
                </c:pt>
                <c:pt idx="2">
                  <c:v>80</c:v>
                </c:pt>
                <c:pt idx="3">
                  <c:v>2</c:v>
                </c:pt>
                <c:pt idx="4">
                  <c:v>32</c:v>
                </c:pt>
                <c:pt idx="5">
                  <c:v>21</c:v>
                </c:pt>
                <c:pt idx="6">
                  <c:v>9</c:v>
                </c:pt>
                <c:pt idx="7">
                  <c:v>116</c:v>
                </c:pt>
                <c:pt idx="8">
                  <c:v>26</c:v>
                </c:pt>
                <c:pt idx="9">
                  <c:v>77</c:v>
                </c:pt>
                <c:pt idx="10">
                  <c:v>20</c:v>
                </c:pt>
                <c:pt idx="11">
                  <c:v>17</c:v>
                </c:pt>
                <c:pt idx="12">
                  <c:v>80</c:v>
                </c:pt>
              </c:numCache>
            </c:numRef>
          </c:val>
          <c:extLst xmlns:c16r2="http://schemas.microsoft.com/office/drawing/2015/06/chart">
            <c:ext xmlns:c16="http://schemas.microsoft.com/office/drawing/2014/chart" uri="{C3380CC4-5D6E-409C-BE32-E72D297353CC}">
              <c16:uniqueId val="{00000001-1B32-4039-A51E-556CFF3A3A55}"/>
            </c:ext>
          </c:extLst>
        </c:ser>
        <c:ser>
          <c:idx val="2"/>
          <c:order val="2"/>
          <c:tx>
            <c:strRef>
              <c:f>Лист1!$D$1</c:f>
              <c:strCache>
                <c:ptCount val="1"/>
                <c:pt idx="0">
                  <c:v>lungimera apeduct, km2</c:v>
                </c:pt>
              </c:strCache>
            </c:strRef>
          </c:tx>
          <c:spPr>
            <a:solidFill>
              <a:srgbClr val="00B0F0"/>
            </a:solidFill>
          </c:spPr>
          <c:invertIfNegative val="0"/>
          <c:dLbls>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Anenii Noi</c:v>
                </c:pt>
                <c:pt idx="1">
                  <c:v>Călărași</c:v>
                </c:pt>
                <c:pt idx="2">
                  <c:v>Criuleni</c:v>
                </c:pt>
                <c:pt idx="3">
                  <c:v>Dubăsari</c:v>
                </c:pt>
                <c:pt idx="4">
                  <c:v>Hîncești</c:v>
                </c:pt>
                <c:pt idx="5">
                  <c:v>Ialoveni</c:v>
                </c:pt>
                <c:pt idx="6">
                  <c:v>Nisporeni</c:v>
                </c:pt>
                <c:pt idx="7">
                  <c:v>Orhei</c:v>
                </c:pt>
                <c:pt idx="8">
                  <c:v>Rezina</c:v>
                </c:pt>
                <c:pt idx="9">
                  <c:v>Strășeni</c:v>
                </c:pt>
                <c:pt idx="10">
                  <c:v>Șoldănești</c:v>
                </c:pt>
                <c:pt idx="11">
                  <c:v>Telenești</c:v>
                </c:pt>
                <c:pt idx="12">
                  <c:v>Ungheni</c:v>
                </c:pt>
              </c:strCache>
            </c:strRef>
          </c:cat>
          <c:val>
            <c:numRef>
              <c:f>Лист1!$D$2:$D$14</c:f>
              <c:numCache>
                <c:formatCode>#,##0</c:formatCode>
                <c:ptCount val="13"/>
                <c:pt idx="0">
                  <c:v>585</c:v>
                </c:pt>
                <c:pt idx="1">
                  <c:v>394</c:v>
                </c:pt>
                <c:pt idx="2">
                  <c:v>476</c:v>
                </c:pt>
                <c:pt idx="3">
                  <c:v>199</c:v>
                </c:pt>
                <c:pt idx="4">
                  <c:v>660</c:v>
                </c:pt>
                <c:pt idx="5">
                  <c:v>494</c:v>
                </c:pt>
                <c:pt idx="6">
                  <c:v>370</c:v>
                </c:pt>
                <c:pt idx="7">
                  <c:v>839</c:v>
                </c:pt>
                <c:pt idx="8">
                  <c:v>299</c:v>
                </c:pt>
                <c:pt idx="9">
                  <c:v>285</c:v>
                </c:pt>
                <c:pt idx="10">
                  <c:v>116</c:v>
                </c:pt>
                <c:pt idx="11">
                  <c:v>319</c:v>
                </c:pt>
                <c:pt idx="12">
                  <c:v>552</c:v>
                </c:pt>
              </c:numCache>
            </c:numRef>
          </c:val>
          <c:extLst xmlns:c16r2="http://schemas.microsoft.com/office/drawing/2015/06/chart">
            <c:ext xmlns:c16="http://schemas.microsoft.com/office/drawing/2014/chart" uri="{C3380CC4-5D6E-409C-BE32-E72D297353CC}">
              <c16:uniqueId val="{00000002-1B32-4039-A51E-556CFF3A3A55}"/>
            </c:ext>
          </c:extLst>
        </c:ser>
        <c:ser>
          <c:idx val="3"/>
          <c:order val="3"/>
          <c:tx>
            <c:strRef>
              <c:f>Лист1!$E$1</c:f>
              <c:strCache>
                <c:ptCount val="1"/>
                <c:pt idx="0">
                  <c:v>lungimea sistem de canalizare, km3</c:v>
                </c:pt>
              </c:strCache>
            </c:strRef>
          </c:tx>
          <c:spPr>
            <a:solidFill>
              <a:schemeClr val="accent2"/>
            </a:solidFill>
          </c:spPr>
          <c:invertIfNegative val="0"/>
          <c:dLbls>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Лист1!$A$2:$A$14</c:f>
              <c:strCache>
                <c:ptCount val="13"/>
                <c:pt idx="0">
                  <c:v>Anenii Noi</c:v>
                </c:pt>
                <c:pt idx="1">
                  <c:v>Călărași</c:v>
                </c:pt>
                <c:pt idx="2">
                  <c:v>Criuleni</c:v>
                </c:pt>
                <c:pt idx="3">
                  <c:v>Dubăsari</c:v>
                </c:pt>
                <c:pt idx="4">
                  <c:v>Hîncești</c:v>
                </c:pt>
                <c:pt idx="5">
                  <c:v>Ialoveni</c:v>
                </c:pt>
                <c:pt idx="6">
                  <c:v>Nisporeni</c:v>
                </c:pt>
                <c:pt idx="7">
                  <c:v>Orhei</c:v>
                </c:pt>
                <c:pt idx="8">
                  <c:v>Rezina</c:v>
                </c:pt>
                <c:pt idx="9">
                  <c:v>Strășeni</c:v>
                </c:pt>
                <c:pt idx="10">
                  <c:v>Șoldănești</c:v>
                </c:pt>
                <c:pt idx="11">
                  <c:v>Telenești</c:v>
                </c:pt>
                <c:pt idx="12">
                  <c:v>Ungheni</c:v>
                </c:pt>
              </c:strCache>
            </c:strRef>
          </c:cat>
          <c:val>
            <c:numRef>
              <c:f>Лист1!$E$2:$E$14</c:f>
              <c:numCache>
                <c:formatCode>#,##0</c:formatCode>
                <c:ptCount val="13"/>
                <c:pt idx="0">
                  <c:v>135</c:v>
                </c:pt>
                <c:pt idx="1">
                  <c:v>93</c:v>
                </c:pt>
                <c:pt idx="2">
                  <c:v>87</c:v>
                </c:pt>
                <c:pt idx="3">
                  <c:v>7</c:v>
                </c:pt>
                <c:pt idx="4">
                  <c:v>35</c:v>
                </c:pt>
                <c:pt idx="5">
                  <c:v>24</c:v>
                </c:pt>
                <c:pt idx="6">
                  <c:v>48</c:v>
                </c:pt>
                <c:pt idx="7">
                  <c:v>126</c:v>
                </c:pt>
                <c:pt idx="8">
                  <c:v>26</c:v>
                </c:pt>
                <c:pt idx="9">
                  <c:v>74</c:v>
                </c:pt>
                <c:pt idx="10">
                  <c:v>20</c:v>
                </c:pt>
                <c:pt idx="11">
                  <c:v>40</c:v>
                </c:pt>
                <c:pt idx="12">
                  <c:v>81</c:v>
                </c:pt>
              </c:numCache>
            </c:numRef>
          </c:val>
          <c:extLst xmlns:c16r2="http://schemas.microsoft.com/office/drawing/2015/06/chart">
            <c:ext xmlns:c16="http://schemas.microsoft.com/office/drawing/2014/chart" uri="{C3380CC4-5D6E-409C-BE32-E72D297353CC}">
              <c16:uniqueId val="{00000003-1B32-4039-A51E-556CFF3A3A55}"/>
            </c:ext>
          </c:extLst>
        </c:ser>
        <c:dLbls>
          <c:showLegendKey val="0"/>
          <c:showVal val="0"/>
          <c:showCatName val="0"/>
          <c:showSerName val="0"/>
          <c:showPercent val="0"/>
          <c:showBubbleSize val="0"/>
        </c:dLbls>
        <c:gapWidth val="150"/>
        <c:axId val="388248400"/>
        <c:axId val="388248792"/>
      </c:barChart>
      <c:catAx>
        <c:axId val="388248400"/>
        <c:scaling>
          <c:orientation val="minMax"/>
        </c:scaling>
        <c:delete val="0"/>
        <c:axPos val="b"/>
        <c:numFmt formatCode="General" sourceLinked="1"/>
        <c:majorTickMark val="out"/>
        <c:minorTickMark val="none"/>
        <c:tickLblPos val="nextTo"/>
        <c:txPr>
          <a:bodyPr/>
          <a:lstStyle/>
          <a:p>
            <a:pPr>
              <a:defRPr sz="700"/>
            </a:pPr>
            <a:endParaRPr lang="ru-RU"/>
          </a:p>
        </c:txPr>
        <c:crossAx val="388248792"/>
        <c:crosses val="autoZero"/>
        <c:auto val="1"/>
        <c:lblAlgn val="ctr"/>
        <c:lblOffset val="100"/>
        <c:noMultiLvlLbl val="0"/>
      </c:catAx>
      <c:valAx>
        <c:axId val="388248792"/>
        <c:scaling>
          <c:orientation val="minMax"/>
        </c:scaling>
        <c:delete val="1"/>
        <c:axPos val="l"/>
        <c:majorGridlines/>
        <c:numFmt formatCode="#,##0" sourceLinked="1"/>
        <c:majorTickMark val="out"/>
        <c:minorTickMark val="none"/>
        <c:tickLblPos val="none"/>
        <c:crossAx val="388248400"/>
        <c:crosses val="autoZero"/>
        <c:crossBetween val="between"/>
      </c:valAx>
    </c:plotArea>
    <c:legend>
      <c:legendPos val="b"/>
      <c:overlay val="0"/>
      <c:txPr>
        <a:bodyPr/>
        <a:lstStyle/>
        <a:p>
          <a:pPr>
            <a:defRPr sz="700"/>
          </a:pPr>
          <a:endParaRPr lang="ru-RU"/>
        </a:p>
      </c:txPr>
    </c:legend>
    <c:plotVisOnly val="1"/>
    <c:dispBlanksAs val="gap"/>
    <c:showDLblsOverMax val="0"/>
  </c:chart>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800"/>
              <a:t>Evoluția pe raioane (regiunea Sud) a lungimii apeductelor și sistemelor</a:t>
            </a:r>
            <a:r>
              <a:rPr lang="ro-RO" sz="800" baseline="0"/>
              <a:t> de canalizare, 2021 față de 2016</a:t>
            </a:r>
            <a:endParaRPr lang="ru-RU" sz="800"/>
          </a:p>
        </c:rich>
      </c:tx>
      <c:overlay val="0"/>
    </c:title>
    <c:autoTitleDeleted val="0"/>
    <c:plotArea>
      <c:layout/>
      <c:barChart>
        <c:barDir val="col"/>
        <c:grouping val="clustered"/>
        <c:varyColors val="0"/>
        <c:ser>
          <c:idx val="0"/>
          <c:order val="0"/>
          <c:tx>
            <c:strRef>
              <c:f>Лист1!$B$1</c:f>
              <c:strCache>
                <c:ptCount val="1"/>
                <c:pt idx="0">
                  <c:v>lungimera apeduct, km</c:v>
                </c:pt>
              </c:strCache>
            </c:strRef>
          </c:tx>
          <c:invertIfNegative val="0"/>
          <c:dLbls>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Basarabeasca</c:v>
                </c:pt>
                <c:pt idx="1">
                  <c:v>Cahul</c:v>
                </c:pt>
                <c:pt idx="2">
                  <c:v>Caușeni</c:v>
                </c:pt>
                <c:pt idx="3">
                  <c:v>Cimișlia</c:v>
                </c:pt>
                <c:pt idx="4">
                  <c:v>Leova</c:v>
                </c:pt>
                <c:pt idx="5">
                  <c:v>Ștefan Vodă</c:v>
                </c:pt>
                <c:pt idx="6">
                  <c:v>Taraclia</c:v>
                </c:pt>
                <c:pt idx="7">
                  <c:v>Cantemir</c:v>
                </c:pt>
              </c:strCache>
            </c:strRef>
          </c:cat>
          <c:val>
            <c:numRef>
              <c:f>Лист1!$B$2:$B$9</c:f>
              <c:numCache>
                <c:formatCode>General</c:formatCode>
                <c:ptCount val="8"/>
                <c:pt idx="0">
                  <c:v>486</c:v>
                </c:pt>
                <c:pt idx="1">
                  <c:v>258</c:v>
                </c:pt>
                <c:pt idx="2">
                  <c:v>688</c:v>
                </c:pt>
                <c:pt idx="3">
                  <c:v>421</c:v>
                </c:pt>
                <c:pt idx="4">
                  <c:v>108</c:v>
                </c:pt>
                <c:pt idx="5">
                  <c:v>546</c:v>
                </c:pt>
                <c:pt idx="6">
                  <c:v>239</c:v>
                </c:pt>
                <c:pt idx="7">
                  <c:v>259</c:v>
                </c:pt>
              </c:numCache>
            </c:numRef>
          </c:val>
          <c:extLst xmlns:c16r2="http://schemas.microsoft.com/office/drawing/2015/06/chart">
            <c:ext xmlns:c16="http://schemas.microsoft.com/office/drawing/2014/chart" uri="{C3380CC4-5D6E-409C-BE32-E72D297353CC}">
              <c16:uniqueId val="{00000000-1C6B-4F94-AE94-66C628E07DC8}"/>
            </c:ext>
          </c:extLst>
        </c:ser>
        <c:ser>
          <c:idx val="1"/>
          <c:order val="1"/>
          <c:tx>
            <c:strRef>
              <c:f>Лист1!$C$1</c:f>
              <c:strCache>
                <c:ptCount val="1"/>
                <c:pt idx="0">
                  <c:v>lungimea sistem de canalizare, km</c:v>
                </c:pt>
              </c:strCache>
            </c:strRef>
          </c:tx>
          <c:invertIfNegative val="0"/>
          <c:dLbls>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Basarabeasca</c:v>
                </c:pt>
                <c:pt idx="1">
                  <c:v>Cahul</c:v>
                </c:pt>
                <c:pt idx="2">
                  <c:v>Caușeni</c:v>
                </c:pt>
                <c:pt idx="3">
                  <c:v>Cimișlia</c:v>
                </c:pt>
                <c:pt idx="4">
                  <c:v>Leova</c:v>
                </c:pt>
                <c:pt idx="5">
                  <c:v>Ștefan Vodă</c:v>
                </c:pt>
                <c:pt idx="6">
                  <c:v>Taraclia</c:v>
                </c:pt>
                <c:pt idx="7">
                  <c:v>Cantemir</c:v>
                </c:pt>
              </c:strCache>
            </c:strRef>
          </c:cat>
          <c:val>
            <c:numRef>
              <c:f>Лист1!$C$2:$C$9</c:f>
              <c:numCache>
                <c:formatCode>General</c:formatCode>
                <c:ptCount val="8"/>
                <c:pt idx="0">
                  <c:v>16</c:v>
                </c:pt>
                <c:pt idx="1">
                  <c:v>58</c:v>
                </c:pt>
                <c:pt idx="2">
                  <c:v>45</c:v>
                </c:pt>
                <c:pt idx="3">
                  <c:v>47</c:v>
                </c:pt>
                <c:pt idx="4">
                  <c:v>25</c:v>
                </c:pt>
                <c:pt idx="5">
                  <c:v>36</c:v>
                </c:pt>
                <c:pt idx="6">
                  <c:v>22</c:v>
                </c:pt>
                <c:pt idx="7">
                  <c:v>9</c:v>
                </c:pt>
              </c:numCache>
            </c:numRef>
          </c:val>
          <c:extLst xmlns:c16r2="http://schemas.microsoft.com/office/drawing/2015/06/chart">
            <c:ext xmlns:c16="http://schemas.microsoft.com/office/drawing/2014/chart" uri="{C3380CC4-5D6E-409C-BE32-E72D297353CC}">
              <c16:uniqueId val="{00000001-1C6B-4F94-AE94-66C628E07DC8}"/>
            </c:ext>
          </c:extLst>
        </c:ser>
        <c:ser>
          <c:idx val="2"/>
          <c:order val="2"/>
          <c:tx>
            <c:strRef>
              <c:f>Лист1!$D$1</c:f>
              <c:strCache>
                <c:ptCount val="1"/>
                <c:pt idx="0">
                  <c:v>lungimera apeduct, km2</c:v>
                </c:pt>
              </c:strCache>
            </c:strRef>
          </c:tx>
          <c:spPr>
            <a:solidFill>
              <a:schemeClr val="accent1"/>
            </a:solidFill>
          </c:spPr>
          <c:invertIfNegative val="0"/>
          <c:dLbls>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Basarabeasca</c:v>
                </c:pt>
                <c:pt idx="1">
                  <c:v>Cahul</c:v>
                </c:pt>
                <c:pt idx="2">
                  <c:v>Caușeni</c:v>
                </c:pt>
                <c:pt idx="3">
                  <c:v>Cimișlia</c:v>
                </c:pt>
                <c:pt idx="4">
                  <c:v>Leova</c:v>
                </c:pt>
                <c:pt idx="5">
                  <c:v>Ștefan Vodă</c:v>
                </c:pt>
                <c:pt idx="6">
                  <c:v>Taraclia</c:v>
                </c:pt>
                <c:pt idx="7">
                  <c:v>Cantemir</c:v>
                </c:pt>
              </c:strCache>
            </c:strRef>
          </c:cat>
          <c:val>
            <c:numRef>
              <c:f>Лист1!$D$2:$D$9</c:f>
              <c:numCache>
                <c:formatCode>General</c:formatCode>
                <c:ptCount val="8"/>
                <c:pt idx="0">
                  <c:v>682</c:v>
                </c:pt>
                <c:pt idx="1">
                  <c:v>388</c:v>
                </c:pt>
                <c:pt idx="2">
                  <c:v>713</c:v>
                </c:pt>
                <c:pt idx="3">
                  <c:v>429</c:v>
                </c:pt>
                <c:pt idx="4">
                  <c:v>244</c:v>
                </c:pt>
                <c:pt idx="5">
                  <c:v>590</c:v>
                </c:pt>
                <c:pt idx="6">
                  <c:v>296</c:v>
                </c:pt>
                <c:pt idx="7">
                  <c:v>379</c:v>
                </c:pt>
              </c:numCache>
            </c:numRef>
          </c:val>
          <c:extLst xmlns:c16r2="http://schemas.microsoft.com/office/drawing/2015/06/chart">
            <c:ext xmlns:c16="http://schemas.microsoft.com/office/drawing/2014/chart" uri="{C3380CC4-5D6E-409C-BE32-E72D297353CC}">
              <c16:uniqueId val="{00000002-1C6B-4F94-AE94-66C628E07DC8}"/>
            </c:ext>
          </c:extLst>
        </c:ser>
        <c:ser>
          <c:idx val="3"/>
          <c:order val="3"/>
          <c:tx>
            <c:strRef>
              <c:f>Лист1!$E$1</c:f>
              <c:strCache>
                <c:ptCount val="1"/>
                <c:pt idx="0">
                  <c:v>lungimea sistem de canalizare, km3</c:v>
                </c:pt>
              </c:strCache>
            </c:strRef>
          </c:tx>
          <c:spPr>
            <a:solidFill>
              <a:schemeClr val="accent2"/>
            </a:solidFill>
          </c:spPr>
          <c:invertIfNegative val="0"/>
          <c:dLbls>
            <c:spPr>
              <a:noFill/>
              <a:ln>
                <a:noFill/>
              </a:ln>
              <a:effectLst/>
            </c:spPr>
            <c:txPr>
              <a:bodyPr/>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Лист1!$A$2:$A$9</c:f>
              <c:strCache>
                <c:ptCount val="8"/>
                <c:pt idx="0">
                  <c:v>Basarabeasca</c:v>
                </c:pt>
                <c:pt idx="1">
                  <c:v>Cahul</c:v>
                </c:pt>
                <c:pt idx="2">
                  <c:v>Caușeni</c:v>
                </c:pt>
                <c:pt idx="3">
                  <c:v>Cimișlia</c:v>
                </c:pt>
                <c:pt idx="4">
                  <c:v>Leova</c:v>
                </c:pt>
                <c:pt idx="5">
                  <c:v>Ștefan Vodă</c:v>
                </c:pt>
                <c:pt idx="6">
                  <c:v>Taraclia</c:v>
                </c:pt>
                <c:pt idx="7">
                  <c:v>Cantemir</c:v>
                </c:pt>
              </c:strCache>
            </c:strRef>
          </c:cat>
          <c:val>
            <c:numRef>
              <c:f>Лист1!$E$2:$E$9</c:f>
              <c:numCache>
                <c:formatCode>General</c:formatCode>
                <c:ptCount val="8"/>
                <c:pt idx="0">
                  <c:v>16</c:v>
                </c:pt>
                <c:pt idx="1">
                  <c:v>79</c:v>
                </c:pt>
                <c:pt idx="2">
                  <c:v>45</c:v>
                </c:pt>
                <c:pt idx="3">
                  <c:v>37</c:v>
                </c:pt>
                <c:pt idx="4">
                  <c:v>25</c:v>
                </c:pt>
                <c:pt idx="5">
                  <c:v>28</c:v>
                </c:pt>
                <c:pt idx="6">
                  <c:v>49</c:v>
                </c:pt>
                <c:pt idx="7">
                  <c:v>11</c:v>
                </c:pt>
              </c:numCache>
            </c:numRef>
          </c:val>
          <c:extLst xmlns:c16r2="http://schemas.microsoft.com/office/drawing/2015/06/chart">
            <c:ext xmlns:c16="http://schemas.microsoft.com/office/drawing/2014/chart" uri="{C3380CC4-5D6E-409C-BE32-E72D297353CC}">
              <c16:uniqueId val="{00000003-1C6B-4F94-AE94-66C628E07DC8}"/>
            </c:ext>
          </c:extLst>
        </c:ser>
        <c:dLbls>
          <c:showLegendKey val="0"/>
          <c:showVal val="0"/>
          <c:showCatName val="0"/>
          <c:showSerName val="0"/>
          <c:showPercent val="0"/>
          <c:showBubbleSize val="0"/>
        </c:dLbls>
        <c:gapWidth val="150"/>
        <c:axId val="388249576"/>
        <c:axId val="388249968"/>
      </c:barChart>
      <c:catAx>
        <c:axId val="388249576"/>
        <c:scaling>
          <c:orientation val="minMax"/>
        </c:scaling>
        <c:delete val="0"/>
        <c:axPos val="b"/>
        <c:numFmt formatCode="General" sourceLinked="1"/>
        <c:majorTickMark val="out"/>
        <c:minorTickMark val="none"/>
        <c:tickLblPos val="nextTo"/>
        <c:txPr>
          <a:bodyPr/>
          <a:lstStyle/>
          <a:p>
            <a:pPr>
              <a:defRPr sz="700"/>
            </a:pPr>
            <a:endParaRPr lang="ru-RU"/>
          </a:p>
        </c:txPr>
        <c:crossAx val="388249968"/>
        <c:crosses val="autoZero"/>
        <c:auto val="1"/>
        <c:lblAlgn val="ctr"/>
        <c:lblOffset val="100"/>
        <c:noMultiLvlLbl val="0"/>
      </c:catAx>
      <c:valAx>
        <c:axId val="388249968"/>
        <c:scaling>
          <c:orientation val="minMax"/>
        </c:scaling>
        <c:delete val="1"/>
        <c:axPos val="l"/>
        <c:majorGridlines/>
        <c:numFmt formatCode="General" sourceLinked="1"/>
        <c:majorTickMark val="out"/>
        <c:minorTickMark val="none"/>
        <c:tickLblPos val="none"/>
        <c:crossAx val="388249576"/>
        <c:crosses val="autoZero"/>
        <c:crossBetween val="between"/>
      </c:valAx>
    </c:plotArea>
    <c:legend>
      <c:legendPos val="b"/>
      <c:overlay val="0"/>
      <c:txPr>
        <a:bodyPr/>
        <a:lstStyle/>
        <a:p>
          <a:pPr>
            <a:defRPr sz="700"/>
          </a:pPr>
          <a:endParaRPr lang="ru-RU"/>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ysClr val="windowText" lastClr="000000"/>
                </a:solidFill>
                <a:latin typeface="+mn-lt"/>
                <a:ea typeface="+mn-ea"/>
                <a:cs typeface="+mn-cs"/>
              </a:defRPr>
            </a:pPr>
            <a:r>
              <a:rPr lang="x-none" sz="800" b="1">
                <a:solidFill>
                  <a:sysClr val="windowText" lastClr="000000"/>
                </a:solidFill>
              </a:rPr>
              <a:t>Numărul de PI finanțate prin DUP 2013-2015 și DUP 2017-2020, pe zone </a:t>
            </a:r>
            <a:endParaRPr lang="en-US" sz="800" b="1">
              <a:solidFill>
                <a:sysClr val="windowText" lastClr="000000"/>
              </a:solidFill>
            </a:endParaRPr>
          </a:p>
        </c:rich>
      </c:tx>
      <c:overlay val="0"/>
      <c:spPr>
        <a:noFill/>
        <a:ln>
          <a:noFill/>
        </a:ln>
        <a:effectLst/>
      </c:spPr>
    </c:title>
    <c:autoTitleDeleted val="0"/>
    <c:plotArea>
      <c:layout/>
      <c:doughnut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F0D-46FA-B3FF-B2280E7F7A7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F0D-46FA-B3FF-B2280E7F7A7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F0D-46FA-B3FF-B2280E7F7A7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F0D-46FA-B3FF-B2280E7F7A71}"/>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ADR  Centu</c:v>
                </c:pt>
                <c:pt idx="1">
                  <c:v>ADR Nord</c:v>
                </c:pt>
                <c:pt idx="2">
                  <c:v>ADR Sud</c:v>
                </c:pt>
                <c:pt idx="3">
                  <c:v>ADR UAT Gagauzia</c:v>
                </c:pt>
              </c:strCache>
            </c:strRef>
          </c:cat>
          <c:val>
            <c:numRef>
              <c:f>Sheet1!$B$2:$B$5</c:f>
              <c:numCache>
                <c:formatCode>General</c:formatCode>
                <c:ptCount val="4"/>
                <c:pt idx="0">
                  <c:v>13</c:v>
                </c:pt>
                <c:pt idx="1">
                  <c:v>13</c:v>
                </c:pt>
                <c:pt idx="2">
                  <c:v>5</c:v>
                </c:pt>
                <c:pt idx="3">
                  <c:v>1</c:v>
                </c:pt>
              </c:numCache>
            </c:numRef>
          </c:val>
          <c:extLst xmlns:c16r2="http://schemas.microsoft.com/office/drawing/2015/06/chart">
            <c:ext xmlns:c16="http://schemas.microsoft.com/office/drawing/2014/chart" uri="{C3380CC4-5D6E-409C-BE32-E72D297353CC}">
              <c16:uniqueId val="{00000008-0F0D-46FA-B3FF-B2280E7F7A71}"/>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ysClr val="windowText" lastClr="000000"/>
                </a:solidFill>
                <a:latin typeface="+mn-lt"/>
                <a:ea typeface="+mn-ea"/>
                <a:cs typeface="+mn-cs"/>
              </a:defRPr>
            </a:pPr>
            <a:r>
              <a:rPr lang="x-none" sz="800" b="1">
                <a:solidFill>
                  <a:sysClr val="windowText" lastClr="000000"/>
                </a:solidFill>
              </a:rPr>
              <a:t>Investițiile realizate în cadrul PI finanțate prin DUP 2013-2015 și DUP 2017-2020, pe zone, mil.lei</a:t>
            </a:r>
            <a:endParaRPr lang="en-US" sz="800" b="1">
              <a:solidFill>
                <a:sysClr val="windowText" lastClr="000000"/>
              </a:solidFill>
            </a:endParaRPr>
          </a:p>
        </c:rich>
      </c:tx>
      <c:overlay val="0"/>
      <c:spPr>
        <a:noFill/>
        <a:ln>
          <a:noFill/>
        </a:ln>
        <a:effectLst/>
      </c:spPr>
    </c:title>
    <c:autoTitleDeleted val="0"/>
    <c:plotArea>
      <c:layout/>
      <c:doughnutChart>
        <c:varyColors val="1"/>
        <c:ser>
          <c:idx val="0"/>
          <c:order val="0"/>
          <c:tx>
            <c:strRef>
              <c:f>Sheet1!$B$1</c:f>
              <c:strCache>
                <c:ptCount val="1"/>
                <c:pt idx="0">
                  <c:v>investiții realizate</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661-4FDA-A9D3-BDCDD3F9838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661-4FDA-A9D3-BDCDD3F9838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2661-4FDA-A9D3-BDCDD3F9838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661-4FDA-A9D3-BDCDD3F9838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Sheet1!$A$2:$A$5</c:f>
              <c:strCache>
                <c:ptCount val="4"/>
                <c:pt idx="0">
                  <c:v>ADR  Centu</c:v>
                </c:pt>
                <c:pt idx="1">
                  <c:v>ADR Nord</c:v>
                </c:pt>
                <c:pt idx="2">
                  <c:v>ADR Sud</c:v>
                </c:pt>
                <c:pt idx="3">
                  <c:v>ADR UAT Gagauzia</c:v>
                </c:pt>
              </c:strCache>
            </c:strRef>
          </c:cat>
          <c:val>
            <c:numRef>
              <c:f>Sheet1!$B$2:$B$5</c:f>
              <c:numCache>
                <c:formatCode>General</c:formatCode>
                <c:ptCount val="4"/>
                <c:pt idx="0">
                  <c:v>153.6</c:v>
                </c:pt>
                <c:pt idx="1">
                  <c:v>224.2</c:v>
                </c:pt>
                <c:pt idx="2">
                  <c:v>169</c:v>
                </c:pt>
                <c:pt idx="3">
                  <c:v>0</c:v>
                </c:pt>
              </c:numCache>
            </c:numRef>
          </c:val>
          <c:extLst xmlns:c16r2="http://schemas.microsoft.com/office/drawing/2015/06/chart">
            <c:ext xmlns:c16="http://schemas.microsoft.com/office/drawing/2014/chart" uri="{C3380CC4-5D6E-409C-BE32-E72D297353CC}">
              <c16:uniqueId val="{00000008-2661-4FDA-A9D3-BDCDD3F9838D}"/>
            </c:ext>
          </c:extLst>
        </c:ser>
        <c:dLbls>
          <c:showLegendKey val="0"/>
          <c:showVal val="0"/>
          <c:showCatName val="0"/>
          <c:showSerName val="0"/>
          <c:showPercent val="0"/>
          <c:showBubbleSize val="0"/>
          <c:showLeaderLines val="1"/>
        </c:dLbls>
        <c:firstSliceAng val="0"/>
        <c:holeSize val="50"/>
      </c:doughnutChart>
      <c:spPr>
        <a:noFill/>
        <a:ln>
          <a:noFill/>
        </a:ln>
        <a:effectLst/>
      </c:spPr>
    </c:plotArea>
    <c:legend>
      <c:legendPos val="b"/>
      <c:overlay val="0"/>
      <c:spPr>
        <a:noFill/>
        <a:ln>
          <a:noFill/>
        </a:ln>
        <a:effectLst/>
      </c:spPr>
      <c:txPr>
        <a:bodyPr rot="0" spcFirstLastPara="1" vertOverflow="ellipsis" vert="horz" wrap="square" anchor="ctr" anchorCtr="1"/>
        <a:lstStyle/>
        <a:p>
          <a:pPr>
            <a:defRPr sz="800" b="1" i="0" u="none" strike="noStrike" kern="1200" baseline="0">
              <a:solidFill>
                <a:sysClr val="windowText" lastClr="000000"/>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ro-RO" sz="900"/>
              <a:t>Numărul sisteme</a:t>
            </a:r>
            <a:r>
              <a:rPr lang="en-US" sz="900"/>
              <a:t>lor</a:t>
            </a:r>
            <a:r>
              <a:rPr lang="ro-RO" sz="900"/>
              <a:t> de aprovizionare</a:t>
            </a:r>
            <a:r>
              <a:rPr lang="ro-RO" sz="900" baseline="0"/>
              <a:t> cu apă</a:t>
            </a:r>
          </a:p>
          <a:p>
            <a:pPr>
              <a:defRPr sz="900"/>
            </a:pPr>
            <a:r>
              <a:rPr lang="ro-RO" sz="900" baseline="0"/>
              <a:t>2014-2021</a:t>
            </a:r>
            <a:endParaRPr lang="en-US" sz="900"/>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7.3350397364243494E-2"/>
          <c:y val="0.24391728677352426"/>
          <c:w val="0.89816861481642496"/>
          <c:h val="0.43659550328237817"/>
        </c:manualLayout>
      </c:layout>
      <c:bar3DChart>
        <c:barDir val="col"/>
        <c:grouping val="clustered"/>
        <c:varyColors val="0"/>
        <c:ser>
          <c:idx val="0"/>
          <c:order val="0"/>
          <c:tx>
            <c:strRef>
              <c:f>Лист1!$B$1</c:f>
              <c:strCache>
                <c:ptCount val="1"/>
                <c:pt idx="0">
                  <c:v>SAA total</c:v>
                </c:pt>
              </c:strCache>
            </c:strRef>
          </c:tx>
          <c:spPr>
            <a:solidFill>
              <a:srgbClr val="FFC000"/>
            </a:solidFill>
          </c:spPr>
          <c:invertIfNegative val="0"/>
          <c:dLbls>
            <c:spPr>
              <a:noFill/>
              <a:ln>
                <a:noFill/>
              </a:ln>
              <a:effectLst/>
            </c:spPr>
            <c:txPr>
              <a:bodyPr rot="-5400000" vert="horz"/>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Лист1!$B$2:$B$9</c:f>
              <c:numCache>
                <c:formatCode>General</c:formatCode>
                <c:ptCount val="8"/>
                <c:pt idx="0">
                  <c:v>836</c:v>
                </c:pt>
                <c:pt idx="1">
                  <c:v>1113</c:v>
                </c:pt>
                <c:pt idx="2">
                  <c:v>1157</c:v>
                </c:pt>
                <c:pt idx="3">
                  <c:v>1184</c:v>
                </c:pt>
                <c:pt idx="4">
                  <c:v>1224</c:v>
                </c:pt>
                <c:pt idx="5" formatCode="#,##0">
                  <c:v>1263</c:v>
                </c:pt>
                <c:pt idx="6" formatCode="#,##0">
                  <c:v>1303</c:v>
                </c:pt>
                <c:pt idx="7">
                  <c:v>1362</c:v>
                </c:pt>
              </c:numCache>
            </c:numRef>
          </c:val>
          <c:extLst xmlns:c16r2="http://schemas.microsoft.com/office/drawing/2015/06/chart">
            <c:ext xmlns:c16="http://schemas.microsoft.com/office/drawing/2014/chart" uri="{C3380CC4-5D6E-409C-BE32-E72D297353CC}">
              <c16:uniqueId val="{00000000-E0D8-450D-8563-20F76D24A080}"/>
            </c:ext>
          </c:extLst>
        </c:ser>
        <c:ser>
          <c:idx val="1"/>
          <c:order val="1"/>
          <c:tx>
            <c:strRef>
              <c:f>Лист1!$C$1</c:f>
              <c:strCache>
                <c:ptCount val="1"/>
                <c:pt idx="0">
                  <c:v>SAA funcționale</c:v>
                </c:pt>
              </c:strCache>
            </c:strRef>
          </c:tx>
          <c:invertIfNegative val="0"/>
          <c:dLbls>
            <c:dLbl>
              <c:idx val="0"/>
              <c:layout>
                <c:manualLayout>
                  <c:x val="8.1374250912376756E-3"/>
                  <c:y val="-1.300509226596110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0D8-450D-8563-20F76D24A080}"/>
                </c:ext>
                <c:ext xmlns:c15="http://schemas.microsoft.com/office/drawing/2012/chart" uri="{CE6537A1-D6FC-4f65-9D91-7224C49458BB}"/>
              </c:extLst>
            </c:dLbl>
            <c:dLbl>
              <c:idx val="1"/>
              <c:layout>
                <c:manualLayout>
                  <c:x val="1.2206137636856521E-2"/>
                  <c:y val="-1.30045802746117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0D8-450D-8563-20F76D24A080}"/>
                </c:ext>
                <c:ext xmlns:c15="http://schemas.microsoft.com/office/drawing/2012/chart" uri="{CE6537A1-D6FC-4f65-9D91-7224C49458BB}"/>
              </c:extLst>
            </c:dLbl>
            <c:dLbl>
              <c:idx val="2"/>
              <c:layout>
                <c:manualLayout>
                  <c:x val="1.2206137636856521E-2"/>
                  <c:y val="-1.30045802746117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0D8-450D-8563-20F76D24A080}"/>
                </c:ext>
                <c:ext xmlns:c15="http://schemas.microsoft.com/office/drawing/2012/chart" uri="{CE6537A1-D6FC-4f65-9D91-7224C49458BB}"/>
              </c:extLst>
            </c:dLbl>
            <c:dLbl>
              <c:idx val="3"/>
              <c:layout>
                <c:manualLayout>
                  <c:x val="8.1374250912376756E-3"/>
                  <c:y val="-1.300458027461173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0D8-450D-8563-20F76D24A080}"/>
                </c:ext>
                <c:ext xmlns:c15="http://schemas.microsoft.com/office/drawing/2012/chart" uri="{CE6537A1-D6FC-4f65-9D91-7224C49458BB}"/>
              </c:extLst>
            </c:dLbl>
            <c:dLbl>
              <c:idx val="4"/>
              <c:layout>
                <c:manualLayout>
                  <c:x val="6.1030688184282563E-3"/>
                  <c:y val="-1.95068704119177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0D8-450D-8563-20F76D24A080}"/>
                </c:ext>
                <c:ext xmlns:c15="http://schemas.microsoft.com/office/drawing/2012/chart" uri="{CE6537A1-D6FC-4f65-9D91-7224C49458BB}"/>
              </c:extLst>
            </c:dLbl>
            <c:spPr>
              <a:noFill/>
              <a:ln>
                <a:noFill/>
              </a:ln>
              <a:effectLst/>
            </c:spPr>
            <c:txPr>
              <a:bodyPr rot="-5400000" vert="horz"/>
              <a:lstStyle/>
              <a:p>
                <a:pPr>
                  <a:defRPr sz="800"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Лист1!$C$2:$C$9</c:f>
              <c:numCache>
                <c:formatCode>General</c:formatCode>
                <c:ptCount val="8"/>
                <c:pt idx="0">
                  <c:v>784</c:v>
                </c:pt>
                <c:pt idx="1">
                  <c:v>1044</c:v>
                </c:pt>
                <c:pt idx="2">
                  <c:v>1097</c:v>
                </c:pt>
                <c:pt idx="3">
                  <c:v>1125</c:v>
                </c:pt>
                <c:pt idx="4">
                  <c:v>1174</c:v>
                </c:pt>
                <c:pt idx="5">
                  <c:v>1206</c:v>
                </c:pt>
                <c:pt idx="6">
                  <c:v>1235</c:v>
                </c:pt>
                <c:pt idx="7">
                  <c:v>1289</c:v>
                </c:pt>
              </c:numCache>
            </c:numRef>
          </c:val>
          <c:extLst xmlns:c16r2="http://schemas.microsoft.com/office/drawing/2015/06/chart">
            <c:ext xmlns:c16="http://schemas.microsoft.com/office/drawing/2014/chart" uri="{C3380CC4-5D6E-409C-BE32-E72D297353CC}">
              <c16:uniqueId val="{00000006-E0D8-450D-8563-20F76D24A080}"/>
            </c:ext>
          </c:extLst>
        </c:ser>
        <c:ser>
          <c:idx val="2"/>
          <c:order val="2"/>
          <c:tx>
            <c:strRef>
              <c:f>Лист1!$D$1</c:f>
              <c:strCache>
                <c:ptCount val="1"/>
                <c:pt idx="0">
                  <c:v>SAA ne funcționale</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Лист1!$A$2:$A$9</c:f>
              <c:numCache>
                <c:formatCode>General</c:formatCode>
                <c:ptCount val="8"/>
                <c:pt idx="0">
                  <c:v>2014</c:v>
                </c:pt>
                <c:pt idx="1">
                  <c:v>2015</c:v>
                </c:pt>
                <c:pt idx="2">
                  <c:v>2016</c:v>
                </c:pt>
                <c:pt idx="3">
                  <c:v>2017</c:v>
                </c:pt>
                <c:pt idx="4">
                  <c:v>2018</c:v>
                </c:pt>
                <c:pt idx="5">
                  <c:v>2019</c:v>
                </c:pt>
                <c:pt idx="6">
                  <c:v>2020</c:v>
                </c:pt>
                <c:pt idx="7">
                  <c:v>2021</c:v>
                </c:pt>
              </c:numCache>
            </c:numRef>
          </c:cat>
          <c:val>
            <c:numRef>
              <c:f>Лист1!$D$2:$D$9</c:f>
              <c:numCache>
                <c:formatCode>General</c:formatCode>
                <c:ptCount val="8"/>
                <c:pt idx="0">
                  <c:v>52</c:v>
                </c:pt>
                <c:pt idx="1">
                  <c:v>69</c:v>
                </c:pt>
                <c:pt idx="2">
                  <c:v>60</c:v>
                </c:pt>
                <c:pt idx="3">
                  <c:v>59</c:v>
                </c:pt>
                <c:pt idx="4">
                  <c:v>50</c:v>
                </c:pt>
                <c:pt idx="5">
                  <c:v>57</c:v>
                </c:pt>
                <c:pt idx="6">
                  <c:v>68</c:v>
                </c:pt>
                <c:pt idx="7">
                  <c:v>73</c:v>
                </c:pt>
              </c:numCache>
            </c:numRef>
          </c:val>
          <c:extLst xmlns:c16r2="http://schemas.microsoft.com/office/drawing/2015/06/chart">
            <c:ext xmlns:c16="http://schemas.microsoft.com/office/drawing/2014/chart" uri="{C3380CC4-5D6E-409C-BE32-E72D297353CC}">
              <c16:uniqueId val="{00000007-E0D8-450D-8563-20F76D24A080}"/>
            </c:ext>
          </c:extLst>
        </c:ser>
        <c:dLbls>
          <c:showLegendKey val="0"/>
          <c:showVal val="0"/>
          <c:showCatName val="0"/>
          <c:showSerName val="0"/>
          <c:showPercent val="0"/>
          <c:showBubbleSize val="0"/>
        </c:dLbls>
        <c:gapWidth val="150"/>
        <c:shape val="cylinder"/>
        <c:axId val="380899656"/>
        <c:axId val="380901224"/>
        <c:axId val="0"/>
      </c:bar3DChart>
      <c:catAx>
        <c:axId val="380899656"/>
        <c:scaling>
          <c:orientation val="minMax"/>
        </c:scaling>
        <c:delete val="0"/>
        <c:axPos val="b"/>
        <c:numFmt formatCode="General" sourceLinked="1"/>
        <c:majorTickMark val="out"/>
        <c:minorTickMark val="none"/>
        <c:tickLblPos val="nextTo"/>
        <c:txPr>
          <a:bodyPr/>
          <a:lstStyle/>
          <a:p>
            <a:pPr>
              <a:defRPr sz="800" b="0"/>
            </a:pPr>
            <a:endParaRPr lang="ru-RU"/>
          </a:p>
        </c:txPr>
        <c:crossAx val="380901224"/>
        <c:crosses val="autoZero"/>
        <c:auto val="1"/>
        <c:lblAlgn val="ctr"/>
        <c:lblOffset val="100"/>
        <c:noMultiLvlLbl val="0"/>
      </c:catAx>
      <c:valAx>
        <c:axId val="380901224"/>
        <c:scaling>
          <c:orientation val="minMax"/>
        </c:scaling>
        <c:delete val="1"/>
        <c:axPos val="l"/>
        <c:majorGridlines/>
        <c:numFmt formatCode="General" sourceLinked="1"/>
        <c:majorTickMark val="out"/>
        <c:minorTickMark val="none"/>
        <c:tickLblPos val="nextTo"/>
        <c:crossAx val="380899656"/>
        <c:crosses val="autoZero"/>
        <c:crossBetween val="between"/>
      </c:valAx>
    </c:plotArea>
    <c:legend>
      <c:legendPos val="b"/>
      <c:overlay val="0"/>
      <c:txPr>
        <a:bodyPr/>
        <a:lstStyle/>
        <a:p>
          <a:pPr>
            <a:defRPr sz="800" b="0"/>
          </a:pPr>
          <a:endParaRPr lang="ru-RU"/>
        </a:p>
      </c:txPr>
    </c:legend>
    <c:plotVisOnly val="1"/>
    <c:dispBlanksAs val="gap"/>
    <c:showDLblsOverMax val="0"/>
  </c:chart>
  <c:spPr>
    <a:solidFill>
      <a:schemeClr val="accent6">
        <a:lumMod val="20000"/>
        <a:lumOff val="80000"/>
      </a:schemeClr>
    </a:solidFill>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o-RO" sz="800"/>
              <a:t>Numărul sistemelor de alimentare</a:t>
            </a:r>
            <a:r>
              <a:rPr lang="ro-RO" sz="800" baseline="0"/>
              <a:t> cu apă, </a:t>
            </a:r>
            <a:r>
              <a:rPr lang="ro-RO" sz="800"/>
              <a:t>2016-2021</a:t>
            </a:r>
            <a:endParaRPr lang="ru-RU" sz="800"/>
          </a:p>
        </c:rich>
      </c:tx>
      <c:overlay val="0"/>
    </c:title>
    <c:autoTitleDeleted val="0"/>
    <c:plotArea>
      <c:layout>
        <c:manualLayout>
          <c:layoutTarget val="inner"/>
          <c:xMode val="edge"/>
          <c:yMode val="edge"/>
          <c:x val="0.10612256052143942"/>
          <c:y val="0.12617151904736368"/>
          <c:w val="0.87238662875473849"/>
          <c:h val="0.59516872890888639"/>
        </c:manualLayout>
      </c:layout>
      <c:barChart>
        <c:barDir val="col"/>
        <c:grouping val="clustered"/>
        <c:varyColors val="0"/>
        <c:ser>
          <c:idx val="0"/>
          <c:order val="0"/>
          <c:tx>
            <c:strRef>
              <c:f>Лист1!$B$1</c:f>
              <c:strCache>
                <c:ptCount val="1"/>
                <c:pt idx="0">
                  <c:v>2016</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Лист1!$B$2:$B$36</c:f>
              <c:numCache>
                <c:formatCode>General</c:formatCode>
                <c:ptCount val="35"/>
                <c:pt idx="0">
                  <c:v>16</c:v>
                </c:pt>
                <c:pt idx="1">
                  <c:v>2</c:v>
                </c:pt>
                <c:pt idx="2">
                  <c:v>24</c:v>
                </c:pt>
                <c:pt idx="3">
                  <c:v>11</c:v>
                </c:pt>
                <c:pt idx="4">
                  <c:v>21</c:v>
                </c:pt>
                <c:pt idx="5">
                  <c:v>19</c:v>
                </c:pt>
                <c:pt idx="6">
                  <c:v>26</c:v>
                </c:pt>
                <c:pt idx="7">
                  <c:v>38</c:v>
                </c:pt>
                <c:pt idx="8">
                  <c:v>25</c:v>
                </c:pt>
                <c:pt idx="9">
                  <c:v>4</c:v>
                </c:pt>
                <c:pt idx="10">
                  <c:v>41</c:v>
                </c:pt>
                <c:pt idx="11">
                  <c:v>42</c:v>
                </c:pt>
                <c:pt idx="12">
                  <c:v>6</c:v>
                </c:pt>
                <c:pt idx="13">
                  <c:v>67</c:v>
                </c:pt>
                <c:pt idx="14">
                  <c:v>39</c:v>
                </c:pt>
                <c:pt idx="15">
                  <c:v>38</c:v>
                </c:pt>
                <c:pt idx="16">
                  <c:v>9</c:v>
                </c:pt>
                <c:pt idx="17">
                  <c:v>52</c:v>
                </c:pt>
                <c:pt idx="18">
                  <c:v>68</c:v>
                </c:pt>
                <c:pt idx="19">
                  <c:v>15</c:v>
                </c:pt>
                <c:pt idx="20">
                  <c:v>100</c:v>
                </c:pt>
                <c:pt idx="21">
                  <c:v>25</c:v>
                </c:pt>
                <c:pt idx="22">
                  <c:v>19</c:v>
                </c:pt>
                <c:pt idx="23">
                  <c:v>11</c:v>
                </c:pt>
                <c:pt idx="24">
                  <c:v>71</c:v>
                </c:pt>
                <c:pt idx="25">
                  <c:v>29</c:v>
                </c:pt>
                <c:pt idx="26">
                  <c:v>14</c:v>
                </c:pt>
                <c:pt idx="27">
                  <c:v>52</c:v>
                </c:pt>
                <c:pt idx="28">
                  <c:v>24</c:v>
                </c:pt>
                <c:pt idx="29">
                  <c:v>63</c:v>
                </c:pt>
                <c:pt idx="30">
                  <c:v>63</c:v>
                </c:pt>
                <c:pt idx="31">
                  <c:v>10</c:v>
                </c:pt>
                <c:pt idx="32">
                  <c:v>59</c:v>
                </c:pt>
                <c:pt idx="33">
                  <c:v>14</c:v>
                </c:pt>
                <c:pt idx="34">
                  <c:v>40</c:v>
                </c:pt>
              </c:numCache>
            </c:numRef>
          </c:val>
          <c:extLst xmlns:c16r2="http://schemas.microsoft.com/office/drawing/2015/06/chart">
            <c:ext xmlns:c16="http://schemas.microsoft.com/office/drawing/2014/chart" uri="{C3380CC4-5D6E-409C-BE32-E72D297353CC}">
              <c16:uniqueId val="{00000000-720F-4681-A6ED-993F660D6E47}"/>
            </c:ext>
          </c:extLst>
        </c:ser>
        <c:ser>
          <c:idx val="1"/>
          <c:order val="1"/>
          <c:tx>
            <c:strRef>
              <c:f>Лист1!$C$1</c:f>
              <c:strCache>
                <c:ptCount val="1"/>
                <c:pt idx="0">
                  <c:v>2021</c:v>
                </c:pt>
              </c:strCache>
            </c:strRef>
          </c:tx>
          <c:invertIfNegative val="0"/>
          <c:dLbls>
            <c:spPr>
              <a:noFill/>
              <a:ln>
                <a:noFill/>
              </a:ln>
              <a:effectLst/>
            </c:spPr>
            <c:txPr>
              <a:bodyPr rot="-5400000" vert="horz"/>
              <a:lstStyle/>
              <a:p>
                <a:pPr>
                  <a:defRPr sz="700"/>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Лист1!$A$2:$A$36</c:f>
              <c:strCache>
                <c:ptCount val="35"/>
                <c:pt idx="0">
                  <c:v>Mun. Chisinău</c:v>
                </c:pt>
                <c:pt idx="1">
                  <c:v>Mun. Bălți</c:v>
                </c:pt>
                <c:pt idx="2">
                  <c:v>Briceni</c:v>
                </c:pt>
                <c:pt idx="3">
                  <c:v>Dondușeni</c:v>
                </c:pt>
                <c:pt idx="4">
                  <c:v>Drochia</c:v>
                </c:pt>
                <c:pt idx="5">
                  <c:v>Edineț</c:v>
                </c:pt>
                <c:pt idx="6">
                  <c:v>Fălești</c:v>
                </c:pt>
                <c:pt idx="7">
                  <c:v>Florești</c:v>
                </c:pt>
                <c:pt idx="8">
                  <c:v>Glodeni</c:v>
                </c:pt>
                <c:pt idx="9">
                  <c:v>Ocnița</c:v>
                </c:pt>
                <c:pt idx="10">
                  <c:v>Rîșcani</c:v>
                </c:pt>
                <c:pt idx="11">
                  <c:v>Sîngerei</c:v>
                </c:pt>
                <c:pt idx="12">
                  <c:v>Soroca</c:v>
                </c:pt>
                <c:pt idx="13">
                  <c:v>Anenii Noi</c:v>
                </c:pt>
                <c:pt idx="14">
                  <c:v>Călărași</c:v>
                </c:pt>
                <c:pt idx="15">
                  <c:v>Criuleni</c:v>
                </c:pt>
                <c:pt idx="16">
                  <c:v>Dubăsari</c:v>
                </c:pt>
                <c:pt idx="17">
                  <c:v>Hîncești</c:v>
                </c:pt>
                <c:pt idx="18">
                  <c:v>Ialoveni</c:v>
                </c:pt>
                <c:pt idx="19">
                  <c:v>Nisporeni</c:v>
                </c:pt>
                <c:pt idx="20">
                  <c:v>Orhei</c:v>
                </c:pt>
                <c:pt idx="21">
                  <c:v>Rezina</c:v>
                </c:pt>
                <c:pt idx="22">
                  <c:v>Strășeni</c:v>
                </c:pt>
                <c:pt idx="23">
                  <c:v>Șoldănești</c:v>
                </c:pt>
                <c:pt idx="24">
                  <c:v>Telenești</c:v>
                </c:pt>
                <c:pt idx="25">
                  <c:v>Ungheni</c:v>
                </c:pt>
                <c:pt idx="26">
                  <c:v>Basarabeasca</c:v>
                </c:pt>
                <c:pt idx="27">
                  <c:v>Cahul</c:v>
                </c:pt>
                <c:pt idx="28">
                  <c:v>Cantemir</c:v>
                </c:pt>
                <c:pt idx="29">
                  <c:v>Căușeni</c:v>
                </c:pt>
                <c:pt idx="30">
                  <c:v>Cimișlia</c:v>
                </c:pt>
                <c:pt idx="31">
                  <c:v>Leova</c:v>
                </c:pt>
                <c:pt idx="32">
                  <c:v>Stefan Vodă</c:v>
                </c:pt>
                <c:pt idx="33">
                  <c:v>Taraclia</c:v>
                </c:pt>
                <c:pt idx="34">
                  <c:v>U.T.A Gagauzia</c:v>
                </c:pt>
              </c:strCache>
            </c:strRef>
          </c:cat>
          <c:val>
            <c:numRef>
              <c:f>Лист1!$C$2:$C$36</c:f>
              <c:numCache>
                <c:formatCode>General</c:formatCode>
                <c:ptCount val="35"/>
                <c:pt idx="0">
                  <c:v>18</c:v>
                </c:pt>
                <c:pt idx="1">
                  <c:v>3</c:v>
                </c:pt>
                <c:pt idx="2">
                  <c:v>27</c:v>
                </c:pt>
                <c:pt idx="3">
                  <c:v>17</c:v>
                </c:pt>
                <c:pt idx="4">
                  <c:v>28</c:v>
                </c:pt>
                <c:pt idx="5">
                  <c:v>25</c:v>
                </c:pt>
                <c:pt idx="6">
                  <c:v>32</c:v>
                </c:pt>
                <c:pt idx="7">
                  <c:v>40</c:v>
                </c:pt>
                <c:pt idx="8">
                  <c:v>29</c:v>
                </c:pt>
                <c:pt idx="9">
                  <c:v>5</c:v>
                </c:pt>
                <c:pt idx="10">
                  <c:v>48</c:v>
                </c:pt>
                <c:pt idx="11">
                  <c:v>57</c:v>
                </c:pt>
                <c:pt idx="12">
                  <c:v>19</c:v>
                </c:pt>
                <c:pt idx="13">
                  <c:v>75</c:v>
                </c:pt>
                <c:pt idx="14">
                  <c:v>50</c:v>
                </c:pt>
                <c:pt idx="15">
                  <c:v>47</c:v>
                </c:pt>
                <c:pt idx="16">
                  <c:v>13</c:v>
                </c:pt>
                <c:pt idx="17">
                  <c:v>53</c:v>
                </c:pt>
                <c:pt idx="18">
                  <c:v>74</c:v>
                </c:pt>
                <c:pt idx="19">
                  <c:v>20</c:v>
                </c:pt>
                <c:pt idx="20">
                  <c:v>99</c:v>
                </c:pt>
                <c:pt idx="21">
                  <c:v>44</c:v>
                </c:pt>
                <c:pt idx="22">
                  <c:v>26</c:v>
                </c:pt>
                <c:pt idx="23">
                  <c:v>21</c:v>
                </c:pt>
                <c:pt idx="24">
                  <c:v>79</c:v>
                </c:pt>
                <c:pt idx="25">
                  <c:v>36</c:v>
                </c:pt>
                <c:pt idx="26">
                  <c:v>15</c:v>
                </c:pt>
                <c:pt idx="27">
                  <c:v>61</c:v>
                </c:pt>
                <c:pt idx="28">
                  <c:v>31</c:v>
                </c:pt>
                <c:pt idx="29">
                  <c:v>64</c:v>
                </c:pt>
                <c:pt idx="30">
                  <c:v>72</c:v>
                </c:pt>
                <c:pt idx="31">
                  <c:v>17</c:v>
                </c:pt>
                <c:pt idx="32">
                  <c:v>60</c:v>
                </c:pt>
                <c:pt idx="33">
                  <c:v>17</c:v>
                </c:pt>
                <c:pt idx="34">
                  <c:v>40</c:v>
                </c:pt>
              </c:numCache>
            </c:numRef>
          </c:val>
          <c:extLst xmlns:c16r2="http://schemas.microsoft.com/office/drawing/2015/06/chart">
            <c:ext xmlns:c16="http://schemas.microsoft.com/office/drawing/2014/chart" uri="{C3380CC4-5D6E-409C-BE32-E72D297353CC}">
              <c16:uniqueId val="{00000001-720F-4681-A6ED-993F660D6E47}"/>
            </c:ext>
          </c:extLst>
        </c:ser>
        <c:dLbls>
          <c:showLegendKey val="0"/>
          <c:showVal val="0"/>
          <c:showCatName val="0"/>
          <c:showSerName val="0"/>
          <c:showPercent val="0"/>
          <c:showBubbleSize val="0"/>
        </c:dLbls>
        <c:gapWidth val="150"/>
        <c:axId val="380900832"/>
        <c:axId val="380901616"/>
      </c:barChart>
      <c:catAx>
        <c:axId val="380900832"/>
        <c:scaling>
          <c:orientation val="minMax"/>
        </c:scaling>
        <c:delete val="0"/>
        <c:axPos val="b"/>
        <c:numFmt formatCode="General" sourceLinked="0"/>
        <c:majorTickMark val="out"/>
        <c:minorTickMark val="none"/>
        <c:tickLblPos val="nextTo"/>
        <c:txPr>
          <a:bodyPr/>
          <a:lstStyle/>
          <a:p>
            <a:pPr>
              <a:defRPr sz="700"/>
            </a:pPr>
            <a:endParaRPr lang="ru-RU"/>
          </a:p>
        </c:txPr>
        <c:crossAx val="380901616"/>
        <c:crosses val="autoZero"/>
        <c:auto val="1"/>
        <c:lblAlgn val="ctr"/>
        <c:lblOffset val="100"/>
        <c:noMultiLvlLbl val="0"/>
      </c:catAx>
      <c:valAx>
        <c:axId val="380901616"/>
        <c:scaling>
          <c:orientation val="minMax"/>
        </c:scaling>
        <c:delete val="1"/>
        <c:axPos val="l"/>
        <c:majorGridlines/>
        <c:numFmt formatCode="General" sourceLinked="1"/>
        <c:majorTickMark val="out"/>
        <c:minorTickMark val="none"/>
        <c:tickLblPos val="none"/>
        <c:crossAx val="380900832"/>
        <c:crosses val="autoZero"/>
        <c:crossBetween val="between"/>
      </c:valAx>
    </c:plotArea>
    <c:legend>
      <c:legendPos val="b"/>
      <c:overlay val="0"/>
      <c:txPr>
        <a:bodyPr/>
        <a:lstStyle/>
        <a:p>
          <a:pPr>
            <a:defRPr sz="700"/>
          </a:pPr>
          <a:endParaRPr lang="ru-RU"/>
        </a:p>
      </c:txPr>
    </c:legend>
    <c:plotVisOnly val="1"/>
    <c:dispBlanksAs val="gap"/>
    <c:showDLblsOverMax val="0"/>
  </c:chart>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CD4F6A3-E50F-49C3-B6C4-E466999D9388}" type="doc">
      <dgm:prSet loTypeId="urn:microsoft.com/office/officeart/2005/8/layout/process2" loCatId="process" qsTypeId="urn:microsoft.com/office/officeart/2005/8/quickstyle/simple1" qsCatId="simple" csTypeId="urn:microsoft.com/office/officeart/2005/8/colors/accent1_2" csCatId="accent1" phldr="1"/>
      <dgm:spPr/>
    </dgm:pt>
    <dgm:pt modelId="{97B6FC4C-1C58-49DB-A0B0-2E0E02C67216}">
      <dgm:prSet phldrT="[Text]"/>
      <dgm:spPr/>
      <dgm:t>
        <a:bodyPr/>
        <a:lstStyle/>
        <a:p>
          <a:r>
            <a:rPr lang="ro-RO" b="1"/>
            <a:t>Nvelul I. Ministerul Aprovizionării cu Apă și Canalizare </a:t>
          </a:r>
          <a:endParaRPr lang="en-US" b="1"/>
        </a:p>
      </dgm:t>
    </dgm:pt>
    <dgm:pt modelId="{1F301C7F-ED61-466B-9FE9-ACE30FFCC6DE}" type="parTrans" cxnId="{49B794F8-557B-4302-8810-5C5D6E082991}">
      <dgm:prSet/>
      <dgm:spPr/>
      <dgm:t>
        <a:bodyPr/>
        <a:lstStyle/>
        <a:p>
          <a:endParaRPr lang="en-US"/>
        </a:p>
      </dgm:t>
    </dgm:pt>
    <dgm:pt modelId="{90F46AAB-0169-43EA-8179-982F1A54D5C2}" type="sibTrans" cxnId="{49B794F8-557B-4302-8810-5C5D6E082991}">
      <dgm:prSet/>
      <dgm:spPr/>
      <dgm:t>
        <a:bodyPr/>
        <a:lstStyle/>
        <a:p>
          <a:endParaRPr lang="en-US"/>
        </a:p>
      </dgm:t>
    </dgm:pt>
    <dgm:pt modelId="{6BE4828C-5D7B-4BBE-B1AB-D943FC6D5A09}">
      <dgm:prSet phldrT="[Text]"/>
      <dgm:spPr/>
      <dgm:t>
        <a:bodyPr/>
        <a:lstStyle/>
        <a:p>
          <a:r>
            <a:rPr lang="ro-RO" b="1"/>
            <a:t>Nivelul II. 9 autorități regionale de apă care activează în fiecare district</a:t>
          </a:r>
          <a:endParaRPr lang="en-US" b="1"/>
        </a:p>
      </dgm:t>
    </dgm:pt>
    <dgm:pt modelId="{557FD426-52E4-4DCC-AF44-2941B048047A}" type="parTrans" cxnId="{3A68D76C-DE38-4610-B76D-BF5BFF507FE5}">
      <dgm:prSet/>
      <dgm:spPr/>
      <dgm:t>
        <a:bodyPr/>
        <a:lstStyle/>
        <a:p>
          <a:endParaRPr lang="en-US"/>
        </a:p>
      </dgm:t>
    </dgm:pt>
    <dgm:pt modelId="{594A832E-0425-4A94-8575-00A6EAB83A21}" type="sibTrans" cxnId="{3A68D76C-DE38-4610-B76D-BF5BFF507FE5}">
      <dgm:prSet/>
      <dgm:spPr/>
      <dgm:t>
        <a:bodyPr/>
        <a:lstStyle/>
        <a:p>
          <a:endParaRPr lang="en-US"/>
        </a:p>
      </dgm:t>
    </dgm:pt>
    <dgm:pt modelId="{48807206-AA69-4C5C-9207-BB128DE2077F}">
      <dgm:prSet phldrT="[Text]"/>
      <dgm:spPr/>
      <dgm:t>
        <a:bodyPr/>
        <a:lstStyle/>
        <a:p>
          <a:r>
            <a:rPr lang="ro-RO" b="1"/>
            <a:t>Nivelul III. Autoritățile locale de apă şi</a:t>
          </a:r>
          <a:r>
            <a:rPr lang="ro-RO" b="1" i="0" u="none"/>
            <a:t> </a:t>
          </a:r>
          <a:r>
            <a:rPr lang="ro-RO" b="1"/>
            <a:t>Comitetele rurale la nivel de sat/comună</a:t>
          </a:r>
          <a:endParaRPr lang="en-US" b="1"/>
        </a:p>
      </dgm:t>
    </dgm:pt>
    <dgm:pt modelId="{CBE96003-3D72-4719-84C4-B95AF9492FC6}" type="parTrans" cxnId="{DCB915A0-1DB2-4D2D-A3ED-85E0235E76CA}">
      <dgm:prSet/>
      <dgm:spPr/>
      <dgm:t>
        <a:bodyPr/>
        <a:lstStyle/>
        <a:p>
          <a:endParaRPr lang="en-US"/>
        </a:p>
      </dgm:t>
    </dgm:pt>
    <dgm:pt modelId="{4A24259C-6193-4D78-8713-46355E62A9DC}" type="sibTrans" cxnId="{DCB915A0-1DB2-4D2D-A3ED-85E0235E76CA}">
      <dgm:prSet/>
      <dgm:spPr/>
      <dgm:t>
        <a:bodyPr/>
        <a:lstStyle/>
        <a:p>
          <a:endParaRPr lang="en-US"/>
        </a:p>
      </dgm:t>
    </dgm:pt>
    <dgm:pt modelId="{11FF7CE7-C1A3-462B-9283-7BD62D32BB5B}" type="pres">
      <dgm:prSet presAssocID="{2CD4F6A3-E50F-49C3-B6C4-E466999D9388}" presName="linearFlow" presStyleCnt="0">
        <dgm:presLayoutVars>
          <dgm:resizeHandles val="exact"/>
        </dgm:presLayoutVars>
      </dgm:prSet>
      <dgm:spPr/>
    </dgm:pt>
    <dgm:pt modelId="{3B2F9048-0D09-4B11-9F71-1FFE86574670}" type="pres">
      <dgm:prSet presAssocID="{97B6FC4C-1C58-49DB-A0B0-2E0E02C67216}" presName="node" presStyleLbl="node1" presStyleIdx="0" presStyleCnt="3" custScaleX="244873" custLinFactNeighborX="-1403">
        <dgm:presLayoutVars>
          <dgm:bulletEnabled val="1"/>
        </dgm:presLayoutVars>
      </dgm:prSet>
      <dgm:spPr/>
      <dgm:t>
        <a:bodyPr/>
        <a:lstStyle/>
        <a:p>
          <a:endParaRPr lang="en-US"/>
        </a:p>
      </dgm:t>
    </dgm:pt>
    <dgm:pt modelId="{15B189D9-301B-464B-9A4C-E4C308B84599}" type="pres">
      <dgm:prSet presAssocID="{90F46AAB-0169-43EA-8179-982F1A54D5C2}" presName="sibTrans" presStyleLbl="sibTrans2D1" presStyleIdx="0" presStyleCnt="2"/>
      <dgm:spPr/>
      <dgm:t>
        <a:bodyPr/>
        <a:lstStyle/>
        <a:p>
          <a:endParaRPr lang="en-US"/>
        </a:p>
      </dgm:t>
    </dgm:pt>
    <dgm:pt modelId="{2A3E0378-E792-46B1-A835-9CA162501D6D}" type="pres">
      <dgm:prSet presAssocID="{90F46AAB-0169-43EA-8179-982F1A54D5C2}" presName="connectorText" presStyleLbl="sibTrans2D1" presStyleIdx="0" presStyleCnt="2"/>
      <dgm:spPr/>
      <dgm:t>
        <a:bodyPr/>
        <a:lstStyle/>
        <a:p>
          <a:endParaRPr lang="en-US"/>
        </a:p>
      </dgm:t>
    </dgm:pt>
    <dgm:pt modelId="{88782070-09DA-45F8-832D-38072F7C2084}" type="pres">
      <dgm:prSet presAssocID="{6BE4828C-5D7B-4BBE-B1AB-D943FC6D5A09}" presName="node" presStyleLbl="node1" presStyleIdx="1" presStyleCnt="3" custScaleX="243432" custLinFactNeighborX="-702" custLinFactNeighborY="-2807">
        <dgm:presLayoutVars>
          <dgm:bulletEnabled val="1"/>
        </dgm:presLayoutVars>
      </dgm:prSet>
      <dgm:spPr/>
      <dgm:t>
        <a:bodyPr/>
        <a:lstStyle/>
        <a:p>
          <a:endParaRPr lang="en-US"/>
        </a:p>
      </dgm:t>
    </dgm:pt>
    <dgm:pt modelId="{6E82ADAA-907C-4DEB-86E9-CA94FADD659B}" type="pres">
      <dgm:prSet presAssocID="{594A832E-0425-4A94-8575-00A6EAB83A21}" presName="sibTrans" presStyleLbl="sibTrans2D1" presStyleIdx="1" presStyleCnt="2"/>
      <dgm:spPr/>
      <dgm:t>
        <a:bodyPr/>
        <a:lstStyle/>
        <a:p>
          <a:endParaRPr lang="en-US"/>
        </a:p>
      </dgm:t>
    </dgm:pt>
    <dgm:pt modelId="{CE7D2D4D-15AC-4AF9-BE1F-5CFCB0467657}" type="pres">
      <dgm:prSet presAssocID="{594A832E-0425-4A94-8575-00A6EAB83A21}" presName="connectorText" presStyleLbl="sibTrans2D1" presStyleIdx="1" presStyleCnt="2"/>
      <dgm:spPr/>
      <dgm:t>
        <a:bodyPr/>
        <a:lstStyle/>
        <a:p>
          <a:endParaRPr lang="en-US"/>
        </a:p>
      </dgm:t>
    </dgm:pt>
    <dgm:pt modelId="{16DB1475-1A97-4C69-A581-6AA1B7631919}" type="pres">
      <dgm:prSet presAssocID="{48807206-AA69-4C5C-9207-BB128DE2077F}" presName="node" presStyleLbl="node1" presStyleIdx="2" presStyleCnt="3" custScaleX="235510">
        <dgm:presLayoutVars>
          <dgm:bulletEnabled val="1"/>
        </dgm:presLayoutVars>
      </dgm:prSet>
      <dgm:spPr/>
      <dgm:t>
        <a:bodyPr/>
        <a:lstStyle/>
        <a:p>
          <a:endParaRPr lang="en-US"/>
        </a:p>
      </dgm:t>
    </dgm:pt>
  </dgm:ptLst>
  <dgm:cxnLst>
    <dgm:cxn modelId="{DCB915A0-1DB2-4D2D-A3ED-85E0235E76CA}" srcId="{2CD4F6A3-E50F-49C3-B6C4-E466999D9388}" destId="{48807206-AA69-4C5C-9207-BB128DE2077F}" srcOrd="2" destOrd="0" parTransId="{CBE96003-3D72-4719-84C4-B95AF9492FC6}" sibTransId="{4A24259C-6193-4D78-8713-46355E62A9DC}"/>
    <dgm:cxn modelId="{659BB147-5402-4E79-8A24-FAE1FE2436DD}" type="presOf" srcId="{6BE4828C-5D7B-4BBE-B1AB-D943FC6D5A09}" destId="{88782070-09DA-45F8-832D-38072F7C2084}" srcOrd="0" destOrd="0" presId="urn:microsoft.com/office/officeart/2005/8/layout/process2"/>
    <dgm:cxn modelId="{D83A1BE2-8353-4E22-ABB6-95E6790AF998}" type="presOf" srcId="{48807206-AA69-4C5C-9207-BB128DE2077F}" destId="{16DB1475-1A97-4C69-A581-6AA1B7631919}" srcOrd="0" destOrd="0" presId="urn:microsoft.com/office/officeart/2005/8/layout/process2"/>
    <dgm:cxn modelId="{49B794F8-557B-4302-8810-5C5D6E082991}" srcId="{2CD4F6A3-E50F-49C3-B6C4-E466999D9388}" destId="{97B6FC4C-1C58-49DB-A0B0-2E0E02C67216}" srcOrd="0" destOrd="0" parTransId="{1F301C7F-ED61-466B-9FE9-ACE30FFCC6DE}" sibTransId="{90F46AAB-0169-43EA-8179-982F1A54D5C2}"/>
    <dgm:cxn modelId="{3A68D76C-DE38-4610-B76D-BF5BFF507FE5}" srcId="{2CD4F6A3-E50F-49C3-B6C4-E466999D9388}" destId="{6BE4828C-5D7B-4BBE-B1AB-D943FC6D5A09}" srcOrd="1" destOrd="0" parTransId="{557FD426-52E4-4DCC-AF44-2941B048047A}" sibTransId="{594A832E-0425-4A94-8575-00A6EAB83A21}"/>
    <dgm:cxn modelId="{207C7031-186E-4E2D-A6D2-C54D07704659}" type="presOf" srcId="{594A832E-0425-4A94-8575-00A6EAB83A21}" destId="{6E82ADAA-907C-4DEB-86E9-CA94FADD659B}" srcOrd="0" destOrd="0" presId="urn:microsoft.com/office/officeart/2005/8/layout/process2"/>
    <dgm:cxn modelId="{43A517F6-74F9-4AC5-B301-C64412682A5D}" type="presOf" srcId="{2CD4F6A3-E50F-49C3-B6C4-E466999D9388}" destId="{11FF7CE7-C1A3-462B-9283-7BD62D32BB5B}" srcOrd="0" destOrd="0" presId="urn:microsoft.com/office/officeart/2005/8/layout/process2"/>
    <dgm:cxn modelId="{2AF51599-8CAA-4C14-94DC-CB351545EB42}" type="presOf" srcId="{90F46AAB-0169-43EA-8179-982F1A54D5C2}" destId="{15B189D9-301B-464B-9A4C-E4C308B84599}" srcOrd="0" destOrd="0" presId="urn:microsoft.com/office/officeart/2005/8/layout/process2"/>
    <dgm:cxn modelId="{700FD381-A723-4C39-8955-DACD20075276}" type="presOf" srcId="{90F46AAB-0169-43EA-8179-982F1A54D5C2}" destId="{2A3E0378-E792-46B1-A835-9CA162501D6D}" srcOrd="1" destOrd="0" presId="urn:microsoft.com/office/officeart/2005/8/layout/process2"/>
    <dgm:cxn modelId="{771E41DF-0898-4773-B060-E3B465E9B396}" type="presOf" srcId="{594A832E-0425-4A94-8575-00A6EAB83A21}" destId="{CE7D2D4D-15AC-4AF9-BE1F-5CFCB0467657}" srcOrd="1" destOrd="0" presId="urn:microsoft.com/office/officeart/2005/8/layout/process2"/>
    <dgm:cxn modelId="{8C1D8AA1-C4E2-4628-8D37-50E3E208380E}" type="presOf" srcId="{97B6FC4C-1C58-49DB-A0B0-2E0E02C67216}" destId="{3B2F9048-0D09-4B11-9F71-1FFE86574670}" srcOrd="0" destOrd="0" presId="urn:microsoft.com/office/officeart/2005/8/layout/process2"/>
    <dgm:cxn modelId="{0D02A5E0-5765-47E4-81E7-0E89FCBF776A}" type="presParOf" srcId="{11FF7CE7-C1A3-462B-9283-7BD62D32BB5B}" destId="{3B2F9048-0D09-4B11-9F71-1FFE86574670}" srcOrd="0" destOrd="0" presId="urn:microsoft.com/office/officeart/2005/8/layout/process2"/>
    <dgm:cxn modelId="{6E4D170C-3470-493E-ACD8-8ED40123BC1F}" type="presParOf" srcId="{11FF7CE7-C1A3-462B-9283-7BD62D32BB5B}" destId="{15B189D9-301B-464B-9A4C-E4C308B84599}" srcOrd="1" destOrd="0" presId="urn:microsoft.com/office/officeart/2005/8/layout/process2"/>
    <dgm:cxn modelId="{3E710BB8-60B6-478F-A9AA-61468A40CFA9}" type="presParOf" srcId="{15B189D9-301B-464B-9A4C-E4C308B84599}" destId="{2A3E0378-E792-46B1-A835-9CA162501D6D}" srcOrd="0" destOrd="0" presId="urn:microsoft.com/office/officeart/2005/8/layout/process2"/>
    <dgm:cxn modelId="{FC052943-D6C6-4A12-8651-753372846BC1}" type="presParOf" srcId="{11FF7CE7-C1A3-462B-9283-7BD62D32BB5B}" destId="{88782070-09DA-45F8-832D-38072F7C2084}" srcOrd="2" destOrd="0" presId="urn:microsoft.com/office/officeart/2005/8/layout/process2"/>
    <dgm:cxn modelId="{D77494B0-6F15-4CEA-9C68-03DD4C727373}" type="presParOf" srcId="{11FF7CE7-C1A3-462B-9283-7BD62D32BB5B}" destId="{6E82ADAA-907C-4DEB-86E9-CA94FADD659B}" srcOrd="3" destOrd="0" presId="urn:microsoft.com/office/officeart/2005/8/layout/process2"/>
    <dgm:cxn modelId="{737BEC95-9376-462C-870F-B64237D034CF}" type="presParOf" srcId="{6E82ADAA-907C-4DEB-86E9-CA94FADD659B}" destId="{CE7D2D4D-15AC-4AF9-BE1F-5CFCB0467657}" srcOrd="0" destOrd="0" presId="urn:microsoft.com/office/officeart/2005/8/layout/process2"/>
    <dgm:cxn modelId="{08D836C7-89FD-4F6F-AD00-BDB199B7C9D6}" type="presParOf" srcId="{11FF7CE7-C1A3-462B-9283-7BD62D32BB5B}" destId="{16DB1475-1A97-4C69-A581-6AA1B7631919}" srcOrd="4" destOrd="0" presId="urn:microsoft.com/office/officeart/2005/8/layout/process2"/>
  </dgm:cxnLst>
  <dgm:bg/>
  <dgm:whole/>
  <dgm:extLst>
    <a:ext uri="http://schemas.microsoft.com/office/drawing/2008/diagram">
      <dsp:dataModelExt xmlns:dsp="http://schemas.microsoft.com/office/drawing/2008/diagram" relId="rId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2F9048-0D09-4B11-9F71-1FFE86574670}">
      <dsp:nvSpPr>
        <dsp:cNvPr id="0" name=""/>
        <dsp:cNvSpPr/>
      </dsp:nvSpPr>
      <dsp:spPr>
        <a:xfrm>
          <a:off x="422350" y="0"/>
          <a:ext cx="5104879" cy="5211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b="1" kern="1200"/>
            <a:t>Nvelul I. Ministerul Aprovizionării cu Apă și Canalizare </a:t>
          </a:r>
          <a:endParaRPr lang="en-US" sz="1100" b="1" kern="1200"/>
        </a:p>
      </dsp:txBody>
      <dsp:txXfrm>
        <a:off x="437615" y="15265"/>
        <a:ext cx="5074349" cy="490646"/>
      </dsp:txXfrm>
    </dsp:sp>
    <dsp:sp modelId="{15B189D9-301B-464B-9A4C-E4C308B84599}">
      <dsp:nvSpPr>
        <dsp:cNvPr id="0" name=""/>
        <dsp:cNvSpPr/>
      </dsp:nvSpPr>
      <dsp:spPr>
        <a:xfrm rot="5335138">
          <a:off x="2887102" y="530548"/>
          <a:ext cx="189988" cy="2345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2911200" y="552823"/>
        <a:ext cx="140717" cy="132992"/>
      </dsp:txXfrm>
    </dsp:sp>
    <dsp:sp modelId="{88782070-09DA-45F8-832D-38072F7C2084}">
      <dsp:nvSpPr>
        <dsp:cNvPr id="0" name=""/>
        <dsp:cNvSpPr/>
      </dsp:nvSpPr>
      <dsp:spPr>
        <a:xfrm>
          <a:off x="451984" y="774449"/>
          <a:ext cx="5074839" cy="5211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b="1" kern="1200"/>
            <a:t>Nivelul II. 9 autorități regionale de apă care activează în fiecare district</a:t>
          </a:r>
          <a:endParaRPr lang="en-US" sz="1100" b="1" kern="1200"/>
        </a:p>
      </dsp:txBody>
      <dsp:txXfrm>
        <a:off x="467249" y="789714"/>
        <a:ext cx="5044309" cy="490646"/>
      </dsp:txXfrm>
    </dsp:sp>
    <dsp:sp modelId="{6E82ADAA-907C-4DEB-86E9-CA94FADD659B}">
      <dsp:nvSpPr>
        <dsp:cNvPr id="0" name=""/>
        <dsp:cNvSpPr/>
      </dsp:nvSpPr>
      <dsp:spPr>
        <a:xfrm rot="5336249">
          <a:off x="2896240" y="1312312"/>
          <a:ext cx="200961" cy="234529"/>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en-US" sz="900" kern="1200"/>
        </a:p>
      </dsp:txBody>
      <dsp:txXfrm rot="-5400000">
        <a:off x="2925803" y="1329101"/>
        <a:ext cx="140717" cy="140673"/>
      </dsp:txXfrm>
    </dsp:sp>
    <dsp:sp modelId="{16DB1475-1A97-4C69-A581-6AA1B7631919}">
      <dsp:nvSpPr>
        <dsp:cNvPr id="0" name=""/>
        <dsp:cNvSpPr/>
      </dsp:nvSpPr>
      <dsp:spPr>
        <a:xfrm>
          <a:off x="549194" y="1563528"/>
          <a:ext cx="4909688" cy="52117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ro-RO" sz="1100" b="1" kern="1200"/>
            <a:t>Nivelul III. Autoritățile locale de apă şi</a:t>
          </a:r>
          <a:r>
            <a:rPr lang="ro-RO" sz="1100" b="1" i="0" u="none" kern="1200"/>
            <a:t> </a:t>
          </a:r>
          <a:r>
            <a:rPr lang="ro-RO" sz="1100" b="1" kern="1200"/>
            <a:t>Comitetele rurale la nivel de sat/comună</a:t>
          </a:r>
          <a:endParaRPr lang="en-US" sz="1100" b="1" kern="1200"/>
        </a:p>
      </dsp:txBody>
      <dsp:txXfrm>
        <a:off x="564459" y="1578793"/>
        <a:ext cx="4879158" cy="490646"/>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A54ED-FA56-4BE7-A97F-633DD5427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66351</Words>
  <Characters>378204</Characters>
  <Application>Microsoft Office Word</Application>
  <DocSecurity>0</DocSecurity>
  <Lines>3151</Lines>
  <Paragraphs>887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CtrlSoft</Company>
  <LinksUpToDate>false</LinksUpToDate>
  <CharactersWithSpaces>443668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Popa Tatiana</dc:creator>
  <cp:lastModifiedBy>Paiu Eugenia</cp:lastModifiedBy>
  <cp:revision>3</cp:revision>
  <cp:lastPrinted>2023-04-27T08:20:00Z</cp:lastPrinted>
  <dcterms:created xsi:type="dcterms:W3CDTF">2023-05-04T06:20:00Z</dcterms:created>
  <dcterms:modified xsi:type="dcterms:W3CDTF">2023-05-04T06:20:00Z</dcterms:modified>
</cp:coreProperties>
</file>