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7B04D" w14:textId="77777777" w:rsidR="00E14EAF" w:rsidRPr="00720652" w:rsidRDefault="00E14EAF" w:rsidP="00E13795">
      <w:pPr>
        <w:spacing w:after="0" w:line="240" w:lineRule="auto"/>
        <w:rPr>
          <w:rFonts w:asciiTheme="majorHAnsi" w:eastAsia="Times New Roman" w:hAnsiTheme="majorHAnsi" w:cstheme="majorHAnsi"/>
          <w:sz w:val="24"/>
          <w:szCs w:val="24"/>
          <w:lang w:val="ro-RO"/>
        </w:rPr>
      </w:pPr>
    </w:p>
    <w:p w14:paraId="2AFA3FA0" w14:textId="77777777" w:rsidR="0086403C" w:rsidRPr="00720652" w:rsidRDefault="0086403C" w:rsidP="009E6346">
      <w:pPr>
        <w:spacing w:after="0" w:line="276" w:lineRule="auto"/>
        <w:jc w:val="center"/>
        <w:rPr>
          <w:rFonts w:asciiTheme="majorHAnsi" w:eastAsia="Times New Roman" w:hAnsiTheme="majorHAnsi" w:cstheme="majorHAnsi"/>
          <w:sz w:val="24"/>
          <w:szCs w:val="24"/>
          <w:lang w:val="ro-RO"/>
        </w:rPr>
      </w:pPr>
      <w:r w:rsidRPr="00720652">
        <w:rPr>
          <w:rFonts w:asciiTheme="majorHAnsi" w:eastAsia="Times New Roman" w:hAnsiTheme="majorHAnsi" w:cstheme="majorHAnsi"/>
          <w:noProof/>
          <w:sz w:val="24"/>
          <w:szCs w:val="24"/>
          <w:lang w:val="ru-RU" w:eastAsia="ru-RU"/>
        </w:rPr>
        <w:drawing>
          <wp:inline distT="0" distB="0" distL="0" distR="0" wp14:anchorId="59C02FA4" wp14:editId="4C1DC195">
            <wp:extent cx="630555" cy="671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671195"/>
                    </a:xfrm>
                    <a:prstGeom prst="rect">
                      <a:avLst/>
                    </a:prstGeom>
                    <a:noFill/>
                    <a:ln>
                      <a:noFill/>
                    </a:ln>
                  </pic:spPr>
                </pic:pic>
              </a:graphicData>
            </a:graphic>
          </wp:inline>
        </w:drawing>
      </w:r>
    </w:p>
    <w:p w14:paraId="5D67AA26" w14:textId="77777777" w:rsidR="0086403C" w:rsidRPr="00720652" w:rsidRDefault="0086403C" w:rsidP="009E6346">
      <w:pPr>
        <w:spacing w:after="0" w:line="276" w:lineRule="auto"/>
        <w:jc w:val="center"/>
        <w:rPr>
          <w:rFonts w:asciiTheme="majorHAnsi" w:eastAsia="Times New Roman" w:hAnsiTheme="majorHAnsi" w:cstheme="majorHAnsi"/>
          <w:b/>
          <w:bCs/>
          <w:sz w:val="24"/>
          <w:szCs w:val="24"/>
          <w:lang w:val="ro-RO"/>
        </w:rPr>
      </w:pPr>
    </w:p>
    <w:p w14:paraId="6CF76984" w14:textId="77777777" w:rsidR="0086403C" w:rsidRPr="00720652" w:rsidRDefault="0086403C" w:rsidP="009E6346">
      <w:pPr>
        <w:spacing w:after="0" w:line="276" w:lineRule="auto"/>
        <w:jc w:val="center"/>
        <w:rPr>
          <w:rFonts w:asciiTheme="majorHAnsi" w:eastAsia="Times New Roman" w:hAnsiTheme="majorHAnsi" w:cstheme="majorHAnsi"/>
          <w:bCs/>
          <w:sz w:val="24"/>
          <w:szCs w:val="24"/>
          <w:lang w:val="ro-RO"/>
        </w:rPr>
      </w:pPr>
      <w:r w:rsidRPr="00720652">
        <w:rPr>
          <w:rFonts w:asciiTheme="majorHAnsi" w:eastAsia="Times New Roman" w:hAnsiTheme="majorHAnsi" w:cstheme="majorHAnsi"/>
          <w:bCs/>
          <w:sz w:val="24"/>
          <w:szCs w:val="24"/>
          <w:lang w:val="ro-RO"/>
        </w:rPr>
        <w:t>CURTEA DE CONTURI A REPUBLICII MOLDOVA</w:t>
      </w:r>
    </w:p>
    <w:p w14:paraId="6A97D480" w14:textId="77777777" w:rsidR="0086403C" w:rsidRPr="00720652" w:rsidRDefault="0086403C" w:rsidP="009E6346">
      <w:pPr>
        <w:spacing w:after="0" w:line="276" w:lineRule="auto"/>
        <w:jc w:val="center"/>
        <w:rPr>
          <w:rFonts w:asciiTheme="majorHAnsi" w:eastAsia="Times New Roman" w:hAnsiTheme="majorHAnsi" w:cstheme="majorHAnsi"/>
          <w:bCs/>
          <w:sz w:val="24"/>
          <w:szCs w:val="24"/>
          <w:lang w:val="ro-RO"/>
        </w:rPr>
      </w:pPr>
    </w:p>
    <w:p w14:paraId="5DC033E6" w14:textId="77777777" w:rsidR="0086403C" w:rsidRPr="00720652" w:rsidRDefault="0086403C" w:rsidP="009E6346">
      <w:pPr>
        <w:spacing w:after="0" w:line="276" w:lineRule="auto"/>
        <w:jc w:val="center"/>
        <w:rPr>
          <w:rFonts w:asciiTheme="majorHAnsi" w:eastAsia="Times New Roman" w:hAnsiTheme="majorHAnsi" w:cstheme="majorHAnsi"/>
          <w:b/>
          <w:bCs/>
          <w:sz w:val="24"/>
          <w:szCs w:val="24"/>
          <w:lang w:val="ro-RO"/>
        </w:rPr>
      </w:pPr>
      <w:bookmarkStart w:id="0" w:name="_Toc450123757"/>
      <w:r w:rsidRPr="00720652">
        <w:rPr>
          <w:rFonts w:asciiTheme="majorHAnsi" w:eastAsia="Times New Roman" w:hAnsiTheme="majorHAnsi" w:cstheme="majorHAnsi"/>
          <w:b/>
          <w:bCs/>
          <w:sz w:val="24"/>
          <w:szCs w:val="24"/>
          <w:lang w:val="ro-RO"/>
        </w:rPr>
        <w:t>H O T Ă R Â R E A nr.</w:t>
      </w:r>
      <w:bookmarkEnd w:id="0"/>
      <w:r w:rsidR="00D75C72" w:rsidRPr="00720652">
        <w:rPr>
          <w:rFonts w:asciiTheme="majorHAnsi" w:eastAsia="Times New Roman" w:hAnsiTheme="majorHAnsi" w:cstheme="majorHAnsi"/>
          <w:b/>
          <w:bCs/>
          <w:sz w:val="24"/>
          <w:szCs w:val="24"/>
          <w:lang w:val="ro-RO"/>
        </w:rPr>
        <w:t xml:space="preserve"> 14</w:t>
      </w:r>
      <w:r w:rsidR="00331ED7" w:rsidRPr="00720652">
        <w:rPr>
          <w:rFonts w:asciiTheme="majorHAnsi" w:eastAsia="Times New Roman" w:hAnsiTheme="majorHAnsi" w:cstheme="majorHAnsi"/>
          <w:b/>
          <w:bCs/>
          <w:sz w:val="24"/>
          <w:szCs w:val="24"/>
          <w:lang w:val="ro-RO"/>
        </w:rPr>
        <w:t xml:space="preserve"> </w:t>
      </w:r>
    </w:p>
    <w:p w14:paraId="3193F2FF" w14:textId="77777777" w:rsidR="0086403C" w:rsidRPr="00720652" w:rsidRDefault="001664EA" w:rsidP="009E6346">
      <w:pPr>
        <w:spacing w:after="0" w:line="276" w:lineRule="auto"/>
        <w:jc w:val="center"/>
        <w:rPr>
          <w:rFonts w:asciiTheme="majorHAnsi" w:eastAsia="Times New Roman" w:hAnsiTheme="majorHAnsi" w:cstheme="majorHAnsi"/>
          <w:bCs/>
          <w:sz w:val="24"/>
          <w:szCs w:val="24"/>
          <w:lang w:val="ro-RO"/>
        </w:rPr>
      </w:pPr>
      <w:r w:rsidRPr="00720652">
        <w:rPr>
          <w:rFonts w:asciiTheme="majorHAnsi" w:eastAsia="Times New Roman" w:hAnsiTheme="majorHAnsi" w:cstheme="majorHAnsi"/>
          <w:bCs/>
          <w:sz w:val="24"/>
          <w:szCs w:val="24"/>
          <w:lang w:val="ro-RO"/>
        </w:rPr>
        <w:t xml:space="preserve">din </w:t>
      </w:r>
      <w:r w:rsidR="007C3A87" w:rsidRPr="00720652">
        <w:rPr>
          <w:rFonts w:asciiTheme="majorHAnsi" w:eastAsia="Times New Roman" w:hAnsiTheme="majorHAnsi" w:cstheme="majorHAnsi"/>
          <w:bCs/>
          <w:sz w:val="24"/>
          <w:szCs w:val="24"/>
          <w:lang w:val="ro-RO"/>
        </w:rPr>
        <w:t>06</w:t>
      </w:r>
      <w:r w:rsidR="00B26C4A" w:rsidRPr="00720652">
        <w:rPr>
          <w:rFonts w:asciiTheme="majorHAnsi" w:eastAsia="Times New Roman" w:hAnsiTheme="majorHAnsi" w:cstheme="majorHAnsi"/>
          <w:bCs/>
          <w:sz w:val="24"/>
          <w:szCs w:val="24"/>
          <w:lang w:val="ro-RO"/>
        </w:rPr>
        <w:t xml:space="preserve"> </w:t>
      </w:r>
      <w:r w:rsidR="007C3A87" w:rsidRPr="00720652">
        <w:rPr>
          <w:rFonts w:asciiTheme="majorHAnsi" w:eastAsia="Times New Roman" w:hAnsiTheme="majorHAnsi" w:cstheme="majorHAnsi"/>
          <w:bCs/>
          <w:sz w:val="24"/>
          <w:szCs w:val="24"/>
          <w:lang w:val="ro-RO"/>
        </w:rPr>
        <w:t>aprilie</w:t>
      </w:r>
      <w:r w:rsidR="00D53307" w:rsidRPr="00720652">
        <w:rPr>
          <w:rFonts w:asciiTheme="majorHAnsi" w:eastAsia="Times New Roman" w:hAnsiTheme="majorHAnsi" w:cstheme="majorHAnsi"/>
          <w:bCs/>
          <w:sz w:val="24"/>
          <w:szCs w:val="24"/>
          <w:lang w:val="ro-RO"/>
        </w:rPr>
        <w:t xml:space="preserve"> 202</w:t>
      </w:r>
      <w:r w:rsidR="00B26C4A" w:rsidRPr="00720652">
        <w:rPr>
          <w:rFonts w:asciiTheme="majorHAnsi" w:eastAsia="Times New Roman" w:hAnsiTheme="majorHAnsi" w:cstheme="majorHAnsi"/>
          <w:bCs/>
          <w:sz w:val="24"/>
          <w:szCs w:val="24"/>
          <w:lang w:val="ro-RO"/>
        </w:rPr>
        <w:t>3</w:t>
      </w:r>
    </w:p>
    <w:p w14:paraId="13DDDE75" w14:textId="77777777" w:rsidR="0086403C" w:rsidRPr="00720652" w:rsidRDefault="0086403C" w:rsidP="009E6346">
      <w:pPr>
        <w:spacing w:after="0" w:line="276" w:lineRule="auto"/>
        <w:jc w:val="center"/>
        <w:rPr>
          <w:rFonts w:asciiTheme="majorHAnsi" w:eastAsia="Times New Roman" w:hAnsiTheme="majorHAnsi" w:cstheme="majorHAnsi"/>
          <w:bCs/>
          <w:sz w:val="24"/>
          <w:szCs w:val="24"/>
          <w:lang w:val="ro-RO"/>
        </w:rPr>
      </w:pPr>
    </w:p>
    <w:p w14:paraId="41ABDC5C" w14:textId="77777777" w:rsidR="0086403C" w:rsidRPr="00720652" w:rsidRDefault="0086403C" w:rsidP="009E6346">
      <w:pPr>
        <w:spacing w:after="0" w:line="276" w:lineRule="auto"/>
        <w:jc w:val="center"/>
        <w:rPr>
          <w:rFonts w:asciiTheme="majorHAnsi" w:eastAsia="Times New Roman" w:hAnsiTheme="majorHAnsi" w:cstheme="majorHAnsi"/>
          <w:b/>
          <w:bCs/>
          <w:i/>
          <w:iCs/>
          <w:sz w:val="24"/>
          <w:szCs w:val="24"/>
          <w:lang w:val="ro-RO" w:eastAsia="ru-RU"/>
        </w:rPr>
      </w:pPr>
      <w:r w:rsidRPr="00720652">
        <w:rPr>
          <w:rFonts w:asciiTheme="majorHAnsi" w:eastAsia="Times New Roman" w:hAnsiTheme="majorHAnsi" w:cstheme="majorHAnsi"/>
          <w:b/>
          <w:bCs/>
          <w:sz w:val="24"/>
          <w:szCs w:val="24"/>
          <w:lang w:val="ro-RO" w:eastAsia="ru-RU"/>
        </w:rPr>
        <w:t xml:space="preserve">cu privire la </w:t>
      </w:r>
      <w:r w:rsidR="00D53307" w:rsidRPr="00720652">
        <w:rPr>
          <w:rFonts w:asciiTheme="majorHAnsi" w:eastAsia="Times New Roman" w:hAnsiTheme="majorHAnsi" w:cstheme="majorHAnsi"/>
          <w:b/>
          <w:bCs/>
          <w:sz w:val="24"/>
          <w:szCs w:val="24"/>
          <w:lang w:val="ro-RO" w:eastAsia="ru-RU"/>
        </w:rPr>
        <w:t xml:space="preserve">Raportul </w:t>
      </w:r>
      <w:r w:rsidR="00446010" w:rsidRPr="00720652">
        <w:rPr>
          <w:rFonts w:asciiTheme="majorHAnsi" w:eastAsia="Times New Roman" w:hAnsiTheme="majorHAnsi" w:cstheme="majorHAnsi"/>
          <w:b/>
          <w:bCs/>
          <w:sz w:val="24"/>
          <w:szCs w:val="24"/>
          <w:lang w:val="ro-RO" w:eastAsia="ru-RU"/>
        </w:rPr>
        <w:t>auditul</w:t>
      </w:r>
      <w:r w:rsidR="006A7DF6" w:rsidRPr="00720652">
        <w:rPr>
          <w:rFonts w:asciiTheme="majorHAnsi" w:eastAsia="Times New Roman" w:hAnsiTheme="majorHAnsi" w:cstheme="majorHAnsi"/>
          <w:b/>
          <w:bCs/>
          <w:sz w:val="24"/>
          <w:szCs w:val="24"/>
          <w:lang w:val="ro-RO" w:eastAsia="ru-RU"/>
        </w:rPr>
        <w:t>ui</w:t>
      </w:r>
      <w:r w:rsidR="00446010" w:rsidRPr="00720652">
        <w:rPr>
          <w:rFonts w:asciiTheme="majorHAnsi" w:eastAsia="Times New Roman" w:hAnsiTheme="majorHAnsi" w:cstheme="majorHAnsi"/>
          <w:b/>
          <w:bCs/>
          <w:sz w:val="24"/>
          <w:szCs w:val="24"/>
          <w:lang w:val="ro-RO" w:eastAsia="ru-RU"/>
        </w:rPr>
        <w:t xml:space="preserve"> </w:t>
      </w:r>
      <w:r w:rsidR="00D67D3A" w:rsidRPr="00720652">
        <w:rPr>
          <w:rFonts w:asciiTheme="majorHAnsi" w:eastAsia="Times New Roman" w:hAnsiTheme="majorHAnsi" w:cstheme="majorHAnsi"/>
          <w:b/>
          <w:bCs/>
          <w:sz w:val="24"/>
          <w:szCs w:val="24"/>
          <w:lang w:val="ro-RO" w:eastAsia="ru-RU"/>
        </w:rPr>
        <w:t>performanței</w:t>
      </w:r>
      <w:r w:rsidR="00030DF6" w:rsidRPr="00720652">
        <w:rPr>
          <w:rFonts w:asciiTheme="majorHAnsi" w:eastAsia="Times New Roman" w:hAnsiTheme="majorHAnsi" w:cstheme="majorHAnsi"/>
          <w:b/>
          <w:bCs/>
          <w:sz w:val="24"/>
          <w:szCs w:val="24"/>
          <w:lang w:val="ro-RO" w:eastAsia="ru-RU"/>
        </w:rPr>
        <w:t xml:space="preserve"> „Progresele atinse în cadrul implementării Strategiei de alimentare cu apă </w:t>
      </w:r>
      <w:proofErr w:type="spellStart"/>
      <w:r w:rsidR="00030DF6" w:rsidRPr="00720652">
        <w:rPr>
          <w:rFonts w:asciiTheme="majorHAnsi" w:eastAsia="Times New Roman" w:hAnsiTheme="majorHAnsi" w:cstheme="majorHAnsi"/>
          <w:b/>
          <w:bCs/>
          <w:sz w:val="24"/>
          <w:szCs w:val="24"/>
          <w:lang w:val="ro-RO" w:eastAsia="ru-RU"/>
        </w:rPr>
        <w:t>şi</w:t>
      </w:r>
      <w:proofErr w:type="spellEnd"/>
      <w:r w:rsidR="00030DF6" w:rsidRPr="00720652">
        <w:rPr>
          <w:rFonts w:asciiTheme="majorHAnsi" w:eastAsia="Times New Roman" w:hAnsiTheme="majorHAnsi" w:cstheme="majorHAnsi"/>
          <w:b/>
          <w:bCs/>
          <w:sz w:val="24"/>
          <w:szCs w:val="24"/>
          <w:lang w:val="ro-RO" w:eastAsia="ru-RU"/>
        </w:rPr>
        <w:t xml:space="preserve"> </w:t>
      </w:r>
      <w:r w:rsidR="00D67D3A" w:rsidRPr="00720652">
        <w:rPr>
          <w:rFonts w:asciiTheme="majorHAnsi" w:eastAsia="Times New Roman" w:hAnsiTheme="majorHAnsi" w:cstheme="majorHAnsi"/>
          <w:b/>
          <w:bCs/>
          <w:sz w:val="24"/>
          <w:szCs w:val="24"/>
          <w:lang w:val="ro-RO" w:eastAsia="ru-RU"/>
        </w:rPr>
        <w:t>sanitație</w:t>
      </w:r>
      <w:r w:rsidR="00030DF6" w:rsidRPr="00720652">
        <w:rPr>
          <w:rFonts w:asciiTheme="majorHAnsi" w:eastAsia="Times New Roman" w:hAnsiTheme="majorHAnsi" w:cstheme="majorHAnsi"/>
          <w:b/>
          <w:bCs/>
          <w:sz w:val="24"/>
          <w:szCs w:val="24"/>
          <w:lang w:val="ro-RO" w:eastAsia="ru-RU"/>
        </w:rPr>
        <w:t xml:space="preserve"> (2014-2030)”</w:t>
      </w:r>
    </w:p>
    <w:p w14:paraId="7931958D" w14:textId="77777777" w:rsidR="0086403C" w:rsidRPr="00720652" w:rsidRDefault="0086403C" w:rsidP="009E6346">
      <w:pPr>
        <w:spacing w:after="0" w:line="276" w:lineRule="auto"/>
        <w:jc w:val="center"/>
        <w:rPr>
          <w:rFonts w:asciiTheme="majorHAnsi" w:eastAsia="Times New Roman" w:hAnsiTheme="majorHAnsi" w:cstheme="majorHAnsi"/>
          <w:b/>
          <w:bCs/>
          <w:sz w:val="24"/>
          <w:szCs w:val="24"/>
          <w:lang w:val="ro-RO" w:eastAsia="ru-RU"/>
        </w:rPr>
      </w:pPr>
    </w:p>
    <w:p w14:paraId="7E434425" w14:textId="77777777" w:rsidR="00E2420B" w:rsidRPr="00720652" w:rsidRDefault="00E2420B" w:rsidP="009E6346">
      <w:pPr>
        <w:spacing w:after="0" w:line="276" w:lineRule="auto"/>
        <w:ind w:firstLine="567"/>
        <w:jc w:val="both"/>
        <w:rPr>
          <w:rFonts w:asciiTheme="majorHAnsi" w:eastAsia="Calibri" w:hAnsiTheme="majorHAnsi" w:cstheme="majorHAnsi"/>
          <w:bCs/>
          <w:noProof/>
          <w:sz w:val="24"/>
          <w:szCs w:val="24"/>
          <w:lang w:val="ro-RO"/>
        </w:rPr>
      </w:pPr>
      <w:r w:rsidRPr="00720652">
        <w:rPr>
          <w:rFonts w:asciiTheme="majorHAnsi" w:eastAsia="Calibri" w:hAnsiTheme="majorHAnsi" w:cstheme="majorHAnsi"/>
          <w:noProof/>
          <w:sz w:val="24"/>
          <w:szCs w:val="24"/>
          <w:lang w:val="ro-RO"/>
        </w:rPr>
        <w:t xml:space="preserve">Curtea de Conturi, </w:t>
      </w:r>
      <w:r w:rsidR="001A6147" w:rsidRPr="00720652">
        <w:rPr>
          <w:rFonts w:asciiTheme="majorHAnsi" w:eastAsia="Calibri" w:hAnsiTheme="majorHAnsi" w:cstheme="majorHAnsi"/>
          <w:noProof/>
          <w:sz w:val="24"/>
          <w:szCs w:val="24"/>
          <w:lang w:val="ro-RO"/>
        </w:rPr>
        <w:t>cu participarea</w:t>
      </w:r>
      <w:r w:rsidRPr="00720652">
        <w:rPr>
          <w:rFonts w:asciiTheme="majorHAnsi" w:eastAsia="Calibri" w:hAnsiTheme="majorHAnsi" w:cstheme="majorHAnsi"/>
          <w:noProof/>
          <w:sz w:val="24"/>
          <w:szCs w:val="24"/>
          <w:lang w:val="ro-RO"/>
        </w:rPr>
        <w:t xml:space="preserve"> </w:t>
      </w:r>
      <w:r w:rsidR="00A50EA4" w:rsidRPr="00720652">
        <w:rPr>
          <w:rFonts w:asciiTheme="majorHAnsi" w:eastAsia="Calibri" w:hAnsiTheme="majorHAnsi" w:cstheme="majorHAnsi"/>
          <w:noProof/>
          <w:sz w:val="24"/>
          <w:szCs w:val="24"/>
          <w:lang w:val="ro-RO"/>
        </w:rPr>
        <w:t>dnei Iordanca-Rodica</w:t>
      </w:r>
      <w:r w:rsidR="00230FEB" w:rsidRPr="00720652">
        <w:rPr>
          <w:rFonts w:asciiTheme="majorHAnsi" w:eastAsia="Calibri" w:hAnsiTheme="majorHAnsi" w:cstheme="majorHAnsi"/>
          <w:noProof/>
          <w:sz w:val="24"/>
          <w:szCs w:val="24"/>
          <w:lang w:val="ro-RO"/>
        </w:rPr>
        <w:t xml:space="preserve"> Iordanov</w:t>
      </w:r>
      <w:r w:rsidR="00470BCA"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Ministra Mediului</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dnei </w:t>
      </w:r>
      <w:r w:rsidR="006D2952" w:rsidRPr="00720652">
        <w:rPr>
          <w:rFonts w:asciiTheme="majorHAnsi" w:eastAsia="Calibri" w:hAnsiTheme="majorHAnsi" w:cstheme="majorHAnsi"/>
          <w:noProof/>
          <w:sz w:val="24"/>
          <w:szCs w:val="24"/>
          <w:lang w:val="ro-RO"/>
        </w:rPr>
        <w:t>Natalia Eremia</w:t>
      </w:r>
      <w:r w:rsidR="00A50EA4" w:rsidRPr="00720652">
        <w:rPr>
          <w:rFonts w:asciiTheme="majorHAnsi" w:eastAsia="Calibri" w:hAnsiTheme="majorHAnsi" w:cstheme="majorHAnsi"/>
          <w:noProof/>
          <w:sz w:val="24"/>
          <w:szCs w:val="24"/>
          <w:lang w:val="ro-RO"/>
        </w:rPr>
        <w:t xml:space="preserve">, </w:t>
      </w:r>
      <w:r w:rsidR="006D2952" w:rsidRPr="00720652">
        <w:rPr>
          <w:rFonts w:asciiTheme="majorHAnsi" w:eastAsia="Calibri" w:hAnsiTheme="majorHAnsi" w:cstheme="majorHAnsi"/>
          <w:noProof/>
          <w:sz w:val="24"/>
          <w:szCs w:val="24"/>
          <w:lang w:val="ro-RO"/>
        </w:rPr>
        <w:t>Secretar</w:t>
      </w:r>
      <w:r w:rsidR="008153A9" w:rsidRPr="00720652">
        <w:rPr>
          <w:rFonts w:asciiTheme="majorHAnsi" w:eastAsia="Calibri" w:hAnsiTheme="majorHAnsi" w:cstheme="majorHAnsi"/>
          <w:noProof/>
          <w:sz w:val="24"/>
          <w:szCs w:val="24"/>
          <w:lang w:val="ro-RO"/>
        </w:rPr>
        <w:t>ă</w:t>
      </w:r>
      <w:r w:rsidR="006D2952" w:rsidRPr="00720652">
        <w:rPr>
          <w:rFonts w:asciiTheme="majorHAnsi" w:eastAsia="Calibri" w:hAnsiTheme="majorHAnsi" w:cstheme="majorHAnsi"/>
          <w:noProof/>
          <w:sz w:val="24"/>
          <w:szCs w:val="24"/>
          <w:lang w:val="ro-RO"/>
        </w:rPr>
        <w:t xml:space="preserve"> de Stat a </w:t>
      </w:r>
      <w:r w:rsidR="00A50EA4" w:rsidRPr="00720652">
        <w:rPr>
          <w:rFonts w:asciiTheme="majorHAnsi" w:eastAsia="Calibri" w:hAnsiTheme="majorHAnsi" w:cstheme="majorHAnsi"/>
          <w:noProof/>
          <w:sz w:val="24"/>
          <w:szCs w:val="24"/>
          <w:lang w:val="ro-RO"/>
        </w:rPr>
        <w:t>Minist</w:t>
      </w:r>
      <w:r w:rsidR="006D2952" w:rsidRPr="00720652">
        <w:rPr>
          <w:rFonts w:asciiTheme="majorHAnsi" w:eastAsia="Calibri" w:hAnsiTheme="majorHAnsi" w:cstheme="majorHAnsi"/>
          <w:noProof/>
          <w:sz w:val="24"/>
          <w:szCs w:val="24"/>
          <w:lang w:val="ro-RO"/>
        </w:rPr>
        <w:t>erului</w:t>
      </w:r>
      <w:r w:rsidR="00A50EA4" w:rsidRPr="00720652">
        <w:rPr>
          <w:rFonts w:asciiTheme="majorHAnsi" w:eastAsia="Calibri" w:hAnsiTheme="majorHAnsi" w:cstheme="majorHAnsi"/>
          <w:noProof/>
          <w:sz w:val="24"/>
          <w:szCs w:val="24"/>
          <w:lang w:val="ro-RO"/>
        </w:rPr>
        <w:t xml:space="preserve"> Infrastructurii și Dezvoltării Regionale</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w:t>
      </w:r>
      <w:r w:rsidR="00C740F4" w:rsidRPr="00720652">
        <w:rPr>
          <w:rFonts w:asciiTheme="majorHAnsi" w:eastAsia="Calibri" w:hAnsiTheme="majorHAnsi" w:cstheme="majorHAnsi"/>
          <w:noProof/>
          <w:sz w:val="24"/>
          <w:szCs w:val="24"/>
          <w:lang w:val="ro-RO"/>
        </w:rPr>
        <w:t xml:space="preserve">dlui </w:t>
      </w:r>
      <w:r w:rsidR="006D2952" w:rsidRPr="00720652">
        <w:rPr>
          <w:rFonts w:asciiTheme="majorHAnsi" w:eastAsia="Calibri" w:hAnsiTheme="majorHAnsi" w:cstheme="majorHAnsi"/>
          <w:noProof/>
          <w:sz w:val="24"/>
          <w:szCs w:val="24"/>
          <w:lang w:val="ro-RO"/>
        </w:rPr>
        <w:t>Sergiu Gherciu, Secretar general al Ministerului Agriculturii și Industriei Alimentare</w:t>
      </w:r>
      <w:r w:rsidR="008153A9" w:rsidRPr="00720652">
        <w:rPr>
          <w:rFonts w:asciiTheme="majorHAnsi" w:eastAsia="Calibri" w:hAnsiTheme="majorHAnsi" w:cstheme="majorHAnsi"/>
          <w:noProof/>
          <w:sz w:val="24"/>
          <w:szCs w:val="24"/>
          <w:lang w:val="ro-RO"/>
        </w:rPr>
        <w:t>;</w:t>
      </w:r>
      <w:r w:rsidR="00C740F4" w:rsidRPr="00720652">
        <w:rPr>
          <w:rFonts w:asciiTheme="majorHAnsi" w:eastAsia="Calibri" w:hAnsiTheme="majorHAnsi" w:cstheme="majorHAnsi"/>
          <w:noProof/>
          <w:sz w:val="24"/>
          <w:szCs w:val="24"/>
          <w:lang w:val="ro-RO"/>
        </w:rPr>
        <w:t xml:space="preserve"> dnei</w:t>
      </w:r>
      <w:r w:rsidR="006D2952" w:rsidRPr="00720652">
        <w:rPr>
          <w:rFonts w:asciiTheme="majorHAnsi" w:eastAsia="Calibri" w:hAnsiTheme="majorHAnsi" w:cstheme="majorHAnsi"/>
          <w:noProof/>
          <w:sz w:val="24"/>
          <w:szCs w:val="24"/>
          <w:lang w:val="ro-RO"/>
        </w:rPr>
        <w:t xml:space="preserve"> </w:t>
      </w:r>
      <w:r w:rsidR="00C740F4" w:rsidRPr="00720652">
        <w:rPr>
          <w:rFonts w:asciiTheme="majorHAnsi" w:eastAsia="Calibri" w:hAnsiTheme="majorHAnsi" w:cstheme="majorHAnsi"/>
          <w:noProof/>
          <w:sz w:val="24"/>
          <w:szCs w:val="24"/>
          <w:lang w:val="ro-RO"/>
        </w:rPr>
        <w:t xml:space="preserve">Aurelia Spataru, </w:t>
      </w:r>
      <w:r w:rsidR="008153A9" w:rsidRPr="00720652">
        <w:rPr>
          <w:rFonts w:asciiTheme="majorHAnsi" w:eastAsia="Calibri" w:hAnsiTheme="majorHAnsi" w:cstheme="majorHAnsi"/>
          <w:noProof/>
          <w:sz w:val="24"/>
          <w:szCs w:val="24"/>
          <w:lang w:val="ro-RO"/>
        </w:rPr>
        <w:t>d</w:t>
      </w:r>
      <w:r w:rsidR="00C740F4" w:rsidRPr="00720652">
        <w:rPr>
          <w:rFonts w:asciiTheme="majorHAnsi" w:eastAsia="Calibri" w:hAnsiTheme="majorHAnsi" w:cstheme="majorHAnsi"/>
          <w:noProof/>
          <w:sz w:val="24"/>
          <w:szCs w:val="24"/>
          <w:lang w:val="ro-RO"/>
        </w:rPr>
        <w:t>irectoare generală adjunctă a Bi</w:t>
      </w:r>
      <w:r w:rsidR="008153A9" w:rsidRPr="00720652">
        <w:rPr>
          <w:rFonts w:asciiTheme="majorHAnsi" w:eastAsia="Calibri" w:hAnsiTheme="majorHAnsi" w:cstheme="majorHAnsi"/>
          <w:noProof/>
          <w:sz w:val="24"/>
          <w:szCs w:val="24"/>
          <w:lang w:val="ro-RO"/>
        </w:rPr>
        <w:t>r</w:t>
      </w:r>
      <w:r w:rsidR="00C740F4" w:rsidRPr="00720652">
        <w:rPr>
          <w:rFonts w:asciiTheme="majorHAnsi" w:eastAsia="Calibri" w:hAnsiTheme="majorHAnsi" w:cstheme="majorHAnsi"/>
          <w:noProof/>
          <w:sz w:val="24"/>
          <w:szCs w:val="24"/>
          <w:lang w:val="ro-RO"/>
        </w:rPr>
        <w:t>oului Național de Statistică</w:t>
      </w:r>
      <w:r w:rsidR="008153A9" w:rsidRPr="00720652">
        <w:rPr>
          <w:rFonts w:asciiTheme="majorHAnsi" w:eastAsia="Calibri" w:hAnsiTheme="majorHAnsi" w:cstheme="majorHAnsi"/>
          <w:noProof/>
          <w:sz w:val="24"/>
          <w:szCs w:val="24"/>
          <w:lang w:val="ro-RO"/>
        </w:rPr>
        <w:t>;</w:t>
      </w:r>
      <w:r w:rsidR="00C740F4" w:rsidRPr="00720652">
        <w:rPr>
          <w:rFonts w:asciiTheme="majorHAnsi" w:eastAsia="Calibri" w:hAnsiTheme="majorHAnsi" w:cstheme="majorHAnsi"/>
          <w:noProof/>
          <w:sz w:val="24"/>
          <w:szCs w:val="24"/>
          <w:lang w:val="ro-RO"/>
        </w:rPr>
        <w:t xml:space="preserve"> </w:t>
      </w:r>
      <w:r w:rsidR="00A50EA4" w:rsidRPr="00720652">
        <w:rPr>
          <w:rFonts w:asciiTheme="majorHAnsi" w:eastAsia="Calibri" w:hAnsiTheme="majorHAnsi" w:cstheme="majorHAnsi"/>
          <w:noProof/>
          <w:sz w:val="24"/>
          <w:szCs w:val="24"/>
          <w:lang w:val="ro-RO"/>
        </w:rPr>
        <w:t>dl</w:t>
      </w:r>
      <w:r w:rsidR="00230FEB" w:rsidRPr="00720652">
        <w:rPr>
          <w:rFonts w:asciiTheme="majorHAnsi" w:eastAsia="Calibri" w:hAnsiTheme="majorHAnsi" w:cstheme="majorHAnsi"/>
          <w:noProof/>
          <w:sz w:val="24"/>
          <w:szCs w:val="24"/>
          <w:lang w:val="ro-RO"/>
        </w:rPr>
        <w:t>ui</w:t>
      </w:r>
      <w:r w:rsidR="00A50EA4" w:rsidRPr="00720652">
        <w:rPr>
          <w:rFonts w:asciiTheme="majorHAnsi" w:eastAsia="Calibri" w:hAnsiTheme="majorHAnsi" w:cstheme="majorHAnsi"/>
          <w:noProof/>
          <w:sz w:val="24"/>
          <w:szCs w:val="24"/>
          <w:lang w:val="ro-RO"/>
        </w:rPr>
        <w:t xml:space="preserve"> Andrei Antonevici</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directorul Agenţiei „Apele Moldovei”</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dn</w:t>
      </w:r>
      <w:r w:rsidR="00230FEB" w:rsidRPr="00720652">
        <w:rPr>
          <w:rFonts w:asciiTheme="majorHAnsi" w:eastAsia="Calibri" w:hAnsiTheme="majorHAnsi" w:cstheme="majorHAnsi"/>
          <w:noProof/>
          <w:sz w:val="24"/>
          <w:szCs w:val="24"/>
          <w:lang w:val="ro-RO"/>
        </w:rPr>
        <w:t>ei</w:t>
      </w:r>
      <w:r w:rsidR="00A50EA4" w:rsidRPr="00720652">
        <w:rPr>
          <w:rFonts w:asciiTheme="majorHAnsi" w:eastAsia="Calibri" w:hAnsiTheme="majorHAnsi" w:cstheme="majorHAnsi"/>
          <w:noProof/>
          <w:sz w:val="24"/>
          <w:szCs w:val="24"/>
          <w:lang w:val="ro-RO"/>
        </w:rPr>
        <w:t xml:space="preserve"> Maria</w:t>
      </w:r>
      <w:r w:rsidR="00230FEB" w:rsidRPr="00720652">
        <w:rPr>
          <w:rFonts w:asciiTheme="majorHAnsi" w:eastAsia="Calibri" w:hAnsiTheme="majorHAnsi" w:cstheme="majorHAnsi"/>
          <w:noProof/>
          <w:sz w:val="24"/>
          <w:szCs w:val="24"/>
          <w:lang w:val="ro-RO"/>
        </w:rPr>
        <w:t xml:space="preserve"> Prisacari</w:t>
      </w:r>
      <w:r w:rsidR="00A50EA4" w:rsidRPr="00720652">
        <w:rPr>
          <w:rFonts w:asciiTheme="majorHAnsi" w:eastAsia="Calibri" w:hAnsiTheme="majorHAnsi" w:cstheme="majorHAnsi"/>
          <w:noProof/>
          <w:sz w:val="24"/>
          <w:szCs w:val="24"/>
          <w:lang w:val="ro-RO"/>
        </w:rPr>
        <w:t>, directoarea Agenției de Dezvoltare Nord</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dl</w:t>
      </w:r>
      <w:r w:rsidR="00230FEB" w:rsidRPr="00720652">
        <w:rPr>
          <w:rFonts w:asciiTheme="majorHAnsi" w:eastAsia="Calibri" w:hAnsiTheme="majorHAnsi" w:cstheme="majorHAnsi"/>
          <w:noProof/>
          <w:sz w:val="24"/>
          <w:szCs w:val="24"/>
          <w:lang w:val="ro-RO"/>
        </w:rPr>
        <w:t>ui Pavel</w:t>
      </w:r>
      <w:r w:rsidR="00A50EA4" w:rsidRPr="00720652">
        <w:rPr>
          <w:rFonts w:asciiTheme="majorHAnsi" w:eastAsia="Calibri" w:hAnsiTheme="majorHAnsi" w:cstheme="majorHAnsi"/>
          <w:noProof/>
          <w:sz w:val="24"/>
          <w:szCs w:val="24"/>
          <w:lang w:val="ro-RO"/>
        </w:rPr>
        <w:t xml:space="preserve"> Trofin, directorul Agenției de Dezvoltare Centru</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w:t>
      </w:r>
      <w:r w:rsidR="00230FEB" w:rsidRPr="00720652">
        <w:rPr>
          <w:rFonts w:asciiTheme="majorHAnsi" w:eastAsia="Calibri" w:hAnsiTheme="majorHAnsi" w:cstheme="majorHAnsi"/>
          <w:noProof/>
          <w:sz w:val="24"/>
          <w:szCs w:val="24"/>
          <w:lang w:val="ro-RO"/>
        </w:rPr>
        <w:t>d</w:t>
      </w:r>
      <w:r w:rsidR="00C53427" w:rsidRPr="00720652">
        <w:rPr>
          <w:rFonts w:asciiTheme="majorHAnsi" w:eastAsia="Calibri" w:hAnsiTheme="majorHAnsi" w:cstheme="majorHAnsi"/>
          <w:noProof/>
          <w:sz w:val="24"/>
          <w:szCs w:val="24"/>
          <w:lang w:val="ro-RO"/>
        </w:rPr>
        <w:t>nei</w:t>
      </w:r>
      <w:r w:rsidR="00230FEB" w:rsidRPr="00720652">
        <w:rPr>
          <w:rFonts w:asciiTheme="majorHAnsi" w:eastAsia="Calibri" w:hAnsiTheme="majorHAnsi" w:cstheme="majorHAnsi"/>
          <w:noProof/>
          <w:sz w:val="24"/>
          <w:szCs w:val="24"/>
          <w:lang w:val="ro-RO"/>
        </w:rPr>
        <w:t xml:space="preserve"> </w:t>
      </w:r>
      <w:r w:rsidR="00C53427" w:rsidRPr="00720652">
        <w:rPr>
          <w:rFonts w:asciiTheme="majorHAnsi" w:eastAsia="Calibri" w:hAnsiTheme="majorHAnsi" w:cstheme="majorHAnsi"/>
          <w:noProof/>
          <w:sz w:val="24"/>
          <w:szCs w:val="24"/>
          <w:lang w:val="ro-RO"/>
        </w:rPr>
        <w:t>Olga Zlati,</w:t>
      </w:r>
      <w:r w:rsidR="00A50EA4" w:rsidRPr="00720652">
        <w:rPr>
          <w:rFonts w:asciiTheme="majorHAnsi" w:eastAsia="Calibri" w:hAnsiTheme="majorHAnsi" w:cstheme="majorHAnsi"/>
          <w:noProof/>
          <w:sz w:val="24"/>
          <w:szCs w:val="24"/>
          <w:lang w:val="ro-RO"/>
        </w:rPr>
        <w:t xml:space="preserve"> directo</w:t>
      </w:r>
      <w:r w:rsidR="00C53427" w:rsidRPr="00720652">
        <w:rPr>
          <w:rFonts w:asciiTheme="majorHAnsi" w:eastAsia="Calibri" w:hAnsiTheme="majorHAnsi" w:cstheme="majorHAnsi"/>
          <w:noProof/>
          <w:sz w:val="24"/>
          <w:szCs w:val="24"/>
          <w:lang w:val="ro-RO"/>
        </w:rPr>
        <w:t xml:space="preserve">are interimară a </w:t>
      </w:r>
      <w:r w:rsidR="00A50EA4" w:rsidRPr="00720652">
        <w:rPr>
          <w:rFonts w:asciiTheme="majorHAnsi" w:eastAsia="Calibri" w:hAnsiTheme="majorHAnsi" w:cstheme="majorHAnsi"/>
          <w:noProof/>
          <w:sz w:val="24"/>
          <w:szCs w:val="24"/>
          <w:lang w:val="ro-RO"/>
        </w:rPr>
        <w:t>Agenției de Dezvoltare Sud</w:t>
      </w:r>
      <w:r w:rsidR="00230FEB" w:rsidRPr="00720652">
        <w:rPr>
          <w:rFonts w:asciiTheme="majorHAnsi" w:eastAsia="Calibri" w:hAnsiTheme="majorHAnsi" w:cstheme="majorHAnsi"/>
          <w:noProof/>
          <w:sz w:val="24"/>
          <w:szCs w:val="24"/>
          <w:lang w:val="ro-RO"/>
        </w:rPr>
        <w:t>;</w:t>
      </w:r>
      <w:r w:rsidR="00A50EA4" w:rsidRPr="00720652">
        <w:rPr>
          <w:rFonts w:asciiTheme="majorHAnsi" w:eastAsia="Calibri" w:hAnsiTheme="majorHAnsi" w:cstheme="majorHAnsi"/>
          <w:noProof/>
          <w:sz w:val="24"/>
          <w:szCs w:val="24"/>
          <w:lang w:val="ro-RO"/>
        </w:rPr>
        <w:t xml:space="preserve"> dl</w:t>
      </w:r>
      <w:r w:rsidR="00230FEB" w:rsidRPr="00720652">
        <w:rPr>
          <w:rFonts w:asciiTheme="majorHAnsi" w:eastAsia="Calibri" w:hAnsiTheme="majorHAnsi" w:cstheme="majorHAnsi"/>
          <w:noProof/>
          <w:sz w:val="24"/>
          <w:szCs w:val="24"/>
          <w:lang w:val="ro-RO"/>
        </w:rPr>
        <w:t>ui</w:t>
      </w:r>
      <w:r w:rsidR="00A50EA4" w:rsidRPr="00720652">
        <w:rPr>
          <w:rFonts w:asciiTheme="majorHAnsi" w:eastAsia="Calibri" w:hAnsiTheme="majorHAnsi" w:cstheme="majorHAnsi"/>
          <w:noProof/>
          <w:sz w:val="24"/>
          <w:szCs w:val="24"/>
          <w:lang w:val="ro-RO"/>
        </w:rPr>
        <w:t xml:space="preserve"> Alexandru Mija, șef</w:t>
      </w:r>
      <w:r w:rsidR="00230FEB" w:rsidRPr="00720652">
        <w:rPr>
          <w:rFonts w:asciiTheme="majorHAnsi" w:eastAsia="Calibri" w:hAnsiTheme="majorHAnsi" w:cstheme="majorHAnsi"/>
          <w:noProof/>
          <w:sz w:val="24"/>
          <w:szCs w:val="24"/>
          <w:lang w:val="ro-RO"/>
        </w:rPr>
        <w:t>ul</w:t>
      </w:r>
      <w:r w:rsidR="00A50EA4" w:rsidRPr="00720652">
        <w:rPr>
          <w:rFonts w:asciiTheme="majorHAnsi" w:eastAsia="Calibri" w:hAnsiTheme="majorHAnsi" w:cstheme="majorHAnsi"/>
          <w:noProof/>
          <w:sz w:val="24"/>
          <w:szCs w:val="24"/>
          <w:lang w:val="ro-RO"/>
        </w:rPr>
        <w:t xml:space="preserve"> Departament</w:t>
      </w:r>
      <w:r w:rsidR="00230FEB" w:rsidRPr="00720652">
        <w:rPr>
          <w:rFonts w:asciiTheme="majorHAnsi" w:eastAsia="Calibri" w:hAnsiTheme="majorHAnsi" w:cstheme="majorHAnsi"/>
          <w:noProof/>
          <w:sz w:val="24"/>
          <w:szCs w:val="24"/>
          <w:lang w:val="ro-RO"/>
        </w:rPr>
        <w:t>ului</w:t>
      </w:r>
      <w:r w:rsidR="00A50EA4" w:rsidRPr="00720652">
        <w:rPr>
          <w:rFonts w:asciiTheme="majorHAnsi" w:eastAsia="Calibri" w:hAnsiTheme="majorHAnsi" w:cstheme="majorHAnsi"/>
          <w:noProof/>
          <w:sz w:val="24"/>
          <w:szCs w:val="24"/>
          <w:lang w:val="ro-RO"/>
        </w:rPr>
        <w:t xml:space="preserve"> aprovizionare cu apă și canalizare din cadrul Agenției Naționale pentru Reglementare în Energetică</w:t>
      </w:r>
      <w:r w:rsidR="007C3A87" w:rsidRPr="00720652">
        <w:rPr>
          <w:rFonts w:asciiTheme="majorHAnsi" w:hAnsiTheme="majorHAnsi" w:cstheme="majorHAnsi"/>
          <w:sz w:val="24"/>
          <w:szCs w:val="24"/>
          <w:lang w:val="ro-RO"/>
        </w:rPr>
        <w:t>, precum și a altor persoane cu funcții de răspundere, inclusiv din cadrul întreprinderilor operatoare ale serviciilor de alimentare cu apă și sanitație</w:t>
      </w:r>
      <w:r w:rsidR="00A84DC4" w:rsidRPr="00720652">
        <w:rPr>
          <w:rFonts w:asciiTheme="majorHAnsi" w:hAnsiTheme="majorHAnsi" w:cstheme="majorHAnsi"/>
          <w:sz w:val="24"/>
          <w:szCs w:val="24"/>
          <w:lang w:val="ro-RO"/>
        </w:rPr>
        <w:t xml:space="preserve">, </w:t>
      </w:r>
      <w:r w:rsidR="00A50EA4" w:rsidRPr="00720652">
        <w:rPr>
          <w:rFonts w:asciiTheme="majorHAnsi" w:eastAsia="Calibri" w:hAnsiTheme="majorHAnsi" w:cstheme="majorHAnsi"/>
          <w:noProof/>
          <w:sz w:val="24"/>
          <w:szCs w:val="24"/>
          <w:lang w:val="ro-RO"/>
        </w:rPr>
        <w:t xml:space="preserve">în cadrul ședinței video, </w:t>
      </w:r>
      <w:r w:rsidR="00A50EA4" w:rsidRPr="00720652">
        <w:rPr>
          <w:rFonts w:asciiTheme="majorHAnsi" w:eastAsia="Calibri" w:hAnsiTheme="majorHAnsi" w:cstheme="majorHAnsi"/>
          <w:bCs/>
          <w:noProof/>
          <w:sz w:val="24"/>
          <w:szCs w:val="24"/>
          <w:lang w:val="ro-RO"/>
        </w:rPr>
        <w:t xml:space="preserve">călăuzindu-se de </w:t>
      </w:r>
      <w:r w:rsidR="00A50EA4" w:rsidRPr="00720652">
        <w:rPr>
          <w:rFonts w:asciiTheme="majorHAnsi" w:eastAsia="Calibri" w:hAnsiTheme="majorHAnsi" w:cstheme="majorHAnsi"/>
          <w:noProof/>
          <w:sz w:val="24"/>
          <w:szCs w:val="24"/>
          <w:lang w:val="ro-RO"/>
        </w:rPr>
        <w:t>art.3 alin.(1) și art.5 alin.(1) lit. a) din Legea privind organizarea și funcționarea Curții de Conturi a Republicii Moldova</w:t>
      </w:r>
      <w:r w:rsidR="00A50EA4" w:rsidRPr="00720652">
        <w:rPr>
          <w:rFonts w:asciiTheme="majorHAnsi" w:eastAsia="Calibri" w:hAnsiTheme="majorHAnsi" w:cstheme="majorHAnsi"/>
          <w:noProof/>
          <w:sz w:val="24"/>
          <w:szCs w:val="24"/>
          <w:vertAlign w:val="superscript"/>
          <w:lang w:val="ro-RO"/>
        </w:rPr>
        <w:footnoteReference w:id="1"/>
      </w:r>
      <w:r w:rsidR="00A50EA4" w:rsidRPr="00720652">
        <w:rPr>
          <w:rFonts w:asciiTheme="majorHAnsi" w:eastAsia="Calibri" w:hAnsiTheme="majorHAnsi" w:cstheme="majorHAnsi"/>
          <w:noProof/>
          <w:sz w:val="24"/>
          <w:szCs w:val="24"/>
          <w:lang w:val="ro-RO"/>
        </w:rPr>
        <w:t xml:space="preserve">, a examinat Raportul auditului </w:t>
      </w:r>
      <w:r w:rsidR="00A50EA4" w:rsidRPr="00720652">
        <w:rPr>
          <w:rFonts w:asciiTheme="majorHAnsi" w:eastAsia="Calibri" w:hAnsiTheme="majorHAnsi" w:cstheme="majorHAnsi"/>
          <w:bCs/>
          <w:noProof/>
          <w:sz w:val="24"/>
          <w:szCs w:val="24"/>
          <w:lang w:val="ro-RO"/>
        </w:rPr>
        <w:t>performanței „Progresele atinse în cadrul implementării Strategiei de alimentare cu apă şi sanitaţie (2014-2030)”</w:t>
      </w:r>
      <w:r w:rsidR="00A50EA4" w:rsidRPr="00720652">
        <w:rPr>
          <w:rFonts w:asciiTheme="majorHAnsi" w:eastAsia="Calibri" w:hAnsiTheme="majorHAnsi" w:cstheme="majorHAnsi"/>
          <w:noProof/>
          <w:sz w:val="24"/>
          <w:szCs w:val="24"/>
          <w:lang w:val="ro-RO"/>
        </w:rPr>
        <w:t>.</w:t>
      </w:r>
      <w:r w:rsidRPr="00720652">
        <w:rPr>
          <w:rFonts w:asciiTheme="majorHAnsi" w:eastAsia="Calibri" w:hAnsiTheme="majorHAnsi" w:cstheme="majorHAnsi"/>
          <w:bCs/>
          <w:noProof/>
          <w:sz w:val="24"/>
          <w:szCs w:val="24"/>
          <w:lang w:val="ro-RO"/>
        </w:rPr>
        <w:t xml:space="preserve"> </w:t>
      </w:r>
    </w:p>
    <w:p w14:paraId="759A3E71" w14:textId="5DFA821E" w:rsidR="00E2420B" w:rsidRPr="00720652" w:rsidRDefault="00E2420B" w:rsidP="009E6346">
      <w:pPr>
        <w:spacing w:after="0" w:line="276" w:lineRule="auto"/>
        <w:ind w:firstLine="567"/>
        <w:jc w:val="both"/>
        <w:rPr>
          <w:rFonts w:asciiTheme="majorHAnsi" w:eastAsia="Calibri" w:hAnsiTheme="majorHAnsi" w:cstheme="majorHAnsi"/>
          <w:noProof/>
          <w:sz w:val="24"/>
          <w:szCs w:val="24"/>
          <w:lang w:val="ro-RO"/>
        </w:rPr>
      </w:pPr>
      <w:r w:rsidRPr="00720652">
        <w:rPr>
          <w:rFonts w:asciiTheme="majorHAnsi" w:eastAsia="Calibri" w:hAnsiTheme="majorHAnsi" w:cstheme="majorHAnsi"/>
          <w:noProof/>
          <w:sz w:val="24"/>
          <w:szCs w:val="24"/>
          <w:lang w:val="ro-RO"/>
        </w:rPr>
        <w:t>Misiunea de audit a fost efectuată în temeiul art.31 alin.(</w:t>
      </w:r>
      <w:r w:rsidR="00A22182" w:rsidRPr="00720652">
        <w:rPr>
          <w:rFonts w:asciiTheme="majorHAnsi" w:eastAsia="Calibri" w:hAnsiTheme="majorHAnsi" w:cstheme="majorHAnsi"/>
          <w:noProof/>
          <w:sz w:val="24"/>
          <w:szCs w:val="24"/>
          <w:lang w:val="ro-RO"/>
        </w:rPr>
        <w:t>4</w:t>
      </w:r>
      <w:r w:rsidRPr="00720652">
        <w:rPr>
          <w:rFonts w:asciiTheme="majorHAnsi" w:eastAsia="Calibri" w:hAnsiTheme="majorHAnsi" w:cstheme="majorHAnsi"/>
          <w:noProof/>
          <w:sz w:val="24"/>
          <w:szCs w:val="24"/>
          <w:lang w:val="ro-RO"/>
        </w:rPr>
        <w:t xml:space="preserve">), art.32 din Legea nr.260 din 07.12.2017 și în conformitate cu </w:t>
      </w:r>
      <w:r w:rsidR="00923219" w:rsidRPr="00720652">
        <w:rPr>
          <w:rFonts w:asciiTheme="majorHAnsi" w:hAnsiTheme="majorHAnsi" w:cstheme="majorHAnsi"/>
          <w:sz w:val="24"/>
          <w:szCs w:val="24"/>
          <w:lang w:val="ro-RO"/>
        </w:rPr>
        <w:t xml:space="preserve">Programele activității de audit ale Curții de Conturi pe anii 2022 </w:t>
      </w:r>
      <w:proofErr w:type="spellStart"/>
      <w:r w:rsidR="00923219" w:rsidRPr="00720652">
        <w:rPr>
          <w:rFonts w:asciiTheme="majorHAnsi" w:hAnsiTheme="majorHAnsi" w:cstheme="majorHAnsi"/>
          <w:sz w:val="24"/>
          <w:szCs w:val="24"/>
          <w:lang w:val="ro-RO"/>
        </w:rPr>
        <w:t>şi</w:t>
      </w:r>
      <w:proofErr w:type="spellEnd"/>
      <w:r w:rsidR="00923219" w:rsidRPr="00720652">
        <w:rPr>
          <w:rFonts w:asciiTheme="majorHAnsi" w:hAnsiTheme="majorHAnsi" w:cstheme="majorHAnsi"/>
          <w:sz w:val="24"/>
          <w:szCs w:val="24"/>
          <w:lang w:val="ro-RO"/>
        </w:rPr>
        <w:t xml:space="preserve"> 2023</w:t>
      </w:r>
      <w:r w:rsidR="00923219" w:rsidRPr="00720652">
        <w:rPr>
          <w:rStyle w:val="a7"/>
          <w:rFonts w:asciiTheme="majorHAnsi" w:hAnsiTheme="majorHAnsi" w:cstheme="majorHAnsi"/>
          <w:sz w:val="24"/>
          <w:szCs w:val="24"/>
          <w:lang w:val="ro-RO"/>
        </w:rPr>
        <w:footnoteReference w:id="2"/>
      </w:r>
      <w:r w:rsidR="00923219" w:rsidRPr="00720652">
        <w:rPr>
          <w:rFonts w:asciiTheme="majorHAnsi" w:hAnsiTheme="majorHAnsi" w:cstheme="majorHAnsi"/>
          <w:sz w:val="24"/>
          <w:szCs w:val="24"/>
          <w:lang w:val="ro-RO"/>
        </w:rPr>
        <w:t xml:space="preserve">, </w:t>
      </w:r>
      <w:r w:rsidRPr="00720652">
        <w:rPr>
          <w:rFonts w:asciiTheme="majorHAnsi" w:eastAsia="Calibri" w:hAnsiTheme="majorHAnsi" w:cstheme="majorHAnsi"/>
          <w:noProof/>
          <w:sz w:val="24"/>
          <w:szCs w:val="24"/>
          <w:lang w:val="ro-RO"/>
        </w:rPr>
        <w:t xml:space="preserve">având drept scop </w:t>
      </w:r>
      <w:r w:rsidR="00470BCA" w:rsidRPr="00720652">
        <w:rPr>
          <w:rFonts w:asciiTheme="majorHAnsi" w:eastAsia="Calibri" w:hAnsiTheme="majorHAnsi" w:cstheme="majorHAnsi"/>
          <w:noProof/>
          <w:sz w:val="24"/>
          <w:szCs w:val="24"/>
          <w:lang w:val="ro-RO"/>
        </w:rPr>
        <w:t xml:space="preserve">evaluarea dacă factorii de decizie au întreprins măsuri suficiente pentru implementarea cu succes a acțiunilor incluse în Strategia de alimentare cu apă şi sanitație (2014-2030) şi dacă acţiunile </w:t>
      </w:r>
      <w:r w:rsidR="00956671" w:rsidRPr="00720652">
        <w:rPr>
          <w:rFonts w:asciiTheme="majorHAnsi" w:eastAsia="Calibri" w:hAnsiTheme="majorHAnsi" w:cstheme="majorHAnsi"/>
          <w:noProof/>
          <w:sz w:val="24"/>
          <w:szCs w:val="24"/>
          <w:lang w:val="ro-RO"/>
        </w:rPr>
        <w:t>respective</w:t>
      </w:r>
      <w:r w:rsidR="00470BCA" w:rsidRPr="00720652">
        <w:rPr>
          <w:rFonts w:asciiTheme="majorHAnsi" w:eastAsia="Calibri" w:hAnsiTheme="majorHAnsi" w:cstheme="majorHAnsi"/>
          <w:noProof/>
          <w:sz w:val="24"/>
          <w:szCs w:val="24"/>
          <w:lang w:val="ro-RO"/>
        </w:rPr>
        <w:t xml:space="preserve"> s-au axat pe cele mai stringente probleme ale domeniului</w:t>
      </w:r>
      <w:r w:rsidR="00230FEB" w:rsidRPr="00720652">
        <w:rPr>
          <w:rFonts w:asciiTheme="majorHAnsi" w:eastAsia="Calibri" w:hAnsiTheme="majorHAnsi" w:cstheme="majorHAnsi"/>
          <w:noProof/>
          <w:sz w:val="24"/>
          <w:szCs w:val="24"/>
          <w:lang w:val="ro-RO"/>
        </w:rPr>
        <w:t>,</w:t>
      </w:r>
      <w:r w:rsidR="00470BCA" w:rsidRPr="00720652">
        <w:rPr>
          <w:rFonts w:asciiTheme="majorHAnsi" w:eastAsia="Calibri" w:hAnsiTheme="majorHAnsi" w:cstheme="majorHAnsi"/>
          <w:noProof/>
          <w:sz w:val="24"/>
          <w:szCs w:val="24"/>
          <w:lang w:val="ro-RO"/>
        </w:rPr>
        <w:t xml:space="preserve"> astfel încât să fie asigurată dezvoltarea durabilă şi sustenabilă a acestui</w:t>
      </w:r>
      <w:r w:rsidR="00956671" w:rsidRPr="00720652">
        <w:rPr>
          <w:rFonts w:asciiTheme="majorHAnsi" w:eastAsia="Calibri" w:hAnsiTheme="majorHAnsi" w:cstheme="majorHAnsi"/>
          <w:noProof/>
          <w:sz w:val="24"/>
          <w:szCs w:val="24"/>
          <w:lang w:val="ro-RO"/>
        </w:rPr>
        <w:t>a</w:t>
      </w:r>
      <w:r w:rsidRPr="00720652">
        <w:rPr>
          <w:rFonts w:asciiTheme="majorHAnsi" w:eastAsia="Calibri" w:hAnsiTheme="majorHAnsi" w:cstheme="majorHAnsi"/>
          <w:noProof/>
          <w:sz w:val="24"/>
          <w:szCs w:val="24"/>
          <w:lang w:val="ro-RO"/>
        </w:rPr>
        <w:t xml:space="preserve">. </w:t>
      </w:r>
    </w:p>
    <w:p w14:paraId="395A70C2" w14:textId="77777777" w:rsidR="00E2420B" w:rsidRPr="00720652" w:rsidRDefault="00E2420B" w:rsidP="009E6346">
      <w:pPr>
        <w:spacing w:after="0" w:line="276" w:lineRule="auto"/>
        <w:ind w:firstLine="567"/>
        <w:jc w:val="both"/>
        <w:rPr>
          <w:rFonts w:asciiTheme="majorHAnsi" w:eastAsia="Calibri" w:hAnsiTheme="majorHAnsi" w:cstheme="majorHAnsi"/>
          <w:noProof/>
          <w:sz w:val="24"/>
          <w:szCs w:val="24"/>
          <w:lang w:val="ro-RO"/>
        </w:rPr>
      </w:pPr>
      <w:r w:rsidRPr="00720652">
        <w:rPr>
          <w:rFonts w:asciiTheme="majorHAnsi" w:eastAsia="Calibri" w:hAnsiTheme="majorHAnsi" w:cstheme="majorHAnsi"/>
          <w:noProof/>
          <w:sz w:val="24"/>
          <w:szCs w:val="24"/>
          <w:lang w:val="ro-RO"/>
        </w:rPr>
        <w:t>Auditul public extern s-a desfășurat potrivit Cadrului Declarațiilor Profesionale ale INTOSAI, aplicat de Curtea de Conturi</w:t>
      </w:r>
      <w:r w:rsidRPr="00720652">
        <w:rPr>
          <w:rFonts w:asciiTheme="majorHAnsi" w:eastAsia="Calibri" w:hAnsiTheme="majorHAnsi" w:cstheme="majorHAnsi"/>
          <w:noProof/>
          <w:sz w:val="24"/>
          <w:szCs w:val="24"/>
          <w:vertAlign w:val="superscript"/>
          <w:lang w:val="ro-RO"/>
        </w:rPr>
        <w:footnoteReference w:id="3"/>
      </w:r>
      <w:r w:rsidRPr="00720652">
        <w:rPr>
          <w:rFonts w:asciiTheme="majorHAnsi" w:eastAsia="Calibri" w:hAnsiTheme="majorHAnsi" w:cstheme="majorHAnsi"/>
          <w:noProof/>
          <w:sz w:val="24"/>
          <w:szCs w:val="24"/>
          <w:lang w:val="ro-RO"/>
        </w:rPr>
        <w:t xml:space="preserve">, cadrului de reglementare intern, precum și bunelor practici în domeniu. </w:t>
      </w:r>
    </w:p>
    <w:p w14:paraId="5DA4981E" w14:textId="77777777" w:rsidR="00E2420B" w:rsidRDefault="00E2420B" w:rsidP="009E6346">
      <w:pPr>
        <w:spacing w:after="0" w:line="276" w:lineRule="auto"/>
        <w:ind w:firstLine="567"/>
        <w:jc w:val="both"/>
        <w:rPr>
          <w:rFonts w:asciiTheme="majorHAnsi" w:eastAsia="Calibri" w:hAnsiTheme="majorHAnsi" w:cstheme="majorHAnsi"/>
          <w:noProof/>
          <w:sz w:val="24"/>
          <w:szCs w:val="24"/>
          <w:lang w:val="ro-RO"/>
        </w:rPr>
      </w:pPr>
      <w:r w:rsidRPr="00720652">
        <w:rPr>
          <w:rFonts w:asciiTheme="majorHAnsi" w:eastAsia="Calibri" w:hAnsiTheme="majorHAnsi" w:cstheme="majorHAnsi"/>
          <w:noProof/>
          <w:sz w:val="24"/>
          <w:szCs w:val="24"/>
          <w:lang w:val="ro-RO"/>
        </w:rPr>
        <w:t>Examinând Raportul de audit prezentat, precum și explicațiile persoanelor cu funcții de răspundere prezente la ședința publică, Curtea de Conturi </w:t>
      </w:r>
    </w:p>
    <w:p w14:paraId="443540AB" w14:textId="77777777" w:rsidR="00E13795" w:rsidRDefault="00E13795" w:rsidP="009E6346">
      <w:pPr>
        <w:spacing w:after="0" w:line="276" w:lineRule="auto"/>
        <w:ind w:firstLine="567"/>
        <w:jc w:val="both"/>
        <w:rPr>
          <w:rFonts w:asciiTheme="majorHAnsi" w:eastAsia="Calibri" w:hAnsiTheme="majorHAnsi" w:cstheme="majorHAnsi"/>
          <w:noProof/>
          <w:sz w:val="24"/>
          <w:szCs w:val="24"/>
          <w:lang w:val="ro-RO"/>
        </w:rPr>
      </w:pPr>
    </w:p>
    <w:p w14:paraId="49FECBB8" w14:textId="77777777" w:rsidR="00E13795" w:rsidRPr="00720652" w:rsidRDefault="00E13795" w:rsidP="009E6346">
      <w:pPr>
        <w:spacing w:after="0" w:line="276" w:lineRule="auto"/>
        <w:ind w:firstLine="567"/>
        <w:jc w:val="both"/>
        <w:rPr>
          <w:rFonts w:asciiTheme="majorHAnsi" w:eastAsia="Calibri" w:hAnsiTheme="majorHAnsi" w:cstheme="majorHAnsi"/>
          <w:b/>
          <w:bCs/>
          <w:noProof/>
          <w:sz w:val="24"/>
          <w:szCs w:val="24"/>
          <w:lang w:val="ro-RO"/>
        </w:rPr>
      </w:pPr>
    </w:p>
    <w:p w14:paraId="7982EB97" w14:textId="77777777" w:rsidR="00E2420B" w:rsidRPr="00720652" w:rsidRDefault="00E2420B" w:rsidP="009E6346">
      <w:pPr>
        <w:spacing w:after="0" w:line="276" w:lineRule="auto"/>
        <w:jc w:val="center"/>
        <w:rPr>
          <w:rFonts w:asciiTheme="majorHAnsi" w:eastAsia="Calibri" w:hAnsiTheme="majorHAnsi" w:cstheme="majorHAnsi"/>
          <w:b/>
          <w:bCs/>
          <w:noProof/>
          <w:sz w:val="24"/>
          <w:szCs w:val="24"/>
          <w:lang w:val="ro-RO"/>
        </w:rPr>
      </w:pPr>
      <w:r w:rsidRPr="00720652">
        <w:rPr>
          <w:rFonts w:asciiTheme="majorHAnsi" w:eastAsia="Calibri" w:hAnsiTheme="majorHAnsi" w:cstheme="majorHAnsi"/>
          <w:b/>
          <w:bCs/>
          <w:noProof/>
          <w:sz w:val="24"/>
          <w:szCs w:val="24"/>
          <w:lang w:val="ro-RO"/>
        </w:rPr>
        <w:lastRenderedPageBreak/>
        <w:t>A CONSTATAT:</w:t>
      </w:r>
    </w:p>
    <w:p w14:paraId="2E9505D4" w14:textId="77777777" w:rsidR="00A84DC4" w:rsidRPr="00720652" w:rsidRDefault="00A84DC4" w:rsidP="009E6346">
      <w:pPr>
        <w:spacing w:after="0" w:line="276" w:lineRule="auto"/>
        <w:jc w:val="center"/>
        <w:rPr>
          <w:rFonts w:asciiTheme="majorHAnsi" w:eastAsia="Calibri" w:hAnsiTheme="majorHAnsi" w:cstheme="majorHAnsi"/>
          <w:b/>
          <w:bCs/>
          <w:noProof/>
          <w:sz w:val="24"/>
          <w:szCs w:val="24"/>
          <w:lang w:val="ro-RO"/>
        </w:rPr>
      </w:pPr>
    </w:p>
    <w:p w14:paraId="260D672A" w14:textId="3C12322A" w:rsidR="00A84DC4" w:rsidRPr="00720652" w:rsidRDefault="008153A9" w:rsidP="009E6346">
      <w:pPr>
        <w:shd w:val="clear" w:color="auto" w:fill="FFFFFF"/>
        <w:spacing w:after="0" w:line="276" w:lineRule="auto"/>
        <w:ind w:firstLine="360"/>
        <w:jc w:val="both"/>
        <w:rPr>
          <w:rFonts w:asciiTheme="majorHAnsi" w:hAnsiTheme="majorHAnsi" w:cstheme="majorHAnsi"/>
          <w:b/>
          <w:bCs/>
          <w:sz w:val="24"/>
          <w:szCs w:val="24"/>
          <w:lang w:val="ro-RO"/>
        </w:rPr>
      </w:pPr>
      <w:r w:rsidRPr="00720652">
        <w:rPr>
          <w:rFonts w:asciiTheme="majorHAnsi" w:hAnsiTheme="majorHAnsi" w:cstheme="majorHAnsi"/>
          <w:sz w:val="24"/>
          <w:szCs w:val="24"/>
          <w:lang w:val="ro-RO"/>
        </w:rPr>
        <w:t>p</w:t>
      </w:r>
      <w:r w:rsidR="00A84DC4" w:rsidRPr="00720652">
        <w:rPr>
          <w:rFonts w:asciiTheme="majorHAnsi" w:hAnsiTheme="majorHAnsi" w:cstheme="majorHAnsi"/>
          <w:sz w:val="24"/>
          <w:szCs w:val="24"/>
          <w:lang w:val="ro-RO"/>
        </w:rPr>
        <w:t xml:space="preserve">roblema aprovizionării cu apă potabilă și a canalizării este recunoscută la toate nivelurile ca prioritate națională, fiind considerată, în </w:t>
      </w:r>
      <w:r w:rsidR="004C7702" w:rsidRPr="00720652">
        <w:rPr>
          <w:rFonts w:asciiTheme="majorHAnsi" w:hAnsiTheme="majorHAnsi" w:cstheme="majorHAnsi"/>
          <w:sz w:val="24"/>
          <w:szCs w:val="24"/>
          <w:lang w:val="ro-RO"/>
        </w:rPr>
        <w:t>același</w:t>
      </w:r>
      <w:r w:rsidR="00A84DC4" w:rsidRPr="00720652">
        <w:rPr>
          <w:rFonts w:asciiTheme="majorHAnsi" w:hAnsiTheme="majorHAnsi" w:cstheme="majorHAnsi"/>
          <w:sz w:val="24"/>
          <w:szCs w:val="24"/>
          <w:lang w:val="ro-RO"/>
        </w:rPr>
        <w:t xml:space="preserve"> timp, </w:t>
      </w:r>
      <w:r w:rsidR="00230FEB" w:rsidRPr="00720652">
        <w:rPr>
          <w:rFonts w:asciiTheme="majorHAnsi" w:hAnsiTheme="majorHAnsi" w:cstheme="majorHAnsi"/>
          <w:sz w:val="24"/>
          <w:szCs w:val="24"/>
          <w:lang w:val="ro-RO"/>
        </w:rPr>
        <w:t>drept</w:t>
      </w:r>
      <w:r w:rsidR="00A84DC4" w:rsidRPr="00720652">
        <w:rPr>
          <w:rFonts w:asciiTheme="majorHAnsi" w:hAnsiTheme="majorHAnsi" w:cstheme="majorHAnsi"/>
          <w:sz w:val="24"/>
          <w:szCs w:val="24"/>
          <w:lang w:val="ro-RO"/>
        </w:rPr>
        <w:t xml:space="preserve"> factor de îm</w:t>
      </w:r>
      <w:r w:rsidR="00720652">
        <w:rPr>
          <w:rFonts w:asciiTheme="majorHAnsi" w:hAnsiTheme="majorHAnsi" w:cstheme="majorHAnsi"/>
          <w:sz w:val="24"/>
          <w:szCs w:val="24"/>
          <w:lang w:val="ro-RO"/>
        </w:rPr>
        <w:t>bunătățire a calității vieții și</w:t>
      </w:r>
      <w:r w:rsidR="00A84DC4" w:rsidRPr="00720652">
        <w:rPr>
          <w:rFonts w:asciiTheme="majorHAnsi" w:hAnsiTheme="majorHAnsi" w:cstheme="majorHAnsi"/>
          <w:sz w:val="24"/>
          <w:szCs w:val="24"/>
          <w:lang w:val="ro-RO"/>
        </w:rPr>
        <w:t xml:space="preserve"> de reducere a sărăciei. </w:t>
      </w:r>
    </w:p>
    <w:p w14:paraId="6B3B853B" w14:textId="07090622" w:rsidR="00A84DC4" w:rsidRPr="00720652" w:rsidRDefault="00A84DC4" w:rsidP="009E6346">
      <w:pPr>
        <w:shd w:val="clear" w:color="auto" w:fill="FFFFFF"/>
        <w:spacing w:after="0" w:line="276" w:lineRule="auto"/>
        <w:ind w:firstLine="360"/>
        <w:jc w:val="both"/>
        <w:rPr>
          <w:rFonts w:asciiTheme="majorHAnsi" w:hAnsiTheme="majorHAnsi" w:cstheme="majorHAnsi"/>
          <w:b/>
          <w:bCs/>
          <w:sz w:val="24"/>
          <w:szCs w:val="24"/>
          <w:lang w:val="ro-RO"/>
        </w:rPr>
      </w:pPr>
      <w:r w:rsidRPr="00720652">
        <w:rPr>
          <w:rFonts w:asciiTheme="majorHAnsi" w:hAnsiTheme="majorHAnsi" w:cstheme="majorHAnsi"/>
          <w:sz w:val="24"/>
          <w:szCs w:val="24"/>
          <w:lang w:val="ro-RO"/>
        </w:rPr>
        <w:t xml:space="preserve">Sectorul alimentării cu apă și </w:t>
      </w:r>
      <w:r w:rsidR="008153A9" w:rsidRPr="00720652">
        <w:rPr>
          <w:rFonts w:asciiTheme="majorHAnsi" w:hAnsiTheme="majorHAnsi" w:cstheme="majorHAnsi"/>
          <w:sz w:val="24"/>
          <w:szCs w:val="24"/>
          <w:lang w:val="ro-RO"/>
        </w:rPr>
        <w:t xml:space="preserve">de </w:t>
      </w:r>
      <w:r w:rsidRPr="00720652">
        <w:rPr>
          <w:rFonts w:asciiTheme="majorHAnsi" w:hAnsiTheme="majorHAnsi" w:cstheme="majorHAnsi"/>
          <w:sz w:val="24"/>
          <w:szCs w:val="24"/>
          <w:lang w:val="ro-RO"/>
        </w:rPr>
        <w:t xml:space="preserve">canalizare din Republica Moldova a suferit transformări în ultimele decenii, uneori cu impact negativ asupra calității vieții și sănătății utilizatorilor. </w:t>
      </w:r>
      <w:r w:rsidR="008153A9" w:rsidRPr="00720652">
        <w:rPr>
          <w:rFonts w:asciiTheme="majorHAnsi" w:hAnsiTheme="majorHAnsi" w:cstheme="majorHAnsi"/>
          <w:sz w:val="24"/>
          <w:szCs w:val="24"/>
          <w:lang w:val="ro-RO"/>
        </w:rPr>
        <w:t>În acest scop</w:t>
      </w:r>
      <w:r w:rsidRPr="00720652">
        <w:rPr>
          <w:rFonts w:asciiTheme="majorHAnsi" w:hAnsiTheme="majorHAnsi" w:cstheme="majorHAnsi"/>
          <w:sz w:val="24"/>
          <w:szCs w:val="24"/>
          <w:lang w:val="ro-RO"/>
        </w:rPr>
        <w:t xml:space="preserve"> a fost elaborată o politică de redresare națională a acestui sector prin preluarea bunelor practici europene. Acțiunile incluse în S</w:t>
      </w:r>
      <w:r w:rsidR="00720652" w:rsidRPr="00720652">
        <w:rPr>
          <w:rFonts w:asciiTheme="majorHAnsi" w:hAnsiTheme="majorHAnsi" w:cstheme="majorHAnsi"/>
          <w:sz w:val="24"/>
          <w:szCs w:val="24"/>
          <w:lang w:val="ro-RO"/>
        </w:rPr>
        <w:t>trategia de alimentare cu apă și</w:t>
      </w:r>
      <w:r w:rsidRPr="00720652">
        <w:rPr>
          <w:rFonts w:asciiTheme="majorHAnsi" w:hAnsiTheme="majorHAnsi" w:cstheme="majorHAnsi"/>
          <w:sz w:val="24"/>
          <w:szCs w:val="24"/>
          <w:lang w:val="ro-RO"/>
        </w:rPr>
        <w:t xml:space="preserve"> sanitație (2014-2030)</w:t>
      </w:r>
      <w:r w:rsidR="00D67D3A" w:rsidRPr="00720652">
        <w:rPr>
          <w:rFonts w:asciiTheme="majorHAnsi" w:hAnsiTheme="majorHAnsi" w:cstheme="majorHAnsi"/>
          <w:sz w:val="24"/>
          <w:szCs w:val="24"/>
          <w:lang w:val="ro-RO"/>
        </w:rPr>
        <w:t xml:space="preserve"> (în continuare</w:t>
      </w:r>
      <w:r w:rsidR="008153A9" w:rsidRPr="00720652">
        <w:rPr>
          <w:rFonts w:asciiTheme="majorHAnsi" w:hAnsiTheme="majorHAnsi" w:cstheme="majorHAnsi"/>
          <w:sz w:val="24"/>
          <w:szCs w:val="24"/>
          <w:lang w:val="ro-RO"/>
        </w:rPr>
        <w:t xml:space="preserve"> –</w:t>
      </w:r>
      <w:r w:rsidR="00D67D3A" w:rsidRPr="00720652">
        <w:rPr>
          <w:rFonts w:asciiTheme="majorHAnsi" w:hAnsiTheme="majorHAnsi" w:cstheme="majorHAnsi"/>
          <w:sz w:val="24"/>
          <w:szCs w:val="24"/>
          <w:lang w:val="ro-RO"/>
        </w:rPr>
        <w:t xml:space="preserve"> SAAS)</w:t>
      </w:r>
      <w:r w:rsidRPr="00720652">
        <w:rPr>
          <w:rFonts w:asciiTheme="majorHAnsi" w:hAnsiTheme="majorHAnsi" w:cstheme="majorHAnsi"/>
          <w:sz w:val="24"/>
          <w:szCs w:val="24"/>
          <w:lang w:val="ro-RO"/>
        </w:rPr>
        <w:t xml:space="preserve"> vizează îmbunăt</w:t>
      </w:r>
      <w:r w:rsidR="00720652" w:rsidRPr="00720652">
        <w:rPr>
          <w:rFonts w:asciiTheme="majorHAnsi" w:hAnsiTheme="majorHAnsi" w:cstheme="majorHAnsi"/>
          <w:sz w:val="24"/>
          <w:szCs w:val="24"/>
          <w:lang w:val="ro-RO"/>
        </w:rPr>
        <w:t xml:space="preserve">ățirea politicilor naționale și </w:t>
      </w:r>
      <w:r w:rsidRPr="00720652">
        <w:rPr>
          <w:rFonts w:asciiTheme="majorHAnsi" w:hAnsiTheme="majorHAnsi" w:cstheme="majorHAnsi"/>
          <w:sz w:val="24"/>
          <w:szCs w:val="24"/>
          <w:lang w:val="ro-RO"/>
        </w:rPr>
        <w:t>armonizarea cadrului legal</w:t>
      </w:r>
      <w:r w:rsidR="00720652" w:rsidRPr="00720652">
        <w:rPr>
          <w:rFonts w:asciiTheme="majorHAnsi" w:hAnsiTheme="majorHAnsi" w:cstheme="majorHAnsi"/>
          <w:sz w:val="24"/>
          <w:szCs w:val="24"/>
          <w:lang w:val="ro-RO"/>
        </w:rPr>
        <w:t xml:space="preserve"> în conformitate cu acquis-</w:t>
      </w:r>
      <w:proofErr w:type="spellStart"/>
      <w:r w:rsidR="00720652" w:rsidRPr="00720652">
        <w:rPr>
          <w:rFonts w:asciiTheme="majorHAnsi" w:hAnsiTheme="majorHAnsi" w:cstheme="majorHAnsi"/>
          <w:sz w:val="24"/>
          <w:szCs w:val="24"/>
          <w:lang w:val="ro-RO"/>
        </w:rPr>
        <w:t>ul</w:t>
      </w:r>
      <w:proofErr w:type="spellEnd"/>
      <w:r w:rsidR="00720652" w:rsidRPr="00720652">
        <w:rPr>
          <w:rFonts w:asciiTheme="majorHAnsi" w:hAnsiTheme="majorHAnsi" w:cstheme="majorHAnsi"/>
          <w:sz w:val="24"/>
          <w:szCs w:val="24"/>
          <w:lang w:val="ro-RO"/>
        </w:rPr>
        <w:t xml:space="preserve"> comunitar și</w:t>
      </w:r>
      <w:r w:rsidRPr="00720652">
        <w:rPr>
          <w:rFonts w:asciiTheme="majorHAnsi" w:hAnsiTheme="majorHAnsi" w:cstheme="majorHAnsi"/>
          <w:sz w:val="24"/>
          <w:szCs w:val="24"/>
          <w:lang w:val="ro-RO"/>
        </w:rPr>
        <w:t xml:space="preserve"> standardele europene.</w:t>
      </w:r>
    </w:p>
    <w:p w14:paraId="65731381" w14:textId="77777777" w:rsidR="00183DC1" w:rsidRPr="00720652" w:rsidRDefault="00A84DC4" w:rsidP="00183DC1">
      <w:pPr>
        <w:shd w:val="clear" w:color="auto" w:fill="FFFFFF"/>
        <w:spacing w:after="0" w:line="276" w:lineRule="auto"/>
        <w:ind w:firstLine="360"/>
        <w:jc w:val="both"/>
        <w:rPr>
          <w:rFonts w:asciiTheme="majorHAnsi" w:hAnsiTheme="majorHAnsi" w:cstheme="majorHAnsi"/>
          <w:sz w:val="24"/>
          <w:szCs w:val="24"/>
          <w:lang w:val="ro-RO"/>
        </w:rPr>
      </w:pPr>
      <w:r w:rsidRPr="00720652">
        <w:rPr>
          <w:rFonts w:asciiTheme="majorHAnsi" w:hAnsiTheme="majorHAnsi" w:cstheme="majorHAnsi"/>
          <w:sz w:val="24"/>
          <w:szCs w:val="24"/>
          <w:lang w:val="ro-RO"/>
        </w:rPr>
        <w:t>Investițiil</w:t>
      </w:r>
      <w:r w:rsidR="00113808" w:rsidRPr="00720652">
        <w:rPr>
          <w:rFonts w:asciiTheme="majorHAnsi" w:hAnsiTheme="majorHAnsi" w:cstheme="majorHAnsi"/>
          <w:sz w:val="24"/>
          <w:szCs w:val="24"/>
          <w:lang w:val="ro-RO"/>
        </w:rPr>
        <w:t xml:space="preserve">e în </w:t>
      </w:r>
      <w:r w:rsidRPr="00720652">
        <w:rPr>
          <w:rFonts w:asciiTheme="majorHAnsi" w:hAnsiTheme="majorHAnsi" w:cstheme="majorHAnsi"/>
          <w:sz w:val="24"/>
          <w:szCs w:val="24"/>
          <w:lang w:val="ro-RO"/>
        </w:rPr>
        <w:t xml:space="preserve">serviciul public de alimentare cu apă și de canalizare reprezintă o componentă esențială a serviciilor publice, având menirea de a contribui la buna funcționare a serviciilor în colectivitățile locale. </w:t>
      </w:r>
    </w:p>
    <w:p w14:paraId="0AC02B6F" w14:textId="1F908F57" w:rsidR="0027500E" w:rsidRPr="00720652" w:rsidRDefault="00D67D3A" w:rsidP="0027500E">
      <w:pPr>
        <w:shd w:val="clear" w:color="auto" w:fill="FFFFFF"/>
        <w:spacing w:after="0" w:line="276" w:lineRule="auto"/>
        <w:ind w:firstLine="360"/>
        <w:jc w:val="both"/>
        <w:rPr>
          <w:rFonts w:asciiTheme="majorHAnsi" w:hAnsiTheme="majorHAnsi" w:cstheme="majorHAnsi"/>
          <w:sz w:val="24"/>
          <w:szCs w:val="24"/>
          <w:lang w:val="ro-RO"/>
        </w:rPr>
      </w:pPr>
      <w:r w:rsidRPr="00720652">
        <w:rPr>
          <w:rFonts w:asciiTheme="majorHAnsi" w:hAnsiTheme="majorHAnsi" w:cstheme="majorHAnsi"/>
          <w:sz w:val="24"/>
          <w:szCs w:val="24"/>
          <w:lang w:val="ro-RO"/>
        </w:rPr>
        <w:t>SAAS</w:t>
      </w:r>
      <w:r w:rsidR="00403AB2" w:rsidRPr="00720652">
        <w:rPr>
          <w:rFonts w:asciiTheme="majorHAnsi" w:eastAsia="Calibri" w:hAnsiTheme="majorHAnsi" w:cstheme="majorHAnsi"/>
          <w:sz w:val="24"/>
          <w:szCs w:val="24"/>
          <w:lang w:val="ro-RO"/>
        </w:rPr>
        <w:t xml:space="preserve"> este principalul document de</w:t>
      </w:r>
      <w:r w:rsidR="00403AB2" w:rsidRPr="00720652">
        <w:rPr>
          <w:rFonts w:asciiTheme="majorHAnsi" w:eastAsia="Calibri" w:hAnsiTheme="majorHAnsi" w:cstheme="majorHAnsi"/>
          <w:b/>
          <w:bCs/>
          <w:sz w:val="24"/>
          <w:szCs w:val="24"/>
          <w:lang w:val="ro-RO"/>
        </w:rPr>
        <w:t xml:space="preserve"> </w:t>
      </w:r>
      <w:r w:rsidR="00403AB2" w:rsidRPr="00720652">
        <w:rPr>
          <w:rFonts w:asciiTheme="majorHAnsi" w:eastAsia="Calibri" w:hAnsiTheme="majorHAnsi" w:cstheme="majorHAnsi"/>
          <w:sz w:val="24"/>
          <w:szCs w:val="24"/>
          <w:lang w:val="ro-RO"/>
        </w:rPr>
        <w:t>politici în domeniul</w:t>
      </w:r>
      <w:r w:rsidR="00403AB2" w:rsidRPr="00720652">
        <w:rPr>
          <w:rFonts w:asciiTheme="majorHAnsi" w:eastAsia="Calibri" w:hAnsiTheme="majorHAnsi" w:cstheme="majorHAnsi"/>
          <w:b/>
          <w:bCs/>
          <w:sz w:val="24"/>
          <w:szCs w:val="24"/>
          <w:lang w:val="ro-RO"/>
        </w:rPr>
        <w:t xml:space="preserve"> </w:t>
      </w:r>
      <w:r w:rsidR="00403AB2" w:rsidRPr="00720652">
        <w:rPr>
          <w:rFonts w:asciiTheme="majorHAnsi" w:eastAsia="Calibri" w:hAnsiTheme="majorHAnsi" w:cstheme="majorHAnsi"/>
          <w:sz w:val="24"/>
          <w:szCs w:val="24"/>
          <w:lang w:val="ro-RO"/>
        </w:rPr>
        <w:t>alimentării cu apă și sanitație</w:t>
      </w:r>
      <w:r w:rsidR="008153A9" w:rsidRPr="00720652">
        <w:rPr>
          <w:rFonts w:asciiTheme="majorHAnsi" w:eastAsia="Calibri" w:hAnsiTheme="majorHAnsi" w:cstheme="majorHAnsi"/>
          <w:sz w:val="24"/>
          <w:szCs w:val="24"/>
          <w:lang w:val="ro-RO"/>
        </w:rPr>
        <w:t>i</w:t>
      </w:r>
      <w:r w:rsidR="00403AB2" w:rsidRPr="00720652">
        <w:rPr>
          <w:rFonts w:asciiTheme="majorHAnsi" w:eastAsia="Calibri" w:hAnsiTheme="majorHAnsi" w:cstheme="majorHAnsi"/>
          <w:sz w:val="24"/>
          <w:szCs w:val="24"/>
          <w:lang w:val="ro-RO"/>
        </w:rPr>
        <w:t xml:space="preserve">, </w:t>
      </w:r>
      <w:r w:rsidR="00956671" w:rsidRPr="00720652">
        <w:rPr>
          <w:rFonts w:asciiTheme="majorHAnsi" w:eastAsia="Calibri" w:hAnsiTheme="majorHAnsi" w:cstheme="majorHAnsi"/>
          <w:sz w:val="24"/>
          <w:szCs w:val="24"/>
          <w:lang w:val="ro-RO"/>
        </w:rPr>
        <w:t>re</w:t>
      </w:r>
      <w:r w:rsidR="00403AB2" w:rsidRPr="00720652">
        <w:rPr>
          <w:rFonts w:asciiTheme="majorHAnsi" w:eastAsia="Calibri" w:hAnsiTheme="majorHAnsi" w:cstheme="majorHAnsi"/>
          <w:sz w:val="24"/>
          <w:szCs w:val="24"/>
          <w:lang w:val="ro-RO"/>
        </w:rPr>
        <w:t>prezent</w:t>
      </w:r>
      <w:r w:rsidR="00956671" w:rsidRPr="00720652">
        <w:rPr>
          <w:rFonts w:asciiTheme="majorHAnsi" w:eastAsia="Calibri" w:hAnsiTheme="majorHAnsi" w:cstheme="majorHAnsi"/>
          <w:sz w:val="24"/>
          <w:szCs w:val="24"/>
          <w:lang w:val="ro-RO"/>
        </w:rPr>
        <w:t>ând o</w:t>
      </w:r>
      <w:r w:rsidR="00403AB2" w:rsidRPr="00720652">
        <w:rPr>
          <w:rFonts w:asciiTheme="majorHAnsi" w:eastAsia="Calibri" w:hAnsiTheme="majorHAnsi" w:cstheme="majorHAnsi"/>
          <w:sz w:val="24"/>
          <w:szCs w:val="24"/>
          <w:lang w:val="ro-RO"/>
        </w:rPr>
        <w:t xml:space="preserve"> fo</w:t>
      </w:r>
      <w:r w:rsidR="00956671" w:rsidRPr="00720652">
        <w:rPr>
          <w:rFonts w:asciiTheme="majorHAnsi" w:eastAsia="Calibri" w:hAnsiTheme="majorHAnsi" w:cstheme="majorHAnsi"/>
          <w:sz w:val="24"/>
          <w:szCs w:val="24"/>
          <w:lang w:val="ro-RO"/>
        </w:rPr>
        <w:t>a</w:t>
      </w:r>
      <w:r w:rsidR="00403AB2" w:rsidRPr="00720652">
        <w:rPr>
          <w:rFonts w:asciiTheme="majorHAnsi" w:eastAsia="Calibri" w:hAnsiTheme="majorHAnsi" w:cstheme="majorHAnsi"/>
          <w:sz w:val="24"/>
          <w:szCs w:val="24"/>
          <w:lang w:val="ro-RO"/>
        </w:rPr>
        <w:t>i</w:t>
      </w:r>
      <w:r w:rsidR="00956671" w:rsidRPr="00720652">
        <w:rPr>
          <w:rFonts w:asciiTheme="majorHAnsi" w:eastAsia="Calibri" w:hAnsiTheme="majorHAnsi" w:cstheme="majorHAnsi"/>
          <w:sz w:val="24"/>
          <w:szCs w:val="24"/>
          <w:lang w:val="ro-RO"/>
        </w:rPr>
        <w:t>e</w:t>
      </w:r>
      <w:r w:rsidR="00403AB2" w:rsidRPr="00720652">
        <w:rPr>
          <w:rFonts w:asciiTheme="majorHAnsi" w:eastAsia="Calibri" w:hAnsiTheme="majorHAnsi" w:cstheme="majorHAnsi"/>
          <w:sz w:val="24"/>
          <w:szCs w:val="24"/>
          <w:lang w:val="ro-RO"/>
        </w:rPr>
        <w:t xml:space="preserve"> de parcurs </w:t>
      </w:r>
      <w:r w:rsidR="00C009A4" w:rsidRPr="00720652">
        <w:rPr>
          <w:rFonts w:asciiTheme="majorHAnsi" w:eastAsia="Calibri" w:hAnsiTheme="majorHAnsi" w:cstheme="majorHAnsi"/>
          <w:sz w:val="24"/>
          <w:szCs w:val="24"/>
          <w:lang w:val="ro-RO"/>
        </w:rPr>
        <w:t>detaliat</w:t>
      </w:r>
      <w:r w:rsidR="00956671" w:rsidRPr="00720652">
        <w:rPr>
          <w:rFonts w:asciiTheme="majorHAnsi" w:eastAsia="Calibri" w:hAnsiTheme="majorHAnsi" w:cstheme="majorHAnsi"/>
          <w:sz w:val="24"/>
          <w:szCs w:val="24"/>
          <w:lang w:val="ro-RO"/>
        </w:rPr>
        <w:t>ă</w:t>
      </w:r>
      <w:r w:rsidR="00C009A4" w:rsidRPr="00720652">
        <w:rPr>
          <w:rFonts w:asciiTheme="majorHAnsi" w:eastAsia="Calibri" w:hAnsiTheme="majorHAnsi" w:cstheme="majorHAnsi"/>
          <w:sz w:val="24"/>
          <w:szCs w:val="24"/>
          <w:lang w:val="ro-RO"/>
        </w:rPr>
        <w:t xml:space="preserve"> pentru dezvoltarea </w:t>
      </w:r>
      <w:r w:rsidR="00403AB2" w:rsidRPr="00720652">
        <w:rPr>
          <w:rFonts w:asciiTheme="majorHAnsi" w:eastAsia="Calibri" w:hAnsiTheme="majorHAnsi" w:cstheme="majorHAnsi"/>
          <w:sz w:val="24"/>
          <w:szCs w:val="24"/>
          <w:lang w:val="ro-RO"/>
        </w:rPr>
        <w:t>sectorului de alimentare cu apă și sanitație</w:t>
      </w:r>
      <w:r w:rsidR="00E04B90" w:rsidRPr="00720652">
        <w:rPr>
          <w:rFonts w:asciiTheme="majorHAnsi" w:eastAsia="Calibri" w:hAnsiTheme="majorHAnsi" w:cstheme="majorHAnsi"/>
          <w:sz w:val="24"/>
          <w:szCs w:val="24"/>
          <w:lang w:val="ro-RO"/>
        </w:rPr>
        <w:t>,</w:t>
      </w:r>
      <w:r w:rsidR="00403AB2" w:rsidRPr="00720652">
        <w:rPr>
          <w:rFonts w:asciiTheme="majorHAnsi" w:eastAsia="Calibri" w:hAnsiTheme="majorHAnsi" w:cstheme="majorHAnsi"/>
          <w:sz w:val="24"/>
          <w:szCs w:val="24"/>
          <w:lang w:val="ro-RO"/>
        </w:rPr>
        <w:t xml:space="preserve"> </w:t>
      </w:r>
      <w:r w:rsidR="00C009A4" w:rsidRPr="00720652">
        <w:rPr>
          <w:rFonts w:asciiTheme="majorHAnsi" w:eastAsia="Calibri" w:hAnsiTheme="majorHAnsi" w:cstheme="majorHAnsi"/>
          <w:sz w:val="24"/>
          <w:szCs w:val="24"/>
          <w:lang w:val="ro-RO"/>
        </w:rPr>
        <w:t>atât pe termen mediu (pâ</w:t>
      </w:r>
      <w:r w:rsidR="00403AB2" w:rsidRPr="00720652">
        <w:rPr>
          <w:rFonts w:asciiTheme="majorHAnsi" w:eastAsia="Calibri" w:hAnsiTheme="majorHAnsi" w:cstheme="majorHAnsi"/>
          <w:sz w:val="24"/>
          <w:szCs w:val="24"/>
          <w:lang w:val="ro-RO"/>
        </w:rPr>
        <w:t>nă în anul 2018)</w:t>
      </w:r>
      <w:r w:rsidR="00C53035" w:rsidRPr="00720652">
        <w:rPr>
          <w:rFonts w:asciiTheme="majorHAnsi" w:eastAsia="Calibri" w:hAnsiTheme="majorHAnsi" w:cstheme="majorHAnsi"/>
          <w:sz w:val="24"/>
          <w:szCs w:val="24"/>
          <w:lang w:val="ro-RO"/>
        </w:rPr>
        <w:t>,</w:t>
      </w:r>
      <w:r w:rsidR="00403AB2" w:rsidRPr="00720652">
        <w:rPr>
          <w:rFonts w:asciiTheme="majorHAnsi" w:eastAsia="Calibri" w:hAnsiTheme="majorHAnsi" w:cstheme="majorHAnsi"/>
          <w:sz w:val="24"/>
          <w:szCs w:val="24"/>
          <w:lang w:val="ro-RO"/>
        </w:rPr>
        <w:t xml:space="preserve"> </w:t>
      </w:r>
      <w:r w:rsidR="00C009A4" w:rsidRPr="00720652">
        <w:rPr>
          <w:rFonts w:asciiTheme="majorHAnsi" w:eastAsia="Calibri" w:hAnsiTheme="majorHAnsi" w:cstheme="majorHAnsi"/>
          <w:sz w:val="24"/>
          <w:szCs w:val="24"/>
          <w:lang w:val="ro-RO"/>
        </w:rPr>
        <w:t>cât și pe termen lung (pâ</w:t>
      </w:r>
      <w:r w:rsidR="00403AB2" w:rsidRPr="00720652">
        <w:rPr>
          <w:rFonts w:asciiTheme="majorHAnsi" w:eastAsia="Calibri" w:hAnsiTheme="majorHAnsi" w:cstheme="majorHAnsi"/>
          <w:sz w:val="24"/>
          <w:szCs w:val="24"/>
          <w:lang w:val="ro-RO"/>
        </w:rPr>
        <w:t xml:space="preserve">nă în anul 2030) și </w:t>
      </w:r>
      <w:r w:rsidR="00C009A4" w:rsidRPr="00720652">
        <w:rPr>
          <w:rFonts w:asciiTheme="majorHAnsi" w:eastAsia="Calibri" w:hAnsiTheme="majorHAnsi" w:cstheme="majorHAnsi"/>
          <w:sz w:val="24"/>
          <w:szCs w:val="24"/>
          <w:lang w:val="ro-RO"/>
        </w:rPr>
        <w:t>pentru asigurarea accesului popu</w:t>
      </w:r>
      <w:r w:rsidR="00403AB2" w:rsidRPr="00720652">
        <w:rPr>
          <w:rFonts w:asciiTheme="majorHAnsi" w:eastAsia="Calibri" w:hAnsiTheme="majorHAnsi" w:cstheme="majorHAnsi"/>
          <w:sz w:val="24"/>
          <w:szCs w:val="24"/>
          <w:lang w:val="ro-RO"/>
        </w:rPr>
        <w:t>lației la apă potabilă ca un drept fundamental.</w:t>
      </w:r>
    </w:p>
    <w:p w14:paraId="094F0690" w14:textId="5D614B2A" w:rsidR="00403AB2" w:rsidRPr="00720652" w:rsidRDefault="00403AB2" w:rsidP="00D67D3A">
      <w:pPr>
        <w:shd w:val="clear" w:color="auto" w:fill="FFFFFF"/>
        <w:spacing w:after="0" w:line="276" w:lineRule="auto"/>
        <w:ind w:firstLine="360"/>
        <w:jc w:val="both"/>
        <w:rPr>
          <w:rFonts w:asciiTheme="majorHAnsi" w:hAnsiTheme="majorHAnsi" w:cstheme="majorHAnsi"/>
          <w:sz w:val="24"/>
          <w:szCs w:val="24"/>
          <w:lang w:val="ro-RO"/>
        </w:rPr>
      </w:pPr>
      <w:r w:rsidRPr="00720652">
        <w:rPr>
          <w:rFonts w:asciiTheme="majorHAnsi" w:eastAsia="Calibri" w:hAnsiTheme="majorHAnsi" w:cstheme="majorHAnsi"/>
          <w:sz w:val="24"/>
          <w:szCs w:val="24"/>
          <w:lang w:val="ro-RO"/>
        </w:rPr>
        <w:t xml:space="preserve">În </w:t>
      </w:r>
      <w:r w:rsidR="00423BF1" w:rsidRPr="00720652">
        <w:rPr>
          <w:rFonts w:asciiTheme="majorHAnsi" w:eastAsia="Calibri" w:hAnsiTheme="majorHAnsi" w:cstheme="majorHAnsi"/>
          <w:sz w:val="24"/>
          <w:szCs w:val="24"/>
          <w:lang w:val="ro-RO"/>
        </w:rPr>
        <w:t xml:space="preserve">vederea </w:t>
      </w:r>
      <w:r w:rsidRPr="00720652">
        <w:rPr>
          <w:rFonts w:asciiTheme="majorHAnsi" w:eastAsia="Calibri" w:hAnsiTheme="majorHAnsi" w:cstheme="majorHAnsi"/>
          <w:sz w:val="24"/>
          <w:szCs w:val="24"/>
          <w:lang w:val="ro-RO"/>
        </w:rPr>
        <w:t xml:space="preserve">implementării </w:t>
      </w:r>
      <w:r w:rsidR="00D67D3A" w:rsidRPr="00720652">
        <w:rPr>
          <w:rFonts w:asciiTheme="majorHAnsi" w:hAnsiTheme="majorHAnsi" w:cstheme="majorHAnsi"/>
          <w:sz w:val="24"/>
          <w:szCs w:val="24"/>
          <w:lang w:val="ro-RO"/>
        </w:rPr>
        <w:t>SAAS</w:t>
      </w:r>
      <w:r w:rsidR="00C53035" w:rsidRPr="00720652">
        <w:rPr>
          <w:rFonts w:asciiTheme="majorHAnsi" w:eastAsia="Calibri" w:hAnsiTheme="majorHAnsi" w:cstheme="majorHAnsi"/>
          <w:sz w:val="24"/>
          <w:szCs w:val="24"/>
          <w:lang w:val="ro-RO"/>
        </w:rPr>
        <w:t>,</w:t>
      </w:r>
      <w:r w:rsidR="00815E3F" w:rsidRPr="00720652">
        <w:rPr>
          <w:rFonts w:asciiTheme="majorHAnsi" w:eastAsia="Calibri" w:hAnsiTheme="majorHAnsi" w:cstheme="majorHAnsi"/>
          <w:sz w:val="24"/>
          <w:szCs w:val="24"/>
          <w:lang w:val="ro-RO"/>
        </w:rPr>
        <w:t xml:space="preserve"> </w:t>
      </w:r>
      <w:r w:rsidRPr="00720652">
        <w:rPr>
          <w:rFonts w:asciiTheme="majorHAnsi" w:eastAsia="Calibri" w:hAnsiTheme="majorHAnsi" w:cstheme="majorHAnsi"/>
          <w:sz w:val="24"/>
          <w:szCs w:val="24"/>
          <w:lang w:val="ro-RO"/>
        </w:rPr>
        <w:t>au</w:t>
      </w:r>
      <w:r w:rsidR="00720652" w:rsidRPr="00720652">
        <w:rPr>
          <w:rFonts w:asciiTheme="majorHAnsi" w:eastAsia="Calibri" w:hAnsiTheme="majorHAnsi" w:cstheme="majorHAnsi"/>
          <w:sz w:val="24"/>
          <w:szCs w:val="24"/>
          <w:lang w:val="ro-RO"/>
        </w:rPr>
        <w:t xml:space="preserve"> fost aprobate Planul de acțiuni</w:t>
      </w:r>
      <w:r w:rsidRPr="00720652">
        <w:rPr>
          <w:rFonts w:asciiTheme="majorHAnsi" w:eastAsia="Calibri" w:hAnsiTheme="majorHAnsi" w:cstheme="majorHAnsi"/>
          <w:sz w:val="24"/>
          <w:szCs w:val="24"/>
          <w:lang w:val="ro-RO"/>
        </w:rPr>
        <w:t xml:space="preserve"> pentru perioada 2014-2018, care include 30 de activități</w:t>
      </w:r>
      <w:r w:rsidR="00C53035" w:rsidRPr="00720652">
        <w:rPr>
          <w:rFonts w:asciiTheme="majorHAnsi" w:eastAsia="Calibri" w:hAnsiTheme="majorHAnsi" w:cstheme="majorHAnsi"/>
          <w:sz w:val="24"/>
          <w:szCs w:val="24"/>
          <w:lang w:val="ro-RO"/>
        </w:rPr>
        <w:t>,</w:t>
      </w:r>
      <w:r w:rsidRPr="00720652">
        <w:rPr>
          <w:rFonts w:asciiTheme="majorHAnsi" w:eastAsia="Calibri" w:hAnsiTheme="majorHAnsi" w:cstheme="majorHAnsi"/>
          <w:sz w:val="24"/>
          <w:szCs w:val="24"/>
          <w:lang w:val="ro-RO"/>
        </w:rPr>
        <w:t xml:space="preserve"> și Plan</w:t>
      </w:r>
      <w:r w:rsidR="00815E3F" w:rsidRPr="00720652">
        <w:rPr>
          <w:rFonts w:asciiTheme="majorHAnsi" w:eastAsia="Calibri" w:hAnsiTheme="majorHAnsi" w:cstheme="majorHAnsi"/>
          <w:sz w:val="24"/>
          <w:szCs w:val="24"/>
          <w:lang w:val="ro-RO"/>
        </w:rPr>
        <w:t>ul</w:t>
      </w:r>
      <w:r w:rsidR="00720652" w:rsidRPr="00720652">
        <w:rPr>
          <w:rFonts w:asciiTheme="majorHAnsi" w:eastAsia="Calibri" w:hAnsiTheme="majorHAnsi" w:cstheme="majorHAnsi"/>
          <w:sz w:val="24"/>
          <w:szCs w:val="24"/>
          <w:lang w:val="ro-RO"/>
        </w:rPr>
        <w:t xml:space="preserve"> de acțiuni</w:t>
      </w:r>
      <w:r w:rsidRPr="00720652">
        <w:rPr>
          <w:rFonts w:asciiTheme="majorHAnsi" w:eastAsia="Calibri" w:hAnsiTheme="majorHAnsi" w:cstheme="majorHAnsi"/>
          <w:sz w:val="24"/>
          <w:szCs w:val="24"/>
          <w:lang w:val="ro-RO"/>
        </w:rPr>
        <w:t xml:space="preserve"> pentru perioada 2020-2024</w:t>
      </w:r>
      <w:r w:rsidRPr="00720652">
        <w:rPr>
          <w:rStyle w:val="a7"/>
          <w:rFonts w:asciiTheme="majorHAnsi" w:eastAsia="Calibri" w:hAnsiTheme="majorHAnsi" w:cstheme="majorHAnsi"/>
          <w:sz w:val="24"/>
          <w:szCs w:val="24"/>
          <w:lang w:val="ro-RO"/>
        </w:rPr>
        <w:footnoteReference w:id="4"/>
      </w:r>
      <w:r w:rsidRPr="00720652">
        <w:rPr>
          <w:rFonts w:asciiTheme="majorHAnsi" w:eastAsia="Calibri" w:hAnsiTheme="majorHAnsi" w:cstheme="majorHAnsi"/>
          <w:sz w:val="24"/>
          <w:szCs w:val="24"/>
          <w:lang w:val="ro-RO"/>
        </w:rPr>
        <w:t xml:space="preserve">, care include 28 de activități. </w:t>
      </w:r>
    </w:p>
    <w:p w14:paraId="37BB6F7F" w14:textId="77777777" w:rsidR="002B0FB6" w:rsidRPr="00720652" w:rsidRDefault="00815E3F">
      <w:pPr>
        <w:spacing w:after="0" w:line="276" w:lineRule="auto"/>
        <w:ind w:firstLine="360"/>
        <w:jc w:val="both"/>
        <w:rPr>
          <w:rFonts w:asciiTheme="majorHAnsi" w:eastAsia="Calibri" w:hAnsiTheme="majorHAnsi" w:cstheme="majorHAnsi"/>
          <w:bCs/>
          <w:sz w:val="24"/>
          <w:szCs w:val="24"/>
          <w:lang w:val="ro-RO"/>
        </w:rPr>
      </w:pPr>
      <w:r w:rsidRPr="00720652">
        <w:rPr>
          <w:rFonts w:asciiTheme="majorHAnsi" w:eastAsia="Calibri" w:hAnsiTheme="majorHAnsi" w:cstheme="majorHAnsi"/>
          <w:bCs/>
          <w:sz w:val="24"/>
          <w:szCs w:val="24"/>
          <w:shd w:val="clear" w:color="auto" w:fill="FFFFFF"/>
          <w:lang w:val="ro-RO"/>
        </w:rPr>
        <w:t>În ani</w:t>
      </w:r>
      <w:r w:rsidR="00C23157" w:rsidRPr="00720652">
        <w:rPr>
          <w:rFonts w:asciiTheme="majorHAnsi" w:eastAsia="Calibri" w:hAnsiTheme="majorHAnsi" w:cstheme="majorHAnsi"/>
          <w:bCs/>
          <w:sz w:val="24"/>
          <w:szCs w:val="24"/>
          <w:shd w:val="clear" w:color="auto" w:fill="FFFFFF"/>
          <w:lang w:val="ro-RO"/>
        </w:rPr>
        <w:t>i 2014-2022</w:t>
      </w:r>
      <w:r w:rsidR="009A17EB" w:rsidRPr="00720652">
        <w:rPr>
          <w:rFonts w:asciiTheme="majorHAnsi" w:eastAsia="Calibri" w:hAnsiTheme="majorHAnsi" w:cstheme="majorHAnsi"/>
          <w:bCs/>
          <w:sz w:val="24"/>
          <w:szCs w:val="24"/>
          <w:shd w:val="clear" w:color="auto" w:fill="FFFFFF"/>
          <w:lang w:val="ro-RO"/>
        </w:rPr>
        <w:t>,</w:t>
      </w:r>
      <w:r w:rsidR="00C23157" w:rsidRPr="00720652">
        <w:rPr>
          <w:rFonts w:asciiTheme="majorHAnsi" w:eastAsia="Calibri" w:hAnsiTheme="majorHAnsi" w:cstheme="majorHAnsi"/>
          <w:bCs/>
          <w:sz w:val="24"/>
          <w:szCs w:val="24"/>
          <w:shd w:val="clear" w:color="auto" w:fill="FFFFFF"/>
          <w:lang w:val="ro-RO"/>
        </w:rPr>
        <w:t xml:space="preserve"> în sistemele de alimentare cu apă și </w:t>
      </w:r>
      <w:r w:rsidR="009A17EB" w:rsidRPr="00720652">
        <w:rPr>
          <w:rFonts w:asciiTheme="majorHAnsi" w:eastAsia="Calibri" w:hAnsiTheme="majorHAnsi" w:cstheme="majorHAnsi"/>
          <w:bCs/>
          <w:sz w:val="24"/>
          <w:szCs w:val="24"/>
          <w:shd w:val="clear" w:color="auto" w:fill="FFFFFF"/>
          <w:lang w:val="ro-RO"/>
        </w:rPr>
        <w:t xml:space="preserve">de </w:t>
      </w:r>
      <w:r w:rsidR="00C23157" w:rsidRPr="00720652">
        <w:rPr>
          <w:rFonts w:asciiTheme="majorHAnsi" w:eastAsia="Calibri" w:hAnsiTheme="majorHAnsi" w:cstheme="majorHAnsi"/>
          <w:bCs/>
          <w:sz w:val="24"/>
          <w:szCs w:val="24"/>
          <w:shd w:val="clear" w:color="auto" w:fill="FFFFFF"/>
          <w:lang w:val="ro-RO"/>
        </w:rPr>
        <w:t>canalizare au fost investite 4</w:t>
      </w:r>
      <w:r w:rsidR="00C53035" w:rsidRPr="00720652">
        <w:rPr>
          <w:rFonts w:asciiTheme="majorHAnsi" w:eastAsia="Calibri" w:hAnsiTheme="majorHAnsi" w:cstheme="majorHAnsi"/>
          <w:bCs/>
          <w:sz w:val="24"/>
          <w:szCs w:val="24"/>
          <w:shd w:val="clear" w:color="auto" w:fill="FFFFFF"/>
          <w:lang w:val="ro-RO"/>
        </w:rPr>
        <w:t>.</w:t>
      </w:r>
      <w:r w:rsidR="00C23157" w:rsidRPr="00720652">
        <w:rPr>
          <w:rFonts w:asciiTheme="majorHAnsi" w:eastAsia="Calibri" w:hAnsiTheme="majorHAnsi" w:cstheme="majorHAnsi"/>
          <w:bCs/>
          <w:sz w:val="24"/>
          <w:szCs w:val="24"/>
          <w:shd w:val="clear" w:color="auto" w:fill="FFFFFF"/>
          <w:lang w:val="ro-RO"/>
        </w:rPr>
        <w:t>678,5 mil.lei. Ca rezultat a</w:t>
      </w:r>
      <w:r w:rsidR="00C53035" w:rsidRPr="00720652">
        <w:rPr>
          <w:rFonts w:asciiTheme="majorHAnsi" w:eastAsia="Calibri" w:hAnsiTheme="majorHAnsi" w:cstheme="majorHAnsi"/>
          <w:bCs/>
          <w:sz w:val="24"/>
          <w:szCs w:val="24"/>
          <w:shd w:val="clear" w:color="auto" w:fill="FFFFFF"/>
          <w:lang w:val="ro-RO"/>
        </w:rPr>
        <w:t>l</w:t>
      </w:r>
      <w:r w:rsidR="00C23157" w:rsidRPr="00720652">
        <w:rPr>
          <w:rFonts w:asciiTheme="majorHAnsi" w:eastAsia="Calibri" w:hAnsiTheme="majorHAnsi" w:cstheme="majorHAnsi"/>
          <w:bCs/>
          <w:sz w:val="24"/>
          <w:szCs w:val="24"/>
          <w:shd w:val="clear" w:color="auto" w:fill="FFFFFF"/>
          <w:lang w:val="ro-RO"/>
        </w:rPr>
        <w:t xml:space="preserve"> acestor investiții</w:t>
      </w:r>
      <w:r w:rsidR="00C53035" w:rsidRPr="00720652">
        <w:rPr>
          <w:rFonts w:asciiTheme="majorHAnsi" w:eastAsia="Calibri" w:hAnsiTheme="majorHAnsi" w:cstheme="majorHAnsi"/>
          <w:bCs/>
          <w:sz w:val="24"/>
          <w:szCs w:val="24"/>
          <w:shd w:val="clear" w:color="auto" w:fill="FFFFFF"/>
          <w:lang w:val="ro-RO"/>
        </w:rPr>
        <w:t>,</w:t>
      </w:r>
      <w:r w:rsidR="00C23157" w:rsidRPr="00720652">
        <w:rPr>
          <w:rFonts w:asciiTheme="majorHAnsi" w:eastAsia="Calibri" w:hAnsiTheme="majorHAnsi" w:cstheme="majorHAnsi"/>
          <w:bCs/>
          <w:sz w:val="24"/>
          <w:szCs w:val="24"/>
          <w:shd w:val="clear" w:color="auto" w:fill="FFFFFF"/>
          <w:lang w:val="ro-RO"/>
        </w:rPr>
        <w:t xml:space="preserve"> au fost construite apeducte noi, </w:t>
      </w:r>
      <w:r w:rsidR="00C53035" w:rsidRPr="00720652">
        <w:rPr>
          <w:rFonts w:asciiTheme="majorHAnsi" w:eastAsia="Calibri" w:hAnsiTheme="majorHAnsi" w:cstheme="majorHAnsi"/>
          <w:bCs/>
          <w:sz w:val="24"/>
          <w:szCs w:val="24"/>
          <w:shd w:val="clear" w:color="auto" w:fill="FFFFFF"/>
          <w:lang w:val="ro-RO"/>
        </w:rPr>
        <w:t xml:space="preserve">au fost </w:t>
      </w:r>
      <w:r w:rsidR="00C23157" w:rsidRPr="00720652">
        <w:rPr>
          <w:rFonts w:asciiTheme="majorHAnsi" w:eastAsia="Calibri" w:hAnsiTheme="majorHAnsi" w:cstheme="majorHAnsi"/>
          <w:bCs/>
          <w:sz w:val="24"/>
          <w:szCs w:val="24"/>
          <w:shd w:val="clear" w:color="auto" w:fill="FFFFFF"/>
          <w:lang w:val="ro-RO"/>
        </w:rPr>
        <w:t>reconstruite și reabilitate cele existente, a fost extinsă rețeaua de distribuție a apei etc.</w:t>
      </w:r>
    </w:p>
    <w:p w14:paraId="2CB122EB" w14:textId="79CCD8D0" w:rsidR="0049598F" w:rsidRPr="00720652" w:rsidRDefault="0095568D" w:rsidP="00815E3F">
      <w:pPr>
        <w:shd w:val="clear" w:color="auto" w:fill="FFFFFF"/>
        <w:spacing w:after="0" w:line="276" w:lineRule="auto"/>
        <w:ind w:firstLine="360"/>
        <w:jc w:val="both"/>
        <w:rPr>
          <w:rFonts w:asciiTheme="majorHAnsi" w:hAnsiTheme="majorHAnsi" w:cstheme="majorHAnsi"/>
          <w:b/>
          <w:bCs/>
          <w:sz w:val="24"/>
          <w:szCs w:val="24"/>
          <w:lang w:val="ro-RO"/>
        </w:rPr>
      </w:pPr>
      <w:r w:rsidRPr="00720652">
        <w:rPr>
          <w:rFonts w:asciiTheme="majorHAnsi" w:hAnsiTheme="majorHAnsi" w:cstheme="majorHAnsi"/>
          <w:bCs/>
          <w:sz w:val="24"/>
          <w:szCs w:val="24"/>
          <w:lang w:val="ro-RO"/>
        </w:rPr>
        <w:t>La e</w:t>
      </w:r>
      <w:r w:rsidR="00403AB2" w:rsidRPr="00720652">
        <w:rPr>
          <w:rFonts w:asciiTheme="majorHAnsi" w:hAnsiTheme="majorHAnsi" w:cstheme="majorHAnsi"/>
          <w:bCs/>
          <w:sz w:val="24"/>
          <w:szCs w:val="24"/>
          <w:lang w:val="ro-RO"/>
        </w:rPr>
        <w:t xml:space="preserve">valuarea implementării acțiunilor din ambele </w:t>
      </w:r>
      <w:r w:rsidR="00423BF1" w:rsidRPr="00720652">
        <w:rPr>
          <w:rFonts w:asciiTheme="majorHAnsi" w:hAnsiTheme="majorHAnsi" w:cstheme="majorHAnsi"/>
          <w:bCs/>
          <w:sz w:val="24"/>
          <w:szCs w:val="24"/>
          <w:lang w:val="ro-RO"/>
        </w:rPr>
        <w:t>P</w:t>
      </w:r>
      <w:r w:rsidR="00403AB2" w:rsidRPr="00720652">
        <w:rPr>
          <w:rFonts w:asciiTheme="majorHAnsi" w:hAnsiTheme="majorHAnsi" w:cstheme="majorHAnsi"/>
          <w:bCs/>
          <w:sz w:val="24"/>
          <w:szCs w:val="24"/>
          <w:lang w:val="ro-RO"/>
        </w:rPr>
        <w:t xml:space="preserve">lanuri de </w:t>
      </w:r>
      <w:r w:rsidR="00815E3F" w:rsidRPr="00720652">
        <w:rPr>
          <w:rFonts w:asciiTheme="majorHAnsi" w:hAnsiTheme="majorHAnsi" w:cstheme="majorHAnsi"/>
          <w:bCs/>
          <w:sz w:val="24"/>
          <w:szCs w:val="24"/>
          <w:lang w:val="ro-RO"/>
        </w:rPr>
        <w:t>acțiuni</w:t>
      </w:r>
      <w:r w:rsidR="00403AB2" w:rsidRPr="00720652">
        <w:rPr>
          <w:rFonts w:asciiTheme="majorHAnsi" w:hAnsiTheme="majorHAnsi" w:cstheme="majorHAnsi"/>
          <w:bCs/>
          <w:sz w:val="24"/>
          <w:szCs w:val="24"/>
          <w:lang w:val="ro-RO"/>
        </w:rPr>
        <w:t>, precum și a situației per a</w:t>
      </w:r>
      <w:r w:rsidR="00815E3F" w:rsidRPr="00720652">
        <w:rPr>
          <w:rFonts w:asciiTheme="majorHAnsi" w:hAnsiTheme="majorHAnsi" w:cstheme="majorHAnsi"/>
          <w:bCs/>
          <w:sz w:val="24"/>
          <w:szCs w:val="24"/>
          <w:lang w:val="ro-RO"/>
        </w:rPr>
        <w:t>nsambl</w:t>
      </w:r>
      <w:r w:rsidR="00403AB2" w:rsidRPr="00720652">
        <w:rPr>
          <w:rFonts w:asciiTheme="majorHAnsi" w:hAnsiTheme="majorHAnsi" w:cstheme="majorHAnsi"/>
          <w:bCs/>
          <w:sz w:val="24"/>
          <w:szCs w:val="24"/>
          <w:lang w:val="ro-RO"/>
        </w:rPr>
        <w:t>u în țară în domeniul aliment</w:t>
      </w:r>
      <w:r w:rsidRPr="00720652">
        <w:rPr>
          <w:rFonts w:asciiTheme="majorHAnsi" w:hAnsiTheme="majorHAnsi" w:cstheme="majorHAnsi"/>
          <w:bCs/>
          <w:sz w:val="24"/>
          <w:szCs w:val="24"/>
          <w:lang w:val="ro-RO"/>
        </w:rPr>
        <w:t>ării</w:t>
      </w:r>
      <w:r w:rsidR="002C06ED" w:rsidRPr="00720652">
        <w:rPr>
          <w:rFonts w:asciiTheme="majorHAnsi" w:hAnsiTheme="majorHAnsi" w:cstheme="majorHAnsi"/>
          <w:bCs/>
          <w:sz w:val="24"/>
          <w:szCs w:val="24"/>
          <w:lang w:val="ro-RO"/>
        </w:rPr>
        <w:t xml:space="preserve"> cu apă și sanitație</w:t>
      </w:r>
      <w:r w:rsidRPr="00720652">
        <w:rPr>
          <w:rFonts w:asciiTheme="majorHAnsi" w:hAnsiTheme="majorHAnsi" w:cstheme="majorHAnsi"/>
          <w:bCs/>
          <w:sz w:val="24"/>
          <w:szCs w:val="24"/>
          <w:lang w:val="ro-RO"/>
        </w:rPr>
        <w:t>i</w:t>
      </w:r>
      <w:r w:rsidR="002C06ED" w:rsidRPr="00720652">
        <w:rPr>
          <w:rFonts w:asciiTheme="majorHAnsi" w:hAnsiTheme="majorHAnsi" w:cstheme="majorHAnsi"/>
          <w:bCs/>
          <w:sz w:val="24"/>
          <w:szCs w:val="24"/>
          <w:lang w:val="ro-RO"/>
        </w:rPr>
        <w:t xml:space="preserve">, </w:t>
      </w:r>
      <w:r w:rsidRPr="00720652">
        <w:rPr>
          <w:rFonts w:asciiTheme="majorHAnsi" w:hAnsiTheme="majorHAnsi" w:cstheme="majorHAnsi"/>
          <w:bCs/>
          <w:sz w:val="24"/>
          <w:szCs w:val="24"/>
          <w:lang w:val="ro-RO"/>
        </w:rPr>
        <w:t>s-</w:t>
      </w:r>
      <w:r w:rsidR="002C06ED" w:rsidRPr="00720652">
        <w:rPr>
          <w:rFonts w:asciiTheme="majorHAnsi" w:hAnsiTheme="majorHAnsi" w:cstheme="majorHAnsi"/>
          <w:bCs/>
          <w:sz w:val="24"/>
          <w:szCs w:val="24"/>
          <w:lang w:val="ro-RO"/>
        </w:rPr>
        <w:t>a</w:t>
      </w:r>
      <w:r w:rsidRPr="00720652">
        <w:rPr>
          <w:rFonts w:asciiTheme="majorHAnsi" w:hAnsiTheme="majorHAnsi" w:cstheme="majorHAnsi"/>
          <w:bCs/>
          <w:sz w:val="24"/>
          <w:szCs w:val="24"/>
          <w:lang w:val="ro-RO"/>
        </w:rPr>
        <w:t>u</w:t>
      </w:r>
      <w:r w:rsidR="002C06ED" w:rsidRPr="00720652">
        <w:rPr>
          <w:rFonts w:asciiTheme="majorHAnsi" w:hAnsiTheme="majorHAnsi" w:cstheme="majorHAnsi"/>
          <w:bCs/>
          <w:sz w:val="24"/>
          <w:szCs w:val="24"/>
          <w:lang w:val="ro-RO"/>
        </w:rPr>
        <w:t xml:space="preserve"> constatat</w:t>
      </w:r>
      <w:r w:rsidR="00403AB2" w:rsidRPr="00720652">
        <w:rPr>
          <w:rFonts w:asciiTheme="majorHAnsi" w:hAnsiTheme="majorHAnsi" w:cstheme="majorHAnsi"/>
          <w:bCs/>
          <w:sz w:val="24"/>
          <w:szCs w:val="24"/>
          <w:lang w:val="ro-RO"/>
        </w:rPr>
        <w:t xml:space="preserve"> următoarele</w:t>
      </w:r>
      <w:r w:rsidR="00C23157" w:rsidRPr="00720652">
        <w:rPr>
          <w:rFonts w:asciiTheme="majorHAnsi" w:hAnsiTheme="majorHAnsi" w:cstheme="majorHAnsi"/>
          <w:bCs/>
          <w:sz w:val="24"/>
          <w:szCs w:val="24"/>
          <w:lang w:val="ro-RO"/>
        </w:rPr>
        <w:t xml:space="preserve"> deficiențe:</w:t>
      </w:r>
    </w:p>
    <w:p w14:paraId="22956BA9" w14:textId="5A57587E" w:rsidR="009E6346" w:rsidRPr="00720652" w:rsidRDefault="009A17EB" w:rsidP="00132AEF">
      <w:pPr>
        <w:pStyle w:val="af6"/>
        <w:numPr>
          <w:ilvl w:val="0"/>
          <w:numId w:val="30"/>
        </w:numPr>
        <w:shd w:val="clear" w:color="auto" w:fill="FFFFFF"/>
        <w:spacing w:line="276" w:lineRule="auto"/>
        <w:ind w:left="0" w:firstLine="567"/>
        <w:jc w:val="both"/>
        <w:rPr>
          <w:rFonts w:asciiTheme="majorHAnsi" w:hAnsiTheme="majorHAnsi" w:cstheme="majorHAnsi"/>
          <w:bCs/>
          <w:sz w:val="24"/>
          <w:szCs w:val="24"/>
        </w:rPr>
      </w:pPr>
      <w:r w:rsidRPr="00720652">
        <w:rPr>
          <w:rFonts w:asciiTheme="majorHAnsi" w:hAnsiTheme="majorHAnsi" w:cstheme="majorHAnsi"/>
          <w:b/>
          <w:sz w:val="24"/>
          <w:szCs w:val="24"/>
        </w:rPr>
        <w:t>i</w:t>
      </w:r>
      <w:r w:rsidR="00D75C72" w:rsidRPr="00720652">
        <w:rPr>
          <w:rFonts w:asciiTheme="majorHAnsi" w:hAnsiTheme="majorHAnsi" w:cstheme="majorHAnsi"/>
          <w:b/>
          <w:sz w:val="24"/>
          <w:szCs w:val="24"/>
        </w:rPr>
        <w:t>mplementarea p</w:t>
      </w:r>
      <w:r w:rsidR="009E6346" w:rsidRPr="00720652">
        <w:rPr>
          <w:rFonts w:asciiTheme="majorHAnsi" w:hAnsiTheme="majorHAnsi" w:cstheme="majorHAnsi"/>
          <w:b/>
          <w:sz w:val="24"/>
          <w:szCs w:val="24"/>
        </w:rPr>
        <w:t>oliti</w:t>
      </w:r>
      <w:r w:rsidR="00D75C72" w:rsidRPr="00720652">
        <w:rPr>
          <w:rFonts w:asciiTheme="majorHAnsi" w:hAnsiTheme="majorHAnsi" w:cstheme="majorHAnsi"/>
          <w:b/>
          <w:sz w:val="24"/>
          <w:szCs w:val="24"/>
        </w:rPr>
        <w:t>cilor</w:t>
      </w:r>
      <w:r w:rsidR="009E6346" w:rsidRPr="00720652">
        <w:rPr>
          <w:rFonts w:asciiTheme="majorHAnsi" w:hAnsiTheme="majorHAnsi" w:cstheme="majorHAnsi"/>
          <w:b/>
          <w:spacing w:val="42"/>
          <w:sz w:val="24"/>
          <w:szCs w:val="24"/>
        </w:rPr>
        <w:t xml:space="preserve"> </w:t>
      </w:r>
      <w:r w:rsidR="009E6346" w:rsidRPr="00720652">
        <w:rPr>
          <w:rFonts w:asciiTheme="majorHAnsi" w:hAnsiTheme="majorHAnsi" w:cstheme="majorHAnsi"/>
          <w:b/>
          <w:sz w:val="24"/>
          <w:szCs w:val="24"/>
        </w:rPr>
        <w:t xml:space="preserve">sectoriale aplicate în anii precedenți s-a dovedit </w:t>
      </w:r>
      <w:r w:rsidR="0095568D" w:rsidRPr="00720652">
        <w:rPr>
          <w:rFonts w:asciiTheme="majorHAnsi" w:hAnsiTheme="majorHAnsi" w:cstheme="majorHAnsi"/>
          <w:b/>
          <w:sz w:val="24"/>
          <w:szCs w:val="24"/>
        </w:rPr>
        <w:t>de</w:t>
      </w:r>
      <w:r w:rsidR="009E6346" w:rsidRPr="00720652">
        <w:rPr>
          <w:rFonts w:asciiTheme="majorHAnsi" w:hAnsiTheme="majorHAnsi" w:cstheme="majorHAnsi"/>
          <w:b/>
          <w:sz w:val="24"/>
          <w:szCs w:val="24"/>
        </w:rPr>
        <w:t xml:space="preserve"> o eficien</w:t>
      </w:r>
      <w:r w:rsidR="0095568D" w:rsidRPr="00720652">
        <w:rPr>
          <w:rFonts w:asciiTheme="majorHAnsi" w:hAnsiTheme="majorHAnsi" w:cstheme="majorHAnsi"/>
          <w:b/>
          <w:sz w:val="24"/>
          <w:szCs w:val="24"/>
        </w:rPr>
        <w:t>ț</w:t>
      </w:r>
      <w:r w:rsidR="009E6346" w:rsidRPr="00720652">
        <w:rPr>
          <w:rFonts w:asciiTheme="majorHAnsi" w:hAnsiTheme="majorHAnsi" w:cstheme="majorHAnsi"/>
          <w:b/>
          <w:sz w:val="24"/>
          <w:szCs w:val="24"/>
        </w:rPr>
        <w:t>ă redusă,</w:t>
      </w:r>
      <w:r w:rsidR="009E6346" w:rsidRPr="00720652">
        <w:rPr>
          <w:rFonts w:asciiTheme="majorHAnsi" w:hAnsiTheme="majorHAnsi" w:cstheme="majorHAnsi"/>
          <w:sz w:val="24"/>
          <w:szCs w:val="24"/>
        </w:rPr>
        <w:t xml:space="preserve"> nefiind elaborate și aprobate mecanisme corespunzătoare pentru</w:t>
      </w:r>
      <w:r w:rsidR="009E6346" w:rsidRPr="00720652">
        <w:rPr>
          <w:rFonts w:asciiTheme="majorHAnsi" w:hAnsiTheme="majorHAnsi" w:cstheme="majorHAnsi"/>
          <w:spacing w:val="43"/>
          <w:sz w:val="24"/>
          <w:szCs w:val="24"/>
        </w:rPr>
        <w:t xml:space="preserve"> </w:t>
      </w:r>
      <w:r w:rsidR="009E6346" w:rsidRPr="00720652">
        <w:rPr>
          <w:rFonts w:asciiTheme="majorHAnsi" w:hAnsiTheme="majorHAnsi" w:cstheme="majorHAnsi"/>
          <w:sz w:val="24"/>
          <w:szCs w:val="24"/>
        </w:rPr>
        <w:t>supravegherea,</w:t>
      </w:r>
      <w:r w:rsidR="009E6346" w:rsidRPr="00720652">
        <w:rPr>
          <w:rFonts w:asciiTheme="majorHAnsi" w:hAnsiTheme="majorHAnsi" w:cstheme="majorHAnsi"/>
          <w:spacing w:val="46"/>
          <w:sz w:val="24"/>
          <w:szCs w:val="24"/>
        </w:rPr>
        <w:t xml:space="preserve"> </w:t>
      </w:r>
      <w:r w:rsidR="009E6346" w:rsidRPr="00720652">
        <w:rPr>
          <w:rFonts w:asciiTheme="majorHAnsi" w:hAnsiTheme="majorHAnsi" w:cstheme="majorHAnsi"/>
          <w:sz w:val="24"/>
          <w:szCs w:val="24"/>
        </w:rPr>
        <w:t>gestionarea</w:t>
      </w:r>
      <w:r w:rsidR="009E6346" w:rsidRPr="00720652">
        <w:rPr>
          <w:rFonts w:asciiTheme="majorHAnsi" w:hAnsiTheme="majorHAnsi" w:cstheme="majorHAnsi"/>
          <w:spacing w:val="42"/>
          <w:sz w:val="24"/>
          <w:szCs w:val="24"/>
        </w:rPr>
        <w:t xml:space="preserve"> </w:t>
      </w:r>
      <w:r w:rsidR="00720652" w:rsidRPr="00720652">
        <w:rPr>
          <w:rFonts w:asciiTheme="majorHAnsi" w:hAnsiTheme="majorHAnsi" w:cstheme="majorHAnsi"/>
          <w:sz w:val="24"/>
          <w:szCs w:val="24"/>
        </w:rPr>
        <w:t>și</w:t>
      </w:r>
      <w:r w:rsidR="009E6346" w:rsidRPr="00720652">
        <w:rPr>
          <w:rFonts w:asciiTheme="majorHAnsi" w:hAnsiTheme="majorHAnsi" w:cstheme="majorHAnsi"/>
          <w:spacing w:val="44"/>
          <w:sz w:val="24"/>
          <w:szCs w:val="24"/>
        </w:rPr>
        <w:t xml:space="preserve"> </w:t>
      </w:r>
      <w:r w:rsidR="009E6346" w:rsidRPr="00720652">
        <w:rPr>
          <w:rFonts w:asciiTheme="majorHAnsi" w:hAnsiTheme="majorHAnsi" w:cstheme="majorHAnsi"/>
          <w:sz w:val="24"/>
          <w:szCs w:val="24"/>
        </w:rPr>
        <w:t>monitorizarea</w:t>
      </w:r>
      <w:r w:rsidR="009807B0" w:rsidRPr="00720652">
        <w:rPr>
          <w:rFonts w:asciiTheme="majorHAnsi" w:hAnsiTheme="majorHAnsi" w:cstheme="majorHAnsi"/>
          <w:sz w:val="24"/>
          <w:szCs w:val="24"/>
        </w:rPr>
        <w:t xml:space="preserve"> </w:t>
      </w:r>
      <w:r w:rsidR="009E6346" w:rsidRPr="00720652">
        <w:rPr>
          <w:rFonts w:asciiTheme="majorHAnsi" w:hAnsiTheme="majorHAnsi" w:cstheme="majorHAnsi"/>
          <w:spacing w:val="-57"/>
          <w:sz w:val="24"/>
          <w:szCs w:val="24"/>
        </w:rPr>
        <w:t xml:space="preserve"> </w:t>
      </w:r>
      <w:r w:rsidR="009E6346" w:rsidRPr="00720652">
        <w:rPr>
          <w:rFonts w:asciiTheme="majorHAnsi" w:hAnsiTheme="majorHAnsi" w:cstheme="majorHAnsi"/>
          <w:sz w:val="24"/>
          <w:szCs w:val="24"/>
        </w:rPr>
        <w:t>domeniului</w:t>
      </w:r>
      <w:r w:rsidR="009E6346" w:rsidRPr="00720652">
        <w:rPr>
          <w:rFonts w:asciiTheme="majorHAnsi" w:hAnsiTheme="majorHAnsi" w:cstheme="majorHAnsi"/>
          <w:spacing w:val="-1"/>
          <w:sz w:val="24"/>
          <w:szCs w:val="24"/>
        </w:rPr>
        <w:t xml:space="preserve"> </w:t>
      </w:r>
      <w:r w:rsidR="009E6346" w:rsidRPr="00720652">
        <w:rPr>
          <w:rFonts w:asciiTheme="majorHAnsi" w:hAnsiTheme="majorHAnsi" w:cstheme="majorHAnsi"/>
          <w:sz w:val="24"/>
          <w:szCs w:val="24"/>
        </w:rPr>
        <w:t>alimentării cu apă</w:t>
      </w:r>
      <w:r w:rsidR="009E6346" w:rsidRPr="00720652">
        <w:rPr>
          <w:rFonts w:asciiTheme="majorHAnsi" w:hAnsiTheme="majorHAnsi" w:cstheme="majorHAnsi"/>
          <w:spacing w:val="-1"/>
          <w:sz w:val="24"/>
          <w:szCs w:val="24"/>
        </w:rPr>
        <w:t xml:space="preserve"> </w:t>
      </w:r>
      <w:r w:rsidR="00720652" w:rsidRPr="00720652">
        <w:rPr>
          <w:rFonts w:asciiTheme="majorHAnsi" w:hAnsiTheme="majorHAnsi" w:cstheme="majorHAnsi"/>
          <w:sz w:val="24"/>
          <w:szCs w:val="24"/>
        </w:rPr>
        <w:t>și</w:t>
      </w:r>
      <w:r w:rsidR="009E6346" w:rsidRPr="00720652">
        <w:rPr>
          <w:rFonts w:asciiTheme="majorHAnsi" w:hAnsiTheme="majorHAnsi" w:cstheme="majorHAnsi"/>
          <w:spacing w:val="-1"/>
          <w:sz w:val="24"/>
          <w:szCs w:val="24"/>
        </w:rPr>
        <w:t xml:space="preserve"> </w:t>
      </w:r>
      <w:r w:rsidR="009807B0" w:rsidRPr="00720652">
        <w:rPr>
          <w:rFonts w:asciiTheme="majorHAnsi" w:hAnsiTheme="majorHAnsi" w:cstheme="majorHAnsi"/>
          <w:sz w:val="24"/>
          <w:szCs w:val="24"/>
        </w:rPr>
        <w:t>sanitației</w:t>
      </w:r>
      <w:r w:rsidR="00132AEF" w:rsidRPr="00720652">
        <w:rPr>
          <w:rFonts w:asciiTheme="majorHAnsi" w:hAnsiTheme="majorHAnsi" w:cstheme="majorHAnsi"/>
          <w:sz w:val="24"/>
          <w:szCs w:val="24"/>
        </w:rPr>
        <w:t>, precum și ținerea un</w:t>
      </w:r>
      <w:r w:rsidR="009E6346" w:rsidRPr="00720652">
        <w:rPr>
          <w:rFonts w:asciiTheme="majorHAnsi" w:hAnsiTheme="majorHAnsi" w:cstheme="majorHAnsi"/>
          <w:sz w:val="24"/>
          <w:szCs w:val="24"/>
        </w:rPr>
        <w:t>ui registru unic al infrastructurii aferente domeniului</w:t>
      </w:r>
      <w:r w:rsidR="0095568D" w:rsidRPr="00720652">
        <w:rPr>
          <w:rFonts w:asciiTheme="majorHAnsi" w:hAnsiTheme="majorHAnsi" w:cstheme="majorHAnsi"/>
          <w:sz w:val="24"/>
          <w:szCs w:val="24"/>
        </w:rPr>
        <w:t>;</w:t>
      </w:r>
      <w:r w:rsidR="009E6346" w:rsidRPr="00720652">
        <w:rPr>
          <w:rFonts w:asciiTheme="majorHAnsi" w:hAnsiTheme="majorHAnsi" w:cstheme="majorHAnsi"/>
          <w:sz w:val="24"/>
          <w:szCs w:val="24"/>
        </w:rPr>
        <w:t xml:space="preserve">  </w:t>
      </w:r>
    </w:p>
    <w:p w14:paraId="59500783" w14:textId="0DA62ACC" w:rsidR="0049598F" w:rsidRPr="00720652" w:rsidRDefault="009A17EB" w:rsidP="0095568D">
      <w:pPr>
        <w:pStyle w:val="af3"/>
        <w:numPr>
          <w:ilvl w:val="0"/>
          <w:numId w:val="30"/>
        </w:numPr>
        <w:spacing w:after="0" w:line="276" w:lineRule="auto"/>
        <w:ind w:left="0" w:firstLine="567"/>
        <w:jc w:val="both"/>
        <w:rPr>
          <w:rFonts w:asciiTheme="majorHAnsi" w:eastAsia="MS Mincho" w:hAnsiTheme="majorHAnsi" w:cstheme="majorHAnsi"/>
          <w:bCs/>
          <w:kern w:val="2"/>
          <w:sz w:val="24"/>
          <w:szCs w:val="24"/>
          <w:lang w:val="ro-RO"/>
        </w:rPr>
      </w:pPr>
      <w:r w:rsidRPr="00720652">
        <w:rPr>
          <w:rFonts w:asciiTheme="majorHAnsi" w:eastAsia="MS Mincho" w:hAnsiTheme="majorHAnsi" w:cstheme="majorHAnsi"/>
          <w:b/>
          <w:bCs/>
          <w:kern w:val="2"/>
          <w:sz w:val="24"/>
          <w:szCs w:val="24"/>
          <w:lang w:val="ro-RO"/>
        </w:rPr>
        <w:t>i</w:t>
      </w:r>
      <w:r w:rsidR="00783107" w:rsidRPr="00720652">
        <w:rPr>
          <w:rFonts w:asciiTheme="majorHAnsi" w:eastAsia="MS Mincho" w:hAnsiTheme="majorHAnsi" w:cstheme="majorHAnsi"/>
          <w:b/>
          <w:bCs/>
          <w:kern w:val="2"/>
          <w:sz w:val="24"/>
          <w:szCs w:val="24"/>
          <w:lang w:val="ro-RO"/>
        </w:rPr>
        <w:t>mplementarea parțială a activităților din Planul de acțiuni.</w:t>
      </w:r>
      <w:r w:rsidR="00783107" w:rsidRPr="00720652">
        <w:rPr>
          <w:rFonts w:asciiTheme="majorHAnsi" w:eastAsia="MS Mincho" w:hAnsiTheme="majorHAnsi" w:cstheme="majorHAnsi"/>
          <w:bCs/>
          <w:kern w:val="2"/>
          <w:sz w:val="24"/>
          <w:szCs w:val="24"/>
          <w:lang w:val="ro-RO"/>
        </w:rPr>
        <w:t xml:space="preserve"> </w:t>
      </w:r>
      <w:r w:rsidR="0049598F" w:rsidRPr="00720652">
        <w:rPr>
          <w:rFonts w:asciiTheme="majorHAnsi" w:eastAsia="MS Mincho" w:hAnsiTheme="majorHAnsi" w:cstheme="majorHAnsi"/>
          <w:bCs/>
          <w:kern w:val="2"/>
          <w:sz w:val="24"/>
          <w:szCs w:val="24"/>
          <w:lang w:val="ro-RO"/>
        </w:rPr>
        <w:t>Din 30 de acțiuni incluse în  Planul de acțiuni pentru anii 2014-2018</w:t>
      </w:r>
      <w:r w:rsidR="0095568D" w:rsidRPr="00720652">
        <w:rPr>
          <w:rFonts w:asciiTheme="majorHAnsi" w:eastAsia="MS Mincho" w:hAnsiTheme="majorHAnsi" w:cstheme="majorHAnsi"/>
          <w:bCs/>
          <w:kern w:val="2"/>
          <w:sz w:val="24"/>
          <w:szCs w:val="24"/>
          <w:lang w:val="ro-RO"/>
        </w:rPr>
        <w:t>,</w:t>
      </w:r>
      <w:r w:rsidR="0049598F" w:rsidRPr="00720652">
        <w:rPr>
          <w:rFonts w:asciiTheme="majorHAnsi" w:eastAsia="MS Mincho" w:hAnsiTheme="majorHAnsi" w:cstheme="majorHAnsi"/>
          <w:bCs/>
          <w:kern w:val="2"/>
          <w:sz w:val="24"/>
          <w:szCs w:val="24"/>
          <w:lang w:val="ro-RO"/>
        </w:rPr>
        <w:t xml:space="preserve"> au fost implementate integral 18 acțiuni, din care 15 acțiuni </w:t>
      </w:r>
      <w:r w:rsidR="0095568D" w:rsidRPr="00720652">
        <w:rPr>
          <w:rFonts w:asciiTheme="majorHAnsi" w:eastAsia="MS Mincho" w:hAnsiTheme="majorHAnsi" w:cstheme="majorHAnsi"/>
          <w:bCs/>
          <w:kern w:val="2"/>
          <w:sz w:val="24"/>
          <w:szCs w:val="24"/>
          <w:lang w:val="ro-RO"/>
        </w:rPr>
        <w:t xml:space="preserve">– </w:t>
      </w:r>
      <w:r w:rsidR="0049598F" w:rsidRPr="00720652">
        <w:rPr>
          <w:rFonts w:asciiTheme="majorHAnsi" w:eastAsia="MS Mincho" w:hAnsiTheme="majorHAnsi" w:cstheme="majorHAnsi"/>
          <w:bCs/>
          <w:kern w:val="2"/>
          <w:sz w:val="24"/>
          <w:szCs w:val="24"/>
          <w:lang w:val="ro-RO"/>
        </w:rPr>
        <w:t>în termen</w:t>
      </w:r>
      <w:r w:rsidR="0095568D" w:rsidRPr="00720652">
        <w:rPr>
          <w:rFonts w:asciiTheme="majorHAnsi" w:eastAsia="MS Mincho" w:hAnsiTheme="majorHAnsi" w:cstheme="majorHAnsi"/>
          <w:bCs/>
          <w:kern w:val="2"/>
          <w:sz w:val="24"/>
          <w:szCs w:val="24"/>
          <w:lang w:val="ro-RO"/>
        </w:rPr>
        <w:t>,</w:t>
      </w:r>
      <w:r w:rsidR="0049598F" w:rsidRPr="00720652">
        <w:rPr>
          <w:rFonts w:asciiTheme="majorHAnsi" w:eastAsia="MS Mincho" w:hAnsiTheme="majorHAnsi" w:cstheme="majorHAnsi"/>
          <w:bCs/>
          <w:kern w:val="2"/>
          <w:sz w:val="24"/>
          <w:szCs w:val="24"/>
          <w:lang w:val="ro-RO"/>
        </w:rPr>
        <w:t xml:space="preserve"> și 3 acțiuni </w:t>
      </w:r>
      <w:r w:rsidR="0095568D" w:rsidRPr="00720652">
        <w:rPr>
          <w:rFonts w:asciiTheme="majorHAnsi" w:eastAsia="MS Mincho" w:hAnsiTheme="majorHAnsi" w:cstheme="majorHAnsi"/>
          <w:bCs/>
          <w:kern w:val="2"/>
          <w:sz w:val="24"/>
          <w:szCs w:val="24"/>
          <w:lang w:val="ro-RO"/>
        </w:rPr>
        <w:t xml:space="preserve">– </w:t>
      </w:r>
      <w:r w:rsidR="0049598F" w:rsidRPr="00720652">
        <w:rPr>
          <w:rFonts w:asciiTheme="majorHAnsi" w:eastAsia="MS Mincho" w:hAnsiTheme="majorHAnsi" w:cstheme="majorHAnsi"/>
          <w:bCs/>
          <w:kern w:val="2"/>
          <w:sz w:val="24"/>
          <w:szCs w:val="24"/>
          <w:lang w:val="ro-RO"/>
        </w:rPr>
        <w:t>cu depășirea ter</w:t>
      </w:r>
      <w:r w:rsidR="00826233" w:rsidRPr="00720652">
        <w:rPr>
          <w:rFonts w:asciiTheme="majorHAnsi" w:eastAsia="MS Mincho" w:hAnsiTheme="majorHAnsi" w:cstheme="majorHAnsi"/>
          <w:bCs/>
          <w:kern w:val="2"/>
          <w:sz w:val="24"/>
          <w:szCs w:val="24"/>
          <w:lang w:val="ro-RO"/>
        </w:rPr>
        <w:t xml:space="preserve">menului, parțial implementate </w:t>
      </w:r>
      <w:r w:rsidR="0095568D" w:rsidRPr="00720652">
        <w:rPr>
          <w:rFonts w:asciiTheme="majorHAnsi" w:eastAsia="MS Mincho" w:hAnsiTheme="majorHAnsi" w:cstheme="majorHAnsi"/>
          <w:bCs/>
          <w:kern w:val="2"/>
          <w:sz w:val="24"/>
          <w:szCs w:val="24"/>
          <w:lang w:val="ro-RO"/>
        </w:rPr>
        <w:t xml:space="preserve">– </w:t>
      </w:r>
      <w:r w:rsidR="00826233" w:rsidRPr="00720652">
        <w:rPr>
          <w:rFonts w:asciiTheme="majorHAnsi" w:eastAsia="MS Mincho" w:hAnsiTheme="majorHAnsi" w:cstheme="majorHAnsi"/>
          <w:bCs/>
          <w:kern w:val="2"/>
          <w:sz w:val="24"/>
          <w:szCs w:val="24"/>
          <w:lang w:val="ro-RO"/>
        </w:rPr>
        <w:t xml:space="preserve">5 </w:t>
      </w:r>
      <w:r w:rsidR="0049598F" w:rsidRPr="00720652">
        <w:rPr>
          <w:rFonts w:asciiTheme="majorHAnsi" w:eastAsia="MS Mincho" w:hAnsiTheme="majorHAnsi" w:cstheme="majorHAnsi"/>
          <w:bCs/>
          <w:kern w:val="2"/>
          <w:sz w:val="24"/>
          <w:szCs w:val="24"/>
          <w:lang w:val="ro-RO"/>
        </w:rPr>
        <w:t>acțiuni</w:t>
      </w:r>
      <w:r w:rsidR="0095568D" w:rsidRPr="00720652">
        <w:rPr>
          <w:rFonts w:asciiTheme="majorHAnsi" w:eastAsia="MS Mincho" w:hAnsiTheme="majorHAnsi" w:cstheme="majorHAnsi"/>
          <w:bCs/>
          <w:kern w:val="2"/>
          <w:sz w:val="24"/>
          <w:szCs w:val="24"/>
          <w:lang w:val="ro-RO"/>
        </w:rPr>
        <w:t>,</w:t>
      </w:r>
      <w:r w:rsidR="0049598F" w:rsidRPr="00720652">
        <w:rPr>
          <w:rFonts w:asciiTheme="majorHAnsi" w:eastAsia="MS Mincho" w:hAnsiTheme="majorHAnsi" w:cstheme="majorHAnsi"/>
          <w:bCs/>
          <w:kern w:val="2"/>
          <w:sz w:val="24"/>
          <w:szCs w:val="24"/>
          <w:lang w:val="ro-RO"/>
        </w:rPr>
        <w:t xml:space="preserve"> și neimplementate </w:t>
      </w:r>
      <w:r w:rsidR="0095568D" w:rsidRPr="00720652">
        <w:rPr>
          <w:rFonts w:asciiTheme="majorHAnsi" w:eastAsia="MS Mincho" w:hAnsiTheme="majorHAnsi" w:cstheme="majorHAnsi"/>
          <w:bCs/>
          <w:kern w:val="2"/>
          <w:sz w:val="24"/>
          <w:szCs w:val="24"/>
          <w:lang w:val="ro-RO"/>
        </w:rPr>
        <w:t xml:space="preserve">– </w:t>
      </w:r>
      <w:r w:rsidR="0049598F" w:rsidRPr="00720652">
        <w:rPr>
          <w:rFonts w:asciiTheme="majorHAnsi" w:eastAsia="MS Mincho" w:hAnsiTheme="majorHAnsi" w:cstheme="majorHAnsi"/>
          <w:bCs/>
          <w:kern w:val="2"/>
          <w:sz w:val="24"/>
          <w:szCs w:val="24"/>
          <w:lang w:val="ro-RO"/>
        </w:rPr>
        <w:t>7 acțiuni, nivelul de implementare constituind 68,3%</w:t>
      </w:r>
      <w:r w:rsidR="006034FD" w:rsidRPr="00720652">
        <w:rPr>
          <w:rFonts w:asciiTheme="majorHAnsi" w:eastAsia="MS Mincho" w:hAnsiTheme="majorHAnsi" w:cstheme="majorHAnsi"/>
          <w:bCs/>
          <w:kern w:val="2"/>
          <w:sz w:val="24"/>
          <w:szCs w:val="24"/>
          <w:lang w:val="ro-RO"/>
        </w:rPr>
        <w:t xml:space="preserve">; </w:t>
      </w:r>
      <w:r w:rsidR="00423BF1" w:rsidRPr="00720652">
        <w:rPr>
          <w:rFonts w:asciiTheme="majorHAnsi" w:eastAsia="MS Mincho" w:hAnsiTheme="majorHAnsi" w:cstheme="majorHAnsi"/>
          <w:bCs/>
          <w:kern w:val="2"/>
          <w:sz w:val="24"/>
          <w:szCs w:val="24"/>
          <w:lang w:val="ro-RO"/>
        </w:rPr>
        <w:t>din</w:t>
      </w:r>
      <w:r w:rsidR="0049598F" w:rsidRPr="00720652">
        <w:rPr>
          <w:rFonts w:asciiTheme="majorHAnsi" w:eastAsia="MS Mincho" w:hAnsiTheme="majorHAnsi" w:cstheme="majorHAnsi"/>
          <w:bCs/>
          <w:kern w:val="2"/>
          <w:sz w:val="24"/>
          <w:szCs w:val="24"/>
          <w:lang w:val="ro-RO"/>
        </w:rPr>
        <w:t xml:space="preserve"> Planul de acțiuni pentru anii 2020-2024, au fost implementate integral 16</w:t>
      </w:r>
      <w:r w:rsidR="00826233" w:rsidRPr="00720652">
        <w:rPr>
          <w:rFonts w:asciiTheme="majorHAnsi" w:eastAsia="MS Mincho" w:hAnsiTheme="majorHAnsi" w:cstheme="majorHAnsi"/>
          <w:bCs/>
          <w:kern w:val="2"/>
          <w:sz w:val="24"/>
          <w:szCs w:val="24"/>
          <w:lang w:val="ro-RO"/>
        </w:rPr>
        <w:t xml:space="preserve"> </w:t>
      </w:r>
      <w:r w:rsidR="006034FD" w:rsidRPr="00720652">
        <w:rPr>
          <w:rFonts w:asciiTheme="majorHAnsi" w:eastAsia="MS Mincho" w:hAnsiTheme="majorHAnsi" w:cstheme="majorHAnsi"/>
          <w:bCs/>
          <w:kern w:val="2"/>
          <w:sz w:val="24"/>
          <w:szCs w:val="24"/>
          <w:lang w:val="ro-RO"/>
        </w:rPr>
        <w:t>acțiuni</w:t>
      </w:r>
      <w:r w:rsidR="0049598F" w:rsidRPr="00720652">
        <w:rPr>
          <w:rFonts w:asciiTheme="majorHAnsi" w:eastAsia="MS Mincho" w:hAnsiTheme="majorHAnsi" w:cstheme="majorHAnsi"/>
          <w:bCs/>
          <w:kern w:val="2"/>
          <w:sz w:val="24"/>
          <w:szCs w:val="24"/>
          <w:lang w:val="ro-RO"/>
        </w:rPr>
        <w:t xml:space="preserve">, toate fiind implementate în termen, parțial implementată </w:t>
      </w:r>
      <w:r w:rsidR="0095568D" w:rsidRPr="00720652">
        <w:rPr>
          <w:rFonts w:asciiTheme="majorHAnsi" w:eastAsia="MS Mincho" w:hAnsiTheme="majorHAnsi" w:cstheme="majorHAnsi"/>
          <w:bCs/>
          <w:kern w:val="2"/>
          <w:sz w:val="24"/>
          <w:szCs w:val="24"/>
          <w:lang w:val="ro-RO"/>
        </w:rPr>
        <w:t xml:space="preserve">– </w:t>
      </w:r>
      <w:r w:rsidR="0049598F" w:rsidRPr="00720652">
        <w:rPr>
          <w:rFonts w:asciiTheme="majorHAnsi" w:eastAsia="MS Mincho" w:hAnsiTheme="majorHAnsi" w:cstheme="majorHAnsi"/>
          <w:bCs/>
          <w:kern w:val="2"/>
          <w:sz w:val="24"/>
          <w:szCs w:val="24"/>
          <w:lang w:val="ro-RO"/>
        </w:rPr>
        <w:t>o acțiune</w:t>
      </w:r>
      <w:r w:rsidR="0095568D" w:rsidRPr="00720652">
        <w:rPr>
          <w:rFonts w:asciiTheme="majorHAnsi" w:eastAsia="MS Mincho" w:hAnsiTheme="majorHAnsi" w:cstheme="majorHAnsi"/>
          <w:bCs/>
          <w:kern w:val="2"/>
          <w:sz w:val="24"/>
          <w:szCs w:val="24"/>
          <w:lang w:val="ro-RO"/>
        </w:rPr>
        <w:t>,</w:t>
      </w:r>
      <w:r w:rsidR="0049598F" w:rsidRPr="00720652">
        <w:rPr>
          <w:rFonts w:asciiTheme="majorHAnsi" w:eastAsia="MS Mincho" w:hAnsiTheme="majorHAnsi" w:cstheme="majorHAnsi"/>
          <w:bCs/>
          <w:kern w:val="2"/>
          <w:sz w:val="24"/>
          <w:szCs w:val="24"/>
          <w:lang w:val="ro-RO"/>
        </w:rPr>
        <w:t xml:space="preserve"> și 6 acțiuni nu au fos</w:t>
      </w:r>
      <w:r w:rsidR="009E6346" w:rsidRPr="00720652">
        <w:rPr>
          <w:rFonts w:asciiTheme="majorHAnsi" w:eastAsia="MS Mincho" w:hAnsiTheme="majorHAnsi" w:cstheme="majorHAnsi"/>
          <w:bCs/>
          <w:kern w:val="2"/>
          <w:sz w:val="24"/>
          <w:szCs w:val="24"/>
          <w:lang w:val="ro-RO"/>
        </w:rPr>
        <w:t xml:space="preserve">t </w:t>
      </w:r>
      <w:r w:rsidR="0049598F" w:rsidRPr="00720652">
        <w:rPr>
          <w:rFonts w:asciiTheme="majorHAnsi" w:eastAsia="MS Mincho" w:hAnsiTheme="majorHAnsi" w:cstheme="majorHAnsi"/>
          <w:bCs/>
          <w:kern w:val="2"/>
          <w:sz w:val="24"/>
          <w:szCs w:val="24"/>
          <w:lang w:val="ro-RO"/>
        </w:rPr>
        <w:t>implementate, nivelul de implementare constituind 58,9%</w:t>
      </w:r>
      <w:r w:rsidR="0095568D" w:rsidRPr="00720652">
        <w:rPr>
          <w:rFonts w:asciiTheme="majorHAnsi" w:eastAsia="MS Mincho" w:hAnsiTheme="majorHAnsi" w:cstheme="majorHAnsi"/>
          <w:bCs/>
          <w:kern w:val="2"/>
          <w:sz w:val="24"/>
          <w:szCs w:val="24"/>
          <w:lang w:val="ro-RO"/>
        </w:rPr>
        <w:t>;</w:t>
      </w:r>
      <w:r w:rsidR="0049598F" w:rsidRPr="00720652">
        <w:rPr>
          <w:rFonts w:asciiTheme="majorHAnsi" w:eastAsia="MS Mincho" w:hAnsiTheme="majorHAnsi" w:cstheme="majorHAnsi"/>
          <w:bCs/>
          <w:kern w:val="2"/>
          <w:sz w:val="24"/>
          <w:szCs w:val="24"/>
          <w:lang w:val="ro-RO"/>
        </w:rPr>
        <w:t xml:space="preserve"> </w:t>
      </w:r>
    </w:p>
    <w:p w14:paraId="6E3D139D" w14:textId="408E81F6" w:rsidR="0049598F" w:rsidRPr="00720652" w:rsidRDefault="00FB024C" w:rsidP="00132AEF">
      <w:pPr>
        <w:pStyle w:val="af3"/>
        <w:numPr>
          <w:ilvl w:val="0"/>
          <w:numId w:val="30"/>
        </w:numPr>
        <w:spacing w:after="0" w:line="276" w:lineRule="auto"/>
        <w:ind w:left="0" w:firstLine="567"/>
        <w:jc w:val="both"/>
        <w:rPr>
          <w:rFonts w:asciiTheme="majorHAnsi" w:eastAsia="MS Mincho" w:hAnsiTheme="majorHAnsi" w:cstheme="majorHAnsi"/>
          <w:bCs/>
          <w:kern w:val="2"/>
          <w:sz w:val="24"/>
          <w:szCs w:val="24"/>
          <w:lang w:val="ro-RO"/>
        </w:rPr>
      </w:pPr>
      <w:r w:rsidRPr="00720652">
        <w:rPr>
          <w:rFonts w:asciiTheme="majorHAnsi" w:hAnsiTheme="majorHAnsi" w:cstheme="majorHAnsi"/>
          <w:b/>
          <w:bCs/>
          <w:sz w:val="24"/>
          <w:szCs w:val="24"/>
          <w:lang w:val="ro-RO"/>
        </w:rPr>
        <w:t>SAAS nu corespunde nici structural, nici sub aspectul monitoriz</w:t>
      </w:r>
      <w:r w:rsidR="0095568D" w:rsidRPr="00720652">
        <w:rPr>
          <w:rFonts w:asciiTheme="majorHAnsi" w:hAnsiTheme="majorHAnsi" w:cstheme="majorHAnsi"/>
          <w:b/>
          <w:bCs/>
          <w:sz w:val="24"/>
          <w:szCs w:val="24"/>
          <w:lang w:val="ro-RO"/>
        </w:rPr>
        <w:t>ării</w:t>
      </w:r>
      <w:r w:rsidR="00720652" w:rsidRPr="00720652">
        <w:rPr>
          <w:rFonts w:asciiTheme="majorHAnsi" w:hAnsiTheme="majorHAnsi" w:cstheme="majorHAnsi"/>
          <w:b/>
          <w:bCs/>
          <w:sz w:val="24"/>
          <w:szCs w:val="24"/>
          <w:lang w:val="ro-RO"/>
        </w:rPr>
        <w:t xml:space="preserve"> și</w:t>
      </w:r>
      <w:r w:rsidRPr="00720652">
        <w:rPr>
          <w:rFonts w:asciiTheme="majorHAnsi" w:hAnsiTheme="majorHAnsi" w:cstheme="majorHAnsi"/>
          <w:b/>
          <w:bCs/>
          <w:sz w:val="24"/>
          <w:szCs w:val="24"/>
          <w:lang w:val="ro-RO"/>
        </w:rPr>
        <w:t xml:space="preserve"> raport</w:t>
      </w:r>
      <w:r w:rsidR="0095568D" w:rsidRPr="00720652">
        <w:rPr>
          <w:rFonts w:asciiTheme="majorHAnsi" w:hAnsiTheme="majorHAnsi" w:cstheme="majorHAnsi"/>
          <w:b/>
          <w:bCs/>
          <w:sz w:val="24"/>
          <w:szCs w:val="24"/>
          <w:lang w:val="ro-RO"/>
        </w:rPr>
        <w:t>ării</w:t>
      </w:r>
      <w:r w:rsidRPr="00720652">
        <w:rPr>
          <w:rFonts w:asciiTheme="majorHAnsi" w:hAnsiTheme="majorHAnsi" w:cstheme="majorHAnsi"/>
          <w:b/>
          <w:bCs/>
          <w:sz w:val="24"/>
          <w:szCs w:val="24"/>
          <w:lang w:val="ro-RO"/>
        </w:rPr>
        <w:t xml:space="preserve"> noilor cerințe normative.</w:t>
      </w:r>
      <w:r w:rsidRPr="00720652">
        <w:rPr>
          <w:rFonts w:asciiTheme="majorHAnsi" w:hAnsiTheme="majorHAnsi" w:cstheme="majorHAnsi"/>
          <w:bCs/>
          <w:sz w:val="24"/>
          <w:szCs w:val="24"/>
          <w:lang w:val="ro-RO"/>
        </w:rPr>
        <w:t xml:space="preserve"> </w:t>
      </w:r>
      <w:r w:rsidR="00783107" w:rsidRPr="00720652">
        <w:rPr>
          <w:rFonts w:asciiTheme="majorHAnsi" w:hAnsiTheme="majorHAnsi" w:cstheme="majorHAnsi"/>
          <w:bCs/>
          <w:sz w:val="24"/>
          <w:szCs w:val="24"/>
          <w:lang w:val="ro-RO"/>
        </w:rPr>
        <w:t>În anul 2020 a fost modificat cadrul normativ care reglementează planificarea, elaborarea, aprobarea, implementarea, monitorizarea și evaluarea documentelor de politici publice, în acest context, reieșind din noile prevederi, n</w:t>
      </w:r>
      <w:r w:rsidRPr="00720652">
        <w:rPr>
          <w:rFonts w:asciiTheme="majorHAnsi" w:eastAsia="Times New Roman" w:hAnsiTheme="majorHAnsi" w:cstheme="majorHAnsi"/>
          <w:sz w:val="24"/>
          <w:szCs w:val="24"/>
          <w:lang w:val="ro-RO" w:bidi="he-IL"/>
        </w:rPr>
        <w:t xml:space="preserve">u există o certitudine în privința continuării implementării măsurilor incluse în SAAS </w:t>
      </w:r>
      <w:r w:rsidR="0095568D" w:rsidRPr="00720652">
        <w:rPr>
          <w:rFonts w:asciiTheme="majorHAnsi" w:eastAsia="Times New Roman" w:hAnsiTheme="majorHAnsi" w:cstheme="majorHAnsi"/>
          <w:sz w:val="24"/>
          <w:szCs w:val="24"/>
          <w:lang w:val="ro-RO" w:bidi="he-IL"/>
        </w:rPr>
        <w:t xml:space="preserve">din cauza </w:t>
      </w:r>
      <w:r w:rsidRPr="00720652">
        <w:rPr>
          <w:rFonts w:asciiTheme="majorHAnsi" w:eastAsia="Times New Roman" w:hAnsiTheme="majorHAnsi" w:cstheme="majorHAnsi"/>
          <w:sz w:val="24"/>
          <w:szCs w:val="24"/>
          <w:lang w:val="ro-RO" w:bidi="he-IL"/>
        </w:rPr>
        <w:t>faptul</w:t>
      </w:r>
      <w:r w:rsidR="000275FE" w:rsidRPr="00720652">
        <w:rPr>
          <w:rFonts w:asciiTheme="majorHAnsi" w:eastAsia="Times New Roman" w:hAnsiTheme="majorHAnsi" w:cstheme="majorHAnsi"/>
          <w:sz w:val="24"/>
          <w:szCs w:val="24"/>
          <w:lang w:val="ro-RO" w:bidi="he-IL"/>
        </w:rPr>
        <w:t>ui</w:t>
      </w:r>
      <w:r w:rsidRPr="00720652">
        <w:rPr>
          <w:rFonts w:asciiTheme="majorHAnsi" w:eastAsia="Times New Roman" w:hAnsiTheme="majorHAnsi" w:cstheme="majorHAnsi"/>
          <w:sz w:val="24"/>
          <w:szCs w:val="24"/>
          <w:lang w:val="ro-RO" w:bidi="he-IL"/>
        </w:rPr>
        <w:t xml:space="preserve"> că Strategia nu mai corespunde noului cadru normativ, introdus în anul 2020, care reglementează politicile publice</w:t>
      </w:r>
      <w:r w:rsidR="0095568D" w:rsidRPr="00720652">
        <w:rPr>
          <w:rFonts w:asciiTheme="majorHAnsi" w:hAnsiTheme="majorHAnsi" w:cstheme="majorHAnsi"/>
          <w:bCs/>
          <w:sz w:val="24"/>
          <w:szCs w:val="24"/>
          <w:lang w:val="ro-RO"/>
        </w:rPr>
        <w:t>;</w:t>
      </w:r>
    </w:p>
    <w:p w14:paraId="382664DF" w14:textId="2E7A11FB" w:rsidR="00624F91" w:rsidRPr="00720652" w:rsidRDefault="009A17EB" w:rsidP="000275FE">
      <w:pPr>
        <w:pStyle w:val="af3"/>
        <w:numPr>
          <w:ilvl w:val="0"/>
          <w:numId w:val="30"/>
        </w:numPr>
        <w:spacing w:after="0" w:line="276" w:lineRule="auto"/>
        <w:ind w:left="0" w:firstLine="567"/>
        <w:jc w:val="both"/>
        <w:rPr>
          <w:rFonts w:asciiTheme="majorHAnsi" w:eastAsia="MS Mincho" w:hAnsiTheme="majorHAnsi" w:cstheme="majorHAnsi"/>
          <w:bCs/>
          <w:kern w:val="2"/>
          <w:sz w:val="24"/>
          <w:szCs w:val="24"/>
          <w:lang w:val="ro-RO"/>
        </w:rPr>
      </w:pPr>
      <w:r w:rsidRPr="00720652">
        <w:rPr>
          <w:rFonts w:asciiTheme="majorHAnsi" w:eastAsia="MS Mincho" w:hAnsiTheme="majorHAnsi" w:cstheme="majorHAnsi"/>
          <w:b/>
          <w:kern w:val="2"/>
          <w:sz w:val="24"/>
          <w:szCs w:val="24"/>
          <w:lang w:val="ro-RO"/>
        </w:rPr>
        <w:t>n</w:t>
      </w:r>
      <w:r w:rsidR="00720652" w:rsidRPr="00720652">
        <w:rPr>
          <w:rFonts w:asciiTheme="majorHAnsi" w:eastAsia="MS Mincho" w:hAnsiTheme="majorHAnsi" w:cstheme="majorHAnsi"/>
          <w:b/>
          <w:kern w:val="2"/>
          <w:sz w:val="24"/>
          <w:szCs w:val="24"/>
          <w:lang w:val="ro-RO"/>
        </w:rPr>
        <w:t>u au fost stabilite țintele</w:t>
      </w:r>
      <w:r w:rsidR="00783107" w:rsidRPr="00720652">
        <w:rPr>
          <w:rFonts w:asciiTheme="majorHAnsi" w:eastAsia="MS Mincho" w:hAnsiTheme="majorHAnsi" w:cstheme="majorHAnsi"/>
          <w:b/>
          <w:kern w:val="2"/>
          <w:sz w:val="24"/>
          <w:szCs w:val="24"/>
          <w:lang w:val="ro-RO"/>
        </w:rPr>
        <w:t xml:space="preserve"> </w:t>
      </w:r>
      <w:r w:rsidR="000275FE" w:rsidRPr="00720652">
        <w:rPr>
          <w:rFonts w:asciiTheme="majorHAnsi" w:eastAsia="MS Mincho" w:hAnsiTheme="majorHAnsi" w:cstheme="majorHAnsi"/>
          <w:b/>
          <w:kern w:val="2"/>
          <w:sz w:val="24"/>
          <w:szCs w:val="24"/>
          <w:lang w:val="ro-RO"/>
        </w:rPr>
        <w:t xml:space="preserve">concrete </w:t>
      </w:r>
      <w:r w:rsidR="00783107" w:rsidRPr="00720652">
        <w:rPr>
          <w:rFonts w:asciiTheme="majorHAnsi" w:eastAsia="MS Mincho" w:hAnsiTheme="majorHAnsi" w:cstheme="majorHAnsi"/>
          <w:b/>
          <w:kern w:val="2"/>
          <w:sz w:val="24"/>
          <w:szCs w:val="24"/>
          <w:lang w:val="ro-RO"/>
        </w:rPr>
        <w:t>pentru regionalizarea serviciilor de alimentare cu apă și sanitație.</w:t>
      </w:r>
      <w:r w:rsidR="00783107" w:rsidRPr="00720652">
        <w:rPr>
          <w:rFonts w:asciiTheme="majorHAnsi" w:eastAsia="MS Mincho" w:hAnsiTheme="majorHAnsi" w:cstheme="majorHAnsi"/>
          <w:kern w:val="2"/>
          <w:sz w:val="24"/>
          <w:szCs w:val="24"/>
          <w:lang w:val="ro-RO"/>
        </w:rPr>
        <w:t xml:space="preserve"> </w:t>
      </w:r>
      <w:r w:rsidR="000275FE" w:rsidRPr="00720652">
        <w:rPr>
          <w:rFonts w:asciiTheme="majorHAnsi" w:eastAsia="MS Mincho" w:hAnsiTheme="majorHAnsi" w:cstheme="majorHAnsi"/>
          <w:kern w:val="2"/>
          <w:sz w:val="24"/>
          <w:szCs w:val="24"/>
          <w:lang w:val="ro-RO"/>
        </w:rPr>
        <w:t>Numărul operatorilor regionali a crescut de la 8</w:t>
      </w:r>
      <w:r w:rsidR="0095568D" w:rsidRPr="00720652">
        <w:rPr>
          <w:rFonts w:asciiTheme="majorHAnsi" w:eastAsia="MS Mincho" w:hAnsiTheme="majorHAnsi" w:cstheme="majorHAnsi"/>
          <w:kern w:val="2"/>
          <w:sz w:val="24"/>
          <w:szCs w:val="24"/>
          <w:lang w:val="ro-RO"/>
        </w:rPr>
        <w:t>,</w:t>
      </w:r>
      <w:r w:rsidR="000275FE" w:rsidRPr="00720652">
        <w:rPr>
          <w:rFonts w:asciiTheme="majorHAnsi" w:eastAsia="MS Mincho" w:hAnsiTheme="majorHAnsi" w:cstheme="majorHAnsi"/>
          <w:kern w:val="2"/>
          <w:sz w:val="24"/>
          <w:szCs w:val="24"/>
          <w:lang w:val="ro-RO"/>
        </w:rPr>
        <w:t xml:space="preserve"> în anul 2014</w:t>
      </w:r>
      <w:r w:rsidR="0095568D" w:rsidRPr="00720652">
        <w:rPr>
          <w:rFonts w:asciiTheme="majorHAnsi" w:eastAsia="MS Mincho" w:hAnsiTheme="majorHAnsi" w:cstheme="majorHAnsi"/>
          <w:kern w:val="2"/>
          <w:sz w:val="24"/>
          <w:szCs w:val="24"/>
          <w:lang w:val="ro-RO"/>
        </w:rPr>
        <w:t>,</w:t>
      </w:r>
      <w:r w:rsidR="000275FE" w:rsidRPr="00720652">
        <w:rPr>
          <w:rFonts w:asciiTheme="majorHAnsi" w:eastAsia="MS Mincho" w:hAnsiTheme="majorHAnsi" w:cstheme="majorHAnsi"/>
          <w:kern w:val="2"/>
          <w:sz w:val="24"/>
          <w:szCs w:val="24"/>
          <w:lang w:val="ro-RO"/>
        </w:rPr>
        <w:t xml:space="preserve"> la 9</w:t>
      </w:r>
      <w:r w:rsidR="0095568D" w:rsidRPr="00720652">
        <w:rPr>
          <w:rFonts w:asciiTheme="majorHAnsi" w:eastAsia="MS Mincho" w:hAnsiTheme="majorHAnsi" w:cstheme="majorHAnsi"/>
          <w:kern w:val="2"/>
          <w:sz w:val="24"/>
          <w:szCs w:val="24"/>
          <w:lang w:val="ro-RO"/>
        </w:rPr>
        <w:t>,</w:t>
      </w:r>
      <w:r w:rsidR="000275FE" w:rsidRPr="00720652">
        <w:rPr>
          <w:rFonts w:asciiTheme="majorHAnsi" w:eastAsia="MS Mincho" w:hAnsiTheme="majorHAnsi" w:cstheme="majorHAnsi"/>
          <w:kern w:val="2"/>
          <w:sz w:val="24"/>
          <w:szCs w:val="24"/>
          <w:lang w:val="ro-RO"/>
        </w:rPr>
        <w:t xml:space="preserve"> în anul 2022, regionalizarea fiind </w:t>
      </w:r>
      <w:r w:rsidR="00423BF1" w:rsidRPr="00720652">
        <w:rPr>
          <w:rFonts w:asciiTheme="majorHAnsi" w:eastAsia="MS Mincho" w:hAnsiTheme="majorHAnsi" w:cstheme="majorHAnsi"/>
          <w:kern w:val="2"/>
          <w:sz w:val="24"/>
          <w:szCs w:val="24"/>
          <w:lang w:val="ro-RO"/>
        </w:rPr>
        <w:t xml:space="preserve">efectuată </w:t>
      </w:r>
      <w:r w:rsidR="000275FE" w:rsidRPr="00720652">
        <w:rPr>
          <w:rFonts w:asciiTheme="majorHAnsi" w:eastAsia="MS Mincho" w:hAnsiTheme="majorHAnsi" w:cstheme="majorHAnsi"/>
          <w:kern w:val="2"/>
          <w:sz w:val="24"/>
          <w:szCs w:val="24"/>
          <w:lang w:val="ro-RO"/>
        </w:rPr>
        <w:t>exclusiv în cadrul unor proiecte cu finanțare exte</w:t>
      </w:r>
      <w:r w:rsidR="00720652" w:rsidRPr="00720652">
        <w:rPr>
          <w:rFonts w:asciiTheme="majorHAnsi" w:eastAsia="MS Mincho" w:hAnsiTheme="majorHAnsi" w:cstheme="majorHAnsi"/>
          <w:kern w:val="2"/>
          <w:sz w:val="24"/>
          <w:szCs w:val="24"/>
          <w:lang w:val="ro-RO"/>
        </w:rPr>
        <w:t>r</w:t>
      </w:r>
      <w:r w:rsidR="00720652">
        <w:rPr>
          <w:rFonts w:asciiTheme="majorHAnsi" w:eastAsia="MS Mincho" w:hAnsiTheme="majorHAnsi" w:cstheme="majorHAnsi"/>
          <w:kern w:val="2"/>
          <w:sz w:val="24"/>
          <w:szCs w:val="24"/>
          <w:lang w:val="ro-RO"/>
        </w:rPr>
        <w:t>nă, nefiind întreprinse acțiuni</w:t>
      </w:r>
      <w:r w:rsidR="000275FE" w:rsidRPr="00720652">
        <w:rPr>
          <w:rFonts w:asciiTheme="majorHAnsi" w:eastAsia="MS Mincho" w:hAnsiTheme="majorHAnsi" w:cstheme="majorHAnsi"/>
          <w:kern w:val="2"/>
          <w:sz w:val="24"/>
          <w:szCs w:val="24"/>
          <w:lang w:val="ro-RO"/>
        </w:rPr>
        <w:t xml:space="preserve"> concrete care să stimuleze crearea noilor operatori regionali</w:t>
      </w:r>
      <w:r w:rsidR="0095568D" w:rsidRPr="00720652">
        <w:rPr>
          <w:rFonts w:asciiTheme="majorHAnsi" w:eastAsia="MS Mincho" w:hAnsiTheme="majorHAnsi" w:cstheme="majorHAnsi"/>
          <w:kern w:val="2"/>
          <w:sz w:val="24"/>
          <w:szCs w:val="24"/>
          <w:lang w:val="ro-RO"/>
        </w:rPr>
        <w:t>;</w:t>
      </w:r>
    </w:p>
    <w:p w14:paraId="33F89C26" w14:textId="77777777" w:rsidR="008A415B" w:rsidRPr="00720652" w:rsidRDefault="009A17EB" w:rsidP="008A415B">
      <w:pPr>
        <w:pStyle w:val="3"/>
        <w:numPr>
          <w:ilvl w:val="0"/>
          <w:numId w:val="30"/>
        </w:numPr>
        <w:spacing w:before="0" w:line="276" w:lineRule="auto"/>
        <w:ind w:left="0" w:firstLine="567"/>
        <w:jc w:val="both"/>
        <w:rPr>
          <w:rFonts w:eastAsia="MS Mincho" w:cstheme="majorHAnsi"/>
          <w:b w:val="0"/>
          <w:color w:val="auto"/>
          <w:kern w:val="2"/>
          <w:sz w:val="24"/>
          <w:szCs w:val="24"/>
          <w:lang w:val="ro-RO"/>
        </w:rPr>
      </w:pPr>
      <w:r w:rsidRPr="00720652">
        <w:rPr>
          <w:rFonts w:eastAsia="MS Mincho" w:cstheme="majorHAnsi"/>
          <w:color w:val="auto"/>
          <w:kern w:val="2"/>
          <w:sz w:val="24"/>
          <w:szCs w:val="24"/>
          <w:lang w:val="ro-RO"/>
        </w:rPr>
        <w:t>l</w:t>
      </w:r>
      <w:r w:rsidR="00010503" w:rsidRPr="00720652">
        <w:rPr>
          <w:rFonts w:eastAsia="MS Mincho" w:cstheme="majorHAnsi"/>
          <w:color w:val="auto"/>
          <w:kern w:val="2"/>
          <w:sz w:val="24"/>
          <w:szCs w:val="24"/>
          <w:lang w:val="ro-RO"/>
        </w:rPr>
        <w:t xml:space="preserve">ipsa unor date complete privind resursele alocate pentru implementarea Strategiei în anii 2014-2021. </w:t>
      </w:r>
      <w:r w:rsidR="00FB024C" w:rsidRPr="00720652">
        <w:rPr>
          <w:rFonts w:eastAsia="MS Mincho" w:cstheme="majorHAnsi"/>
          <w:b w:val="0"/>
          <w:color w:val="auto"/>
          <w:kern w:val="2"/>
          <w:sz w:val="24"/>
          <w:szCs w:val="24"/>
          <w:lang w:val="ro-RO"/>
        </w:rPr>
        <w:t>Factorii de decizie</w:t>
      </w:r>
      <w:r w:rsidR="00FB73FC" w:rsidRPr="00720652">
        <w:rPr>
          <w:rFonts w:eastAsia="MS Mincho" w:cstheme="majorHAnsi"/>
          <w:b w:val="0"/>
          <w:color w:val="auto"/>
          <w:kern w:val="2"/>
          <w:sz w:val="24"/>
          <w:szCs w:val="24"/>
          <w:lang w:val="ro-RO"/>
        </w:rPr>
        <w:t xml:space="preserve"> (M</w:t>
      </w:r>
      <w:r w:rsidR="00B703CE" w:rsidRPr="00720652">
        <w:rPr>
          <w:rFonts w:eastAsia="MS Mincho" w:cstheme="majorHAnsi"/>
          <w:b w:val="0"/>
          <w:color w:val="auto"/>
          <w:kern w:val="2"/>
          <w:sz w:val="24"/>
          <w:szCs w:val="24"/>
          <w:lang w:val="ro-RO"/>
        </w:rPr>
        <w:t xml:space="preserve">inisterul </w:t>
      </w:r>
      <w:r w:rsidR="00FB73FC" w:rsidRPr="00720652">
        <w:rPr>
          <w:rFonts w:eastAsia="MS Mincho" w:cstheme="majorHAnsi"/>
          <w:b w:val="0"/>
          <w:color w:val="auto"/>
          <w:kern w:val="2"/>
          <w:sz w:val="24"/>
          <w:szCs w:val="24"/>
          <w:lang w:val="ro-RO"/>
        </w:rPr>
        <w:t>A</w:t>
      </w:r>
      <w:r w:rsidR="00B703CE" w:rsidRPr="00720652">
        <w:rPr>
          <w:rFonts w:eastAsia="MS Mincho" w:cstheme="majorHAnsi"/>
          <w:b w:val="0"/>
          <w:color w:val="auto"/>
          <w:kern w:val="2"/>
          <w:sz w:val="24"/>
          <w:szCs w:val="24"/>
          <w:lang w:val="ro-RO"/>
        </w:rPr>
        <w:t>griculturii</w:t>
      </w:r>
      <w:r w:rsidR="0095568D" w:rsidRPr="00720652">
        <w:rPr>
          <w:rFonts w:eastAsia="MS Mincho" w:cstheme="majorHAnsi"/>
          <w:b w:val="0"/>
          <w:color w:val="auto"/>
          <w:kern w:val="2"/>
          <w:sz w:val="24"/>
          <w:szCs w:val="24"/>
          <w:lang w:val="ro-RO"/>
        </w:rPr>
        <w:t>,</w:t>
      </w:r>
      <w:r w:rsidR="00B703CE" w:rsidRPr="00720652">
        <w:rPr>
          <w:rFonts w:eastAsia="MS Mincho" w:cstheme="majorHAnsi"/>
          <w:b w:val="0"/>
          <w:color w:val="auto"/>
          <w:kern w:val="2"/>
          <w:sz w:val="24"/>
          <w:szCs w:val="24"/>
          <w:lang w:val="ro-RO"/>
        </w:rPr>
        <w:t xml:space="preserve"> </w:t>
      </w:r>
      <w:r w:rsidR="00FB73FC" w:rsidRPr="00720652">
        <w:rPr>
          <w:rFonts w:eastAsia="MS Mincho" w:cstheme="majorHAnsi"/>
          <w:b w:val="0"/>
          <w:color w:val="auto"/>
          <w:kern w:val="2"/>
          <w:sz w:val="24"/>
          <w:szCs w:val="24"/>
          <w:lang w:val="ro-RO"/>
        </w:rPr>
        <w:t>D</w:t>
      </w:r>
      <w:r w:rsidR="00B703CE" w:rsidRPr="00720652">
        <w:rPr>
          <w:rFonts w:eastAsia="MS Mincho" w:cstheme="majorHAnsi"/>
          <w:b w:val="0"/>
          <w:color w:val="auto"/>
          <w:kern w:val="2"/>
          <w:sz w:val="24"/>
          <w:szCs w:val="24"/>
          <w:lang w:val="ro-RO"/>
        </w:rPr>
        <w:t xml:space="preserve">ezvoltării </w:t>
      </w:r>
      <w:r w:rsidR="00FB73FC" w:rsidRPr="00720652">
        <w:rPr>
          <w:rFonts w:eastAsia="MS Mincho" w:cstheme="majorHAnsi"/>
          <w:b w:val="0"/>
          <w:color w:val="auto"/>
          <w:kern w:val="2"/>
          <w:sz w:val="24"/>
          <w:szCs w:val="24"/>
          <w:lang w:val="ro-RO"/>
        </w:rPr>
        <w:t>R</w:t>
      </w:r>
      <w:r w:rsidR="00B703CE" w:rsidRPr="00720652">
        <w:rPr>
          <w:rFonts w:eastAsia="MS Mincho" w:cstheme="majorHAnsi"/>
          <w:b w:val="0"/>
          <w:color w:val="auto"/>
          <w:kern w:val="2"/>
          <w:sz w:val="24"/>
          <w:szCs w:val="24"/>
          <w:lang w:val="ro-RO"/>
        </w:rPr>
        <w:t xml:space="preserve">egionale </w:t>
      </w:r>
      <w:proofErr w:type="spellStart"/>
      <w:r w:rsidR="00B703CE" w:rsidRPr="00720652">
        <w:rPr>
          <w:rFonts w:eastAsia="MS Mincho" w:cstheme="majorHAnsi"/>
          <w:b w:val="0"/>
          <w:color w:val="auto"/>
          <w:kern w:val="2"/>
          <w:sz w:val="24"/>
          <w:szCs w:val="24"/>
          <w:lang w:val="ro-RO"/>
        </w:rPr>
        <w:t>şi</w:t>
      </w:r>
      <w:proofErr w:type="spellEnd"/>
      <w:r w:rsidR="00B703CE" w:rsidRPr="00720652">
        <w:rPr>
          <w:rFonts w:eastAsia="MS Mincho" w:cstheme="majorHAnsi"/>
          <w:b w:val="0"/>
          <w:color w:val="auto"/>
          <w:kern w:val="2"/>
          <w:sz w:val="24"/>
          <w:szCs w:val="24"/>
          <w:lang w:val="ro-RO"/>
        </w:rPr>
        <w:t xml:space="preserve"> </w:t>
      </w:r>
      <w:r w:rsidR="00FB73FC" w:rsidRPr="00720652">
        <w:rPr>
          <w:rFonts w:eastAsia="MS Mincho" w:cstheme="majorHAnsi"/>
          <w:b w:val="0"/>
          <w:color w:val="auto"/>
          <w:kern w:val="2"/>
          <w:sz w:val="24"/>
          <w:szCs w:val="24"/>
          <w:lang w:val="ro-RO"/>
        </w:rPr>
        <w:t>M</w:t>
      </w:r>
      <w:r w:rsidR="00B703CE" w:rsidRPr="00720652">
        <w:rPr>
          <w:rFonts w:eastAsia="MS Mincho" w:cstheme="majorHAnsi"/>
          <w:b w:val="0"/>
          <w:color w:val="auto"/>
          <w:kern w:val="2"/>
          <w:sz w:val="24"/>
          <w:szCs w:val="24"/>
          <w:lang w:val="ro-RO"/>
        </w:rPr>
        <w:t>ediului</w:t>
      </w:r>
      <w:r w:rsidR="00FB73FC" w:rsidRPr="00720652">
        <w:rPr>
          <w:rFonts w:eastAsia="MS Mincho" w:cstheme="majorHAnsi"/>
          <w:b w:val="0"/>
          <w:color w:val="auto"/>
          <w:kern w:val="2"/>
          <w:sz w:val="24"/>
          <w:szCs w:val="24"/>
          <w:lang w:val="ro-RO"/>
        </w:rPr>
        <w:t>/M</w:t>
      </w:r>
      <w:r w:rsidR="00B703CE" w:rsidRPr="00720652">
        <w:rPr>
          <w:rFonts w:eastAsia="MS Mincho" w:cstheme="majorHAnsi"/>
          <w:b w:val="0"/>
          <w:color w:val="auto"/>
          <w:kern w:val="2"/>
          <w:sz w:val="24"/>
          <w:szCs w:val="24"/>
          <w:lang w:val="ro-RO"/>
        </w:rPr>
        <w:t xml:space="preserve">inisterul </w:t>
      </w:r>
      <w:r w:rsidR="00FB73FC" w:rsidRPr="00720652">
        <w:rPr>
          <w:rFonts w:eastAsia="MS Mincho" w:cstheme="majorHAnsi"/>
          <w:b w:val="0"/>
          <w:color w:val="auto"/>
          <w:kern w:val="2"/>
          <w:sz w:val="24"/>
          <w:szCs w:val="24"/>
          <w:lang w:val="ro-RO"/>
        </w:rPr>
        <w:t>M</w:t>
      </w:r>
      <w:r w:rsidR="00B703CE" w:rsidRPr="00720652">
        <w:rPr>
          <w:rFonts w:eastAsia="MS Mincho" w:cstheme="majorHAnsi"/>
          <w:b w:val="0"/>
          <w:color w:val="auto"/>
          <w:kern w:val="2"/>
          <w:sz w:val="24"/>
          <w:szCs w:val="24"/>
          <w:lang w:val="ro-RO"/>
        </w:rPr>
        <w:t>ediului</w:t>
      </w:r>
      <w:r w:rsidR="00FB73FC" w:rsidRPr="00720652">
        <w:rPr>
          <w:rFonts w:eastAsia="MS Mincho" w:cstheme="majorHAnsi"/>
          <w:b w:val="0"/>
          <w:color w:val="auto"/>
          <w:kern w:val="2"/>
          <w:sz w:val="24"/>
          <w:szCs w:val="24"/>
          <w:lang w:val="ro-RO"/>
        </w:rPr>
        <w:t>)</w:t>
      </w:r>
      <w:r w:rsidR="00B703CE" w:rsidRPr="00720652">
        <w:rPr>
          <w:rFonts w:eastAsia="MS Mincho" w:cstheme="majorHAnsi"/>
          <w:b w:val="0"/>
          <w:color w:val="auto"/>
          <w:kern w:val="2"/>
          <w:sz w:val="24"/>
          <w:szCs w:val="24"/>
          <w:lang w:val="ro-RO"/>
        </w:rPr>
        <w:t>,</w:t>
      </w:r>
      <w:r w:rsidR="00FB024C" w:rsidRPr="00720652">
        <w:rPr>
          <w:rFonts w:eastAsia="MS Mincho" w:cstheme="majorHAnsi"/>
          <w:b w:val="0"/>
          <w:color w:val="auto"/>
          <w:kern w:val="2"/>
          <w:sz w:val="24"/>
          <w:szCs w:val="24"/>
          <w:lang w:val="ro-RO"/>
        </w:rPr>
        <w:t xml:space="preserve"> </w:t>
      </w:r>
      <w:r w:rsidR="00FB73FC" w:rsidRPr="00720652">
        <w:rPr>
          <w:rFonts w:eastAsia="MS Mincho" w:cstheme="majorHAnsi"/>
          <w:b w:val="0"/>
          <w:color w:val="auto"/>
          <w:kern w:val="2"/>
          <w:sz w:val="24"/>
          <w:szCs w:val="24"/>
          <w:lang w:val="ro-RO"/>
        </w:rPr>
        <w:t xml:space="preserve">deși au fost </w:t>
      </w:r>
      <w:r w:rsidR="00FB024C" w:rsidRPr="00720652">
        <w:rPr>
          <w:rFonts w:eastAsia="MS Mincho" w:cstheme="majorHAnsi"/>
          <w:b w:val="0"/>
          <w:color w:val="auto"/>
          <w:kern w:val="2"/>
          <w:sz w:val="24"/>
          <w:szCs w:val="24"/>
          <w:lang w:val="ro-RO"/>
        </w:rPr>
        <w:t>responsabili de implementarea S</w:t>
      </w:r>
      <w:r w:rsidR="00FB73FC" w:rsidRPr="00720652">
        <w:rPr>
          <w:rFonts w:eastAsia="MS Mincho" w:cstheme="majorHAnsi"/>
          <w:b w:val="0"/>
          <w:color w:val="auto"/>
          <w:kern w:val="2"/>
          <w:sz w:val="24"/>
          <w:szCs w:val="24"/>
          <w:lang w:val="ro-RO"/>
        </w:rPr>
        <w:t>trategiei,</w:t>
      </w:r>
      <w:r w:rsidR="00010503" w:rsidRPr="00720652">
        <w:rPr>
          <w:rFonts w:eastAsia="MS Mincho" w:cstheme="majorHAnsi"/>
          <w:b w:val="0"/>
          <w:color w:val="auto"/>
          <w:kern w:val="2"/>
          <w:sz w:val="24"/>
          <w:szCs w:val="24"/>
          <w:lang w:val="ro-RO"/>
        </w:rPr>
        <w:t xml:space="preserve"> nu au organizat colectarea, prelucrarea și evaluarea datelor privind investițiile </w:t>
      </w:r>
      <w:r w:rsidR="001B1561" w:rsidRPr="00720652">
        <w:rPr>
          <w:rFonts w:eastAsia="MS Mincho" w:cstheme="majorHAnsi"/>
          <w:b w:val="0"/>
          <w:color w:val="auto"/>
          <w:kern w:val="2"/>
          <w:sz w:val="24"/>
          <w:szCs w:val="24"/>
          <w:lang w:val="ro-RO"/>
        </w:rPr>
        <w:t xml:space="preserve">totale </w:t>
      </w:r>
      <w:r w:rsidR="00010503" w:rsidRPr="00720652">
        <w:rPr>
          <w:rFonts w:eastAsia="MS Mincho" w:cstheme="majorHAnsi"/>
          <w:b w:val="0"/>
          <w:color w:val="auto"/>
          <w:kern w:val="2"/>
          <w:sz w:val="24"/>
          <w:szCs w:val="24"/>
          <w:lang w:val="ro-RO"/>
        </w:rPr>
        <w:t>efectuate în domeniul aliment</w:t>
      </w:r>
      <w:r w:rsidR="0095568D" w:rsidRPr="00720652">
        <w:rPr>
          <w:rFonts w:eastAsia="MS Mincho" w:cstheme="majorHAnsi"/>
          <w:b w:val="0"/>
          <w:color w:val="auto"/>
          <w:kern w:val="2"/>
          <w:sz w:val="24"/>
          <w:szCs w:val="24"/>
          <w:lang w:val="ro-RO"/>
        </w:rPr>
        <w:t>ării</w:t>
      </w:r>
      <w:r w:rsidR="00010503" w:rsidRPr="00720652">
        <w:rPr>
          <w:rFonts w:eastAsia="MS Mincho" w:cstheme="majorHAnsi"/>
          <w:b w:val="0"/>
          <w:color w:val="auto"/>
          <w:kern w:val="2"/>
          <w:sz w:val="24"/>
          <w:szCs w:val="24"/>
          <w:lang w:val="ro-RO"/>
        </w:rPr>
        <w:t xml:space="preserve"> cu apă și sanitație</w:t>
      </w:r>
      <w:r w:rsidR="0095568D" w:rsidRPr="00720652">
        <w:rPr>
          <w:rFonts w:eastAsia="MS Mincho" w:cstheme="majorHAnsi"/>
          <w:b w:val="0"/>
          <w:color w:val="auto"/>
          <w:kern w:val="2"/>
          <w:sz w:val="24"/>
          <w:szCs w:val="24"/>
          <w:lang w:val="ro-RO"/>
        </w:rPr>
        <w:t>i;</w:t>
      </w:r>
    </w:p>
    <w:p w14:paraId="638B2F2D" w14:textId="6607FA72" w:rsidR="00F911E1" w:rsidRPr="00720652" w:rsidRDefault="009A17EB" w:rsidP="008A415B">
      <w:pPr>
        <w:pStyle w:val="3"/>
        <w:numPr>
          <w:ilvl w:val="0"/>
          <w:numId w:val="30"/>
        </w:numPr>
        <w:spacing w:before="0" w:line="276" w:lineRule="auto"/>
        <w:ind w:left="0" w:firstLine="567"/>
        <w:jc w:val="both"/>
        <w:rPr>
          <w:rFonts w:eastAsia="MS Mincho" w:cstheme="majorHAnsi"/>
          <w:b w:val="0"/>
          <w:color w:val="auto"/>
          <w:kern w:val="2"/>
          <w:sz w:val="24"/>
          <w:szCs w:val="24"/>
          <w:lang w:val="ro-RO"/>
        </w:rPr>
      </w:pPr>
      <w:r w:rsidRPr="00720652">
        <w:rPr>
          <w:rFonts w:eastAsia="Times New Roman" w:cstheme="majorHAnsi"/>
          <w:color w:val="auto"/>
          <w:sz w:val="24"/>
          <w:szCs w:val="24"/>
          <w:lang w:val="ro-RO" w:bidi="he-IL"/>
        </w:rPr>
        <w:t>i</w:t>
      </w:r>
      <w:r w:rsidR="00F911E1" w:rsidRPr="00720652">
        <w:rPr>
          <w:rFonts w:eastAsia="Times New Roman" w:cstheme="majorHAnsi"/>
          <w:color w:val="auto"/>
          <w:sz w:val="24"/>
          <w:szCs w:val="24"/>
          <w:lang w:val="ro-RO" w:bidi="he-IL"/>
        </w:rPr>
        <w:t>ndicatorii de evaluare a acc</w:t>
      </w:r>
      <w:r w:rsidR="00720652">
        <w:rPr>
          <w:rFonts w:eastAsia="Times New Roman" w:cstheme="majorHAnsi"/>
          <w:color w:val="auto"/>
          <w:sz w:val="24"/>
          <w:szCs w:val="24"/>
          <w:lang w:val="ro-RO" w:bidi="he-IL"/>
        </w:rPr>
        <w:t>esului populației la apeducte și</w:t>
      </w:r>
      <w:r w:rsidR="00F911E1" w:rsidRPr="00720652">
        <w:rPr>
          <w:rFonts w:eastAsia="Times New Roman" w:cstheme="majorHAnsi"/>
          <w:color w:val="auto"/>
          <w:sz w:val="24"/>
          <w:szCs w:val="24"/>
          <w:lang w:val="ro-RO" w:bidi="he-IL"/>
        </w:rPr>
        <w:t xml:space="preserve"> sisteme de sanitație sigure</w:t>
      </w:r>
      <w:r w:rsidR="0095568D" w:rsidRPr="00720652">
        <w:rPr>
          <w:rFonts w:eastAsia="Times New Roman" w:cstheme="majorHAnsi"/>
          <w:color w:val="auto"/>
          <w:sz w:val="24"/>
          <w:szCs w:val="24"/>
          <w:lang w:val="ro-RO" w:bidi="he-IL"/>
        </w:rPr>
        <w:t>,</w:t>
      </w:r>
      <w:r w:rsidR="00720652">
        <w:rPr>
          <w:rFonts w:eastAsia="Times New Roman" w:cstheme="majorHAnsi"/>
          <w:color w:val="auto"/>
          <w:sz w:val="24"/>
          <w:szCs w:val="24"/>
          <w:lang w:val="ro-RO" w:bidi="he-IL"/>
        </w:rPr>
        <w:t xml:space="preserve"> stabiliți</w:t>
      </w:r>
      <w:r w:rsidR="00F911E1" w:rsidRPr="00720652">
        <w:rPr>
          <w:rFonts w:eastAsia="Times New Roman" w:cstheme="majorHAnsi"/>
          <w:color w:val="auto"/>
          <w:sz w:val="24"/>
          <w:szCs w:val="24"/>
          <w:lang w:val="ro-RO" w:bidi="he-IL"/>
        </w:rPr>
        <w:t xml:space="preserve"> de SAAS</w:t>
      </w:r>
      <w:r w:rsidR="0095568D" w:rsidRPr="00720652">
        <w:rPr>
          <w:rFonts w:eastAsia="Times New Roman" w:cstheme="majorHAnsi"/>
          <w:color w:val="auto"/>
          <w:sz w:val="24"/>
          <w:szCs w:val="24"/>
          <w:lang w:val="ro-RO" w:bidi="he-IL"/>
        </w:rPr>
        <w:t>,</w:t>
      </w:r>
      <w:r w:rsidR="00F911E1" w:rsidRPr="00720652">
        <w:rPr>
          <w:rFonts w:eastAsia="Times New Roman" w:cstheme="majorHAnsi"/>
          <w:color w:val="auto"/>
          <w:sz w:val="24"/>
          <w:szCs w:val="24"/>
          <w:lang w:val="ro-RO" w:bidi="he-IL"/>
        </w:rPr>
        <w:t xml:space="preserve"> diferă de cei </w:t>
      </w:r>
      <w:r w:rsidR="00720652">
        <w:rPr>
          <w:rFonts w:eastAsia="Times New Roman" w:cstheme="majorHAnsi"/>
          <w:color w:val="auto"/>
          <w:sz w:val="24"/>
          <w:szCs w:val="24"/>
          <w:lang w:val="ro-RO" w:bidi="he-IL"/>
        </w:rPr>
        <w:t>aprobați de Strategia Națională</w:t>
      </w:r>
      <w:r w:rsidR="00D62F07" w:rsidRPr="00720652">
        <w:rPr>
          <w:rFonts w:eastAsia="Times New Roman" w:cstheme="majorHAnsi"/>
          <w:color w:val="auto"/>
          <w:sz w:val="24"/>
          <w:szCs w:val="24"/>
          <w:lang w:val="ro-RO" w:bidi="he-IL"/>
        </w:rPr>
        <w:t xml:space="preserve"> de De</w:t>
      </w:r>
      <w:r w:rsidR="00C72B2B">
        <w:rPr>
          <w:rFonts w:eastAsia="Times New Roman" w:cstheme="majorHAnsi"/>
          <w:color w:val="auto"/>
          <w:sz w:val="24"/>
          <w:szCs w:val="24"/>
          <w:lang w:val="ro-RO" w:bidi="he-IL"/>
        </w:rPr>
        <w:t>zvoltare „Moldova Europeană 2030</w:t>
      </w:r>
      <w:r w:rsidR="00D62F07" w:rsidRPr="00720652">
        <w:rPr>
          <w:rFonts w:eastAsia="Times New Roman" w:cstheme="majorHAnsi"/>
          <w:color w:val="auto"/>
          <w:sz w:val="24"/>
          <w:szCs w:val="24"/>
          <w:lang w:val="ro-RO" w:bidi="he-IL"/>
        </w:rPr>
        <w:t>”</w:t>
      </w:r>
      <w:r w:rsidR="00D62F07" w:rsidRPr="00720652">
        <w:rPr>
          <w:rFonts w:eastAsia="Times New Roman" w:cstheme="majorHAnsi"/>
          <w:b w:val="0"/>
          <w:color w:val="auto"/>
          <w:sz w:val="24"/>
          <w:szCs w:val="24"/>
          <w:lang w:val="ro-RO" w:bidi="he-IL"/>
        </w:rPr>
        <w:t xml:space="preserve">. </w:t>
      </w:r>
      <w:r w:rsidR="00F911E1" w:rsidRPr="00720652">
        <w:rPr>
          <w:rFonts w:eastAsia="Times New Roman" w:cstheme="majorHAnsi"/>
          <w:b w:val="0"/>
          <w:color w:val="auto"/>
          <w:sz w:val="24"/>
          <w:szCs w:val="24"/>
          <w:lang w:val="ro-RO" w:bidi="he-IL"/>
        </w:rPr>
        <w:t>La</w:t>
      </w:r>
      <w:r w:rsidR="00720652">
        <w:rPr>
          <w:rFonts w:eastAsia="Times New Roman" w:cstheme="majorHAnsi"/>
          <w:b w:val="0"/>
          <w:bCs w:val="0"/>
          <w:color w:val="auto"/>
          <w:sz w:val="24"/>
          <w:szCs w:val="24"/>
          <w:lang w:val="ro-RO" w:bidi="he-IL"/>
        </w:rPr>
        <w:t xml:space="preserve"> aprobarea Strategiei Naționale</w:t>
      </w:r>
      <w:r w:rsidR="00F911E1" w:rsidRPr="00720652">
        <w:rPr>
          <w:rFonts w:eastAsia="Times New Roman" w:cstheme="majorHAnsi"/>
          <w:b w:val="0"/>
          <w:bCs w:val="0"/>
          <w:color w:val="auto"/>
          <w:sz w:val="24"/>
          <w:szCs w:val="24"/>
          <w:lang w:val="ro-RO" w:bidi="he-IL"/>
        </w:rPr>
        <w:t xml:space="preserve"> de Dezvoltare „Moldova Europeană 2030”</w:t>
      </w:r>
      <w:r w:rsidR="00D62F07" w:rsidRPr="00720652">
        <w:rPr>
          <w:rStyle w:val="a7"/>
          <w:rFonts w:eastAsia="Times New Roman" w:cstheme="majorHAnsi"/>
          <w:b w:val="0"/>
          <w:color w:val="auto"/>
          <w:sz w:val="24"/>
          <w:szCs w:val="24"/>
          <w:lang w:val="ro-RO" w:bidi="he-IL"/>
        </w:rPr>
        <w:footnoteReference w:id="5"/>
      </w:r>
      <w:r w:rsidR="00F911E1" w:rsidRPr="00720652">
        <w:rPr>
          <w:rFonts w:eastAsia="Times New Roman" w:cstheme="majorHAnsi"/>
          <w:b w:val="0"/>
          <w:bCs w:val="0"/>
          <w:color w:val="auto"/>
          <w:sz w:val="24"/>
          <w:szCs w:val="24"/>
          <w:lang w:val="ro-RO" w:bidi="he-IL"/>
        </w:rPr>
        <w:t xml:space="preserve">, au fost </w:t>
      </w:r>
      <w:r w:rsidR="00EC679F" w:rsidRPr="00720652">
        <w:rPr>
          <w:rFonts w:eastAsia="Times New Roman" w:cstheme="majorHAnsi"/>
          <w:b w:val="0"/>
          <w:bCs w:val="0"/>
          <w:color w:val="auto"/>
          <w:sz w:val="24"/>
          <w:szCs w:val="24"/>
          <w:lang w:val="ro-RO" w:bidi="he-IL"/>
        </w:rPr>
        <w:t xml:space="preserve">stabiliți </w:t>
      </w:r>
      <w:r w:rsidR="00F911E1" w:rsidRPr="00720652">
        <w:rPr>
          <w:rFonts w:eastAsia="Times New Roman" w:cstheme="majorHAnsi"/>
          <w:b w:val="0"/>
          <w:bCs w:val="0"/>
          <w:color w:val="auto"/>
          <w:sz w:val="24"/>
          <w:szCs w:val="24"/>
          <w:lang w:val="ro-RO" w:bidi="he-IL"/>
        </w:rPr>
        <w:t>noi indicatori de progres</w:t>
      </w:r>
      <w:r w:rsidR="00D62F07" w:rsidRPr="00720652">
        <w:rPr>
          <w:rStyle w:val="a7"/>
          <w:rFonts w:eastAsia="Times New Roman" w:cstheme="majorHAnsi"/>
          <w:b w:val="0"/>
          <w:color w:val="auto"/>
          <w:sz w:val="24"/>
          <w:szCs w:val="24"/>
          <w:lang w:val="ro-RO" w:bidi="he-IL"/>
        </w:rPr>
        <w:footnoteReference w:id="6"/>
      </w:r>
      <w:r w:rsidR="00F911E1" w:rsidRPr="00720652">
        <w:rPr>
          <w:rFonts w:eastAsia="Times New Roman" w:cstheme="majorHAnsi"/>
          <w:b w:val="0"/>
          <w:color w:val="auto"/>
          <w:sz w:val="24"/>
          <w:szCs w:val="24"/>
          <w:lang w:val="ro-RO" w:bidi="he-IL"/>
        </w:rPr>
        <w:t>,</w:t>
      </w:r>
      <w:r w:rsidR="00D62F07" w:rsidRPr="00720652">
        <w:rPr>
          <w:rFonts w:eastAsia="Times New Roman" w:cstheme="majorHAnsi"/>
          <w:b w:val="0"/>
          <w:color w:val="auto"/>
          <w:sz w:val="24"/>
          <w:szCs w:val="24"/>
          <w:lang w:val="ro-RO" w:bidi="he-IL"/>
        </w:rPr>
        <w:t xml:space="preserve"> </w:t>
      </w:r>
      <w:r w:rsidR="00F911E1" w:rsidRPr="00720652">
        <w:rPr>
          <w:rFonts w:eastAsia="Times New Roman" w:cstheme="majorHAnsi"/>
          <w:b w:val="0"/>
          <w:bCs w:val="0"/>
          <w:color w:val="auto"/>
          <w:sz w:val="24"/>
          <w:szCs w:val="24"/>
          <w:lang w:val="ro-RO" w:bidi="he-IL"/>
        </w:rPr>
        <w:t>nefiind ajustați cei din SAAS</w:t>
      </w:r>
      <w:r w:rsidR="00EC679F" w:rsidRPr="00720652">
        <w:rPr>
          <w:rFonts w:eastAsia="Times New Roman" w:cstheme="majorHAnsi"/>
          <w:b w:val="0"/>
          <w:bCs w:val="0"/>
          <w:color w:val="auto"/>
          <w:sz w:val="24"/>
          <w:szCs w:val="24"/>
          <w:lang w:val="ro-RO" w:bidi="he-IL"/>
        </w:rPr>
        <w:t>;</w:t>
      </w:r>
    </w:p>
    <w:p w14:paraId="6D9DB53A" w14:textId="083EF6B9" w:rsidR="00F911E1" w:rsidRPr="00720652" w:rsidRDefault="009A17EB" w:rsidP="00E32E08">
      <w:pPr>
        <w:pStyle w:val="af3"/>
        <w:numPr>
          <w:ilvl w:val="0"/>
          <w:numId w:val="30"/>
        </w:numPr>
        <w:shd w:val="clear" w:color="auto" w:fill="FFFFFF"/>
        <w:spacing w:after="0" w:line="276" w:lineRule="auto"/>
        <w:ind w:left="0" w:firstLine="567"/>
        <w:jc w:val="both"/>
        <w:rPr>
          <w:rFonts w:asciiTheme="majorHAnsi" w:eastAsia="Times New Roman" w:hAnsiTheme="majorHAnsi" w:cstheme="majorHAnsi"/>
          <w:b/>
          <w:bCs/>
          <w:sz w:val="24"/>
          <w:szCs w:val="24"/>
          <w:lang w:val="ro-RO" w:bidi="he-IL"/>
        </w:rPr>
      </w:pPr>
      <w:r w:rsidRPr="00720652">
        <w:rPr>
          <w:rFonts w:asciiTheme="majorHAnsi" w:eastAsia="Times New Roman" w:hAnsiTheme="majorHAnsi" w:cstheme="majorHAnsi"/>
          <w:b/>
          <w:sz w:val="24"/>
          <w:szCs w:val="24"/>
          <w:lang w:val="ro-RO" w:bidi="he-IL"/>
        </w:rPr>
        <w:t>f</w:t>
      </w:r>
      <w:r w:rsidR="00E96293" w:rsidRPr="00720652">
        <w:rPr>
          <w:rFonts w:asciiTheme="majorHAnsi" w:eastAsia="Times New Roman" w:hAnsiTheme="majorHAnsi" w:cstheme="majorHAnsi"/>
          <w:b/>
          <w:sz w:val="24"/>
          <w:szCs w:val="24"/>
          <w:lang w:val="ro-RO" w:bidi="he-IL"/>
        </w:rPr>
        <w:t xml:space="preserve">actorii de decizie responsabili de implementarea Strategiei </w:t>
      </w:r>
      <w:r w:rsidR="008606CC" w:rsidRPr="00720652">
        <w:rPr>
          <w:rFonts w:asciiTheme="majorHAnsi" w:eastAsia="Times New Roman" w:hAnsiTheme="majorHAnsi" w:cstheme="majorHAnsi"/>
          <w:b/>
          <w:sz w:val="24"/>
          <w:szCs w:val="24"/>
          <w:lang w:val="ro-RO" w:bidi="he-IL"/>
        </w:rPr>
        <w:t>n</w:t>
      </w:r>
      <w:r w:rsidR="00E96293" w:rsidRPr="00720652">
        <w:rPr>
          <w:rFonts w:asciiTheme="majorHAnsi" w:eastAsia="Times New Roman" w:hAnsiTheme="majorHAnsi" w:cstheme="majorHAnsi"/>
          <w:b/>
          <w:sz w:val="24"/>
          <w:szCs w:val="24"/>
          <w:lang w:val="ro-RO" w:bidi="he-IL"/>
        </w:rPr>
        <w:t>u</w:t>
      </w:r>
      <w:r w:rsidR="008606CC" w:rsidRPr="00720652">
        <w:rPr>
          <w:rFonts w:asciiTheme="majorHAnsi" w:eastAsia="Times New Roman" w:hAnsiTheme="majorHAnsi" w:cstheme="majorHAnsi"/>
          <w:b/>
          <w:sz w:val="24"/>
          <w:szCs w:val="24"/>
          <w:lang w:val="ro-RO" w:bidi="he-IL"/>
        </w:rPr>
        <w:t xml:space="preserve"> </w:t>
      </w:r>
      <w:r w:rsidR="00E96293" w:rsidRPr="00720652">
        <w:rPr>
          <w:rFonts w:asciiTheme="majorHAnsi" w:eastAsia="Times New Roman" w:hAnsiTheme="majorHAnsi" w:cstheme="majorHAnsi"/>
          <w:b/>
          <w:sz w:val="24"/>
          <w:szCs w:val="24"/>
          <w:lang w:val="ro-RO" w:bidi="he-IL"/>
        </w:rPr>
        <w:t>au efectua</w:t>
      </w:r>
      <w:r w:rsidR="008606CC" w:rsidRPr="00720652">
        <w:rPr>
          <w:rFonts w:asciiTheme="majorHAnsi" w:eastAsia="Times New Roman" w:hAnsiTheme="majorHAnsi" w:cstheme="majorHAnsi"/>
          <w:b/>
          <w:sz w:val="24"/>
          <w:szCs w:val="24"/>
          <w:lang w:val="ro-RO" w:bidi="he-IL"/>
        </w:rPr>
        <w:t>t</w:t>
      </w:r>
      <w:r w:rsidR="00E96293" w:rsidRPr="00720652">
        <w:rPr>
          <w:rFonts w:asciiTheme="majorHAnsi" w:eastAsia="Times New Roman" w:hAnsiTheme="majorHAnsi" w:cstheme="majorHAnsi"/>
          <w:b/>
          <w:sz w:val="24"/>
          <w:szCs w:val="24"/>
          <w:lang w:val="ro-RO" w:bidi="he-IL"/>
        </w:rPr>
        <w:t xml:space="preserve"> evaluarea </w:t>
      </w:r>
      <w:r w:rsidR="00B703CE" w:rsidRPr="00720652">
        <w:rPr>
          <w:rFonts w:asciiTheme="majorHAnsi" w:eastAsia="Times New Roman" w:hAnsiTheme="majorHAnsi" w:cstheme="majorHAnsi"/>
          <w:b/>
          <w:sz w:val="24"/>
          <w:szCs w:val="24"/>
          <w:lang w:val="ro-RO" w:bidi="he-IL"/>
        </w:rPr>
        <w:t>indicatorilor</w:t>
      </w:r>
      <w:r w:rsidR="00E96293" w:rsidRPr="00720652">
        <w:rPr>
          <w:rFonts w:asciiTheme="majorHAnsi" w:eastAsia="Times New Roman" w:hAnsiTheme="majorHAnsi" w:cstheme="majorHAnsi"/>
          <w:b/>
          <w:sz w:val="24"/>
          <w:szCs w:val="24"/>
          <w:lang w:val="ro-RO" w:bidi="he-IL"/>
        </w:rPr>
        <w:t xml:space="preserve"> pe termen mediu. </w:t>
      </w:r>
      <w:r w:rsidR="00E96293" w:rsidRPr="00720652">
        <w:rPr>
          <w:rFonts w:asciiTheme="majorHAnsi" w:eastAsia="Times New Roman" w:hAnsiTheme="majorHAnsi" w:cstheme="majorHAnsi"/>
          <w:sz w:val="24"/>
          <w:szCs w:val="24"/>
          <w:lang w:val="ro-RO" w:bidi="he-IL"/>
        </w:rPr>
        <w:t>D</w:t>
      </w:r>
      <w:r w:rsidR="00720652">
        <w:rPr>
          <w:rFonts w:asciiTheme="majorHAnsi" w:eastAsia="Times New Roman" w:hAnsiTheme="majorHAnsi" w:cstheme="majorHAnsi"/>
          <w:sz w:val="24"/>
          <w:szCs w:val="24"/>
          <w:lang w:val="ro-RO" w:bidi="he-IL"/>
        </w:rPr>
        <w:t>eși</w:t>
      </w:r>
      <w:r w:rsidR="00F911E1" w:rsidRPr="00720652">
        <w:rPr>
          <w:rFonts w:asciiTheme="majorHAnsi" w:eastAsia="Times New Roman" w:hAnsiTheme="majorHAnsi" w:cstheme="majorHAnsi"/>
          <w:sz w:val="24"/>
          <w:szCs w:val="24"/>
          <w:lang w:val="ro-RO" w:bidi="he-IL"/>
        </w:rPr>
        <w:t xml:space="preserve"> S</w:t>
      </w:r>
      <w:r w:rsidR="00E32E08" w:rsidRPr="00720652">
        <w:rPr>
          <w:rFonts w:asciiTheme="majorHAnsi" w:eastAsia="Times New Roman" w:hAnsiTheme="majorHAnsi" w:cstheme="majorHAnsi"/>
          <w:sz w:val="24"/>
          <w:szCs w:val="24"/>
          <w:lang w:val="ro-RO" w:bidi="he-IL"/>
        </w:rPr>
        <w:t>trategia</w:t>
      </w:r>
      <w:r w:rsidR="00F911E1" w:rsidRPr="00720652">
        <w:rPr>
          <w:rFonts w:asciiTheme="majorHAnsi" w:eastAsia="Times New Roman" w:hAnsiTheme="majorHAnsi" w:cstheme="majorHAnsi"/>
          <w:sz w:val="24"/>
          <w:szCs w:val="24"/>
          <w:lang w:val="ro-RO" w:bidi="he-IL"/>
        </w:rPr>
        <w:t xml:space="preserve"> </w:t>
      </w:r>
      <w:r w:rsidR="00EC679F" w:rsidRPr="00720652">
        <w:rPr>
          <w:rFonts w:asciiTheme="majorHAnsi" w:eastAsia="Times New Roman" w:hAnsiTheme="majorHAnsi" w:cstheme="majorHAnsi"/>
          <w:sz w:val="24"/>
          <w:szCs w:val="24"/>
          <w:lang w:val="ro-RO" w:bidi="he-IL"/>
        </w:rPr>
        <w:t xml:space="preserve">determină </w:t>
      </w:r>
      <w:r w:rsidR="00F911E1" w:rsidRPr="00720652">
        <w:rPr>
          <w:rFonts w:asciiTheme="majorHAnsi" w:eastAsia="Times New Roman" w:hAnsiTheme="majorHAnsi" w:cstheme="majorHAnsi"/>
          <w:sz w:val="24"/>
          <w:szCs w:val="24"/>
          <w:lang w:val="ro-RO" w:bidi="he-IL"/>
        </w:rPr>
        <w:t xml:space="preserve">atât indicatorii de evaluare </w:t>
      </w:r>
      <w:r w:rsidR="00EC679F" w:rsidRPr="00720652">
        <w:rPr>
          <w:rFonts w:asciiTheme="majorHAnsi" w:eastAsia="Times New Roman" w:hAnsiTheme="majorHAnsi" w:cstheme="majorHAnsi"/>
          <w:sz w:val="24"/>
          <w:szCs w:val="24"/>
          <w:lang w:val="ro-RO" w:bidi="he-IL"/>
        </w:rPr>
        <w:t>pe</w:t>
      </w:r>
      <w:r w:rsidR="00720652">
        <w:rPr>
          <w:rFonts w:asciiTheme="majorHAnsi" w:eastAsia="Times New Roman" w:hAnsiTheme="majorHAnsi" w:cstheme="majorHAnsi"/>
          <w:sz w:val="24"/>
          <w:szCs w:val="24"/>
          <w:lang w:val="ro-RO" w:bidi="he-IL"/>
        </w:rPr>
        <w:t xml:space="preserve"> termen mediu, cât și</w:t>
      </w:r>
      <w:r w:rsidR="00F911E1" w:rsidRPr="00720652">
        <w:rPr>
          <w:rFonts w:asciiTheme="majorHAnsi" w:eastAsia="Times New Roman" w:hAnsiTheme="majorHAnsi" w:cstheme="majorHAnsi"/>
          <w:sz w:val="24"/>
          <w:szCs w:val="24"/>
          <w:lang w:val="ro-RO" w:bidi="he-IL"/>
        </w:rPr>
        <w:t xml:space="preserve"> cei finali, </w:t>
      </w:r>
      <w:r w:rsidR="00B703CE" w:rsidRPr="00720652">
        <w:rPr>
          <w:rFonts w:asciiTheme="majorHAnsi" w:eastAsia="Times New Roman" w:hAnsiTheme="majorHAnsi" w:cstheme="majorHAnsi"/>
          <w:sz w:val="24"/>
          <w:szCs w:val="24"/>
          <w:lang w:val="ro-RO" w:bidi="he-IL"/>
        </w:rPr>
        <w:t>Ministerul Agriculturii</w:t>
      </w:r>
      <w:r w:rsidR="00EC679F" w:rsidRPr="00720652">
        <w:rPr>
          <w:rFonts w:asciiTheme="majorHAnsi" w:eastAsia="Times New Roman" w:hAnsiTheme="majorHAnsi" w:cstheme="majorHAnsi"/>
          <w:sz w:val="24"/>
          <w:szCs w:val="24"/>
          <w:lang w:val="ro-RO" w:bidi="he-IL"/>
        </w:rPr>
        <w:t>,</w:t>
      </w:r>
      <w:r w:rsidR="00720652">
        <w:rPr>
          <w:rFonts w:asciiTheme="majorHAnsi" w:eastAsia="Times New Roman" w:hAnsiTheme="majorHAnsi" w:cstheme="majorHAnsi"/>
          <w:sz w:val="24"/>
          <w:szCs w:val="24"/>
          <w:lang w:val="ro-RO" w:bidi="he-IL"/>
        </w:rPr>
        <w:t xml:space="preserve"> Dezvoltării Regionale și </w:t>
      </w:r>
      <w:r w:rsidR="00B703CE" w:rsidRPr="00720652">
        <w:rPr>
          <w:rFonts w:asciiTheme="majorHAnsi" w:eastAsia="Times New Roman" w:hAnsiTheme="majorHAnsi" w:cstheme="majorHAnsi"/>
          <w:sz w:val="24"/>
          <w:szCs w:val="24"/>
          <w:lang w:val="ro-RO" w:bidi="he-IL"/>
        </w:rPr>
        <w:t xml:space="preserve">Mediului/Ministerul Mediului </w:t>
      </w:r>
      <w:r w:rsidR="00720652">
        <w:rPr>
          <w:rFonts w:asciiTheme="majorHAnsi" w:eastAsia="Times New Roman" w:hAnsiTheme="majorHAnsi" w:cstheme="majorHAnsi"/>
          <w:sz w:val="24"/>
          <w:szCs w:val="24"/>
          <w:lang w:val="ro-RO" w:bidi="he-IL"/>
        </w:rPr>
        <w:t>nu a asigurat monitorizarea și</w:t>
      </w:r>
      <w:r w:rsidR="00F911E1" w:rsidRPr="00720652">
        <w:rPr>
          <w:rFonts w:asciiTheme="majorHAnsi" w:eastAsia="Times New Roman" w:hAnsiTheme="majorHAnsi" w:cstheme="majorHAnsi"/>
          <w:sz w:val="24"/>
          <w:szCs w:val="24"/>
          <w:lang w:val="ro-RO" w:bidi="he-IL"/>
        </w:rPr>
        <w:t xml:space="preserve"> raportarea acestora în cadrul rapoartelor anuale privind procesul de implementare a </w:t>
      </w:r>
      <w:r w:rsidR="00EC679F" w:rsidRPr="00720652">
        <w:rPr>
          <w:rFonts w:asciiTheme="majorHAnsi" w:eastAsia="Times New Roman" w:hAnsiTheme="majorHAnsi" w:cstheme="majorHAnsi"/>
          <w:sz w:val="24"/>
          <w:szCs w:val="24"/>
          <w:lang w:val="ro-RO" w:bidi="he-IL"/>
        </w:rPr>
        <w:t>Strategiei</w:t>
      </w:r>
      <w:r w:rsidR="00F911E1" w:rsidRPr="00720652">
        <w:rPr>
          <w:rFonts w:asciiTheme="majorHAnsi" w:eastAsia="Times New Roman" w:hAnsiTheme="majorHAnsi" w:cstheme="majorHAnsi"/>
          <w:sz w:val="24"/>
          <w:szCs w:val="24"/>
          <w:lang w:val="ro-RO" w:bidi="he-IL"/>
        </w:rPr>
        <w:t>, raportarea fiind axată exclusiv pe gradul de impl</w:t>
      </w:r>
      <w:r w:rsidR="00720652">
        <w:rPr>
          <w:rFonts w:asciiTheme="majorHAnsi" w:eastAsia="Times New Roman" w:hAnsiTheme="majorHAnsi" w:cstheme="majorHAnsi"/>
          <w:sz w:val="24"/>
          <w:szCs w:val="24"/>
          <w:lang w:val="ro-RO" w:bidi="he-IL"/>
        </w:rPr>
        <w:t>ementare a Planurilor de acțiuni</w:t>
      </w:r>
      <w:r w:rsidR="00D62F07" w:rsidRPr="00720652">
        <w:rPr>
          <w:rFonts w:asciiTheme="majorHAnsi" w:eastAsia="Times New Roman" w:hAnsiTheme="majorHAnsi" w:cstheme="majorHAnsi"/>
          <w:bCs/>
          <w:sz w:val="24"/>
          <w:szCs w:val="24"/>
          <w:lang w:val="ro-RO" w:bidi="he-IL"/>
        </w:rPr>
        <w:t>;</w:t>
      </w:r>
    </w:p>
    <w:p w14:paraId="563E50C7" w14:textId="77777777" w:rsidR="004A167B" w:rsidRPr="00720652" w:rsidRDefault="009A17EB" w:rsidP="00307CB9">
      <w:pPr>
        <w:pStyle w:val="af3"/>
        <w:numPr>
          <w:ilvl w:val="0"/>
          <w:numId w:val="15"/>
        </w:numPr>
        <w:tabs>
          <w:tab w:val="left" w:pos="142"/>
        </w:tabs>
        <w:spacing w:after="0" w:line="276" w:lineRule="auto"/>
        <w:ind w:left="0" w:firstLine="567"/>
        <w:jc w:val="both"/>
        <w:rPr>
          <w:rFonts w:asciiTheme="majorHAnsi" w:hAnsiTheme="majorHAnsi" w:cstheme="majorHAnsi"/>
          <w:sz w:val="24"/>
          <w:szCs w:val="24"/>
          <w:lang w:val="ro-RO"/>
        </w:rPr>
      </w:pPr>
      <w:r w:rsidRPr="00720652">
        <w:rPr>
          <w:rFonts w:asciiTheme="majorHAnsi" w:hAnsiTheme="majorHAnsi" w:cstheme="majorHAnsi"/>
          <w:b/>
          <w:sz w:val="24"/>
          <w:szCs w:val="24"/>
          <w:lang w:val="ro-RO"/>
        </w:rPr>
        <w:t>l</w:t>
      </w:r>
      <w:r w:rsidR="00783107" w:rsidRPr="00720652">
        <w:rPr>
          <w:rFonts w:asciiTheme="majorHAnsi" w:hAnsiTheme="majorHAnsi" w:cstheme="majorHAnsi"/>
          <w:b/>
          <w:sz w:val="24"/>
          <w:szCs w:val="24"/>
          <w:lang w:val="ro-RO"/>
        </w:rPr>
        <w:t>ipsește un Plan de acțiuni unic privind dezvoltarea domeniului de alimentare cu apă și sanitație la nivel național</w:t>
      </w:r>
      <w:r w:rsidR="004A167B" w:rsidRPr="00720652">
        <w:rPr>
          <w:rFonts w:asciiTheme="majorHAnsi" w:hAnsiTheme="majorHAnsi" w:cstheme="majorHAnsi"/>
          <w:sz w:val="24"/>
          <w:szCs w:val="24"/>
          <w:lang w:val="ro-RO"/>
        </w:rPr>
        <w:t>, dezvoltarea domeniului respectiv fiind inclusă în mai multe Strategii</w:t>
      </w:r>
      <w:r w:rsidR="004A167B" w:rsidRPr="00720652">
        <w:rPr>
          <w:rStyle w:val="a7"/>
          <w:rFonts w:asciiTheme="majorHAnsi" w:hAnsiTheme="majorHAnsi" w:cstheme="majorHAnsi"/>
          <w:sz w:val="24"/>
          <w:szCs w:val="24"/>
          <w:lang w:val="ro-RO"/>
        </w:rPr>
        <w:footnoteReference w:id="7"/>
      </w:r>
      <w:r w:rsidR="00EC679F" w:rsidRPr="00720652">
        <w:rPr>
          <w:rFonts w:asciiTheme="majorHAnsi" w:hAnsiTheme="majorHAnsi" w:cstheme="majorHAnsi"/>
          <w:sz w:val="24"/>
          <w:szCs w:val="24"/>
          <w:lang w:val="ro-RO"/>
        </w:rPr>
        <w:t>,</w:t>
      </w:r>
      <w:r w:rsidR="00010503" w:rsidRPr="00720652">
        <w:rPr>
          <w:rFonts w:asciiTheme="majorHAnsi" w:hAnsiTheme="majorHAnsi" w:cstheme="majorHAnsi"/>
          <w:sz w:val="24"/>
          <w:szCs w:val="24"/>
          <w:lang w:val="ro-RO"/>
        </w:rPr>
        <w:t xml:space="preserve"> incorpor</w:t>
      </w:r>
      <w:r w:rsidR="00EC679F" w:rsidRPr="00720652">
        <w:rPr>
          <w:rFonts w:asciiTheme="majorHAnsi" w:hAnsiTheme="majorHAnsi" w:cstheme="majorHAnsi"/>
          <w:sz w:val="24"/>
          <w:szCs w:val="24"/>
          <w:lang w:val="ro-RO"/>
        </w:rPr>
        <w:t>ând</w:t>
      </w:r>
      <w:r w:rsidR="00010503" w:rsidRPr="00720652">
        <w:rPr>
          <w:rFonts w:asciiTheme="majorHAnsi" w:hAnsiTheme="majorHAnsi" w:cstheme="majorHAnsi"/>
          <w:sz w:val="24"/>
          <w:szCs w:val="24"/>
          <w:lang w:val="ro-RO"/>
        </w:rPr>
        <w:t xml:space="preserve"> obiective și indicatori aferenți domeniului de alimentare cu apă și sanitație</w:t>
      </w:r>
      <w:r w:rsidR="00EC679F" w:rsidRPr="00720652">
        <w:rPr>
          <w:rFonts w:asciiTheme="majorHAnsi" w:hAnsiTheme="majorHAnsi" w:cstheme="majorHAnsi"/>
          <w:sz w:val="24"/>
          <w:szCs w:val="24"/>
          <w:lang w:val="ro-RO"/>
        </w:rPr>
        <w:t xml:space="preserve"> și </w:t>
      </w:r>
      <w:r w:rsidR="00F13462" w:rsidRPr="00720652">
        <w:rPr>
          <w:rFonts w:asciiTheme="majorHAnsi" w:hAnsiTheme="majorHAnsi" w:cstheme="majorHAnsi"/>
          <w:sz w:val="24"/>
          <w:szCs w:val="24"/>
          <w:lang w:val="ro-RO"/>
        </w:rPr>
        <w:t>fiind st</w:t>
      </w:r>
      <w:r w:rsidR="004A167B" w:rsidRPr="00720652">
        <w:rPr>
          <w:rFonts w:asciiTheme="majorHAnsi" w:hAnsiTheme="majorHAnsi" w:cstheme="majorHAnsi"/>
          <w:sz w:val="24"/>
          <w:szCs w:val="24"/>
          <w:lang w:val="ro-RO"/>
        </w:rPr>
        <w:t>abilite ținte diferite pentru realizarea indi</w:t>
      </w:r>
      <w:r w:rsidR="00EB4BA1" w:rsidRPr="00720652">
        <w:rPr>
          <w:rFonts w:asciiTheme="majorHAnsi" w:hAnsiTheme="majorHAnsi" w:cstheme="majorHAnsi"/>
          <w:sz w:val="24"/>
          <w:szCs w:val="24"/>
          <w:lang w:val="ro-RO"/>
        </w:rPr>
        <w:t xml:space="preserve">catorului </w:t>
      </w:r>
      <w:r w:rsidR="00F13462" w:rsidRPr="00720652">
        <w:rPr>
          <w:rFonts w:asciiTheme="majorHAnsi" w:hAnsiTheme="majorHAnsi" w:cstheme="majorHAnsi"/>
          <w:sz w:val="24"/>
          <w:szCs w:val="24"/>
          <w:lang w:val="ro-RO"/>
        </w:rPr>
        <w:t>af</w:t>
      </w:r>
      <w:r w:rsidR="004A167B" w:rsidRPr="00720652">
        <w:rPr>
          <w:rFonts w:asciiTheme="majorHAnsi" w:hAnsiTheme="majorHAnsi" w:cstheme="majorHAnsi"/>
          <w:sz w:val="24"/>
          <w:szCs w:val="24"/>
          <w:lang w:val="ro-RO"/>
        </w:rPr>
        <w:t>erent ponderii populației conectate la serviciile de alimentare cu apă și sanitație</w:t>
      </w:r>
      <w:r w:rsidR="00EC679F" w:rsidRPr="00720652">
        <w:rPr>
          <w:rFonts w:asciiTheme="majorHAnsi" w:hAnsiTheme="majorHAnsi" w:cstheme="majorHAnsi"/>
          <w:sz w:val="24"/>
          <w:szCs w:val="24"/>
          <w:lang w:val="ro-RO"/>
        </w:rPr>
        <w:t>;</w:t>
      </w:r>
    </w:p>
    <w:p w14:paraId="2FADD2E9" w14:textId="79839AE1" w:rsidR="009418B2" w:rsidRPr="00720652" w:rsidRDefault="009A17EB" w:rsidP="009418B2">
      <w:pPr>
        <w:pStyle w:val="af3"/>
        <w:numPr>
          <w:ilvl w:val="0"/>
          <w:numId w:val="13"/>
        </w:numPr>
        <w:tabs>
          <w:tab w:val="left" w:pos="142"/>
          <w:tab w:val="left" w:pos="709"/>
          <w:tab w:val="left" w:pos="851"/>
        </w:tabs>
        <w:spacing w:after="0" w:line="276" w:lineRule="auto"/>
        <w:ind w:left="0" w:firstLine="709"/>
        <w:jc w:val="both"/>
        <w:rPr>
          <w:rFonts w:asciiTheme="majorHAnsi" w:hAnsiTheme="majorHAnsi" w:cstheme="majorHAnsi"/>
          <w:sz w:val="24"/>
          <w:szCs w:val="24"/>
          <w:lang w:val="ro-RO"/>
        </w:rPr>
      </w:pPr>
      <w:r w:rsidRPr="00720652">
        <w:rPr>
          <w:rFonts w:asciiTheme="majorHAnsi" w:hAnsiTheme="majorHAnsi" w:cstheme="majorHAnsi"/>
          <w:b/>
          <w:sz w:val="24"/>
          <w:szCs w:val="24"/>
          <w:lang w:val="ro-RO"/>
        </w:rPr>
        <w:t>i</w:t>
      </w:r>
      <w:r w:rsidR="004A167B" w:rsidRPr="00720652">
        <w:rPr>
          <w:rFonts w:asciiTheme="majorHAnsi" w:hAnsiTheme="majorHAnsi" w:cstheme="majorHAnsi"/>
          <w:b/>
          <w:sz w:val="24"/>
          <w:szCs w:val="24"/>
          <w:lang w:val="ro-RO"/>
        </w:rPr>
        <w:t xml:space="preserve">ncapacitatea unor </w:t>
      </w:r>
      <w:r w:rsidR="00CD5268" w:rsidRPr="00720652">
        <w:rPr>
          <w:rFonts w:asciiTheme="majorHAnsi" w:hAnsiTheme="majorHAnsi" w:cstheme="majorHAnsi"/>
          <w:b/>
          <w:sz w:val="24"/>
          <w:szCs w:val="24"/>
          <w:lang w:val="ro-RO"/>
        </w:rPr>
        <w:t>unități</w:t>
      </w:r>
      <w:r w:rsidR="005A5684" w:rsidRPr="00720652">
        <w:rPr>
          <w:rFonts w:asciiTheme="majorHAnsi" w:hAnsiTheme="majorHAnsi" w:cstheme="majorHAnsi"/>
          <w:b/>
          <w:sz w:val="24"/>
          <w:szCs w:val="24"/>
          <w:lang w:val="ro-RO"/>
        </w:rPr>
        <w:t xml:space="preserve"> administrativ-teritoriale</w:t>
      </w:r>
      <w:r w:rsidR="004A167B" w:rsidRPr="00720652">
        <w:rPr>
          <w:rFonts w:asciiTheme="majorHAnsi" w:hAnsiTheme="majorHAnsi" w:cstheme="majorHAnsi"/>
          <w:b/>
          <w:sz w:val="24"/>
          <w:szCs w:val="24"/>
          <w:lang w:val="ro-RO"/>
        </w:rPr>
        <w:t xml:space="preserve"> de valorificare a resurselor F</w:t>
      </w:r>
      <w:r w:rsidR="00720652">
        <w:rPr>
          <w:rFonts w:asciiTheme="majorHAnsi" w:hAnsiTheme="majorHAnsi" w:cstheme="majorHAnsi"/>
          <w:b/>
          <w:sz w:val="24"/>
          <w:szCs w:val="24"/>
          <w:lang w:val="ro-RO"/>
        </w:rPr>
        <w:t>ondului Ecologic Național</w:t>
      </w:r>
      <w:r w:rsidR="004A167B" w:rsidRPr="00720652">
        <w:rPr>
          <w:rFonts w:asciiTheme="majorHAnsi" w:hAnsiTheme="majorHAnsi" w:cstheme="majorHAnsi"/>
          <w:b/>
          <w:sz w:val="24"/>
          <w:szCs w:val="24"/>
          <w:lang w:val="ro-RO"/>
        </w:rPr>
        <w:t xml:space="preserve"> </w:t>
      </w:r>
      <w:r w:rsidR="00EC679F" w:rsidRPr="00720652">
        <w:rPr>
          <w:rFonts w:asciiTheme="majorHAnsi" w:hAnsiTheme="majorHAnsi" w:cstheme="majorHAnsi"/>
          <w:b/>
          <w:sz w:val="24"/>
          <w:szCs w:val="24"/>
          <w:lang w:val="ro-RO"/>
        </w:rPr>
        <w:t>(FEN)</w:t>
      </w:r>
      <w:r w:rsidR="006869A1" w:rsidRPr="00720652">
        <w:rPr>
          <w:rFonts w:asciiTheme="majorHAnsi" w:hAnsiTheme="majorHAnsi" w:cstheme="majorHAnsi"/>
          <w:b/>
          <w:sz w:val="24"/>
          <w:szCs w:val="24"/>
          <w:lang w:val="ro-RO"/>
        </w:rPr>
        <w:t xml:space="preserve"> </w:t>
      </w:r>
      <w:r w:rsidR="004A167B" w:rsidRPr="00720652">
        <w:rPr>
          <w:rFonts w:asciiTheme="majorHAnsi" w:hAnsiTheme="majorHAnsi" w:cstheme="majorHAnsi"/>
          <w:b/>
          <w:sz w:val="24"/>
          <w:szCs w:val="24"/>
          <w:lang w:val="ro-RO"/>
        </w:rPr>
        <w:t xml:space="preserve">a condiționat excluderea din Lista </w:t>
      </w:r>
      <w:r w:rsidR="00CD5268" w:rsidRPr="00720652">
        <w:rPr>
          <w:rFonts w:asciiTheme="majorHAnsi" w:hAnsiTheme="majorHAnsi" w:cstheme="majorHAnsi"/>
          <w:b/>
          <w:sz w:val="24"/>
          <w:szCs w:val="24"/>
          <w:lang w:val="ro-RO"/>
        </w:rPr>
        <w:t>proiectelor</w:t>
      </w:r>
      <w:r w:rsidR="004A167B" w:rsidRPr="00720652">
        <w:rPr>
          <w:rFonts w:asciiTheme="majorHAnsi" w:hAnsiTheme="majorHAnsi" w:cstheme="majorHAnsi"/>
          <w:b/>
          <w:sz w:val="24"/>
          <w:szCs w:val="24"/>
          <w:lang w:val="ro-RO"/>
        </w:rPr>
        <w:t xml:space="preserve"> finanța</w:t>
      </w:r>
      <w:r w:rsidR="003B6B8B" w:rsidRPr="00720652">
        <w:rPr>
          <w:rFonts w:asciiTheme="majorHAnsi" w:hAnsiTheme="majorHAnsi" w:cstheme="majorHAnsi"/>
          <w:b/>
          <w:sz w:val="24"/>
          <w:szCs w:val="24"/>
          <w:lang w:val="ro-RO"/>
        </w:rPr>
        <w:t>t</w:t>
      </w:r>
      <w:r w:rsidR="004A167B" w:rsidRPr="00720652">
        <w:rPr>
          <w:rFonts w:asciiTheme="majorHAnsi" w:hAnsiTheme="majorHAnsi" w:cstheme="majorHAnsi"/>
          <w:b/>
          <w:sz w:val="24"/>
          <w:szCs w:val="24"/>
          <w:lang w:val="ro-RO"/>
        </w:rPr>
        <w:t xml:space="preserve">e din </w:t>
      </w:r>
      <w:r w:rsidR="00CD5268" w:rsidRPr="00720652">
        <w:rPr>
          <w:rFonts w:asciiTheme="majorHAnsi" w:hAnsiTheme="majorHAnsi" w:cstheme="majorHAnsi"/>
          <w:b/>
          <w:sz w:val="24"/>
          <w:szCs w:val="24"/>
          <w:lang w:val="ro-RO"/>
        </w:rPr>
        <w:t>Fond</w:t>
      </w:r>
      <w:r w:rsidR="004A167B" w:rsidRPr="00720652">
        <w:rPr>
          <w:rFonts w:asciiTheme="majorHAnsi" w:hAnsiTheme="majorHAnsi" w:cstheme="majorHAnsi"/>
          <w:b/>
          <w:sz w:val="24"/>
          <w:szCs w:val="24"/>
          <w:lang w:val="ro-RO"/>
        </w:rPr>
        <w:t xml:space="preserve"> a </w:t>
      </w:r>
      <w:r w:rsidR="00CD5268" w:rsidRPr="00720652">
        <w:rPr>
          <w:rFonts w:asciiTheme="majorHAnsi" w:hAnsiTheme="majorHAnsi" w:cstheme="majorHAnsi"/>
          <w:b/>
          <w:sz w:val="24"/>
          <w:szCs w:val="24"/>
          <w:lang w:val="ro-RO"/>
        </w:rPr>
        <w:t xml:space="preserve">proiectelor </w:t>
      </w:r>
      <w:r w:rsidR="004A167B" w:rsidRPr="00720652">
        <w:rPr>
          <w:rFonts w:asciiTheme="majorHAnsi" w:hAnsiTheme="majorHAnsi" w:cstheme="majorHAnsi"/>
          <w:b/>
          <w:sz w:val="24"/>
          <w:szCs w:val="24"/>
          <w:lang w:val="ro-RO"/>
        </w:rPr>
        <w:t>deja inițiate.</w:t>
      </w:r>
      <w:r w:rsidR="004A167B" w:rsidRPr="00720652">
        <w:rPr>
          <w:rFonts w:asciiTheme="majorHAnsi" w:hAnsiTheme="majorHAnsi" w:cstheme="majorHAnsi"/>
          <w:sz w:val="24"/>
          <w:szCs w:val="24"/>
          <w:lang w:val="ro-RO"/>
        </w:rPr>
        <w:t xml:space="preserve"> Pe parcursul anilor, </w:t>
      </w:r>
      <w:r w:rsidR="00CD5268" w:rsidRPr="00720652">
        <w:rPr>
          <w:rFonts w:asciiTheme="majorHAnsi" w:hAnsiTheme="majorHAnsi" w:cstheme="majorHAnsi"/>
          <w:sz w:val="24"/>
          <w:szCs w:val="24"/>
          <w:lang w:val="ro-RO"/>
        </w:rPr>
        <w:t>o parte din proiectele</w:t>
      </w:r>
      <w:r w:rsidR="004A167B" w:rsidRPr="00720652">
        <w:rPr>
          <w:rFonts w:asciiTheme="majorHAnsi" w:hAnsiTheme="majorHAnsi" w:cstheme="majorHAnsi"/>
          <w:sz w:val="24"/>
          <w:szCs w:val="24"/>
          <w:lang w:val="ro-RO"/>
        </w:rPr>
        <w:t xml:space="preserve"> finanțate din </w:t>
      </w:r>
      <w:r w:rsidR="00EC679F" w:rsidRPr="00720652">
        <w:rPr>
          <w:rFonts w:asciiTheme="majorHAnsi" w:hAnsiTheme="majorHAnsi" w:cstheme="majorHAnsi"/>
          <w:sz w:val="24"/>
          <w:szCs w:val="24"/>
          <w:lang w:val="ro-RO"/>
        </w:rPr>
        <w:t>FEN</w:t>
      </w:r>
      <w:r w:rsidR="004A167B" w:rsidRPr="00720652">
        <w:rPr>
          <w:rFonts w:asciiTheme="majorHAnsi" w:hAnsiTheme="majorHAnsi" w:cstheme="majorHAnsi"/>
          <w:sz w:val="24"/>
          <w:szCs w:val="24"/>
          <w:lang w:val="ro-RO"/>
        </w:rPr>
        <w:t xml:space="preserve">, deși </w:t>
      </w:r>
      <w:r w:rsidR="00C37831" w:rsidRPr="00720652">
        <w:rPr>
          <w:rFonts w:asciiTheme="majorHAnsi" w:hAnsiTheme="majorHAnsi" w:cstheme="majorHAnsi"/>
          <w:sz w:val="24"/>
          <w:szCs w:val="24"/>
          <w:lang w:val="ro-RO"/>
        </w:rPr>
        <w:t>au fost inițiate, au fost exclus</w:t>
      </w:r>
      <w:r w:rsidR="004A167B" w:rsidRPr="00720652">
        <w:rPr>
          <w:rFonts w:asciiTheme="majorHAnsi" w:hAnsiTheme="majorHAnsi" w:cstheme="majorHAnsi"/>
          <w:sz w:val="24"/>
          <w:szCs w:val="24"/>
          <w:lang w:val="ro-RO"/>
        </w:rPr>
        <w:t>e din fi</w:t>
      </w:r>
      <w:r w:rsidR="00F13462" w:rsidRPr="00720652">
        <w:rPr>
          <w:rFonts w:asciiTheme="majorHAnsi" w:hAnsiTheme="majorHAnsi" w:cstheme="majorHAnsi"/>
          <w:sz w:val="24"/>
          <w:szCs w:val="24"/>
          <w:lang w:val="ro-RO"/>
        </w:rPr>
        <w:t>n</w:t>
      </w:r>
      <w:r w:rsidR="004A167B" w:rsidRPr="00720652">
        <w:rPr>
          <w:rFonts w:asciiTheme="majorHAnsi" w:hAnsiTheme="majorHAnsi" w:cstheme="majorHAnsi"/>
          <w:sz w:val="24"/>
          <w:szCs w:val="24"/>
          <w:lang w:val="ro-RO"/>
        </w:rPr>
        <w:t xml:space="preserve">anțare de către </w:t>
      </w:r>
      <w:r w:rsidR="00EC679F" w:rsidRPr="00720652">
        <w:rPr>
          <w:rFonts w:asciiTheme="majorHAnsi" w:hAnsiTheme="majorHAnsi" w:cstheme="majorHAnsi"/>
          <w:sz w:val="24"/>
          <w:szCs w:val="24"/>
          <w:lang w:val="ro-RO"/>
        </w:rPr>
        <w:t>FEN,</w:t>
      </w:r>
      <w:r w:rsidR="004A167B" w:rsidRPr="00720652">
        <w:rPr>
          <w:rFonts w:asciiTheme="majorHAnsi" w:hAnsiTheme="majorHAnsi" w:cstheme="majorHAnsi"/>
          <w:sz w:val="24"/>
          <w:szCs w:val="24"/>
          <w:lang w:val="ro-RO"/>
        </w:rPr>
        <w:t xml:space="preserve"> ca urmare a insuficienț</w:t>
      </w:r>
      <w:r w:rsidR="00AD1BE4" w:rsidRPr="00720652">
        <w:rPr>
          <w:rFonts w:asciiTheme="majorHAnsi" w:hAnsiTheme="majorHAnsi" w:cstheme="majorHAnsi"/>
          <w:sz w:val="24"/>
          <w:szCs w:val="24"/>
          <w:lang w:val="ro-RO"/>
        </w:rPr>
        <w:t>ei</w:t>
      </w:r>
      <w:r w:rsidR="004A167B" w:rsidRPr="00720652">
        <w:rPr>
          <w:rFonts w:asciiTheme="majorHAnsi" w:hAnsiTheme="majorHAnsi" w:cstheme="majorHAnsi"/>
          <w:sz w:val="24"/>
          <w:szCs w:val="24"/>
          <w:lang w:val="ro-RO"/>
        </w:rPr>
        <w:t xml:space="preserve"> sau lips</w:t>
      </w:r>
      <w:r w:rsidR="00AD1BE4" w:rsidRPr="00720652">
        <w:rPr>
          <w:rFonts w:asciiTheme="majorHAnsi" w:hAnsiTheme="majorHAnsi" w:cstheme="majorHAnsi"/>
          <w:sz w:val="24"/>
          <w:szCs w:val="24"/>
          <w:lang w:val="ro-RO"/>
        </w:rPr>
        <w:t>ei</w:t>
      </w:r>
      <w:r w:rsidR="004A167B" w:rsidRPr="00720652">
        <w:rPr>
          <w:rFonts w:asciiTheme="majorHAnsi" w:hAnsiTheme="majorHAnsi" w:cstheme="majorHAnsi"/>
          <w:sz w:val="24"/>
          <w:szCs w:val="24"/>
          <w:lang w:val="ro-RO"/>
        </w:rPr>
        <w:t xml:space="preserve"> contribuției, nerespect</w:t>
      </w:r>
      <w:r w:rsidR="00AD1BE4" w:rsidRPr="00720652">
        <w:rPr>
          <w:rFonts w:asciiTheme="majorHAnsi" w:hAnsiTheme="majorHAnsi" w:cstheme="majorHAnsi"/>
          <w:sz w:val="24"/>
          <w:szCs w:val="24"/>
          <w:lang w:val="ro-RO"/>
        </w:rPr>
        <w:t>ării</w:t>
      </w:r>
      <w:r w:rsidR="00F13462" w:rsidRPr="00720652">
        <w:rPr>
          <w:rFonts w:asciiTheme="majorHAnsi" w:hAnsiTheme="majorHAnsi" w:cstheme="majorHAnsi"/>
          <w:sz w:val="24"/>
          <w:szCs w:val="24"/>
          <w:lang w:val="ro-RO"/>
        </w:rPr>
        <w:t xml:space="preserve"> cla</w:t>
      </w:r>
      <w:r w:rsidR="004A167B" w:rsidRPr="00720652">
        <w:rPr>
          <w:rFonts w:asciiTheme="majorHAnsi" w:hAnsiTheme="majorHAnsi" w:cstheme="majorHAnsi"/>
          <w:sz w:val="24"/>
          <w:szCs w:val="24"/>
          <w:lang w:val="ro-RO"/>
        </w:rPr>
        <w:t>uzelor contractului de finanțare etc</w:t>
      </w:r>
      <w:r w:rsidR="00EC679F" w:rsidRPr="00720652">
        <w:rPr>
          <w:rFonts w:asciiTheme="majorHAnsi" w:hAnsiTheme="majorHAnsi" w:cstheme="majorHAnsi"/>
          <w:sz w:val="24"/>
          <w:szCs w:val="24"/>
          <w:lang w:val="ro-RO"/>
        </w:rPr>
        <w:t>.</w:t>
      </w:r>
      <w:r w:rsidRPr="00720652">
        <w:rPr>
          <w:rFonts w:asciiTheme="majorHAnsi" w:hAnsiTheme="majorHAnsi" w:cstheme="majorHAnsi"/>
          <w:sz w:val="24"/>
          <w:szCs w:val="24"/>
          <w:lang w:val="ro-RO"/>
        </w:rPr>
        <w:t>,</w:t>
      </w:r>
      <w:r w:rsidR="00AD1BE4" w:rsidRPr="00720652">
        <w:rPr>
          <w:rFonts w:asciiTheme="majorHAnsi" w:hAnsiTheme="majorHAnsi" w:cstheme="majorHAnsi"/>
          <w:sz w:val="24"/>
          <w:szCs w:val="24"/>
          <w:lang w:val="ro-RO"/>
        </w:rPr>
        <w:t xml:space="preserve"> acestea</w:t>
      </w:r>
      <w:r w:rsidR="004A167B" w:rsidRPr="00720652">
        <w:rPr>
          <w:rFonts w:asciiTheme="majorHAnsi" w:hAnsiTheme="majorHAnsi" w:cstheme="majorHAnsi"/>
          <w:sz w:val="24"/>
          <w:szCs w:val="24"/>
          <w:lang w:val="ro-RO"/>
        </w:rPr>
        <w:t xml:space="preserve"> până în pre</w:t>
      </w:r>
      <w:r w:rsidR="00F13462" w:rsidRPr="00720652">
        <w:rPr>
          <w:rFonts w:asciiTheme="majorHAnsi" w:hAnsiTheme="majorHAnsi" w:cstheme="majorHAnsi"/>
          <w:sz w:val="24"/>
          <w:szCs w:val="24"/>
          <w:lang w:val="ro-RO"/>
        </w:rPr>
        <w:t>z</w:t>
      </w:r>
      <w:r w:rsidR="004A167B" w:rsidRPr="00720652">
        <w:rPr>
          <w:rFonts w:asciiTheme="majorHAnsi" w:hAnsiTheme="majorHAnsi" w:cstheme="majorHAnsi"/>
          <w:sz w:val="24"/>
          <w:szCs w:val="24"/>
          <w:lang w:val="ro-RO"/>
        </w:rPr>
        <w:t xml:space="preserve">ent </w:t>
      </w:r>
      <w:r w:rsidR="00AD1BE4" w:rsidRPr="00720652">
        <w:rPr>
          <w:rFonts w:asciiTheme="majorHAnsi" w:hAnsiTheme="majorHAnsi" w:cstheme="majorHAnsi"/>
          <w:sz w:val="24"/>
          <w:szCs w:val="24"/>
          <w:lang w:val="ro-RO"/>
        </w:rPr>
        <w:t>nefiind</w:t>
      </w:r>
      <w:r w:rsidR="004A167B" w:rsidRPr="00720652">
        <w:rPr>
          <w:rFonts w:asciiTheme="majorHAnsi" w:hAnsiTheme="majorHAnsi" w:cstheme="majorHAnsi"/>
          <w:sz w:val="24"/>
          <w:szCs w:val="24"/>
          <w:lang w:val="ro-RO"/>
        </w:rPr>
        <w:t xml:space="preserve"> finalizate</w:t>
      </w:r>
      <w:r w:rsidR="00AD1BE4" w:rsidRPr="00720652">
        <w:rPr>
          <w:rFonts w:asciiTheme="majorHAnsi" w:hAnsiTheme="majorHAnsi" w:cstheme="majorHAnsi"/>
          <w:sz w:val="24"/>
          <w:szCs w:val="24"/>
          <w:lang w:val="ro-RO"/>
        </w:rPr>
        <w:t xml:space="preserve">, </w:t>
      </w:r>
      <w:r w:rsidR="004A167B" w:rsidRPr="00720652">
        <w:rPr>
          <w:rFonts w:asciiTheme="majorHAnsi" w:hAnsiTheme="majorHAnsi" w:cstheme="majorHAnsi"/>
          <w:sz w:val="24"/>
          <w:szCs w:val="24"/>
          <w:lang w:val="ro-RO"/>
        </w:rPr>
        <w:t>persist</w:t>
      </w:r>
      <w:r w:rsidR="00F13462" w:rsidRPr="00720652">
        <w:rPr>
          <w:rFonts w:asciiTheme="majorHAnsi" w:hAnsiTheme="majorHAnsi" w:cstheme="majorHAnsi"/>
          <w:sz w:val="24"/>
          <w:szCs w:val="24"/>
          <w:lang w:val="ro-RO"/>
        </w:rPr>
        <w:t>â</w:t>
      </w:r>
      <w:r w:rsidR="004A167B" w:rsidRPr="00720652">
        <w:rPr>
          <w:rFonts w:asciiTheme="majorHAnsi" w:hAnsiTheme="majorHAnsi" w:cstheme="majorHAnsi"/>
          <w:sz w:val="24"/>
          <w:szCs w:val="24"/>
          <w:lang w:val="ro-RO"/>
        </w:rPr>
        <w:t xml:space="preserve">nd riscul sporit de </w:t>
      </w:r>
      <w:r w:rsidR="00F13462" w:rsidRPr="00720652">
        <w:rPr>
          <w:rFonts w:asciiTheme="majorHAnsi" w:hAnsiTheme="majorHAnsi" w:cstheme="majorHAnsi"/>
          <w:sz w:val="24"/>
          <w:szCs w:val="24"/>
          <w:lang w:val="ro-RO"/>
        </w:rPr>
        <w:t>deteriorare</w:t>
      </w:r>
      <w:r w:rsidR="004A167B" w:rsidRPr="00720652">
        <w:rPr>
          <w:rFonts w:asciiTheme="majorHAnsi" w:hAnsiTheme="majorHAnsi" w:cstheme="majorHAnsi"/>
          <w:sz w:val="24"/>
          <w:szCs w:val="24"/>
          <w:lang w:val="ro-RO"/>
        </w:rPr>
        <w:t xml:space="preserve"> și degradare a lucrărilor deja executate, de risipă de bani și utilizare neeficientă a banilor publici</w:t>
      </w:r>
      <w:r w:rsidR="00EC679F" w:rsidRPr="00720652">
        <w:rPr>
          <w:rFonts w:asciiTheme="majorHAnsi" w:hAnsiTheme="majorHAnsi" w:cstheme="majorHAnsi"/>
          <w:sz w:val="24"/>
          <w:szCs w:val="24"/>
          <w:lang w:val="ro-RO"/>
        </w:rPr>
        <w:t>;</w:t>
      </w:r>
      <w:r w:rsidR="004A167B" w:rsidRPr="00720652">
        <w:rPr>
          <w:rFonts w:asciiTheme="majorHAnsi" w:hAnsiTheme="majorHAnsi" w:cstheme="majorHAnsi"/>
          <w:sz w:val="24"/>
          <w:szCs w:val="24"/>
          <w:lang w:val="ro-RO"/>
        </w:rPr>
        <w:t xml:space="preserve"> </w:t>
      </w:r>
    </w:p>
    <w:p w14:paraId="3A810EB6" w14:textId="77777777" w:rsidR="00031AB5" w:rsidRPr="00720652" w:rsidRDefault="009A17EB" w:rsidP="009418B2">
      <w:pPr>
        <w:pStyle w:val="af3"/>
        <w:numPr>
          <w:ilvl w:val="0"/>
          <w:numId w:val="13"/>
        </w:numPr>
        <w:tabs>
          <w:tab w:val="left" w:pos="142"/>
          <w:tab w:val="left" w:pos="709"/>
          <w:tab w:val="left" w:pos="851"/>
        </w:tabs>
        <w:spacing w:after="0" w:line="276" w:lineRule="auto"/>
        <w:ind w:left="0" w:firstLine="709"/>
        <w:jc w:val="both"/>
        <w:rPr>
          <w:rFonts w:asciiTheme="majorHAnsi" w:hAnsiTheme="majorHAnsi" w:cstheme="majorHAnsi"/>
          <w:sz w:val="24"/>
          <w:szCs w:val="24"/>
          <w:lang w:val="ro-RO"/>
        </w:rPr>
      </w:pPr>
      <w:r w:rsidRPr="00720652">
        <w:rPr>
          <w:rFonts w:asciiTheme="majorHAnsi" w:hAnsiTheme="majorHAnsi" w:cstheme="majorHAnsi"/>
          <w:b/>
          <w:sz w:val="24"/>
          <w:szCs w:val="24"/>
          <w:lang w:val="ro-RO"/>
        </w:rPr>
        <w:t>d</w:t>
      </w:r>
      <w:r w:rsidR="00031AB5" w:rsidRPr="00720652">
        <w:rPr>
          <w:rFonts w:asciiTheme="majorHAnsi" w:hAnsiTheme="majorHAnsi" w:cstheme="majorHAnsi"/>
          <w:b/>
          <w:sz w:val="24"/>
          <w:szCs w:val="24"/>
          <w:lang w:val="ro-RO"/>
        </w:rPr>
        <w:t>ivizarea finanțării proiect</w:t>
      </w:r>
      <w:r w:rsidR="00474297" w:rsidRPr="00720652">
        <w:rPr>
          <w:rFonts w:asciiTheme="majorHAnsi" w:hAnsiTheme="majorHAnsi" w:cstheme="majorHAnsi"/>
          <w:b/>
          <w:sz w:val="24"/>
          <w:szCs w:val="24"/>
          <w:lang w:val="ro-RO"/>
        </w:rPr>
        <w:t>elor</w:t>
      </w:r>
      <w:r w:rsidR="00031AB5" w:rsidRPr="00720652">
        <w:rPr>
          <w:rFonts w:asciiTheme="majorHAnsi" w:hAnsiTheme="majorHAnsi" w:cstheme="majorHAnsi"/>
          <w:b/>
          <w:sz w:val="24"/>
          <w:szCs w:val="24"/>
          <w:lang w:val="ro-RO"/>
        </w:rPr>
        <w:t xml:space="preserve"> investițional</w:t>
      </w:r>
      <w:r w:rsidR="00474297" w:rsidRPr="00720652">
        <w:rPr>
          <w:rFonts w:asciiTheme="majorHAnsi" w:hAnsiTheme="majorHAnsi" w:cstheme="majorHAnsi"/>
          <w:b/>
          <w:sz w:val="24"/>
          <w:szCs w:val="24"/>
          <w:lang w:val="ro-RO"/>
        </w:rPr>
        <w:t>e</w:t>
      </w:r>
      <w:r w:rsidR="00031AB5" w:rsidRPr="00720652">
        <w:rPr>
          <w:rFonts w:asciiTheme="majorHAnsi" w:hAnsiTheme="majorHAnsi" w:cstheme="majorHAnsi"/>
          <w:b/>
          <w:sz w:val="24"/>
          <w:szCs w:val="24"/>
          <w:lang w:val="ro-RO"/>
        </w:rPr>
        <w:t xml:space="preserve"> </w:t>
      </w:r>
      <w:r w:rsidR="00F13462" w:rsidRPr="00720652">
        <w:rPr>
          <w:rFonts w:asciiTheme="majorHAnsi" w:hAnsiTheme="majorHAnsi" w:cstheme="majorHAnsi"/>
          <w:b/>
          <w:sz w:val="24"/>
          <w:szCs w:val="24"/>
          <w:lang w:val="ro-RO"/>
        </w:rPr>
        <w:t>i</w:t>
      </w:r>
      <w:r w:rsidR="005A6B4D" w:rsidRPr="00720652">
        <w:rPr>
          <w:rFonts w:asciiTheme="majorHAnsi" w:hAnsiTheme="majorHAnsi" w:cstheme="majorHAnsi"/>
          <w:b/>
          <w:sz w:val="24"/>
          <w:szCs w:val="24"/>
          <w:lang w:val="ro-RO"/>
        </w:rPr>
        <w:t xml:space="preserve">mplementate </w:t>
      </w:r>
      <w:r w:rsidR="00031AB5" w:rsidRPr="00720652">
        <w:rPr>
          <w:rFonts w:asciiTheme="majorHAnsi" w:hAnsiTheme="majorHAnsi" w:cstheme="majorHAnsi"/>
          <w:b/>
          <w:sz w:val="24"/>
          <w:szCs w:val="24"/>
          <w:lang w:val="ro-RO"/>
        </w:rPr>
        <w:t xml:space="preserve">din FEN în mai multe etape a cauzat extinderea termenului de realizare a unor proiecte și nefinalizarea altora. </w:t>
      </w:r>
      <w:r w:rsidR="00C37831" w:rsidRPr="00720652">
        <w:rPr>
          <w:rFonts w:asciiTheme="majorHAnsi" w:hAnsiTheme="majorHAnsi" w:cstheme="majorHAnsi"/>
          <w:sz w:val="24"/>
          <w:szCs w:val="24"/>
          <w:lang w:val="ro-RO"/>
        </w:rPr>
        <w:t>Î</w:t>
      </w:r>
      <w:r w:rsidR="00031AB5" w:rsidRPr="00720652">
        <w:rPr>
          <w:rFonts w:asciiTheme="majorHAnsi" w:hAnsiTheme="majorHAnsi" w:cstheme="majorHAnsi"/>
          <w:sz w:val="24"/>
          <w:szCs w:val="24"/>
          <w:lang w:val="ro-RO"/>
        </w:rPr>
        <w:t>n anii 2014-2022, din totalul de 5</w:t>
      </w:r>
      <w:r w:rsidR="005A1634" w:rsidRPr="00720652">
        <w:rPr>
          <w:rFonts w:asciiTheme="majorHAnsi" w:hAnsiTheme="majorHAnsi" w:cstheme="majorHAnsi"/>
          <w:sz w:val="24"/>
          <w:szCs w:val="24"/>
          <w:lang w:val="ro-RO"/>
        </w:rPr>
        <w:t>80</w:t>
      </w:r>
      <w:r w:rsidR="00F13462" w:rsidRPr="00720652">
        <w:rPr>
          <w:rFonts w:asciiTheme="majorHAnsi" w:hAnsiTheme="majorHAnsi" w:cstheme="majorHAnsi"/>
          <w:sz w:val="24"/>
          <w:szCs w:val="24"/>
          <w:lang w:val="ro-RO"/>
        </w:rPr>
        <w:t xml:space="preserve"> de </w:t>
      </w:r>
      <w:r w:rsidR="00C37831" w:rsidRPr="00720652">
        <w:rPr>
          <w:rFonts w:asciiTheme="majorHAnsi" w:hAnsiTheme="majorHAnsi" w:cstheme="majorHAnsi"/>
          <w:sz w:val="24"/>
          <w:szCs w:val="24"/>
          <w:lang w:val="ro-RO"/>
        </w:rPr>
        <w:t>proiecte</w:t>
      </w:r>
      <w:r w:rsidR="00F13462" w:rsidRPr="00720652">
        <w:rPr>
          <w:rFonts w:asciiTheme="majorHAnsi" w:hAnsiTheme="majorHAnsi" w:cstheme="majorHAnsi"/>
          <w:sz w:val="24"/>
          <w:szCs w:val="24"/>
          <w:lang w:val="ro-RO"/>
        </w:rPr>
        <w:t xml:space="preserve"> finanța</w:t>
      </w:r>
      <w:r w:rsidR="00031AB5" w:rsidRPr="00720652">
        <w:rPr>
          <w:rFonts w:asciiTheme="majorHAnsi" w:hAnsiTheme="majorHAnsi" w:cstheme="majorHAnsi"/>
          <w:sz w:val="24"/>
          <w:szCs w:val="24"/>
          <w:lang w:val="ro-RO"/>
        </w:rPr>
        <w:t xml:space="preserve">te din FEN, au fost încheiate </w:t>
      </w:r>
      <w:r w:rsidR="005A1634" w:rsidRPr="00720652">
        <w:rPr>
          <w:rFonts w:asciiTheme="majorHAnsi" w:hAnsiTheme="majorHAnsi" w:cstheme="majorHAnsi"/>
          <w:sz w:val="24"/>
          <w:szCs w:val="24"/>
          <w:lang w:val="ro-RO"/>
        </w:rPr>
        <w:t>1</w:t>
      </w:r>
      <w:r w:rsidR="00EC679F" w:rsidRPr="00720652">
        <w:rPr>
          <w:rFonts w:asciiTheme="majorHAnsi" w:hAnsiTheme="majorHAnsi" w:cstheme="majorHAnsi"/>
          <w:sz w:val="24"/>
          <w:szCs w:val="24"/>
          <w:lang w:val="ro-RO"/>
        </w:rPr>
        <w:t>.</w:t>
      </w:r>
      <w:r w:rsidR="005A1634" w:rsidRPr="00720652">
        <w:rPr>
          <w:rFonts w:asciiTheme="majorHAnsi" w:hAnsiTheme="majorHAnsi" w:cstheme="majorHAnsi"/>
          <w:sz w:val="24"/>
          <w:szCs w:val="24"/>
          <w:lang w:val="ro-RO"/>
        </w:rPr>
        <w:t>47</w:t>
      </w:r>
      <w:r w:rsidR="00031AB5" w:rsidRPr="00720652">
        <w:rPr>
          <w:rFonts w:asciiTheme="majorHAnsi" w:hAnsiTheme="majorHAnsi" w:cstheme="majorHAnsi"/>
          <w:sz w:val="24"/>
          <w:szCs w:val="24"/>
          <w:lang w:val="ro-RO"/>
        </w:rPr>
        <w:t>1 de contracte de finan</w:t>
      </w:r>
      <w:r w:rsidR="00F13462" w:rsidRPr="00720652">
        <w:rPr>
          <w:rFonts w:asciiTheme="majorHAnsi" w:hAnsiTheme="majorHAnsi" w:cstheme="majorHAnsi"/>
          <w:sz w:val="24"/>
          <w:szCs w:val="24"/>
          <w:lang w:val="ro-RO"/>
        </w:rPr>
        <w:t>ț</w:t>
      </w:r>
      <w:r w:rsidR="00031AB5" w:rsidRPr="00720652">
        <w:rPr>
          <w:rFonts w:asciiTheme="majorHAnsi" w:hAnsiTheme="majorHAnsi" w:cstheme="majorHAnsi"/>
          <w:sz w:val="24"/>
          <w:szCs w:val="24"/>
          <w:lang w:val="ro-RO"/>
        </w:rPr>
        <w:t>are (etape)</w:t>
      </w:r>
      <w:r w:rsidR="00F7751F" w:rsidRPr="00720652">
        <w:rPr>
          <w:rFonts w:asciiTheme="majorHAnsi" w:hAnsiTheme="majorHAnsi" w:cstheme="majorHAnsi"/>
          <w:sz w:val="24"/>
          <w:szCs w:val="24"/>
          <w:lang w:val="ro-RO"/>
        </w:rPr>
        <w:t>,</w:t>
      </w:r>
      <w:r w:rsidR="00031AB5" w:rsidRPr="00720652">
        <w:rPr>
          <w:rFonts w:asciiTheme="majorHAnsi" w:hAnsiTheme="majorHAnsi" w:cstheme="majorHAnsi"/>
          <w:sz w:val="24"/>
          <w:szCs w:val="24"/>
          <w:lang w:val="ro-RO"/>
        </w:rPr>
        <w:t xml:space="preserve"> la care au fost încheiate 1</w:t>
      </w:r>
      <w:r w:rsidR="00EC679F" w:rsidRPr="00720652">
        <w:rPr>
          <w:rFonts w:asciiTheme="majorHAnsi" w:hAnsiTheme="majorHAnsi" w:cstheme="majorHAnsi"/>
          <w:sz w:val="24"/>
          <w:szCs w:val="24"/>
          <w:lang w:val="ro-RO"/>
        </w:rPr>
        <w:t>.</w:t>
      </w:r>
      <w:r w:rsidR="00031AB5" w:rsidRPr="00720652">
        <w:rPr>
          <w:rFonts w:asciiTheme="majorHAnsi" w:hAnsiTheme="majorHAnsi" w:cstheme="majorHAnsi"/>
          <w:sz w:val="24"/>
          <w:szCs w:val="24"/>
          <w:lang w:val="ro-RO"/>
        </w:rPr>
        <w:t>126 de acorduri adițio</w:t>
      </w:r>
      <w:r w:rsidR="00F13462" w:rsidRPr="00720652">
        <w:rPr>
          <w:rFonts w:asciiTheme="majorHAnsi" w:hAnsiTheme="majorHAnsi" w:cstheme="majorHAnsi"/>
          <w:sz w:val="24"/>
          <w:szCs w:val="24"/>
          <w:lang w:val="ro-RO"/>
        </w:rPr>
        <w:t>n</w:t>
      </w:r>
      <w:r w:rsidR="00031AB5" w:rsidRPr="00720652">
        <w:rPr>
          <w:rFonts w:asciiTheme="majorHAnsi" w:hAnsiTheme="majorHAnsi" w:cstheme="majorHAnsi"/>
          <w:sz w:val="24"/>
          <w:szCs w:val="24"/>
          <w:lang w:val="ro-RO"/>
        </w:rPr>
        <w:t>ale</w:t>
      </w:r>
      <w:r w:rsidR="00EC679F" w:rsidRPr="00720652">
        <w:rPr>
          <w:rFonts w:asciiTheme="majorHAnsi" w:hAnsiTheme="majorHAnsi" w:cstheme="majorHAnsi"/>
          <w:sz w:val="24"/>
          <w:szCs w:val="24"/>
          <w:lang w:val="ro-RO"/>
        </w:rPr>
        <w:t>,</w:t>
      </w:r>
      <w:r w:rsidR="00031AB5" w:rsidRPr="00720652">
        <w:rPr>
          <w:rFonts w:asciiTheme="majorHAnsi" w:hAnsiTheme="majorHAnsi" w:cstheme="majorHAnsi"/>
          <w:sz w:val="24"/>
          <w:szCs w:val="24"/>
          <w:lang w:val="ro-RO"/>
        </w:rPr>
        <w:t xml:space="preserve"> </w:t>
      </w:r>
      <w:r w:rsidR="00EC679F" w:rsidRPr="00720652">
        <w:rPr>
          <w:rFonts w:asciiTheme="majorHAnsi" w:hAnsiTheme="majorHAnsi" w:cstheme="majorHAnsi"/>
          <w:sz w:val="24"/>
          <w:szCs w:val="24"/>
          <w:lang w:val="ro-RO"/>
        </w:rPr>
        <w:t>i</w:t>
      </w:r>
      <w:r w:rsidR="00187270" w:rsidRPr="00720652">
        <w:rPr>
          <w:rFonts w:asciiTheme="majorHAnsi" w:hAnsiTheme="majorHAnsi" w:cstheme="majorHAnsi"/>
          <w:sz w:val="24"/>
          <w:szCs w:val="24"/>
          <w:lang w:val="ro-RO"/>
        </w:rPr>
        <w:t>ar</w:t>
      </w:r>
      <w:r w:rsidR="005A6B4D" w:rsidRPr="00720652">
        <w:rPr>
          <w:rFonts w:asciiTheme="majorHAnsi" w:hAnsiTheme="majorHAnsi" w:cstheme="majorHAnsi"/>
          <w:sz w:val="24"/>
          <w:szCs w:val="24"/>
          <w:lang w:val="ro-RO"/>
        </w:rPr>
        <w:t xml:space="preserve"> </w:t>
      </w:r>
      <w:r w:rsidR="00EC679F" w:rsidRPr="00720652">
        <w:rPr>
          <w:rFonts w:asciiTheme="majorHAnsi" w:hAnsiTheme="majorHAnsi" w:cstheme="majorHAnsi"/>
          <w:sz w:val="24"/>
          <w:szCs w:val="24"/>
          <w:lang w:val="ro-RO"/>
        </w:rPr>
        <w:t>pentru</w:t>
      </w:r>
      <w:r w:rsidR="00187270" w:rsidRPr="00720652">
        <w:rPr>
          <w:rFonts w:asciiTheme="majorHAnsi" w:hAnsiTheme="majorHAnsi" w:cstheme="majorHAnsi"/>
          <w:sz w:val="24"/>
          <w:szCs w:val="24"/>
          <w:lang w:val="ro-RO"/>
        </w:rPr>
        <w:t xml:space="preserve"> </w:t>
      </w:r>
      <w:r w:rsidR="00031AB5" w:rsidRPr="00720652">
        <w:rPr>
          <w:rFonts w:asciiTheme="majorHAnsi" w:hAnsiTheme="majorHAnsi" w:cstheme="majorHAnsi"/>
          <w:sz w:val="24"/>
          <w:szCs w:val="24"/>
          <w:lang w:val="ro-RO"/>
        </w:rPr>
        <w:t xml:space="preserve">216 contracte </w:t>
      </w:r>
      <w:r w:rsidR="00EC679F" w:rsidRPr="00720652">
        <w:rPr>
          <w:rFonts w:asciiTheme="majorHAnsi" w:hAnsiTheme="majorHAnsi" w:cstheme="majorHAnsi"/>
          <w:sz w:val="24"/>
          <w:szCs w:val="24"/>
          <w:lang w:val="ro-RO"/>
        </w:rPr>
        <w:t>privind</w:t>
      </w:r>
      <w:r w:rsidR="00031AB5" w:rsidRPr="00720652">
        <w:rPr>
          <w:rFonts w:asciiTheme="majorHAnsi" w:hAnsiTheme="majorHAnsi" w:cstheme="majorHAnsi"/>
          <w:sz w:val="24"/>
          <w:szCs w:val="24"/>
          <w:lang w:val="ro-RO"/>
        </w:rPr>
        <w:t xml:space="preserve"> executarea luc</w:t>
      </w:r>
      <w:r w:rsidR="00F13462" w:rsidRPr="00720652">
        <w:rPr>
          <w:rFonts w:asciiTheme="majorHAnsi" w:hAnsiTheme="majorHAnsi" w:cstheme="majorHAnsi"/>
          <w:sz w:val="24"/>
          <w:szCs w:val="24"/>
          <w:lang w:val="ro-RO"/>
        </w:rPr>
        <w:t>r</w:t>
      </w:r>
      <w:r w:rsidR="00031AB5" w:rsidRPr="00720652">
        <w:rPr>
          <w:rFonts w:asciiTheme="majorHAnsi" w:hAnsiTheme="majorHAnsi" w:cstheme="majorHAnsi"/>
          <w:sz w:val="24"/>
          <w:szCs w:val="24"/>
          <w:lang w:val="ro-RO"/>
        </w:rPr>
        <w:t>ărilor încheiate între antreprenor și beneficiar, au</w:t>
      </w:r>
      <w:r w:rsidR="000851D6" w:rsidRPr="00720652">
        <w:rPr>
          <w:rFonts w:asciiTheme="majorHAnsi" w:hAnsiTheme="majorHAnsi" w:cstheme="majorHAnsi"/>
          <w:sz w:val="24"/>
          <w:szCs w:val="24"/>
          <w:lang w:val="ro-RO"/>
        </w:rPr>
        <w:t xml:space="preserve"> fost </w:t>
      </w:r>
      <w:r w:rsidR="00031AB5" w:rsidRPr="00720652">
        <w:rPr>
          <w:rFonts w:asciiTheme="majorHAnsi" w:hAnsiTheme="majorHAnsi" w:cstheme="majorHAnsi"/>
          <w:sz w:val="24"/>
          <w:szCs w:val="24"/>
          <w:lang w:val="ro-RO"/>
        </w:rPr>
        <w:t>încheiat</w:t>
      </w:r>
      <w:r w:rsidR="000851D6" w:rsidRPr="00720652">
        <w:rPr>
          <w:rFonts w:asciiTheme="majorHAnsi" w:hAnsiTheme="majorHAnsi" w:cstheme="majorHAnsi"/>
          <w:sz w:val="24"/>
          <w:szCs w:val="24"/>
          <w:lang w:val="ro-RO"/>
        </w:rPr>
        <w:t>e</w:t>
      </w:r>
      <w:r w:rsidR="00031AB5" w:rsidRPr="00720652">
        <w:rPr>
          <w:rFonts w:asciiTheme="majorHAnsi" w:hAnsiTheme="majorHAnsi" w:cstheme="majorHAnsi"/>
          <w:sz w:val="24"/>
          <w:szCs w:val="24"/>
          <w:lang w:val="ro-RO"/>
        </w:rPr>
        <w:t xml:space="preserve"> 328</w:t>
      </w:r>
      <w:r w:rsidR="00C32AF3" w:rsidRPr="00720652">
        <w:rPr>
          <w:rFonts w:asciiTheme="majorHAnsi" w:hAnsiTheme="majorHAnsi" w:cstheme="majorHAnsi"/>
          <w:sz w:val="24"/>
          <w:szCs w:val="24"/>
          <w:lang w:val="ro-RO"/>
        </w:rPr>
        <w:t xml:space="preserve"> de </w:t>
      </w:r>
      <w:r w:rsidR="007E7F42" w:rsidRPr="00720652">
        <w:rPr>
          <w:rFonts w:asciiTheme="majorHAnsi" w:hAnsiTheme="majorHAnsi" w:cstheme="majorHAnsi"/>
          <w:sz w:val="24"/>
          <w:szCs w:val="24"/>
          <w:lang w:val="ro-RO"/>
        </w:rPr>
        <w:t>acorduri</w:t>
      </w:r>
      <w:r w:rsidR="00C32AF3" w:rsidRPr="00720652">
        <w:rPr>
          <w:rFonts w:asciiTheme="majorHAnsi" w:hAnsiTheme="majorHAnsi" w:cstheme="majorHAnsi"/>
          <w:sz w:val="24"/>
          <w:szCs w:val="24"/>
          <w:lang w:val="ro-RO"/>
        </w:rPr>
        <w:t xml:space="preserve"> </w:t>
      </w:r>
      <w:r w:rsidR="00F7751F" w:rsidRPr="00720652">
        <w:rPr>
          <w:rFonts w:asciiTheme="majorHAnsi" w:hAnsiTheme="majorHAnsi" w:cstheme="majorHAnsi"/>
          <w:sz w:val="24"/>
          <w:szCs w:val="24"/>
          <w:lang w:val="ro-RO"/>
        </w:rPr>
        <w:t>privind</w:t>
      </w:r>
      <w:r w:rsidR="00C32AF3" w:rsidRPr="00720652">
        <w:rPr>
          <w:rFonts w:asciiTheme="majorHAnsi" w:hAnsiTheme="majorHAnsi" w:cstheme="majorHAnsi"/>
          <w:sz w:val="24"/>
          <w:szCs w:val="24"/>
          <w:lang w:val="ro-RO"/>
        </w:rPr>
        <w:t xml:space="preserve"> </w:t>
      </w:r>
      <w:r w:rsidR="00031AB5" w:rsidRPr="00720652">
        <w:rPr>
          <w:rFonts w:asciiTheme="majorHAnsi" w:hAnsiTheme="majorHAnsi" w:cstheme="majorHAnsi"/>
          <w:sz w:val="24"/>
          <w:szCs w:val="24"/>
          <w:lang w:val="ro-RO"/>
        </w:rPr>
        <w:t xml:space="preserve">extinderea termenului de implementare a proiectelor și 303 </w:t>
      </w:r>
      <w:r w:rsidR="007E7F42" w:rsidRPr="00720652">
        <w:rPr>
          <w:rFonts w:asciiTheme="majorHAnsi" w:hAnsiTheme="majorHAnsi" w:cstheme="majorHAnsi"/>
          <w:sz w:val="24"/>
          <w:szCs w:val="24"/>
          <w:lang w:val="ro-RO"/>
        </w:rPr>
        <w:t>acorduri</w:t>
      </w:r>
      <w:r w:rsidR="00031AB5" w:rsidRPr="00720652">
        <w:rPr>
          <w:rFonts w:asciiTheme="majorHAnsi" w:hAnsiTheme="majorHAnsi" w:cstheme="majorHAnsi"/>
          <w:sz w:val="24"/>
          <w:szCs w:val="24"/>
          <w:lang w:val="ro-RO"/>
        </w:rPr>
        <w:t xml:space="preserve"> privind modificarea valorii contrac</w:t>
      </w:r>
      <w:r w:rsidR="00F13462" w:rsidRPr="00720652">
        <w:rPr>
          <w:rFonts w:asciiTheme="majorHAnsi" w:hAnsiTheme="majorHAnsi" w:cstheme="majorHAnsi"/>
          <w:sz w:val="24"/>
          <w:szCs w:val="24"/>
          <w:lang w:val="ro-RO"/>
        </w:rPr>
        <w:t>t</w:t>
      </w:r>
      <w:r w:rsidR="00031AB5" w:rsidRPr="00720652">
        <w:rPr>
          <w:rFonts w:asciiTheme="majorHAnsi" w:hAnsiTheme="majorHAnsi" w:cstheme="majorHAnsi"/>
          <w:sz w:val="24"/>
          <w:szCs w:val="24"/>
          <w:lang w:val="ro-RO"/>
        </w:rPr>
        <w:t>elor de antrepriză</w:t>
      </w:r>
      <w:r w:rsidR="00187270" w:rsidRPr="00720652">
        <w:rPr>
          <w:rFonts w:asciiTheme="majorHAnsi" w:hAnsiTheme="majorHAnsi" w:cstheme="majorHAnsi"/>
          <w:sz w:val="24"/>
          <w:szCs w:val="24"/>
          <w:lang w:val="ro-RO"/>
        </w:rPr>
        <w:t>. În</w:t>
      </w:r>
      <w:r w:rsidR="00031AB5" w:rsidRPr="00720652">
        <w:rPr>
          <w:rFonts w:asciiTheme="majorHAnsi" w:hAnsiTheme="majorHAnsi" w:cstheme="majorHAnsi"/>
          <w:sz w:val="24"/>
          <w:szCs w:val="24"/>
          <w:lang w:val="ro-RO"/>
        </w:rPr>
        <w:t xml:space="preserve"> consecință, valoarea inițială a contractelor </w:t>
      </w:r>
      <w:r w:rsidR="005A6B4D" w:rsidRPr="00720652">
        <w:rPr>
          <w:rFonts w:asciiTheme="majorHAnsi" w:hAnsiTheme="majorHAnsi" w:cstheme="majorHAnsi"/>
          <w:sz w:val="24"/>
          <w:szCs w:val="24"/>
          <w:lang w:val="ro-RO"/>
        </w:rPr>
        <w:t xml:space="preserve">a fost </w:t>
      </w:r>
      <w:r w:rsidR="00031AB5" w:rsidRPr="00720652">
        <w:rPr>
          <w:rFonts w:asciiTheme="majorHAnsi" w:hAnsiTheme="majorHAnsi" w:cstheme="majorHAnsi"/>
          <w:sz w:val="24"/>
          <w:szCs w:val="24"/>
          <w:lang w:val="ro-RO"/>
        </w:rPr>
        <w:t>majorată</w:t>
      </w:r>
      <w:r w:rsidR="00F7751F" w:rsidRPr="00720652">
        <w:rPr>
          <w:rFonts w:asciiTheme="majorHAnsi" w:hAnsiTheme="majorHAnsi" w:cstheme="majorHAnsi"/>
          <w:sz w:val="24"/>
          <w:szCs w:val="24"/>
          <w:lang w:val="ro-RO"/>
        </w:rPr>
        <w:t>,</w:t>
      </w:r>
      <w:r w:rsidR="00031AB5" w:rsidRPr="00720652">
        <w:rPr>
          <w:rFonts w:asciiTheme="majorHAnsi" w:hAnsiTheme="majorHAnsi" w:cstheme="majorHAnsi"/>
          <w:sz w:val="24"/>
          <w:szCs w:val="24"/>
          <w:lang w:val="ro-RO"/>
        </w:rPr>
        <w:t xml:space="preserve"> per total</w:t>
      </w:r>
      <w:r w:rsidR="00F7751F" w:rsidRPr="00720652">
        <w:rPr>
          <w:rFonts w:asciiTheme="majorHAnsi" w:hAnsiTheme="majorHAnsi" w:cstheme="majorHAnsi"/>
          <w:sz w:val="24"/>
          <w:szCs w:val="24"/>
          <w:lang w:val="ro-RO"/>
        </w:rPr>
        <w:t>,</w:t>
      </w:r>
      <w:r w:rsidR="00031AB5" w:rsidRPr="00720652">
        <w:rPr>
          <w:rFonts w:asciiTheme="majorHAnsi" w:hAnsiTheme="majorHAnsi" w:cstheme="majorHAnsi"/>
          <w:sz w:val="24"/>
          <w:szCs w:val="24"/>
          <w:lang w:val="ro-RO"/>
        </w:rPr>
        <w:t xml:space="preserve"> cu 338,8 mil.lei</w:t>
      </w:r>
      <w:r w:rsidR="00F2040C" w:rsidRPr="00720652">
        <w:rPr>
          <w:rFonts w:asciiTheme="majorHAnsi" w:hAnsiTheme="majorHAnsi" w:cstheme="majorHAnsi"/>
          <w:sz w:val="24"/>
          <w:szCs w:val="24"/>
          <w:lang w:val="ro-RO"/>
        </w:rPr>
        <w:t>, iar unele proiecte p</w:t>
      </w:r>
      <w:r w:rsidR="00F13462" w:rsidRPr="00720652">
        <w:rPr>
          <w:rFonts w:asciiTheme="majorHAnsi" w:hAnsiTheme="majorHAnsi" w:cstheme="majorHAnsi"/>
          <w:sz w:val="24"/>
          <w:szCs w:val="24"/>
          <w:lang w:val="ro-RO"/>
        </w:rPr>
        <w:t>â</w:t>
      </w:r>
      <w:r w:rsidR="00F2040C" w:rsidRPr="00720652">
        <w:rPr>
          <w:rFonts w:asciiTheme="majorHAnsi" w:hAnsiTheme="majorHAnsi" w:cstheme="majorHAnsi"/>
          <w:sz w:val="24"/>
          <w:szCs w:val="24"/>
          <w:lang w:val="ro-RO"/>
        </w:rPr>
        <w:t>nă în prezent nu sunt finalizate</w:t>
      </w:r>
      <w:r w:rsidR="00EC679F" w:rsidRPr="00720652">
        <w:rPr>
          <w:rFonts w:asciiTheme="majorHAnsi" w:hAnsiTheme="majorHAnsi" w:cstheme="majorHAnsi"/>
          <w:sz w:val="24"/>
          <w:szCs w:val="24"/>
          <w:lang w:val="ro-RO"/>
        </w:rPr>
        <w:t>;</w:t>
      </w:r>
    </w:p>
    <w:p w14:paraId="041E1C56" w14:textId="0CC4341D" w:rsidR="00F2040C" w:rsidRPr="00720652" w:rsidRDefault="00F7751F" w:rsidP="0025706B">
      <w:pPr>
        <w:pStyle w:val="af3"/>
        <w:numPr>
          <w:ilvl w:val="0"/>
          <w:numId w:val="13"/>
        </w:numPr>
        <w:tabs>
          <w:tab w:val="left" w:pos="426"/>
        </w:tabs>
        <w:spacing w:after="0" w:line="276" w:lineRule="auto"/>
        <w:ind w:left="0" w:firstLine="426"/>
        <w:jc w:val="both"/>
        <w:outlineLvl w:val="0"/>
        <w:rPr>
          <w:rFonts w:asciiTheme="majorHAnsi" w:eastAsiaTheme="minorEastAsia" w:hAnsiTheme="majorHAnsi" w:cstheme="majorHAnsi"/>
          <w:b/>
          <w:sz w:val="24"/>
          <w:szCs w:val="24"/>
          <w:lang w:val="ro-RO"/>
        </w:rPr>
      </w:pPr>
      <w:bookmarkStart w:id="1" w:name="_Toc131005362"/>
      <w:r w:rsidRPr="00720652">
        <w:rPr>
          <w:rFonts w:asciiTheme="majorHAnsi" w:eastAsiaTheme="minorEastAsia" w:hAnsiTheme="majorHAnsi" w:cstheme="majorHAnsi"/>
          <w:b/>
          <w:sz w:val="24"/>
          <w:szCs w:val="24"/>
          <w:lang w:val="ro-RO"/>
        </w:rPr>
        <w:t>p</w:t>
      </w:r>
      <w:r w:rsidR="0025706B" w:rsidRPr="00720652">
        <w:rPr>
          <w:rFonts w:asciiTheme="majorHAnsi" w:eastAsiaTheme="minorEastAsia" w:hAnsiTheme="majorHAnsi" w:cstheme="majorHAnsi"/>
          <w:b/>
          <w:sz w:val="24"/>
          <w:szCs w:val="24"/>
          <w:lang w:val="ro-RO"/>
        </w:rPr>
        <w:t>onderea proiectelor</w:t>
      </w:r>
      <w:r w:rsidR="00F2040C" w:rsidRPr="00720652">
        <w:rPr>
          <w:rFonts w:asciiTheme="majorHAnsi" w:eastAsiaTheme="minorEastAsia" w:hAnsiTheme="majorHAnsi" w:cstheme="majorHAnsi"/>
          <w:b/>
          <w:sz w:val="24"/>
          <w:szCs w:val="24"/>
          <w:lang w:val="ro-RO"/>
        </w:rPr>
        <w:t xml:space="preserve"> aferente alimentării cu apă și sanitație</w:t>
      </w:r>
      <w:r w:rsidR="00A41219" w:rsidRPr="00720652">
        <w:rPr>
          <w:rFonts w:asciiTheme="majorHAnsi" w:eastAsiaTheme="minorEastAsia" w:hAnsiTheme="majorHAnsi" w:cstheme="majorHAnsi"/>
          <w:b/>
          <w:sz w:val="24"/>
          <w:szCs w:val="24"/>
          <w:lang w:val="ro-RO"/>
        </w:rPr>
        <w:t>i</w:t>
      </w:r>
      <w:r w:rsidR="00F2040C" w:rsidRPr="00720652">
        <w:rPr>
          <w:rFonts w:asciiTheme="majorHAnsi" w:eastAsiaTheme="minorEastAsia" w:hAnsiTheme="majorHAnsi" w:cstheme="majorHAnsi"/>
          <w:b/>
          <w:sz w:val="24"/>
          <w:szCs w:val="24"/>
          <w:lang w:val="ro-RO"/>
        </w:rPr>
        <w:t xml:space="preserve"> </w:t>
      </w:r>
      <w:r w:rsidR="0079632B" w:rsidRPr="00720652">
        <w:rPr>
          <w:rFonts w:asciiTheme="majorHAnsi" w:eastAsiaTheme="minorEastAsia" w:hAnsiTheme="majorHAnsi" w:cstheme="majorHAnsi"/>
          <w:b/>
          <w:sz w:val="24"/>
          <w:szCs w:val="24"/>
          <w:lang w:val="ro-RO"/>
        </w:rPr>
        <w:t>finanțate din</w:t>
      </w:r>
      <w:r w:rsidR="0025706B" w:rsidRPr="00720652">
        <w:rPr>
          <w:rFonts w:asciiTheme="majorHAnsi" w:eastAsiaTheme="minorEastAsia" w:hAnsiTheme="majorHAnsi" w:cstheme="majorHAnsi"/>
          <w:b/>
          <w:sz w:val="24"/>
          <w:szCs w:val="24"/>
          <w:lang w:val="ro-RO"/>
        </w:rPr>
        <w:t xml:space="preserve"> </w:t>
      </w:r>
      <w:r w:rsidR="0079632B" w:rsidRPr="00720652">
        <w:rPr>
          <w:rFonts w:asciiTheme="majorHAnsi" w:eastAsiaTheme="minorEastAsia" w:hAnsiTheme="majorHAnsi" w:cstheme="majorHAnsi"/>
          <w:b/>
          <w:sz w:val="24"/>
          <w:szCs w:val="24"/>
          <w:lang w:val="ro-RO"/>
        </w:rPr>
        <w:t>F</w:t>
      </w:r>
      <w:r w:rsidR="0025706B" w:rsidRPr="00720652">
        <w:rPr>
          <w:rFonts w:asciiTheme="majorHAnsi" w:eastAsiaTheme="minorEastAsia" w:hAnsiTheme="majorHAnsi" w:cstheme="majorHAnsi"/>
          <w:b/>
          <w:sz w:val="24"/>
          <w:szCs w:val="24"/>
          <w:lang w:val="ro-RO"/>
        </w:rPr>
        <w:t xml:space="preserve">ondul </w:t>
      </w:r>
      <w:proofErr w:type="spellStart"/>
      <w:r w:rsidR="0079632B" w:rsidRPr="00720652">
        <w:rPr>
          <w:rFonts w:asciiTheme="majorHAnsi" w:eastAsiaTheme="minorEastAsia" w:hAnsiTheme="majorHAnsi" w:cstheme="majorHAnsi"/>
          <w:b/>
          <w:sz w:val="24"/>
          <w:szCs w:val="24"/>
          <w:lang w:val="ro-RO"/>
        </w:rPr>
        <w:t>N</w:t>
      </w:r>
      <w:r w:rsidR="0025706B" w:rsidRPr="00720652">
        <w:rPr>
          <w:rFonts w:asciiTheme="majorHAnsi" w:eastAsiaTheme="minorEastAsia" w:hAnsiTheme="majorHAnsi" w:cstheme="majorHAnsi"/>
          <w:b/>
          <w:sz w:val="24"/>
          <w:szCs w:val="24"/>
          <w:lang w:val="ro-RO"/>
        </w:rPr>
        <w:t>aţional</w:t>
      </w:r>
      <w:proofErr w:type="spellEnd"/>
      <w:r w:rsidR="0025706B" w:rsidRPr="00720652">
        <w:rPr>
          <w:rFonts w:asciiTheme="majorHAnsi" w:eastAsiaTheme="minorEastAsia" w:hAnsiTheme="majorHAnsi" w:cstheme="majorHAnsi"/>
          <w:b/>
          <w:sz w:val="24"/>
          <w:szCs w:val="24"/>
          <w:lang w:val="ro-RO"/>
        </w:rPr>
        <w:t xml:space="preserve"> de </w:t>
      </w:r>
      <w:r w:rsidR="0079632B" w:rsidRPr="00720652">
        <w:rPr>
          <w:rFonts w:asciiTheme="majorHAnsi" w:eastAsiaTheme="minorEastAsia" w:hAnsiTheme="majorHAnsi" w:cstheme="majorHAnsi"/>
          <w:b/>
          <w:sz w:val="24"/>
          <w:szCs w:val="24"/>
          <w:lang w:val="ro-RO"/>
        </w:rPr>
        <w:t>D</w:t>
      </w:r>
      <w:r w:rsidR="0025706B" w:rsidRPr="00720652">
        <w:rPr>
          <w:rFonts w:asciiTheme="majorHAnsi" w:eastAsiaTheme="minorEastAsia" w:hAnsiTheme="majorHAnsi" w:cstheme="majorHAnsi"/>
          <w:b/>
          <w:sz w:val="24"/>
          <w:szCs w:val="24"/>
          <w:lang w:val="ro-RO"/>
        </w:rPr>
        <w:t xml:space="preserve">ezvoltare </w:t>
      </w:r>
      <w:r w:rsidR="0079632B" w:rsidRPr="00720652">
        <w:rPr>
          <w:rFonts w:asciiTheme="majorHAnsi" w:eastAsiaTheme="minorEastAsia" w:hAnsiTheme="majorHAnsi" w:cstheme="majorHAnsi"/>
          <w:b/>
          <w:sz w:val="24"/>
          <w:szCs w:val="24"/>
          <w:lang w:val="ro-RO"/>
        </w:rPr>
        <w:t>R</w:t>
      </w:r>
      <w:r w:rsidR="0025706B" w:rsidRPr="00720652">
        <w:rPr>
          <w:rFonts w:asciiTheme="majorHAnsi" w:eastAsiaTheme="minorEastAsia" w:hAnsiTheme="majorHAnsi" w:cstheme="majorHAnsi"/>
          <w:b/>
          <w:sz w:val="24"/>
          <w:szCs w:val="24"/>
          <w:lang w:val="ro-RO"/>
        </w:rPr>
        <w:t>egională (FNDR)</w:t>
      </w:r>
      <w:r w:rsidR="00A41219" w:rsidRPr="00720652">
        <w:rPr>
          <w:rFonts w:asciiTheme="majorHAnsi" w:eastAsiaTheme="minorEastAsia" w:hAnsiTheme="majorHAnsi" w:cstheme="majorHAnsi"/>
          <w:b/>
          <w:sz w:val="24"/>
          <w:szCs w:val="24"/>
          <w:lang w:val="ro-RO"/>
        </w:rPr>
        <w:t>,</w:t>
      </w:r>
      <w:r w:rsidR="0079632B" w:rsidRPr="00720652">
        <w:rPr>
          <w:rFonts w:asciiTheme="majorHAnsi" w:eastAsiaTheme="minorEastAsia" w:hAnsiTheme="majorHAnsi" w:cstheme="majorHAnsi"/>
          <w:b/>
          <w:sz w:val="24"/>
          <w:szCs w:val="24"/>
          <w:lang w:val="ro-RO"/>
        </w:rPr>
        <w:t xml:space="preserve"> </w:t>
      </w:r>
      <w:r w:rsidR="00F2040C" w:rsidRPr="00720652">
        <w:rPr>
          <w:rFonts w:asciiTheme="majorHAnsi" w:eastAsiaTheme="minorEastAsia" w:hAnsiTheme="majorHAnsi" w:cstheme="majorHAnsi"/>
          <w:b/>
          <w:sz w:val="24"/>
          <w:szCs w:val="24"/>
          <w:lang w:val="ro-RO"/>
        </w:rPr>
        <w:t>realizate în cadrul D</w:t>
      </w:r>
      <w:r w:rsidR="0025706B" w:rsidRPr="00720652">
        <w:rPr>
          <w:rFonts w:asciiTheme="majorHAnsi" w:eastAsiaTheme="minorEastAsia" w:hAnsiTheme="majorHAnsi" w:cstheme="majorHAnsi"/>
          <w:b/>
          <w:sz w:val="24"/>
          <w:szCs w:val="24"/>
          <w:lang w:val="ro-RO"/>
        </w:rPr>
        <w:t>ocumentel</w:t>
      </w:r>
      <w:r w:rsidR="00A41219" w:rsidRPr="00720652">
        <w:rPr>
          <w:rFonts w:asciiTheme="majorHAnsi" w:eastAsiaTheme="minorEastAsia" w:hAnsiTheme="majorHAnsi" w:cstheme="majorHAnsi"/>
          <w:b/>
          <w:sz w:val="24"/>
          <w:szCs w:val="24"/>
          <w:lang w:val="ro-RO"/>
        </w:rPr>
        <w:t>or</w:t>
      </w:r>
      <w:r w:rsidR="0025706B" w:rsidRPr="00720652">
        <w:rPr>
          <w:rFonts w:asciiTheme="majorHAnsi" w:eastAsiaTheme="minorEastAsia" w:hAnsiTheme="majorHAnsi" w:cstheme="majorHAnsi"/>
          <w:b/>
          <w:sz w:val="24"/>
          <w:szCs w:val="24"/>
          <w:lang w:val="ro-RO"/>
        </w:rPr>
        <w:t xml:space="preserve"> </w:t>
      </w:r>
      <w:r w:rsidR="00F2040C" w:rsidRPr="00720652">
        <w:rPr>
          <w:rFonts w:asciiTheme="majorHAnsi" w:eastAsiaTheme="minorEastAsia" w:hAnsiTheme="majorHAnsi" w:cstheme="majorHAnsi"/>
          <w:b/>
          <w:sz w:val="24"/>
          <w:szCs w:val="24"/>
          <w:lang w:val="ro-RO"/>
        </w:rPr>
        <w:t>U</w:t>
      </w:r>
      <w:r w:rsidR="0025706B" w:rsidRPr="00720652">
        <w:rPr>
          <w:rFonts w:asciiTheme="majorHAnsi" w:eastAsiaTheme="minorEastAsia" w:hAnsiTheme="majorHAnsi" w:cstheme="majorHAnsi"/>
          <w:b/>
          <w:sz w:val="24"/>
          <w:szCs w:val="24"/>
          <w:lang w:val="ro-RO"/>
        </w:rPr>
        <w:t xml:space="preserve">nice de </w:t>
      </w:r>
      <w:r w:rsidR="00F2040C" w:rsidRPr="00720652">
        <w:rPr>
          <w:rFonts w:asciiTheme="majorHAnsi" w:eastAsiaTheme="minorEastAsia" w:hAnsiTheme="majorHAnsi" w:cstheme="majorHAnsi"/>
          <w:b/>
          <w:sz w:val="24"/>
          <w:szCs w:val="24"/>
          <w:lang w:val="ro-RO"/>
        </w:rPr>
        <w:t>P</w:t>
      </w:r>
      <w:r w:rsidR="0025706B" w:rsidRPr="00720652">
        <w:rPr>
          <w:rFonts w:asciiTheme="majorHAnsi" w:eastAsiaTheme="minorEastAsia" w:hAnsiTheme="majorHAnsi" w:cstheme="majorHAnsi"/>
          <w:b/>
          <w:sz w:val="24"/>
          <w:szCs w:val="24"/>
          <w:lang w:val="ro-RO"/>
        </w:rPr>
        <w:t>rogram (DUP)</w:t>
      </w:r>
      <w:r w:rsidR="00A41219" w:rsidRPr="00720652">
        <w:rPr>
          <w:rFonts w:asciiTheme="majorHAnsi" w:eastAsiaTheme="minorEastAsia" w:hAnsiTheme="majorHAnsi" w:cstheme="majorHAnsi"/>
          <w:b/>
          <w:sz w:val="24"/>
          <w:szCs w:val="24"/>
          <w:lang w:val="ro-RO"/>
        </w:rPr>
        <w:t>,</w:t>
      </w:r>
      <w:r w:rsidR="00F2040C" w:rsidRPr="00720652">
        <w:rPr>
          <w:rFonts w:asciiTheme="majorHAnsi" w:eastAsiaTheme="minorEastAsia" w:hAnsiTheme="majorHAnsi" w:cstheme="majorHAnsi"/>
          <w:b/>
          <w:sz w:val="24"/>
          <w:szCs w:val="24"/>
          <w:lang w:val="ro-RO"/>
        </w:rPr>
        <w:t xml:space="preserve"> este în creștere</w:t>
      </w:r>
      <w:bookmarkEnd w:id="1"/>
      <w:r w:rsidR="00F2040C" w:rsidRPr="00720652">
        <w:rPr>
          <w:rFonts w:asciiTheme="majorHAnsi" w:eastAsiaTheme="minorEastAsia" w:hAnsiTheme="majorHAnsi" w:cstheme="majorHAnsi"/>
          <w:b/>
          <w:sz w:val="24"/>
          <w:szCs w:val="24"/>
          <w:lang w:val="ro-RO"/>
        </w:rPr>
        <w:t xml:space="preserve">. </w:t>
      </w:r>
      <w:r w:rsidR="00F2040C" w:rsidRPr="00720652">
        <w:rPr>
          <w:rFonts w:asciiTheme="majorHAnsi" w:eastAsiaTheme="minorEastAsia" w:hAnsiTheme="majorHAnsi" w:cstheme="majorHAnsi"/>
          <w:sz w:val="24"/>
          <w:szCs w:val="24"/>
          <w:lang w:val="ro-RO"/>
        </w:rPr>
        <w:t>Ponder</w:t>
      </w:r>
      <w:r w:rsidR="005A6B4D" w:rsidRPr="00720652">
        <w:rPr>
          <w:rFonts w:asciiTheme="majorHAnsi" w:eastAsiaTheme="minorEastAsia" w:hAnsiTheme="majorHAnsi" w:cstheme="majorHAnsi"/>
          <w:sz w:val="24"/>
          <w:szCs w:val="24"/>
          <w:lang w:val="ro-RO"/>
        </w:rPr>
        <w:t>ea</w:t>
      </w:r>
      <w:r w:rsidR="00F2040C" w:rsidRPr="00720652">
        <w:rPr>
          <w:rFonts w:asciiTheme="majorHAnsi" w:eastAsiaTheme="minorEastAsia" w:hAnsiTheme="majorHAnsi" w:cstheme="majorHAnsi"/>
          <w:sz w:val="24"/>
          <w:szCs w:val="24"/>
          <w:lang w:val="ro-RO"/>
        </w:rPr>
        <w:t xml:space="preserve"> </w:t>
      </w:r>
      <w:r w:rsidR="0025706B" w:rsidRPr="00720652">
        <w:rPr>
          <w:rFonts w:asciiTheme="majorHAnsi" w:eastAsiaTheme="minorEastAsia" w:hAnsiTheme="majorHAnsi" w:cstheme="majorHAnsi"/>
          <w:sz w:val="24"/>
          <w:szCs w:val="24"/>
          <w:lang w:val="ro-RO"/>
        </w:rPr>
        <w:t>proiectelor</w:t>
      </w:r>
      <w:r w:rsidR="00F2040C" w:rsidRPr="00720652">
        <w:rPr>
          <w:rFonts w:asciiTheme="majorHAnsi" w:eastAsiaTheme="minorEastAsia" w:hAnsiTheme="majorHAnsi" w:cstheme="majorHAnsi"/>
          <w:sz w:val="24"/>
          <w:szCs w:val="24"/>
          <w:lang w:val="ro-RO"/>
        </w:rPr>
        <w:t xml:space="preserve"> </w:t>
      </w:r>
      <w:r w:rsidR="003B6B8B" w:rsidRPr="00720652">
        <w:rPr>
          <w:rFonts w:asciiTheme="majorHAnsi" w:eastAsiaTheme="minorEastAsia" w:hAnsiTheme="majorHAnsi" w:cstheme="majorHAnsi"/>
          <w:sz w:val="24"/>
          <w:szCs w:val="24"/>
          <w:lang w:val="ro-RO"/>
        </w:rPr>
        <w:t>de</w:t>
      </w:r>
      <w:r w:rsidR="00F2040C" w:rsidRPr="00720652">
        <w:rPr>
          <w:rFonts w:asciiTheme="majorHAnsi" w:eastAsiaTheme="minorEastAsia" w:hAnsiTheme="majorHAnsi" w:cstheme="majorHAnsi"/>
          <w:sz w:val="24"/>
          <w:szCs w:val="24"/>
          <w:lang w:val="ro-RO"/>
        </w:rPr>
        <w:t xml:space="preserve"> aliment</w:t>
      </w:r>
      <w:r w:rsidR="003B6B8B" w:rsidRPr="00720652">
        <w:rPr>
          <w:rFonts w:asciiTheme="majorHAnsi" w:eastAsiaTheme="minorEastAsia" w:hAnsiTheme="majorHAnsi" w:cstheme="majorHAnsi"/>
          <w:sz w:val="24"/>
          <w:szCs w:val="24"/>
          <w:lang w:val="ro-RO"/>
        </w:rPr>
        <w:t>are</w:t>
      </w:r>
      <w:r w:rsidR="00F2040C" w:rsidRPr="00720652">
        <w:rPr>
          <w:rFonts w:asciiTheme="majorHAnsi" w:eastAsiaTheme="minorEastAsia" w:hAnsiTheme="majorHAnsi" w:cstheme="majorHAnsi"/>
          <w:sz w:val="24"/>
          <w:szCs w:val="24"/>
          <w:lang w:val="ro-RO"/>
        </w:rPr>
        <w:t xml:space="preserve"> cu apă și sanitație în D</w:t>
      </w:r>
      <w:r w:rsidR="0025706B" w:rsidRPr="00720652">
        <w:rPr>
          <w:rFonts w:asciiTheme="majorHAnsi" w:eastAsiaTheme="minorEastAsia" w:hAnsiTheme="majorHAnsi" w:cstheme="majorHAnsi"/>
          <w:sz w:val="24"/>
          <w:szCs w:val="24"/>
          <w:lang w:val="ro-RO"/>
        </w:rPr>
        <w:t xml:space="preserve">UP </w:t>
      </w:r>
      <w:r w:rsidR="00E04B90" w:rsidRPr="00720652">
        <w:rPr>
          <w:rFonts w:asciiTheme="majorHAnsi" w:eastAsiaTheme="minorEastAsia" w:hAnsiTheme="majorHAnsi" w:cstheme="majorHAnsi"/>
          <w:sz w:val="24"/>
          <w:szCs w:val="24"/>
          <w:lang w:val="ro-RO"/>
        </w:rPr>
        <w:t xml:space="preserve">pe </w:t>
      </w:r>
      <w:r w:rsidR="00F2040C" w:rsidRPr="00720652">
        <w:rPr>
          <w:rFonts w:asciiTheme="majorHAnsi" w:eastAsiaTheme="minorEastAsia" w:hAnsiTheme="majorHAnsi" w:cstheme="majorHAnsi"/>
          <w:sz w:val="24"/>
          <w:szCs w:val="24"/>
          <w:lang w:val="ro-RO"/>
        </w:rPr>
        <w:t>ani</w:t>
      </w:r>
      <w:r w:rsidR="00E04B90" w:rsidRPr="00720652">
        <w:rPr>
          <w:rFonts w:asciiTheme="majorHAnsi" w:eastAsiaTheme="minorEastAsia" w:hAnsiTheme="majorHAnsi" w:cstheme="majorHAnsi"/>
          <w:sz w:val="24"/>
          <w:szCs w:val="24"/>
          <w:lang w:val="ro-RO"/>
        </w:rPr>
        <w:t>i</w:t>
      </w:r>
      <w:r w:rsidR="00F2040C" w:rsidRPr="00720652">
        <w:rPr>
          <w:rFonts w:asciiTheme="majorHAnsi" w:eastAsiaTheme="minorEastAsia" w:hAnsiTheme="majorHAnsi" w:cstheme="majorHAnsi"/>
          <w:sz w:val="24"/>
          <w:szCs w:val="24"/>
          <w:lang w:val="ro-RO"/>
        </w:rPr>
        <w:t xml:space="preserve"> 2010-2024, realizate prin intermediul FNDR</w:t>
      </w:r>
      <w:r w:rsidR="00A41219" w:rsidRPr="00720652">
        <w:rPr>
          <w:rFonts w:asciiTheme="majorHAnsi" w:eastAsiaTheme="minorEastAsia" w:hAnsiTheme="majorHAnsi" w:cstheme="majorHAnsi"/>
          <w:sz w:val="24"/>
          <w:szCs w:val="24"/>
          <w:lang w:val="ro-RO"/>
        </w:rPr>
        <w:t>,</w:t>
      </w:r>
      <w:r w:rsidR="00F2040C" w:rsidRPr="00720652">
        <w:rPr>
          <w:rFonts w:asciiTheme="majorHAnsi" w:eastAsiaTheme="minorEastAsia" w:hAnsiTheme="majorHAnsi" w:cstheme="majorHAnsi"/>
          <w:sz w:val="24"/>
          <w:szCs w:val="24"/>
          <w:lang w:val="ro-RO"/>
        </w:rPr>
        <w:t xml:space="preserve"> a crescut de la 21,4% în cadrul DUP 2010-2012 până la 56,5% în cadrul DUP 2022-2024</w:t>
      </w:r>
      <w:r w:rsidR="00360F84" w:rsidRPr="00720652">
        <w:rPr>
          <w:rFonts w:asciiTheme="majorHAnsi" w:eastAsiaTheme="minorEastAsia" w:hAnsiTheme="majorHAnsi" w:cstheme="majorHAnsi"/>
          <w:sz w:val="24"/>
          <w:szCs w:val="24"/>
          <w:lang w:val="ro-RO"/>
        </w:rPr>
        <w:t>.</w:t>
      </w:r>
      <w:r w:rsidR="00F2040C" w:rsidRPr="00720652">
        <w:rPr>
          <w:rFonts w:asciiTheme="majorHAnsi" w:eastAsiaTheme="minorEastAsia" w:hAnsiTheme="majorHAnsi" w:cstheme="majorHAnsi"/>
          <w:sz w:val="24"/>
          <w:szCs w:val="24"/>
          <w:lang w:val="ro-RO"/>
        </w:rPr>
        <w:t xml:space="preserve"> </w:t>
      </w:r>
      <w:r w:rsidR="00360F84" w:rsidRPr="00720652">
        <w:rPr>
          <w:rFonts w:asciiTheme="majorHAnsi" w:eastAsiaTheme="minorEastAsia" w:hAnsiTheme="majorHAnsi" w:cstheme="majorHAnsi"/>
          <w:sz w:val="24"/>
          <w:szCs w:val="24"/>
          <w:lang w:val="ro-RO"/>
        </w:rPr>
        <w:t>L</w:t>
      </w:r>
      <w:r w:rsidR="003B6B8B" w:rsidRPr="00720652">
        <w:rPr>
          <w:rFonts w:asciiTheme="majorHAnsi" w:eastAsiaTheme="minorEastAsia" w:hAnsiTheme="majorHAnsi" w:cstheme="majorHAnsi"/>
          <w:sz w:val="24"/>
          <w:szCs w:val="24"/>
          <w:lang w:val="ro-RO"/>
        </w:rPr>
        <w:t>a fel</w:t>
      </w:r>
      <w:r w:rsidR="00E04B90" w:rsidRPr="00720652">
        <w:rPr>
          <w:rFonts w:asciiTheme="majorHAnsi" w:eastAsiaTheme="minorEastAsia" w:hAnsiTheme="majorHAnsi" w:cstheme="majorHAnsi"/>
          <w:sz w:val="24"/>
          <w:szCs w:val="24"/>
          <w:lang w:val="ro-RO"/>
        </w:rPr>
        <w:t>,</w:t>
      </w:r>
      <w:r w:rsidR="003B6B8B" w:rsidRPr="00720652">
        <w:rPr>
          <w:rFonts w:asciiTheme="majorHAnsi" w:eastAsiaTheme="minorEastAsia" w:hAnsiTheme="majorHAnsi" w:cstheme="majorHAnsi"/>
          <w:sz w:val="24"/>
          <w:szCs w:val="24"/>
          <w:lang w:val="ro-RO"/>
        </w:rPr>
        <w:t xml:space="preserve"> și</w:t>
      </w:r>
      <w:r w:rsidR="00F2040C" w:rsidRPr="00720652">
        <w:rPr>
          <w:rFonts w:asciiTheme="majorHAnsi" w:eastAsiaTheme="minorEastAsia" w:hAnsiTheme="majorHAnsi" w:cstheme="majorHAnsi"/>
          <w:sz w:val="24"/>
          <w:szCs w:val="24"/>
          <w:lang w:val="ro-RO"/>
        </w:rPr>
        <w:t xml:space="preserve"> numărul acestora a înregistrat o creștere</w:t>
      </w:r>
      <w:r w:rsidR="00360F84" w:rsidRPr="00720652">
        <w:rPr>
          <w:rFonts w:asciiTheme="majorHAnsi" w:eastAsiaTheme="minorEastAsia" w:hAnsiTheme="majorHAnsi" w:cstheme="majorHAnsi"/>
          <w:sz w:val="24"/>
          <w:szCs w:val="24"/>
          <w:lang w:val="ro-RO"/>
        </w:rPr>
        <w:t>,</w:t>
      </w:r>
      <w:r w:rsidR="00F2040C" w:rsidRPr="00720652">
        <w:rPr>
          <w:rFonts w:asciiTheme="majorHAnsi" w:eastAsiaTheme="minorEastAsia" w:hAnsiTheme="majorHAnsi" w:cstheme="majorHAnsi"/>
          <w:sz w:val="24"/>
          <w:szCs w:val="24"/>
          <w:lang w:val="ro-RO"/>
        </w:rPr>
        <w:t xml:space="preserve"> de la 12 </w:t>
      </w:r>
      <w:r w:rsidR="0025706B" w:rsidRPr="00720652">
        <w:rPr>
          <w:rFonts w:asciiTheme="majorHAnsi" w:eastAsiaTheme="minorEastAsia" w:hAnsiTheme="majorHAnsi" w:cstheme="majorHAnsi"/>
          <w:sz w:val="24"/>
          <w:szCs w:val="24"/>
          <w:lang w:val="ro-RO"/>
        </w:rPr>
        <w:t>proiecte</w:t>
      </w:r>
      <w:r w:rsidR="00F2040C" w:rsidRPr="00720652">
        <w:rPr>
          <w:rFonts w:asciiTheme="majorHAnsi" w:eastAsiaTheme="minorEastAsia" w:hAnsiTheme="majorHAnsi" w:cstheme="majorHAnsi"/>
          <w:sz w:val="24"/>
          <w:szCs w:val="24"/>
          <w:lang w:val="ro-RO"/>
        </w:rPr>
        <w:t xml:space="preserve"> în DUP 2010-2012 până la 26 de </w:t>
      </w:r>
      <w:r w:rsidR="0025706B" w:rsidRPr="00720652">
        <w:rPr>
          <w:rFonts w:asciiTheme="majorHAnsi" w:eastAsiaTheme="minorEastAsia" w:hAnsiTheme="majorHAnsi" w:cstheme="majorHAnsi"/>
          <w:sz w:val="24"/>
          <w:szCs w:val="24"/>
          <w:lang w:val="ro-RO"/>
        </w:rPr>
        <w:t>proiecte</w:t>
      </w:r>
      <w:r w:rsidR="00F2040C" w:rsidRPr="00720652">
        <w:rPr>
          <w:rFonts w:asciiTheme="majorHAnsi" w:eastAsiaTheme="minorEastAsia" w:hAnsiTheme="majorHAnsi" w:cstheme="majorHAnsi"/>
          <w:sz w:val="24"/>
          <w:szCs w:val="24"/>
          <w:lang w:val="ro-RO"/>
        </w:rPr>
        <w:t xml:space="preserve"> în cadrul DUP 2022-2024</w:t>
      </w:r>
      <w:r w:rsidR="00A41219" w:rsidRPr="00720652">
        <w:rPr>
          <w:rFonts w:asciiTheme="majorHAnsi" w:eastAsiaTheme="minorEastAsia" w:hAnsiTheme="majorHAnsi" w:cstheme="majorHAnsi"/>
          <w:sz w:val="24"/>
          <w:szCs w:val="24"/>
          <w:lang w:val="ro-RO"/>
        </w:rPr>
        <w:t>;</w:t>
      </w:r>
    </w:p>
    <w:p w14:paraId="1231B5E9" w14:textId="77777777" w:rsidR="005231C5" w:rsidRPr="00720652" w:rsidRDefault="006E61EF" w:rsidP="009E6346">
      <w:pPr>
        <w:pStyle w:val="af3"/>
        <w:numPr>
          <w:ilvl w:val="0"/>
          <w:numId w:val="19"/>
        </w:numPr>
        <w:tabs>
          <w:tab w:val="left" w:pos="426"/>
        </w:tabs>
        <w:spacing w:after="0" w:line="276" w:lineRule="auto"/>
        <w:ind w:left="0" w:firstLine="284"/>
        <w:jc w:val="both"/>
        <w:rPr>
          <w:rFonts w:asciiTheme="majorHAnsi" w:eastAsiaTheme="minorEastAsia" w:hAnsiTheme="majorHAnsi" w:cstheme="majorHAnsi"/>
          <w:bCs/>
          <w:sz w:val="24"/>
          <w:szCs w:val="24"/>
          <w:lang w:val="ro-RO"/>
        </w:rPr>
      </w:pPr>
      <w:bookmarkStart w:id="2" w:name="_Toc131005363"/>
      <w:r w:rsidRPr="00720652">
        <w:rPr>
          <w:rFonts w:asciiTheme="majorHAnsi" w:eastAsiaTheme="minorEastAsia" w:hAnsiTheme="majorHAnsi" w:cstheme="majorHAnsi"/>
          <w:b/>
          <w:sz w:val="24"/>
          <w:szCs w:val="24"/>
          <w:lang w:val="ro-RO"/>
        </w:rPr>
        <w:t xml:space="preserve">     </w:t>
      </w:r>
      <w:r w:rsidR="00F7751F" w:rsidRPr="00720652">
        <w:rPr>
          <w:rFonts w:asciiTheme="majorHAnsi" w:eastAsiaTheme="minorEastAsia" w:hAnsiTheme="majorHAnsi" w:cstheme="majorHAnsi"/>
          <w:b/>
          <w:sz w:val="24"/>
          <w:szCs w:val="24"/>
          <w:lang w:val="ro-RO"/>
        </w:rPr>
        <w:t>p</w:t>
      </w:r>
      <w:r w:rsidR="005231C5" w:rsidRPr="00720652">
        <w:rPr>
          <w:rFonts w:asciiTheme="majorHAnsi" w:eastAsiaTheme="minorEastAsia" w:hAnsiTheme="majorHAnsi" w:cstheme="majorHAnsi"/>
          <w:b/>
          <w:sz w:val="24"/>
          <w:szCs w:val="24"/>
          <w:lang w:val="ro-RO"/>
        </w:rPr>
        <w:t>ragurile minime și maxime a</w:t>
      </w:r>
      <w:r w:rsidR="00A41219" w:rsidRPr="00720652">
        <w:rPr>
          <w:rFonts w:asciiTheme="majorHAnsi" w:eastAsiaTheme="minorEastAsia" w:hAnsiTheme="majorHAnsi" w:cstheme="majorHAnsi"/>
          <w:b/>
          <w:sz w:val="24"/>
          <w:szCs w:val="24"/>
          <w:lang w:val="ro-RO"/>
        </w:rPr>
        <w:t>le</w:t>
      </w:r>
      <w:r w:rsidR="005231C5" w:rsidRPr="00720652">
        <w:rPr>
          <w:rFonts w:asciiTheme="majorHAnsi" w:eastAsiaTheme="minorEastAsia" w:hAnsiTheme="majorHAnsi" w:cstheme="majorHAnsi"/>
          <w:b/>
          <w:sz w:val="24"/>
          <w:szCs w:val="24"/>
          <w:lang w:val="ro-RO"/>
        </w:rPr>
        <w:t xml:space="preserve"> valori</w:t>
      </w:r>
      <w:r w:rsidR="00F7751F" w:rsidRPr="00720652">
        <w:rPr>
          <w:rFonts w:asciiTheme="majorHAnsi" w:eastAsiaTheme="minorEastAsia" w:hAnsiTheme="majorHAnsi" w:cstheme="majorHAnsi"/>
          <w:b/>
          <w:sz w:val="24"/>
          <w:szCs w:val="24"/>
          <w:lang w:val="ro-RO"/>
        </w:rPr>
        <w:t>lor</w:t>
      </w:r>
      <w:r w:rsidR="005231C5" w:rsidRPr="00720652">
        <w:rPr>
          <w:rFonts w:asciiTheme="majorHAnsi" w:eastAsiaTheme="minorEastAsia" w:hAnsiTheme="majorHAnsi" w:cstheme="majorHAnsi"/>
          <w:b/>
          <w:sz w:val="24"/>
          <w:szCs w:val="24"/>
          <w:lang w:val="ro-RO"/>
        </w:rPr>
        <w:t xml:space="preserve"> contractelor de investiții considerate eligibile au înregistrat tendințe neuniforme</w:t>
      </w:r>
      <w:r w:rsidR="0025706B" w:rsidRPr="00720652">
        <w:rPr>
          <w:rFonts w:asciiTheme="majorHAnsi" w:eastAsiaTheme="minorEastAsia" w:hAnsiTheme="majorHAnsi" w:cstheme="majorHAnsi"/>
          <w:b/>
          <w:sz w:val="24"/>
          <w:szCs w:val="24"/>
          <w:lang w:val="ro-RO"/>
        </w:rPr>
        <w:t>, cele minime fiind în creștere</w:t>
      </w:r>
      <w:r w:rsidR="005231C5" w:rsidRPr="00720652">
        <w:rPr>
          <w:rFonts w:asciiTheme="majorHAnsi" w:eastAsiaTheme="minorEastAsia" w:hAnsiTheme="majorHAnsi" w:cstheme="majorHAnsi"/>
          <w:b/>
          <w:sz w:val="24"/>
          <w:szCs w:val="24"/>
          <w:lang w:val="ro-RO"/>
        </w:rPr>
        <w:t>, iar cele maxime – în diminuare</w:t>
      </w:r>
      <w:bookmarkEnd w:id="2"/>
      <w:r w:rsidR="005231C5" w:rsidRPr="00720652">
        <w:rPr>
          <w:rFonts w:asciiTheme="majorHAnsi" w:eastAsiaTheme="minorEastAsia" w:hAnsiTheme="majorHAnsi" w:cstheme="majorHAnsi"/>
          <w:b/>
          <w:sz w:val="24"/>
          <w:szCs w:val="24"/>
          <w:lang w:val="ro-RO"/>
        </w:rPr>
        <w:t xml:space="preserve">. </w:t>
      </w:r>
      <w:r w:rsidR="005231C5" w:rsidRPr="00720652">
        <w:rPr>
          <w:rFonts w:asciiTheme="majorHAnsi" w:eastAsiaTheme="minorEastAsia" w:hAnsiTheme="majorHAnsi" w:cstheme="majorHAnsi"/>
          <w:bCs/>
          <w:sz w:val="24"/>
          <w:szCs w:val="24"/>
          <w:lang w:val="ro-RO"/>
        </w:rPr>
        <w:t>Pragurile minime pe parcursul anilor au fost revizuite spre majorare</w:t>
      </w:r>
      <w:r w:rsidR="00840ECB" w:rsidRPr="00720652">
        <w:rPr>
          <w:rFonts w:asciiTheme="majorHAnsi" w:eastAsiaTheme="minorEastAsia" w:hAnsiTheme="majorHAnsi" w:cstheme="majorHAnsi"/>
          <w:bCs/>
          <w:sz w:val="24"/>
          <w:szCs w:val="24"/>
          <w:lang w:val="ro-RO"/>
        </w:rPr>
        <w:t>,</w:t>
      </w:r>
      <w:r w:rsidR="005231C5" w:rsidRPr="00720652">
        <w:rPr>
          <w:rFonts w:asciiTheme="majorHAnsi" w:eastAsiaTheme="minorEastAsia" w:hAnsiTheme="majorHAnsi" w:cstheme="majorHAnsi"/>
          <w:bCs/>
          <w:sz w:val="24"/>
          <w:szCs w:val="24"/>
          <w:lang w:val="ro-RO"/>
        </w:rPr>
        <w:t xml:space="preserve"> de la 1,0 mil.lei în cadrul DUP 2013-2015 până la 10,0 mil.lei în cadrul DUP 2022-2024, iar pragurile maxi</w:t>
      </w:r>
      <w:r w:rsidR="00840ECB" w:rsidRPr="00720652">
        <w:rPr>
          <w:rFonts w:asciiTheme="majorHAnsi" w:eastAsiaTheme="minorEastAsia" w:hAnsiTheme="majorHAnsi" w:cstheme="majorHAnsi"/>
          <w:bCs/>
          <w:sz w:val="24"/>
          <w:szCs w:val="24"/>
          <w:lang w:val="ro-RO"/>
        </w:rPr>
        <w:t>m</w:t>
      </w:r>
      <w:r w:rsidR="005231C5" w:rsidRPr="00720652">
        <w:rPr>
          <w:rFonts w:asciiTheme="majorHAnsi" w:eastAsiaTheme="minorEastAsia" w:hAnsiTheme="majorHAnsi" w:cstheme="majorHAnsi"/>
          <w:bCs/>
          <w:sz w:val="24"/>
          <w:szCs w:val="24"/>
          <w:lang w:val="ro-RO"/>
        </w:rPr>
        <w:t>e au fost diminuate, de la 100,0 mil.lei în cadrul DUP 2013-2015 până la 50,0 mil.lei în cadrul DUP 2022-2024</w:t>
      </w:r>
      <w:r w:rsidR="00840ECB" w:rsidRPr="00720652">
        <w:rPr>
          <w:rFonts w:asciiTheme="majorHAnsi" w:eastAsiaTheme="minorEastAsia" w:hAnsiTheme="majorHAnsi" w:cstheme="majorHAnsi"/>
          <w:bCs/>
          <w:sz w:val="24"/>
          <w:szCs w:val="24"/>
          <w:lang w:val="ro-RO"/>
        </w:rPr>
        <w:t>;</w:t>
      </w:r>
      <w:r w:rsidR="005231C5" w:rsidRPr="00720652">
        <w:rPr>
          <w:rFonts w:asciiTheme="majorHAnsi" w:eastAsiaTheme="minorEastAsia" w:hAnsiTheme="majorHAnsi" w:cstheme="majorHAnsi"/>
          <w:bCs/>
          <w:sz w:val="24"/>
          <w:szCs w:val="24"/>
          <w:lang w:val="ro-RO"/>
        </w:rPr>
        <w:t xml:space="preserve"> </w:t>
      </w:r>
    </w:p>
    <w:p w14:paraId="181C54A2" w14:textId="77777777" w:rsidR="001F092E" w:rsidRPr="00720652" w:rsidRDefault="00F7751F" w:rsidP="001F092E">
      <w:pPr>
        <w:numPr>
          <w:ilvl w:val="0"/>
          <w:numId w:val="20"/>
        </w:numPr>
        <w:tabs>
          <w:tab w:val="left" w:pos="851"/>
        </w:tabs>
        <w:spacing w:after="0" w:line="276" w:lineRule="auto"/>
        <w:ind w:left="0" w:firstLine="284"/>
        <w:contextualSpacing/>
        <w:jc w:val="both"/>
        <w:rPr>
          <w:rFonts w:asciiTheme="majorHAnsi" w:eastAsia="Calibri" w:hAnsiTheme="majorHAnsi" w:cstheme="majorHAnsi"/>
          <w:b/>
          <w:iCs/>
          <w:sz w:val="24"/>
          <w:szCs w:val="24"/>
          <w:lang w:val="ro-RO"/>
        </w:rPr>
      </w:pPr>
      <w:bookmarkStart w:id="3" w:name="_Toc78183097"/>
      <w:bookmarkStart w:id="4" w:name="_Toc131005364"/>
      <w:r w:rsidRPr="00720652">
        <w:rPr>
          <w:rFonts w:asciiTheme="majorHAnsi" w:hAnsiTheme="majorHAnsi" w:cstheme="majorHAnsi"/>
          <w:b/>
          <w:sz w:val="24"/>
          <w:szCs w:val="24"/>
          <w:lang w:val="ro-RO"/>
        </w:rPr>
        <w:t>i</w:t>
      </w:r>
      <w:r w:rsidR="005231C5" w:rsidRPr="00720652">
        <w:rPr>
          <w:rFonts w:asciiTheme="majorHAnsi" w:hAnsiTheme="majorHAnsi" w:cstheme="majorHAnsi"/>
          <w:b/>
          <w:sz w:val="24"/>
          <w:szCs w:val="24"/>
          <w:lang w:val="ro-RO"/>
        </w:rPr>
        <w:t xml:space="preserve">mplementarea unor proiecte de aprovizionare cu apă și canalizare durează în ani, neavând o finalitate </w:t>
      </w:r>
      <w:bookmarkEnd w:id="3"/>
      <w:r w:rsidR="005231C5" w:rsidRPr="00720652">
        <w:rPr>
          <w:rFonts w:asciiTheme="majorHAnsi" w:hAnsiTheme="majorHAnsi" w:cstheme="majorHAnsi"/>
          <w:b/>
          <w:sz w:val="24"/>
          <w:szCs w:val="24"/>
          <w:lang w:val="ro-RO"/>
        </w:rPr>
        <w:t>și previzibilitate</w:t>
      </w:r>
      <w:bookmarkEnd w:id="4"/>
      <w:r w:rsidR="005231C5" w:rsidRPr="00720652">
        <w:rPr>
          <w:rFonts w:asciiTheme="majorHAnsi" w:hAnsiTheme="majorHAnsi" w:cstheme="majorHAnsi"/>
          <w:b/>
          <w:sz w:val="24"/>
          <w:szCs w:val="24"/>
          <w:lang w:val="ro-RO"/>
        </w:rPr>
        <w:t xml:space="preserve">. </w:t>
      </w:r>
      <w:r w:rsidR="00A97AB9" w:rsidRPr="00720652">
        <w:rPr>
          <w:rFonts w:asciiTheme="majorHAnsi" w:hAnsiTheme="majorHAnsi" w:cstheme="majorHAnsi"/>
          <w:sz w:val="24"/>
          <w:szCs w:val="24"/>
          <w:lang w:val="ro-RO"/>
        </w:rPr>
        <w:t xml:space="preserve">Astfel, </w:t>
      </w:r>
      <w:r w:rsidR="00A97AB9" w:rsidRPr="00720652">
        <w:rPr>
          <w:rFonts w:asciiTheme="majorHAnsi" w:eastAsia="Calibri" w:hAnsiTheme="majorHAnsi" w:cstheme="majorHAnsi"/>
          <w:iCs/>
          <w:sz w:val="24"/>
          <w:szCs w:val="24"/>
          <w:lang w:val="ro-RO"/>
        </w:rPr>
        <w:t>rețelele construite în cadrul a 3 proiecte</w:t>
      </w:r>
      <w:r w:rsidR="00A97AB9" w:rsidRPr="00720652">
        <w:rPr>
          <w:rFonts w:asciiTheme="majorHAnsi" w:hAnsiTheme="majorHAnsi" w:cstheme="majorHAnsi"/>
          <w:bCs/>
          <w:iCs/>
          <w:sz w:val="24"/>
          <w:szCs w:val="24"/>
          <w:vertAlign w:val="superscript"/>
          <w:lang w:val="ro-RO"/>
        </w:rPr>
        <w:footnoteReference w:id="8"/>
      </w:r>
      <w:r w:rsidRPr="00720652">
        <w:rPr>
          <w:rFonts w:asciiTheme="majorHAnsi" w:eastAsia="Calibri" w:hAnsiTheme="majorHAnsi" w:cstheme="majorHAnsi"/>
          <w:iCs/>
          <w:sz w:val="24"/>
          <w:szCs w:val="24"/>
          <w:lang w:val="ro-RO"/>
        </w:rPr>
        <w:t>,</w:t>
      </w:r>
      <w:r w:rsidR="00A97AB9" w:rsidRPr="00720652">
        <w:rPr>
          <w:rFonts w:asciiTheme="majorHAnsi" w:eastAsia="Calibri" w:hAnsiTheme="majorHAnsi" w:cstheme="majorHAnsi"/>
          <w:iCs/>
          <w:sz w:val="24"/>
          <w:szCs w:val="24"/>
          <w:vertAlign w:val="superscript"/>
          <w:lang w:val="ro-RO"/>
        </w:rPr>
        <w:t xml:space="preserve"> </w:t>
      </w:r>
      <w:r w:rsidR="00A97AB9" w:rsidRPr="00720652">
        <w:rPr>
          <w:rFonts w:asciiTheme="majorHAnsi" w:eastAsia="Calibri" w:hAnsiTheme="majorHAnsi" w:cstheme="majorHAnsi"/>
          <w:iCs/>
          <w:sz w:val="24"/>
          <w:szCs w:val="24"/>
          <w:lang w:val="ro-RO"/>
        </w:rPr>
        <w:t>în valoare totală de 87,4 mil.lei</w:t>
      </w:r>
      <w:r w:rsidR="00132AEF" w:rsidRPr="00720652">
        <w:rPr>
          <w:rFonts w:asciiTheme="majorHAnsi" w:eastAsia="Calibri" w:hAnsiTheme="majorHAnsi" w:cstheme="majorHAnsi"/>
          <w:iCs/>
          <w:sz w:val="24"/>
          <w:szCs w:val="24"/>
          <w:lang w:val="ro-RO"/>
        </w:rPr>
        <w:t>,</w:t>
      </w:r>
      <w:r w:rsidR="00A97AB9" w:rsidRPr="00720652">
        <w:rPr>
          <w:rFonts w:asciiTheme="majorHAnsi" w:eastAsia="Calibri" w:hAnsiTheme="majorHAnsi" w:cstheme="majorHAnsi"/>
          <w:iCs/>
          <w:sz w:val="24"/>
          <w:szCs w:val="24"/>
          <w:lang w:val="ro-RO"/>
        </w:rPr>
        <w:t xml:space="preserve"> de</w:t>
      </w:r>
      <w:r w:rsidR="00132AEF" w:rsidRPr="00720652">
        <w:rPr>
          <w:rFonts w:asciiTheme="majorHAnsi" w:eastAsia="Calibri" w:hAnsiTheme="majorHAnsi" w:cstheme="majorHAnsi"/>
          <w:iCs/>
          <w:sz w:val="24"/>
          <w:szCs w:val="24"/>
          <w:lang w:val="ro-RO"/>
        </w:rPr>
        <w:t>și</w:t>
      </w:r>
      <w:r w:rsidR="00A97AB9" w:rsidRPr="00720652">
        <w:rPr>
          <w:rFonts w:asciiTheme="majorHAnsi" w:eastAsia="Calibri" w:hAnsiTheme="majorHAnsi" w:cstheme="majorHAnsi"/>
          <w:iCs/>
          <w:sz w:val="24"/>
          <w:szCs w:val="24"/>
          <w:lang w:val="ro-RO"/>
        </w:rPr>
        <w:t xml:space="preserve"> au fost construite, </w:t>
      </w:r>
      <w:r w:rsidR="00840ECB" w:rsidRPr="00720652">
        <w:rPr>
          <w:rFonts w:asciiTheme="majorHAnsi" w:eastAsia="Calibri" w:hAnsiTheme="majorHAnsi" w:cstheme="majorHAnsi"/>
          <w:iCs/>
          <w:sz w:val="24"/>
          <w:szCs w:val="24"/>
          <w:lang w:val="ro-RO"/>
        </w:rPr>
        <w:t>nu sunt</w:t>
      </w:r>
      <w:r w:rsidR="00A97AB9" w:rsidRPr="00720652">
        <w:rPr>
          <w:rFonts w:asciiTheme="majorHAnsi" w:eastAsia="Calibri" w:hAnsiTheme="majorHAnsi" w:cstheme="majorHAnsi"/>
          <w:iCs/>
          <w:sz w:val="24"/>
          <w:szCs w:val="24"/>
          <w:lang w:val="ro-RO"/>
        </w:rPr>
        <w:t xml:space="preserve"> exploatate. Pregătirea necalitativă a documentației tehnice</w:t>
      </w:r>
      <w:r w:rsidR="00A97AB9" w:rsidRPr="00720652" w:rsidDel="007A7FC9">
        <w:rPr>
          <w:rFonts w:asciiTheme="majorHAnsi" w:eastAsia="Calibri" w:hAnsiTheme="majorHAnsi" w:cstheme="majorHAnsi"/>
          <w:iCs/>
          <w:sz w:val="24"/>
          <w:szCs w:val="24"/>
          <w:lang w:val="ro-RO"/>
        </w:rPr>
        <w:t xml:space="preserve"> </w:t>
      </w:r>
      <w:r w:rsidR="00A97AB9" w:rsidRPr="00720652">
        <w:rPr>
          <w:rFonts w:asciiTheme="majorHAnsi" w:eastAsia="Calibri" w:hAnsiTheme="majorHAnsi" w:cstheme="majorHAnsi"/>
          <w:iCs/>
          <w:sz w:val="24"/>
          <w:szCs w:val="24"/>
          <w:lang w:val="ro-RO"/>
        </w:rPr>
        <w:t>în cadrul unui proiect</w:t>
      </w:r>
      <w:r w:rsidR="00A97AB9" w:rsidRPr="00720652">
        <w:rPr>
          <w:rFonts w:asciiTheme="majorHAnsi" w:eastAsia="Calibri" w:hAnsiTheme="majorHAnsi" w:cstheme="majorHAnsi"/>
          <w:iCs/>
          <w:sz w:val="24"/>
          <w:szCs w:val="24"/>
          <w:vertAlign w:val="superscript"/>
          <w:lang w:val="ro-RO"/>
        </w:rPr>
        <w:footnoteReference w:id="9"/>
      </w:r>
      <w:r w:rsidR="00840ECB" w:rsidRPr="00720652">
        <w:rPr>
          <w:rFonts w:asciiTheme="majorHAnsi" w:eastAsia="Calibri" w:hAnsiTheme="majorHAnsi" w:cstheme="majorHAnsi"/>
          <w:iCs/>
          <w:sz w:val="24"/>
          <w:szCs w:val="24"/>
          <w:lang w:val="ro-RO"/>
        </w:rPr>
        <w:t>,</w:t>
      </w:r>
      <w:r w:rsidR="00A97AB9" w:rsidRPr="00720652">
        <w:rPr>
          <w:rFonts w:asciiTheme="majorHAnsi" w:eastAsia="Calibri" w:hAnsiTheme="majorHAnsi" w:cstheme="majorHAnsi"/>
          <w:iCs/>
          <w:sz w:val="24"/>
          <w:szCs w:val="24"/>
          <w:lang w:val="ro-RO"/>
        </w:rPr>
        <w:t xml:space="preserve"> în valoare totală de 20,8 mil.lei, a determinat tergiversarea realizării în termen a acestuia, iar extinderea termen</w:t>
      </w:r>
      <w:r w:rsidR="00840ECB" w:rsidRPr="00720652">
        <w:rPr>
          <w:rFonts w:asciiTheme="majorHAnsi" w:eastAsia="Calibri" w:hAnsiTheme="majorHAnsi" w:cstheme="majorHAnsi"/>
          <w:iCs/>
          <w:sz w:val="24"/>
          <w:szCs w:val="24"/>
          <w:lang w:val="ro-RO"/>
        </w:rPr>
        <w:t>e</w:t>
      </w:r>
      <w:r w:rsidR="00A97AB9" w:rsidRPr="00720652">
        <w:rPr>
          <w:rFonts w:asciiTheme="majorHAnsi" w:eastAsia="Calibri" w:hAnsiTheme="majorHAnsi" w:cstheme="majorHAnsi"/>
          <w:iCs/>
          <w:sz w:val="24"/>
          <w:szCs w:val="24"/>
          <w:lang w:val="ro-RO"/>
        </w:rPr>
        <w:t>lor de realizare a 4 proiecte</w:t>
      </w:r>
      <w:r w:rsidR="00A97AB9" w:rsidRPr="00720652">
        <w:rPr>
          <w:rFonts w:asciiTheme="majorHAnsi" w:eastAsia="Calibri" w:hAnsiTheme="majorHAnsi" w:cstheme="majorHAnsi"/>
          <w:iCs/>
          <w:sz w:val="24"/>
          <w:szCs w:val="24"/>
          <w:vertAlign w:val="superscript"/>
          <w:lang w:val="ro-RO"/>
        </w:rPr>
        <w:footnoteReference w:id="10"/>
      </w:r>
      <w:r w:rsidR="00840ECB" w:rsidRPr="00720652">
        <w:rPr>
          <w:rFonts w:asciiTheme="majorHAnsi" w:eastAsia="Calibri" w:hAnsiTheme="majorHAnsi" w:cstheme="majorHAnsi"/>
          <w:iCs/>
          <w:sz w:val="24"/>
          <w:szCs w:val="24"/>
          <w:lang w:val="ro-RO"/>
        </w:rPr>
        <w:t>,</w:t>
      </w:r>
      <w:r w:rsidR="00A97AB9" w:rsidRPr="00720652">
        <w:rPr>
          <w:rFonts w:asciiTheme="majorHAnsi" w:eastAsia="Calibri" w:hAnsiTheme="majorHAnsi" w:cstheme="majorHAnsi"/>
          <w:iCs/>
          <w:sz w:val="24"/>
          <w:szCs w:val="24"/>
          <w:lang w:val="ro-RO"/>
        </w:rPr>
        <w:t xml:space="preserve"> în valoare de 122,05 mil.lei, a dus la includerea lor în mai multe DUP</w:t>
      </w:r>
      <w:r w:rsidR="00840ECB" w:rsidRPr="00720652">
        <w:rPr>
          <w:rFonts w:asciiTheme="majorHAnsi" w:eastAsia="Calibri" w:hAnsiTheme="majorHAnsi" w:cstheme="majorHAnsi"/>
          <w:iCs/>
          <w:sz w:val="24"/>
          <w:szCs w:val="24"/>
          <w:lang w:val="ro-RO"/>
        </w:rPr>
        <w:t>;</w:t>
      </w:r>
      <w:r w:rsidR="00A97AB9" w:rsidRPr="00720652">
        <w:rPr>
          <w:rFonts w:asciiTheme="majorHAnsi" w:eastAsia="Calibri" w:hAnsiTheme="majorHAnsi" w:cstheme="majorHAnsi"/>
          <w:iCs/>
          <w:sz w:val="24"/>
          <w:szCs w:val="24"/>
          <w:lang w:val="ro-RO"/>
        </w:rPr>
        <w:t xml:space="preserve"> </w:t>
      </w:r>
    </w:p>
    <w:p w14:paraId="11E78C0B" w14:textId="5E100584" w:rsidR="002B0FB6" w:rsidRPr="00720652" w:rsidRDefault="00F7751F">
      <w:pPr>
        <w:numPr>
          <w:ilvl w:val="0"/>
          <w:numId w:val="20"/>
        </w:numPr>
        <w:tabs>
          <w:tab w:val="left" w:pos="851"/>
        </w:tabs>
        <w:spacing w:after="0" w:line="276" w:lineRule="auto"/>
        <w:ind w:left="0" w:firstLine="284"/>
        <w:contextualSpacing/>
        <w:jc w:val="both"/>
        <w:rPr>
          <w:rFonts w:asciiTheme="majorHAnsi" w:eastAsia="Calibri" w:hAnsiTheme="majorHAnsi" w:cstheme="majorHAnsi"/>
          <w:b/>
          <w:iCs/>
          <w:sz w:val="24"/>
          <w:szCs w:val="24"/>
          <w:lang w:val="ro-RO"/>
        </w:rPr>
      </w:pPr>
      <w:r w:rsidRPr="00720652">
        <w:rPr>
          <w:rFonts w:asciiTheme="majorHAnsi" w:eastAsia="Times New Roman" w:hAnsiTheme="majorHAnsi" w:cstheme="majorHAnsi"/>
          <w:b/>
          <w:bCs/>
          <w:sz w:val="24"/>
          <w:szCs w:val="24"/>
          <w:lang w:val="ro-RO"/>
        </w:rPr>
        <w:t>n</w:t>
      </w:r>
      <w:r w:rsidR="005D6C72" w:rsidRPr="00720652">
        <w:rPr>
          <w:rFonts w:asciiTheme="majorHAnsi" w:eastAsia="Times New Roman" w:hAnsiTheme="majorHAnsi" w:cstheme="majorHAnsi"/>
          <w:b/>
          <w:bCs/>
          <w:sz w:val="24"/>
          <w:szCs w:val="24"/>
          <w:lang w:val="ro-RO"/>
        </w:rPr>
        <w:t>icio structură din țară nu deține informați</w:t>
      </w:r>
      <w:r w:rsidR="000001C1" w:rsidRPr="00720652">
        <w:rPr>
          <w:rFonts w:asciiTheme="majorHAnsi" w:eastAsia="Times New Roman" w:hAnsiTheme="majorHAnsi" w:cstheme="majorHAnsi"/>
          <w:b/>
          <w:bCs/>
          <w:sz w:val="24"/>
          <w:szCs w:val="24"/>
          <w:lang w:val="ro-RO"/>
        </w:rPr>
        <w:t>i</w:t>
      </w:r>
      <w:r w:rsidR="005D6C72" w:rsidRPr="00720652">
        <w:rPr>
          <w:rFonts w:asciiTheme="majorHAnsi" w:eastAsia="Times New Roman" w:hAnsiTheme="majorHAnsi" w:cstheme="majorHAnsi"/>
          <w:b/>
          <w:bCs/>
          <w:sz w:val="24"/>
          <w:szCs w:val="24"/>
          <w:lang w:val="ro-RO"/>
        </w:rPr>
        <w:t xml:space="preserve"> complet</w:t>
      </w:r>
      <w:r w:rsidR="000001C1" w:rsidRPr="00720652">
        <w:rPr>
          <w:rFonts w:asciiTheme="majorHAnsi" w:eastAsia="Times New Roman" w:hAnsiTheme="majorHAnsi" w:cstheme="majorHAnsi"/>
          <w:b/>
          <w:bCs/>
          <w:sz w:val="24"/>
          <w:szCs w:val="24"/>
          <w:lang w:val="ro-RO"/>
        </w:rPr>
        <w:t>e</w:t>
      </w:r>
      <w:r w:rsidR="005D6C72" w:rsidRPr="00720652">
        <w:rPr>
          <w:rFonts w:asciiTheme="majorHAnsi" w:eastAsia="Times New Roman" w:hAnsiTheme="majorHAnsi" w:cstheme="majorHAnsi"/>
          <w:b/>
          <w:bCs/>
          <w:sz w:val="24"/>
          <w:szCs w:val="24"/>
          <w:lang w:val="ro-RO"/>
        </w:rPr>
        <w:t xml:space="preserve"> și ampl</w:t>
      </w:r>
      <w:r w:rsidR="000001C1" w:rsidRPr="00720652">
        <w:rPr>
          <w:rFonts w:asciiTheme="majorHAnsi" w:eastAsia="Times New Roman" w:hAnsiTheme="majorHAnsi" w:cstheme="majorHAnsi"/>
          <w:b/>
          <w:bCs/>
          <w:sz w:val="24"/>
          <w:szCs w:val="24"/>
          <w:lang w:val="ro-RO"/>
        </w:rPr>
        <w:t>e</w:t>
      </w:r>
      <w:r w:rsidR="005D6C72" w:rsidRPr="00720652">
        <w:rPr>
          <w:rFonts w:asciiTheme="majorHAnsi" w:eastAsia="Times New Roman" w:hAnsiTheme="majorHAnsi" w:cstheme="majorHAnsi"/>
          <w:b/>
          <w:bCs/>
          <w:sz w:val="24"/>
          <w:szCs w:val="24"/>
          <w:lang w:val="ro-RO"/>
        </w:rPr>
        <w:t xml:space="preserve"> cu privire la </w:t>
      </w:r>
      <w:r w:rsidR="00D62F07" w:rsidRPr="00720652">
        <w:rPr>
          <w:rFonts w:asciiTheme="majorHAnsi" w:eastAsia="Times New Roman" w:hAnsiTheme="majorHAnsi" w:cstheme="majorHAnsi"/>
          <w:b/>
          <w:bCs/>
          <w:sz w:val="24"/>
          <w:szCs w:val="24"/>
          <w:lang w:val="ro-RO"/>
        </w:rPr>
        <w:t xml:space="preserve">obiectele de infrastructură </w:t>
      </w:r>
      <w:proofErr w:type="spellStart"/>
      <w:r w:rsidR="00D62F07" w:rsidRPr="00720652">
        <w:rPr>
          <w:rFonts w:asciiTheme="majorHAnsi" w:eastAsia="Times New Roman" w:hAnsiTheme="majorHAnsi" w:cstheme="majorHAnsi"/>
          <w:b/>
          <w:bCs/>
          <w:sz w:val="24"/>
          <w:szCs w:val="24"/>
          <w:lang w:val="ro-RO"/>
        </w:rPr>
        <w:t>tehnico</w:t>
      </w:r>
      <w:proofErr w:type="spellEnd"/>
      <w:r w:rsidR="00D62F07" w:rsidRPr="00720652">
        <w:rPr>
          <w:rFonts w:asciiTheme="majorHAnsi" w:eastAsia="Times New Roman" w:hAnsiTheme="majorHAnsi" w:cstheme="majorHAnsi"/>
          <w:b/>
          <w:bCs/>
          <w:sz w:val="24"/>
          <w:szCs w:val="24"/>
          <w:lang w:val="ro-RO"/>
        </w:rPr>
        <w:t xml:space="preserve">-edilitară aferente domeniului de alimentare cu apă și sanitație, </w:t>
      </w:r>
      <w:r w:rsidR="00D62F07" w:rsidRPr="00720652">
        <w:rPr>
          <w:rFonts w:asciiTheme="majorHAnsi" w:eastAsia="Times New Roman" w:hAnsiTheme="majorHAnsi" w:cstheme="majorHAnsi"/>
          <w:bCs/>
          <w:sz w:val="24"/>
          <w:szCs w:val="24"/>
          <w:lang w:val="ro-RO"/>
        </w:rPr>
        <w:t xml:space="preserve">ceea ce face imposibilă sau dificilă evaluarea situației în domeniu. Astfel, Biroul </w:t>
      </w:r>
      <w:proofErr w:type="spellStart"/>
      <w:r w:rsidR="00D62F07" w:rsidRPr="00720652">
        <w:rPr>
          <w:rFonts w:asciiTheme="majorHAnsi" w:eastAsia="Times New Roman" w:hAnsiTheme="majorHAnsi" w:cstheme="majorHAnsi"/>
          <w:bCs/>
          <w:sz w:val="24"/>
          <w:szCs w:val="24"/>
          <w:lang w:val="ro-RO"/>
        </w:rPr>
        <w:t>Naţional</w:t>
      </w:r>
      <w:proofErr w:type="spellEnd"/>
      <w:r w:rsidR="00D62F07" w:rsidRPr="00720652">
        <w:rPr>
          <w:rFonts w:asciiTheme="majorHAnsi" w:eastAsia="Times New Roman" w:hAnsiTheme="majorHAnsi" w:cstheme="majorHAnsi"/>
          <w:bCs/>
          <w:sz w:val="24"/>
          <w:szCs w:val="24"/>
          <w:lang w:val="ro-RO"/>
        </w:rPr>
        <w:t xml:space="preserve"> de Statistică (în continuare – BNS) colectează doar datele aferente sistemelor publice de alimentare cu apă și </w:t>
      </w:r>
      <w:r w:rsidR="000001C1" w:rsidRPr="00720652">
        <w:rPr>
          <w:rFonts w:asciiTheme="majorHAnsi" w:eastAsia="Times New Roman" w:hAnsiTheme="majorHAnsi" w:cstheme="majorHAnsi"/>
          <w:bCs/>
          <w:sz w:val="24"/>
          <w:szCs w:val="24"/>
          <w:lang w:val="ro-RO"/>
        </w:rPr>
        <w:t xml:space="preserve">de </w:t>
      </w:r>
      <w:r w:rsidR="00127503" w:rsidRPr="00720652">
        <w:rPr>
          <w:rFonts w:asciiTheme="majorHAnsi" w:eastAsia="Times New Roman" w:hAnsiTheme="majorHAnsi" w:cstheme="majorHAnsi"/>
          <w:bCs/>
          <w:sz w:val="24"/>
          <w:szCs w:val="24"/>
          <w:lang w:val="ro-RO"/>
        </w:rPr>
        <w:t xml:space="preserve">canalizare, iar </w:t>
      </w:r>
      <w:r w:rsidR="001F092E" w:rsidRPr="00720652">
        <w:rPr>
          <w:rFonts w:asciiTheme="majorHAnsi" w:eastAsia="Times New Roman" w:hAnsiTheme="majorHAnsi" w:cstheme="majorHAnsi"/>
          <w:bCs/>
          <w:sz w:val="24"/>
          <w:szCs w:val="24"/>
          <w:lang w:val="ro-RO"/>
        </w:rPr>
        <w:t xml:space="preserve">Inspectoratul pentru </w:t>
      </w:r>
      <w:proofErr w:type="spellStart"/>
      <w:r w:rsidR="001F092E" w:rsidRPr="00720652">
        <w:rPr>
          <w:rFonts w:asciiTheme="majorHAnsi" w:eastAsia="Times New Roman" w:hAnsiTheme="majorHAnsi" w:cstheme="majorHAnsi"/>
          <w:bCs/>
          <w:sz w:val="24"/>
          <w:szCs w:val="24"/>
          <w:lang w:val="ro-RO"/>
        </w:rPr>
        <w:t>Protecţia</w:t>
      </w:r>
      <w:proofErr w:type="spellEnd"/>
      <w:r w:rsidR="001F092E" w:rsidRPr="00720652">
        <w:rPr>
          <w:rFonts w:asciiTheme="majorHAnsi" w:eastAsia="Times New Roman" w:hAnsiTheme="majorHAnsi" w:cstheme="majorHAnsi"/>
          <w:bCs/>
          <w:sz w:val="24"/>
          <w:szCs w:val="24"/>
          <w:lang w:val="ro-RO"/>
        </w:rPr>
        <w:t xml:space="preserve"> Mediului (în continuare </w:t>
      </w:r>
      <w:r w:rsidR="000001C1" w:rsidRPr="00720652">
        <w:rPr>
          <w:rFonts w:asciiTheme="majorHAnsi" w:eastAsia="Times New Roman" w:hAnsiTheme="majorHAnsi" w:cstheme="majorHAnsi"/>
          <w:bCs/>
          <w:sz w:val="24"/>
          <w:szCs w:val="24"/>
          <w:lang w:val="ro-RO"/>
        </w:rPr>
        <w:t xml:space="preserve">– </w:t>
      </w:r>
      <w:r w:rsidR="001F092E" w:rsidRPr="00720652">
        <w:rPr>
          <w:rFonts w:asciiTheme="majorHAnsi" w:eastAsia="Times New Roman" w:hAnsiTheme="majorHAnsi" w:cstheme="majorHAnsi"/>
          <w:bCs/>
          <w:sz w:val="24"/>
          <w:szCs w:val="24"/>
          <w:lang w:val="ro-RO"/>
        </w:rPr>
        <w:t>IPM)</w:t>
      </w:r>
      <w:r w:rsidR="00127503" w:rsidRPr="00720652">
        <w:rPr>
          <w:rFonts w:asciiTheme="majorHAnsi" w:eastAsia="Times New Roman" w:hAnsiTheme="majorHAnsi" w:cstheme="majorHAnsi"/>
          <w:bCs/>
          <w:sz w:val="24"/>
          <w:szCs w:val="24"/>
          <w:lang w:val="ro-RO"/>
        </w:rPr>
        <w:t xml:space="preserve">, în anuarele sale include datele deținute de oficiile teritoriale ale acestuia, care </w:t>
      </w:r>
      <w:r w:rsidR="00B57B78" w:rsidRPr="00720652">
        <w:rPr>
          <w:rFonts w:asciiTheme="majorHAnsi" w:eastAsia="Times New Roman" w:hAnsiTheme="majorHAnsi" w:cstheme="majorHAnsi"/>
          <w:bCs/>
          <w:sz w:val="24"/>
          <w:szCs w:val="24"/>
          <w:lang w:val="ro-RO"/>
        </w:rPr>
        <w:t xml:space="preserve">conțin </w:t>
      </w:r>
      <w:r w:rsidR="00D62F07" w:rsidRPr="00720652">
        <w:rPr>
          <w:rFonts w:asciiTheme="majorHAnsi" w:eastAsia="Times New Roman" w:hAnsiTheme="majorHAnsi" w:cstheme="majorHAnsi"/>
          <w:bCs/>
          <w:sz w:val="24"/>
          <w:szCs w:val="24"/>
          <w:lang w:val="ro-RO"/>
        </w:rPr>
        <w:t>informațiile cunoscute de angajații oficiilor</w:t>
      </w:r>
      <w:r w:rsidR="00D62F07" w:rsidRPr="00720652">
        <w:rPr>
          <w:rFonts w:asciiTheme="majorHAnsi" w:eastAsia="Times New Roman" w:hAnsiTheme="majorHAnsi" w:cstheme="majorHAnsi"/>
          <w:b/>
          <w:bCs/>
          <w:sz w:val="24"/>
          <w:szCs w:val="24"/>
          <w:lang w:val="ro-RO"/>
        </w:rPr>
        <w:t>.</w:t>
      </w:r>
      <w:r w:rsidR="00D62F07" w:rsidRPr="00720652">
        <w:rPr>
          <w:rFonts w:asciiTheme="majorHAnsi" w:eastAsia="MS Mincho" w:hAnsiTheme="majorHAnsi" w:cstheme="majorHAnsi"/>
          <w:bCs/>
          <w:kern w:val="2"/>
          <w:sz w:val="24"/>
          <w:szCs w:val="24"/>
          <w:lang w:val="ro-RO"/>
        </w:rPr>
        <w:t xml:space="preserve"> </w:t>
      </w:r>
      <w:proofErr w:type="spellStart"/>
      <w:r w:rsidR="00D62F07" w:rsidRPr="00720652">
        <w:rPr>
          <w:rFonts w:asciiTheme="majorHAnsi" w:eastAsia="MS Mincho" w:hAnsiTheme="majorHAnsi" w:cstheme="majorHAnsi"/>
          <w:bCs/>
          <w:kern w:val="2"/>
          <w:sz w:val="24"/>
          <w:szCs w:val="24"/>
          <w:lang w:val="ro-RO"/>
        </w:rPr>
        <w:t>Agenţia</w:t>
      </w:r>
      <w:proofErr w:type="spellEnd"/>
      <w:r w:rsidR="00D62F07" w:rsidRPr="00720652">
        <w:rPr>
          <w:rFonts w:asciiTheme="majorHAnsi" w:eastAsia="MS Mincho" w:hAnsiTheme="majorHAnsi" w:cstheme="majorHAnsi"/>
          <w:bCs/>
          <w:kern w:val="2"/>
          <w:sz w:val="24"/>
          <w:szCs w:val="24"/>
          <w:lang w:val="ro-RO"/>
        </w:rPr>
        <w:t xml:space="preserve"> </w:t>
      </w:r>
      <w:proofErr w:type="spellStart"/>
      <w:r w:rsidR="00D62F07" w:rsidRPr="00720652">
        <w:rPr>
          <w:rFonts w:asciiTheme="majorHAnsi" w:eastAsia="MS Mincho" w:hAnsiTheme="majorHAnsi" w:cstheme="majorHAnsi"/>
          <w:bCs/>
          <w:kern w:val="2"/>
          <w:sz w:val="24"/>
          <w:szCs w:val="24"/>
          <w:lang w:val="ro-RO"/>
        </w:rPr>
        <w:t>Naţională</w:t>
      </w:r>
      <w:proofErr w:type="spellEnd"/>
      <w:r w:rsidR="00D62F07" w:rsidRPr="00720652">
        <w:rPr>
          <w:rFonts w:asciiTheme="majorHAnsi" w:eastAsia="MS Mincho" w:hAnsiTheme="majorHAnsi" w:cstheme="majorHAnsi"/>
          <w:bCs/>
          <w:kern w:val="2"/>
          <w:sz w:val="24"/>
          <w:szCs w:val="24"/>
          <w:lang w:val="ro-RO"/>
        </w:rPr>
        <w:t xml:space="preserve"> pentru Reglementare în Energetică (în continuare –</w:t>
      </w:r>
      <w:r w:rsidR="000001C1" w:rsidRPr="00720652">
        <w:rPr>
          <w:rFonts w:asciiTheme="majorHAnsi" w:eastAsia="MS Mincho" w:hAnsiTheme="majorHAnsi" w:cstheme="majorHAnsi"/>
          <w:bCs/>
          <w:kern w:val="2"/>
          <w:sz w:val="24"/>
          <w:szCs w:val="24"/>
          <w:lang w:val="ro-RO"/>
        </w:rPr>
        <w:t xml:space="preserve"> </w:t>
      </w:r>
      <w:r w:rsidR="001F092E" w:rsidRPr="00720652">
        <w:rPr>
          <w:rFonts w:asciiTheme="majorHAnsi" w:eastAsia="MS Mincho" w:hAnsiTheme="majorHAnsi" w:cstheme="majorHAnsi"/>
          <w:bCs/>
          <w:kern w:val="2"/>
          <w:sz w:val="24"/>
          <w:szCs w:val="24"/>
          <w:lang w:val="ro-RO"/>
        </w:rPr>
        <w:t>ANRE)</w:t>
      </w:r>
      <w:r w:rsidR="00840ECB" w:rsidRPr="00720652">
        <w:rPr>
          <w:rFonts w:asciiTheme="majorHAnsi" w:eastAsia="MS Mincho" w:hAnsiTheme="majorHAnsi" w:cstheme="majorHAnsi"/>
          <w:bCs/>
          <w:kern w:val="2"/>
          <w:sz w:val="24"/>
          <w:szCs w:val="24"/>
          <w:lang w:val="ro-RO"/>
        </w:rPr>
        <w:t>,</w:t>
      </w:r>
      <w:r w:rsidR="00127503" w:rsidRPr="00720652">
        <w:rPr>
          <w:rFonts w:asciiTheme="majorHAnsi" w:eastAsia="MS Mincho" w:hAnsiTheme="majorHAnsi" w:cstheme="majorHAnsi"/>
          <w:bCs/>
          <w:kern w:val="2"/>
          <w:sz w:val="24"/>
          <w:szCs w:val="24"/>
          <w:lang w:val="ro-RO"/>
        </w:rPr>
        <w:t xml:space="preserve"> prin prisma responsabilităților delegate</w:t>
      </w:r>
      <w:r w:rsidR="00840ECB" w:rsidRPr="00720652">
        <w:rPr>
          <w:rFonts w:asciiTheme="majorHAnsi" w:eastAsia="MS Mincho" w:hAnsiTheme="majorHAnsi" w:cstheme="majorHAnsi"/>
          <w:bCs/>
          <w:kern w:val="2"/>
          <w:sz w:val="24"/>
          <w:szCs w:val="24"/>
          <w:lang w:val="ro-RO"/>
        </w:rPr>
        <w:t>,</w:t>
      </w:r>
      <w:r w:rsidR="00127503" w:rsidRPr="00720652">
        <w:rPr>
          <w:rFonts w:asciiTheme="majorHAnsi" w:eastAsia="MS Mincho" w:hAnsiTheme="majorHAnsi" w:cstheme="majorHAnsi"/>
          <w:bCs/>
          <w:kern w:val="2"/>
          <w:sz w:val="24"/>
          <w:szCs w:val="24"/>
          <w:lang w:val="ro-RO"/>
        </w:rPr>
        <w:t xml:space="preserve"> colectează un set de date </w:t>
      </w:r>
      <w:r w:rsidR="00B57B78" w:rsidRPr="00720652">
        <w:rPr>
          <w:rFonts w:asciiTheme="majorHAnsi" w:eastAsia="MS Mincho" w:hAnsiTheme="majorHAnsi" w:cstheme="majorHAnsi"/>
          <w:bCs/>
          <w:kern w:val="2"/>
          <w:sz w:val="24"/>
          <w:szCs w:val="24"/>
          <w:lang w:val="ro-RO"/>
        </w:rPr>
        <w:t xml:space="preserve">numai </w:t>
      </w:r>
      <w:r w:rsidR="00127503" w:rsidRPr="00720652">
        <w:rPr>
          <w:rFonts w:asciiTheme="majorHAnsi" w:eastAsia="MS Mincho" w:hAnsiTheme="majorHAnsi" w:cstheme="majorHAnsi"/>
          <w:bCs/>
          <w:kern w:val="2"/>
          <w:sz w:val="24"/>
          <w:szCs w:val="24"/>
          <w:lang w:val="ro-RO"/>
        </w:rPr>
        <w:t>de la pre</w:t>
      </w:r>
      <w:r w:rsidR="00B72EAA" w:rsidRPr="00720652">
        <w:rPr>
          <w:rFonts w:asciiTheme="majorHAnsi" w:eastAsia="MS Mincho" w:hAnsiTheme="majorHAnsi" w:cstheme="majorHAnsi"/>
          <w:bCs/>
          <w:kern w:val="2"/>
          <w:sz w:val="24"/>
          <w:szCs w:val="24"/>
          <w:lang w:val="ro-RO"/>
        </w:rPr>
        <w:t>st</w:t>
      </w:r>
      <w:r w:rsidR="00127503" w:rsidRPr="00720652">
        <w:rPr>
          <w:rFonts w:asciiTheme="majorHAnsi" w:eastAsia="MS Mincho" w:hAnsiTheme="majorHAnsi" w:cstheme="majorHAnsi"/>
          <w:bCs/>
          <w:kern w:val="2"/>
          <w:sz w:val="24"/>
          <w:szCs w:val="24"/>
          <w:lang w:val="ro-RO"/>
        </w:rPr>
        <w:t>atorii licențiați</w:t>
      </w:r>
      <w:bookmarkStart w:id="5" w:name="_Toc131005378"/>
      <w:r w:rsidR="00840ECB" w:rsidRPr="00720652">
        <w:rPr>
          <w:rFonts w:asciiTheme="majorHAnsi" w:eastAsia="MS Mincho" w:hAnsiTheme="majorHAnsi" w:cstheme="majorHAnsi"/>
          <w:bCs/>
          <w:kern w:val="2"/>
          <w:sz w:val="24"/>
          <w:szCs w:val="24"/>
          <w:lang w:val="ro-RO"/>
        </w:rPr>
        <w:t>;</w:t>
      </w:r>
    </w:p>
    <w:p w14:paraId="7AF43684" w14:textId="77777777" w:rsidR="00127503" w:rsidRPr="00720652" w:rsidRDefault="00B57B78" w:rsidP="001F092E">
      <w:pPr>
        <w:pStyle w:val="af3"/>
        <w:widowControl w:val="0"/>
        <w:numPr>
          <w:ilvl w:val="2"/>
          <w:numId w:val="31"/>
        </w:numPr>
        <w:autoSpaceDE w:val="0"/>
        <w:autoSpaceDN w:val="0"/>
        <w:spacing w:after="0" w:line="276" w:lineRule="auto"/>
        <w:ind w:left="0" w:firstLine="426"/>
        <w:jc w:val="both"/>
        <w:outlineLvl w:val="0"/>
        <w:rPr>
          <w:rFonts w:asciiTheme="majorHAnsi" w:hAnsiTheme="majorHAnsi" w:cstheme="majorHAnsi"/>
          <w:b/>
          <w:sz w:val="24"/>
          <w:szCs w:val="24"/>
          <w:lang w:val="ro-RO"/>
        </w:rPr>
      </w:pPr>
      <w:r w:rsidRPr="00720652">
        <w:rPr>
          <w:rFonts w:asciiTheme="majorHAnsi" w:hAnsiTheme="majorHAnsi" w:cstheme="majorHAnsi"/>
          <w:b/>
          <w:sz w:val="24"/>
          <w:szCs w:val="24"/>
          <w:lang w:val="ro-RO"/>
        </w:rPr>
        <w:t>n</w:t>
      </w:r>
      <w:r w:rsidR="00127503" w:rsidRPr="00720652">
        <w:rPr>
          <w:rFonts w:asciiTheme="majorHAnsi" w:hAnsiTheme="majorHAnsi" w:cstheme="majorHAnsi"/>
          <w:b/>
          <w:sz w:val="24"/>
          <w:szCs w:val="24"/>
          <w:lang w:val="ro-RO"/>
        </w:rPr>
        <w:t>u toate stații</w:t>
      </w:r>
      <w:r w:rsidR="00840ECB" w:rsidRPr="00720652">
        <w:rPr>
          <w:rFonts w:asciiTheme="majorHAnsi" w:hAnsiTheme="majorHAnsi" w:cstheme="majorHAnsi"/>
          <w:b/>
          <w:sz w:val="24"/>
          <w:szCs w:val="24"/>
          <w:lang w:val="ro-RO"/>
        </w:rPr>
        <w:t>le</w:t>
      </w:r>
      <w:r w:rsidR="00127503" w:rsidRPr="00720652">
        <w:rPr>
          <w:rFonts w:asciiTheme="majorHAnsi" w:hAnsiTheme="majorHAnsi" w:cstheme="majorHAnsi"/>
          <w:b/>
          <w:sz w:val="24"/>
          <w:szCs w:val="24"/>
          <w:lang w:val="ro-RO"/>
        </w:rPr>
        <w:t xml:space="preserve"> de epurare dispun de documentația de proiect și </w:t>
      </w:r>
      <w:r w:rsidR="00840ECB" w:rsidRPr="00720652">
        <w:rPr>
          <w:rFonts w:asciiTheme="majorHAnsi" w:hAnsiTheme="majorHAnsi" w:cstheme="majorHAnsi"/>
          <w:b/>
          <w:sz w:val="24"/>
          <w:szCs w:val="24"/>
          <w:lang w:val="ro-RO"/>
        </w:rPr>
        <w:t>de</w:t>
      </w:r>
      <w:r w:rsidR="00127503" w:rsidRPr="00720652">
        <w:rPr>
          <w:rFonts w:asciiTheme="majorHAnsi" w:hAnsiTheme="majorHAnsi" w:cstheme="majorHAnsi"/>
          <w:b/>
          <w:sz w:val="24"/>
          <w:szCs w:val="24"/>
          <w:lang w:val="ro-RO"/>
        </w:rPr>
        <w:t xml:space="preserve"> avizele </w:t>
      </w:r>
      <w:r w:rsidR="001F092E" w:rsidRPr="00720652">
        <w:rPr>
          <w:rFonts w:asciiTheme="majorHAnsi" w:hAnsiTheme="majorHAnsi" w:cstheme="majorHAnsi"/>
          <w:b/>
          <w:sz w:val="24"/>
          <w:szCs w:val="24"/>
          <w:lang w:val="ro-RO"/>
        </w:rPr>
        <w:t>IPM</w:t>
      </w:r>
      <w:r w:rsidR="00127503" w:rsidRPr="00720652">
        <w:rPr>
          <w:rFonts w:asciiTheme="majorHAnsi" w:hAnsiTheme="majorHAnsi" w:cstheme="majorHAnsi"/>
          <w:b/>
          <w:sz w:val="24"/>
          <w:szCs w:val="24"/>
          <w:lang w:val="ro-RO"/>
        </w:rPr>
        <w:t xml:space="preserve"> și corespund Normativului </w:t>
      </w:r>
      <w:r w:rsidR="00AE381C" w:rsidRPr="00720652">
        <w:rPr>
          <w:rFonts w:asciiTheme="majorHAnsi" w:hAnsiTheme="majorHAnsi" w:cstheme="majorHAnsi"/>
          <w:b/>
          <w:sz w:val="24"/>
          <w:szCs w:val="24"/>
          <w:lang w:val="ro-RO"/>
        </w:rPr>
        <w:t>Deversării Limitat Accesibile</w:t>
      </w:r>
      <w:r w:rsidR="00127503" w:rsidRPr="00720652">
        <w:rPr>
          <w:rFonts w:asciiTheme="majorHAnsi" w:hAnsiTheme="majorHAnsi" w:cstheme="majorHAnsi"/>
          <w:b/>
          <w:sz w:val="24"/>
          <w:szCs w:val="24"/>
          <w:lang w:val="ro-RO"/>
        </w:rPr>
        <w:t>/</w:t>
      </w:r>
      <w:r w:rsidR="00AE381C" w:rsidRPr="00720652">
        <w:rPr>
          <w:rFonts w:asciiTheme="majorHAnsi" w:hAnsiTheme="majorHAnsi" w:cstheme="majorHAnsi"/>
          <w:b/>
          <w:sz w:val="24"/>
          <w:szCs w:val="24"/>
          <w:lang w:val="ro-RO"/>
        </w:rPr>
        <w:t>Concentrației maxim admisibile</w:t>
      </w:r>
      <w:bookmarkEnd w:id="5"/>
      <w:r w:rsidR="00127503" w:rsidRPr="00720652">
        <w:rPr>
          <w:rFonts w:asciiTheme="majorHAnsi" w:hAnsiTheme="majorHAnsi" w:cstheme="majorHAnsi"/>
          <w:b/>
          <w:sz w:val="24"/>
          <w:szCs w:val="24"/>
          <w:lang w:val="ro-RO"/>
        </w:rPr>
        <w:t xml:space="preserve">. </w:t>
      </w:r>
      <w:r w:rsidR="00127503" w:rsidRPr="00720652">
        <w:rPr>
          <w:rFonts w:asciiTheme="majorHAnsi" w:hAnsiTheme="majorHAnsi" w:cstheme="majorHAnsi"/>
          <w:sz w:val="24"/>
          <w:szCs w:val="24"/>
          <w:lang w:val="ro-RO"/>
        </w:rPr>
        <w:t>Astfel,</w:t>
      </w:r>
      <w:r w:rsidR="00127503" w:rsidRPr="00720652">
        <w:rPr>
          <w:rFonts w:asciiTheme="majorHAnsi" w:hAnsiTheme="majorHAnsi" w:cstheme="majorHAnsi"/>
          <w:b/>
          <w:sz w:val="24"/>
          <w:szCs w:val="24"/>
          <w:lang w:val="ro-RO"/>
        </w:rPr>
        <w:t xml:space="preserve"> </w:t>
      </w:r>
      <w:r w:rsidR="004B19AF" w:rsidRPr="00720652">
        <w:rPr>
          <w:rFonts w:asciiTheme="majorHAnsi" w:eastAsia="Times New Roman" w:hAnsiTheme="majorHAnsi" w:cstheme="majorHAnsi"/>
          <w:bCs/>
          <w:sz w:val="24"/>
          <w:szCs w:val="24"/>
          <w:lang w:val="ro-RO"/>
        </w:rPr>
        <w:t>conform datelor IPM, din totalul de 270 de stații de epurare a apelor uzate existente la finele anului 2021, doar 117</w:t>
      </w:r>
      <w:r w:rsidR="00840ECB"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43,3%</w:t>
      </w:r>
      <w:r w:rsidR="00840ECB"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dispun</w:t>
      </w:r>
      <w:r w:rsidRPr="00720652">
        <w:rPr>
          <w:rFonts w:asciiTheme="majorHAnsi" w:eastAsia="Times New Roman" w:hAnsiTheme="majorHAnsi" w:cstheme="majorHAnsi"/>
          <w:bCs/>
          <w:sz w:val="24"/>
          <w:szCs w:val="24"/>
          <w:lang w:val="ro-RO"/>
        </w:rPr>
        <w:t>eau</w:t>
      </w:r>
      <w:r w:rsidR="004B19AF" w:rsidRPr="00720652">
        <w:rPr>
          <w:rFonts w:asciiTheme="majorHAnsi" w:eastAsia="Times New Roman" w:hAnsiTheme="majorHAnsi" w:cstheme="majorHAnsi"/>
          <w:bCs/>
          <w:sz w:val="24"/>
          <w:szCs w:val="24"/>
          <w:lang w:val="ro-RO"/>
        </w:rPr>
        <w:t xml:space="preserve"> de documentația de proiect și </w:t>
      </w:r>
      <w:r w:rsidR="00840ECB" w:rsidRPr="00720652">
        <w:rPr>
          <w:rFonts w:asciiTheme="majorHAnsi" w:eastAsia="Times New Roman" w:hAnsiTheme="majorHAnsi" w:cstheme="majorHAnsi"/>
          <w:bCs/>
          <w:sz w:val="24"/>
          <w:szCs w:val="24"/>
          <w:lang w:val="ro-RO"/>
        </w:rPr>
        <w:t>de</w:t>
      </w:r>
      <w:r w:rsidR="004B19AF" w:rsidRPr="00720652">
        <w:rPr>
          <w:rFonts w:asciiTheme="majorHAnsi" w:eastAsia="Times New Roman" w:hAnsiTheme="majorHAnsi" w:cstheme="majorHAnsi"/>
          <w:bCs/>
          <w:sz w:val="24"/>
          <w:szCs w:val="24"/>
          <w:lang w:val="ro-RO"/>
        </w:rPr>
        <w:t xml:space="preserve"> avizele </w:t>
      </w:r>
      <w:r w:rsidR="00DC6483" w:rsidRPr="00720652">
        <w:rPr>
          <w:rFonts w:asciiTheme="majorHAnsi" w:eastAsia="Times New Roman" w:hAnsiTheme="majorHAnsi" w:cstheme="majorHAnsi"/>
          <w:bCs/>
          <w:sz w:val="24"/>
          <w:szCs w:val="24"/>
          <w:lang w:val="ro-RO"/>
        </w:rPr>
        <w:t>IPM</w:t>
      </w:r>
      <w:r w:rsidR="004B19AF" w:rsidRPr="00720652">
        <w:rPr>
          <w:rFonts w:asciiTheme="majorHAnsi" w:eastAsia="Times New Roman" w:hAnsiTheme="majorHAnsi" w:cstheme="majorHAnsi"/>
          <w:bCs/>
          <w:sz w:val="24"/>
          <w:szCs w:val="24"/>
          <w:lang w:val="ro-RO"/>
        </w:rPr>
        <w:t>, iar 101</w:t>
      </w:r>
      <w:r w:rsidR="00840ECB"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37,4%</w:t>
      </w:r>
      <w:r w:rsidR="00840ECB"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corespund</w:t>
      </w:r>
      <w:r w:rsidRPr="00720652">
        <w:rPr>
          <w:rFonts w:asciiTheme="majorHAnsi" w:eastAsia="Times New Roman" w:hAnsiTheme="majorHAnsi" w:cstheme="majorHAnsi"/>
          <w:bCs/>
          <w:sz w:val="24"/>
          <w:szCs w:val="24"/>
          <w:lang w:val="ro-RO"/>
        </w:rPr>
        <w:t>eau</w:t>
      </w:r>
      <w:r w:rsidR="004B19AF" w:rsidRPr="00720652">
        <w:rPr>
          <w:rFonts w:asciiTheme="majorHAnsi" w:eastAsia="Times New Roman" w:hAnsiTheme="majorHAnsi" w:cstheme="majorHAnsi"/>
          <w:bCs/>
          <w:sz w:val="24"/>
          <w:szCs w:val="24"/>
          <w:lang w:val="ro-RO"/>
        </w:rPr>
        <w:t xml:space="preserve"> Normativului </w:t>
      </w:r>
      <w:r w:rsidR="00DC6483" w:rsidRPr="00720652">
        <w:rPr>
          <w:rFonts w:asciiTheme="majorHAnsi" w:eastAsia="Times New Roman" w:hAnsiTheme="majorHAnsi" w:cstheme="majorHAnsi"/>
          <w:bCs/>
          <w:sz w:val="24"/>
          <w:szCs w:val="24"/>
          <w:lang w:val="ro-RO"/>
        </w:rPr>
        <w:t>Deversării Limitat Accesibile/Concentrației maxim admisibile</w:t>
      </w:r>
      <w:r w:rsidR="00214F7E" w:rsidRPr="00720652">
        <w:rPr>
          <w:rFonts w:asciiTheme="majorHAnsi" w:eastAsia="Times New Roman" w:hAnsiTheme="majorHAnsi" w:cstheme="majorHAnsi"/>
          <w:bCs/>
          <w:sz w:val="24"/>
          <w:szCs w:val="24"/>
          <w:lang w:val="ro-RO"/>
        </w:rPr>
        <w:t>;</w:t>
      </w:r>
    </w:p>
    <w:p w14:paraId="7A0E1DDC" w14:textId="77777777" w:rsidR="0030333E" w:rsidRPr="00720652" w:rsidRDefault="003E4227" w:rsidP="00B72EAA">
      <w:pPr>
        <w:pStyle w:val="af3"/>
        <w:widowControl w:val="0"/>
        <w:numPr>
          <w:ilvl w:val="2"/>
          <w:numId w:val="31"/>
        </w:numPr>
        <w:autoSpaceDE w:val="0"/>
        <w:autoSpaceDN w:val="0"/>
        <w:spacing w:after="0" w:line="276" w:lineRule="auto"/>
        <w:ind w:left="0" w:firstLine="426"/>
        <w:jc w:val="both"/>
        <w:outlineLvl w:val="0"/>
        <w:rPr>
          <w:rFonts w:asciiTheme="majorHAnsi" w:hAnsiTheme="majorHAnsi" w:cstheme="majorHAnsi"/>
          <w:sz w:val="24"/>
          <w:szCs w:val="24"/>
          <w:lang w:val="ro-RO"/>
        </w:rPr>
      </w:pPr>
      <w:bookmarkStart w:id="6" w:name="_Toc131005379"/>
      <w:r w:rsidRPr="00720652">
        <w:rPr>
          <w:rFonts w:asciiTheme="majorHAnsi" w:hAnsiTheme="majorHAnsi" w:cstheme="majorHAnsi"/>
          <w:b/>
          <w:sz w:val="24"/>
          <w:szCs w:val="24"/>
          <w:lang w:val="ro-RO"/>
        </w:rPr>
        <w:t>o</w:t>
      </w:r>
      <w:r w:rsidR="00214F7E" w:rsidRPr="00720652">
        <w:rPr>
          <w:rFonts w:asciiTheme="majorHAnsi" w:hAnsiTheme="majorHAnsi" w:cstheme="majorHAnsi"/>
          <w:b/>
          <w:sz w:val="24"/>
          <w:szCs w:val="24"/>
          <w:lang w:val="ro-RO"/>
        </w:rPr>
        <w:t xml:space="preserve"> m</w:t>
      </w:r>
      <w:r w:rsidR="004B19AF" w:rsidRPr="00720652">
        <w:rPr>
          <w:rFonts w:asciiTheme="majorHAnsi" w:hAnsiTheme="majorHAnsi" w:cstheme="majorHAnsi"/>
          <w:b/>
          <w:sz w:val="24"/>
          <w:szCs w:val="24"/>
          <w:lang w:val="ro-RO"/>
        </w:rPr>
        <w:t xml:space="preserve">are parte a stațiilor de epurare a apelor uzate nu asigură epurarea la nivel </w:t>
      </w:r>
      <w:bookmarkEnd w:id="6"/>
      <w:r w:rsidR="004B19AF" w:rsidRPr="00720652">
        <w:rPr>
          <w:rFonts w:asciiTheme="majorHAnsi" w:hAnsiTheme="majorHAnsi" w:cstheme="majorHAnsi"/>
          <w:b/>
          <w:sz w:val="24"/>
          <w:szCs w:val="24"/>
          <w:lang w:val="ro-RO"/>
        </w:rPr>
        <w:t xml:space="preserve">normativ. </w:t>
      </w:r>
      <w:r w:rsidR="004B19AF" w:rsidRPr="00720652">
        <w:rPr>
          <w:rFonts w:asciiTheme="majorHAnsi" w:eastAsia="Times New Roman" w:hAnsiTheme="majorHAnsi" w:cstheme="majorHAnsi"/>
          <w:bCs/>
          <w:sz w:val="24"/>
          <w:szCs w:val="24"/>
          <w:lang w:val="ro-RO"/>
        </w:rPr>
        <w:t>Din totalul celor 209 stații de epurare a apelor uzate funcționale, doar 29</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13,9%</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funcționează cu epurare normativă, 160 de stații</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76,5%</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funcționează cu epurare insuficientă</w:t>
      </w:r>
      <w:r w:rsidR="004B19AF" w:rsidRPr="00720652">
        <w:rPr>
          <w:rFonts w:asciiTheme="majorHAnsi" w:eastAsia="Times New Roman" w:hAnsiTheme="majorHAnsi" w:cstheme="majorHAnsi"/>
          <w:bCs/>
          <w:sz w:val="24"/>
          <w:szCs w:val="24"/>
          <w:vertAlign w:val="superscript"/>
          <w:lang w:val="ro-RO"/>
        </w:rPr>
        <w:footnoteReference w:id="11"/>
      </w:r>
      <w:r w:rsidR="004B19AF" w:rsidRPr="00720652">
        <w:rPr>
          <w:rFonts w:asciiTheme="majorHAnsi" w:eastAsia="Times New Roman" w:hAnsiTheme="majorHAnsi" w:cstheme="majorHAnsi"/>
          <w:bCs/>
          <w:sz w:val="24"/>
          <w:szCs w:val="24"/>
          <w:lang w:val="ro-RO"/>
        </w:rPr>
        <w:t xml:space="preserve"> și 19 stații </w:t>
      </w:r>
    </w:p>
    <w:p w14:paraId="2FE2838A" w14:textId="77777777" w:rsidR="0030333E" w:rsidRPr="00720652" w:rsidRDefault="0030333E" w:rsidP="0030333E">
      <w:pPr>
        <w:pStyle w:val="af3"/>
        <w:widowControl w:val="0"/>
        <w:autoSpaceDE w:val="0"/>
        <w:autoSpaceDN w:val="0"/>
        <w:spacing w:after="0" w:line="276" w:lineRule="auto"/>
        <w:ind w:left="426"/>
        <w:jc w:val="both"/>
        <w:outlineLvl w:val="0"/>
        <w:rPr>
          <w:rFonts w:asciiTheme="majorHAnsi" w:hAnsiTheme="majorHAnsi" w:cstheme="majorHAnsi"/>
          <w:b/>
          <w:sz w:val="24"/>
          <w:szCs w:val="24"/>
          <w:lang w:val="ro-RO"/>
        </w:rPr>
      </w:pPr>
    </w:p>
    <w:p w14:paraId="05DC72D2" w14:textId="3F0EA526" w:rsidR="004B19AF" w:rsidRPr="00720652" w:rsidRDefault="004B19AF" w:rsidP="0030333E">
      <w:pPr>
        <w:pStyle w:val="af3"/>
        <w:widowControl w:val="0"/>
        <w:tabs>
          <w:tab w:val="left" w:pos="426"/>
        </w:tabs>
        <w:autoSpaceDE w:val="0"/>
        <w:autoSpaceDN w:val="0"/>
        <w:spacing w:after="0" w:line="276" w:lineRule="auto"/>
        <w:ind w:left="426" w:hanging="426"/>
        <w:jc w:val="both"/>
        <w:outlineLvl w:val="0"/>
        <w:rPr>
          <w:rFonts w:asciiTheme="majorHAnsi" w:hAnsiTheme="majorHAnsi" w:cstheme="majorHAnsi"/>
          <w:sz w:val="24"/>
          <w:szCs w:val="24"/>
          <w:lang w:val="ro-RO"/>
        </w:rPr>
      </w:pPr>
      <w:r w:rsidRPr="00720652">
        <w:rPr>
          <w:rFonts w:asciiTheme="majorHAnsi" w:eastAsia="Times New Roman" w:hAnsiTheme="majorHAnsi" w:cstheme="majorHAnsi"/>
          <w:bCs/>
          <w:sz w:val="24"/>
          <w:szCs w:val="24"/>
          <w:lang w:val="ro-RO"/>
        </w:rPr>
        <w:t>funcționează cu epurare parțială</w:t>
      </w:r>
      <w:r w:rsidR="00214F7E" w:rsidRPr="00720652">
        <w:rPr>
          <w:rFonts w:asciiTheme="majorHAnsi" w:eastAsia="Times New Roman" w:hAnsiTheme="majorHAnsi" w:cstheme="majorHAnsi"/>
          <w:bCs/>
          <w:sz w:val="24"/>
          <w:szCs w:val="24"/>
          <w:lang w:val="ro-RO"/>
        </w:rPr>
        <w:t>;</w:t>
      </w:r>
    </w:p>
    <w:p w14:paraId="752DA858" w14:textId="77777777" w:rsidR="0066438A" w:rsidRPr="00720652" w:rsidRDefault="003E4227" w:rsidP="0066438A">
      <w:pPr>
        <w:pStyle w:val="af3"/>
        <w:widowControl w:val="0"/>
        <w:numPr>
          <w:ilvl w:val="0"/>
          <w:numId w:val="31"/>
        </w:numPr>
        <w:autoSpaceDE w:val="0"/>
        <w:autoSpaceDN w:val="0"/>
        <w:spacing w:after="0" w:line="276" w:lineRule="auto"/>
        <w:ind w:left="0" w:firstLine="426"/>
        <w:jc w:val="both"/>
        <w:rPr>
          <w:rFonts w:asciiTheme="majorHAnsi" w:eastAsia="Times New Roman" w:hAnsiTheme="majorHAnsi" w:cstheme="majorHAnsi"/>
          <w:bCs/>
          <w:sz w:val="24"/>
          <w:szCs w:val="24"/>
          <w:lang w:val="ro-RO"/>
        </w:rPr>
      </w:pPr>
      <w:bookmarkStart w:id="7" w:name="_Toc131005380"/>
      <w:r w:rsidRPr="00720652">
        <w:rPr>
          <w:rFonts w:asciiTheme="majorHAnsi" w:hAnsiTheme="majorHAnsi" w:cstheme="majorHAnsi"/>
          <w:b/>
          <w:sz w:val="24"/>
          <w:szCs w:val="24"/>
          <w:lang w:val="ro-RO"/>
        </w:rPr>
        <w:t>o</w:t>
      </w:r>
      <w:r w:rsidR="00214F7E" w:rsidRPr="00720652">
        <w:rPr>
          <w:rFonts w:asciiTheme="majorHAnsi" w:hAnsiTheme="majorHAnsi" w:cstheme="majorHAnsi"/>
          <w:b/>
          <w:sz w:val="24"/>
          <w:szCs w:val="24"/>
          <w:lang w:val="ro-RO"/>
        </w:rPr>
        <w:t xml:space="preserve"> m</w:t>
      </w:r>
      <w:r w:rsidR="004B19AF" w:rsidRPr="00720652">
        <w:rPr>
          <w:rFonts w:asciiTheme="majorHAnsi" w:hAnsiTheme="majorHAnsi" w:cstheme="majorHAnsi"/>
          <w:b/>
          <w:sz w:val="24"/>
          <w:szCs w:val="24"/>
          <w:lang w:val="ro-RO"/>
        </w:rPr>
        <w:t>are parte a stațiilor de epurare a apelor uzate și a sondelor exploatate funcționează în lipsa autorizațiilor de mediu de folosință specială a apei</w:t>
      </w:r>
      <w:bookmarkEnd w:id="7"/>
      <w:r w:rsidR="004B19AF" w:rsidRPr="00720652">
        <w:rPr>
          <w:rFonts w:asciiTheme="majorHAnsi" w:hAnsiTheme="majorHAnsi" w:cstheme="majorHAnsi"/>
          <w:b/>
          <w:sz w:val="24"/>
          <w:szCs w:val="24"/>
          <w:lang w:val="ro-RO"/>
        </w:rPr>
        <w:t xml:space="preserve">. </w:t>
      </w:r>
      <w:r w:rsidR="00B72EAA" w:rsidRPr="00720652">
        <w:rPr>
          <w:rFonts w:asciiTheme="majorHAnsi" w:eastAsia="Times New Roman" w:hAnsiTheme="majorHAnsi" w:cstheme="majorHAnsi"/>
          <w:bCs/>
          <w:sz w:val="24"/>
          <w:szCs w:val="24"/>
          <w:lang w:val="ro-RO"/>
        </w:rPr>
        <w:t>M</w:t>
      </w:r>
      <w:r w:rsidR="004B19AF" w:rsidRPr="00720652">
        <w:rPr>
          <w:rFonts w:asciiTheme="majorHAnsi" w:eastAsia="Times New Roman" w:hAnsiTheme="majorHAnsi" w:cstheme="majorHAnsi"/>
          <w:bCs/>
          <w:sz w:val="24"/>
          <w:szCs w:val="24"/>
          <w:lang w:val="ro-RO"/>
        </w:rPr>
        <w:t>are</w:t>
      </w:r>
      <w:r w:rsidR="00214F7E" w:rsidRPr="00720652">
        <w:rPr>
          <w:rFonts w:asciiTheme="majorHAnsi" w:eastAsia="Times New Roman" w:hAnsiTheme="majorHAnsi" w:cstheme="majorHAnsi"/>
          <w:bCs/>
          <w:sz w:val="24"/>
          <w:szCs w:val="24"/>
          <w:lang w:val="ro-RO"/>
        </w:rPr>
        <w:t>a</w:t>
      </w:r>
      <w:r w:rsidR="004B19AF" w:rsidRPr="00720652">
        <w:rPr>
          <w:rFonts w:asciiTheme="majorHAnsi" w:eastAsia="Times New Roman" w:hAnsiTheme="majorHAnsi" w:cstheme="majorHAnsi"/>
          <w:bCs/>
          <w:sz w:val="24"/>
          <w:szCs w:val="24"/>
          <w:lang w:val="ro-RO"/>
        </w:rPr>
        <w:t xml:space="preserve"> parte </w:t>
      </w:r>
      <w:r w:rsidR="00214F7E" w:rsidRPr="00720652">
        <w:rPr>
          <w:rFonts w:asciiTheme="majorHAnsi" w:eastAsia="Times New Roman" w:hAnsiTheme="majorHAnsi" w:cstheme="majorHAnsi"/>
          <w:bCs/>
          <w:sz w:val="24"/>
          <w:szCs w:val="24"/>
          <w:lang w:val="ro-RO"/>
        </w:rPr>
        <w:t xml:space="preserve">a </w:t>
      </w:r>
      <w:r w:rsidR="004B19AF" w:rsidRPr="00720652">
        <w:rPr>
          <w:rFonts w:asciiTheme="majorHAnsi" w:eastAsia="Times New Roman" w:hAnsiTheme="majorHAnsi" w:cstheme="majorHAnsi"/>
          <w:bCs/>
          <w:sz w:val="24"/>
          <w:szCs w:val="24"/>
          <w:lang w:val="ro-RO"/>
        </w:rPr>
        <w:t>operatori</w:t>
      </w:r>
      <w:r w:rsidR="00214F7E" w:rsidRPr="00720652">
        <w:rPr>
          <w:rFonts w:asciiTheme="majorHAnsi" w:eastAsia="Times New Roman" w:hAnsiTheme="majorHAnsi" w:cstheme="majorHAnsi"/>
          <w:bCs/>
          <w:sz w:val="24"/>
          <w:szCs w:val="24"/>
          <w:lang w:val="ro-RO"/>
        </w:rPr>
        <w:t>lor</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de</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servicii</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publice</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de</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alimentare</w:t>
      </w:r>
      <w:r w:rsidR="004B19AF" w:rsidRPr="00720652">
        <w:rPr>
          <w:rFonts w:asciiTheme="majorHAnsi" w:eastAsia="Times New Roman" w:hAnsiTheme="majorHAnsi" w:cstheme="majorHAnsi"/>
          <w:bCs/>
          <w:spacing w:val="8"/>
          <w:sz w:val="24"/>
          <w:szCs w:val="24"/>
          <w:lang w:val="ro-RO"/>
        </w:rPr>
        <w:t xml:space="preserve"> </w:t>
      </w:r>
      <w:r w:rsidR="004B19AF" w:rsidRPr="00720652">
        <w:rPr>
          <w:rFonts w:asciiTheme="majorHAnsi" w:eastAsia="Times New Roman" w:hAnsiTheme="majorHAnsi" w:cstheme="majorHAnsi"/>
          <w:bCs/>
          <w:sz w:val="24"/>
          <w:szCs w:val="24"/>
          <w:lang w:val="ro-RO"/>
        </w:rPr>
        <w:t>cu</w:t>
      </w:r>
      <w:r w:rsidR="004B19AF" w:rsidRPr="00720652">
        <w:rPr>
          <w:rFonts w:asciiTheme="majorHAnsi" w:eastAsia="Times New Roman" w:hAnsiTheme="majorHAnsi" w:cstheme="majorHAnsi"/>
          <w:bCs/>
          <w:spacing w:val="9"/>
          <w:sz w:val="24"/>
          <w:szCs w:val="24"/>
          <w:lang w:val="ro-RO"/>
        </w:rPr>
        <w:t xml:space="preserve"> </w:t>
      </w:r>
      <w:r w:rsidR="004B19AF" w:rsidRPr="00720652">
        <w:rPr>
          <w:rFonts w:asciiTheme="majorHAnsi" w:eastAsia="Times New Roman" w:hAnsiTheme="majorHAnsi" w:cstheme="majorHAnsi"/>
          <w:bCs/>
          <w:sz w:val="24"/>
          <w:szCs w:val="24"/>
          <w:lang w:val="ro-RO"/>
        </w:rPr>
        <w:t>apă</w:t>
      </w:r>
      <w:r w:rsidR="004B19AF" w:rsidRPr="00720652">
        <w:rPr>
          <w:rFonts w:asciiTheme="majorHAnsi" w:eastAsia="Times New Roman" w:hAnsiTheme="majorHAnsi" w:cstheme="majorHAnsi"/>
          <w:bCs/>
          <w:spacing w:val="9"/>
          <w:sz w:val="24"/>
          <w:szCs w:val="24"/>
          <w:lang w:val="ro-RO"/>
        </w:rPr>
        <w:t xml:space="preserve"> </w:t>
      </w:r>
      <w:proofErr w:type="spellStart"/>
      <w:r w:rsidR="004B19AF" w:rsidRPr="00720652">
        <w:rPr>
          <w:rFonts w:asciiTheme="majorHAnsi" w:eastAsia="Times New Roman" w:hAnsiTheme="majorHAnsi" w:cstheme="majorHAnsi"/>
          <w:bCs/>
          <w:sz w:val="24"/>
          <w:szCs w:val="24"/>
          <w:lang w:val="ro-RO"/>
        </w:rPr>
        <w:t>şi</w:t>
      </w:r>
      <w:proofErr w:type="spellEnd"/>
      <w:r w:rsidR="004B19AF" w:rsidRPr="00720652">
        <w:rPr>
          <w:rFonts w:asciiTheme="majorHAnsi" w:eastAsia="Times New Roman" w:hAnsiTheme="majorHAnsi" w:cstheme="majorHAnsi"/>
          <w:bCs/>
          <w:spacing w:val="10"/>
          <w:sz w:val="24"/>
          <w:szCs w:val="24"/>
          <w:lang w:val="ro-RO"/>
        </w:rPr>
        <w:t xml:space="preserve"> </w:t>
      </w:r>
      <w:r w:rsidR="00986374" w:rsidRPr="00720652">
        <w:rPr>
          <w:rFonts w:asciiTheme="majorHAnsi" w:eastAsia="Times New Roman" w:hAnsiTheme="majorHAnsi" w:cstheme="majorHAnsi"/>
          <w:bCs/>
          <w:spacing w:val="10"/>
          <w:sz w:val="24"/>
          <w:szCs w:val="24"/>
          <w:lang w:val="ro-RO"/>
        </w:rPr>
        <w:t xml:space="preserve">de </w:t>
      </w:r>
      <w:r w:rsidR="004B19AF" w:rsidRPr="00720652">
        <w:rPr>
          <w:rFonts w:asciiTheme="majorHAnsi" w:eastAsia="Times New Roman" w:hAnsiTheme="majorHAnsi" w:cstheme="majorHAnsi"/>
          <w:bCs/>
          <w:sz w:val="24"/>
          <w:szCs w:val="24"/>
          <w:lang w:val="ro-RO"/>
        </w:rPr>
        <w:t>canalizare</w:t>
      </w:r>
      <w:r w:rsidR="004B19AF" w:rsidRPr="00720652">
        <w:rPr>
          <w:rFonts w:asciiTheme="majorHAnsi" w:eastAsia="Times New Roman" w:hAnsiTheme="majorHAnsi" w:cstheme="majorHAnsi"/>
          <w:bCs/>
          <w:spacing w:val="8"/>
          <w:sz w:val="24"/>
          <w:szCs w:val="24"/>
          <w:lang w:val="ro-RO"/>
        </w:rPr>
        <w:t xml:space="preserve"> </w:t>
      </w:r>
      <w:r w:rsidR="004B19AF" w:rsidRPr="00720652">
        <w:rPr>
          <w:rFonts w:asciiTheme="majorHAnsi" w:eastAsia="Times New Roman" w:hAnsiTheme="majorHAnsi" w:cstheme="majorHAnsi"/>
          <w:bCs/>
          <w:sz w:val="24"/>
          <w:szCs w:val="24"/>
          <w:lang w:val="ro-RO"/>
        </w:rPr>
        <w:t>activează</w:t>
      </w:r>
      <w:r w:rsidR="004B19AF" w:rsidRPr="00720652">
        <w:rPr>
          <w:rFonts w:asciiTheme="majorHAnsi" w:eastAsia="Times New Roman" w:hAnsiTheme="majorHAnsi" w:cstheme="majorHAnsi"/>
          <w:bCs/>
          <w:spacing w:val="9"/>
          <w:sz w:val="24"/>
          <w:szCs w:val="24"/>
          <w:lang w:val="ro-RO"/>
        </w:rPr>
        <w:t xml:space="preserve"> </w:t>
      </w:r>
      <w:r w:rsidR="004B19AF" w:rsidRPr="00720652">
        <w:rPr>
          <w:rFonts w:asciiTheme="majorHAnsi" w:eastAsia="Times New Roman" w:hAnsiTheme="majorHAnsi" w:cstheme="majorHAnsi"/>
          <w:bCs/>
          <w:sz w:val="24"/>
          <w:szCs w:val="24"/>
          <w:lang w:val="ro-RO"/>
        </w:rPr>
        <w:t>în</w:t>
      </w:r>
      <w:r w:rsidR="004B19AF" w:rsidRPr="00720652">
        <w:rPr>
          <w:rFonts w:asciiTheme="majorHAnsi" w:eastAsia="Times New Roman" w:hAnsiTheme="majorHAnsi" w:cstheme="majorHAnsi"/>
          <w:bCs/>
          <w:spacing w:val="10"/>
          <w:sz w:val="24"/>
          <w:szCs w:val="24"/>
          <w:lang w:val="ro-RO"/>
        </w:rPr>
        <w:t xml:space="preserve"> </w:t>
      </w:r>
      <w:r w:rsidR="004B19AF" w:rsidRPr="00720652">
        <w:rPr>
          <w:rFonts w:asciiTheme="majorHAnsi" w:eastAsia="Times New Roman" w:hAnsiTheme="majorHAnsi" w:cstheme="majorHAnsi"/>
          <w:bCs/>
          <w:sz w:val="24"/>
          <w:szCs w:val="24"/>
          <w:lang w:val="ro-RO"/>
        </w:rPr>
        <w:t>lipsa</w:t>
      </w:r>
      <w:r w:rsidR="004B19AF" w:rsidRPr="00720652">
        <w:rPr>
          <w:rFonts w:asciiTheme="majorHAnsi" w:eastAsia="Times New Roman" w:hAnsiTheme="majorHAnsi" w:cstheme="majorHAnsi"/>
          <w:bCs/>
          <w:spacing w:val="9"/>
          <w:sz w:val="24"/>
          <w:szCs w:val="24"/>
          <w:lang w:val="ro-RO"/>
        </w:rPr>
        <w:t xml:space="preserve"> </w:t>
      </w:r>
      <w:r w:rsidR="0066438A" w:rsidRPr="00720652">
        <w:rPr>
          <w:rFonts w:asciiTheme="majorHAnsi" w:eastAsia="Times New Roman" w:hAnsiTheme="majorHAnsi" w:cstheme="majorHAnsi"/>
          <w:bCs/>
          <w:sz w:val="24"/>
          <w:szCs w:val="24"/>
          <w:lang w:val="ro-RO"/>
        </w:rPr>
        <w:t>autorizației</w:t>
      </w:r>
      <w:r w:rsidR="004B19AF" w:rsidRPr="00720652">
        <w:rPr>
          <w:rFonts w:asciiTheme="majorHAnsi" w:eastAsia="Times New Roman" w:hAnsiTheme="majorHAnsi" w:cstheme="majorHAnsi"/>
          <w:bCs/>
          <w:spacing w:val="10"/>
          <w:sz w:val="24"/>
          <w:szCs w:val="24"/>
          <w:lang w:val="ro-RO"/>
        </w:rPr>
        <w:t xml:space="preserve"> </w:t>
      </w:r>
      <w:r w:rsidR="004B19AF" w:rsidRPr="00720652">
        <w:rPr>
          <w:rFonts w:asciiTheme="majorHAnsi" w:eastAsia="Times New Roman" w:hAnsiTheme="majorHAnsi" w:cstheme="majorHAnsi"/>
          <w:bCs/>
          <w:sz w:val="24"/>
          <w:szCs w:val="24"/>
          <w:lang w:val="ro-RO"/>
        </w:rPr>
        <w:t>de</w:t>
      </w:r>
      <w:r w:rsidR="004B19AF" w:rsidRPr="00720652">
        <w:rPr>
          <w:rFonts w:asciiTheme="majorHAnsi" w:eastAsia="Times New Roman" w:hAnsiTheme="majorHAnsi" w:cstheme="majorHAnsi"/>
          <w:bCs/>
          <w:spacing w:val="9"/>
          <w:sz w:val="24"/>
          <w:szCs w:val="24"/>
          <w:lang w:val="ro-RO"/>
        </w:rPr>
        <w:t xml:space="preserve"> </w:t>
      </w:r>
      <w:r w:rsidR="0066438A" w:rsidRPr="00720652">
        <w:rPr>
          <w:rFonts w:asciiTheme="majorHAnsi" w:eastAsia="Times New Roman" w:hAnsiTheme="majorHAnsi" w:cstheme="majorHAnsi"/>
          <w:bCs/>
          <w:sz w:val="24"/>
          <w:szCs w:val="24"/>
          <w:lang w:val="ro-RO"/>
        </w:rPr>
        <w:t>folosință</w:t>
      </w:r>
      <w:r w:rsidR="004B19AF" w:rsidRPr="00720652">
        <w:rPr>
          <w:rFonts w:asciiTheme="majorHAnsi" w:eastAsia="Times New Roman" w:hAnsiTheme="majorHAnsi" w:cstheme="majorHAnsi"/>
          <w:bCs/>
          <w:spacing w:val="9"/>
          <w:sz w:val="24"/>
          <w:szCs w:val="24"/>
          <w:lang w:val="ro-RO"/>
        </w:rPr>
        <w:t xml:space="preserve"> </w:t>
      </w:r>
      <w:r w:rsidR="004B19AF" w:rsidRPr="00720652">
        <w:rPr>
          <w:rFonts w:asciiTheme="majorHAnsi" w:eastAsia="Times New Roman" w:hAnsiTheme="majorHAnsi" w:cstheme="majorHAnsi"/>
          <w:bCs/>
          <w:sz w:val="24"/>
          <w:szCs w:val="24"/>
          <w:lang w:val="ro-RO"/>
        </w:rPr>
        <w:t xml:space="preserve">specială </w:t>
      </w:r>
      <w:r w:rsidR="004B19AF" w:rsidRPr="00720652">
        <w:rPr>
          <w:rFonts w:asciiTheme="majorHAnsi" w:eastAsia="Times New Roman" w:hAnsiTheme="majorHAnsi" w:cstheme="majorHAnsi"/>
          <w:bCs/>
          <w:spacing w:val="-57"/>
          <w:sz w:val="24"/>
          <w:szCs w:val="24"/>
          <w:lang w:val="ro-RO"/>
        </w:rPr>
        <w:t xml:space="preserve"> </w:t>
      </w:r>
      <w:r w:rsidR="004B19AF" w:rsidRPr="00720652">
        <w:rPr>
          <w:rFonts w:asciiTheme="majorHAnsi" w:eastAsia="Times New Roman" w:hAnsiTheme="majorHAnsi" w:cstheme="majorHAnsi"/>
          <w:bCs/>
          <w:sz w:val="24"/>
          <w:szCs w:val="24"/>
          <w:lang w:val="ro-RO"/>
        </w:rPr>
        <w:t xml:space="preserve">a apei, care se eliberează în cazul corespunderii tuturor </w:t>
      </w:r>
      <w:proofErr w:type="spellStart"/>
      <w:r w:rsidR="004B19AF" w:rsidRPr="00720652">
        <w:rPr>
          <w:rFonts w:asciiTheme="majorHAnsi" w:eastAsia="Times New Roman" w:hAnsiTheme="majorHAnsi" w:cstheme="majorHAnsi"/>
          <w:bCs/>
          <w:sz w:val="24"/>
          <w:szCs w:val="24"/>
          <w:lang w:val="ro-RO"/>
        </w:rPr>
        <w:t>cerinţelor</w:t>
      </w:r>
      <w:proofErr w:type="spellEnd"/>
      <w:r w:rsidR="004B19AF" w:rsidRPr="00720652">
        <w:rPr>
          <w:rFonts w:asciiTheme="majorHAnsi" w:eastAsia="Times New Roman" w:hAnsiTheme="majorHAnsi" w:cstheme="majorHAnsi"/>
          <w:bCs/>
          <w:sz w:val="24"/>
          <w:szCs w:val="24"/>
          <w:lang w:val="ro-RO"/>
        </w:rPr>
        <w:t xml:space="preserve"> </w:t>
      </w:r>
      <w:proofErr w:type="spellStart"/>
      <w:r w:rsidR="004B19AF" w:rsidRPr="00720652">
        <w:rPr>
          <w:rFonts w:asciiTheme="majorHAnsi" w:eastAsia="Times New Roman" w:hAnsiTheme="majorHAnsi" w:cstheme="majorHAnsi"/>
          <w:bCs/>
          <w:sz w:val="24"/>
          <w:szCs w:val="24"/>
          <w:lang w:val="ro-RO"/>
        </w:rPr>
        <w:t>şi</w:t>
      </w:r>
      <w:proofErr w:type="spellEnd"/>
      <w:r w:rsidR="004B19AF" w:rsidRPr="00720652">
        <w:rPr>
          <w:rFonts w:asciiTheme="majorHAnsi" w:eastAsia="Times New Roman" w:hAnsiTheme="majorHAnsi" w:cstheme="majorHAnsi"/>
          <w:bCs/>
          <w:sz w:val="24"/>
          <w:szCs w:val="24"/>
          <w:lang w:val="ro-RO"/>
        </w:rPr>
        <w:t xml:space="preserve"> se acordă</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beneficiarului cu dreptul de utilizare a apelor, de deversare a apelor</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uzate în</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receptori,</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precum</w:t>
      </w:r>
      <w:r w:rsidR="004B19AF" w:rsidRPr="00720652">
        <w:rPr>
          <w:rFonts w:asciiTheme="majorHAnsi" w:eastAsia="Times New Roman" w:hAnsiTheme="majorHAnsi" w:cstheme="majorHAnsi"/>
          <w:bCs/>
          <w:spacing w:val="-1"/>
          <w:sz w:val="24"/>
          <w:szCs w:val="24"/>
          <w:lang w:val="ro-RO"/>
        </w:rPr>
        <w:t xml:space="preserve"> </w:t>
      </w:r>
      <w:proofErr w:type="spellStart"/>
      <w:r w:rsidR="004B19AF" w:rsidRPr="00720652">
        <w:rPr>
          <w:rFonts w:asciiTheme="majorHAnsi" w:eastAsia="Times New Roman" w:hAnsiTheme="majorHAnsi" w:cstheme="majorHAnsi"/>
          <w:bCs/>
          <w:sz w:val="24"/>
          <w:szCs w:val="24"/>
          <w:lang w:val="ro-RO"/>
        </w:rPr>
        <w:t>şi</w:t>
      </w:r>
      <w:proofErr w:type="spellEnd"/>
      <w:r w:rsidR="004B19AF" w:rsidRPr="00720652">
        <w:rPr>
          <w:rFonts w:asciiTheme="majorHAnsi" w:eastAsia="Times New Roman" w:hAnsiTheme="majorHAnsi" w:cstheme="majorHAnsi"/>
          <w:bCs/>
          <w:sz w:val="24"/>
          <w:szCs w:val="24"/>
          <w:lang w:val="ro-RO"/>
        </w:rPr>
        <w:t xml:space="preserve"> la alte</w:t>
      </w:r>
      <w:r w:rsidR="004B19AF" w:rsidRPr="00720652">
        <w:rPr>
          <w:rFonts w:asciiTheme="majorHAnsi" w:eastAsia="Times New Roman" w:hAnsiTheme="majorHAnsi" w:cstheme="majorHAnsi"/>
          <w:bCs/>
          <w:spacing w:val="-1"/>
          <w:sz w:val="24"/>
          <w:szCs w:val="24"/>
          <w:lang w:val="ro-RO"/>
        </w:rPr>
        <w:t xml:space="preserve"> </w:t>
      </w:r>
      <w:proofErr w:type="spellStart"/>
      <w:r w:rsidR="004B19AF" w:rsidRPr="00720652">
        <w:rPr>
          <w:rFonts w:asciiTheme="majorHAnsi" w:eastAsia="Times New Roman" w:hAnsiTheme="majorHAnsi" w:cstheme="majorHAnsi"/>
          <w:bCs/>
          <w:sz w:val="24"/>
          <w:szCs w:val="24"/>
          <w:lang w:val="ro-RO"/>
        </w:rPr>
        <w:t>activităţi</w:t>
      </w:r>
      <w:proofErr w:type="spellEnd"/>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 xml:space="preserve">cu </w:t>
      </w:r>
      <w:r w:rsidR="0066438A" w:rsidRPr="00720652">
        <w:rPr>
          <w:rFonts w:asciiTheme="majorHAnsi" w:eastAsia="Times New Roman" w:hAnsiTheme="majorHAnsi" w:cstheme="majorHAnsi"/>
          <w:bCs/>
          <w:sz w:val="24"/>
          <w:szCs w:val="24"/>
          <w:lang w:val="ro-RO"/>
        </w:rPr>
        <w:t>influență</w:t>
      </w:r>
      <w:r w:rsidR="004B19AF" w:rsidRPr="00720652">
        <w:rPr>
          <w:rFonts w:asciiTheme="majorHAnsi" w:eastAsia="Times New Roman" w:hAnsiTheme="majorHAnsi" w:cstheme="majorHAnsi"/>
          <w:bCs/>
          <w:spacing w:val="-3"/>
          <w:sz w:val="24"/>
          <w:szCs w:val="24"/>
          <w:lang w:val="ro-RO"/>
        </w:rPr>
        <w:t xml:space="preserve"> </w:t>
      </w:r>
      <w:r w:rsidR="004B19AF" w:rsidRPr="00720652">
        <w:rPr>
          <w:rFonts w:asciiTheme="majorHAnsi" w:eastAsia="Times New Roman" w:hAnsiTheme="majorHAnsi" w:cstheme="majorHAnsi"/>
          <w:bCs/>
          <w:sz w:val="24"/>
          <w:szCs w:val="24"/>
          <w:lang w:val="ro-RO"/>
        </w:rPr>
        <w:t>negativă</w:t>
      </w:r>
      <w:r w:rsidR="004B19AF" w:rsidRPr="00720652">
        <w:rPr>
          <w:rFonts w:asciiTheme="majorHAnsi" w:eastAsia="Times New Roman" w:hAnsiTheme="majorHAnsi" w:cstheme="majorHAnsi"/>
          <w:bCs/>
          <w:spacing w:val="-1"/>
          <w:sz w:val="24"/>
          <w:szCs w:val="24"/>
          <w:lang w:val="ro-RO"/>
        </w:rPr>
        <w:t xml:space="preserve"> </w:t>
      </w:r>
      <w:r w:rsidR="004B19AF" w:rsidRPr="00720652">
        <w:rPr>
          <w:rFonts w:asciiTheme="majorHAnsi" w:eastAsia="Times New Roman" w:hAnsiTheme="majorHAnsi" w:cstheme="majorHAnsi"/>
          <w:bCs/>
          <w:sz w:val="24"/>
          <w:szCs w:val="24"/>
          <w:lang w:val="ro-RO"/>
        </w:rPr>
        <w:t>asupra</w:t>
      </w:r>
      <w:r w:rsidR="004B19AF" w:rsidRPr="00720652">
        <w:rPr>
          <w:rFonts w:asciiTheme="majorHAnsi" w:eastAsia="Times New Roman" w:hAnsiTheme="majorHAnsi" w:cstheme="majorHAnsi"/>
          <w:bCs/>
          <w:spacing w:val="-2"/>
          <w:sz w:val="24"/>
          <w:szCs w:val="24"/>
          <w:lang w:val="ro-RO"/>
        </w:rPr>
        <w:t xml:space="preserve"> </w:t>
      </w:r>
      <w:r w:rsidR="004B19AF" w:rsidRPr="00720652">
        <w:rPr>
          <w:rFonts w:asciiTheme="majorHAnsi" w:eastAsia="Times New Roman" w:hAnsiTheme="majorHAnsi" w:cstheme="majorHAnsi"/>
          <w:bCs/>
          <w:sz w:val="24"/>
          <w:szCs w:val="24"/>
          <w:lang w:val="ro-RO"/>
        </w:rPr>
        <w:t>apelor. Din totalul de 270 de stații de epurare a apelor uzate</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213</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78,9%</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funcționează în lipsa autorizațiilor de mediu de folosință specială a apei. </w:t>
      </w:r>
      <w:r w:rsidR="00214F7E" w:rsidRPr="00720652">
        <w:rPr>
          <w:rFonts w:asciiTheme="majorHAnsi" w:eastAsia="Times New Roman" w:hAnsiTheme="majorHAnsi" w:cstheme="majorHAnsi"/>
          <w:bCs/>
          <w:sz w:val="24"/>
          <w:szCs w:val="24"/>
          <w:lang w:val="ro-RO"/>
        </w:rPr>
        <w:t>La fel</w:t>
      </w:r>
      <w:r w:rsidR="004B19AF" w:rsidRPr="00720652">
        <w:rPr>
          <w:rFonts w:asciiTheme="majorHAnsi" w:eastAsia="Times New Roman" w:hAnsiTheme="majorHAnsi" w:cstheme="majorHAnsi"/>
          <w:bCs/>
          <w:sz w:val="24"/>
          <w:szCs w:val="24"/>
          <w:lang w:val="ro-RO"/>
        </w:rPr>
        <w:t>, din totalul de 2</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687 de sonde exploatate, 2</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197</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sau 81,8%</w:t>
      </w:r>
      <w:r w:rsidR="00214F7E" w:rsidRPr="00720652">
        <w:rPr>
          <w:rFonts w:asciiTheme="majorHAnsi" w:eastAsia="Times New Roman" w:hAnsiTheme="majorHAnsi" w:cstheme="majorHAnsi"/>
          <w:bCs/>
          <w:sz w:val="24"/>
          <w:szCs w:val="24"/>
          <w:lang w:val="ro-RO"/>
        </w:rPr>
        <w:t>,</w:t>
      </w:r>
      <w:r w:rsidR="004B19AF" w:rsidRPr="00720652">
        <w:rPr>
          <w:rFonts w:asciiTheme="majorHAnsi" w:eastAsia="Times New Roman" w:hAnsiTheme="majorHAnsi" w:cstheme="majorHAnsi"/>
          <w:bCs/>
          <w:sz w:val="24"/>
          <w:szCs w:val="24"/>
          <w:lang w:val="ro-RO"/>
        </w:rPr>
        <w:t xml:space="preserve"> funcționează în lipsa autorizațiilor de medi</w:t>
      </w:r>
      <w:r w:rsidR="0066438A" w:rsidRPr="00720652">
        <w:rPr>
          <w:rFonts w:asciiTheme="majorHAnsi" w:eastAsia="Times New Roman" w:hAnsiTheme="majorHAnsi" w:cstheme="majorHAnsi"/>
          <w:bCs/>
          <w:sz w:val="24"/>
          <w:szCs w:val="24"/>
          <w:lang w:val="ro-RO"/>
        </w:rPr>
        <w:t>u de folosință specială a apei</w:t>
      </w:r>
      <w:bookmarkStart w:id="8" w:name="_Toc131005381"/>
      <w:r w:rsidR="00214F7E" w:rsidRPr="00720652">
        <w:rPr>
          <w:rFonts w:asciiTheme="majorHAnsi" w:eastAsia="Times New Roman" w:hAnsiTheme="majorHAnsi" w:cstheme="majorHAnsi"/>
          <w:bCs/>
          <w:sz w:val="24"/>
          <w:szCs w:val="24"/>
          <w:lang w:val="ro-RO"/>
        </w:rPr>
        <w:t>;</w:t>
      </w:r>
    </w:p>
    <w:p w14:paraId="73A031CD" w14:textId="77777777" w:rsidR="008349AE" w:rsidRPr="00720652" w:rsidRDefault="00986374" w:rsidP="001F092E">
      <w:pPr>
        <w:pStyle w:val="af3"/>
        <w:widowControl w:val="0"/>
        <w:numPr>
          <w:ilvl w:val="0"/>
          <w:numId w:val="31"/>
        </w:numPr>
        <w:autoSpaceDE w:val="0"/>
        <w:autoSpaceDN w:val="0"/>
        <w:spacing w:after="0" w:line="276" w:lineRule="auto"/>
        <w:ind w:left="0" w:firstLine="426"/>
        <w:jc w:val="both"/>
        <w:rPr>
          <w:rFonts w:asciiTheme="majorHAnsi" w:eastAsia="Times New Roman" w:hAnsiTheme="majorHAnsi" w:cstheme="majorHAnsi"/>
          <w:bCs/>
          <w:sz w:val="24"/>
          <w:szCs w:val="24"/>
          <w:lang w:val="ro-RO"/>
        </w:rPr>
      </w:pPr>
      <w:r w:rsidRPr="00720652">
        <w:rPr>
          <w:rFonts w:asciiTheme="majorHAnsi" w:hAnsiTheme="majorHAnsi" w:cstheme="majorHAnsi"/>
          <w:b/>
          <w:sz w:val="24"/>
          <w:szCs w:val="24"/>
          <w:lang w:val="ro-RO"/>
        </w:rPr>
        <w:t>c</w:t>
      </w:r>
      <w:r w:rsidR="00214F7E" w:rsidRPr="00720652">
        <w:rPr>
          <w:rFonts w:asciiTheme="majorHAnsi" w:hAnsiTheme="majorHAnsi" w:cstheme="majorHAnsi"/>
          <w:b/>
          <w:sz w:val="24"/>
          <w:szCs w:val="24"/>
          <w:lang w:val="ro-RO"/>
        </w:rPr>
        <w:t>a u</w:t>
      </w:r>
      <w:r w:rsidR="008349AE" w:rsidRPr="00720652">
        <w:rPr>
          <w:rFonts w:asciiTheme="majorHAnsi" w:hAnsiTheme="majorHAnsi" w:cstheme="majorHAnsi"/>
          <w:b/>
          <w:sz w:val="24"/>
          <w:szCs w:val="24"/>
          <w:lang w:val="ro-RO"/>
        </w:rPr>
        <w:t>rmare a reformei efectuate în anul 201</w:t>
      </w:r>
      <w:r w:rsidR="0066438A" w:rsidRPr="00720652">
        <w:rPr>
          <w:rFonts w:asciiTheme="majorHAnsi" w:hAnsiTheme="majorHAnsi" w:cstheme="majorHAnsi"/>
          <w:b/>
          <w:sz w:val="24"/>
          <w:szCs w:val="24"/>
          <w:lang w:val="ro-RO"/>
        </w:rPr>
        <w:t>8</w:t>
      </w:r>
      <w:r w:rsidR="008349AE" w:rsidRPr="00720652">
        <w:rPr>
          <w:rFonts w:asciiTheme="majorHAnsi" w:hAnsiTheme="majorHAnsi" w:cstheme="majorHAnsi"/>
          <w:b/>
          <w:sz w:val="24"/>
          <w:szCs w:val="24"/>
          <w:lang w:val="ro-RO"/>
        </w:rPr>
        <w:t xml:space="preserve">, la </w:t>
      </w:r>
      <w:r w:rsidR="00214F7E" w:rsidRPr="00720652">
        <w:rPr>
          <w:rFonts w:asciiTheme="majorHAnsi" w:hAnsiTheme="majorHAnsi" w:cstheme="majorHAnsi"/>
          <w:b/>
          <w:sz w:val="24"/>
          <w:szCs w:val="24"/>
          <w:lang w:val="ro-RO"/>
        </w:rPr>
        <w:t>situația de a</w:t>
      </w:r>
      <w:r w:rsidR="008349AE" w:rsidRPr="00720652">
        <w:rPr>
          <w:rFonts w:asciiTheme="majorHAnsi" w:hAnsiTheme="majorHAnsi" w:cstheme="majorHAnsi"/>
          <w:b/>
          <w:sz w:val="24"/>
          <w:szCs w:val="24"/>
          <w:lang w:val="ro-RO"/>
        </w:rPr>
        <w:t xml:space="preserve">zi nici </w:t>
      </w:r>
      <w:r w:rsidR="001F092E" w:rsidRPr="00720652">
        <w:rPr>
          <w:rFonts w:asciiTheme="majorHAnsi" w:hAnsiTheme="majorHAnsi" w:cstheme="majorHAnsi"/>
          <w:b/>
          <w:sz w:val="24"/>
          <w:szCs w:val="24"/>
          <w:lang w:val="ro-RO"/>
        </w:rPr>
        <w:t>IPM</w:t>
      </w:r>
      <w:r w:rsidR="008349AE" w:rsidRPr="00720652">
        <w:rPr>
          <w:rFonts w:asciiTheme="majorHAnsi" w:hAnsiTheme="majorHAnsi" w:cstheme="majorHAnsi"/>
          <w:b/>
          <w:sz w:val="24"/>
          <w:szCs w:val="24"/>
          <w:lang w:val="ro-RO"/>
        </w:rPr>
        <w:t xml:space="preserve">, nici </w:t>
      </w:r>
      <w:proofErr w:type="spellStart"/>
      <w:r w:rsidR="008349AE" w:rsidRPr="00720652">
        <w:rPr>
          <w:rFonts w:asciiTheme="majorHAnsi" w:hAnsiTheme="majorHAnsi" w:cstheme="majorHAnsi"/>
          <w:b/>
          <w:sz w:val="24"/>
          <w:szCs w:val="24"/>
          <w:lang w:val="ro-RO"/>
        </w:rPr>
        <w:t>A</w:t>
      </w:r>
      <w:r w:rsidR="0066438A" w:rsidRPr="00720652">
        <w:rPr>
          <w:rFonts w:asciiTheme="majorHAnsi" w:hAnsiTheme="majorHAnsi" w:cstheme="majorHAnsi"/>
          <w:b/>
          <w:sz w:val="24"/>
          <w:szCs w:val="24"/>
          <w:lang w:val="ro-RO"/>
        </w:rPr>
        <w:t>genţia</w:t>
      </w:r>
      <w:proofErr w:type="spellEnd"/>
      <w:r w:rsidR="0066438A" w:rsidRPr="00720652">
        <w:rPr>
          <w:rFonts w:asciiTheme="majorHAnsi" w:hAnsiTheme="majorHAnsi" w:cstheme="majorHAnsi"/>
          <w:b/>
          <w:sz w:val="24"/>
          <w:szCs w:val="24"/>
          <w:lang w:val="ro-RO"/>
        </w:rPr>
        <w:t xml:space="preserve"> de </w:t>
      </w:r>
      <w:r w:rsidR="008349AE" w:rsidRPr="00720652">
        <w:rPr>
          <w:rFonts w:asciiTheme="majorHAnsi" w:hAnsiTheme="majorHAnsi" w:cstheme="majorHAnsi"/>
          <w:b/>
          <w:sz w:val="24"/>
          <w:szCs w:val="24"/>
          <w:lang w:val="ro-RO"/>
        </w:rPr>
        <w:t>M</w:t>
      </w:r>
      <w:r w:rsidR="0066438A" w:rsidRPr="00720652">
        <w:rPr>
          <w:rFonts w:asciiTheme="majorHAnsi" w:hAnsiTheme="majorHAnsi" w:cstheme="majorHAnsi"/>
          <w:b/>
          <w:sz w:val="24"/>
          <w:szCs w:val="24"/>
          <w:lang w:val="ro-RO"/>
        </w:rPr>
        <w:t>ediu</w:t>
      </w:r>
      <w:r w:rsidR="008349AE" w:rsidRPr="00720652">
        <w:rPr>
          <w:rFonts w:asciiTheme="majorHAnsi" w:hAnsiTheme="majorHAnsi" w:cstheme="majorHAnsi"/>
          <w:b/>
          <w:sz w:val="24"/>
          <w:szCs w:val="24"/>
          <w:lang w:val="ro-RO"/>
        </w:rPr>
        <w:t xml:space="preserve"> nu dispun de informați</w:t>
      </w:r>
      <w:r w:rsidRPr="00720652">
        <w:rPr>
          <w:rFonts w:asciiTheme="majorHAnsi" w:hAnsiTheme="majorHAnsi" w:cstheme="majorHAnsi"/>
          <w:b/>
          <w:sz w:val="24"/>
          <w:szCs w:val="24"/>
          <w:lang w:val="ro-RO"/>
        </w:rPr>
        <w:t>i</w:t>
      </w:r>
      <w:r w:rsidR="008349AE" w:rsidRPr="00720652">
        <w:rPr>
          <w:rFonts w:asciiTheme="majorHAnsi" w:hAnsiTheme="majorHAnsi" w:cstheme="majorHAnsi"/>
          <w:b/>
          <w:sz w:val="24"/>
          <w:szCs w:val="24"/>
          <w:lang w:val="ro-RO"/>
        </w:rPr>
        <w:t xml:space="preserve"> ampl</w:t>
      </w:r>
      <w:r w:rsidRPr="00720652">
        <w:rPr>
          <w:rFonts w:asciiTheme="majorHAnsi" w:hAnsiTheme="majorHAnsi" w:cstheme="majorHAnsi"/>
          <w:b/>
          <w:sz w:val="24"/>
          <w:szCs w:val="24"/>
          <w:lang w:val="ro-RO"/>
        </w:rPr>
        <w:t>e</w:t>
      </w:r>
      <w:r w:rsidR="008349AE" w:rsidRPr="00720652">
        <w:rPr>
          <w:rFonts w:asciiTheme="majorHAnsi" w:hAnsiTheme="majorHAnsi" w:cstheme="majorHAnsi"/>
          <w:b/>
          <w:sz w:val="24"/>
          <w:szCs w:val="24"/>
          <w:lang w:val="ro-RO"/>
        </w:rPr>
        <w:t xml:space="preserve"> </w:t>
      </w:r>
      <w:r w:rsidR="00214F7E" w:rsidRPr="00720652">
        <w:rPr>
          <w:rFonts w:asciiTheme="majorHAnsi" w:hAnsiTheme="majorHAnsi" w:cstheme="majorHAnsi"/>
          <w:b/>
          <w:sz w:val="24"/>
          <w:szCs w:val="24"/>
          <w:lang w:val="ro-RO"/>
        </w:rPr>
        <w:t>privind numărul</w:t>
      </w:r>
      <w:r w:rsidR="008349AE" w:rsidRPr="00720652">
        <w:rPr>
          <w:rFonts w:asciiTheme="majorHAnsi" w:hAnsiTheme="majorHAnsi" w:cstheme="majorHAnsi"/>
          <w:b/>
          <w:sz w:val="24"/>
          <w:szCs w:val="24"/>
          <w:lang w:val="ro-RO"/>
        </w:rPr>
        <w:t xml:space="preserve"> autorizații</w:t>
      </w:r>
      <w:r w:rsidR="00214F7E" w:rsidRPr="00720652">
        <w:rPr>
          <w:rFonts w:asciiTheme="majorHAnsi" w:hAnsiTheme="majorHAnsi" w:cstheme="majorHAnsi"/>
          <w:b/>
          <w:sz w:val="24"/>
          <w:szCs w:val="24"/>
          <w:lang w:val="ro-RO"/>
        </w:rPr>
        <w:t>lor</w:t>
      </w:r>
      <w:r w:rsidR="008349AE" w:rsidRPr="00720652">
        <w:rPr>
          <w:rFonts w:asciiTheme="majorHAnsi" w:hAnsiTheme="majorHAnsi" w:cstheme="majorHAnsi"/>
          <w:b/>
          <w:sz w:val="24"/>
          <w:szCs w:val="24"/>
          <w:lang w:val="ro-RO"/>
        </w:rPr>
        <w:t xml:space="preserve"> de mediu pentru folosință specială a apei </w:t>
      </w:r>
      <w:r w:rsidR="001C5684" w:rsidRPr="00720652">
        <w:rPr>
          <w:rFonts w:asciiTheme="majorHAnsi" w:hAnsiTheme="majorHAnsi" w:cstheme="majorHAnsi"/>
          <w:b/>
          <w:sz w:val="24"/>
          <w:szCs w:val="24"/>
          <w:lang w:val="ro-RO"/>
        </w:rPr>
        <w:t xml:space="preserve">care </w:t>
      </w:r>
      <w:r w:rsidR="008349AE" w:rsidRPr="00720652">
        <w:rPr>
          <w:rFonts w:asciiTheme="majorHAnsi" w:hAnsiTheme="majorHAnsi" w:cstheme="majorHAnsi"/>
          <w:b/>
          <w:sz w:val="24"/>
          <w:szCs w:val="24"/>
          <w:lang w:val="ro-RO"/>
        </w:rPr>
        <w:t>sunt valabile/active</w:t>
      </w:r>
      <w:bookmarkEnd w:id="8"/>
      <w:r w:rsidR="00214F7E" w:rsidRPr="00720652">
        <w:rPr>
          <w:rFonts w:asciiTheme="majorHAnsi" w:hAnsiTheme="majorHAnsi" w:cstheme="majorHAnsi"/>
          <w:b/>
          <w:sz w:val="24"/>
          <w:szCs w:val="24"/>
          <w:lang w:val="ro-RO"/>
        </w:rPr>
        <w:t>;</w:t>
      </w:r>
    </w:p>
    <w:p w14:paraId="63A36CCC" w14:textId="27B06FA6" w:rsidR="00B0380A" w:rsidRPr="00720652" w:rsidRDefault="001C5684" w:rsidP="0066438A">
      <w:pPr>
        <w:pStyle w:val="af3"/>
        <w:widowControl w:val="0"/>
        <w:numPr>
          <w:ilvl w:val="0"/>
          <w:numId w:val="32"/>
        </w:numPr>
        <w:autoSpaceDE w:val="0"/>
        <w:autoSpaceDN w:val="0"/>
        <w:spacing w:after="0" w:line="276" w:lineRule="auto"/>
        <w:ind w:left="0" w:firstLine="567"/>
        <w:jc w:val="both"/>
        <w:rPr>
          <w:rFonts w:asciiTheme="majorHAnsi" w:eastAsia="Times New Roman" w:hAnsiTheme="majorHAnsi" w:cstheme="majorHAnsi"/>
          <w:bCs/>
          <w:sz w:val="24"/>
          <w:szCs w:val="24"/>
          <w:lang w:val="ro-RO"/>
        </w:rPr>
      </w:pPr>
      <w:bookmarkStart w:id="9" w:name="_Toc131005382"/>
      <w:r w:rsidRPr="00720652">
        <w:rPr>
          <w:rFonts w:asciiTheme="majorHAnsi" w:hAnsiTheme="majorHAnsi" w:cstheme="majorHAnsi"/>
          <w:b/>
          <w:sz w:val="24"/>
          <w:szCs w:val="24"/>
          <w:lang w:val="ro-RO"/>
        </w:rPr>
        <w:t>c</w:t>
      </w:r>
      <w:r w:rsidR="008349AE" w:rsidRPr="00720652">
        <w:rPr>
          <w:rFonts w:asciiTheme="majorHAnsi" w:hAnsiTheme="majorHAnsi" w:cstheme="majorHAnsi"/>
          <w:b/>
          <w:sz w:val="24"/>
          <w:szCs w:val="24"/>
          <w:lang w:val="ro-RO"/>
        </w:rPr>
        <w:t>apacitatea de epurare a apelor uzate prin sisteme de epurare este sub 30% d</w:t>
      </w:r>
      <w:r w:rsidR="00214F7E" w:rsidRPr="00720652">
        <w:rPr>
          <w:rFonts w:asciiTheme="majorHAnsi" w:hAnsiTheme="majorHAnsi" w:cstheme="majorHAnsi"/>
          <w:b/>
          <w:sz w:val="24"/>
          <w:szCs w:val="24"/>
          <w:lang w:val="ro-RO"/>
        </w:rPr>
        <w:t>in</w:t>
      </w:r>
      <w:r w:rsidR="008349AE" w:rsidRPr="00720652">
        <w:rPr>
          <w:rFonts w:asciiTheme="majorHAnsi" w:hAnsiTheme="majorHAnsi" w:cstheme="majorHAnsi"/>
          <w:b/>
          <w:sz w:val="24"/>
          <w:szCs w:val="24"/>
          <w:lang w:val="ro-RO"/>
        </w:rPr>
        <w:t xml:space="preserve"> nivelul proiectat</w:t>
      </w:r>
      <w:bookmarkEnd w:id="9"/>
      <w:r w:rsidR="008349AE" w:rsidRPr="00720652">
        <w:rPr>
          <w:rFonts w:asciiTheme="majorHAnsi" w:hAnsiTheme="majorHAnsi" w:cstheme="majorHAnsi"/>
          <w:b/>
          <w:sz w:val="24"/>
          <w:szCs w:val="24"/>
          <w:lang w:val="ro-RO"/>
        </w:rPr>
        <w:t xml:space="preserve">. </w:t>
      </w:r>
      <w:r w:rsidR="008349AE" w:rsidRPr="00720652">
        <w:rPr>
          <w:rFonts w:asciiTheme="majorHAnsi" w:eastAsia="Times New Roman" w:hAnsiTheme="majorHAnsi" w:cstheme="majorHAnsi"/>
          <w:bCs/>
          <w:sz w:val="24"/>
          <w:szCs w:val="24"/>
          <w:lang w:val="ro-RO"/>
        </w:rPr>
        <w:t>Conform datelor BNS</w:t>
      </w:r>
      <w:r w:rsidR="00D62F07" w:rsidRPr="00720652">
        <w:rPr>
          <w:rFonts w:asciiTheme="majorHAnsi" w:eastAsia="Times New Roman" w:hAnsiTheme="majorHAnsi" w:cstheme="majorHAnsi"/>
          <w:sz w:val="24"/>
          <w:szCs w:val="24"/>
          <w:vertAlign w:val="superscript"/>
          <w:lang w:val="ro-RO"/>
        </w:rPr>
        <w:footnoteReference w:id="12"/>
      </w:r>
      <w:r w:rsidR="001361D0" w:rsidRPr="00720652">
        <w:rPr>
          <w:rFonts w:asciiTheme="majorHAnsi" w:eastAsia="Times New Roman" w:hAnsiTheme="majorHAnsi" w:cstheme="majorHAnsi"/>
          <w:bCs/>
          <w:sz w:val="24"/>
          <w:szCs w:val="24"/>
          <w:lang w:val="ro-RO"/>
        </w:rPr>
        <w:t xml:space="preserve">, în anii 2016-2018, </w:t>
      </w:r>
      <w:r w:rsidR="001361D0" w:rsidRPr="00720652">
        <w:rPr>
          <w:rFonts w:asciiTheme="majorHAnsi" w:eastAsia="Calibri" w:hAnsiTheme="majorHAnsi" w:cstheme="majorHAnsi"/>
          <w:bCs/>
          <w:noProof/>
          <w:sz w:val="24"/>
          <w:szCs w:val="24"/>
          <w:lang w:val="ro-RO" w:eastAsia="ru-RU"/>
        </w:rPr>
        <w:t xml:space="preserve">capacitatea </w:t>
      </w:r>
      <w:r w:rsidR="00B0380A" w:rsidRPr="00720652">
        <w:rPr>
          <w:rFonts w:asciiTheme="majorHAnsi" w:eastAsia="Calibri" w:hAnsiTheme="majorHAnsi" w:cstheme="majorHAnsi"/>
          <w:bCs/>
          <w:noProof/>
          <w:sz w:val="24"/>
          <w:szCs w:val="24"/>
          <w:lang w:val="ro-RO" w:eastAsia="ru-RU"/>
        </w:rPr>
        <w:t xml:space="preserve">de captare </w:t>
      </w:r>
      <w:r w:rsidR="001361D0" w:rsidRPr="00720652">
        <w:rPr>
          <w:rFonts w:asciiTheme="majorHAnsi" w:eastAsia="Calibri" w:hAnsiTheme="majorHAnsi" w:cstheme="majorHAnsi"/>
          <w:bCs/>
          <w:noProof/>
          <w:sz w:val="24"/>
          <w:szCs w:val="24"/>
          <w:lang w:val="ro-RO" w:eastAsia="ru-RU"/>
        </w:rPr>
        <w:t xml:space="preserve">a apelor uzate </w:t>
      </w:r>
      <w:r w:rsidR="00CD022B" w:rsidRPr="00720652">
        <w:rPr>
          <w:rFonts w:asciiTheme="majorHAnsi" w:eastAsia="Calibri" w:hAnsiTheme="majorHAnsi" w:cstheme="majorHAnsi"/>
          <w:bCs/>
          <w:noProof/>
          <w:sz w:val="24"/>
          <w:szCs w:val="24"/>
          <w:lang w:val="ro-RO" w:eastAsia="ru-RU"/>
        </w:rPr>
        <w:t>(</w:t>
      </w:r>
      <w:r w:rsidR="001361D0" w:rsidRPr="00720652">
        <w:rPr>
          <w:rFonts w:asciiTheme="majorHAnsi" w:eastAsia="Calibri" w:hAnsiTheme="majorHAnsi" w:cstheme="majorHAnsi"/>
          <w:bCs/>
          <w:noProof/>
          <w:sz w:val="24"/>
          <w:szCs w:val="24"/>
          <w:lang w:val="ro-RO" w:eastAsia="ru-RU"/>
        </w:rPr>
        <w:t>m</w:t>
      </w:r>
      <w:r w:rsidR="001361D0" w:rsidRPr="00720652">
        <w:rPr>
          <w:rFonts w:asciiTheme="majorHAnsi" w:eastAsia="Calibri" w:hAnsiTheme="majorHAnsi" w:cstheme="majorHAnsi"/>
          <w:bCs/>
          <w:noProof/>
          <w:sz w:val="24"/>
          <w:szCs w:val="24"/>
          <w:vertAlign w:val="superscript"/>
          <w:lang w:val="ro-RO" w:eastAsia="ru-RU"/>
        </w:rPr>
        <w:t>3</w:t>
      </w:r>
      <w:r w:rsidR="001361D0" w:rsidRPr="00720652">
        <w:rPr>
          <w:rFonts w:asciiTheme="majorHAnsi" w:eastAsia="Calibri" w:hAnsiTheme="majorHAnsi" w:cstheme="majorHAnsi"/>
          <w:bCs/>
          <w:noProof/>
          <w:sz w:val="24"/>
          <w:szCs w:val="24"/>
          <w:lang w:val="ro-RO" w:eastAsia="ru-RU"/>
        </w:rPr>
        <w:t xml:space="preserve"> în 24 ore</w:t>
      </w:r>
      <w:r w:rsidR="00CD022B" w:rsidRPr="00720652">
        <w:rPr>
          <w:rFonts w:asciiTheme="majorHAnsi" w:eastAsia="Calibri" w:hAnsiTheme="majorHAnsi" w:cstheme="majorHAnsi"/>
          <w:bCs/>
          <w:noProof/>
          <w:sz w:val="24"/>
          <w:szCs w:val="24"/>
          <w:lang w:val="ro-RO" w:eastAsia="ru-RU"/>
        </w:rPr>
        <w:t>)</w:t>
      </w:r>
      <w:r w:rsidR="0066438A" w:rsidRPr="00720652">
        <w:rPr>
          <w:rFonts w:asciiTheme="majorHAnsi" w:eastAsia="Calibri" w:hAnsiTheme="majorHAnsi" w:cstheme="majorHAnsi"/>
          <w:bCs/>
          <w:noProof/>
          <w:sz w:val="24"/>
          <w:szCs w:val="24"/>
          <w:lang w:val="ro-RO" w:eastAsia="ru-RU"/>
        </w:rPr>
        <w:t xml:space="preserve">, de către </w:t>
      </w:r>
      <w:r w:rsidR="00B0380A" w:rsidRPr="00720652">
        <w:rPr>
          <w:rFonts w:asciiTheme="majorHAnsi" w:eastAsia="Calibri" w:hAnsiTheme="majorHAnsi" w:cstheme="majorHAnsi"/>
          <w:bCs/>
          <w:noProof/>
          <w:sz w:val="24"/>
          <w:szCs w:val="24"/>
          <w:lang w:val="ro-RO" w:eastAsia="ru-RU"/>
        </w:rPr>
        <w:t>stațiile de epurare</w:t>
      </w:r>
      <w:r w:rsidR="001361D0" w:rsidRPr="00720652">
        <w:rPr>
          <w:rFonts w:asciiTheme="majorHAnsi" w:eastAsia="Calibri" w:hAnsiTheme="majorHAnsi" w:cstheme="majorHAnsi"/>
          <w:bCs/>
          <w:noProof/>
          <w:sz w:val="24"/>
          <w:szCs w:val="24"/>
          <w:lang w:val="ro-RO" w:eastAsia="ru-RU"/>
        </w:rPr>
        <w:t xml:space="preserve">, </w:t>
      </w:r>
      <w:r w:rsidR="00B0380A" w:rsidRPr="00720652">
        <w:rPr>
          <w:rFonts w:asciiTheme="majorHAnsi" w:eastAsia="Times New Roman" w:hAnsiTheme="majorHAnsi" w:cstheme="majorHAnsi"/>
          <w:bCs/>
          <w:sz w:val="24"/>
          <w:szCs w:val="24"/>
          <w:lang w:val="ro-RO"/>
        </w:rPr>
        <w:t>este cu mult sub capa</w:t>
      </w:r>
      <w:r w:rsidR="0066438A" w:rsidRPr="00720652">
        <w:rPr>
          <w:rFonts w:asciiTheme="majorHAnsi" w:eastAsia="Times New Roman" w:hAnsiTheme="majorHAnsi" w:cstheme="majorHAnsi"/>
          <w:bCs/>
          <w:sz w:val="24"/>
          <w:szCs w:val="24"/>
          <w:lang w:val="ro-RO"/>
        </w:rPr>
        <w:t>c</w:t>
      </w:r>
      <w:r w:rsidR="00B0380A" w:rsidRPr="00720652">
        <w:rPr>
          <w:rFonts w:asciiTheme="majorHAnsi" w:eastAsia="Times New Roman" w:hAnsiTheme="majorHAnsi" w:cstheme="majorHAnsi"/>
          <w:bCs/>
          <w:sz w:val="24"/>
          <w:szCs w:val="24"/>
          <w:lang w:val="ro-RO"/>
        </w:rPr>
        <w:t>itatea lor proiectată, volumul real captat</w:t>
      </w:r>
      <w:r w:rsidRPr="00720652">
        <w:rPr>
          <w:rFonts w:asciiTheme="majorHAnsi" w:eastAsia="Times New Roman" w:hAnsiTheme="majorHAnsi" w:cstheme="majorHAnsi"/>
          <w:bCs/>
          <w:sz w:val="24"/>
          <w:szCs w:val="24"/>
          <w:lang w:val="ro-RO"/>
        </w:rPr>
        <w:t>,</w:t>
      </w:r>
      <w:r w:rsidR="00B0380A" w:rsidRPr="00720652">
        <w:rPr>
          <w:rFonts w:asciiTheme="majorHAnsi" w:eastAsia="Times New Roman" w:hAnsiTheme="majorHAnsi" w:cstheme="majorHAnsi"/>
          <w:bCs/>
          <w:sz w:val="24"/>
          <w:szCs w:val="24"/>
          <w:lang w:val="ro-RO"/>
        </w:rPr>
        <w:t xml:space="preserve"> f</w:t>
      </w:r>
      <w:r w:rsidR="008349AE" w:rsidRPr="00720652">
        <w:rPr>
          <w:rFonts w:asciiTheme="majorHAnsi" w:eastAsia="Times New Roman" w:hAnsiTheme="majorHAnsi" w:cstheme="majorHAnsi"/>
          <w:bCs/>
          <w:sz w:val="24"/>
          <w:szCs w:val="24"/>
          <w:lang w:val="ro-RO"/>
        </w:rPr>
        <w:t>ață de volumul proiectat</w:t>
      </w:r>
      <w:r w:rsidRPr="00720652">
        <w:rPr>
          <w:rFonts w:asciiTheme="majorHAnsi" w:eastAsia="Times New Roman" w:hAnsiTheme="majorHAnsi" w:cstheme="majorHAnsi"/>
          <w:bCs/>
          <w:sz w:val="24"/>
          <w:szCs w:val="24"/>
          <w:lang w:val="ro-RO"/>
        </w:rPr>
        <w:t>,</w:t>
      </w:r>
      <w:r w:rsidR="00B0380A" w:rsidRPr="00720652">
        <w:rPr>
          <w:rFonts w:asciiTheme="majorHAnsi" w:eastAsia="Times New Roman" w:hAnsiTheme="majorHAnsi" w:cstheme="majorHAnsi"/>
          <w:bCs/>
          <w:sz w:val="24"/>
          <w:szCs w:val="24"/>
          <w:lang w:val="ro-RO"/>
        </w:rPr>
        <w:t xml:space="preserve"> variind </w:t>
      </w:r>
      <w:r w:rsidR="008349AE" w:rsidRPr="00720652">
        <w:rPr>
          <w:rFonts w:asciiTheme="majorHAnsi" w:eastAsia="Times New Roman" w:hAnsiTheme="majorHAnsi" w:cstheme="majorHAnsi"/>
          <w:bCs/>
          <w:sz w:val="24"/>
          <w:szCs w:val="24"/>
          <w:lang w:val="ro-RO"/>
        </w:rPr>
        <w:t>între 32,2%</w:t>
      </w:r>
      <w:r w:rsidR="00214F7E" w:rsidRPr="00720652">
        <w:rPr>
          <w:rFonts w:asciiTheme="majorHAnsi" w:eastAsia="Times New Roman" w:hAnsiTheme="majorHAnsi" w:cstheme="majorHAnsi"/>
          <w:bCs/>
          <w:sz w:val="24"/>
          <w:szCs w:val="24"/>
          <w:lang w:val="ro-RO"/>
        </w:rPr>
        <w:t>,</w:t>
      </w:r>
      <w:r w:rsidR="008349AE" w:rsidRPr="00720652">
        <w:rPr>
          <w:rFonts w:asciiTheme="majorHAnsi" w:eastAsia="Times New Roman" w:hAnsiTheme="majorHAnsi" w:cstheme="majorHAnsi"/>
          <w:bCs/>
          <w:sz w:val="24"/>
          <w:szCs w:val="24"/>
          <w:lang w:val="ro-RO"/>
        </w:rPr>
        <w:t xml:space="preserve"> în anul 2016</w:t>
      </w:r>
      <w:r w:rsidR="00214F7E" w:rsidRPr="00720652">
        <w:rPr>
          <w:rFonts w:asciiTheme="majorHAnsi" w:eastAsia="Times New Roman" w:hAnsiTheme="majorHAnsi" w:cstheme="majorHAnsi"/>
          <w:bCs/>
          <w:sz w:val="24"/>
          <w:szCs w:val="24"/>
          <w:lang w:val="ro-RO"/>
        </w:rPr>
        <w:t>,</w:t>
      </w:r>
      <w:r w:rsidR="008349AE" w:rsidRPr="00720652">
        <w:rPr>
          <w:rFonts w:asciiTheme="majorHAnsi" w:eastAsia="Times New Roman" w:hAnsiTheme="majorHAnsi" w:cstheme="majorHAnsi"/>
          <w:bCs/>
          <w:sz w:val="24"/>
          <w:szCs w:val="24"/>
          <w:lang w:val="ro-RO"/>
        </w:rPr>
        <w:t xml:space="preserve"> și 28,6%</w:t>
      </w:r>
      <w:r w:rsidR="00214F7E" w:rsidRPr="00720652">
        <w:rPr>
          <w:rFonts w:asciiTheme="majorHAnsi" w:eastAsia="Times New Roman" w:hAnsiTheme="majorHAnsi" w:cstheme="majorHAnsi"/>
          <w:bCs/>
          <w:sz w:val="24"/>
          <w:szCs w:val="24"/>
          <w:lang w:val="ro-RO"/>
        </w:rPr>
        <w:t>,</w:t>
      </w:r>
      <w:r w:rsidR="008349AE" w:rsidRPr="00720652">
        <w:rPr>
          <w:rFonts w:asciiTheme="majorHAnsi" w:eastAsia="Times New Roman" w:hAnsiTheme="majorHAnsi" w:cstheme="majorHAnsi"/>
          <w:bCs/>
          <w:sz w:val="24"/>
          <w:szCs w:val="24"/>
          <w:lang w:val="ro-RO"/>
        </w:rPr>
        <w:t xml:space="preserve"> în anul 2018</w:t>
      </w:r>
      <w:r w:rsidR="00214F7E" w:rsidRPr="00720652">
        <w:rPr>
          <w:rFonts w:asciiTheme="majorHAnsi" w:eastAsia="Times New Roman" w:hAnsiTheme="majorHAnsi" w:cstheme="majorHAnsi"/>
          <w:bCs/>
          <w:sz w:val="24"/>
          <w:szCs w:val="24"/>
          <w:lang w:val="ro-RO"/>
        </w:rPr>
        <w:t>;</w:t>
      </w:r>
      <w:r w:rsidR="008349AE" w:rsidRPr="00720652">
        <w:rPr>
          <w:rFonts w:asciiTheme="majorHAnsi" w:eastAsia="Times New Roman" w:hAnsiTheme="majorHAnsi" w:cstheme="majorHAnsi"/>
          <w:bCs/>
          <w:sz w:val="24"/>
          <w:szCs w:val="24"/>
          <w:lang w:val="ro-RO"/>
        </w:rPr>
        <w:t xml:space="preserve"> </w:t>
      </w:r>
    </w:p>
    <w:p w14:paraId="0F91BA89" w14:textId="77777777" w:rsidR="003B5D58" w:rsidRPr="00720652" w:rsidRDefault="001C5684" w:rsidP="003B5D58">
      <w:pPr>
        <w:pStyle w:val="af3"/>
        <w:numPr>
          <w:ilvl w:val="0"/>
          <w:numId w:val="32"/>
        </w:numPr>
        <w:spacing w:after="0" w:line="276" w:lineRule="auto"/>
        <w:ind w:left="0" w:firstLine="567"/>
        <w:jc w:val="both"/>
        <w:outlineLvl w:val="0"/>
        <w:rPr>
          <w:rFonts w:asciiTheme="majorHAnsi" w:eastAsia="Calibri" w:hAnsiTheme="majorHAnsi" w:cstheme="majorHAnsi"/>
          <w:sz w:val="24"/>
          <w:szCs w:val="24"/>
          <w:shd w:val="clear" w:color="auto" w:fill="FFFFFF"/>
          <w:lang w:val="ro-RO"/>
        </w:rPr>
      </w:pPr>
      <w:r w:rsidRPr="00720652">
        <w:rPr>
          <w:rFonts w:asciiTheme="majorHAnsi" w:eastAsia="Calibri" w:hAnsiTheme="majorHAnsi" w:cstheme="majorHAnsi"/>
          <w:b/>
          <w:sz w:val="24"/>
          <w:szCs w:val="24"/>
          <w:shd w:val="clear" w:color="auto" w:fill="FFFFFF"/>
          <w:lang w:val="ro-RO"/>
        </w:rPr>
        <w:t>s</w:t>
      </w:r>
      <w:r w:rsidR="00B0380A" w:rsidRPr="00720652">
        <w:rPr>
          <w:rFonts w:asciiTheme="majorHAnsi" w:eastAsia="Calibri" w:hAnsiTheme="majorHAnsi" w:cstheme="majorHAnsi"/>
          <w:b/>
          <w:sz w:val="24"/>
          <w:szCs w:val="24"/>
          <w:shd w:val="clear" w:color="auto" w:fill="FFFFFF"/>
          <w:lang w:val="ro-RO"/>
        </w:rPr>
        <w:t>istemul de date aferente domeniul</w:t>
      </w:r>
      <w:r w:rsidR="00214F7E" w:rsidRPr="00720652">
        <w:rPr>
          <w:rFonts w:asciiTheme="majorHAnsi" w:eastAsia="Calibri" w:hAnsiTheme="majorHAnsi" w:cstheme="majorHAnsi"/>
          <w:b/>
          <w:sz w:val="24"/>
          <w:szCs w:val="24"/>
          <w:shd w:val="clear" w:color="auto" w:fill="FFFFFF"/>
          <w:lang w:val="ro-RO"/>
        </w:rPr>
        <w:t>ui</w:t>
      </w:r>
      <w:r w:rsidR="00B0380A" w:rsidRPr="00720652">
        <w:rPr>
          <w:rFonts w:asciiTheme="majorHAnsi" w:eastAsia="Calibri" w:hAnsiTheme="majorHAnsi" w:cstheme="majorHAnsi"/>
          <w:b/>
          <w:sz w:val="24"/>
          <w:szCs w:val="24"/>
          <w:shd w:val="clear" w:color="auto" w:fill="FFFFFF"/>
          <w:lang w:val="ro-RO"/>
        </w:rPr>
        <w:t xml:space="preserve"> alimentării cu apă </w:t>
      </w:r>
      <w:proofErr w:type="spellStart"/>
      <w:r w:rsidR="00B0380A" w:rsidRPr="00720652">
        <w:rPr>
          <w:rFonts w:asciiTheme="majorHAnsi" w:eastAsia="Calibri" w:hAnsiTheme="majorHAnsi" w:cstheme="majorHAnsi"/>
          <w:b/>
          <w:sz w:val="24"/>
          <w:szCs w:val="24"/>
          <w:shd w:val="clear" w:color="auto" w:fill="FFFFFF"/>
          <w:lang w:val="ro-RO"/>
        </w:rPr>
        <w:t>şi</w:t>
      </w:r>
      <w:proofErr w:type="spellEnd"/>
      <w:r w:rsidR="00B0380A" w:rsidRPr="00720652">
        <w:rPr>
          <w:rFonts w:asciiTheme="majorHAnsi" w:eastAsia="Calibri" w:hAnsiTheme="majorHAnsi" w:cstheme="majorHAnsi"/>
          <w:b/>
          <w:sz w:val="24"/>
          <w:szCs w:val="24"/>
          <w:shd w:val="clear" w:color="auto" w:fill="FFFFFF"/>
          <w:lang w:val="ro-RO"/>
        </w:rPr>
        <w:t xml:space="preserve"> sanitație</w:t>
      </w:r>
      <w:r w:rsidR="00214F7E" w:rsidRPr="00720652">
        <w:rPr>
          <w:rFonts w:asciiTheme="majorHAnsi" w:eastAsia="Calibri" w:hAnsiTheme="majorHAnsi" w:cstheme="majorHAnsi"/>
          <w:b/>
          <w:sz w:val="24"/>
          <w:szCs w:val="24"/>
          <w:shd w:val="clear" w:color="auto" w:fill="FFFFFF"/>
          <w:lang w:val="ro-RO"/>
        </w:rPr>
        <w:t>i</w:t>
      </w:r>
      <w:r w:rsidR="00B0380A" w:rsidRPr="00720652">
        <w:rPr>
          <w:rFonts w:asciiTheme="majorHAnsi" w:eastAsia="Calibri" w:hAnsiTheme="majorHAnsi" w:cstheme="majorHAnsi"/>
          <w:b/>
          <w:sz w:val="24"/>
          <w:szCs w:val="24"/>
          <w:shd w:val="clear" w:color="auto" w:fill="FFFFFF"/>
          <w:lang w:val="ro-RO"/>
        </w:rPr>
        <w:t>, colectat de BNS</w:t>
      </w:r>
      <w:r w:rsidR="00214F7E" w:rsidRPr="00720652">
        <w:rPr>
          <w:rFonts w:asciiTheme="majorHAnsi" w:eastAsia="Calibri" w:hAnsiTheme="majorHAnsi" w:cstheme="majorHAnsi"/>
          <w:b/>
          <w:sz w:val="24"/>
          <w:szCs w:val="24"/>
          <w:shd w:val="clear" w:color="auto" w:fill="FFFFFF"/>
          <w:lang w:val="ro-RO"/>
        </w:rPr>
        <w:t>,</w:t>
      </w:r>
      <w:r w:rsidR="00B0380A" w:rsidRPr="00720652">
        <w:rPr>
          <w:rFonts w:asciiTheme="majorHAnsi" w:eastAsia="Calibri" w:hAnsiTheme="majorHAnsi" w:cstheme="majorHAnsi"/>
          <w:b/>
          <w:sz w:val="24"/>
          <w:szCs w:val="24"/>
          <w:shd w:val="clear" w:color="auto" w:fill="FFFFFF"/>
          <w:lang w:val="ro-RO"/>
        </w:rPr>
        <w:t xml:space="preserve"> deși a fost revizuit de mai multe ori, nu acoperă întregul spectru de date relevante și nu asigură plenitudinea lor</w:t>
      </w:r>
      <w:r w:rsidR="00B0380A" w:rsidRPr="00720652">
        <w:rPr>
          <w:rFonts w:asciiTheme="majorHAnsi" w:eastAsia="Calibri" w:hAnsiTheme="majorHAnsi" w:cstheme="majorHAnsi"/>
          <w:sz w:val="24"/>
          <w:szCs w:val="24"/>
          <w:shd w:val="clear" w:color="auto" w:fill="FFFFFF"/>
          <w:lang w:val="ro-RO"/>
        </w:rPr>
        <w:t>. De</w:t>
      </w:r>
      <w:r w:rsidR="00B72EAA" w:rsidRPr="00720652">
        <w:rPr>
          <w:rFonts w:asciiTheme="majorHAnsi" w:eastAsia="Calibri" w:hAnsiTheme="majorHAnsi" w:cstheme="majorHAnsi"/>
          <w:sz w:val="24"/>
          <w:szCs w:val="24"/>
          <w:shd w:val="clear" w:color="auto" w:fill="FFFFFF"/>
          <w:lang w:val="ro-RO"/>
        </w:rPr>
        <w:t xml:space="preserve">și </w:t>
      </w:r>
      <w:r w:rsidR="00B0380A" w:rsidRPr="00720652">
        <w:rPr>
          <w:rFonts w:asciiTheme="majorHAnsi" w:eastAsia="Calibri" w:hAnsiTheme="majorHAnsi" w:cstheme="majorHAnsi"/>
          <w:sz w:val="24"/>
          <w:szCs w:val="24"/>
          <w:shd w:val="clear" w:color="auto" w:fill="FFFFFF"/>
          <w:lang w:val="ro-RO"/>
        </w:rPr>
        <w:t xml:space="preserve">BNS </w:t>
      </w:r>
      <w:r w:rsidR="00380E2A" w:rsidRPr="00720652">
        <w:rPr>
          <w:rFonts w:asciiTheme="majorHAnsi" w:eastAsia="Calibri" w:hAnsiTheme="majorHAnsi" w:cstheme="majorHAnsi"/>
          <w:sz w:val="24"/>
          <w:szCs w:val="24"/>
          <w:shd w:val="clear" w:color="auto" w:fill="FFFFFF"/>
          <w:lang w:val="ro-RO"/>
        </w:rPr>
        <w:t>an</w:t>
      </w:r>
      <w:r w:rsidR="00B0380A" w:rsidRPr="00720652">
        <w:rPr>
          <w:rFonts w:asciiTheme="majorHAnsi" w:eastAsia="Calibri" w:hAnsiTheme="majorHAnsi" w:cstheme="majorHAnsi"/>
          <w:sz w:val="24"/>
          <w:szCs w:val="24"/>
          <w:shd w:val="clear" w:color="auto" w:fill="FFFFFF"/>
          <w:lang w:val="ro-RO"/>
        </w:rPr>
        <w:t>ual colectează date</w:t>
      </w:r>
      <w:r w:rsidR="00214F7E" w:rsidRPr="00720652">
        <w:rPr>
          <w:rFonts w:asciiTheme="majorHAnsi" w:eastAsia="Calibri" w:hAnsiTheme="majorHAnsi" w:cstheme="majorHAnsi"/>
          <w:sz w:val="24"/>
          <w:szCs w:val="24"/>
          <w:shd w:val="clear" w:color="auto" w:fill="FFFFFF"/>
          <w:lang w:val="ro-RO"/>
        </w:rPr>
        <w:t>le</w:t>
      </w:r>
      <w:r w:rsidR="00B0380A" w:rsidRPr="00720652">
        <w:rPr>
          <w:rFonts w:asciiTheme="majorHAnsi" w:eastAsia="Calibri" w:hAnsiTheme="majorHAnsi" w:cstheme="majorHAnsi"/>
          <w:sz w:val="24"/>
          <w:szCs w:val="24"/>
          <w:shd w:val="clear" w:color="auto" w:fill="FFFFFF"/>
          <w:lang w:val="ro-RO"/>
        </w:rPr>
        <w:t xml:space="preserve"> aferente domeniului de alimentare cu apă și sanitație, acesta este </w:t>
      </w:r>
      <w:r w:rsidR="006E61EF" w:rsidRPr="00720652">
        <w:rPr>
          <w:rFonts w:asciiTheme="majorHAnsi" w:eastAsia="Calibri" w:hAnsiTheme="majorHAnsi" w:cstheme="majorHAnsi"/>
          <w:sz w:val="24"/>
          <w:szCs w:val="24"/>
          <w:shd w:val="clear" w:color="auto" w:fill="FFFFFF"/>
          <w:lang w:val="ro-RO"/>
        </w:rPr>
        <w:t>insu</w:t>
      </w:r>
      <w:r w:rsidR="00B0380A" w:rsidRPr="00720652">
        <w:rPr>
          <w:rFonts w:asciiTheme="majorHAnsi" w:eastAsia="Calibri" w:hAnsiTheme="majorHAnsi" w:cstheme="majorHAnsi"/>
          <w:sz w:val="24"/>
          <w:szCs w:val="24"/>
          <w:shd w:val="clear" w:color="auto" w:fill="FFFFFF"/>
          <w:lang w:val="ro-RO"/>
        </w:rPr>
        <w:t xml:space="preserve">ficient </w:t>
      </w:r>
      <w:r w:rsidR="00380E2A" w:rsidRPr="00720652">
        <w:rPr>
          <w:rFonts w:asciiTheme="majorHAnsi" w:eastAsia="Calibri" w:hAnsiTheme="majorHAnsi" w:cstheme="majorHAnsi"/>
          <w:sz w:val="24"/>
          <w:szCs w:val="24"/>
          <w:shd w:val="clear" w:color="auto" w:fill="FFFFFF"/>
          <w:lang w:val="ro-RO"/>
        </w:rPr>
        <w:t>pentru a evalua situația în domeniu</w:t>
      </w:r>
      <w:r w:rsidR="00572CA9" w:rsidRPr="00720652">
        <w:rPr>
          <w:rFonts w:asciiTheme="majorHAnsi" w:eastAsia="Calibri" w:hAnsiTheme="majorHAnsi" w:cstheme="majorHAnsi"/>
          <w:sz w:val="24"/>
          <w:szCs w:val="24"/>
          <w:shd w:val="clear" w:color="auto" w:fill="FFFFFF"/>
          <w:lang w:val="ro-RO"/>
        </w:rPr>
        <w:t xml:space="preserve">, </w:t>
      </w:r>
      <w:r w:rsidR="00733D25" w:rsidRPr="00720652">
        <w:rPr>
          <w:rFonts w:asciiTheme="majorHAnsi" w:eastAsia="Calibri" w:hAnsiTheme="majorHAnsi" w:cstheme="majorHAnsi"/>
          <w:sz w:val="24"/>
          <w:szCs w:val="24"/>
          <w:shd w:val="clear" w:color="auto" w:fill="FFFFFF"/>
          <w:lang w:val="ro-RO"/>
        </w:rPr>
        <w:t>dat</w:t>
      </w:r>
      <w:r w:rsidR="006E61EF" w:rsidRPr="00720652">
        <w:rPr>
          <w:rFonts w:asciiTheme="majorHAnsi" w:eastAsia="Calibri" w:hAnsiTheme="majorHAnsi" w:cstheme="majorHAnsi"/>
          <w:sz w:val="24"/>
          <w:szCs w:val="24"/>
          <w:shd w:val="clear" w:color="auto" w:fill="FFFFFF"/>
          <w:lang w:val="ro-RO"/>
        </w:rPr>
        <w:t xml:space="preserve">ele </w:t>
      </w:r>
      <w:r w:rsidR="00572CA9" w:rsidRPr="00720652">
        <w:rPr>
          <w:rFonts w:asciiTheme="majorHAnsi" w:eastAsia="Calibri" w:hAnsiTheme="majorHAnsi" w:cstheme="majorHAnsi"/>
          <w:sz w:val="24"/>
          <w:szCs w:val="24"/>
          <w:shd w:val="clear" w:color="auto" w:fill="FFFFFF"/>
          <w:lang w:val="ro-RO"/>
        </w:rPr>
        <w:t>fiind ajustate și modificate pe parcursul anilor</w:t>
      </w:r>
      <w:bookmarkStart w:id="10" w:name="_Toc131005387"/>
      <w:r w:rsidR="00733D25" w:rsidRPr="00720652">
        <w:rPr>
          <w:rFonts w:asciiTheme="majorHAnsi" w:eastAsia="Calibri" w:hAnsiTheme="majorHAnsi" w:cstheme="majorHAnsi"/>
          <w:sz w:val="24"/>
          <w:szCs w:val="24"/>
          <w:shd w:val="clear" w:color="auto" w:fill="FFFFFF"/>
          <w:lang w:val="ro-RO"/>
        </w:rPr>
        <w:t>;</w:t>
      </w:r>
    </w:p>
    <w:p w14:paraId="64ADC6E0" w14:textId="77777777" w:rsidR="00572CA9" w:rsidRPr="00720652" w:rsidRDefault="001C5684" w:rsidP="003B5D58">
      <w:pPr>
        <w:pStyle w:val="af3"/>
        <w:numPr>
          <w:ilvl w:val="0"/>
          <w:numId w:val="32"/>
        </w:numPr>
        <w:spacing w:after="0" w:line="276" w:lineRule="auto"/>
        <w:ind w:left="0" w:firstLine="567"/>
        <w:jc w:val="both"/>
        <w:outlineLvl w:val="0"/>
        <w:rPr>
          <w:rFonts w:asciiTheme="majorHAnsi" w:eastAsia="Calibri" w:hAnsiTheme="majorHAnsi" w:cstheme="majorHAnsi"/>
          <w:sz w:val="24"/>
          <w:szCs w:val="24"/>
          <w:shd w:val="clear" w:color="auto" w:fill="FFFFFF"/>
          <w:lang w:val="ro-RO"/>
        </w:rPr>
      </w:pPr>
      <w:r w:rsidRPr="00720652">
        <w:rPr>
          <w:rFonts w:asciiTheme="majorHAnsi" w:hAnsiTheme="majorHAnsi" w:cstheme="majorHAnsi"/>
          <w:b/>
          <w:sz w:val="24"/>
          <w:szCs w:val="24"/>
          <w:lang w:val="ro-RO"/>
        </w:rPr>
        <w:t>d</w:t>
      </w:r>
      <w:r w:rsidR="005C5B5E" w:rsidRPr="00720652">
        <w:rPr>
          <w:rFonts w:asciiTheme="majorHAnsi" w:hAnsiTheme="majorHAnsi" w:cstheme="majorHAnsi"/>
          <w:b/>
          <w:sz w:val="24"/>
          <w:szCs w:val="24"/>
          <w:lang w:val="ro-RO"/>
        </w:rPr>
        <w:t>eși conceptu</w:t>
      </w:r>
      <w:r w:rsidR="00572CA9" w:rsidRPr="00720652">
        <w:rPr>
          <w:rFonts w:asciiTheme="majorHAnsi" w:hAnsiTheme="majorHAnsi" w:cstheme="majorHAnsi"/>
          <w:b/>
          <w:sz w:val="24"/>
          <w:szCs w:val="24"/>
          <w:lang w:val="ro-RO"/>
        </w:rPr>
        <w:t xml:space="preserve">l </w:t>
      </w:r>
      <w:r w:rsidR="00733D25" w:rsidRPr="00720652">
        <w:rPr>
          <w:rFonts w:asciiTheme="majorHAnsi" w:hAnsiTheme="majorHAnsi" w:cstheme="majorHAnsi"/>
          <w:b/>
          <w:sz w:val="24"/>
          <w:szCs w:val="24"/>
          <w:lang w:val="ro-RO"/>
        </w:rPr>
        <w:t>S</w:t>
      </w:r>
      <w:r w:rsidR="003B5D58" w:rsidRPr="00720652">
        <w:rPr>
          <w:rFonts w:asciiTheme="majorHAnsi" w:hAnsiTheme="majorHAnsi" w:cstheme="majorHAnsi"/>
          <w:b/>
          <w:sz w:val="24"/>
          <w:szCs w:val="24"/>
          <w:lang w:val="ro-RO"/>
        </w:rPr>
        <w:t>istemul</w:t>
      </w:r>
      <w:r w:rsidR="00733D25" w:rsidRPr="00720652">
        <w:rPr>
          <w:rFonts w:asciiTheme="majorHAnsi" w:hAnsiTheme="majorHAnsi" w:cstheme="majorHAnsi"/>
          <w:b/>
          <w:sz w:val="24"/>
          <w:szCs w:val="24"/>
          <w:lang w:val="ro-RO"/>
        </w:rPr>
        <w:t>ui</w:t>
      </w:r>
      <w:r w:rsidR="003B5D58" w:rsidRPr="00720652">
        <w:rPr>
          <w:rFonts w:asciiTheme="majorHAnsi" w:hAnsiTheme="majorHAnsi" w:cstheme="majorHAnsi"/>
          <w:b/>
          <w:sz w:val="24"/>
          <w:szCs w:val="24"/>
          <w:lang w:val="ro-RO"/>
        </w:rPr>
        <w:t xml:space="preserve"> </w:t>
      </w:r>
      <w:proofErr w:type="spellStart"/>
      <w:r w:rsidR="003B5D58" w:rsidRPr="00720652">
        <w:rPr>
          <w:rFonts w:asciiTheme="majorHAnsi" w:hAnsiTheme="majorHAnsi" w:cstheme="majorHAnsi"/>
          <w:b/>
          <w:sz w:val="24"/>
          <w:szCs w:val="24"/>
          <w:lang w:val="ro-RO"/>
        </w:rPr>
        <w:t>informaţional</w:t>
      </w:r>
      <w:proofErr w:type="spellEnd"/>
      <w:r w:rsidR="00572CA9" w:rsidRPr="00720652">
        <w:rPr>
          <w:rFonts w:asciiTheme="majorHAnsi" w:hAnsiTheme="majorHAnsi" w:cstheme="majorHAnsi"/>
          <w:b/>
          <w:sz w:val="24"/>
          <w:szCs w:val="24"/>
          <w:lang w:val="ro-RO"/>
        </w:rPr>
        <w:t xml:space="preserve"> </w:t>
      </w:r>
      <w:r w:rsidR="003B5D58" w:rsidRPr="00720652">
        <w:rPr>
          <w:rFonts w:asciiTheme="majorHAnsi" w:hAnsiTheme="majorHAnsi" w:cstheme="majorHAnsi"/>
          <w:b/>
          <w:sz w:val="24"/>
          <w:szCs w:val="24"/>
          <w:lang w:val="ro-RO"/>
        </w:rPr>
        <w:t xml:space="preserve">Registrul obiectelor infrastructurii </w:t>
      </w:r>
      <w:proofErr w:type="spellStart"/>
      <w:r w:rsidR="003B5D58" w:rsidRPr="00720652">
        <w:rPr>
          <w:rFonts w:asciiTheme="majorHAnsi" w:hAnsiTheme="majorHAnsi" w:cstheme="majorHAnsi"/>
          <w:b/>
          <w:sz w:val="24"/>
          <w:szCs w:val="24"/>
          <w:lang w:val="ro-RO"/>
        </w:rPr>
        <w:t>tehnico</w:t>
      </w:r>
      <w:proofErr w:type="spellEnd"/>
      <w:r w:rsidR="003B5D58" w:rsidRPr="00720652">
        <w:rPr>
          <w:rFonts w:asciiTheme="majorHAnsi" w:hAnsiTheme="majorHAnsi" w:cstheme="majorHAnsi"/>
          <w:b/>
          <w:sz w:val="24"/>
          <w:szCs w:val="24"/>
          <w:lang w:val="ro-RO"/>
        </w:rPr>
        <w:t>-edilitare</w:t>
      </w:r>
      <w:r w:rsidR="00572CA9" w:rsidRPr="00720652">
        <w:rPr>
          <w:rFonts w:asciiTheme="majorHAnsi" w:hAnsiTheme="majorHAnsi" w:cstheme="majorHAnsi"/>
          <w:b/>
          <w:sz w:val="24"/>
          <w:szCs w:val="24"/>
          <w:lang w:val="ro-RO"/>
        </w:rPr>
        <w:t xml:space="preserve"> a fost aprobat în anul 2014, </w:t>
      </w:r>
      <w:r w:rsidR="003B5D58" w:rsidRPr="00720652">
        <w:rPr>
          <w:rFonts w:asciiTheme="majorHAnsi" w:hAnsiTheme="majorHAnsi" w:cstheme="majorHAnsi"/>
          <w:b/>
          <w:sz w:val="24"/>
          <w:szCs w:val="24"/>
          <w:lang w:val="ro-RO"/>
        </w:rPr>
        <w:t>acest sistem</w:t>
      </w:r>
      <w:r w:rsidR="00572CA9" w:rsidRPr="00720652">
        <w:rPr>
          <w:rFonts w:asciiTheme="majorHAnsi" w:hAnsiTheme="majorHAnsi" w:cstheme="majorHAnsi"/>
          <w:b/>
          <w:sz w:val="24"/>
          <w:szCs w:val="24"/>
          <w:lang w:val="ro-RO"/>
        </w:rPr>
        <w:t xml:space="preserve"> nu a fost creat până în prezent</w:t>
      </w:r>
      <w:bookmarkEnd w:id="10"/>
      <w:r w:rsidR="00572CA9" w:rsidRPr="00720652">
        <w:rPr>
          <w:rFonts w:asciiTheme="majorHAnsi" w:hAnsiTheme="majorHAnsi" w:cstheme="majorHAnsi"/>
          <w:b/>
          <w:sz w:val="24"/>
          <w:szCs w:val="24"/>
          <w:lang w:val="ro-RO"/>
        </w:rPr>
        <w:t xml:space="preserve">. </w:t>
      </w:r>
      <w:r w:rsidR="00572CA9" w:rsidRPr="00720652">
        <w:rPr>
          <w:rFonts w:asciiTheme="majorHAnsi" w:hAnsiTheme="majorHAnsi" w:cstheme="majorHAnsi"/>
          <w:sz w:val="24"/>
          <w:szCs w:val="24"/>
          <w:shd w:val="clear" w:color="auto" w:fill="FFFFFF"/>
          <w:lang w:val="ro-RO"/>
        </w:rPr>
        <w:t xml:space="preserve">În anii 2019-2021 activitățile </w:t>
      </w:r>
      <w:r w:rsidR="005C5B5E" w:rsidRPr="00720652">
        <w:rPr>
          <w:rFonts w:asciiTheme="majorHAnsi" w:hAnsiTheme="majorHAnsi" w:cstheme="majorHAnsi"/>
          <w:sz w:val="24"/>
          <w:szCs w:val="24"/>
          <w:shd w:val="clear" w:color="auto" w:fill="FFFFFF"/>
          <w:lang w:val="ro-RO"/>
        </w:rPr>
        <w:t xml:space="preserve">aferente creării </w:t>
      </w:r>
      <w:r w:rsidR="003B5D58" w:rsidRPr="00720652">
        <w:rPr>
          <w:rFonts w:asciiTheme="majorHAnsi" w:hAnsiTheme="majorHAnsi" w:cstheme="majorHAnsi"/>
          <w:sz w:val="24"/>
          <w:szCs w:val="24"/>
          <w:shd w:val="clear" w:color="auto" w:fill="FFFFFF"/>
          <w:lang w:val="ro-RO"/>
        </w:rPr>
        <w:t>Registrul</w:t>
      </w:r>
      <w:r w:rsidR="00733D25" w:rsidRPr="00720652">
        <w:rPr>
          <w:rFonts w:asciiTheme="majorHAnsi" w:hAnsiTheme="majorHAnsi" w:cstheme="majorHAnsi"/>
          <w:sz w:val="24"/>
          <w:szCs w:val="24"/>
          <w:shd w:val="clear" w:color="auto" w:fill="FFFFFF"/>
          <w:lang w:val="ro-RO"/>
        </w:rPr>
        <w:t>ui</w:t>
      </w:r>
      <w:r w:rsidR="003B5D58" w:rsidRPr="00720652">
        <w:rPr>
          <w:rFonts w:asciiTheme="majorHAnsi" w:hAnsiTheme="majorHAnsi" w:cstheme="majorHAnsi"/>
          <w:sz w:val="24"/>
          <w:szCs w:val="24"/>
          <w:shd w:val="clear" w:color="auto" w:fill="FFFFFF"/>
          <w:lang w:val="ro-RO"/>
        </w:rPr>
        <w:t xml:space="preserve"> obiectelor infrastructurii </w:t>
      </w:r>
      <w:proofErr w:type="spellStart"/>
      <w:r w:rsidR="003B5D58" w:rsidRPr="00720652">
        <w:rPr>
          <w:rFonts w:asciiTheme="majorHAnsi" w:hAnsiTheme="majorHAnsi" w:cstheme="majorHAnsi"/>
          <w:sz w:val="24"/>
          <w:szCs w:val="24"/>
          <w:shd w:val="clear" w:color="auto" w:fill="FFFFFF"/>
          <w:lang w:val="ro-RO"/>
        </w:rPr>
        <w:t>tehnico</w:t>
      </w:r>
      <w:proofErr w:type="spellEnd"/>
      <w:r w:rsidR="003B5D58" w:rsidRPr="00720652">
        <w:rPr>
          <w:rFonts w:asciiTheme="majorHAnsi" w:hAnsiTheme="majorHAnsi" w:cstheme="majorHAnsi"/>
          <w:sz w:val="24"/>
          <w:szCs w:val="24"/>
          <w:shd w:val="clear" w:color="auto" w:fill="FFFFFF"/>
          <w:lang w:val="ro-RO"/>
        </w:rPr>
        <w:t>-edilitare</w:t>
      </w:r>
      <w:r w:rsidR="005C5B5E" w:rsidRPr="00720652">
        <w:rPr>
          <w:rFonts w:asciiTheme="majorHAnsi" w:hAnsiTheme="majorHAnsi" w:cstheme="majorHAnsi"/>
          <w:sz w:val="24"/>
          <w:szCs w:val="24"/>
          <w:shd w:val="clear" w:color="auto" w:fill="FFFFFF"/>
          <w:lang w:val="ro-RO"/>
        </w:rPr>
        <w:t xml:space="preserve"> au fost </w:t>
      </w:r>
      <w:r w:rsidR="00572CA9" w:rsidRPr="00720652">
        <w:rPr>
          <w:rFonts w:asciiTheme="majorHAnsi" w:hAnsiTheme="majorHAnsi" w:cstheme="majorHAnsi"/>
          <w:sz w:val="24"/>
          <w:szCs w:val="24"/>
          <w:shd w:val="clear" w:color="auto" w:fill="FFFFFF"/>
          <w:lang w:val="ro-RO"/>
        </w:rPr>
        <w:t>axate pe elaborarea actelor normative aferente implemen</w:t>
      </w:r>
      <w:r w:rsidR="006E61EF" w:rsidRPr="00720652">
        <w:rPr>
          <w:rFonts w:asciiTheme="majorHAnsi" w:hAnsiTheme="majorHAnsi" w:cstheme="majorHAnsi"/>
          <w:sz w:val="24"/>
          <w:szCs w:val="24"/>
          <w:shd w:val="clear" w:color="auto" w:fill="FFFFFF"/>
          <w:lang w:val="ro-RO"/>
        </w:rPr>
        <w:t>t</w:t>
      </w:r>
      <w:r w:rsidR="00572CA9" w:rsidRPr="00720652">
        <w:rPr>
          <w:rFonts w:asciiTheme="majorHAnsi" w:hAnsiTheme="majorHAnsi" w:cstheme="majorHAnsi"/>
          <w:sz w:val="24"/>
          <w:szCs w:val="24"/>
          <w:shd w:val="clear" w:color="auto" w:fill="FFFFFF"/>
          <w:lang w:val="ro-RO"/>
        </w:rPr>
        <w:t>ării acestuia</w:t>
      </w:r>
      <w:r w:rsidR="003B5D58" w:rsidRPr="00720652">
        <w:rPr>
          <w:rFonts w:asciiTheme="majorHAnsi" w:hAnsiTheme="majorHAnsi" w:cstheme="majorHAnsi"/>
          <w:bCs/>
          <w:sz w:val="24"/>
          <w:szCs w:val="24"/>
          <w:shd w:val="clear" w:color="auto" w:fill="FFFFFF"/>
          <w:lang w:val="ro-RO"/>
        </w:rPr>
        <w:t>, în anul 2022 fiind definitivate specificațiile tehnice, iar în anul 2023 fiind lansată procedura de achiziție a serviciilor de elaborare a acestui soft</w:t>
      </w:r>
      <w:r w:rsidR="00733D25" w:rsidRPr="00720652">
        <w:rPr>
          <w:rFonts w:asciiTheme="majorHAnsi" w:hAnsiTheme="majorHAnsi" w:cstheme="majorHAnsi"/>
          <w:bCs/>
          <w:sz w:val="24"/>
          <w:szCs w:val="24"/>
          <w:shd w:val="clear" w:color="auto" w:fill="FFFFFF"/>
          <w:lang w:val="ro-RO"/>
        </w:rPr>
        <w:t>;</w:t>
      </w:r>
    </w:p>
    <w:p w14:paraId="79B3668C" w14:textId="77777777" w:rsidR="00A50756" w:rsidRPr="00720652" w:rsidRDefault="001C5684" w:rsidP="000B4A9A">
      <w:pPr>
        <w:pStyle w:val="1"/>
        <w:numPr>
          <w:ilvl w:val="0"/>
          <w:numId w:val="32"/>
        </w:numPr>
        <w:spacing w:before="0" w:line="276" w:lineRule="auto"/>
        <w:ind w:left="0" w:firstLine="567"/>
        <w:jc w:val="both"/>
        <w:rPr>
          <w:rFonts w:cstheme="majorHAnsi"/>
          <w:b w:val="0"/>
          <w:color w:val="auto"/>
          <w:sz w:val="24"/>
          <w:szCs w:val="24"/>
          <w:lang w:val="ro-RO"/>
        </w:rPr>
      </w:pPr>
      <w:r w:rsidRPr="00720652">
        <w:rPr>
          <w:rFonts w:eastAsia="Times New Roman" w:cstheme="majorHAnsi"/>
          <w:color w:val="auto"/>
          <w:sz w:val="24"/>
          <w:szCs w:val="24"/>
          <w:lang w:val="ro-RO"/>
        </w:rPr>
        <w:t>t</w:t>
      </w:r>
      <w:r w:rsidR="00A50756" w:rsidRPr="00720652">
        <w:rPr>
          <w:rFonts w:eastAsia="Times New Roman" w:cstheme="majorHAnsi"/>
          <w:color w:val="auto"/>
          <w:sz w:val="24"/>
          <w:szCs w:val="24"/>
          <w:lang w:val="ro-RO"/>
        </w:rPr>
        <w:t>arifele</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pentru</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prestarea</w:t>
      </w:r>
      <w:r w:rsidR="00A50756" w:rsidRPr="00720652">
        <w:rPr>
          <w:rFonts w:eastAsia="Times New Roman" w:cstheme="majorHAnsi"/>
          <w:color w:val="auto"/>
          <w:spacing w:val="-2"/>
          <w:sz w:val="24"/>
          <w:szCs w:val="24"/>
          <w:lang w:val="ro-RO"/>
        </w:rPr>
        <w:t xml:space="preserve"> </w:t>
      </w:r>
      <w:r w:rsidR="00A50756" w:rsidRPr="00720652">
        <w:rPr>
          <w:rFonts w:eastAsia="Times New Roman" w:cstheme="majorHAnsi"/>
          <w:color w:val="auto"/>
          <w:sz w:val="24"/>
          <w:szCs w:val="24"/>
          <w:lang w:val="ro-RO"/>
        </w:rPr>
        <w:t>serviciilor</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de</w:t>
      </w:r>
      <w:r w:rsidR="00A50756" w:rsidRPr="00720652">
        <w:rPr>
          <w:rFonts w:eastAsia="Times New Roman" w:cstheme="majorHAnsi"/>
          <w:color w:val="auto"/>
          <w:spacing w:val="-4"/>
          <w:sz w:val="24"/>
          <w:szCs w:val="24"/>
          <w:lang w:val="ro-RO"/>
        </w:rPr>
        <w:t xml:space="preserve"> </w:t>
      </w:r>
      <w:r w:rsidR="00A50756" w:rsidRPr="00720652">
        <w:rPr>
          <w:rFonts w:eastAsia="Times New Roman" w:cstheme="majorHAnsi"/>
          <w:color w:val="auto"/>
          <w:sz w:val="24"/>
          <w:szCs w:val="24"/>
          <w:lang w:val="ro-RO"/>
        </w:rPr>
        <w:t>aprovizionare</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cu</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apă</w:t>
      </w:r>
      <w:r w:rsidR="00A50756" w:rsidRPr="00720652">
        <w:rPr>
          <w:rFonts w:eastAsia="Times New Roman" w:cstheme="majorHAnsi"/>
          <w:color w:val="auto"/>
          <w:spacing w:val="-2"/>
          <w:sz w:val="24"/>
          <w:szCs w:val="24"/>
          <w:lang w:val="ro-RO"/>
        </w:rPr>
        <w:t xml:space="preserve"> </w:t>
      </w:r>
      <w:r w:rsidR="00A50756" w:rsidRPr="00720652">
        <w:rPr>
          <w:rFonts w:eastAsia="Times New Roman" w:cstheme="majorHAnsi"/>
          <w:color w:val="auto"/>
          <w:sz w:val="24"/>
          <w:szCs w:val="24"/>
          <w:lang w:val="ro-RO"/>
        </w:rPr>
        <w:t>și</w:t>
      </w:r>
      <w:r w:rsidR="00A50756" w:rsidRPr="00720652">
        <w:rPr>
          <w:rFonts w:eastAsia="Times New Roman" w:cstheme="majorHAnsi"/>
          <w:color w:val="auto"/>
          <w:spacing w:val="-3"/>
          <w:sz w:val="24"/>
          <w:szCs w:val="24"/>
          <w:lang w:val="ro-RO"/>
        </w:rPr>
        <w:t xml:space="preserve"> </w:t>
      </w:r>
      <w:r w:rsidR="00A50756" w:rsidRPr="00720652">
        <w:rPr>
          <w:rFonts w:eastAsia="Times New Roman" w:cstheme="majorHAnsi"/>
          <w:color w:val="auto"/>
          <w:sz w:val="24"/>
          <w:szCs w:val="24"/>
          <w:lang w:val="ro-RO"/>
        </w:rPr>
        <w:t xml:space="preserve">sanitație la </w:t>
      </w:r>
      <w:r w:rsidR="00733D25" w:rsidRPr="00720652">
        <w:rPr>
          <w:rFonts w:eastAsia="Times New Roman" w:cstheme="majorHAnsi"/>
          <w:color w:val="auto"/>
          <w:sz w:val="24"/>
          <w:szCs w:val="24"/>
          <w:lang w:val="ro-RO"/>
        </w:rPr>
        <w:t xml:space="preserve">o </w:t>
      </w:r>
      <w:r w:rsidR="00A50756" w:rsidRPr="00720652">
        <w:rPr>
          <w:rFonts w:eastAsia="Times New Roman" w:cstheme="majorHAnsi"/>
          <w:color w:val="auto"/>
          <w:sz w:val="24"/>
          <w:szCs w:val="24"/>
          <w:lang w:val="ro-RO"/>
        </w:rPr>
        <w:t xml:space="preserve">mare parte de operatori nu au fost modificate pe parcursul mai multor ani, ceea ce a dus la </w:t>
      </w:r>
      <w:r w:rsidR="00733D25" w:rsidRPr="00720652">
        <w:rPr>
          <w:rFonts w:eastAsia="Times New Roman" w:cstheme="majorHAnsi"/>
          <w:color w:val="auto"/>
          <w:sz w:val="24"/>
          <w:szCs w:val="24"/>
          <w:lang w:val="ro-RO"/>
        </w:rPr>
        <w:t>a</w:t>
      </w:r>
      <w:r w:rsidR="00A50756" w:rsidRPr="00720652">
        <w:rPr>
          <w:rFonts w:eastAsia="Times New Roman" w:cstheme="majorHAnsi"/>
          <w:color w:val="auto"/>
          <w:sz w:val="24"/>
          <w:szCs w:val="24"/>
          <w:lang w:val="ro-RO"/>
        </w:rPr>
        <w:t xml:space="preserve">cumularea pierderilor de către întreprinderile gestionare a infrastructurii de apeduct și canalizare. </w:t>
      </w:r>
      <w:r w:rsidR="00A50756" w:rsidRPr="00720652">
        <w:rPr>
          <w:rFonts w:eastAsia="Times New Roman" w:cstheme="majorHAnsi"/>
          <w:b w:val="0"/>
          <w:color w:val="auto"/>
          <w:sz w:val="24"/>
          <w:szCs w:val="24"/>
          <w:lang w:val="ro-RO"/>
        </w:rPr>
        <w:t>Astfel, în anul 2014</w:t>
      </w:r>
      <w:r w:rsidR="00D62F07" w:rsidRPr="00720652">
        <w:rPr>
          <w:rFonts w:eastAsia="Times New Roman" w:cstheme="majorHAnsi"/>
          <w:b w:val="0"/>
          <w:color w:val="auto"/>
          <w:sz w:val="24"/>
          <w:szCs w:val="24"/>
          <w:lang w:val="ro-RO"/>
        </w:rPr>
        <w:t>,</w:t>
      </w:r>
      <w:r w:rsidR="00A50756" w:rsidRPr="00720652">
        <w:rPr>
          <w:rFonts w:eastAsia="Times New Roman" w:cstheme="majorHAnsi"/>
          <w:b w:val="0"/>
          <w:bCs w:val="0"/>
          <w:color w:val="auto"/>
          <w:sz w:val="24"/>
          <w:szCs w:val="24"/>
          <w:lang w:val="ro-RO"/>
        </w:rPr>
        <w:t xml:space="preserve"> 27 de întreprinderi</w:t>
      </w:r>
      <w:r w:rsidR="00D142A5" w:rsidRPr="00720652">
        <w:rPr>
          <w:rFonts w:eastAsia="Times New Roman" w:cstheme="majorHAnsi"/>
          <w:b w:val="0"/>
          <w:bCs w:val="0"/>
          <w:color w:val="auto"/>
          <w:sz w:val="24"/>
          <w:szCs w:val="24"/>
          <w:lang w:val="ro-RO"/>
        </w:rPr>
        <w:t>,</w:t>
      </w:r>
      <w:r w:rsidR="00A50756" w:rsidRPr="00720652">
        <w:rPr>
          <w:rFonts w:eastAsia="Times New Roman" w:cstheme="majorHAnsi"/>
          <w:b w:val="0"/>
          <w:bCs w:val="0"/>
          <w:color w:val="auto"/>
          <w:sz w:val="24"/>
          <w:szCs w:val="24"/>
          <w:lang w:val="ro-RO"/>
        </w:rPr>
        <w:t xml:space="preserve"> din 36 analizate</w:t>
      </w:r>
      <w:r w:rsidR="00D142A5" w:rsidRPr="00720652">
        <w:rPr>
          <w:rFonts w:eastAsia="Times New Roman" w:cstheme="majorHAnsi"/>
          <w:b w:val="0"/>
          <w:bCs w:val="0"/>
          <w:color w:val="auto"/>
          <w:sz w:val="24"/>
          <w:szCs w:val="24"/>
          <w:lang w:val="ro-RO"/>
        </w:rPr>
        <w:t>,</w:t>
      </w:r>
      <w:r w:rsidR="00A50756" w:rsidRPr="00720652">
        <w:rPr>
          <w:rFonts w:eastAsia="Times New Roman" w:cstheme="majorHAnsi"/>
          <w:b w:val="0"/>
          <w:bCs w:val="0"/>
          <w:color w:val="auto"/>
          <w:sz w:val="24"/>
          <w:szCs w:val="24"/>
          <w:lang w:val="ro-RO"/>
        </w:rPr>
        <w:t xml:space="preserve"> au înregistrat pierderi de 225,7 mil.lei. În anul 2021, numărul întreprinderilor care înregistrează pierderi a crescut până la 32, valoarea pierderilor acumulate fiind în creștere </w:t>
      </w:r>
      <w:r w:rsidR="00733D25" w:rsidRPr="00720652">
        <w:rPr>
          <w:rFonts w:eastAsia="Times New Roman" w:cstheme="majorHAnsi"/>
          <w:b w:val="0"/>
          <w:bCs w:val="0"/>
          <w:color w:val="auto"/>
          <w:sz w:val="24"/>
          <w:szCs w:val="24"/>
          <w:lang w:val="ro-RO"/>
        </w:rPr>
        <w:t>de</w:t>
      </w:r>
      <w:r w:rsidR="00A50756" w:rsidRPr="00720652">
        <w:rPr>
          <w:rFonts w:eastAsia="Times New Roman" w:cstheme="majorHAnsi"/>
          <w:b w:val="0"/>
          <w:bCs w:val="0"/>
          <w:color w:val="auto"/>
          <w:sz w:val="24"/>
          <w:szCs w:val="24"/>
          <w:lang w:val="ro-RO"/>
        </w:rPr>
        <w:t xml:space="preserve"> peste 5 ori, la finele anului 2021 constituind 1</w:t>
      </w:r>
      <w:r w:rsidR="00733D25" w:rsidRPr="00720652">
        <w:rPr>
          <w:rFonts w:eastAsia="Times New Roman" w:cstheme="majorHAnsi"/>
          <w:b w:val="0"/>
          <w:bCs w:val="0"/>
          <w:color w:val="auto"/>
          <w:sz w:val="24"/>
          <w:szCs w:val="24"/>
          <w:lang w:val="ro-RO"/>
        </w:rPr>
        <w:t>.</w:t>
      </w:r>
      <w:r w:rsidR="00A50756" w:rsidRPr="00720652">
        <w:rPr>
          <w:rFonts w:eastAsia="Times New Roman" w:cstheme="majorHAnsi"/>
          <w:b w:val="0"/>
          <w:bCs w:val="0"/>
          <w:color w:val="auto"/>
          <w:sz w:val="24"/>
          <w:szCs w:val="24"/>
          <w:lang w:val="ro-RO"/>
        </w:rPr>
        <w:t>330,2 mil.lei</w:t>
      </w:r>
      <w:r w:rsidR="00733D25" w:rsidRPr="00720652">
        <w:rPr>
          <w:rFonts w:eastAsia="Times New Roman" w:cstheme="majorHAnsi"/>
          <w:b w:val="0"/>
          <w:bCs w:val="0"/>
          <w:color w:val="auto"/>
          <w:sz w:val="24"/>
          <w:szCs w:val="24"/>
          <w:lang w:val="ro-RO"/>
        </w:rPr>
        <w:t>;</w:t>
      </w:r>
    </w:p>
    <w:p w14:paraId="72720DA1" w14:textId="77777777" w:rsidR="00B57A18" w:rsidRPr="00720652" w:rsidRDefault="001C5684" w:rsidP="00733D25">
      <w:pPr>
        <w:pStyle w:val="af3"/>
        <w:widowControl w:val="0"/>
        <w:numPr>
          <w:ilvl w:val="0"/>
          <w:numId w:val="27"/>
        </w:numPr>
        <w:autoSpaceDE w:val="0"/>
        <w:autoSpaceDN w:val="0"/>
        <w:spacing w:after="0" w:line="276" w:lineRule="auto"/>
        <w:ind w:left="0" w:firstLine="567"/>
        <w:jc w:val="both"/>
        <w:rPr>
          <w:rFonts w:asciiTheme="majorHAnsi" w:eastAsia="Times New Roman" w:hAnsiTheme="majorHAnsi" w:cstheme="majorHAnsi"/>
          <w:bCs/>
          <w:sz w:val="24"/>
          <w:szCs w:val="24"/>
          <w:lang w:val="ro-RO"/>
        </w:rPr>
      </w:pPr>
      <w:r w:rsidRPr="00720652">
        <w:rPr>
          <w:rFonts w:asciiTheme="majorHAnsi" w:hAnsiTheme="majorHAnsi" w:cstheme="majorHAnsi"/>
          <w:b/>
          <w:sz w:val="24"/>
          <w:szCs w:val="24"/>
          <w:lang w:val="ro-RO"/>
        </w:rPr>
        <w:t>d</w:t>
      </w:r>
      <w:r w:rsidR="00360152" w:rsidRPr="00720652">
        <w:rPr>
          <w:rFonts w:asciiTheme="majorHAnsi" w:hAnsiTheme="majorHAnsi" w:cstheme="majorHAnsi"/>
          <w:b/>
          <w:sz w:val="24"/>
          <w:szCs w:val="24"/>
          <w:lang w:val="ro-RO"/>
        </w:rPr>
        <w:t>in 36 de întreprinderi prestatoare de servicii de alimentare cu apă și canalizare</w:t>
      </w:r>
      <w:r w:rsidR="00733D25" w:rsidRPr="00720652">
        <w:rPr>
          <w:rFonts w:asciiTheme="majorHAnsi" w:hAnsiTheme="majorHAnsi" w:cstheme="majorHAnsi"/>
          <w:b/>
          <w:sz w:val="24"/>
          <w:szCs w:val="24"/>
          <w:lang w:val="ro-RO"/>
        </w:rPr>
        <w:t>,</w:t>
      </w:r>
      <w:r w:rsidR="000B4A9A" w:rsidRPr="00720652">
        <w:rPr>
          <w:rFonts w:asciiTheme="majorHAnsi" w:hAnsiTheme="majorHAnsi" w:cstheme="majorHAnsi"/>
          <w:b/>
          <w:sz w:val="24"/>
          <w:szCs w:val="24"/>
          <w:lang w:val="ro-RO"/>
        </w:rPr>
        <w:t xml:space="preserve"> </w:t>
      </w:r>
      <w:r w:rsidR="00A0439D" w:rsidRPr="00720652">
        <w:rPr>
          <w:rFonts w:asciiTheme="majorHAnsi" w:hAnsiTheme="majorHAnsi" w:cstheme="majorHAnsi"/>
          <w:b/>
          <w:sz w:val="24"/>
          <w:szCs w:val="24"/>
          <w:lang w:val="ro-RO"/>
        </w:rPr>
        <w:t>8,</w:t>
      </w:r>
      <w:r w:rsidR="00360152" w:rsidRPr="00720652">
        <w:rPr>
          <w:rFonts w:asciiTheme="majorHAnsi" w:hAnsiTheme="majorHAnsi" w:cstheme="majorHAnsi"/>
          <w:b/>
          <w:sz w:val="24"/>
          <w:szCs w:val="24"/>
          <w:lang w:val="ro-RO"/>
        </w:rPr>
        <w:t xml:space="preserve"> pe parcursul mai multor ani</w:t>
      </w:r>
      <w:r w:rsidR="00A0439D" w:rsidRPr="00720652">
        <w:rPr>
          <w:rFonts w:asciiTheme="majorHAnsi" w:hAnsiTheme="majorHAnsi" w:cstheme="majorHAnsi"/>
          <w:b/>
          <w:sz w:val="24"/>
          <w:szCs w:val="24"/>
          <w:lang w:val="ro-RO"/>
        </w:rPr>
        <w:t>,</w:t>
      </w:r>
      <w:r w:rsidR="00360152" w:rsidRPr="00720652">
        <w:rPr>
          <w:rFonts w:asciiTheme="majorHAnsi" w:hAnsiTheme="majorHAnsi" w:cstheme="majorHAnsi"/>
          <w:b/>
          <w:sz w:val="24"/>
          <w:szCs w:val="24"/>
          <w:lang w:val="ro-RO"/>
        </w:rPr>
        <w:t xml:space="preserve"> înregistrează valori negative la capitalul propriu.</w:t>
      </w:r>
      <w:r w:rsidR="00360152" w:rsidRPr="00720652">
        <w:rPr>
          <w:rFonts w:asciiTheme="majorHAnsi" w:eastAsia="Times New Roman" w:hAnsiTheme="majorHAnsi" w:cstheme="majorHAnsi"/>
          <w:b/>
          <w:bCs/>
          <w:sz w:val="24"/>
          <w:szCs w:val="24"/>
          <w:lang w:val="ro-RO"/>
        </w:rPr>
        <w:t xml:space="preserve"> </w:t>
      </w:r>
      <w:r w:rsidR="00360152" w:rsidRPr="00720652">
        <w:rPr>
          <w:rFonts w:asciiTheme="majorHAnsi" w:eastAsia="Times New Roman" w:hAnsiTheme="majorHAnsi" w:cstheme="majorHAnsi"/>
          <w:bCs/>
          <w:sz w:val="24"/>
          <w:szCs w:val="24"/>
          <w:lang w:val="ro-RO"/>
        </w:rPr>
        <w:t xml:space="preserve">În comparație cu anul 2014, în anul 2021 numărul întreprinderilor care au înregistrat capital propriu negativ a crescut de la </w:t>
      </w:r>
      <w:r w:rsidR="00733D25" w:rsidRPr="00720652">
        <w:rPr>
          <w:rFonts w:asciiTheme="majorHAnsi" w:eastAsia="Times New Roman" w:hAnsiTheme="majorHAnsi" w:cstheme="majorHAnsi"/>
          <w:bCs/>
          <w:sz w:val="24"/>
          <w:szCs w:val="24"/>
          <w:lang w:val="ro-RO"/>
        </w:rPr>
        <w:t>1</w:t>
      </w:r>
      <w:r w:rsidR="00360152" w:rsidRPr="00720652">
        <w:rPr>
          <w:rFonts w:asciiTheme="majorHAnsi" w:eastAsia="Times New Roman" w:hAnsiTheme="majorHAnsi" w:cstheme="majorHAnsi"/>
          <w:bCs/>
          <w:sz w:val="24"/>
          <w:szCs w:val="24"/>
          <w:lang w:val="ro-RO"/>
        </w:rPr>
        <w:t xml:space="preserve"> la 8, iar valoarea capitalului propriu negativ </w:t>
      </w:r>
      <w:r w:rsidR="00733D25" w:rsidRPr="00720652">
        <w:rPr>
          <w:rFonts w:asciiTheme="majorHAnsi" w:eastAsia="Times New Roman" w:hAnsiTheme="majorHAnsi" w:cstheme="majorHAnsi"/>
          <w:bCs/>
          <w:sz w:val="24"/>
          <w:szCs w:val="24"/>
          <w:lang w:val="ro-RO"/>
        </w:rPr>
        <w:t xml:space="preserve">– </w:t>
      </w:r>
      <w:r w:rsidR="00360152" w:rsidRPr="00720652">
        <w:rPr>
          <w:rFonts w:asciiTheme="majorHAnsi" w:eastAsia="Times New Roman" w:hAnsiTheme="majorHAnsi" w:cstheme="majorHAnsi"/>
          <w:bCs/>
          <w:sz w:val="24"/>
          <w:szCs w:val="24"/>
          <w:lang w:val="ro-RO"/>
        </w:rPr>
        <w:t xml:space="preserve">de la 3,8 </w:t>
      </w:r>
      <w:r w:rsidR="00B57A18" w:rsidRPr="00720652">
        <w:rPr>
          <w:rFonts w:asciiTheme="majorHAnsi" w:eastAsia="Times New Roman" w:hAnsiTheme="majorHAnsi" w:cstheme="majorHAnsi"/>
          <w:bCs/>
          <w:sz w:val="24"/>
          <w:szCs w:val="24"/>
          <w:lang w:val="ro-RO"/>
        </w:rPr>
        <w:t>mii lei până la 400,4 mil.lei</w:t>
      </w:r>
      <w:r w:rsidR="00733D25" w:rsidRPr="00720652">
        <w:rPr>
          <w:rFonts w:asciiTheme="majorHAnsi" w:eastAsia="Times New Roman" w:hAnsiTheme="majorHAnsi" w:cstheme="majorHAnsi"/>
          <w:bCs/>
          <w:sz w:val="24"/>
          <w:szCs w:val="24"/>
          <w:lang w:val="ro-RO"/>
        </w:rPr>
        <w:t>;</w:t>
      </w:r>
      <w:r w:rsidR="00B57A18" w:rsidRPr="00720652">
        <w:rPr>
          <w:rFonts w:asciiTheme="majorHAnsi" w:eastAsia="Times New Roman" w:hAnsiTheme="majorHAnsi" w:cstheme="majorHAnsi"/>
          <w:bCs/>
          <w:sz w:val="24"/>
          <w:szCs w:val="24"/>
          <w:lang w:val="ro-RO"/>
        </w:rPr>
        <w:t xml:space="preserve"> </w:t>
      </w:r>
    </w:p>
    <w:p w14:paraId="1C81D499" w14:textId="77777777" w:rsidR="00B57A18" w:rsidRPr="00720652" w:rsidRDefault="001C5684" w:rsidP="0035709F">
      <w:pPr>
        <w:pStyle w:val="af3"/>
        <w:widowControl w:val="0"/>
        <w:numPr>
          <w:ilvl w:val="0"/>
          <w:numId w:val="27"/>
        </w:numPr>
        <w:autoSpaceDE w:val="0"/>
        <w:autoSpaceDN w:val="0"/>
        <w:spacing w:after="0" w:line="276" w:lineRule="auto"/>
        <w:ind w:left="0" w:firstLine="567"/>
        <w:jc w:val="both"/>
        <w:rPr>
          <w:rFonts w:asciiTheme="majorHAnsi" w:eastAsia="Times New Roman" w:hAnsiTheme="majorHAnsi" w:cstheme="majorHAnsi"/>
          <w:bCs/>
          <w:sz w:val="24"/>
          <w:szCs w:val="24"/>
          <w:lang w:val="ro-RO"/>
        </w:rPr>
      </w:pPr>
      <w:r w:rsidRPr="00720652">
        <w:rPr>
          <w:rFonts w:asciiTheme="majorHAnsi" w:hAnsiTheme="majorHAnsi" w:cstheme="majorHAnsi"/>
          <w:b/>
          <w:sz w:val="24"/>
          <w:szCs w:val="24"/>
          <w:lang w:val="ro-RO"/>
        </w:rPr>
        <w:t>g</w:t>
      </w:r>
      <w:r w:rsidR="00360152" w:rsidRPr="00720652">
        <w:rPr>
          <w:rFonts w:asciiTheme="majorHAnsi" w:hAnsiTheme="majorHAnsi" w:cstheme="majorHAnsi"/>
          <w:b/>
          <w:sz w:val="24"/>
          <w:szCs w:val="24"/>
          <w:lang w:val="ro-RO"/>
        </w:rPr>
        <w:t>radul de îndatorare a</w:t>
      </w:r>
      <w:r w:rsidR="00733D25" w:rsidRPr="00720652">
        <w:rPr>
          <w:rFonts w:asciiTheme="majorHAnsi" w:hAnsiTheme="majorHAnsi" w:cstheme="majorHAnsi"/>
          <w:b/>
          <w:sz w:val="24"/>
          <w:szCs w:val="24"/>
          <w:lang w:val="ro-RO"/>
        </w:rPr>
        <w:t>l</w:t>
      </w:r>
      <w:r w:rsidR="00360152" w:rsidRPr="00720652">
        <w:rPr>
          <w:rFonts w:asciiTheme="majorHAnsi" w:hAnsiTheme="majorHAnsi" w:cstheme="majorHAnsi"/>
          <w:b/>
          <w:sz w:val="24"/>
          <w:szCs w:val="24"/>
          <w:lang w:val="ro-RO"/>
        </w:rPr>
        <w:t xml:space="preserve"> </w:t>
      </w:r>
      <w:r w:rsidR="000B4A9A" w:rsidRPr="00720652">
        <w:rPr>
          <w:rFonts w:asciiTheme="majorHAnsi" w:hAnsiTheme="majorHAnsi" w:cstheme="majorHAnsi"/>
          <w:b/>
          <w:sz w:val="24"/>
          <w:szCs w:val="24"/>
          <w:lang w:val="ro-RO"/>
        </w:rPr>
        <w:t>î</w:t>
      </w:r>
      <w:r w:rsidR="00360152" w:rsidRPr="00720652">
        <w:rPr>
          <w:rFonts w:asciiTheme="majorHAnsi" w:hAnsiTheme="majorHAnsi" w:cstheme="majorHAnsi"/>
          <w:b/>
          <w:sz w:val="24"/>
          <w:szCs w:val="24"/>
          <w:lang w:val="ro-RO"/>
        </w:rPr>
        <w:t xml:space="preserve">ntreprinderilor operatoare </w:t>
      </w:r>
      <w:r w:rsidR="00733D25" w:rsidRPr="00720652">
        <w:rPr>
          <w:rFonts w:asciiTheme="majorHAnsi" w:hAnsiTheme="majorHAnsi" w:cstheme="majorHAnsi"/>
          <w:b/>
          <w:sz w:val="24"/>
          <w:szCs w:val="24"/>
          <w:lang w:val="ro-RO"/>
        </w:rPr>
        <w:t xml:space="preserve">de </w:t>
      </w:r>
      <w:r w:rsidR="00360152" w:rsidRPr="00720652">
        <w:rPr>
          <w:rFonts w:asciiTheme="majorHAnsi" w:hAnsiTheme="majorHAnsi" w:cstheme="majorHAnsi"/>
          <w:b/>
          <w:sz w:val="24"/>
          <w:szCs w:val="24"/>
          <w:lang w:val="ro-RO"/>
        </w:rPr>
        <w:t>servicii de alimentare cu a</w:t>
      </w:r>
      <w:r w:rsidR="000B4A9A" w:rsidRPr="00720652">
        <w:rPr>
          <w:rFonts w:asciiTheme="majorHAnsi" w:hAnsiTheme="majorHAnsi" w:cstheme="majorHAnsi"/>
          <w:b/>
          <w:sz w:val="24"/>
          <w:szCs w:val="24"/>
          <w:lang w:val="ro-RO"/>
        </w:rPr>
        <w:t>p</w:t>
      </w:r>
      <w:r w:rsidR="00360152" w:rsidRPr="00720652">
        <w:rPr>
          <w:rFonts w:asciiTheme="majorHAnsi" w:hAnsiTheme="majorHAnsi" w:cstheme="majorHAnsi"/>
          <w:b/>
          <w:sz w:val="24"/>
          <w:szCs w:val="24"/>
          <w:lang w:val="ro-RO"/>
        </w:rPr>
        <w:t>ă și sanitație este în creștere continu</w:t>
      </w:r>
      <w:r w:rsidR="0035709F" w:rsidRPr="00720652">
        <w:rPr>
          <w:rFonts w:asciiTheme="majorHAnsi" w:hAnsiTheme="majorHAnsi" w:cstheme="majorHAnsi"/>
          <w:b/>
          <w:sz w:val="24"/>
          <w:szCs w:val="24"/>
          <w:lang w:val="ro-RO"/>
        </w:rPr>
        <w:t>ă</w:t>
      </w:r>
      <w:r w:rsidR="00360152" w:rsidRPr="00720652">
        <w:rPr>
          <w:rFonts w:asciiTheme="majorHAnsi" w:hAnsiTheme="majorHAnsi" w:cstheme="majorHAnsi"/>
          <w:b/>
          <w:sz w:val="24"/>
          <w:szCs w:val="24"/>
          <w:lang w:val="ro-RO"/>
        </w:rPr>
        <w:t xml:space="preserve">. </w:t>
      </w:r>
      <w:r w:rsidR="00B57A18" w:rsidRPr="00720652">
        <w:rPr>
          <w:rFonts w:asciiTheme="majorHAnsi" w:eastAsia="Times New Roman" w:hAnsiTheme="majorHAnsi" w:cstheme="majorHAnsi"/>
          <w:bCs/>
          <w:sz w:val="24"/>
          <w:szCs w:val="24"/>
          <w:lang w:val="ro-RO"/>
        </w:rPr>
        <w:t>În comparație cu anul 2014 (1</w:t>
      </w:r>
      <w:r w:rsidR="00733D25" w:rsidRPr="00720652">
        <w:rPr>
          <w:rFonts w:asciiTheme="majorHAnsi" w:eastAsia="Times New Roman" w:hAnsiTheme="majorHAnsi" w:cstheme="majorHAnsi"/>
          <w:bCs/>
          <w:sz w:val="24"/>
          <w:szCs w:val="24"/>
          <w:lang w:val="ro-RO"/>
        </w:rPr>
        <w:t>.</w:t>
      </w:r>
      <w:r w:rsidR="00B57A18" w:rsidRPr="00720652">
        <w:rPr>
          <w:rFonts w:asciiTheme="majorHAnsi" w:eastAsia="Times New Roman" w:hAnsiTheme="majorHAnsi" w:cstheme="majorHAnsi"/>
          <w:bCs/>
          <w:sz w:val="24"/>
          <w:szCs w:val="24"/>
          <w:lang w:val="ro-RO"/>
        </w:rPr>
        <w:t>119,8 mil.lei), datoriile au înregistrat o creștere de 1</w:t>
      </w:r>
      <w:r w:rsidR="00733D25" w:rsidRPr="00720652">
        <w:rPr>
          <w:rFonts w:asciiTheme="majorHAnsi" w:eastAsia="Times New Roman" w:hAnsiTheme="majorHAnsi" w:cstheme="majorHAnsi"/>
          <w:bCs/>
          <w:sz w:val="24"/>
          <w:szCs w:val="24"/>
          <w:lang w:val="ro-RO"/>
        </w:rPr>
        <w:t>.</w:t>
      </w:r>
      <w:r w:rsidR="00B57A18" w:rsidRPr="00720652">
        <w:rPr>
          <w:rFonts w:asciiTheme="majorHAnsi" w:eastAsia="Times New Roman" w:hAnsiTheme="majorHAnsi" w:cstheme="majorHAnsi"/>
          <w:bCs/>
          <w:sz w:val="24"/>
          <w:szCs w:val="24"/>
          <w:lang w:val="ro-RO"/>
        </w:rPr>
        <w:t>142</w:t>
      </w:r>
      <w:r w:rsidR="000B4A9A" w:rsidRPr="00720652">
        <w:rPr>
          <w:rFonts w:asciiTheme="majorHAnsi" w:eastAsia="Times New Roman" w:hAnsiTheme="majorHAnsi" w:cstheme="majorHAnsi"/>
          <w:bCs/>
          <w:sz w:val="24"/>
          <w:szCs w:val="24"/>
          <w:lang w:val="ro-RO"/>
        </w:rPr>
        <w:t>,4 mil.lei</w:t>
      </w:r>
      <w:r w:rsidR="00733D25" w:rsidRPr="00720652">
        <w:rPr>
          <w:rFonts w:asciiTheme="majorHAnsi" w:eastAsia="Times New Roman" w:hAnsiTheme="majorHAnsi" w:cstheme="majorHAnsi"/>
          <w:bCs/>
          <w:sz w:val="24"/>
          <w:szCs w:val="24"/>
          <w:lang w:val="ro-RO"/>
        </w:rPr>
        <w:t>,</w:t>
      </w:r>
      <w:r w:rsidR="000B4A9A" w:rsidRPr="00720652">
        <w:rPr>
          <w:rFonts w:asciiTheme="majorHAnsi" w:eastAsia="Times New Roman" w:hAnsiTheme="majorHAnsi" w:cstheme="majorHAnsi"/>
          <w:bCs/>
          <w:sz w:val="24"/>
          <w:szCs w:val="24"/>
          <w:lang w:val="ro-RO"/>
        </w:rPr>
        <w:t xml:space="preserve"> sau cu 102%, constitui</w:t>
      </w:r>
      <w:r w:rsidR="00B57A18" w:rsidRPr="00720652">
        <w:rPr>
          <w:rFonts w:asciiTheme="majorHAnsi" w:eastAsia="Times New Roman" w:hAnsiTheme="majorHAnsi" w:cstheme="majorHAnsi"/>
          <w:bCs/>
          <w:sz w:val="24"/>
          <w:szCs w:val="24"/>
          <w:lang w:val="ro-RO"/>
        </w:rPr>
        <w:t xml:space="preserve">nd la finele anului 2021 </w:t>
      </w:r>
      <w:r w:rsidR="00733D25" w:rsidRPr="00720652">
        <w:rPr>
          <w:rFonts w:asciiTheme="majorHAnsi" w:eastAsia="Times New Roman" w:hAnsiTheme="majorHAnsi" w:cstheme="majorHAnsi"/>
          <w:bCs/>
          <w:sz w:val="24"/>
          <w:szCs w:val="24"/>
          <w:lang w:val="ro-RO"/>
        </w:rPr>
        <w:t>suma de</w:t>
      </w:r>
      <w:r w:rsidR="00B57A18" w:rsidRPr="00720652">
        <w:rPr>
          <w:rFonts w:asciiTheme="majorHAnsi" w:eastAsia="Times New Roman" w:hAnsiTheme="majorHAnsi" w:cstheme="majorHAnsi"/>
          <w:bCs/>
          <w:sz w:val="24"/>
          <w:szCs w:val="24"/>
          <w:lang w:val="ro-RO"/>
        </w:rPr>
        <w:t xml:space="preserve"> 2</w:t>
      </w:r>
      <w:r w:rsidR="00733D25" w:rsidRPr="00720652">
        <w:rPr>
          <w:rFonts w:asciiTheme="majorHAnsi" w:eastAsia="Times New Roman" w:hAnsiTheme="majorHAnsi" w:cstheme="majorHAnsi"/>
          <w:bCs/>
          <w:sz w:val="24"/>
          <w:szCs w:val="24"/>
          <w:lang w:val="ro-RO"/>
        </w:rPr>
        <w:t>.</w:t>
      </w:r>
      <w:r w:rsidR="00B57A18" w:rsidRPr="00720652">
        <w:rPr>
          <w:rFonts w:asciiTheme="majorHAnsi" w:eastAsia="Times New Roman" w:hAnsiTheme="majorHAnsi" w:cstheme="majorHAnsi"/>
          <w:bCs/>
          <w:sz w:val="24"/>
          <w:szCs w:val="24"/>
          <w:lang w:val="ro-RO"/>
        </w:rPr>
        <w:t xml:space="preserve">262,2 mil.lei, iar </w:t>
      </w:r>
      <w:bookmarkStart w:id="11" w:name="_Toc131005400"/>
      <w:r w:rsidR="00DB742F" w:rsidRPr="00720652">
        <w:rPr>
          <w:rFonts w:asciiTheme="majorHAnsi" w:hAnsiTheme="majorHAnsi" w:cstheme="majorHAnsi"/>
          <w:sz w:val="24"/>
          <w:szCs w:val="24"/>
          <w:lang w:val="ro-RO"/>
        </w:rPr>
        <w:t>11</w:t>
      </w:r>
      <w:r w:rsidR="00B57A18" w:rsidRPr="00720652">
        <w:rPr>
          <w:rFonts w:asciiTheme="majorHAnsi" w:hAnsiTheme="majorHAnsi" w:cstheme="majorHAnsi"/>
          <w:sz w:val="24"/>
          <w:szCs w:val="24"/>
          <w:lang w:val="ro-RO"/>
        </w:rPr>
        <w:t xml:space="preserve"> întreprinderi sunt în procedur</w:t>
      </w:r>
      <w:r w:rsidR="00733D25" w:rsidRPr="00720652">
        <w:rPr>
          <w:rFonts w:asciiTheme="majorHAnsi" w:hAnsiTheme="majorHAnsi" w:cstheme="majorHAnsi"/>
          <w:sz w:val="24"/>
          <w:szCs w:val="24"/>
          <w:lang w:val="ro-RO"/>
        </w:rPr>
        <w:t>ă</w:t>
      </w:r>
      <w:r w:rsidR="00B57A18" w:rsidRPr="00720652">
        <w:rPr>
          <w:rFonts w:asciiTheme="majorHAnsi" w:hAnsiTheme="majorHAnsi" w:cstheme="majorHAnsi"/>
          <w:sz w:val="24"/>
          <w:szCs w:val="24"/>
          <w:lang w:val="ro-RO"/>
        </w:rPr>
        <w:t xml:space="preserve"> de insolvabilitate</w:t>
      </w:r>
      <w:bookmarkEnd w:id="11"/>
      <w:r w:rsidR="00733D25" w:rsidRPr="00720652">
        <w:rPr>
          <w:rFonts w:asciiTheme="majorHAnsi" w:hAnsiTheme="majorHAnsi" w:cstheme="majorHAnsi"/>
          <w:sz w:val="24"/>
          <w:szCs w:val="24"/>
          <w:lang w:val="ro-RO"/>
        </w:rPr>
        <w:t>;</w:t>
      </w:r>
      <w:r w:rsidR="00B57A18" w:rsidRPr="00720652">
        <w:rPr>
          <w:rFonts w:asciiTheme="majorHAnsi" w:hAnsiTheme="majorHAnsi" w:cstheme="majorHAnsi"/>
          <w:sz w:val="24"/>
          <w:szCs w:val="24"/>
          <w:lang w:val="ro-RO"/>
        </w:rPr>
        <w:t xml:space="preserve"> </w:t>
      </w:r>
    </w:p>
    <w:p w14:paraId="3BC5B5D8" w14:textId="77777777" w:rsidR="005C2190" w:rsidRPr="00720652" w:rsidRDefault="001C5684" w:rsidP="00E117B7">
      <w:pPr>
        <w:pStyle w:val="af3"/>
        <w:numPr>
          <w:ilvl w:val="0"/>
          <w:numId w:val="27"/>
        </w:numPr>
        <w:spacing w:after="0" w:line="276" w:lineRule="auto"/>
        <w:ind w:left="0" w:firstLine="567"/>
        <w:jc w:val="both"/>
        <w:rPr>
          <w:rFonts w:asciiTheme="majorHAnsi" w:eastAsia="Times New Roman" w:hAnsiTheme="majorHAnsi" w:cstheme="majorHAnsi"/>
          <w:sz w:val="24"/>
          <w:szCs w:val="24"/>
          <w:lang w:val="ro-RO"/>
        </w:rPr>
      </w:pPr>
      <w:bookmarkStart w:id="12" w:name="_Toc131005401"/>
      <w:r w:rsidRPr="00720652">
        <w:rPr>
          <w:rFonts w:asciiTheme="majorHAnsi" w:hAnsiTheme="majorHAnsi" w:cstheme="majorHAnsi"/>
          <w:b/>
          <w:sz w:val="24"/>
          <w:szCs w:val="24"/>
          <w:lang w:val="ro-RO"/>
        </w:rPr>
        <w:t>o</w:t>
      </w:r>
      <w:r w:rsidR="005C2190" w:rsidRPr="00720652">
        <w:rPr>
          <w:rFonts w:asciiTheme="majorHAnsi" w:hAnsiTheme="majorHAnsi" w:cstheme="majorHAnsi"/>
          <w:b/>
          <w:sz w:val="24"/>
          <w:szCs w:val="24"/>
          <w:lang w:val="ro-RO"/>
        </w:rPr>
        <w:t xml:space="preserve">peratorii serviciilor de alimentare cu apă și sanitație înaintează </w:t>
      </w:r>
      <w:r w:rsidR="0035709F" w:rsidRPr="00720652">
        <w:rPr>
          <w:rFonts w:asciiTheme="majorHAnsi" w:hAnsiTheme="majorHAnsi" w:cstheme="majorHAnsi"/>
          <w:b/>
          <w:sz w:val="24"/>
          <w:szCs w:val="24"/>
          <w:lang w:val="ro-RO"/>
        </w:rPr>
        <w:t>ANRE</w:t>
      </w:r>
      <w:r w:rsidR="005C2190" w:rsidRPr="00720652">
        <w:rPr>
          <w:rFonts w:asciiTheme="majorHAnsi" w:hAnsiTheme="majorHAnsi" w:cstheme="majorHAnsi"/>
          <w:b/>
          <w:sz w:val="24"/>
          <w:szCs w:val="24"/>
          <w:lang w:val="ro-RO"/>
        </w:rPr>
        <w:t xml:space="preserve"> spre aprobare Planurile anuale de investiții neacoperite de resurse financiare reale</w:t>
      </w:r>
      <w:bookmarkEnd w:id="12"/>
      <w:r w:rsidRPr="00720652">
        <w:rPr>
          <w:rFonts w:asciiTheme="majorHAnsi" w:hAnsiTheme="majorHAnsi" w:cstheme="majorHAnsi"/>
          <w:b/>
          <w:sz w:val="24"/>
          <w:szCs w:val="24"/>
          <w:lang w:val="ro-RO"/>
        </w:rPr>
        <w:t>.</w:t>
      </w:r>
      <w:r w:rsidR="005C2190" w:rsidRPr="00720652">
        <w:rPr>
          <w:rFonts w:asciiTheme="majorHAnsi" w:hAnsiTheme="majorHAnsi" w:cstheme="majorHAnsi"/>
          <w:b/>
          <w:sz w:val="24"/>
          <w:szCs w:val="24"/>
          <w:lang w:val="ro-RO"/>
        </w:rPr>
        <w:t xml:space="preserve"> </w:t>
      </w:r>
      <w:r w:rsidRPr="00720652">
        <w:rPr>
          <w:rFonts w:asciiTheme="majorHAnsi" w:hAnsiTheme="majorHAnsi" w:cstheme="majorHAnsi"/>
          <w:sz w:val="24"/>
          <w:szCs w:val="24"/>
          <w:lang w:val="ro-RO"/>
        </w:rPr>
        <w:t>Î</w:t>
      </w:r>
      <w:r w:rsidR="005C2190" w:rsidRPr="00720652">
        <w:rPr>
          <w:rFonts w:asciiTheme="majorHAnsi" w:hAnsiTheme="majorHAnsi" w:cstheme="majorHAnsi"/>
          <w:sz w:val="24"/>
          <w:szCs w:val="24"/>
          <w:lang w:val="ro-RO"/>
        </w:rPr>
        <w:t xml:space="preserve">n consecință, în </w:t>
      </w:r>
      <w:r w:rsidR="005C2190" w:rsidRPr="00720652">
        <w:rPr>
          <w:rFonts w:asciiTheme="majorHAnsi" w:eastAsia="Times New Roman" w:hAnsiTheme="majorHAnsi" w:cstheme="majorHAnsi"/>
          <w:sz w:val="24"/>
          <w:szCs w:val="24"/>
          <w:lang w:val="ro-RO"/>
        </w:rPr>
        <w:t>anii 2016-2021</w:t>
      </w:r>
      <w:r w:rsidRPr="00720652">
        <w:rPr>
          <w:rFonts w:asciiTheme="majorHAnsi" w:eastAsia="Times New Roman" w:hAnsiTheme="majorHAnsi" w:cstheme="majorHAnsi"/>
          <w:sz w:val="24"/>
          <w:szCs w:val="24"/>
          <w:lang w:val="ro-RO"/>
        </w:rPr>
        <w:t>,</w:t>
      </w:r>
      <w:r w:rsidR="005C2190" w:rsidRPr="00720652">
        <w:rPr>
          <w:rFonts w:asciiTheme="majorHAnsi" w:eastAsia="Times New Roman" w:hAnsiTheme="majorHAnsi" w:cstheme="majorHAnsi"/>
          <w:sz w:val="24"/>
          <w:szCs w:val="24"/>
          <w:lang w:val="ro-RO"/>
        </w:rPr>
        <w:t xml:space="preserve"> ANRE a aprobat/avizat Planurile de investiții ale titularilor de licențe care furnizează serviciul public de alimentare cu apă și de canalizare în valoare totală de 3</w:t>
      </w:r>
      <w:r w:rsidR="00733D25" w:rsidRPr="00720652">
        <w:rPr>
          <w:rFonts w:asciiTheme="majorHAnsi" w:eastAsia="Times New Roman" w:hAnsiTheme="majorHAnsi" w:cstheme="majorHAnsi"/>
          <w:sz w:val="24"/>
          <w:szCs w:val="24"/>
          <w:lang w:val="ro-RO"/>
        </w:rPr>
        <w:t>.</w:t>
      </w:r>
      <w:r w:rsidR="005C2190" w:rsidRPr="00720652">
        <w:rPr>
          <w:rFonts w:asciiTheme="majorHAnsi" w:eastAsia="Times New Roman" w:hAnsiTheme="majorHAnsi" w:cstheme="majorHAnsi"/>
          <w:sz w:val="24"/>
          <w:szCs w:val="24"/>
          <w:lang w:val="ro-RO"/>
        </w:rPr>
        <w:t>507,5 mil.lei, a aprobat pentru</w:t>
      </w:r>
      <w:r w:rsidR="005C2190" w:rsidRPr="00720652">
        <w:rPr>
          <w:rFonts w:asciiTheme="majorHAnsi" w:eastAsia="Times New Roman" w:hAnsiTheme="majorHAnsi" w:cstheme="majorHAnsi"/>
          <w:b/>
          <w:sz w:val="24"/>
          <w:szCs w:val="24"/>
          <w:lang w:val="ro-RO"/>
        </w:rPr>
        <w:t xml:space="preserve"> </w:t>
      </w:r>
      <w:r w:rsidR="005C2190" w:rsidRPr="00720652">
        <w:rPr>
          <w:rFonts w:asciiTheme="majorHAnsi" w:eastAsia="Times New Roman" w:hAnsiTheme="majorHAnsi" w:cstheme="majorHAnsi"/>
          <w:sz w:val="24"/>
          <w:szCs w:val="24"/>
          <w:lang w:val="ro-RO"/>
        </w:rPr>
        <w:t>includere în tarif 351,6 mil.lei</w:t>
      </w:r>
      <w:r w:rsidR="00733D25" w:rsidRPr="00720652">
        <w:rPr>
          <w:rFonts w:asciiTheme="majorHAnsi" w:eastAsia="Times New Roman" w:hAnsiTheme="majorHAnsi" w:cstheme="majorHAnsi"/>
          <w:sz w:val="24"/>
          <w:szCs w:val="24"/>
          <w:lang w:val="ro-RO"/>
        </w:rPr>
        <w:t>,</w:t>
      </w:r>
      <w:r w:rsidR="005C2190" w:rsidRPr="00720652">
        <w:rPr>
          <w:rFonts w:asciiTheme="majorHAnsi" w:eastAsia="Times New Roman" w:hAnsiTheme="majorHAnsi" w:cstheme="majorHAnsi"/>
          <w:sz w:val="24"/>
          <w:szCs w:val="24"/>
          <w:lang w:val="ro-RO"/>
        </w:rPr>
        <w:t xml:space="preserve"> sau 10% din valoarea lor planificată</w:t>
      </w:r>
      <w:r w:rsidR="00733D25" w:rsidRPr="00720652">
        <w:rPr>
          <w:rFonts w:asciiTheme="majorHAnsi" w:eastAsia="Times New Roman" w:hAnsiTheme="majorHAnsi" w:cstheme="majorHAnsi"/>
          <w:sz w:val="24"/>
          <w:szCs w:val="24"/>
          <w:lang w:val="ro-RO"/>
        </w:rPr>
        <w:t>,</w:t>
      </w:r>
      <w:r w:rsidR="005C2190" w:rsidRPr="00720652">
        <w:rPr>
          <w:rFonts w:asciiTheme="majorHAnsi" w:eastAsia="Times New Roman" w:hAnsiTheme="majorHAnsi" w:cstheme="majorHAnsi"/>
          <w:sz w:val="24"/>
          <w:szCs w:val="24"/>
          <w:lang w:val="ro-RO"/>
        </w:rPr>
        <w:t xml:space="preserve"> pentru a fi realizate în anii bugetari respectiv</w:t>
      </w:r>
      <w:r w:rsidR="00733D25" w:rsidRPr="00720652">
        <w:rPr>
          <w:rFonts w:asciiTheme="majorHAnsi" w:eastAsia="Times New Roman" w:hAnsiTheme="majorHAnsi" w:cstheme="majorHAnsi"/>
          <w:sz w:val="24"/>
          <w:szCs w:val="24"/>
          <w:lang w:val="ro-RO"/>
        </w:rPr>
        <w:t>i;</w:t>
      </w:r>
    </w:p>
    <w:p w14:paraId="2ADDE527" w14:textId="77777777" w:rsidR="005C2190" w:rsidRPr="00720652" w:rsidRDefault="001C5684" w:rsidP="00E05C90">
      <w:pPr>
        <w:widowControl w:val="0"/>
        <w:numPr>
          <w:ilvl w:val="0"/>
          <w:numId w:val="28"/>
        </w:numPr>
        <w:shd w:val="clear" w:color="auto" w:fill="FFFFFF"/>
        <w:tabs>
          <w:tab w:val="left" w:pos="0"/>
          <w:tab w:val="left" w:pos="426"/>
          <w:tab w:val="left" w:pos="851"/>
        </w:tabs>
        <w:autoSpaceDE w:val="0"/>
        <w:autoSpaceDN w:val="0"/>
        <w:spacing w:after="0" w:line="276" w:lineRule="auto"/>
        <w:ind w:left="0" w:firstLine="567"/>
        <w:jc w:val="both"/>
        <w:outlineLvl w:val="0"/>
        <w:rPr>
          <w:rFonts w:asciiTheme="majorHAnsi" w:hAnsiTheme="majorHAnsi" w:cstheme="majorHAnsi"/>
          <w:sz w:val="24"/>
          <w:szCs w:val="24"/>
          <w:lang w:val="ro-RO"/>
        </w:rPr>
      </w:pPr>
      <w:bookmarkStart w:id="13" w:name="_Toc131005404"/>
      <w:r w:rsidRPr="00720652">
        <w:rPr>
          <w:rFonts w:asciiTheme="majorHAnsi" w:eastAsia="Times New Roman" w:hAnsiTheme="majorHAnsi" w:cstheme="majorHAnsi"/>
          <w:b/>
          <w:bCs/>
          <w:sz w:val="24"/>
          <w:szCs w:val="24"/>
          <w:lang w:val="ro-RO"/>
        </w:rPr>
        <w:t>c</w:t>
      </w:r>
      <w:r w:rsidR="008C4F26" w:rsidRPr="00720652">
        <w:rPr>
          <w:rFonts w:asciiTheme="majorHAnsi" w:eastAsia="Times New Roman" w:hAnsiTheme="majorHAnsi" w:cstheme="majorHAnsi"/>
          <w:b/>
          <w:bCs/>
          <w:sz w:val="24"/>
          <w:szCs w:val="24"/>
          <w:lang w:val="ro-RO"/>
        </w:rPr>
        <w:t>ontractele de gestiune delega</w:t>
      </w:r>
      <w:r w:rsidR="009A627F" w:rsidRPr="00720652">
        <w:rPr>
          <w:rFonts w:asciiTheme="majorHAnsi" w:eastAsia="Times New Roman" w:hAnsiTheme="majorHAnsi" w:cstheme="majorHAnsi"/>
          <w:b/>
          <w:bCs/>
          <w:sz w:val="24"/>
          <w:szCs w:val="24"/>
          <w:lang w:val="ro-RO"/>
        </w:rPr>
        <w:t>t</w:t>
      </w:r>
      <w:r w:rsidR="008C4F26" w:rsidRPr="00720652">
        <w:rPr>
          <w:rFonts w:asciiTheme="majorHAnsi" w:eastAsia="Times New Roman" w:hAnsiTheme="majorHAnsi" w:cstheme="majorHAnsi"/>
          <w:b/>
          <w:bCs/>
          <w:sz w:val="24"/>
          <w:szCs w:val="24"/>
          <w:lang w:val="ro-RO"/>
        </w:rPr>
        <w:t>ă nu includ mărimea redevenței sau altor plăți</w:t>
      </w:r>
      <w:r w:rsidR="00610841" w:rsidRPr="00720652">
        <w:rPr>
          <w:rFonts w:asciiTheme="majorHAnsi" w:eastAsia="Times New Roman" w:hAnsiTheme="majorHAnsi" w:cstheme="majorHAnsi"/>
          <w:b/>
          <w:bCs/>
          <w:sz w:val="24"/>
          <w:szCs w:val="24"/>
          <w:lang w:val="ro-RO"/>
        </w:rPr>
        <w:t xml:space="preserve">, </w:t>
      </w:r>
      <w:r w:rsidR="00610841" w:rsidRPr="00720652">
        <w:rPr>
          <w:rFonts w:asciiTheme="majorHAnsi" w:eastAsia="Times New Roman" w:hAnsiTheme="majorHAnsi" w:cstheme="majorHAnsi"/>
          <w:bCs/>
          <w:sz w:val="24"/>
          <w:szCs w:val="24"/>
          <w:lang w:val="ro-RO"/>
        </w:rPr>
        <w:t xml:space="preserve">redevența </w:t>
      </w:r>
      <w:r w:rsidR="008C4F26" w:rsidRPr="00720652">
        <w:rPr>
          <w:rFonts w:asciiTheme="majorHAnsi" w:eastAsia="Times New Roman" w:hAnsiTheme="majorHAnsi" w:cstheme="majorHAnsi"/>
          <w:bCs/>
          <w:sz w:val="24"/>
          <w:szCs w:val="24"/>
          <w:lang w:val="ro-RO"/>
        </w:rPr>
        <w:t xml:space="preserve"> nu </w:t>
      </w:r>
      <w:r w:rsidR="00610841" w:rsidRPr="00720652">
        <w:rPr>
          <w:rFonts w:asciiTheme="majorHAnsi" w:eastAsia="Times New Roman" w:hAnsiTheme="majorHAnsi" w:cstheme="majorHAnsi"/>
          <w:bCs/>
          <w:sz w:val="24"/>
          <w:szCs w:val="24"/>
          <w:lang w:val="ro-RO"/>
        </w:rPr>
        <w:t>este</w:t>
      </w:r>
      <w:r w:rsidR="008C4F26" w:rsidRPr="00720652">
        <w:rPr>
          <w:rFonts w:asciiTheme="majorHAnsi" w:eastAsia="Times New Roman" w:hAnsiTheme="majorHAnsi" w:cstheme="majorHAnsi"/>
          <w:bCs/>
          <w:sz w:val="24"/>
          <w:szCs w:val="24"/>
          <w:lang w:val="ro-RO"/>
        </w:rPr>
        <w:t xml:space="preserve"> încasat</w:t>
      </w:r>
      <w:r w:rsidR="00610841" w:rsidRPr="00720652">
        <w:rPr>
          <w:rFonts w:asciiTheme="majorHAnsi" w:eastAsia="Times New Roman" w:hAnsiTheme="majorHAnsi" w:cstheme="majorHAnsi"/>
          <w:bCs/>
          <w:sz w:val="24"/>
          <w:szCs w:val="24"/>
          <w:lang w:val="ro-RO"/>
        </w:rPr>
        <w:t>ă</w:t>
      </w:r>
      <w:r w:rsidR="008C4F26" w:rsidRPr="00720652">
        <w:rPr>
          <w:rFonts w:asciiTheme="majorHAnsi" w:eastAsia="Times New Roman" w:hAnsiTheme="majorHAnsi" w:cstheme="majorHAnsi"/>
          <w:bCs/>
          <w:sz w:val="24"/>
          <w:szCs w:val="24"/>
          <w:lang w:val="ro-RO"/>
        </w:rPr>
        <w:t xml:space="preserve"> la buget, </w:t>
      </w:r>
      <w:r w:rsidR="009A627F" w:rsidRPr="00720652">
        <w:rPr>
          <w:rFonts w:asciiTheme="majorHAnsi" w:eastAsia="Times New Roman" w:hAnsiTheme="majorHAnsi" w:cstheme="majorHAnsi"/>
          <w:bCs/>
          <w:sz w:val="24"/>
          <w:szCs w:val="24"/>
          <w:lang w:val="ro-RO"/>
        </w:rPr>
        <w:t>rămânând</w:t>
      </w:r>
      <w:r w:rsidR="008C4F26" w:rsidRPr="00720652">
        <w:rPr>
          <w:rFonts w:asciiTheme="majorHAnsi" w:eastAsia="Times New Roman" w:hAnsiTheme="majorHAnsi" w:cstheme="majorHAnsi"/>
          <w:bCs/>
          <w:sz w:val="24"/>
          <w:szCs w:val="24"/>
          <w:lang w:val="ro-RO"/>
        </w:rPr>
        <w:t xml:space="preserve"> la dispoziția operatorilor</w:t>
      </w:r>
      <w:r w:rsidR="00610841" w:rsidRPr="00720652">
        <w:rPr>
          <w:rFonts w:asciiTheme="majorHAnsi" w:eastAsia="Times New Roman" w:hAnsiTheme="majorHAnsi" w:cstheme="majorHAnsi"/>
          <w:bCs/>
          <w:sz w:val="24"/>
          <w:szCs w:val="24"/>
          <w:lang w:val="ro-RO"/>
        </w:rPr>
        <w:t xml:space="preserve"> pentru crearea fondului de dezvoltate</w:t>
      </w:r>
      <w:r w:rsidR="008C4F26" w:rsidRPr="00720652">
        <w:rPr>
          <w:rFonts w:asciiTheme="majorHAnsi" w:eastAsia="Times New Roman" w:hAnsiTheme="majorHAnsi" w:cstheme="majorHAnsi"/>
          <w:bCs/>
          <w:sz w:val="24"/>
          <w:szCs w:val="24"/>
          <w:lang w:val="ro-RO"/>
        </w:rPr>
        <w:t>, iar unii operatori nu au creat f</w:t>
      </w:r>
      <w:r w:rsidR="005C2190" w:rsidRPr="00720652">
        <w:rPr>
          <w:rFonts w:asciiTheme="majorHAnsi" w:hAnsiTheme="majorHAnsi" w:cstheme="majorHAnsi"/>
          <w:sz w:val="24"/>
          <w:szCs w:val="24"/>
          <w:lang w:val="ro-RO"/>
        </w:rPr>
        <w:t>ondurile de dezvoltate prevăzute de cadrul regulator</w:t>
      </w:r>
      <w:r w:rsidR="00733D25" w:rsidRPr="00720652">
        <w:rPr>
          <w:rFonts w:asciiTheme="majorHAnsi" w:hAnsiTheme="majorHAnsi" w:cstheme="majorHAnsi"/>
          <w:sz w:val="24"/>
          <w:szCs w:val="24"/>
          <w:lang w:val="ro-RO"/>
        </w:rPr>
        <w:t>;</w:t>
      </w:r>
      <w:r w:rsidR="008C4F26" w:rsidRPr="00720652">
        <w:rPr>
          <w:rFonts w:asciiTheme="majorHAnsi" w:hAnsiTheme="majorHAnsi" w:cstheme="majorHAnsi"/>
          <w:sz w:val="24"/>
          <w:szCs w:val="24"/>
          <w:lang w:val="ro-RO"/>
        </w:rPr>
        <w:t xml:space="preserve"> </w:t>
      </w:r>
      <w:r w:rsidR="005C2190" w:rsidRPr="00720652">
        <w:rPr>
          <w:rFonts w:asciiTheme="majorHAnsi" w:hAnsiTheme="majorHAnsi" w:cstheme="majorHAnsi"/>
          <w:sz w:val="24"/>
          <w:szCs w:val="24"/>
          <w:lang w:val="ro-RO"/>
        </w:rPr>
        <w:t xml:space="preserve"> </w:t>
      </w:r>
      <w:bookmarkEnd w:id="13"/>
    </w:p>
    <w:p w14:paraId="1DACE02A" w14:textId="77777777" w:rsidR="006A45FE" w:rsidRPr="00720652" w:rsidRDefault="001C5684" w:rsidP="0088362B">
      <w:pPr>
        <w:numPr>
          <w:ilvl w:val="0"/>
          <w:numId w:val="20"/>
        </w:numPr>
        <w:shd w:val="clear" w:color="auto" w:fill="FFFFFF"/>
        <w:spacing w:after="0" w:line="276" w:lineRule="auto"/>
        <w:ind w:left="0" w:firstLine="567"/>
        <w:jc w:val="both"/>
        <w:rPr>
          <w:rFonts w:asciiTheme="majorHAnsi" w:eastAsia="Times New Roman" w:hAnsiTheme="majorHAnsi" w:cstheme="majorHAnsi"/>
          <w:b/>
          <w:bCs/>
          <w:sz w:val="24"/>
          <w:szCs w:val="24"/>
          <w:shd w:val="clear" w:color="auto" w:fill="FFFFFF"/>
          <w:lang w:val="ro-RO"/>
        </w:rPr>
      </w:pPr>
      <w:r w:rsidRPr="00720652">
        <w:rPr>
          <w:rFonts w:asciiTheme="majorHAnsi" w:eastAsia="Times New Roman" w:hAnsiTheme="majorHAnsi" w:cstheme="majorHAnsi"/>
          <w:b/>
          <w:bCs/>
          <w:sz w:val="24"/>
          <w:szCs w:val="24"/>
          <w:shd w:val="clear" w:color="auto" w:fill="FFFFFF"/>
          <w:lang w:val="ro-RO"/>
        </w:rPr>
        <w:t>m</w:t>
      </w:r>
      <w:r w:rsidR="006A45FE" w:rsidRPr="00720652">
        <w:rPr>
          <w:rFonts w:asciiTheme="majorHAnsi" w:eastAsia="Times New Roman" w:hAnsiTheme="majorHAnsi" w:cstheme="majorHAnsi"/>
          <w:b/>
          <w:bCs/>
          <w:sz w:val="24"/>
          <w:szCs w:val="24"/>
          <w:shd w:val="clear" w:color="auto" w:fill="FFFFFF"/>
          <w:lang w:val="ro-RO"/>
        </w:rPr>
        <w:t>ecanismele de evidenț</w:t>
      </w:r>
      <w:r w:rsidR="00733D25" w:rsidRPr="00720652">
        <w:rPr>
          <w:rFonts w:asciiTheme="majorHAnsi" w:eastAsia="Times New Roman" w:hAnsiTheme="majorHAnsi" w:cstheme="majorHAnsi"/>
          <w:b/>
          <w:bCs/>
          <w:sz w:val="24"/>
          <w:szCs w:val="24"/>
          <w:shd w:val="clear" w:color="auto" w:fill="FFFFFF"/>
          <w:lang w:val="ro-RO"/>
        </w:rPr>
        <w:t>ă</w:t>
      </w:r>
      <w:r w:rsidR="006A45FE" w:rsidRPr="00720652">
        <w:rPr>
          <w:rFonts w:asciiTheme="majorHAnsi" w:eastAsia="Times New Roman" w:hAnsiTheme="majorHAnsi" w:cstheme="majorHAnsi"/>
          <w:b/>
          <w:bCs/>
          <w:sz w:val="24"/>
          <w:szCs w:val="24"/>
          <w:shd w:val="clear" w:color="auto" w:fill="FFFFFF"/>
          <w:lang w:val="ro-RO"/>
        </w:rPr>
        <w:t xml:space="preserve">, monitorizare și raportare </w:t>
      </w:r>
      <w:r w:rsidR="0088362B" w:rsidRPr="00720652">
        <w:rPr>
          <w:rFonts w:asciiTheme="majorHAnsi" w:eastAsia="Times New Roman" w:hAnsiTheme="majorHAnsi" w:cstheme="majorHAnsi"/>
          <w:b/>
          <w:bCs/>
          <w:sz w:val="24"/>
          <w:szCs w:val="24"/>
          <w:shd w:val="clear" w:color="auto" w:fill="FFFFFF"/>
          <w:lang w:val="ro-RO"/>
        </w:rPr>
        <w:t xml:space="preserve">a </w:t>
      </w:r>
      <w:r w:rsidR="006A45FE" w:rsidRPr="00720652">
        <w:rPr>
          <w:rFonts w:asciiTheme="majorHAnsi" w:eastAsia="Times New Roman" w:hAnsiTheme="majorHAnsi" w:cstheme="majorHAnsi"/>
          <w:b/>
          <w:bCs/>
          <w:sz w:val="24"/>
          <w:szCs w:val="24"/>
          <w:shd w:val="clear" w:color="auto" w:fill="FFFFFF"/>
          <w:lang w:val="ro-RO"/>
        </w:rPr>
        <w:t>amenzilor și prejudiciilor cauzate mediului</w:t>
      </w:r>
      <w:r w:rsidR="00733D25" w:rsidRPr="00720652">
        <w:rPr>
          <w:rFonts w:asciiTheme="majorHAnsi" w:eastAsia="Times New Roman" w:hAnsiTheme="majorHAnsi" w:cstheme="majorHAnsi"/>
          <w:b/>
          <w:bCs/>
          <w:sz w:val="24"/>
          <w:szCs w:val="24"/>
          <w:shd w:val="clear" w:color="auto" w:fill="FFFFFF"/>
          <w:lang w:val="ro-RO"/>
        </w:rPr>
        <w:t>,</w:t>
      </w:r>
      <w:r w:rsidR="006A45FE" w:rsidRPr="00720652">
        <w:rPr>
          <w:rFonts w:asciiTheme="majorHAnsi" w:eastAsia="Times New Roman" w:hAnsiTheme="majorHAnsi" w:cstheme="majorHAnsi"/>
          <w:b/>
          <w:bCs/>
          <w:sz w:val="24"/>
          <w:szCs w:val="24"/>
          <w:shd w:val="clear" w:color="auto" w:fill="FFFFFF"/>
          <w:lang w:val="ro-RO"/>
        </w:rPr>
        <w:t xml:space="preserve"> institui</w:t>
      </w:r>
      <w:r w:rsidR="00733D25" w:rsidRPr="00720652">
        <w:rPr>
          <w:rFonts w:asciiTheme="majorHAnsi" w:eastAsia="Times New Roman" w:hAnsiTheme="majorHAnsi" w:cstheme="majorHAnsi"/>
          <w:b/>
          <w:bCs/>
          <w:sz w:val="24"/>
          <w:szCs w:val="24"/>
          <w:shd w:val="clear" w:color="auto" w:fill="FFFFFF"/>
          <w:lang w:val="ro-RO"/>
        </w:rPr>
        <w:t>t</w:t>
      </w:r>
      <w:r w:rsidR="006A45FE" w:rsidRPr="00720652">
        <w:rPr>
          <w:rFonts w:asciiTheme="majorHAnsi" w:eastAsia="Times New Roman" w:hAnsiTheme="majorHAnsi" w:cstheme="majorHAnsi"/>
          <w:b/>
          <w:bCs/>
          <w:sz w:val="24"/>
          <w:szCs w:val="24"/>
          <w:shd w:val="clear" w:color="auto" w:fill="FFFFFF"/>
          <w:lang w:val="ro-RO"/>
        </w:rPr>
        <w:t>e în cadrul IPM</w:t>
      </w:r>
      <w:r w:rsidR="00733D25" w:rsidRPr="00720652">
        <w:rPr>
          <w:rFonts w:asciiTheme="majorHAnsi" w:eastAsia="Times New Roman" w:hAnsiTheme="majorHAnsi" w:cstheme="majorHAnsi"/>
          <w:b/>
          <w:bCs/>
          <w:sz w:val="24"/>
          <w:szCs w:val="24"/>
          <w:shd w:val="clear" w:color="auto" w:fill="FFFFFF"/>
          <w:lang w:val="ro-RO"/>
        </w:rPr>
        <w:t>,</w:t>
      </w:r>
      <w:r w:rsidR="006A45FE" w:rsidRPr="00720652">
        <w:rPr>
          <w:rFonts w:asciiTheme="majorHAnsi" w:eastAsia="Times New Roman" w:hAnsiTheme="majorHAnsi" w:cstheme="majorHAnsi"/>
          <w:b/>
          <w:bCs/>
          <w:sz w:val="24"/>
          <w:szCs w:val="24"/>
          <w:shd w:val="clear" w:color="auto" w:fill="FFFFFF"/>
          <w:lang w:val="ro-RO"/>
        </w:rPr>
        <w:t xml:space="preserve"> nu permit evaluarea valorii obligațiunilor față de </w:t>
      </w:r>
      <w:r w:rsidR="0088362B" w:rsidRPr="00720652">
        <w:rPr>
          <w:rFonts w:asciiTheme="majorHAnsi" w:eastAsia="Times New Roman" w:hAnsiTheme="majorHAnsi" w:cstheme="majorHAnsi"/>
          <w:b/>
          <w:bCs/>
          <w:sz w:val="24"/>
          <w:szCs w:val="24"/>
          <w:shd w:val="clear" w:color="auto" w:fill="FFFFFF"/>
          <w:lang w:val="ro-RO"/>
        </w:rPr>
        <w:t>bugetul de stat</w:t>
      </w:r>
      <w:r w:rsidRPr="00720652">
        <w:rPr>
          <w:rFonts w:asciiTheme="majorHAnsi" w:eastAsia="Times New Roman" w:hAnsiTheme="majorHAnsi" w:cstheme="majorHAnsi"/>
          <w:b/>
          <w:bCs/>
          <w:sz w:val="24"/>
          <w:szCs w:val="24"/>
          <w:shd w:val="clear" w:color="auto" w:fill="FFFFFF"/>
          <w:lang w:val="ro-RO"/>
        </w:rPr>
        <w:t>;</w:t>
      </w:r>
    </w:p>
    <w:p w14:paraId="0C205A51" w14:textId="0D19E90D" w:rsidR="00B57A18" w:rsidRPr="00720652" w:rsidRDefault="006A45FE" w:rsidP="0030333E">
      <w:pPr>
        <w:pStyle w:val="af3"/>
        <w:numPr>
          <w:ilvl w:val="0"/>
          <w:numId w:val="20"/>
        </w:numPr>
        <w:ind w:left="0" w:firstLine="426"/>
        <w:jc w:val="both"/>
        <w:rPr>
          <w:rFonts w:asciiTheme="majorHAnsi" w:eastAsia="MS Mincho" w:hAnsiTheme="majorHAnsi" w:cstheme="majorHAnsi"/>
          <w:bCs/>
          <w:kern w:val="2"/>
          <w:sz w:val="24"/>
          <w:szCs w:val="24"/>
          <w:lang w:val="ro-RO"/>
        </w:rPr>
      </w:pPr>
      <w:r w:rsidRPr="00720652">
        <w:rPr>
          <w:rFonts w:asciiTheme="majorHAnsi" w:eastAsia="Times New Roman" w:hAnsiTheme="majorHAnsi" w:cstheme="majorHAnsi"/>
          <w:b/>
          <w:bCs/>
          <w:sz w:val="24"/>
          <w:szCs w:val="24"/>
          <w:shd w:val="clear" w:color="auto" w:fill="FFFFFF"/>
          <w:lang w:val="ro-RO"/>
        </w:rPr>
        <w:t>IPM</w:t>
      </w:r>
      <w:r w:rsidR="009A627F" w:rsidRPr="00720652">
        <w:rPr>
          <w:rFonts w:asciiTheme="majorHAnsi" w:eastAsia="Times New Roman" w:hAnsiTheme="majorHAnsi" w:cstheme="majorHAnsi"/>
          <w:b/>
          <w:bCs/>
          <w:sz w:val="24"/>
          <w:szCs w:val="24"/>
          <w:shd w:val="clear" w:color="auto" w:fill="FFFFFF"/>
          <w:lang w:val="ro-RO"/>
        </w:rPr>
        <w:t xml:space="preserve"> nu are pârghii</w:t>
      </w:r>
      <w:r w:rsidRPr="00720652">
        <w:rPr>
          <w:rFonts w:asciiTheme="majorHAnsi" w:eastAsia="Times New Roman" w:hAnsiTheme="majorHAnsi" w:cstheme="majorHAnsi"/>
          <w:b/>
          <w:bCs/>
          <w:sz w:val="24"/>
          <w:szCs w:val="24"/>
          <w:shd w:val="clear" w:color="auto" w:fill="FFFFFF"/>
          <w:lang w:val="ro-RO"/>
        </w:rPr>
        <w:t xml:space="preserve"> de colectare </w:t>
      </w:r>
      <w:r w:rsidR="009A627F" w:rsidRPr="00720652">
        <w:rPr>
          <w:rFonts w:asciiTheme="majorHAnsi" w:eastAsia="Times New Roman" w:hAnsiTheme="majorHAnsi" w:cstheme="majorHAnsi"/>
          <w:b/>
          <w:bCs/>
          <w:sz w:val="24"/>
          <w:szCs w:val="24"/>
          <w:shd w:val="clear" w:color="auto" w:fill="FFFFFF"/>
          <w:lang w:val="ro-RO"/>
        </w:rPr>
        <w:t>integrală</w:t>
      </w:r>
      <w:r w:rsidRPr="00720652">
        <w:rPr>
          <w:rFonts w:asciiTheme="majorHAnsi" w:eastAsia="Times New Roman" w:hAnsiTheme="majorHAnsi" w:cstheme="majorHAnsi"/>
          <w:b/>
          <w:bCs/>
          <w:sz w:val="24"/>
          <w:szCs w:val="24"/>
          <w:shd w:val="clear" w:color="auto" w:fill="FFFFFF"/>
          <w:lang w:val="ro-RO"/>
        </w:rPr>
        <w:t xml:space="preserve"> a obligațiunilor față de buget privind plățile pentru amendă și prejudicii</w:t>
      </w:r>
      <w:r w:rsidR="005E77DF" w:rsidRPr="00720652">
        <w:rPr>
          <w:rFonts w:asciiTheme="majorHAnsi" w:eastAsia="Times New Roman" w:hAnsiTheme="majorHAnsi" w:cstheme="majorHAnsi"/>
          <w:b/>
          <w:bCs/>
          <w:sz w:val="24"/>
          <w:szCs w:val="24"/>
          <w:shd w:val="clear" w:color="auto" w:fill="FFFFFF"/>
          <w:lang w:val="ro-RO"/>
        </w:rPr>
        <w:t>, activit</w:t>
      </w:r>
      <w:r w:rsidR="009A627F" w:rsidRPr="00720652">
        <w:rPr>
          <w:rFonts w:asciiTheme="majorHAnsi" w:eastAsia="Times New Roman" w:hAnsiTheme="majorHAnsi" w:cstheme="majorHAnsi"/>
          <w:b/>
          <w:bCs/>
          <w:sz w:val="24"/>
          <w:szCs w:val="24"/>
          <w:shd w:val="clear" w:color="auto" w:fill="FFFFFF"/>
          <w:lang w:val="ro-RO"/>
        </w:rPr>
        <w:t>ăți</w:t>
      </w:r>
      <w:r w:rsidR="0088362B" w:rsidRPr="00720652">
        <w:rPr>
          <w:rFonts w:asciiTheme="majorHAnsi" w:eastAsia="Times New Roman" w:hAnsiTheme="majorHAnsi" w:cstheme="majorHAnsi"/>
          <w:b/>
          <w:bCs/>
          <w:sz w:val="24"/>
          <w:szCs w:val="24"/>
          <w:shd w:val="clear" w:color="auto" w:fill="FFFFFF"/>
          <w:lang w:val="ro-RO"/>
        </w:rPr>
        <w:t xml:space="preserve">le </w:t>
      </w:r>
      <w:r w:rsidR="00A1194B" w:rsidRPr="00720652">
        <w:rPr>
          <w:rFonts w:asciiTheme="majorHAnsi" w:eastAsia="Times New Roman" w:hAnsiTheme="majorHAnsi" w:cstheme="majorHAnsi"/>
          <w:b/>
          <w:bCs/>
          <w:sz w:val="24"/>
          <w:szCs w:val="24"/>
          <w:shd w:val="clear" w:color="auto" w:fill="FFFFFF"/>
          <w:lang w:val="ro-RO"/>
        </w:rPr>
        <w:t xml:space="preserve">sale </w:t>
      </w:r>
      <w:r w:rsidR="005E77DF" w:rsidRPr="00720652">
        <w:rPr>
          <w:rFonts w:asciiTheme="majorHAnsi" w:eastAsia="Times New Roman" w:hAnsiTheme="majorHAnsi" w:cstheme="majorHAnsi"/>
          <w:b/>
          <w:bCs/>
          <w:sz w:val="24"/>
          <w:szCs w:val="24"/>
          <w:shd w:val="clear" w:color="auto" w:fill="FFFFFF"/>
          <w:lang w:val="ro-RO"/>
        </w:rPr>
        <w:t>fiind axat</w:t>
      </w:r>
      <w:r w:rsidR="0088362B" w:rsidRPr="00720652">
        <w:rPr>
          <w:rFonts w:asciiTheme="majorHAnsi" w:eastAsia="Times New Roman" w:hAnsiTheme="majorHAnsi" w:cstheme="majorHAnsi"/>
          <w:b/>
          <w:bCs/>
          <w:sz w:val="24"/>
          <w:szCs w:val="24"/>
          <w:shd w:val="clear" w:color="auto" w:fill="FFFFFF"/>
          <w:lang w:val="ro-RO"/>
        </w:rPr>
        <w:t>e</w:t>
      </w:r>
      <w:r w:rsidR="005E77DF" w:rsidRPr="00720652">
        <w:rPr>
          <w:rFonts w:asciiTheme="majorHAnsi" w:eastAsia="Times New Roman" w:hAnsiTheme="majorHAnsi" w:cstheme="majorHAnsi"/>
          <w:b/>
          <w:bCs/>
          <w:sz w:val="24"/>
          <w:szCs w:val="24"/>
          <w:shd w:val="clear" w:color="auto" w:fill="FFFFFF"/>
          <w:lang w:val="ro-RO"/>
        </w:rPr>
        <w:t xml:space="preserve"> </w:t>
      </w:r>
      <w:r w:rsidR="009A627F" w:rsidRPr="00720652">
        <w:rPr>
          <w:rFonts w:asciiTheme="majorHAnsi" w:eastAsia="Times New Roman" w:hAnsiTheme="majorHAnsi" w:cstheme="majorHAnsi"/>
          <w:b/>
          <w:bCs/>
          <w:sz w:val="24"/>
          <w:szCs w:val="24"/>
          <w:shd w:val="clear" w:color="auto" w:fill="FFFFFF"/>
          <w:lang w:val="ro-RO"/>
        </w:rPr>
        <w:t>pe monitorizarea î</w:t>
      </w:r>
      <w:r w:rsidR="005E77DF" w:rsidRPr="00720652">
        <w:rPr>
          <w:rFonts w:asciiTheme="majorHAnsi" w:eastAsia="Times New Roman" w:hAnsiTheme="majorHAnsi" w:cstheme="majorHAnsi"/>
          <w:b/>
          <w:bCs/>
          <w:sz w:val="24"/>
          <w:szCs w:val="24"/>
          <w:shd w:val="clear" w:color="auto" w:fill="FFFFFF"/>
          <w:lang w:val="ro-RO"/>
        </w:rPr>
        <w:t>nc</w:t>
      </w:r>
      <w:r w:rsidR="009A627F" w:rsidRPr="00720652">
        <w:rPr>
          <w:rFonts w:asciiTheme="majorHAnsi" w:eastAsia="Times New Roman" w:hAnsiTheme="majorHAnsi" w:cstheme="majorHAnsi"/>
          <w:b/>
          <w:bCs/>
          <w:sz w:val="24"/>
          <w:szCs w:val="24"/>
          <w:shd w:val="clear" w:color="auto" w:fill="FFFFFF"/>
          <w:lang w:val="ro-RO"/>
        </w:rPr>
        <w:t>a</w:t>
      </w:r>
      <w:r w:rsidR="005E77DF" w:rsidRPr="00720652">
        <w:rPr>
          <w:rFonts w:asciiTheme="majorHAnsi" w:eastAsia="Times New Roman" w:hAnsiTheme="majorHAnsi" w:cstheme="majorHAnsi"/>
          <w:b/>
          <w:bCs/>
          <w:sz w:val="24"/>
          <w:szCs w:val="24"/>
          <w:shd w:val="clear" w:color="auto" w:fill="FFFFFF"/>
          <w:lang w:val="ro-RO"/>
        </w:rPr>
        <w:t>s</w:t>
      </w:r>
      <w:r w:rsidR="009A627F" w:rsidRPr="00720652">
        <w:rPr>
          <w:rFonts w:asciiTheme="majorHAnsi" w:eastAsia="Times New Roman" w:hAnsiTheme="majorHAnsi" w:cstheme="majorHAnsi"/>
          <w:b/>
          <w:bCs/>
          <w:sz w:val="24"/>
          <w:szCs w:val="24"/>
          <w:shd w:val="clear" w:color="auto" w:fill="FFFFFF"/>
          <w:lang w:val="ro-RO"/>
        </w:rPr>
        <w:t>ă</w:t>
      </w:r>
      <w:r w:rsidR="0088362B" w:rsidRPr="00720652">
        <w:rPr>
          <w:rFonts w:asciiTheme="majorHAnsi" w:eastAsia="Times New Roman" w:hAnsiTheme="majorHAnsi" w:cstheme="majorHAnsi"/>
          <w:b/>
          <w:bCs/>
          <w:sz w:val="24"/>
          <w:szCs w:val="24"/>
          <w:shd w:val="clear" w:color="auto" w:fill="FFFFFF"/>
          <w:lang w:val="ro-RO"/>
        </w:rPr>
        <w:t xml:space="preserve">rilor la </w:t>
      </w:r>
      <w:r w:rsidR="005E77DF" w:rsidRPr="00720652">
        <w:rPr>
          <w:rFonts w:asciiTheme="majorHAnsi" w:eastAsia="Times New Roman" w:hAnsiTheme="majorHAnsi" w:cstheme="majorHAnsi"/>
          <w:b/>
          <w:bCs/>
          <w:sz w:val="24"/>
          <w:szCs w:val="24"/>
          <w:shd w:val="clear" w:color="auto" w:fill="FFFFFF"/>
          <w:lang w:val="ro-RO"/>
        </w:rPr>
        <w:t xml:space="preserve">buget. </w:t>
      </w:r>
      <w:r w:rsidR="005E77DF" w:rsidRPr="00720652">
        <w:rPr>
          <w:rFonts w:asciiTheme="majorHAnsi" w:eastAsia="Times New Roman" w:hAnsiTheme="majorHAnsi" w:cstheme="majorHAnsi"/>
          <w:bCs/>
          <w:sz w:val="24"/>
          <w:szCs w:val="24"/>
          <w:shd w:val="clear" w:color="auto" w:fill="FFFFFF"/>
          <w:lang w:val="ro-RO"/>
        </w:rPr>
        <w:t xml:space="preserve">În consecință, </w:t>
      </w:r>
      <w:r w:rsidR="004114C7" w:rsidRPr="00720652">
        <w:rPr>
          <w:rFonts w:asciiTheme="majorHAnsi" w:eastAsia="Times New Roman" w:hAnsiTheme="majorHAnsi" w:cstheme="majorHAnsi"/>
          <w:bCs/>
          <w:sz w:val="24"/>
          <w:szCs w:val="24"/>
          <w:shd w:val="clear" w:color="auto" w:fill="FFFFFF"/>
          <w:lang w:val="ro-RO"/>
        </w:rPr>
        <w:t>din</w:t>
      </w:r>
      <w:r w:rsidR="005E77DF" w:rsidRPr="00720652">
        <w:rPr>
          <w:rFonts w:asciiTheme="majorHAnsi" w:eastAsia="Times New Roman" w:hAnsiTheme="majorHAnsi" w:cstheme="majorHAnsi"/>
          <w:bCs/>
          <w:sz w:val="24"/>
          <w:szCs w:val="24"/>
          <w:shd w:val="clear" w:color="auto" w:fill="FFFFFF"/>
          <w:lang w:val="ro-RO"/>
        </w:rPr>
        <w:t xml:space="preserve"> totalul </w:t>
      </w:r>
      <w:r w:rsidR="00E05C90" w:rsidRPr="00720652">
        <w:rPr>
          <w:rFonts w:asciiTheme="majorHAnsi" w:eastAsia="Times New Roman" w:hAnsiTheme="majorHAnsi" w:cstheme="majorHAnsi"/>
          <w:bCs/>
          <w:sz w:val="24"/>
          <w:szCs w:val="24"/>
          <w:shd w:val="clear" w:color="auto" w:fill="FFFFFF"/>
          <w:lang w:val="ro-RO"/>
        </w:rPr>
        <w:t>estimativ</w:t>
      </w:r>
      <w:r w:rsidR="00B54B34" w:rsidRPr="00720652">
        <w:rPr>
          <w:rFonts w:asciiTheme="majorHAnsi" w:eastAsia="Times New Roman" w:hAnsiTheme="majorHAnsi" w:cstheme="majorHAnsi"/>
          <w:bCs/>
          <w:sz w:val="24"/>
          <w:szCs w:val="24"/>
          <w:shd w:val="clear" w:color="auto" w:fill="FFFFFF"/>
          <w:lang w:val="ro-RO"/>
        </w:rPr>
        <w:t xml:space="preserve"> al obligațiunilor pentru plata amenzilor</w:t>
      </w:r>
      <w:r w:rsidR="000523B8" w:rsidRPr="00720652">
        <w:rPr>
          <w:rFonts w:asciiTheme="majorHAnsi" w:eastAsia="Times New Roman" w:hAnsiTheme="majorHAnsi" w:cstheme="majorHAnsi"/>
          <w:bCs/>
          <w:sz w:val="24"/>
          <w:szCs w:val="24"/>
          <w:shd w:val="clear" w:color="auto" w:fill="FFFFFF"/>
          <w:lang w:val="ro-RO"/>
        </w:rPr>
        <w:t xml:space="preserve"> </w:t>
      </w:r>
      <w:r w:rsidR="00E05C90" w:rsidRPr="00720652">
        <w:rPr>
          <w:rFonts w:asciiTheme="majorHAnsi" w:eastAsia="Times New Roman" w:hAnsiTheme="majorHAnsi" w:cstheme="majorHAnsi"/>
          <w:bCs/>
          <w:sz w:val="24"/>
          <w:szCs w:val="24"/>
          <w:shd w:val="clear" w:color="auto" w:fill="FFFFFF"/>
          <w:lang w:val="ro-RO"/>
        </w:rPr>
        <w:t>ac</w:t>
      </w:r>
      <w:r w:rsidR="000523B8" w:rsidRPr="00720652">
        <w:rPr>
          <w:rFonts w:asciiTheme="majorHAnsi" w:eastAsia="Times New Roman" w:hAnsiTheme="majorHAnsi" w:cstheme="majorHAnsi"/>
          <w:bCs/>
          <w:sz w:val="24"/>
          <w:szCs w:val="24"/>
          <w:shd w:val="clear" w:color="auto" w:fill="FFFFFF"/>
          <w:lang w:val="ro-RO"/>
        </w:rPr>
        <w:t xml:space="preserve">umulate în anii 2014-2021, </w:t>
      </w:r>
      <w:r w:rsidR="004114C7" w:rsidRPr="00720652">
        <w:rPr>
          <w:rFonts w:asciiTheme="majorHAnsi" w:eastAsia="Times New Roman" w:hAnsiTheme="majorHAnsi" w:cstheme="majorHAnsi"/>
          <w:bCs/>
          <w:sz w:val="24"/>
          <w:szCs w:val="24"/>
          <w:shd w:val="clear" w:color="auto" w:fill="FFFFFF"/>
          <w:lang w:val="ro-RO"/>
        </w:rPr>
        <w:t>care a constituit per total 962,1 mii lei, 72,3%</w:t>
      </w:r>
      <w:r w:rsidR="00A1194B" w:rsidRPr="00720652">
        <w:rPr>
          <w:rFonts w:asciiTheme="majorHAnsi" w:eastAsia="Times New Roman" w:hAnsiTheme="majorHAnsi" w:cstheme="majorHAnsi"/>
          <w:bCs/>
          <w:sz w:val="24"/>
          <w:szCs w:val="24"/>
          <w:shd w:val="clear" w:color="auto" w:fill="FFFFFF"/>
          <w:lang w:val="ro-RO"/>
        </w:rPr>
        <w:t>,</w:t>
      </w:r>
      <w:r w:rsidR="004114C7" w:rsidRPr="00720652">
        <w:rPr>
          <w:rFonts w:asciiTheme="majorHAnsi" w:eastAsia="Times New Roman" w:hAnsiTheme="majorHAnsi" w:cstheme="majorHAnsi"/>
          <w:bCs/>
          <w:sz w:val="24"/>
          <w:szCs w:val="24"/>
          <w:shd w:val="clear" w:color="auto" w:fill="FFFFFF"/>
          <w:lang w:val="ro-RO"/>
        </w:rPr>
        <w:t xml:space="preserve"> sau 695,3 mii lei</w:t>
      </w:r>
      <w:r w:rsidR="00A1194B" w:rsidRPr="00720652">
        <w:rPr>
          <w:rFonts w:asciiTheme="majorHAnsi" w:eastAsia="Times New Roman" w:hAnsiTheme="majorHAnsi" w:cstheme="majorHAnsi"/>
          <w:bCs/>
          <w:sz w:val="24"/>
          <w:szCs w:val="24"/>
          <w:shd w:val="clear" w:color="auto" w:fill="FFFFFF"/>
          <w:lang w:val="ro-RO"/>
        </w:rPr>
        <w:t>,</w:t>
      </w:r>
      <w:r w:rsidR="004114C7" w:rsidRPr="00720652">
        <w:rPr>
          <w:rFonts w:asciiTheme="majorHAnsi" w:eastAsia="Times New Roman" w:hAnsiTheme="majorHAnsi" w:cstheme="majorHAnsi"/>
          <w:bCs/>
          <w:sz w:val="24"/>
          <w:szCs w:val="24"/>
          <w:shd w:val="clear" w:color="auto" w:fill="FFFFFF"/>
          <w:lang w:val="ro-RO"/>
        </w:rPr>
        <w:t xml:space="preserve"> reprezintă </w:t>
      </w:r>
      <w:r w:rsidR="00B54B34" w:rsidRPr="00720652">
        <w:rPr>
          <w:rFonts w:asciiTheme="majorHAnsi" w:eastAsia="Times New Roman" w:hAnsiTheme="majorHAnsi" w:cstheme="majorHAnsi"/>
          <w:bCs/>
          <w:sz w:val="24"/>
          <w:szCs w:val="24"/>
          <w:shd w:val="clear" w:color="auto" w:fill="FFFFFF"/>
          <w:lang w:val="ro-RO"/>
        </w:rPr>
        <w:t xml:space="preserve">valoarea obligațiunilor față de stat la care termenul de prescripție </w:t>
      </w:r>
      <w:r w:rsidR="000523B8" w:rsidRPr="00720652">
        <w:rPr>
          <w:rFonts w:asciiTheme="majorHAnsi" w:eastAsia="Times New Roman" w:hAnsiTheme="majorHAnsi" w:cstheme="majorHAnsi"/>
          <w:bCs/>
          <w:sz w:val="24"/>
          <w:szCs w:val="24"/>
          <w:shd w:val="clear" w:color="auto" w:fill="FFFFFF"/>
          <w:lang w:val="ro-RO"/>
        </w:rPr>
        <w:t xml:space="preserve">de 3 ani </w:t>
      </w:r>
      <w:r w:rsidR="00B54B34" w:rsidRPr="00720652">
        <w:rPr>
          <w:rFonts w:asciiTheme="majorHAnsi" w:eastAsia="Times New Roman" w:hAnsiTheme="majorHAnsi" w:cstheme="majorHAnsi"/>
          <w:bCs/>
          <w:sz w:val="24"/>
          <w:szCs w:val="24"/>
          <w:shd w:val="clear" w:color="auto" w:fill="FFFFFF"/>
          <w:lang w:val="ro-RO"/>
        </w:rPr>
        <w:t>a expirat</w:t>
      </w:r>
      <w:r w:rsidR="004114C7" w:rsidRPr="00720652">
        <w:rPr>
          <w:rFonts w:asciiTheme="majorHAnsi" w:eastAsia="Times New Roman" w:hAnsiTheme="majorHAnsi" w:cstheme="majorHAnsi"/>
          <w:bCs/>
          <w:sz w:val="24"/>
          <w:szCs w:val="24"/>
          <w:shd w:val="clear" w:color="auto" w:fill="FFFFFF"/>
          <w:lang w:val="ro-RO"/>
        </w:rPr>
        <w:t xml:space="preserve">. </w:t>
      </w:r>
      <w:r w:rsidR="00B54B34" w:rsidRPr="00720652">
        <w:rPr>
          <w:rFonts w:asciiTheme="majorHAnsi" w:eastAsia="Times New Roman" w:hAnsiTheme="majorHAnsi" w:cstheme="majorHAnsi"/>
          <w:bCs/>
          <w:sz w:val="24"/>
          <w:szCs w:val="24"/>
          <w:shd w:val="clear" w:color="auto" w:fill="FFFFFF"/>
          <w:lang w:val="ro-RO"/>
        </w:rPr>
        <w:t>Ace</w:t>
      </w:r>
      <w:r w:rsidR="00B4075C" w:rsidRPr="00720652">
        <w:rPr>
          <w:rFonts w:asciiTheme="majorHAnsi" w:eastAsia="Times New Roman" w:hAnsiTheme="majorHAnsi" w:cstheme="majorHAnsi"/>
          <w:bCs/>
          <w:sz w:val="24"/>
          <w:szCs w:val="24"/>
          <w:shd w:val="clear" w:color="auto" w:fill="FFFFFF"/>
          <w:lang w:val="ro-RO"/>
        </w:rPr>
        <w:t>e</w:t>
      </w:r>
      <w:r w:rsidR="00B54B34" w:rsidRPr="00720652">
        <w:rPr>
          <w:rFonts w:asciiTheme="majorHAnsi" w:eastAsia="Times New Roman" w:hAnsiTheme="majorHAnsi" w:cstheme="majorHAnsi"/>
          <w:bCs/>
          <w:sz w:val="24"/>
          <w:szCs w:val="24"/>
          <w:shd w:val="clear" w:color="auto" w:fill="FFFFFF"/>
          <w:lang w:val="ro-RO"/>
        </w:rPr>
        <w:t>a</w:t>
      </w:r>
      <w:r w:rsidR="00E05C90" w:rsidRPr="00720652">
        <w:rPr>
          <w:rFonts w:asciiTheme="majorHAnsi" w:eastAsia="Times New Roman" w:hAnsiTheme="majorHAnsi" w:cstheme="majorHAnsi"/>
          <w:bCs/>
          <w:sz w:val="24"/>
          <w:szCs w:val="24"/>
          <w:shd w:val="clear" w:color="auto" w:fill="FFFFFF"/>
          <w:lang w:val="ro-RO"/>
        </w:rPr>
        <w:t>ș</w:t>
      </w:r>
      <w:r w:rsidR="00B54B34" w:rsidRPr="00720652">
        <w:rPr>
          <w:rFonts w:asciiTheme="majorHAnsi" w:eastAsia="Times New Roman" w:hAnsiTheme="majorHAnsi" w:cstheme="majorHAnsi"/>
          <w:bCs/>
          <w:sz w:val="24"/>
          <w:szCs w:val="24"/>
          <w:shd w:val="clear" w:color="auto" w:fill="FFFFFF"/>
          <w:lang w:val="ro-RO"/>
        </w:rPr>
        <w:t>i situație se atestă și la prejudicii</w:t>
      </w:r>
      <w:r w:rsidR="00B4075C" w:rsidRPr="00720652">
        <w:rPr>
          <w:rFonts w:asciiTheme="majorHAnsi" w:eastAsia="Times New Roman" w:hAnsiTheme="majorHAnsi" w:cstheme="majorHAnsi"/>
          <w:bCs/>
          <w:sz w:val="24"/>
          <w:szCs w:val="24"/>
          <w:shd w:val="clear" w:color="auto" w:fill="FFFFFF"/>
          <w:lang w:val="ro-RO"/>
        </w:rPr>
        <w:t>:</w:t>
      </w:r>
      <w:r w:rsidR="00B54B34" w:rsidRPr="00720652">
        <w:rPr>
          <w:rFonts w:asciiTheme="majorHAnsi" w:eastAsia="Times New Roman" w:hAnsiTheme="majorHAnsi" w:cstheme="majorHAnsi"/>
          <w:bCs/>
          <w:sz w:val="24"/>
          <w:szCs w:val="24"/>
          <w:shd w:val="clear" w:color="auto" w:fill="FFFFFF"/>
          <w:lang w:val="ro-RO"/>
        </w:rPr>
        <w:t xml:space="preserve"> </w:t>
      </w:r>
      <w:r w:rsidR="007E2279" w:rsidRPr="00720652">
        <w:rPr>
          <w:rFonts w:asciiTheme="majorHAnsi" w:eastAsia="Times New Roman" w:hAnsiTheme="majorHAnsi" w:cstheme="majorHAnsi"/>
          <w:bCs/>
          <w:sz w:val="24"/>
          <w:szCs w:val="24"/>
          <w:shd w:val="clear" w:color="auto" w:fill="FFFFFF"/>
          <w:lang w:val="ro-RO"/>
        </w:rPr>
        <w:t xml:space="preserve">din valoarea </w:t>
      </w:r>
      <w:r w:rsidR="00B54B34" w:rsidRPr="00720652">
        <w:rPr>
          <w:rFonts w:asciiTheme="majorHAnsi" w:eastAsia="Times New Roman" w:hAnsiTheme="majorHAnsi" w:cstheme="majorHAnsi"/>
          <w:bCs/>
          <w:sz w:val="24"/>
          <w:szCs w:val="24"/>
          <w:shd w:val="clear" w:color="auto" w:fill="FFFFFF"/>
          <w:lang w:val="ro-RO"/>
        </w:rPr>
        <w:t>estimată a obligațiunilor față de buget</w:t>
      </w:r>
      <w:r w:rsidR="0016116C" w:rsidRPr="00720652">
        <w:rPr>
          <w:rFonts w:asciiTheme="majorHAnsi" w:eastAsia="Times New Roman" w:hAnsiTheme="majorHAnsi" w:cstheme="majorHAnsi"/>
          <w:bCs/>
          <w:sz w:val="24"/>
          <w:szCs w:val="24"/>
          <w:shd w:val="clear" w:color="auto" w:fill="FFFFFF"/>
          <w:lang w:val="ro-RO"/>
        </w:rPr>
        <w:t xml:space="preserve"> de 60,3 mil.lei, estimativ</w:t>
      </w:r>
      <w:r w:rsidR="007E2279" w:rsidRPr="00720652">
        <w:rPr>
          <w:rFonts w:asciiTheme="majorHAnsi" w:eastAsia="Times New Roman" w:hAnsiTheme="majorHAnsi" w:cstheme="majorHAnsi"/>
          <w:bCs/>
          <w:sz w:val="24"/>
          <w:szCs w:val="24"/>
          <w:shd w:val="clear" w:color="auto" w:fill="FFFFFF"/>
          <w:lang w:val="ro-RO"/>
        </w:rPr>
        <w:t xml:space="preserve"> 1,4 mil.lei sunt cu termen</w:t>
      </w:r>
      <w:r w:rsidR="00B4075C" w:rsidRPr="00720652">
        <w:rPr>
          <w:rFonts w:asciiTheme="majorHAnsi" w:eastAsia="Times New Roman" w:hAnsiTheme="majorHAnsi" w:cstheme="majorHAnsi"/>
          <w:bCs/>
          <w:sz w:val="24"/>
          <w:szCs w:val="24"/>
          <w:shd w:val="clear" w:color="auto" w:fill="FFFFFF"/>
          <w:lang w:val="ro-RO"/>
        </w:rPr>
        <w:t>ul</w:t>
      </w:r>
      <w:r w:rsidR="007E2279" w:rsidRPr="00720652">
        <w:rPr>
          <w:rFonts w:asciiTheme="majorHAnsi" w:eastAsia="Times New Roman" w:hAnsiTheme="majorHAnsi" w:cstheme="majorHAnsi"/>
          <w:bCs/>
          <w:sz w:val="24"/>
          <w:szCs w:val="24"/>
          <w:shd w:val="clear" w:color="auto" w:fill="FFFFFF"/>
          <w:lang w:val="ro-RO"/>
        </w:rPr>
        <w:t xml:space="preserve"> de prescripție expirat</w:t>
      </w:r>
      <w:r w:rsidR="00E911ED" w:rsidRPr="00720652">
        <w:rPr>
          <w:rStyle w:val="a7"/>
          <w:rFonts w:asciiTheme="majorHAnsi" w:eastAsia="Times New Roman" w:hAnsiTheme="majorHAnsi" w:cstheme="majorHAnsi"/>
          <w:bCs/>
          <w:sz w:val="24"/>
          <w:szCs w:val="24"/>
          <w:shd w:val="clear" w:color="auto" w:fill="FFFFFF"/>
          <w:lang w:val="ro-RO"/>
        </w:rPr>
        <w:footnoteReference w:id="13"/>
      </w:r>
      <w:r w:rsidR="007E2279" w:rsidRPr="00720652">
        <w:rPr>
          <w:rFonts w:asciiTheme="majorHAnsi" w:eastAsia="Times New Roman" w:hAnsiTheme="majorHAnsi" w:cstheme="majorHAnsi"/>
          <w:bCs/>
          <w:sz w:val="24"/>
          <w:szCs w:val="24"/>
          <w:shd w:val="clear" w:color="auto" w:fill="FFFFFF"/>
          <w:lang w:val="ro-RO"/>
        </w:rPr>
        <w:t>.</w:t>
      </w:r>
      <w:r w:rsidR="00B54B34" w:rsidRPr="00720652">
        <w:rPr>
          <w:rFonts w:asciiTheme="majorHAnsi" w:eastAsia="Times New Roman" w:hAnsiTheme="majorHAnsi" w:cstheme="majorHAnsi"/>
          <w:bCs/>
          <w:sz w:val="24"/>
          <w:szCs w:val="24"/>
          <w:shd w:val="clear" w:color="auto" w:fill="FFFFFF"/>
          <w:lang w:val="ro-RO"/>
        </w:rPr>
        <w:t xml:space="preserve"> </w:t>
      </w:r>
      <w:r w:rsidR="007E2279" w:rsidRPr="00720652">
        <w:rPr>
          <w:rFonts w:asciiTheme="majorHAnsi" w:hAnsiTheme="majorHAnsi" w:cstheme="majorHAnsi"/>
          <w:sz w:val="24"/>
          <w:szCs w:val="24"/>
          <w:lang w:val="ro-RO"/>
        </w:rPr>
        <w:t>Nivelul de încasare a prejudiciilor este foarte redus</w:t>
      </w:r>
      <w:r w:rsidR="006F321F" w:rsidRPr="00720652">
        <w:rPr>
          <w:rFonts w:asciiTheme="majorHAnsi" w:hAnsiTheme="majorHAnsi" w:cstheme="majorHAnsi"/>
          <w:sz w:val="24"/>
          <w:szCs w:val="24"/>
          <w:lang w:val="ro-RO"/>
        </w:rPr>
        <w:t>. Din totalul de 60,3 mil.lei, calculate în anii 2014-2021, la buget au fost încasate 0,4 mil.lei</w:t>
      </w:r>
      <w:r w:rsidR="00B4075C" w:rsidRPr="00720652">
        <w:rPr>
          <w:rFonts w:asciiTheme="majorHAnsi" w:hAnsiTheme="majorHAnsi" w:cstheme="majorHAnsi"/>
          <w:sz w:val="24"/>
          <w:szCs w:val="24"/>
          <w:lang w:val="ro-RO"/>
        </w:rPr>
        <w:t>,</w:t>
      </w:r>
      <w:r w:rsidR="006F321F" w:rsidRPr="00720652">
        <w:rPr>
          <w:rFonts w:asciiTheme="majorHAnsi" w:hAnsiTheme="majorHAnsi" w:cstheme="majorHAnsi"/>
          <w:sz w:val="24"/>
          <w:szCs w:val="24"/>
          <w:lang w:val="ro-RO"/>
        </w:rPr>
        <w:t xml:space="preserve"> sau 0,7%</w:t>
      </w:r>
      <w:r w:rsidR="00C23157" w:rsidRPr="00720652">
        <w:rPr>
          <w:rFonts w:asciiTheme="majorHAnsi" w:hAnsiTheme="majorHAnsi" w:cstheme="majorHAnsi"/>
          <w:sz w:val="24"/>
          <w:szCs w:val="24"/>
          <w:lang w:val="ro-RO"/>
        </w:rPr>
        <w:t xml:space="preserve">. </w:t>
      </w:r>
      <w:r w:rsidR="006F321F" w:rsidRPr="00720652">
        <w:rPr>
          <w:rFonts w:asciiTheme="majorHAnsi" w:hAnsiTheme="majorHAnsi" w:cstheme="majorHAnsi"/>
          <w:sz w:val="24"/>
          <w:szCs w:val="24"/>
          <w:lang w:val="ro-RO"/>
        </w:rPr>
        <w:t xml:space="preserve"> </w:t>
      </w:r>
      <w:r w:rsidR="007E2279" w:rsidRPr="00720652">
        <w:rPr>
          <w:rFonts w:asciiTheme="majorHAnsi" w:hAnsiTheme="majorHAnsi" w:cstheme="majorHAnsi"/>
          <w:sz w:val="24"/>
          <w:szCs w:val="24"/>
          <w:lang w:val="ro-RO"/>
        </w:rPr>
        <w:t xml:space="preserve"> </w:t>
      </w:r>
    </w:p>
    <w:p w14:paraId="50358B99" w14:textId="77777777" w:rsidR="00E2420B" w:rsidRPr="00720652" w:rsidRDefault="00E2420B" w:rsidP="009E6346">
      <w:pPr>
        <w:spacing w:after="0" w:line="276" w:lineRule="auto"/>
        <w:ind w:firstLine="567"/>
        <w:jc w:val="both"/>
        <w:rPr>
          <w:rFonts w:asciiTheme="majorHAnsi" w:eastAsia="Calibri" w:hAnsiTheme="majorHAnsi" w:cstheme="majorHAnsi"/>
          <w:noProof/>
          <w:sz w:val="24"/>
          <w:szCs w:val="24"/>
          <w:lang w:val="ro-RO"/>
        </w:rPr>
      </w:pPr>
      <w:r w:rsidRPr="00720652">
        <w:rPr>
          <w:rFonts w:asciiTheme="majorHAnsi" w:eastAsia="Calibri" w:hAnsiTheme="majorHAnsi" w:cstheme="majorHAnsi"/>
          <w:noProof/>
          <w:sz w:val="24"/>
          <w:szCs w:val="24"/>
          <w:lang w:val="ro-RO"/>
        </w:rPr>
        <w:t xml:space="preserve">Reieșind din cele expuse, în temeiul art.14 alin.(2) și art.15 lit.d) din Legea nr.260 din 07.12.2017, Curtea de Conturi </w:t>
      </w:r>
    </w:p>
    <w:p w14:paraId="313952EF" w14:textId="77777777" w:rsidR="00402320" w:rsidRPr="00720652" w:rsidRDefault="00402320" w:rsidP="009E6346">
      <w:pPr>
        <w:spacing w:after="0" w:line="276" w:lineRule="auto"/>
        <w:jc w:val="center"/>
        <w:rPr>
          <w:rFonts w:asciiTheme="majorHAnsi" w:eastAsia="Times New Roman" w:hAnsiTheme="majorHAnsi" w:cstheme="majorHAnsi"/>
          <w:b/>
          <w:bCs/>
          <w:sz w:val="24"/>
          <w:szCs w:val="24"/>
          <w:lang w:val="ro-RO"/>
        </w:rPr>
      </w:pPr>
    </w:p>
    <w:p w14:paraId="7F2F794E" w14:textId="77777777" w:rsidR="0086403C" w:rsidRPr="00720652" w:rsidRDefault="0086403C" w:rsidP="009E6346">
      <w:pPr>
        <w:spacing w:after="0" w:line="276" w:lineRule="auto"/>
        <w:jc w:val="center"/>
        <w:rPr>
          <w:rFonts w:asciiTheme="majorHAnsi" w:eastAsia="Times New Roman" w:hAnsiTheme="majorHAnsi" w:cstheme="majorHAnsi"/>
          <w:b/>
          <w:bCs/>
          <w:sz w:val="24"/>
          <w:szCs w:val="24"/>
          <w:lang w:val="ro-RO"/>
        </w:rPr>
      </w:pPr>
      <w:r w:rsidRPr="00720652">
        <w:rPr>
          <w:rFonts w:asciiTheme="majorHAnsi" w:eastAsia="Times New Roman" w:hAnsiTheme="majorHAnsi" w:cstheme="majorHAnsi"/>
          <w:b/>
          <w:bCs/>
          <w:sz w:val="24"/>
          <w:szCs w:val="24"/>
          <w:lang w:val="ro-RO"/>
        </w:rPr>
        <w:t>HOTĂRĂŞTE:</w:t>
      </w:r>
    </w:p>
    <w:p w14:paraId="5B4DA769" w14:textId="77777777" w:rsidR="0086403C" w:rsidRPr="00720652" w:rsidRDefault="0086403C" w:rsidP="009E6346">
      <w:pPr>
        <w:spacing w:after="0" w:line="276" w:lineRule="auto"/>
        <w:ind w:firstLine="567"/>
        <w:jc w:val="both"/>
        <w:rPr>
          <w:rFonts w:asciiTheme="majorHAnsi" w:eastAsia="Times New Roman" w:hAnsiTheme="majorHAnsi" w:cstheme="majorHAnsi"/>
          <w:bCs/>
          <w:iCs/>
          <w:sz w:val="24"/>
          <w:szCs w:val="24"/>
          <w:lang w:val="ro-RO"/>
        </w:rPr>
      </w:pPr>
      <w:r w:rsidRPr="00720652">
        <w:rPr>
          <w:rFonts w:asciiTheme="majorHAnsi" w:eastAsia="Times New Roman" w:hAnsiTheme="majorHAnsi" w:cstheme="majorHAnsi"/>
          <w:b/>
          <w:bCs/>
          <w:sz w:val="24"/>
          <w:szCs w:val="24"/>
          <w:lang w:val="ro-RO"/>
        </w:rPr>
        <w:t>1.</w:t>
      </w:r>
      <w:r w:rsidRPr="00720652">
        <w:rPr>
          <w:rFonts w:asciiTheme="majorHAnsi" w:eastAsia="Times New Roman" w:hAnsiTheme="majorHAnsi" w:cstheme="majorHAnsi"/>
          <w:sz w:val="24"/>
          <w:szCs w:val="24"/>
          <w:lang w:val="ro-RO"/>
        </w:rPr>
        <w:t xml:space="preserve"> Se aprobă </w:t>
      </w:r>
      <w:r w:rsidR="00FD4FB9" w:rsidRPr="00720652">
        <w:rPr>
          <w:rFonts w:asciiTheme="majorHAnsi" w:eastAsia="Times New Roman" w:hAnsiTheme="majorHAnsi" w:cstheme="majorHAnsi"/>
          <w:bCs/>
          <w:sz w:val="24"/>
          <w:szCs w:val="24"/>
          <w:lang w:val="ro-RO"/>
        </w:rPr>
        <w:t>Raportul</w:t>
      </w:r>
      <w:r w:rsidR="00D745EA" w:rsidRPr="00720652">
        <w:rPr>
          <w:rFonts w:asciiTheme="majorHAnsi" w:eastAsia="Times New Roman" w:hAnsiTheme="majorHAnsi" w:cstheme="majorHAnsi"/>
          <w:bCs/>
          <w:sz w:val="24"/>
          <w:szCs w:val="24"/>
          <w:lang w:val="ro-RO"/>
        </w:rPr>
        <w:t xml:space="preserve"> </w:t>
      </w:r>
      <w:r w:rsidR="00AF2868" w:rsidRPr="00720652">
        <w:rPr>
          <w:rFonts w:asciiTheme="majorHAnsi" w:eastAsia="Times New Roman" w:hAnsiTheme="majorHAnsi" w:cstheme="majorHAnsi"/>
          <w:bCs/>
          <w:sz w:val="24"/>
          <w:szCs w:val="24"/>
          <w:lang w:val="ro-RO"/>
        </w:rPr>
        <w:t xml:space="preserve">auditului </w:t>
      </w:r>
      <w:r w:rsidR="00D745EA" w:rsidRPr="00720652">
        <w:rPr>
          <w:rFonts w:asciiTheme="majorHAnsi" w:eastAsia="Times New Roman" w:hAnsiTheme="majorHAnsi" w:cstheme="majorHAnsi"/>
          <w:bCs/>
          <w:sz w:val="24"/>
          <w:szCs w:val="24"/>
          <w:lang w:val="ro-RO"/>
        </w:rPr>
        <w:t>performanței</w:t>
      </w:r>
      <w:r w:rsidR="00FD4FB9" w:rsidRPr="00720652">
        <w:rPr>
          <w:rFonts w:asciiTheme="majorHAnsi" w:eastAsia="Times New Roman" w:hAnsiTheme="majorHAnsi" w:cstheme="majorHAnsi"/>
          <w:bCs/>
          <w:sz w:val="24"/>
          <w:szCs w:val="24"/>
          <w:lang w:val="ro-RO"/>
        </w:rPr>
        <w:t xml:space="preserve"> </w:t>
      </w:r>
      <w:r w:rsidR="00600F44" w:rsidRPr="00720652">
        <w:rPr>
          <w:rFonts w:asciiTheme="majorHAnsi" w:eastAsia="Times New Roman" w:hAnsiTheme="majorHAnsi" w:cstheme="majorHAnsi"/>
          <w:bCs/>
          <w:iCs/>
          <w:sz w:val="24"/>
          <w:szCs w:val="24"/>
          <w:lang w:val="ro-RO"/>
        </w:rPr>
        <w:t xml:space="preserve">„Progresele atinse în cadrul implementării Strategiei de alimentare cu apă </w:t>
      </w:r>
      <w:proofErr w:type="spellStart"/>
      <w:r w:rsidR="00600F44" w:rsidRPr="00720652">
        <w:rPr>
          <w:rFonts w:asciiTheme="majorHAnsi" w:eastAsia="Times New Roman" w:hAnsiTheme="majorHAnsi" w:cstheme="majorHAnsi"/>
          <w:bCs/>
          <w:iCs/>
          <w:sz w:val="24"/>
          <w:szCs w:val="24"/>
          <w:lang w:val="ro-RO"/>
        </w:rPr>
        <w:t>şi</w:t>
      </w:r>
      <w:proofErr w:type="spellEnd"/>
      <w:r w:rsidR="00600F44" w:rsidRPr="00720652">
        <w:rPr>
          <w:rFonts w:asciiTheme="majorHAnsi" w:eastAsia="Times New Roman" w:hAnsiTheme="majorHAnsi" w:cstheme="majorHAnsi"/>
          <w:bCs/>
          <w:iCs/>
          <w:sz w:val="24"/>
          <w:szCs w:val="24"/>
          <w:lang w:val="ro-RO"/>
        </w:rPr>
        <w:t xml:space="preserve"> </w:t>
      </w:r>
      <w:proofErr w:type="spellStart"/>
      <w:r w:rsidR="00600F44" w:rsidRPr="00720652">
        <w:rPr>
          <w:rFonts w:asciiTheme="majorHAnsi" w:eastAsia="Times New Roman" w:hAnsiTheme="majorHAnsi" w:cstheme="majorHAnsi"/>
          <w:bCs/>
          <w:iCs/>
          <w:sz w:val="24"/>
          <w:szCs w:val="24"/>
          <w:lang w:val="ro-RO"/>
        </w:rPr>
        <w:t>sanitaţie</w:t>
      </w:r>
      <w:proofErr w:type="spellEnd"/>
      <w:r w:rsidR="00600F44" w:rsidRPr="00720652">
        <w:rPr>
          <w:rFonts w:asciiTheme="majorHAnsi" w:eastAsia="Times New Roman" w:hAnsiTheme="majorHAnsi" w:cstheme="majorHAnsi"/>
          <w:bCs/>
          <w:iCs/>
          <w:sz w:val="24"/>
          <w:szCs w:val="24"/>
          <w:lang w:val="ro-RO"/>
        </w:rPr>
        <w:t xml:space="preserve"> (2014-2030)”</w:t>
      </w:r>
      <w:r w:rsidR="00B4075C" w:rsidRPr="00720652">
        <w:rPr>
          <w:rFonts w:asciiTheme="majorHAnsi" w:eastAsia="Times New Roman" w:hAnsiTheme="majorHAnsi" w:cstheme="majorHAnsi"/>
          <w:sz w:val="24"/>
          <w:szCs w:val="24"/>
          <w:lang w:val="ro-RO"/>
        </w:rPr>
        <w:t>, conform Anexei.</w:t>
      </w:r>
    </w:p>
    <w:p w14:paraId="4D1C4D92" w14:textId="77777777" w:rsidR="0086403C" w:rsidRPr="00720652" w:rsidRDefault="0086403C" w:rsidP="009E6346">
      <w:pPr>
        <w:spacing w:after="0" w:line="276" w:lineRule="auto"/>
        <w:ind w:firstLine="567"/>
        <w:jc w:val="both"/>
        <w:rPr>
          <w:rFonts w:asciiTheme="majorHAnsi" w:eastAsia="Times New Roman" w:hAnsiTheme="majorHAnsi" w:cstheme="majorHAnsi"/>
          <w:sz w:val="24"/>
          <w:szCs w:val="24"/>
          <w:lang w:val="ro-RO"/>
        </w:rPr>
      </w:pPr>
      <w:r w:rsidRPr="00720652">
        <w:rPr>
          <w:rFonts w:asciiTheme="majorHAnsi" w:eastAsia="Times New Roman" w:hAnsiTheme="majorHAnsi" w:cstheme="majorHAnsi"/>
          <w:b/>
          <w:bCs/>
          <w:sz w:val="24"/>
          <w:szCs w:val="24"/>
          <w:lang w:val="ro-RO"/>
        </w:rPr>
        <w:t>2.</w:t>
      </w:r>
      <w:r w:rsidRPr="00720652">
        <w:rPr>
          <w:rFonts w:asciiTheme="majorHAnsi" w:eastAsia="Times New Roman" w:hAnsiTheme="majorHAnsi" w:cstheme="majorHAnsi"/>
          <w:sz w:val="24"/>
          <w:szCs w:val="24"/>
          <w:lang w:val="ro-RO"/>
        </w:rPr>
        <w:t xml:space="preserve"> Prezenta Hotărâre și Raportul de audit se remit:</w:t>
      </w:r>
    </w:p>
    <w:p w14:paraId="51D8BF7E" w14:textId="77777777" w:rsidR="005647A7" w:rsidRPr="00720652" w:rsidRDefault="005647A7" w:rsidP="009E6346">
      <w:pPr>
        <w:spacing w:after="0" w:line="276" w:lineRule="auto"/>
        <w:ind w:firstLine="567"/>
        <w:jc w:val="both"/>
        <w:rPr>
          <w:rFonts w:asciiTheme="majorHAnsi" w:eastAsia="Times New Roman" w:hAnsiTheme="majorHAnsi" w:cstheme="majorHAnsi"/>
          <w:sz w:val="24"/>
          <w:szCs w:val="24"/>
          <w:lang w:val="ro-RO" w:eastAsia="ru-RU"/>
        </w:rPr>
      </w:pPr>
      <w:r w:rsidRPr="00720652">
        <w:rPr>
          <w:rFonts w:asciiTheme="majorHAnsi" w:eastAsia="Times New Roman" w:hAnsiTheme="majorHAnsi" w:cstheme="majorHAnsi"/>
          <w:b/>
          <w:bCs/>
          <w:sz w:val="24"/>
          <w:szCs w:val="24"/>
          <w:lang w:val="ro-RO" w:eastAsia="ru-RU"/>
        </w:rPr>
        <w:t xml:space="preserve">2.1. Parlamentului Republicii Moldova, </w:t>
      </w:r>
      <w:r w:rsidRPr="00720652">
        <w:rPr>
          <w:rFonts w:asciiTheme="majorHAnsi" w:eastAsia="Times New Roman" w:hAnsiTheme="majorHAnsi" w:cstheme="majorHAnsi"/>
          <w:sz w:val="24"/>
          <w:szCs w:val="24"/>
          <w:lang w:val="ro-RO" w:eastAsia="ru-RU"/>
        </w:rPr>
        <w:t>pentru informare și examinare, după caz, în cadrul Comisiei parlamentare de control al finanțelor publice;</w:t>
      </w:r>
    </w:p>
    <w:p w14:paraId="03371C5E" w14:textId="77777777" w:rsidR="005647A7" w:rsidRPr="00720652" w:rsidRDefault="005647A7" w:rsidP="00AD5191">
      <w:pPr>
        <w:spacing w:after="0" w:line="276" w:lineRule="auto"/>
        <w:ind w:firstLine="567"/>
        <w:jc w:val="both"/>
        <w:rPr>
          <w:rFonts w:asciiTheme="majorHAnsi" w:eastAsia="Times New Roman" w:hAnsiTheme="majorHAnsi" w:cstheme="majorHAnsi"/>
          <w:sz w:val="24"/>
          <w:szCs w:val="24"/>
          <w:lang w:val="ro-RO" w:eastAsia="ru-RU"/>
        </w:rPr>
      </w:pPr>
      <w:r w:rsidRPr="00720652">
        <w:rPr>
          <w:rFonts w:asciiTheme="majorHAnsi" w:eastAsia="Times New Roman" w:hAnsiTheme="majorHAnsi" w:cstheme="majorHAnsi"/>
          <w:b/>
          <w:bCs/>
          <w:sz w:val="24"/>
          <w:szCs w:val="24"/>
          <w:lang w:val="ro-RO" w:eastAsia="ru-RU"/>
        </w:rPr>
        <w:t xml:space="preserve">2.2. Președintelui Republicii Moldova, </w:t>
      </w:r>
      <w:r w:rsidRPr="00720652">
        <w:rPr>
          <w:rFonts w:asciiTheme="majorHAnsi" w:eastAsia="Times New Roman" w:hAnsiTheme="majorHAnsi" w:cstheme="majorHAnsi"/>
          <w:sz w:val="24"/>
          <w:szCs w:val="24"/>
          <w:lang w:val="ro-RO" w:eastAsia="ru-RU"/>
        </w:rPr>
        <w:t>pentru informare;</w:t>
      </w:r>
    </w:p>
    <w:p w14:paraId="74480295" w14:textId="77777777" w:rsidR="002B0FB6" w:rsidRPr="00720652" w:rsidRDefault="005647A7">
      <w:pPr>
        <w:shd w:val="clear" w:color="auto" w:fill="FFFFFF"/>
        <w:spacing w:after="0" w:line="276" w:lineRule="auto"/>
        <w:ind w:firstLine="567"/>
        <w:jc w:val="both"/>
        <w:rPr>
          <w:rFonts w:ascii="Segoe UI" w:hAnsi="Segoe UI" w:cs="Segoe UI"/>
          <w:color w:val="212121"/>
          <w:sz w:val="24"/>
          <w:szCs w:val="24"/>
          <w:lang w:val="ro-RO"/>
        </w:rPr>
      </w:pPr>
      <w:r w:rsidRPr="00720652">
        <w:rPr>
          <w:rFonts w:asciiTheme="majorHAnsi" w:eastAsia="Times New Roman" w:hAnsiTheme="majorHAnsi" w:cstheme="majorHAnsi"/>
          <w:b/>
          <w:bCs/>
          <w:sz w:val="24"/>
          <w:szCs w:val="24"/>
          <w:lang w:val="ro-RO" w:eastAsia="ru-RU"/>
        </w:rPr>
        <w:t xml:space="preserve">2.3. Guvernului Republicii Moldova, </w:t>
      </w:r>
      <w:r w:rsidR="00D62F07" w:rsidRPr="00720652">
        <w:rPr>
          <w:rFonts w:ascii="Calibri Light" w:hAnsi="Calibri Light"/>
          <w:color w:val="212121"/>
          <w:sz w:val="24"/>
          <w:szCs w:val="24"/>
          <w:lang w:val="ro-RO"/>
        </w:rPr>
        <w:t xml:space="preserve">pentru informare privitor la responsabilitățile fragmentate ale actorilor implicați în implementarea proiectelor investiționale în domeniul asigurării populației  cu apă și sanitație, precum și </w:t>
      </w:r>
      <w:r w:rsidR="00C50714" w:rsidRPr="00720652">
        <w:rPr>
          <w:rFonts w:ascii="Calibri Light" w:hAnsi="Calibri Light"/>
          <w:color w:val="212121"/>
          <w:sz w:val="24"/>
          <w:szCs w:val="24"/>
          <w:lang w:val="ro-RO"/>
        </w:rPr>
        <w:t xml:space="preserve">pentru </w:t>
      </w:r>
      <w:r w:rsidR="00D62F07" w:rsidRPr="00720652">
        <w:rPr>
          <w:rFonts w:ascii="Calibri Light" w:hAnsi="Calibri Light"/>
          <w:color w:val="212121"/>
          <w:sz w:val="24"/>
          <w:szCs w:val="24"/>
          <w:lang w:val="ro-RO"/>
        </w:rPr>
        <w:t>luare de atitudine în vederea monitorizării asigurării implementării recomandărilor de audit</w:t>
      </w:r>
      <w:r w:rsidR="00C50714" w:rsidRPr="00720652">
        <w:rPr>
          <w:rFonts w:ascii="Calibri Light" w:hAnsi="Calibri Light"/>
          <w:color w:val="212121"/>
          <w:sz w:val="24"/>
          <w:szCs w:val="24"/>
          <w:lang w:val="ro-RO"/>
        </w:rPr>
        <w:t>;</w:t>
      </w:r>
    </w:p>
    <w:p w14:paraId="0998166E" w14:textId="77777777" w:rsidR="002B0FB6" w:rsidRPr="00720652" w:rsidRDefault="00C50714">
      <w:pPr>
        <w:shd w:val="clear" w:color="auto" w:fill="FFFFFF"/>
        <w:spacing w:after="0" w:line="276" w:lineRule="auto"/>
        <w:ind w:firstLine="567"/>
        <w:jc w:val="both"/>
        <w:rPr>
          <w:rFonts w:asciiTheme="majorHAnsi" w:eastAsia="Calibri" w:hAnsiTheme="majorHAnsi" w:cstheme="majorHAnsi"/>
          <w:noProof/>
          <w:sz w:val="24"/>
          <w:szCs w:val="24"/>
          <w:lang w:val="ro-RO"/>
        </w:rPr>
      </w:pPr>
      <w:r w:rsidRPr="00720652">
        <w:rPr>
          <w:rFonts w:ascii="Calibri Light" w:hAnsi="Calibri Light"/>
          <w:color w:val="212121"/>
          <w:lang w:val="ro-RO"/>
        </w:rPr>
        <w:t> </w:t>
      </w:r>
      <w:r w:rsidR="00FD4FB9" w:rsidRPr="00720652">
        <w:rPr>
          <w:rFonts w:asciiTheme="majorHAnsi" w:eastAsia="Times New Roman" w:hAnsiTheme="majorHAnsi" w:cstheme="majorHAnsi"/>
          <w:b/>
          <w:bCs/>
          <w:sz w:val="24"/>
          <w:szCs w:val="24"/>
          <w:lang w:val="ro-RO" w:eastAsia="ru-RU"/>
        </w:rPr>
        <w:t>2.4.</w:t>
      </w:r>
      <w:r w:rsidR="00FD4FB9" w:rsidRPr="00720652">
        <w:rPr>
          <w:rFonts w:asciiTheme="majorHAnsi" w:eastAsia="Times New Roman" w:hAnsiTheme="majorHAnsi" w:cstheme="majorHAnsi"/>
          <w:sz w:val="24"/>
          <w:szCs w:val="24"/>
          <w:lang w:val="ro-RO" w:eastAsia="ru-RU"/>
        </w:rPr>
        <w:t xml:space="preserve"> </w:t>
      </w:r>
      <w:r w:rsidR="00697098" w:rsidRPr="00720652">
        <w:rPr>
          <w:rFonts w:asciiTheme="majorHAnsi" w:eastAsia="Times New Roman" w:hAnsiTheme="majorHAnsi" w:cstheme="majorHAnsi"/>
          <w:b/>
          <w:sz w:val="24"/>
          <w:szCs w:val="24"/>
          <w:lang w:val="ro-RO" w:eastAsia="ru-RU"/>
        </w:rPr>
        <w:t>M</w:t>
      </w:r>
      <w:r w:rsidR="00C96EF0" w:rsidRPr="00720652">
        <w:rPr>
          <w:rFonts w:asciiTheme="majorHAnsi" w:eastAsia="Times New Roman" w:hAnsiTheme="majorHAnsi" w:cstheme="majorHAnsi"/>
          <w:b/>
          <w:sz w:val="24"/>
          <w:szCs w:val="24"/>
          <w:lang w:val="ro-RO" w:eastAsia="ru-RU"/>
        </w:rPr>
        <w:t>inisterului</w:t>
      </w:r>
      <w:r w:rsidR="006618E4" w:rsidRPr="00720652">
        <w:rPr>
          <w:rFonts w:asciiTheme="majorHAnsi" w:eastAsia="Times New Roman" w:hAnsiTheme="majorHAnsi" w:cstheme="majorHAnsi"/>
          <w:b/>
          <w:sz w:val="24"/>
          <w:szCs w:val="24"/>
          <w:lang w:val="ro-RO" w:eastAsia="ru-RU"/>
        </w:rPr>
        <w:t xml:space="preserve"> Infrastructurii și Dezvoltării Regionale,</w:t>
      </w:r>
      <w:r w:rsidR="006618E4" w:rsidRPr="00720652">
        <w:rPr>
          <w:rFonts w:asciiTheme="majorHAnsi" w:eastAsia="Calibri" w:hAnsiTheme="majorHAnsi" w:cstheme="majorHAnsi"/>
          <w:b/>
          <w:noProof/>
          <w:sz w:val="24"/>
          <w:szCs w:val="24"/>
          <w:lang w:val="ro-RO"/>
        </w:rPr>
        <w:t xml:space="preserve"> </w:t>
      </w:r>
      <w:r w:rsidR="00D81342" w:rsidRPr="00720652">
        <w:rPr>
          <w:rFonts w:asciiTheme="majorHAnsi" w:hAnsiTheme="majorHAnsi" w:cstheme="majorHAnsi"/>
          <w:b/>
          <w:bCs/>
          <w:sz w:val="24"/>
          <w:szCs w:val="24"/>
          <w:lang w:val="ro-RO"/>
        </w:rPr>
        <w:t xml:space="preserve">Ministerului Mediului, </w:t>
      </w:r>
      <w:r w:rsidR="00314417" w:rsidRPr="00720652">
        <w:rPr>
          <w:rFonts w:asciiTheme="majorHAnsi" w:hAnsiTheme="majorHAnsi" w:cstheme="majorHAnsi"/>
          <w:b/>
          <w:bCs/>
          <w:sz w:val="24"/>
          <w:szCs w:val="24"/>
          <w:lang w:val="ro-RO"/>
        </w:rPr>
        <w:t>Ministerului Finanțelor</w:t>
      </w:r>
      <w:r w:rsidR="006D0659" w:rsidRPr="00720652">
        <w:rPr>
          <w:rFonts w:asciiTheme="majorHAnsi" w:hAnsiTheme="majorHAnsi" w:cstheme="majorHAnsi"/>
          <w:b/>
          <w:bCs/>
          <w:sz w:val="24"/>
          <w:szCs w:val="24"/>
          <w:lang w:val="ro-RO"/>
        </w:rPr>
        <w:t>,</w:t>
      </w:r>
      <w:r w:rsidR="00314417" w:rsidRPr="00720652">
        <w:rPr>
          <w:rFonts w:asciiTheme="majorHAnsi" w:hAnsiTheme="majorHAnsi" w:cstheme="majorHAnsi"/>
          <w:sz w:val="24"/>
          <w:szCs w:val="24"/>
          <w:lang w:val="ro-RO"/>
        </w:rPr>
        <w:t xml:space="preserve"> </w:t>
      </w:r>
      <w:r w:rsidR="00D81342" w:rsidRPr="00720652">
        <w:rPr>
          <w:rFonts w:asciiTheme="majorHAnsi" w:hAnsiTheme="majorHAnsi" w:cstheme="majorHAnsi"/>
          <w:b/>
          <w:bCs/>
          <w:sz w:val="24"/>
          <w:szCs w:val="24"/>
          <w:lang w:val="ro-RO"/>
        </w:rPr>
        <w:t>Biroul</w:t>
      </w:r>
      <w:r w:rsidR="006D0659" w:rsidRPr="00720652">
        <w:rPr>
          <w:rFonts w:asciiTheme="majorHAnsi" w:hAnsiTheme="majorHAnsi" w:cstheme="majorHAnsi"/>
          <w:b/>
          <w:bCs/>
          <w:sz w:val="24"/>
          <w:szCs w:val="24"/>
          <w:lang w:val="ro-RO"/>
        </w:rPr>
        <w:t>ui</w:t>
      </w:r>
      <w:r w:rsidR="00C351C9" w:rsidRPr="00720652">
        <w:rPr>
          <w:rFonts w:asciiTheme="majorHAnsi" w:hAnsiTheme="majorHAnsi" w:cstheme="majorHAnsi"/>
          <w:b/>
          <w:bCs/>
          <w:sz w:val="24"/>
          <w:szCs w:val="24"/>
          <w:lang w:val="ro-RO"/>
        </w:rPr>
        <w:t xml:space="preserve"> Na</w:t>
      </w:r>
      <w:r w:rsidRPr="00720652">
        <w:rPr>
          <w:rFonts w:asciiTheme="majorHAnsi" w:hAnsiTheme="majorHAnsi" w:cstheme="majorHAnsi"/>
          <w:b/>
          <w:bCs/>
          <w:sz w:val="24"/>
          <w:szCs w:val="24"/>
          <w:lang w:val="ro-RO"/>
        </w:rPr>
        <w:t>ț</w:t>
      </w:r>
      <w:r w:rsidR="00C351C9" w:rsidRPr="00720652">
        <w:rPr>
          <w:rFonts w:asciiTheme="majorHAnsi" w:hAnsiTheme="majorHAnsi" w:cstheme="majorHAnsi"/>
          <w:b/>
          <w:bCs/>
          <w:sz w:val="24"/>
          <w:szCs w:val="24"/>
          <w:lang w:val="ro-RO"/>
        </w:rPr>
        <w:t xml:space="preserve">ional de Statistică, </w:t>
      </w:r>
      <w:r w:rsidR="00D81342" w:rsidRPr="00720652">
        <w:rPr>
          <w:rFonts w:asciiTheme="majorHAnsi" w:hAnsiTheme="majorHAnsi" w:cstheme="majorHAnsi"/>
          <w:b/>
          <w:bCs/>
          <w:sz w:val="24"/>
          <w:szCs w:val="24"/>
          <w:lang w:val="ro-RO"/>
        </w:rPr>
        <w:t>Inspectoratul</w:t>
      </w:r>
      <w:r w:rsidR="00B4075C" w:rsidRPr="00720652">
        <w:rPr>
          <w:rFonts w:asciiTheme="majorHAnsi" w:hAnsiTheme="majorHAnsi" w:cstheme="majorHAnsi"/>
          <w:b/>
          <w:bCs/>
          <w:sz w:val="24"/>
          <w:szCs w:val="24"/>
          <w:lang w:val="ro-RO"/>
        </w:rPr>
        <w:t>ui</w:t>
      </w:r>
      <w:r w:rsidR="00D81342" w:rsidRPr="00720652">
        <w:rPr>
          <w:rFonts w:asciiTheme="majorHAnsi" w:hAnsiTheme="majorHAnsi" w:cstheme="majorHAnsi"/>
          <w:b/>
          <w:bCs/>
          <w:sz w:val="24"/>
          <w:szCs w:val="24"/>
          <w:lang w:val="ro-RO"/>
        </w:rPr>
        <w:t xml:space="preserve"> </w:t>
      </w:r>
      <w:r w:rsidR="006D0659" w:rsidRPr="00720652">
        <w:rPr>
          <w:rFonts w:asciiTheme="majorHAnsi" w:hAnsiTheme="majorHAnsi" w:cstheme="majorHAnsi"/>
          <w:b/>
          <w:bCs/>
          <w:sz w:val="24"/>
          <w:szCs w:val="24"/>
          <w:lang w:val="ro-RO"/>
        </w:rPr>
        <w:t xml:space="preserve">pentru </w:t>
      </w:r>
      <w:r w:rsidR="00D81342" w:rsidRPr="00720652">
        <w:rPr>
          <w:rFonts w:asciiTheme="majorHAnsi" w:hAnsiTheme="majorHAnsi" w:cstheme="majorHAnsi"/>
          <w:b/>
          <w:bCs/>
          <w:sz w:val="24"/>
          <w:szCs w:val="24"/>
          <w:lang w:val="ro-RO"/>
        </w:rPr>
        <w:t>Protecția Mediului</w:t>
      </w:r>
      <w:r w:rsidR="00314417" w:rsidRPr="00720652">
        <w:rPr>
          <w:rFonts w:asciiTheme="majorHAnsi" w:hAnsiTheme="majorHAnsi" w:cstheme="majorHAnsi"/>
          <w:b/>
          <w:bCs/>
          <w:sz w:val="24"/>
          <w:szCs w:val="24"/>
          <w:lang w:val="ro-RO"/>
        </w:rPr>
        <w:t xml:space="preserve">, Instituției Publice „Oficiul Național de Implementare a Proiectelor în Domeniul Mediului”, </w:t>
      </w:r>
      <w:r w:rsidR="00E4319C" w:rsidRPr="00720652">
        <w:rPr>
          <w:rFonts w:asciiTheme="majorHAnsi" w:hAnsiTheme="majorHAnsi" w:cstheme="majorHAnsi"/>
          <w:sz w:val="24"/>
          <w:szCs w:val="24"/>
          <w:lang w:val="ro-RO"/>
        </w:rPr>
        <w:t>pentru</w:t>
      </w:r>
      <w:r w:rsidR="009B4703" w:rsidRPr="00720652">
        <w:rPr>
          <w:rFonts w:asciiTheme="majorHAnsi" w:hAnsiTheme="majorHAnsi" w:cstheme="majorHAnsi"/>
          <w:sz w:val="24"/>
          <w:szCs w:val="24"/>
          <w:lang w:val="ro-RO"/>
        </w:rPr>
        <w:t xml:space="preserve"> informare și </w:t>
      </w:r>
      <w:r w:rsidR="00E4319C" w:rsidRPr="00720652">
        <w:rPr>
          <w:rFonts w:asciiTheme="majorHAnsi" w:hAnsiTheme="majorHAnsi" w:cstheme="majorHAnsi"/>
          <w:sz w:val="24"/>
          <w:szCs w:val="24"/>
          <w:lang w:val="ro-RO"/>
        </w:rPr>
        <w:t xml:space="preserve"> luare de atitudine</w:t>
      </w:r>
      <w:r w:rsidR="0028511A" w:rsidRPr="00720652">
        <w:rPr>
          <w:rFonts w:asciiTheme="majorHAnsi" w:hAnsiTheme="majorHAnsi" w:cstheme="majorHAnsi"/>
          <w:sz w:val="24"/>
          <w:szCs w:val="24"/>
          <w:lang w:val="ro-RO"/>
        </w:rPr>
        <w:t>,</w:t>
      </w:r>
      <w:r w:rsidR="00E4319C" w:rsidRPr="00720652">
        <w:rPr>
          <w:rFonts w:asciiTheme="majorHAnsi" w:hAnsiTheme="majorHAnsi" w:cstheme="majorHAnsi"/>
          <w:sz w:val="24"/>
          <w:szCs w:val="24"/>
          <w:lang w:val="ro-RO"/>
        </w:rPr>
        <w:t xml:space="preserve"> și se recomandă</w:t>
      </w:r>
      <w:r w:rsidR="00E4319C" w:rsidRPr="00720652">
        <w:rPr>
          <w:rFonts w:asciiTheme="majorHAnsi" w:eastAsia="Calibri" w:hAnsiTheme="majorHAnsi" w:cstheme="majorHAnsi"/>
          <w:noProof/>
          <w:sz w:val="24"/>
          <w:szCs w:val="24"/>
          <w:lang w:val="ro-RO"/>
        </w:rPr>
        <w:t xml:space="preserve"> </w:t>
      </w:r>
      <w:r w:rsidR="00D53307" w:rsidRPr="00720652">
        <w:rPr>
          <w:rFonts w:asciiTheme="majorHAnsi" w:eastAsia="Calibri" w:hAnsiTheme="majorHAnsi" w:cstheme="majorHAnsi"/>
          <w:noProof/>
          <w:sz w:val="24"/>
          <w:szCs w:val="24"/>
          <w:lang w:val="ro-RO"/>
        </w:rPr>
        <w:t xml:space="preserve">examinarea rezultatelor auditului, conform competențelor, cu aprobarea unui plan de măsuri </w:t>
      </w:r>
      <w:r w:rsidR="00AF2868" w:rsidRPr="00720652">
        <w:rPr>
          <w:rFonts w:asciiTheme="majorHAnsi" w:eastAsia="Calibri" w:hAnsiTheme="majorHAnsi" w:cstheme="majorHAnsi"/>
          <w:noProof/>
          <w:sz w:val="24"/>
          <w:szCs w:val="24"/>
          <w:lang w:val="ro-RO"/>
        </w:rPr>
        <w:t>privind</w:t>
      </w:r>
      <w:r w:rsidR="00D53307" w:rsidRPr="00720652">
        <w:rPr>
          <w:rFonts w:asciiTheme="majorHAnsi" w:eastAsia="Calibri" w:hAnsiTheme="majorHAnsi" w:cstheme="majorHAnsi"/>
          <w:noProof/>
          <w:sz w:val="24"/>
          <w:szCs w:val="24"/>
          <w:lang w:val="ro-RO"/>
        </w:rPr>
        <w:t xml:space="preserve"> remedierea situațiilor constatate și implementarea recomandărilor din Raportul de audit;</w:t>
      </w:r>
    </w:p>
    <w:p w14:paraId="2AA12D97" w14:textId="77777777" w:rsidR="00E662EA" w:rsidRPr="00720652" w:rsidRDefault="00761205" w:rsidP="00E662EA">
      <w:pPr>
        <w:spacing w:after="0" w:line="276" w:lineRule="auto"/>
        <w:ind w:firstLine="567"/>
        <w:jc w:val="both"/>
        <w:rPr>
          <w:rFonts w:asciiTheme="majorHAnsi" w:hAnsiTheme="majorHAnsi" w:cstheme="majorHAnsi"/>
          <w:b/>
          <w:bCs/>
          <w:sz w:val="24"/>
          <w:szCs w:val="24"/>
          <w:lang w:val="ro-RO"/>
        </w:rPr>
      </w:pPr>
      <w:r w:rsidRPr="00720652">
        <w:rPr>
          <w:rFonts w:asciiTheme="majorHAnsi" w:hAnsiTheme="majorHAnsi" w:cstheme="majorHAnsi"/>
          <w:b/>
          <w:bCs/>
          <w:sz w:val="24"/>
          <w:szCs w:val="24"/>
          <w:lang w:val="ro-RO"/>
        </w:rPr>
        <w:t xml:space="preserve">2.5.  </w:t>
      </w:r>
      <w:r w:rsidR="00D81342" w:rsidRPr="00720652">
        <w:rPr>
          <w:rFonts w:asciiTheme="majorHAnsi" w:hAnsiTheme="majorHAnsi" w:cstheme="majorHAnsi"/>
          <w:b/>
          <w:sz w:val="24"/>
          <w:szCs w:val="24"/>
          <w:lang w:val="ro-RO"/>
        </w:rPr>
        <w:t>Consili</w:t>
      </w:r>
      <w:r w:rsidR="00B4075C" w:rsidRPr="00720652">
        <w:rPr>
          <w:rFonts w:asciiTheme="majorHAnsi" w:hAnsiTheme="majorHAnsi" w:cstheme="majorHAnsi"/>
          <w:b/>
          <w:sz w:val="24"/>
          <w:szCs w:val="24"/>
          <w:lang w:val="ro-RO"/>
        </w:rPr>
        <w:t>ilor</w:t>
      </w:r>
      <w:r w:rsidR="00D81342" w:rsidRPr="00720652">
        <w:rPr>
          <w:rFonts w:asciiTheme="majorHAnsi" w:hAnsiTheme="majorHAnsi" w:cstheme="majorHAnsi"/>
          <w:b/>
          <w:sz w:val="24"/>
          <w:szCs w:val="24"/>
          <w:lang w:val="ro-RO"/>
        </w:rPr>
        <w:t xml:space="preserve"> municipal</w:t>
      </w:r>
      <w:r w:rsidR="00B4075C" w:rsidRPr="00720652">
        <w:rPr>
          <w:rFonts w:asciiTheme="majorHAnsi" w:hAnsiTheme="majorHAnsi" w:cstheme="majorHAnsi"/>
          <w:b/>
          <w:sz w:val="24"/>
          <w:szCs w:val="24"/>
          <w:lang w:val="ro-RO"/>
        </w:rPr>
        <w:t>e</w:t>
      </w:r>
      <w:r w:rsidR="00D81342" w:rsidRPr="00720652">
        <w:rPr>
          <w:rFonts w:asciiTheme="majorHAnsi" w:hAnsiTheme="majorHAnsi" w:cstheme="majorHAnsi"/>
          <w:b/>
          <w:sz w:val="24"/>
          <w:szCs w:val="24"/>
          <w:lang w:val="ro-RO"/>
        </w:rPr>
        <w:t xml:space="preserve"> </w:t>
      </w:r>
      <w:r w:rsidR="0011542A" w:rsidRPr="00720652">
        <w:rPr>
          <w:rFonts w:asciiTheme="majorHAnsi" w:hAnsiTheme="majorHAnsi" w:cstheme="majorHAnsi"/>
          <w:b/>
          <w:sz w:val="24"/>
          <w:szCs w:val="24"/>
          <w:lang w:val="ro-RO"/>
        </w:rPr>
        <w:t>Chișinău</w:t>
      </w:r>
      <w:r w:rsidR="00B4075C" w:rsidRPr="00720652">
        <w:rPr>
          <w:rFonts w:asciiTheme="majorHAnsi" w:hAnsiTheme="majorHAnsi" w:cstheme="majorHAnsi"/>
          <w:b/>
          <w:sz w:val="24"/>
          <w:szCs w:val="24"/>
          <w:lang w:val="ro-RO"/>
        </w:rPr>
        <w:t xml:space="preserve"> și</w:t>
      </w:r>
      <w:r w:rsidR="0009230D" w:rsidRPr="00720652">
        <w:rPr>
          <w:rFonts w:asciiTheme="majorHAnsi" w:hAnsiTheme="majorHAnsi" w:cstheme="majorHAnsi"/>
          <w:b/>
          <w:sz w:val="24"/>
          <w:szCs w:val="24"/>
          <w:lang w:val="ro-RO"/>
        </w:rPr>
        <w:t xml:space="preserve"> </w:t>
      </w:r>
      <w:proofErr w:type="spellStart"/>
      <w:r w:rsidR="0009230D" w:rsidRPr="00720652">
        <w:rPr>
          <w:rFonts w:asciiTheme="majorHAnsi" w:hAnsiTheme="majorHAnsi" w:cstheme="majorHAnsi"/>
          <w:b/>
          <w:sz w:val="24"/>
          <w:szCs w:val="24"/>
          <w:lang w:val="ro-RO"/>
        </w:rPr>
        <w:t>Bălţi</w:t>
      </w:r>
      <w:proofErr w:type="spellEnd"/>
      <w:r w:rsidR="0009230D" w:rsidRPr="00720652">
        <w:rPr>
          <w:rFonts w:asciiTheme="majorHAnsi" w:hAnsiTheme="majorHAnsi" w:cstheme="majorHAnsi"/>
          <w:b/>
          <w:sz w:val="24"/>
          <w:szCs w:val="24"/>
          <w:lang w:val="ro-RO"/>
        </w:rPr>
        <w:t xml:space="preserve">, </w:t>
      </w:r>
      <w:r w:rsidR="00D81342" w:rsidRPr="00720652">
        <w:rPr>
          <w:rFonts w:asciiTheme="majorHAnsi" w:hAnsiTheme="majorHAnsi" w:cstheme="majorHAnsi"/>
          <w:b/>
          <w:sz w:val="24"/>
          <w:szCs w:val="24"/>
          <w:lang w:val="ro-RO"/>
        </w:rPr>
        <w:t>Consili</w:t>
      </w:r>
      <w:r w:rsidR="00B4075C" w:rsidRPr="00720652">
        <w:rPr>
          <w:rFonts w:asciiTheme="majorHAnsi" w:hAnsiTheme="majorHAnsi" w:cstheme="majorHAnsi"/>
          <w:b/>
          <w:sz w:val="24"/>
          <w:szCs w:val="24"/>
          <w:lang w:val="ro-RO"/>
        </w:rPr>
        <w:t>ilor</w:t>
      </w:r>
      <w:r w:rsidR="00D81342" w:rsidRPr="00720652">
        <w:rPr>
          <w:rFonts w:asciiTheme="majorHAnsi" w:hAnsiTheme="majorHAnsi" w:cstheme="majorHAnsi"/>
          <w:b/>
          <w:sz w:val="24"/>
          <w:szCs w:val="24"/>
          <w:lang w:val="ro-RO"/>
        </w:rPr>
        <w:t xml:space="preserve"> local</w:t>
      </w:r>
      <w:r w:rsidR="00B4075C" w:rsidRPr="00720652">
        <w:rPr>
          <w:rFonts w:asciiTheme="majorHAnsi" w:hAnsiTheme="majorHAnsi" w:cstheme="majorHAnsi"/>
          <w:b/>
          <w:sz w:val="24"/>
          <w:szCs w:val="24"/>
          <w:lang w:val="ro-RO"/>
        </w:rPr>
        <w:t>e</w:t>
      </w:r>
      <w:r w:rsidR="00D81342" w:rsidRPr="00720652">
        <w:rPr>
          <w:rFonts w:asciiTheme="majorHAnsi" w:hAnsiTheme="majorHAnsi" w:cstheme="majorHAnsi"/>
          <w:b/>
          <w:sz w:val="24"/>
          <w:szCs w:val="24"/>
          <w:lang w:val="ro-RO"/>
        </w:rPr>
        <w:t xml:space="preserve"> Cahul, </w:t>
      </w:r>
      <w:proofErr w:type="spellStart"/>
      <w:r w:rsidR="00D81342" w:rsidRPr="00720652">
        <w:rPr>
          <w:rFonts w:asciiTheme="majorHAnsi" w:hAnsiTheme="majorHAnsi" w:cstheme="majorHAnsi"/>
          <w:b/>
          <w:sz w:val="24"/>
          <w:szCs w:val="24"/>
          <w:lang w:val="ro-RO"/>
        </w:rPr>
        <w:t>Ştefan</w:t>
      </w:r>
      <w:proofErr w:type="spellEnd"/>
      <w:r w:rsidR="00D81342" w:rsidRPr="00720652">
        <w:rPr>
          <w:rFonts w:asciiTheme="majorHAnsi" w:hAnsiTheme="majorHAnsi" w:cstheme="majorHAnsi"/>
          <w:b/>
          <w:sz w:val="24"/>
          <w:szCs w:val="24"/>
          <w:lang w:val="ro-RO"/>
        </w:rPr>
        <w:t xml:space="preserve"> Vodă, Basarabeasca, Dondușeni, </w:t>
      </w:r>
      <w:proofErr w:type="spellStart"/>
      <w:r w:rsidR="00D81342" w:rsidRPr="00720652">
        <w:rPr>
          <w:rFonts w:asciiTheme="majorHAnsi" w:hAnsiTheme="majorHAnsi" w:cstheme="majorHAnsi"/>
          <w:b/>
          <w:sz w:val="24"/>
          <w:szCs w:val="24"/>
          <w:lang w:val="ro-RO"/>
        </w:rPr>
        <w:t>Ocniţa</w:t>
      </w:r>
      <w:proofErr w:type="spellEnd"/>
      <w:r w:rsidR="00D81342" w:rsidRPr="00720652">
        <w:rPr>
          <w:rFonts w:asciiTheme="majorHAnsi" w:hAnsiTheme="majorHAnsi" w:cstheme="majorHAnsi"/>
          <w:b/>
          <w:sz w:val="24"/>
          <w:szCs w:val="24"/>
          <w:lang w:val="ro-RO"/>
        </w:rPr>
        <w:t>, Șoldănești, Soroca</w:t>
      </w:r>
      <w:r w:rsidR="0009230D" w:rsidRPr="00720652">
        <w:rPr>
          <w:rFonts w:asciiTheme="majorHAnsi" w:hAnsiTheme="majorHAnsi" w:cstheme="majorHAnsi"/>
          <w:b/>
          <w:sz w:val="24"/>
          <w:szCs w:val="24"/>
          <w:lang w:val="ro-RO"/>
        </w:rPr>
        <w:t xml:space="preserve">, </w:t>
      </w:r>
      <w:proofErr w:type="spellStart"/>
      <w:r w:rsidR="0011542A" w:rsidRPr="00720652">
        <w:rPr>
          <w:rFonts w:asciiTheme="majorHAnsi" w:hAnsiTheme="majorHAnsi" w:cstheme="majorHAnsi"/>
          <w:b/>
          <w:sz w:val="24"/>
          <w:szCs w:val="24"/>
          <w:lang w:val="ro-RO"/>
        </w:rPr>
        <w:t>Căuşeni</w:t>
      </w:r>
      <w:proofErr w:type="spellEnd"/>
      <w:r w:rsidR="0011542A" w:rsidRPr="00720652">
        <w:rPr>
          <w:rFonts w:asciiTheme="majorHAnsi" w:hAnsiTheme="majorHAnsi" w:cstheme="majorHAnsi"/>
          <w:b/>
          <w:sz w:val="24"/>
          <w:szCs w:val="24"/>
          <w:lang w:val="ro-RO"/>
        </w:rPr>
        <w:t xml:space="preserve">, </w:t>
      </w:r>
      <w:proofErr w:type="spellStart"/>
      <w:r w:rsidR="0011542A" w:rsidRPr="00720652">
        <w:rPr>
          <w:rFonts w:asciiTheme="majorHAnsi" w:hAnsiTheme="majorHAnsi" w:cstheme="majorHAnsi"/>
          <w:b/>
          <w:sz w:val="24"/>
          <w:szCs w:val="24"/>
          <w:lang w:val="ro-RO"/>
        </w:rPr>
        <w:t>Floreşti</w:t>
      </w:r>
      <w:proofErr w:type="spellEnd"/>
      <w:r w:rsidR="0011542A" w:rsidRPr="00720652">
        <w:rPr>
          <w:rFonts w:asciiTheme="majorHAnsi" w:hAnsiTheme="majorHAnsi" w:cstheme="majorHAnsi"/>
          <w:b/>
          <w:sz w:val="24"/>
          <w:szCs w:val="24"/>
          <w:lang w:val="ro-RO"/>
        </w:rPr>
        <w:t xml:space="preserve">, </w:t>
      </w:r>
      <w:proofErr w:type="spellStart"/>
      <w:r w:rsidR="0011542A" w:rsidRPr="00720652">
        <w:rPr>
          <w:rFonts w:asciiTheme="majorHAnsi" w:hAnsiTheme="majorHAnsi" w:cstheme="majorHAnsi"/>
          <w:b/>
          <w:sz w:val="24"/>
          <w:szCs w:val="24"/>
          <w:lang w:val="ro-RO"/>
        </w:rPr>
        <w:t>H</w:t>
      </w:r>
      <w:r w:rsidR="00B4075C" w:rsidRPr="00720652">
        <w:rPr>
          <w:rFonts w:asciiTheme="majorHAnsi" w:hAnsiTheme="majorHAnsi" w:cstheme="majorHAnsi"/>
          <w:b/>
          <w:sz w:val="24"/>
          <w:szCs w:val="24"/>
          <w:lang w:val="ro-RO"/>
        </w:rPr>
        <w:t>â</w:t>
      </w:r>
      <w:r w:rsidR="0011542A" w:rsidRPr="00720652">
        <w:rPr>
          <w:rFonts w:asciiTheme="majorHAnsi" w:hAnsiTheme="majorHAnsi" w:cstheme="majorHAnsi"/>
          <w:b/>
          <w:sz w:val="24"/>
          <w:szCs w:val="24"/>
          <w:lang w:val="ro-RO"/>
        </w:rPr>
        <w:t>nceşt</w:t>
      </w:r>
      <w:r w:rsidR="00E662EA" w:rsidRPr="00720652">
        <w:rPr>
          <w:rFonts w:asciiTheme="majorHAnsi" w:hAnsiTheme="majorHAnsi" w:cstheme="majorHAnsi"/>
          <w:b/>
          <w:sz w:val="24"/>
          <w:szCs w:val="24"/>
          <w:lang w:val="ro-RO"/>
        </w:rPr>
        <w:t>i</w:t>
      </w:r>
      <w:proofErr w:type="spellEnd"/>
      <w:r w:rsidR="00E662EA" w:rsidRPr="00720652">
        <w:rPr>
          <w:rFonts w:asciiTheme="majorHAnsi" w:hAnsiTheme="majorHAnsi" w:cstheme="majorHAnsi"/>
          <w:b/>
          <w:sz w:val="24"/>
          <w:szCs w:val="24"/>
          <w:lang w:val="ro-RO"/>
        </w:rPr>
        <w:t xml:space="preserve">, </w:t>
      </w:r>
      <w:r w:rsidR="0009230D" w:rsidRPr="00720652">
        <w:rPr>
          <w:rFonts w:asciiTheme="majorHAnsi" w:hAnsiTheme="majorHAnsi" w:cstheme="majorHAnsi"/>
          <w:b/>
          <w:sz w:val="24"/>
          <w:szCs w:val="24"/>
          <w:lang w:val="ro-RO"/>
        </w:rPr>
        <w:t xml:space="preserve">în comun cu </w:t>
      </w:r>
      <w:r w:rsidR="00E662EA" w:rsidRPr="00720652">
        <w:rPr>
          <w:rFonts w:asciiTheme="majorHAnsi" w:hAnsiTheme="majorHAnsi" w:cstheme="majorHAnsi"/>
          <w:b/>
          <w:sz w:val="24"/>
          <w:szCs w:val="24"/>
          <w:lang w:val="ro-RO"/>
        </w:rPr>
        <w:t>S</w:t>
      </w:r>
      <w:r w:rsidR="0011542A" w:rsidRPr="00720652">
        <w:rPr>
          <w:rFonts w:asciiTheme="majorHAnsi" w:hAnsiTheme="majorHAnsi" w:cstheme="majorHAnsi"/>
          <w:b/>
          <w:sz w:val="24"/>
          <w:szCs w:val="24"/>
          <w:lang w:val="ro-RO"/>
        </w:rPr>
        <w:t xml:space="preserve">.A. </w:t>
      </w:r>
      <w:r w:rsidR="00B4075C" w:rsidRPr="00720652">
        <w:rPr>
          <w:rFonts w:asciiTheme="majorHAnsi" w:hAnsiTheme="majorHAnsi" w:cstheme="majorHAnsi"/>
          <w:b/>
          <w:sz w:val="24"/>
          <w:szCs w:val="24"/>
          <w:lang w:val="ro-RO"/>
        </w:rPr>
        <w:t>„</w:t>
      </w:r>
      <w:r w:rsidR="0011542A" w:rsidRPr="00720652">
        <w:rPr>
          <w:rFonts w:asciiTheme="majorHAnsi" w:hAnsiTheme="majorHAnsi" w:cstheme="majorHAnsi"/>
          <w:b/>
          <w:sz w:val="24"/>
          <w:szCs w:val="24"/>
          <w:lang w:val="ro-RO"/>
        </w:rPr>
        <w:t xml:space="preserve">Apă-Canal Chișinău", </w:t>
      </w:r>
      <w:r w:rsidR="00314417" w:rsidRPr="00720652">
        <w:rPr>
          <w:rFonts w:asciiTheme="majorHAnsi" w:hAnsiTheme="majorHAnsi" w:cstheme="majorHAnsi"/>
          <w:b/>
          <w:sz w:val="24"/>
          <w:szCs w:val="24"/>
          <w:lang w:val="ro-RO"/>
        </w:rPr>
        <w:t xml:space="preserve">Î.M. Regia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Ap</w:t>
      </w:r>
      <w:r w:rsidR="00E662EA" w:rsidRPr="00720652">
        <w:rPr>
          <w:rFonts w:asciiTheme="majorHAnsi" w:hAnsiTheme="majorHAnsi" w:cstheme="majorHAnsi"/>
          <w:b/>
          <w:sz w:val="24"/>
          <w:szCs w:val="24"/>
          <w:lang w:val="ro-RO"/>
        </w:rPr>
        <w:t>ă-Canal</w:t>
      </w:r>
      <w:r w:rsidR="00D70A41" w:rsidRPr="00720652">
        <w:rPr>
          <w:rFonts w:asciiTheme="majorHAnsi" w:hAnsiTheme="majorHAnsi" w:cstheme="majorHAnsi"/>
          <w:b/>
          <w:sz w:val="24"/>
          <w:szCs w:val="24"/>
          <w:lang w:val="ro-RO"/>
        </w:rPr>
        <w:t xml:space="preserve"> </w:t>
      </w:r>
      <w:r w:rsidR="00E662EA" w:rsidRPr="00720652">
        <w:rPr>
          <w:rFonts w:asciiTheme="majorHAnsi" w:hAnsiTheme="majorHAnsi" w:cstheme="majorHAnsi"/>
          <w:b/>
          <w:sz w:val="24"/>
          <w:szCs w:val="24"/>
          <w:lang w:val="ro-RO"/>
        </w:rPr>
        <w:t xml:space="preserve">Bălți", S.A. </w:t>
      </w:r>
      <w:r w:rsidR="00B4075C" w:rsidRPr="00720652">
        <w:rPr>
          <w:rFonts w:asciiTheme="majorHAnsi" w:hAnsiTheme="majorHAnsi" w:cstheme="majorHAnsi"/>
          <w:b/>
          <w:sz w:val="24"/>
          <w:szCs w:val="24"/>
          <w:lang w:val="ro-RO"/>
        </w:rPr>
        <w:t>„</w:t>
      </w:r>
      <w:r w:rsidR="00E662EA" w:rsidRPr="00720652">
        <w:rPr>
          <w:rFonts w:asciiTheme="majorHAnsi" w:hAnsiTheme="majorHAnsi" w:cstheme="majorHAnsi"/>
          <w:b/>
          <w:sz w:val="24"/>
          <w:szCs w:val="24"/>
          <w:lang w:val="ro-RO"/>
        </w:rPr>
        <w:t xml:space="preserve">Apă-Canal </w:t>
      </w:r>
      <w:r w:rsidR="00314417" w:rsidRPr="00720652">
        <w:rPr>
          <w:rFonts w:asciiTheme="majorHAnsi" w:hAnsiTheme="majorHAnsi" w:cstheme="majorHAnsi"/>
          <w:b/>
          <w:sz w:val="24"/>
          <w:szCs w:val="24"/>
          <w:lang w:val="ro-RO"/>
        </w:rPr>
        <w:t>Cahul</w:t>
      </w:r>
      <w:r w:rsidR="00D70A41"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Î.M.</w:t>
      </w:r>
      <w:r w:rsidR="00E662EA" w:rsidRPr="00720652">
        <w:rPr>
          <w:rFonts w:asciiTheme="majorHAnsi" w:hAnsiTheme="majorHAnsi" w:cstheme="majorHAnsi"/>
          <w:b/>
          <w:sz w:val="24"/>
          <w:szCs w:val="24"/>
          <w:lang w:val="ro-RO"/>
        </w:rPr>
        <w:t xml:space="preserve">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Direcția de producție Apă-Canal</w:t>
      </w:r>
      <w:r w:rsidR="00C50714"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or. </w:t>
      </w:r>
      <w:proofErr w:type="spellStart"/>
      <w:r w:rsidR="00314417" w:rsidRPr="00720652">
        <w:rPr>
          <w:rFonts w:asciiTheme="majorHAnsi" w:hAnsiTheme="majorHAnsi" w:cstheme="majorHAnsi"/>
          <w:b/>
          <w:sz w:val="24"/>
          <w:szCs w:val="24"/>
          <w:lang w:val="ro-RO"/>
        </w:rPr>
        <w:t>Ştefan</w:t>
      </w:r>
      <w:proofErr w:type="spellEnd"/>
      <w:r w:rsidR="00314417" w:rsidRPr="00720652">
        <w:rPr>
          <w:rFonts w:asciiTheme="majorHAnsi" w:hAnsiTheme="majorHAnsi" w:cstheme="majorHAnsi"/>
          <w:b/>
          <w:sz w:val="24"/>
          <w:szCs w:val="24"/>
          <w:lang w:val="ro-RO"/>
        </w:rPr>
        <w:t xml:space="preserve"> Vodă, Î.M.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AQUA Basarabeasca</w:t>
      </w:r>
      <w:r w:rsidR="00C50714"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Î.M.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Apă-Canal Dondușeni</w:t>
      </w:r>
      <w:r w:rsidR="00C50714"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Î.M.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Apă-Canal </w:t>
      </w:r>
      <w:proofErr w:type="spellStart"/>
      <w:r w:rsidR="00314417" w:rsidRPr="00720652">
        <w:rPr>
          <w:rFonts w:asciiTheme="majorHAnsi" w:hAnsiTheme="majorHAnsi" w:cstheme="majorHAnsi"/>
          <w:b/>
          <w:sz w:val="24"/>
          <w:szCs w:val="24"/>
          <w:lang w:val="ro-RO"/>
        </w:rPr>
        <w:t>Ocniţa</w:t>
      </w:r>
      <w:proofErr w:type="spellEnd"/>
      <w:r w:rsidR="00C50714"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Î.M.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Regia Apă Șoldănești</w:t>
      </w:r>
      <w:r w:rsidR="00C50714"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S.A. </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Regia Apă-Canal Soroca</w:t>
      </w:r>
      <w:r w:rsidR="00C50714" w:rsidRPr="00720652">
        <w:rPr>
          <w:rFonts w:asciiTheme="majorHAnsi" w:hAnsiTheme="majorHAnsi" w:cstheme="majorHAnsi"/>
          <w:b/>
          <w:sz w:val="24"/>
          <w:szCs w:val="24"/>
          <w:lang w:val="ro-RO"/>
        </w:rPr>
        <w:t>”</w:t>
      </w:r>
      <w:r w:rsidR="0011542A" w:rsidRPr="00720652">
        <w:rPr>
          <w:rFonts w:asciiTheme="majorHAnsi" w:hAnsiTheme="majorHAnsi" w:cstheme="majorHAnsi"/>
          <w:b/>
          <w:sz w:val="24"/>
          <w:szCs w:val="24"/>
          <w:lang w:val="ro-RO"/>
        </w:rPr>
        <w:t>,</w:t>
      </w:r>
      <w:r w:rsidR="00E662EA" w:rsidRPr="00720652">
        <w:rPr>
          <w:rFonts w:asciiTheme="majorHAnsi" w:hAnsiTheme="majorHAnsi" w:cstheme="majorHAnsi"/>
          <w:b/>
          <w:sz w:val="24"/>
          <w:szCs w:val="24"/>
          <w:lang w:val="ro-RO"/>
        </w:rPr>
        <w:t xml:space="preserve"> S</w:t>
      </w:r>
      <w:r w:rsidR="0011542A" w:rsidRPr="00720652">
        <w:rPr>
          <w:rFonts w:asciiTheme="majorHAnsi" w:hAnsiTheme="majorHAnsi" w:cstheme="majorHAnsi"/>
          <w:b/>
          <w:sz w:val="24"/>
          <w:szCs w:val="24"/>
          <w:lang w:val="ro-RO"/>
        </w:rPr>
        <w:t>.A. „Servicii Comunale Florești”, S.A. „Operator Regional Apă</w:t>
      </w:r>
      <w:r w:rsidR="00B4075C" w:rsidRPr="00720652">
        <w:rPr>
          <w:rFonts w:asciiTheme="majorHAnsi" w:hAnsiTheme="majorHAnsi" w:cstheme="majorHAnsi"/>
          <w:b/>
          <w:sz w:val="24"/>
          <w:szCs w:val="24"/>
          <w:lang w:val="ro-RO"/>
        </w:rPr>
        <w:t>-</w:t>
      </w:r>
      <w:r w:rsidR="0011542A" w:rsidRPr="00720652">
        <w:rPr>
          <w:rFonts w:asciiTheme="majorHAnsi" w:hAnsiTheme="majorHAnsi" w:cstheme="majorHAnsi"/>
          <w:b/>
          <w:sz w:val="24"/>
          <w:szCs w:val="24"/>
          <w:lang w:val="ro-RO"/>
        </w:rPr>
        <w:t xml:space="preserve">Canal </w:t>
      </w:r>
      <w:proofErr w:type="spellStart"/>
      <w:r w:rsidR="0011542A" w:rsidRPr="00720652">
        <w:rPr>
          <w:rFonts w:asciiTheme="majorHAnsi" w:hAnsiTheme="majorHAnsi" w:cstheme="majorHAnsi"/>
          <w:b/>
          <w:sz w:val="24"/>
          <w:szCs w:val="24"/>
          <w:lang w:val="ro-RO"/>
        </w:rPr>
        <w:t>H</w:t>
      </w:r>
      <w:r w:rsidR="00C50714" w:rsidRPr="00720652">
        <w:rPr>
          <w:rFonts w:asciiTheme="majorHAnsi" w:hAnsiTheme="majorHAnsi" w:cstheme="majorHAnsi"/>
          <w:b/>
          <w:sz w:val="24"/>
          <w:szCs w:val="24"/>
          <w:lang w:val="ro-RO"/>
        </w:rPr>
        <w:t>â</w:t>
      </w:r>
      <w:r w:rsidR="0011542A" w:rsidRPr="00720652">
        <w:rPr>
          <w:rFonts w:asciiTheme="majorHAnsi" w:hAnsiTheme="majorHAnsi" w:cstheme="majorHAnsi"/>
          <w:b/>
          <w:sz w:val="24"/>
          <w:szCs w:val="24"/>
          <w:lang w:val="ro-RO"/>
        </w:rPr>
        <w:t>nceşti</w:t>
      </w:r>
      <w:proofErr w:type="spellEnd"/>
      <w:r w:rsidR="0011542A" w:rsidRPr="00720652">
        <w:rPr>
          <w:rFonts w:asciiTheme="majorHAnsi" w:hAnsiTheme="majorHAnsi" w:cstheme="majorHAnsi"/>
          <w:b/>
          <w:sz w:val="24"/>
          <w:szCs w:val="24"/>
          <w:lang w:val="ro-RO"/>
        </w:rPr>
        <w:t xml:space="preserve">”, Î.M. </w:t>
      </w:r>
      <w:r w:rsidR="00B4075C" w:rsidRPr="00720652">
        <w:rPr>
          <w:rFonts w:asciiTheme="majorHAnsi" w:hAnsiTheme="majorHAnsi" w:cstheme="majorHAnsi"/>
          <w:b/>
          <w:sz w:val="24"/>
          <w:szCs w:val="24"/>
          <w:lang w:val="ro-RO"/>
        </w:rPr>
        <w:t>„</w:t>
      </w:r>
      <w:r w:rsidR="0011542A" w:rsidRPr="00720652">
        <w:rPr>
          <w:rFonts w:asciiTheme="majorHAnsi" w:hAnsiTheme="majorHAnsi" w:cstheme="majorHAnsi"/>
          <w:b/>
          <w:sz w:val="24"/>
          <w:szCs w:val="24"/>
          <w:lang w:val="ro-RO"/>
        </w:rPr>
        <w:t xml:space="preserve">Apă-Canal </w:t>
      </w:r>
      <w:proofErr w:type="spellStart"/>
      <w:r w:rsidR="0011542A" w:rsidRPr="00720652">
        <w:rPr>
          <w:rFonts w:asciiTheme="majorHAnsi" w:hAnsiTheme="majorHAnsi" w:cstheme="majorHAnsi"/>
          <w:b/>
          <w:sz w:val="24"/>
          <w:szCs w:val="24"/>
          <w:lang w:val="ro-RO"/>
        </w:rPr>
        <w:t>Căuşeni</w:t>
      </w:r>
      <w:proofErr w:type="spellEnd"/>
      <w:r w:rsidR="00B4075C" w:rsidRPr="00720652">
        <w:rPr>
          <w:rFonts w:asciiTheme="majorHAnsi" w:hAnsiTheme="majorHAnsi" w:cstheme="majorHAnsi"/>
          <w:b/>
          <w:bCs/>
          <w:sz w:val="24"/>
          <w:szCs w:val="24"/>
          <w:lang w:val="ro-RO"/>
        </w:rPr>
        <w:t>”</w:t>
      </w:r>
      <w:r w:rsidR="0011542A" w:rsidRPr="00720652">
        <w:rPr>
          <w:rFonts w:asciiTheme="majorHAnsi" w:hAnsiTheme="majorHAnsi" w:cstheme="majorHAnsi"/>
          <w:b/>
          <w:bCs/>
          <w:sz w:val="24"/>
          <w:szCs w:val="24"/>
          <w:lang w:val="ro-RO"/>
        </w:rPr>
        <w:t xml:space="preserve">, </w:t>
      </w:r>
      <w:r w:rsidR="00183DC1" w:rsidRPr="00720652">
        <w:rPr>
          <w:rFonts w:asciiTheme="majorHAnsi" w:hAnsiTheme="majorHAnsi" w:cstheme="majorHAnsi"/>
          <w:sz w:val="24"/>
          <w:szCs w:val="24"/>
          <w:lang w:val="ro-RO"/>
        </w:rPr>
        <w:t xml:space="preserve">pentru informare și </w:t>
      </w:r>
      <w:r w:rsidR="00E662EA" w:rsidRPr="00720652">
        <w:rPr>
          <w:rFonts w:asciiTheme="majorHAnsi" w:hAnsiTheme="majorHAnsi" w:cstheme="majorHAnsi"/>
          <w:sz w:val="24"/>
          <w:szCs w:val="24"/>
          <w:lang w:val="ro-RO"/>
        </w:rPr>
        <w:t xml:space="preserve">luare de atitudine, </w:t>
      </w:r>
      <w:r w:rsidR="0009230D" w:rsidRPr="00720652">
        <w:rPr>
          <w:rFonts w:asciiTheme="majorHAnsi" w:hAnsiTheme="majorHAnsi" w:cstheme="majorHAnsi"/>
          <w:sz w:val="24"/>
          <w:szCs w:val="24"/>
          <w:lang w:val="ro-RO"/>
        </w:rPr>
        <w:t>ș</w:t>
      </w:r>
      <w:r w:rsidR="00E662EA" w:rsidRPr="00720652">
        <w:rPr>
          <w:rFonts w:asciiTheme="majorHAnsi" w:hAnsiTheme="majorHAnsi" w:cstheme="majorHAnsi"/>
          <w:sz w:val="24"/>
          <w:szCs w:val="24"/>
          <w:lang w:val="ro-RO"/>
        </w:rPr>
        <w:t xml:space="preserve">i </w:t>
      </w:r>
      <w:r w:rsidR="0009230D" w:rsidRPr="00720652">
        <w:rPr>
          <w:rFonts w:asciiTheme="majorHAnsi" w:hAnsiTheme="majorHAnsi" w:cstheme="majorHAnsi"/>
          <w:sz w:val="24"/>
          <w:szCs w:val="24"/>
          <w:lang w:val="ro-RO"/>
        </w:rPr>
        <w:t>se recomandă</w:t>
      </w:r>
      <w:r w:rsidR="0009230D" w:rsidRPr="00720652">
        <w:rPr>
          <w:rFonts w:asciiTheme="majorHAnsi" w:eastAsia="Calibri" w:hAnsiTheme="majorHAnsi" w:cstheme="majorHAnsi"/>
          <w:noProof/>
          <w:sz w:val="24"/>
          <w:szCs w:val="24"/>
          <w:lang w:val="ro-RO"/>
        </w:rPr>
        <w:t xml:space="preserve"> remedierea situațiilor constatate și implementarea recomandărilor din Raportul de audit;</w:t>
      </w:r>
    </w:p>
    <w:p w14:paraId="045EB31B" w14:textId="77777777" w:rsidR="00E662EA" w:rsidRPr="00720652" w:rsidRDefault="00956AD3" w:rsidP="00E662EA">
      <w:pPr>
        <w:spacing w:after="0" w:line="276" w:lineRule="auto"/>
        <w:ind w:firstLine="567"/>
        <w:jc w:val="both"/>
        <w:rPr>
          <w:rFonts w:asciiTheme="majorHAnsi" w:eastAsia="Times New Roman" w:hAnsiTheme="majorHAnsi" w:cstheme="majorHAnsi"/>
          <w:sz w:val="24"/>
          <w:szCs w:val="24"/>
          <w:lang w:val="ro-RO"/>
        </w:rPr>
      </w:pPr>
      <w:r w:rsidRPr="00720652">
        <w:rPr>
          <w:rFonts w:asciiTheme="majorHAnsi" w:hAnsiTheme="majorHAnsi" w:cstheme="majorHAnsi"/>
          <w:b/>
          <w:sz w:val="24"/>
          <w:szCs w:val="24"/>
          <w:lang w:val="ro-RO"/>
        </w:rPr>
        <w:t xml:space="preserve">2.6. </w:t>
      </w:r>
      <w:r w:rsidR="00314417" w:rsidRPr="00720652">
        <w:rPr>
          <w:rFonts w:asciiTheme="majorHAnsi" w:hAnsiTheme="majorHAnsi" w:cstheme="majorHAnsi"/>
          <w:b/>
          <w:sz w:val="24"/>
          <w:szCs w:val="24"/>
          <w:lang w:val="ro-RO"/>
        </w:rPr>
        <w:t>Agenției Naționale pentru Reglementare în Energetică,</w:t>
      </w:r>
      <w:r w:rsidR="00314417" w:rsidRPr="00720652">
        <w:rPr>
          <w:rFonts w:asciiTheme="majorHAnsi" w:hAnsiTheme="majorHAnsi" w:cstheme="majorHAnsi"/>
          <w:b/>
          <w:bCs/>
          <w:sz w:val="24"/>
          <w:szCs w:val="24"/>
          <w:lang w:val="ro-RO"/>
        </w:rPr>
        <w:t xml:space="preserve"> </w:t>
      </w:r>
      <w:r w:rsidR="00314417" w:rsidRPr="00720652">
        <w:rPr>
          <w:rFonts w:asciiTheme="majorHAnsi" w:eastAsia="Times New Roman" w:hAnsiTheme="majorHAnsi" w:cstheme="majorHAnsi"/>
          <w:sz w:val="24"/>
          <w:szCs w:val="24"/>
          <w:lang w:val="ro-RO"/>
        </w:rPr>
        <w:t>pentru informare, luare de atitudine și posibilă u</w:t>
      </w:r>
      <w:r w:rsidR="00314417" w:rsidRPr="00720652">
        <w:rPr>
          <w:rFonts w:asciiTheme="majorHAnsi" w:eastAsia="Times New Roman" w:hAnsiTheme="majorHAnsi" w:cstheme="majorHAnsi"/>
          <w:sz w:val="24"/>
          <w:szCs w:val="24"/>
          <w:lang w:val="ro-RO" w:bidi="he-IL"/>
        </w:rPr>
        <w:t>tilizare a informațiilor la implementarea</w:t>
      </w:r>
      <w:r w:rsidR="00314417" w:rsidRPr="00720652">
        <w:rPr>
          <w:rFonts w:asciiTheme="majorHAnsi" w:eastAsia="Times New Roman" w:hAnsiTheme="majorHAnsi" w:cstheme="majorHAnsi"/>
          <w:sz w:val="24"/>
          <w:szCs w:val="24"/>
          <w:lang w:val="ro-RO"/>
        </w:rPr>
        <w:t xml:space="preserve"> politicii statului în domeniul de reglementare a sectorului de alimentare cu apă </w:t>
      </w:r>
      <w:proofErr w:type="spellStart"/>
      <w:r w:rsidR="00314417" w:rsidRPr="00720652">
        <w:rPr>
          <w:rFonts w:asciiTheme="majorHAnsi" w:eastAsia="Times New Roman" w:hAnsiTheme="majorHAnsi" w:cstheme="majorHAnsi"/>
          <w:sz w:val="24"/>
          <w:szCs w:val="24"/>
          <w:lang w:val="ro-RO"/>
        </w:rPr>
        <w:t>şi</w:t>
      </w:r>
      <w:proofErr w:type="spellEnd"/>
      <w:r w:rsidR="00314417" w:rsidRPr="00720652">
        <w:rPr>
          <w:rFonts w:asciiTheme="majorHAnsi" w:eastAsia="Times New Roman" w:hAnsiTheme="majorHAnsi" w:cstheme="majorHAnsi"/>
          <w:sz w:val="24"/>
          <w:szCs w:val="24"/>
          <w:lang w:val="ro-RO"/>
        </w:rPr>
        <w:t xml:space="preserve"> </w:t>
      </w:r>
      <w:proofErr w:type="spellStart"/>
      <w:r w:rsidR="00314417" w:rsidRPr="00720652">
        <w:rPr>
          <w:rFonts w:asciiTheme="majorHAnsi" w:eastAsia="Times New Roman" w:hAnsiTheme="majorHAnsi" w:cstheme="majorHAnsi"/>
          <w:sz w:val="24"/>
          <w:szCs w:val="24"/>
          <w:lang w:val="ro-RO"/>
        </w:rPr>
        <w:t>sanitaţie</w:t>
      </w:r>
      <w:proofErr w:type="spellEnd"/>
      <w:r w:rsidR="00B4075C" w:rsidRPr="00720652">
        <w:rPr>
          <w:rFonts w:asciiTheme="majorHAnsi" w:eastAsia="Times New Roman" w:hAnsiTheme="majorHAnsi" w:cstheme="majorHAnsi"/>
          <w:sz w:val="24"/>
          <w:szCs w:val="24"/>
          <w:lang w:val="ro-RO"/>
        </w:rPr>
        <w:t>;</w:t>
      </w:r>
    </w:p>
    <w:p w14:paraId="4009BD98" w14:textId="77777777" w:rsidR="003705C6" w:rsidRPr="00720652" w:rsidRDefault="00E662EA" w:rsidP="00C63ADA">
      <w:pPr>
        <w:spacing w:after="0" w:line="276" w:lineRule="auto"/>
        <w:ind w:firstLine="567"/>
        <w:jc w:val="both"/>
        <w:rPr>
          <w:rFonts w:asciiTheme="majorHAnsi" w:hAnsiTheme="majorHAnsi" w:cstheme="majorHAnsi"/>
          <w:b/>
          <w:bCs/>
          <w:sz w:val="24"/>
          <w:szCs w:val="24"/>
          <w:lang w:val="ro-RO"/>
        </w:rPr>
      </w:pPr>
      <w:r w:rsidRPr="00720652">
        <w:rPr>
          <w:rFonts w:asciiTheme="majorHAnsi" w:hAnsiTheme="majorHAnsi" w:cstheme="majorHAnsi"/>
          <w:b/>
          <w:sz w:val="24"/>
          <w:szCs w:val="24"/>
          <w:lang w:val="ro-RO"/>
        </w:rPr>
        <w:t xml:space="preserve">2.7. </w:t>
      </w:r>
      <w:r w:rsidR="00314417" w:rsidRPr="00720652">
        <w:rPr>
          <w:rFonts w:asciiTheme="majorHAnsi" w:hAnsiTheme="majorHAnsi" w:cstheme="majorHAnsi"/>
          <w:b/>
          <w:sz w:val="24"/>
          <w:szCs w:val="24"/>
          <w:lang w:val="ro-RO"/>
        </w:rPr>
        <w:t>Cancelariei de Stat</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
          <w:sz w:val="24"/>
          <w:szCs w:val="24"/>
          <w:lang w:val="ro-RO"/>
        </w:rPr>
        <w:t xml:space="preserve"> în comun cu </w:t>
      </w:r>
      <w:r w:rsidR="00C135C9" w:rsidRPr="00720652">
        <w:rPr>
          <w:rFonts w:asciiTheme="majorHAnsi" w:hAnsiTheme="majorHAnsi" w:cstheme="majorHAnsi"/>
          <w:b/>
          <w:sz w:val="24"/>
          <w:szCs w:val="24"/>
          <w:lang w:val="ro-RO"/>
        </w:rPr>
        <w:t>Oficiile teritoriale ale C</w:t>
      </w:r>
      <w:r w:rsidR="00EF09E0" w:rsidRPr="00720652">
        <w:rPr>
          <w:rFonts w:asciiTheme="majorHAnsi" w:hAnsiTheme="majorHAnsi" w:cstheme="majorHAnsi"/>
          <w:b/>
          <w:sz w:val="24"/>
          <w:szCs w:val="24"/>
          <w:lang w:val="ro-RO"/>
        </w:rPr>
        <w:t>ancelariei de Stat</w:t>
      </w:r>
      <w:r w:rsidR="00B4075C" w:rsidRPr="00720652">
        <w:rPr>
          <w:rFonts w:asciiTheme="majorHAnsi" w:hAnsiTheme="majorHAnsi" w:cstheme="majorHAnsi"/>
          <w:b/>
          <w:sz w:val="24"/>
          <w:szCs w:val="24"/>
          <w:lang w:val="ro-RO"/>
        </w:rPr>
        <w:t>,</w:t>
      </w:r>
      <w:r w:rsidR="00314417" w:rsidRPr="00720652">
        <w:rPr>
          <w:rFonts w:asciiTheme="majorHAnsi" w:hAnsiTheme="majorHAnsi" w:cstheme="majorHAnsi"/>
          <w:bCs/>
          <w:sz w:val="24"/>
          <w:szCs w:val="24"/>
          <w:lang w:val="ro-RO"/>
        </w:rPr>
        <w:t xml:space="preserve"> p</w:t>
      </w:r>
      <w:r w:rsidRPr="00720652">
        <w:rPr>
          <w:rFonts w:asciiTheme="majorHAnsi" w:hAnsiTheme="majorHAnsi" w:cstheme="majorHAnsi"/>
          <w:bCs/>
          <w:sz w:val="24"/>
          <w:szCs w:val="24"/>
          <w:lang w:val="ro-RO"/>
        </w:rPr>
        <w:t xml:space="preserve">rin prisma responsabilităților </w:t>
      </w:r>
      <w:r w:rsidR="00314417" w:rsidRPr="00720652">
        <w:rPr>
          <w:rFonts w:asciiTheme="majorHAnsi" w:hAnsiTheme="majorHAnsi" w:cstheme="majorHAnsi"/>
          <w:bCs/>
          <w:sz w:val="24"/>
          <w:szCs w:val="24"/>
          <w:lang w:val="ro-RO"/>
        </w:rPr>
        <w:t xml:space="preserve">delegate de art.46 din Legea </w:t>
      </w:r>
      <w:r w:rsidR="00D62F07" w:rsidRPr="00720652">
        <w:rPr>
          <w:rFonts w:asciiTheme="majorHAnsi" w:hAnsiTheme="majorHAnsi" w:cstheme="majorHAnsi"/>
          <w:bCs/>
          <w:sz w:val="24"/>
          <w:szCs w:val="24"/>
          <w:lang w:val="ro-RO"/>
        </w:rPr>
        <w:t>nr.136/</w:t>
      </w:r>
      <w:r w:rsidR="002C16E2" w:rsidRPr="00720652">
        <w:rPr>
          <w:rFonts w:asciiTheme="majorHAnsi" w:hAnsiTheme="majorHAnsi" w:cstheme="majorHAnsi"/>
          <w:bCs/>
          <w:sz w:val="24"/>
          <w:szCs w:val="24"/>
          <w:lang w:val="ro-RO"/>
        </w:rPr>
        <w:t>2017 cu privire la Guvern</w:t>
      </w:r>
      <w:r w:rsidRPr="00720652">
        <w:rPr>
          <w:rFonts w:asciiTheme="majorHAnsi" w:hAnsiTheme="majorHAnsi" w:cstheme="majorHAnsi"/>
          <w:bCs/>
          <w:sz w:val="24"/>
          <w:szCs w:val="24"/>
          <w:lang w:val="ro-RO"/>
        </w:rPr>
        <w:t xml:space="preserve">, </w:t>
      </w:r>
      <w:r w:rsidR="00956AD3" w:rsidRPr="00720652">
        <w:rPr>
          <w:rFonts w:asciiTheme="majorHAnsi" w:hAnsiTheme="majorHAnsi" w:cstheme="majorHAnsi"/>
          <w:sz w:val="24"/>
          <w:szCs w:val="24"/>
          <w:lang w:val="ro-RO"/>
        </w:rPr>
        <w:t xml:space="preserve">pentru </w:t>
      </w:r>
      <w:r w:rsidRPr="00720652">
        <w:rPr>
          <w:rFonts w:asciiTheme="majorHAnsi" w:hAnsiTheme="majorHAnsi" w:cstheme="majorHAnsi"/>
          <w:sz w:val="24"/>
          <w:szCs w:val="24"/>
          <w:lang w:val="ro-RO"/>
        </w:rPr>
        <w:t xml:space="preserve">informare și </w:t>
      </w:r>
      <w:r w:rsidR="00956AD3" w:rsidRPr="00720652">
        <w:rPr>
          <w:rFonts w:asciiTheme="majorHAnsi" w:hAnsiTheme="majorHAnsi" w:cstheme="majorHAnsi"/>
          <w:sz w:val="24"/>
          <w:szCs w:val="24"/>
          <w:lang w:val="ro-RO"/>
        </w:rPr>
        <w:t>luare de atitudine, și se recomandă</w:t>
      </w:r>
      <w:r w:rsidR="00956AD3" w:rsidRPr="00720652">
        <w:rPr>
          <w:rFonts w:asciiTheme="majorHAnsi" w:eastAsia="Calibri" w:hAnsiTheme="majorHAnsi" w:cstheme="majorHAnsi"/>
          <w:noProof/>
          <w:sz w:val="24"/>
          <w:szCs w:val="24"/>
          <w:lang w:val="ro-RO"/>
        </w:rPr>
        <w:t xml:space="preserve"> monitorizarea și asigurare</w:t>
      </w:r>
      <w:r w:rsidRPr="00720652">
        <w:rPr>
          <w:rFonts w:asciiTheme="majorHAnsi" w:eastAsia="Calibri" w:hAnsiTheme="majorHAnsi" w:cstheme="majorHAnsi"/>
          <w:noProof/>
          <w:sz w:val="24"/>
          <w:szCs w:val="24"/>
          <w:lang w:val="ro-RO"/>
        </w:rPr>
        <w:t xml:space="preserve">a implementării recomandărilor </w:t>
      </w:r>
      <w:r w:rsidR="00956AD3" w:rsidRPr="00720652">
        <w:rPr>
          <w:rFonts w:asciiTheme="majorHAnsi" w:eastAsia="Calibri" w:hAnsiTheme="majorHAnsi" w:cstheme="majorHAnsi"/>
          <w:noProof/>
          <w:sz w:val="24"/>
          <w:szCs w:val="24"/>
          <w:lang w:val="ro-RO"/>
        </w:rPr>
        <w:t xml:space="preserve">din Raportul de </w:t>
      </w:r>
      <w:r w:rsidRPr="00720652">
        <w:rPr>
          <w:rFonts w:asciiTheme="majorHAnsi" w:eastAsia="Calibri" w:hAnsiTheme="majorHAnsi" w:cstheme="majorHAnsi"/>
          <w:noProof/>
          <w:sz w:val="24"/>
          <w:szCs w:val="24"/>
          <w:lang w:val="ro-RO"/>
        </w:rPr>
        <w:t xml:space="preserve">audit </w:t>
      </w:r>
      <w:r w:rsidR="00B4075C" w:rsidRPr="00720652">
        <w:rPr>
          <w:rFonts w:asciiTheme="majorHAnsi" w:eastAsia="Calibri" w:hAnsiTheme="majorHAnsi" w:cstheme="majorHAnsi"/>
          <w:noProof/>
          <w:sz w:val="24"/>
          <w:szCs w:val="24"/>
          <w:lang w:val="ro-RO"/>
        </w:rPr>
        <w:t xml:space="preserve">de </w:t>
      </w:r>
      <w:r w:rsidR="00956AD3" w:rsidRPr="00720652">
        <w:rPr>
          <w:rFonts w:asciiTheme="majorHAnsi" w:eastAsia="Calibri" w:hAnsiTheme="majorHAnsi" w:cstheme="majorHAnsi"/>
          <w:noProof/>
          <w:sz w:val="24"/>
          <w:szCs w:val="24"/>
          <w:lang w:val="ro-RO"/>
        </w:rPr>
        <w:t xml:space="preserve">către </w:t>
      </w:r>
      <w:proofErr w:type="spellStart"/>
      <w:r w:rsidR="00C63ADA" w:rsidRPr="00720652">
        <w:rPr>
          <w:rFonts w:asciiTheme="majorHAnsi" w:hAnsiTheme="majorHAnsi" w:cstheme="majorHAnsi"/>
          <w:sz w:val="24"/>
          <w:szCs w:val="24"/>
          <w:lang w:val="ro-RO"/>
        </w:rPr>
        <w:t>autorităţile</w:t>
      </w:r>
      <w:proofErr w:type="spellEnd"/>
      <w:r w:rsidR="00C63ADA" w:rsidRPr="00720652">
        <w:rPr>
          <w:rFonts w:asciiTheme="majorHAnsi" w:hAnsiTheme="majorHAnsi" w:cstheme="majorHAnsi"/>
          <w:sz w:val="24"/>
          <w:szCs w:val="24"/>
          <w:lang w:val="ro-RO"/>
        </w:rPr>
        <w:t xml:space="preserve"> publice locale</w:t>
      </w:r>
      <w:r w:rsidRPr="00720652">
        <w:rPr>
          <w:rFonts w:asciiTheme="majorHAnsi" w:hAnsiTheme="majorHAnsi" w:cstheme="majorHAnsi"/>
          <w:sz w:val="24"/>
          <w:szCs w:val="24"/>
          <w:lang w:val="ro-RO"/>
        </w:rPr>
        <w:t xml:space="preserve"> gestionare de obiecte</w:t>
      </w:r>
      <w:r w:rsidR="00C63ADA" w:rsidRPr="00720652">
        <w:rPr>
          <w:rFonts w:asciiTheme="majorHAnsi" w:hAnsiTheme="majorHAnsi" w:cstheme="majorHAnsi"/>
          <w:sz w:val="24"/>
          <w:szCs w:val="24"/>
          <w:lang w:val="ro-RO"/>
        </w:rPr>
        <w:t xml:space="preserve"> a</w:t>
      </w:r>
      <w:r w:rsidRPr="00720652">
        <w:rPr>
          <w:rFonts w:asciiTheme="majorHAnsi" w:hAnsiTheme="majorHAnsi" w:cstheme="majorHAnsi"/>
          <w:sz w:val="24"/>
          <w:szCs w:val="24"/>
          <w:lang w:val="ro-RO"/>
        </w:rPr>
        <w:t xml:space="preserve">le infrastructurii </w:t>
      </w:r>
      <w:proofErr w:type="spellStart"/>
      <w:r w:rsidRPr="00720652">
        <w:rPr>
          <w:rFonts w:asciiTheme="majorHAnsi" w:hAnsiTheme="majorHAnsi" w:cstheme="majorHAnsi"/>
          <w:sz w:val="24"/>
          <w:szCs w:val="24"/>
          <w:lang w:val="ro-RO"/>
        </w:rPr>
        <w:t>tehnico</w:t>
      </w:r>
      <w:proofErr w:type="spellEnd"/>
      <w:r w:rsidRPr="00720652">
        <w:rPr>
          <w:rFonts w:asciiTheme="majorHAnsi" w:hAnsiTheme="majorHAnsi" w:cstheme="majorHAnsi"/>
          <w:sz w:val="24"/>
          <w:szCs w:val="24"/>
          <w:lang w:val="ro-RO"/>
        </w:rPr>
        <w:t>-edilitare</w:t>
      </w:r>
      <w:r w:rsidR="00C63ADA" w:rsidRPr="00720652">
        <w:rPr>
          <w:rFonts w:asciiTheme="majorHAnsi" w:hAnsiTheme="majorHAnsi" w:cstheme="majorHAnsi"/>
          <w:sz w:val="24"/>
          <w:szCs w:val="24"/>
          <w:lang w:val="ro-RO"/>
        </w:rPr>
        <w:t xml:space="preserve"> aferente </w:t>
      </w:r>
      <w:r w:rsidR="003705C6" w:rsidRPr="00720652">
        <w:rPr>
          <w:rFonts w:asciiTheme="majorHAnsi" w:hAnsiTheme="majorHAnsi" w:cstheme="majorHAnsi"/>
          <w:sz w:val="24"/>
          <w:szCs w:val="24"/>
          <w:lang w:val="ro-RO"/>
        </w:rPr>
        <w:t>alimentării cu apă și sanitație</w:t>
      </w:r>
      <w:r w:rsidR="00B4075C" w:rsidRPr="00720652">
        <w:rPr>
          <w:rFonts w:asciiTheme="majorHAnsi" w:hAnsiTheme="majorHAnsi" w:cstheme="majorHAnsi"/>
          <w:sz w:val="24"/>
          <w:szCs w:val="24"/>
          <w:lang w:val="ro-RO"/>
        </w:rPr>
        <w:t>i</w:t>
      </w:r>
      <w:r w:rsidR="003705C6" w:rsidRPr="00720652">
        <w:rPr>
          <w:rFonts w:asciiTheme="majorHAnsi" w:hAnsiTheme="majorHAnsi" w:cstheme="majorHAnsi"/>
          <w:sz w:val="24"/>
          <w:szCs w:val="24"/>
          <w:lang w:val="ro-RO"/>
        </w:rPr>
        <w:t xml:space="preserve"> și </w:t>
      </w:r>
      <w:r w:rsidR="00C50714" w:rsidRPr="00720652">
        <w:rPr>
          <w:rFonts w:asciiTheme="majorHAnsi" w:hAnsiTheme="majorHAnsi" w:cstheme="majorHAnsi"/>
          <w:sz w:val="24"/>
          <w:szCs w:val="24"/>
          <w:lang w:val="ro-RO"/>
        </w:rPr>
        <w:t xml:space="preserve">de </w:t>
      </w:r>
      <w:r w:rsidR="003705C6" w:rsidRPr="00720652">
        <w:rPr>
          <w:rFonts w:asciiTheme="majorHAnsi" w:hAnsiTheme="majorHAnsi" w:cstheme="majorHAnsi"/>
          <w:sz w:val="24"/>
          <w:szCs w:val="24"/>
          <w:lang w:val="ro-RO"/>
        </w:rPr>
        <w:t>operatorii serviciilor publice de alimentare cu apă și sanitație.</w:t>
      </w:r>
    </w:p>
    <w:p w14:paraId="50BB3F31" w14:textId="77777777" w:rsidR="00BF64D8" w:rsidRPr="00720652" w:rsidRDefault="00DA5096" w:rsidP="00C63ADA">
      <w:pPr>
        <w:pStyle w:val="af8"/>
        <w:spacing w:before="0" w:beforeAutospacing="0" w:after="0" w:afterAutospacing="0" w:line="276" w:lineRule="auto"/>
        <w:ind w:left="567"/>
        <w:jc w:val="both"/>
        <w:rPr>
          <w:rFonts w:asciiTheme="majorHAnsi" w:hAnsiTheme="majorHAnsi" w:cstheme="majorHAnsi"/>
          <w:bCs/>
          <w:lang w:val="ro-RO"/>
        </w:rPr>
      </w:pPr>
      <w:r w:rsidRPr="00720652">
        <w:rPr>
          <w:rFonts w:asciiTheme="majorHAnsi" w:hAnsiTheme="majorHAnsi" w:cstheme="majorHAnsi"/>
          <w:b/>
          <w:lang w:val="ro-RO"/>
        </w:rPr>
        <w:t xml:space="preserve">3. </w:t>
      </w:r>
      <w:r w:rsidRPr="00720652">
        <w:rPr>
          <w:rFonts w:asciiTheme="majorHAnsi" w:hAnsiTheme="majorHAnsi" w:cstheme="majorHAnsi"/>
          <w:bCs/>
          <w:lang w:val="ro-RO"/>
        </w:rPr>
        <w:t>Pr</w:t>
      </w:r>
      <w:r w:rsidR="0064043A" w:rsidRPr="00720652">
        <w:rPr>
          <w:rFonts w:asciiTheme="majorHAnsi" w:hAnsiTheme="majorHAnsi" w:cstheme="majorHAnsi"/>
          <w:bCs/>
          <w:lang w:val="ro-RO"/>
        </w:rPr>
        <w:t>in prezenta Hotărâre, se exclud</w:t>
      </w:r>
      <w:r w:rsidRPr="00720652">
        <w:rPr>
          <w:rFonts w:asciiTheme="majorHAnsi" w:hAnsiTheme="majorHAnsi" w:cstheme="majorHAnsi"/>
          <w:bCs/>
          <w:lang w:val="ro-RO"/>
        </w:rPr>
        <w:t xml:space="preserve"> din regim de monitorizare</w:t>
      </w:r>
      <w:r w:rsidR="00BF64D8" w:rsidRPr="00720652">
        <w:rPr>
          <w:rFonts w:asciiTheme="majorHAnsi" w:hAnsiTheme="majorHAnsi" w:cstheme="majorHAnsi"/>
          <w:bCs/>
          <w:lang w:val="ro-RO"/>
        </w:rPr>
        <w:t>:</w:t>
      </w:r>
    </w:p>
    <w:p w14:paraId="3A7425E0" w14:textId="77777777" w:rsidR="00BF64D8" w:rsidRPr="00720652" w:rsidRDefault="00C50714" w:rsidP="00C63ADA">
      <w:pPr>
        <w:spacing w:after="0" w:line="276" w:lineRule="auto"/>
        <w:ind w:firstLine="567"/>
        <w:jc w:val="both"/>
        <w:rPr>
          <w:rFonts w:asciiTheme="majorHAnsi" w:hAnsiTheme="majorHAnsi" w:cstheme="majorHAnsi"/>
          <w:bCs/>
          <w:sz w:val="24"/>
          <w:szCs w:val="24"/>
          <w:lang w:val="ro-RO"/>
        </w:rPr>
      </w:pPr>
      <w:r w:rsidRPr="00720652">
        <w:rPr>
          <w:rFonts w:asciiTheme="majorHAnsi" w:hAnsiTheme="majorHAnsi" w:cstheme="majorHAnsi"/>
          <w:b/>
          <w:sz w:val="24"/>
          <w:szCs w:val="24"/>
          <w:lang w:val="ro-RO"/>
        </w:rPr>
        <w:t>-</w:t>
      </w:r>
      <w:r w:rsidR="00F55BE2" w:rsidRPr="00720652">
        <w:rPr>
          <w:rFonts w:asciiTheme="majorHAnsi" w:hAnsiTheme="majorHAnsi" w:cstheme="majorHAnsi"/>
          <w:bCs/>
          <w:sz w:val="24"/>
          <w:szCs w:val="24"/>
          <w:lang w:val="ro-RO"/>
        </w:rPr>
        <w:t xml:space="preserve"> Hotărârea Curții de Conturi nr.1 din </w:t>
      </w:r>
      <w:r w:rsidRPr="00720652">
        <w:rPr>
          <w:rFonts w:asciiTheme="majorHAnsi" w:hAnsiTheme="majorHAnsi" w:cstheme="majorHAnsi"/>
          <w:bCs/>
          <w:sz w:val="24"/>
          <w:szCs w:val="24"/>
          <w:lang w:val="ro-RO"/>
        </w:rPr>
        <w:t>0</w:t>
      </w:r>
      <w:r w:rsidR="00F55BE2" w:rsidRPr="00720652">
        <w:rPr>
          <w:rFonts w:asciiTheme="majorHAnsi" w:hAnsiTheme="majorHAnsi" w:cstheme="majorHAnsi"/>
          <w:bCs/>
          <w:sz w:val="24"/>
          <w:szCs w:val="24"/>
          <w:lang w:val="ro-RO"/>
        </w:rPr>
        <w:t xml:space="preserve">4 februarie 2014 </w:t>
      </w:r>
      <w:r w:rsidRPr="00720652">
        <w:rPr>
          <w:rFonts w:asciiTheme="majorHAnsi" w:hAnsiTheme="majorHAnsi" w:cstheme="majorHAnsi"/>
          <w:bCs/>
          <w:sz w:val="24"/>
          <w:szCs w:val="24"/>
          <w:lang w:val="ro-RO"/>
        </w:rPr>
        <w:t>„P</w:t>
      </w:r>
      <w:r w:rsidR="00F55BE2" w:rsidRPr="00720652">
        <w:rPr>
          <w:rFonts w:asciiTheme="majorHAnsi" w:hAnsiTheme="majorHAnsi" w:cstheme="majorHAnsi"/>
          <w:bCs/>
          <w:sz w:val="24"/>
          <w:szCs w:val="24"/>
          <w:lang w:val="ro-RO"/>
        </w:rPr>
        <w:t>rivind Raportul auditului performanței în domeniul mediului „</w:t>
      </w:r>
      <w:r w:rsidR="007E57F9" w:rsidRPr="00720652">
        <w:rPr>
          <w:rFonts w:asciiTheme="majorHAnsi" w:hAnsiTheme="majorHAnsi" w:cstheme="majorHAnsi"/>
          <w:bCs/>
          <w:sz w:val="24"/>
          <w:szCs w:val="24"/>
          <w:lang w:val="ro-RO"/>
        </w:rPr>
        <w:t>Protecția</w:t>
      </w:r>
      <w:r w:rsidR="00F55BE2" w:rsidRPr="00720652">
        <w:rPr>
          <w:rFonts w:asciiTheme="majorHAnsi" w:hAnsiTheme="majorHAnsi" w:cstheme="majorHAnsi"/>
          <w:bCs/>
          <w:sz w:val="24"/>
          <w:szCs w:val="24"/>
          <w:lang w:val="ro-RO"/>
        </w:rPr>
        <w:t xml:space="preserve"> </w:t>
      </w:r>
      <w:proofErr w:type="spellStart"/>
      <w:r w:rsidR="00F55BE2" w:rsidRPr="00720652">
        <w:rPr>
          <w:rFonts w:asciiTheme="majorHAnsi" w:hAnsiTheme="majorHAnsi" w:cstheme="majorHAnsi"/>
          <w:bCs/>
          <w:sz w:val="24"/>
          <w:szCs w:val="24"/>
          <w:lang w:val="ro-RO"/>
        </w:rPr>
        <w:t>şi</w:t>
      </w:r>
      <w:proofErr w:type="spellEnd"/>
      <w:r w:rsidR="00F55BE2" w:rsidRPr="00720652">
        <w:rPr>
          <w:rFonts w:asciiTheme="majorHAnsi" w:hAnsiTheme="majorHAnsi" w:cstheme="majorHAnsi"/>
          <w:bCs/>
          <w:sz w:val="24"/>
          <w:szCs w:val="24"/>
          <w:lang w:val="ro-RO"/>
        </w:rPr>
        <w:t xml:space="preserve"> utilizarea durabi</w:t>
      </w:r>
      <w:r w:rsidR="000C757F" w:rsidRPr="00720652">
        <w:rPr>
          <w:rFonts w:asciiTheme="majorHAnsi" w:hAnsiTheme="majorHAnsi" w:cstheme="majorHAnsi"/>
          <w:bCs/>
          <w:sz w:val="24"/>
          <w:szCs w:val="24"/>
          <w:lang w:val="ro-RO"/>
        </w:rPr>
        <w:t>lă a apelor în r</w:t>
      </w:r>
      <w:r w:rsidRPr="00720652">
        <w:rPr>
          <w:rFonts w:asciiTheme="majorHAnsi" w:hAnsiTheme="majorHAnsi" w:cstheme="majorHAnsi"/>
          <w:bCs/>
          <w:sz w:val="24"/>
          <w:szCs w:val="24"/>
          <w:lang w:val="ro-RO"/>
        </w:rPr>
        <w:t>â</w:t>
      </w:r>
      <w:r w:rsidR="000C757F" w:rsidRPr="00720652">
        <w:rPr>
          <w:rFonts w:asciiTheme="majorHAnsi" w:hAnsiTheme="majorHAnsi" w:cstheme="majorHAnsi"/>
          <w:bCs/>
          <w:sz w:val="24"/>
          <w:szCs w:val="24"/>
          <w:lang w:val="ro-RO"/>
        </w:rPr>
        <w:t xml:space="preserve">uri </w:t>
      </w:r>
      <w:proofErr w:type="spellStart"/>
      <w:r w:rsidR="000C757F" w:rsidRPr="00720652">
        <w:rPr>
          <w:rFonts w:asciiTheme="majorHAnsi" w:hAnsiTheme="majorHAnsi" w:cstheme="majorHAnsi"/>
          <w:bCs/>
          <w:sz w:val="24"/>
          <w:szCs w:val="24"/>
          <w:lang w:val="ro-RO"/>
        </w:rPr>
        <w:t>şi</w:t>
      </w:r>
      <w:proofErr w:type="spellEnd"/>
      <w:r w:rsidR="000C757F" w:rsidRPr="00720652">
        <w:rPr>
          <w:rFonts w:asciiTheme="majorHAnsi" w:hAnsiTheme="majorHAnsi" w:cstheme="majorHAnsi"/>
          <w:bCs/>
          <w:sz w:val="24"/>
          <w:szCs w:val="24"/>
          <w:lang w:val="ro-RO"/>
        </w:rPr>
        <w:t xml:space="preserve"> fluvii” </w:t>
      </w:r>
      <w:proofErr w:type="spellStart"/>
      <w:r w:rsidR="000C757F" w:rsidRPr="00720652">
        <w:rPr>
          <w:rFonts w:asciiTheme="majorHAnsi" w:hAnsiTheme="majorHAnsi" w:cstheme="majorHAnsi"/>
          <w:bCs/>
          <w:sz w:val="24"/>
          <w:szCs w:val="24"/>
          <w:lang w:val="ro-RO"/>
        </w:rPr>
        <w:t>şi</w:t>
      </w:r>
      <w:proofErr w:type="spellEnd"/>
      <w:r w:rsidR="00F55BE2" w:rsidRPr="00720652">
        <w:rPr>
          <w:rFonts w:asciiTheme="majorHAnsi" w:hAnsiTheme="majorHAnsi" w:cstheme="majorHAnsi"/>
          <w:bCs/>
          <w:sz w:val="24"/>
          <w:szCs w:val="24"/>
          <w:lang w:val="ro-RO"/>
        </w:rPr>
        <w:t xml:space="preserve"> Hotărârea Curții de Conturi nr.29 din 22 iulie 2016 </w:t>
      </w:r>
      <w:r w:rsidRPr="00720652">
        <w:rPr>
          <w:rFonts w:asciiTheme="majorHAnsi" w:hAnsiTheme="majorHAnsi" w:cstheme="majorHAnsi"/>
          <w:bCs/>
          <w:sz w:val="24"/>
          <w:szCs w:val="24"/>
          <w:lang w:val="ro-RO"/>
        </w:rPr>
        <w:t>„C</w:t>
      </w:r>
      <w:r w:rsidR="00F55BE2" w:rsidRPr="00720652">
        <w:rPr>
          <w:rFonts w:asciiTheme="majorHAnsi" w:hAnsiTheme="majorHAnsi" w:cstheme="majorHAnsi"/>
          <w:bCs/>
          <w:sz w:val="24"/>
          <w:szCs w:val="24"/>
          <w:lang w:val="ro-RO"/>
        </w:rPr>
        <w:t>u privire la Raportul auditului Proiectului „Programul de Dezvoltare a Companiilor de Aprovizionare cu Apă și Canalizare”,</w:t>
      </w:r>
      <w:r w:rsidR="00DA5096" w:rsidRPr="00720652">
        <w:rPr>
          <w:rFonts w:asciiTheme="majorHAnsi" w:hAnsiTheme="majorHAnsi" w:cstheme="majorHAnsi"/>
          <w:bCs/>
          <w:sz w:val="24"/>
          <w:szCs w:val="24"/>
          <w:lang w:val="ro-RO"/>
        </w:rPr>
        <w:t xml:space="preserve"> </w:t>
      </w:r>
      <w:r w:rsidR="008E5A00" w:rsidRPr="00720652">
        <w:rPr>
          <w:rFonts w:asciiTheme="majorHAnsi" w:hAnsiTheme="majorHAnsi" w:cstheme="majorHAnsi"/>
          <w:bCs/>
          <w:sz w:val="24"/>
          <w:szCs w:val="24"/>
          <w:lang w:val="ro-RO"/>
        </w:rPr>
        <w:t>ca urmare a</w:t>
      </w:r>
      <w:r w:rsidR="000C757F" w:rsidRPr="00720652">
        <w:rPr>
          <w:rFonts w:asciiTheme="majorHAnsi" w:hAnsiTheme="majorHAnsi" w:cstheme="majorHAnsi"/>
          <w:bCs/>
          <w:sz w:val="24"/>
          <w:szCs w:val="24"/>
          <w:lang w:val="ro-RO"/>
        </w:rPr>
        <w:t xml:space="preserve"> irelevanței recomandărilor</w:t>
      </w:r>
      <w:r w:rsidR="00B4075C" w:rsidRPr="00720652">
        <w:rPr>
          <w:rFonts w:asciiTheme="majorHAnsi" w:hAnsiTheme="majorHAnsi" w:cstheme="majorHAnsi"/>
          <w:bCs/>
          <w:sz w:val="24"/>
          <w:szCs w:val="24"/>
          <w:lang w:val="ro-RO"/>
        </w:rPr>
        <w:t>,</w:t>
      </w:r>
      <w:r w:rsidR="000C757F" w:rsidRPr="00720652">
        <w:rPr>
          <w:rFonts w:asciiTheme="majorHAnsi" w:hAnsiTheme="majorHAnsi" w:cstheme="majorHAnsi"/>
          <w:bCs/>
          <w:sz w:val="24"/>
          <w:szCs w:val="24"/>
          <w:lang w:val="ro-RO"/>
        </w:rPr>
        <w:t xml:space="preserve"> </w:t>
      </w:r>
      <w:r w:rsidR="00050E5D" w:rsidRPr="00720652">
        <w:rPr>
          <w:rFonts w:asciiTheme="majorHAnsi" w:hAnsiTheme="majorHAnsi" w:cstheme="majorHAnsi"/>
          <w:bCs/>
          <w:sz w:val="24"/>
          <w:szCs w:val="24"/>
          <w:lang w:val="ro-RO"/>
        </w:rPr>
        <w:t xml:space="preserve">în contextul </w:t>
      </w:r>
      <w:r w:rsidR="00FC1408" w:rsidRPr="00720652">
        <w:rPr>
          <w:rFonts w:asciiTheme="majorHAnsi" w:hAnsiTheme="majorHAnsi" w:cstheme="majorHAnsi"/>
          <w:bCs/>
          <w:sz w:val="24"/>
          <w:szCs w:val="24"/>
          <w:lang w:val="ro-RO"/>
        </w:rPr>
        <w:t>cadrului nou</w:t>
      </w:r>
      <w:r w:rsidR="00050E5D" w:rsidRPr="00720652">
        <w:rPr>
          <w:rFonts w:asciiTheme="majorHAnsi" w:hAnsiTheme="majorHAnsi" w:cstheme="majorHAnsi"/>
          <w:bCs/>
          <w:sz w:val="24"/>
          <w:szCs w:val="24"/>
          <w:lang w:val="ro-RO"/>
        </w:rPr>
        <w:t xml:space="preserve"> de reglementare a domeniului</w:t>
      </w:r>
      <w:r w:rsidR="00910A50" w:rsidRPr="00720652">
        <w:rPr>
          <w:rFonts w:asciiTheme="majorHAnsi" w:hAnsiTheme="majorHAnsi" w:cstheme="majorHAnsi"/>
          <w:bCs/>
          <w:sz w:val="24"/>
          <w:szCs w:val="24"/>
          <w:lang w:val="ro-RO"/>
        </w:rPr>
        <w:t>,</w:t>
      </w:r>
      <w:r w:rsidR="00050E5D" w:rsidRPr="00720652">
        <w:rPr>
          <w:rFonts w:asciiTheme="majorHAnsi" w:hAnsiTheme="majorHAnsi" w:cstheme="majorHAnsi"/>
          <w:bCs/>
          <w:sz w:val="24"/>
          <w:szCs w:val="24"/>
          <w:lang w:val="ro-RO"/>
        </w:rPr>
        <w:t xml:space="preserve"> elaborat de </w:t>
      </w:r>
      <w:r w:rsidR="00C619AD" w:rsidRPr="00720652">
        <w:rPr>
          <w:rFonts w:asciiTheme="majorHAnsi" w:hAnsiTheme="majorHAnsi" w:cstheme="majorHAnsi"/>
          <w:bCs/>
          <w:sz w:val="24"/>
          <w:szCs w:val="24"/>
          <w:lang w:val="ro-RO"/>
        </w:rPr>
        <w:t>Agenția Națională pentru Reglementare în Energetică</w:t>
      </w:r>
      <w:r w:rsidR="00304757" w:rsidRPr="00720652">
        <w:rPr>
          <w:rFonts w:asciiTheme="majorHAnsi" w:hAnsiTheme="majorHAnsi" w:cstheme="majorHAnsi"/>
          <w:bCs/>
          <w:sz w:val="24"/>
          <w:szCs w:val="24"/>
          <w:lang w:val="ro-RO"/>
        </w:rPr>
        <w:t>,</w:t>
      </w:r>
      <w:r w:rsidR="00050E5D" w:rsidRPr="00720652">
        <w:rPr>
          <w:rFonts w:asciiTheme="majorHAnsi" w:hAnsiTheme="majorHAnsi" w:cstheme="majorHAnsi"/>
          <w:bCs/>
          <w:sz w:val="24"/>
          <w:szCs w:val="24"/>
          <w:lang w:val="ro-RO"/>
        </w:rPr>
        <w:t xml:space="preserve"> </w:t>
      </w:r>
      <w:r w:rsidR="00304757" w:rsidRPr="00720652">
        <w:rPr>
          <w:rFonts w:asciiTheme="majorHAnsi" w:hAnsiTheme="majorHAnsi" w:cstheme="majorHAnsi"/>
          <w:bCs/>
          <w:sz w:val="24"/>
          <w:szCs w:val="24"/>
          <w:lang w:val="ro-RO"/>
        </w:rPr>
        <w:t xml:space="preserve">în perioada 2016-2020, </w:t>
      </w:r>
      <w:r w:rsidR="00050E5D" w:rsidRPr="00720652">
        <w:rPr>
          <w:rFonts w:asciiTheme="majorHAnsi" w:hAnsiTheme="majorHAnsi" w:cstheme="majorHAnsi"/>
          <w:bCs/>
          <w:sz w:val="24"/>
          <w:szCs w:val="24"/>
          <w:lang w:val="ro-RO"/>
        </w:rPr>
        <w:t xml:space="preserve">în vederea </w:t>
      </w:r>
      <w:r w:rsidR="00304757" w:rsidRPr="00720652">
        <w:rPr>
          <w:rFonts w:asciiTheme="majorHAnsi" w:hAnsiTheme="majorHAnsi" w:cstheme="majorHAnsi"/>
          <w:bCs/>
          <w:sz w:val="24"/>
          <w:szCs w:val="24"/>
          <w:lang w:val="ro-RO"/>
        </w:rPr>
        <w:t>punerii în aplicare a prevederilor</w:t>
      </w:r>
      <w:r w:rsidR="00983C8C" w:rsidRPr="00720652">
        <w:rPr>
          <w:rFonts w:asciiTheme="majorHAnsi" w:hAnsiTheme="majorHAnsi" w:cstheme="majorHAnsi"/>
          <w:bCs/>
          <w:sz w:val="24"/>
          <w:szCs w:val="24"/>
          <w:lang w:val="ro-RO"/>
        </w:rPr>
        <w:t xml:space="preserve"> art.7 </w:t>
      </w:r>
      <w:r w:rsidR="00B4075C" w:rsidRPr="00720652">
        <w:rPr>
          <w:rFonts w:asciiTheme="majorHAnsi" w:hAnsiTheme="majorHAnsi" w:cstheme="majorHAnsi"/>
          <w:bCs/>
          <w:sz w:val="24"/>
          <w:szCs w:val="24"/>
          <w:lang w:val="ro-RO"/>
        </w:rPr>
        <w:t>din</w:t>
      </w:r>
      <w:r w:rsidR="00304757" w:rsidRPr="00720652">
        <w:rPr>
          <w:rFonts w:asciiTheme="majorHAnsi" w:hAnsiTheme="majorHAnsi" w:cstheme="majorHAnsi"/>
          <w:bCs/>
          <w:sz w:val="24"/>
          <w:szCs w:val="24"/>
          <w:lang w:val="ro-RO"/>
        </w:rPr>
        <w:t xml:space="preserve"> L</w:t>
      </w:r>
      <w:r w:rsidR="00FC1408" w:rsidRPr="00720652">
        <w:rPr>
          <w:rFonts w:asciiTheme="majorHAnsi" w:hAnsiTheme="majorHAnsi" w:cstheme="majorHAnsi"/>
          <w:bCs/>
          <w:sz w:val="24"/>
          <w:szCs w:val="24"/>
          <w:lang w:val="ro-RO"/>
        </w:rPr>
        <w:t>eg</w:t>
      </w:r>
      <w:r w:rsidR="00B4075C" w:rsidRPr="00720652">
        <w:rPr>
          <w:rFonts w:asciiTheme="majorHAnsi" w:hAnsiTheme="majorHAnsi" w:cstheme="majorHAnsi"/>
          <w:bCs/>
          <w:sz w:val="24"/>
          <w:szCs w:val="24"/>
          <w:lang w:val="ro-RO"/>
        </w:rPr>
        <w:t>ea</w:t>
      </w:r>
      <w:r w:rsidR="00304757" w:rsidRPr="00720652">
        <w:rPr>
          <w:rFonts w:asciiTheme="majorHAnsi" w:hAnsiTheme="majorHAnsi" w:cstheme="majorHAnsi"/>
          <w:bCs/>
          <w:sz w:val="24"/>
          <w:szCs w:val="24"/>
          <w:lang w:val="ro-RO"/>
        </w:rPr>
        <w:t xml:space="preserve"> nr.303 din 13.12.2013 privind serviciul public de alimentare cu apă </w:t>
      </w:r>
      <w:proofErr w:type="spellStart"/>
      <w:r w:rsidR="00304757" w:rsidRPr="00720652">
        <w:rPr>
          <w:rFonts w:asciiTheme="majorHAnsi" w:hAnsiTheme="majorHAnsi" w:cstheme="majorHAnsi"/>
          <w:bCs/>
          <w:sz w:val="24"/>
          <w:szCs w:val="24"/>
          <w:lang w:val="ro-RO"/>
        </w:rPr>
        <w:t>şi</w:t>
      </w:r>
      <w:proofErr w:type="spellEnd"/>
      <w:r w:rsidR="00304757" w:rsidRPr="00720652">
        <w:rPr>
          <w:rFonts w:asciiTheme="majorHAnsi" w:hAnsiTheme="majorHAnsi" w:cstheme="majorHAnsi"/>
          <w:bCs/>
          <w:sz w:val="24"/>
          <w:szCs w:val="24"/>
          <w:lang w:val="ro-RO"/>
        </w:rPr>
        <w:t xml:space="preserve"> de canalizare</w:t>
      </w:r>
      <w:r w:rsidR="00B401B9" w:rsidRPr="00720652">
        <w:rPr>
          <w:rFonts w:asciiTheme="majorHAnsi" w:hAnsiTheme="majorHAnsi" w:cstheme="majorHAnsi"/>
          <w:bCs/>
          <w:sz w:val="24"/>
          <w:szCs w:val="24"/>
          <w:lang w:val="ro-RO"/>
        </w:rPr>
        <w:t>;</w:t>
      </w:r>
    </w:p>
    <w:p w14:paraId="14DDCB82" w14:textId="77777777" w:rsidR="00DA5096" w:rsidRPr="00720652" w:rsidRDefault="00910A50" w:rsidP="00307CB9">
      <w:pPr>
        <w:shd w:val="clear" w:color="auto" w:fill="FFFFFF" w:themeFill="background1"/>
        <w:spacing w:after="0" w:line="276" w:lineRule="auto"/>
        <w:ind w:firstLine="567"/>
        <w:jc w:val="both"/>
        <w:rPr>
          <w:rFonts w:asciiTheme="majorHAnsi" w:hAnsiTheme="majorHAnsi" w:cstheme="majorHAnsi"/>
          <w:bCs/>
          <w:sz w:val="24"/>
          <w:szCs w:val="24"/>
          <w:lang w:val="ro-RO"/>
        </w:rPr>
      </w:pPr>
      <w:r w:rsidRPr="00720652">
        <w:rPr>
          <w:rFonts w:asciiTheme="majorHAnsi" w:hAnsiTheme="majorHAnsi" w:cstheme="majorHAnsi"/>
          <w:bCs/>
          <w:sz w:val="24"/>
          <w:szCs w:val="24"/>
          <w:lang w:val="ro-RO"/>
        </w:rPr>
        <w:t>-</w:t>
      </w:r>
      <w:r w:rsidR="00D70A41" w:rsidRPr="00720652">
        <w:rPr>
          <w:rFonts w:asciiTheme="majorHAnsi" w:hAnsiTheme="majorHAnsi" w:cstheme="majorHAnsi"/>
          <w:bCs/>
          <w:sz w:val="24"/>
          <w:szCs w:val="24"/>
          <w:lang w:val="ro-RO"/>
        </w:rPr>
        <w:t xml:space="preserve"> </w:t>
      </w:r>
      <w:r w:rsidR="00DA5096" w:rsidRPr="00720652">
        <w:rPr>
          <w:rFonts w:asciiTheme="majorHAnsi" w:hAnsiTheme="majorHAnsi" w:cstheme="majorHAnsi"/>
          <w:bCs/>
          <w:sz w:val="24"/>
          <w:szCs w:val="24"/>
          <w:lang w:val="ro-RO"/>
        </w:rPr>
        <w:t>Hotărârea Curții de Conturi nr.</w:t>
      </w:r>
      <w:r w:rsidR="009D6F0A" w:rsidRPr="00720652">
        <w:rPr>
          <w:rFonts w:asciiTheme="majorHAnsi" w:hAnsiTheme="majorHAnsi" w:cstheme="majorHAnsi"/>
          <w:bCs/>
          <w:sz w:val="24"/>
          <w:szCs w:val="24"/>
          <w:lang w:val="ro-RO"/>
        </w:rPr>
        <w:t>71 din 20 decembrie 20</w:t>
      </w:r>
      <w:r w:rsidR="00DA5096" w:rsidRPr="00720652">
        <w:rPr>
          <w:rFonts w:asciiTheme="majorHAnsi" w:hAnsiTheme="majorHAnsi" w:cstheme="majorHAnsi"/>
          <w:bCs/>
          <w:sz w:val="24"/>
          <w:szCs w:val="24"/>
          <w:lang w:val="ro-RO"/>
        </w:rPr>
        <w:t>1</w:t>
      </w:r>
      <w:r w:rsidR="009D6F0A" w:rsidRPr="00720652">
        <w:rPr>
          <w:rFonts w:asciiTheme="majorHAnsi" w:hAnsiTheme="majorHAnsi" w:cstheme="majorHAnsi"/>
          <w:bCs/>
          <w:sz w:val="24"/>
          <w:szCs w:val="24"/>
          <w:lang w:val="ro-RO"/>
        </w:rPr>
        <w:t>7</w:t>
      </w:r>
      <w:r w:rsidR="00DA5096" w:rsidRPr="00720652">
        <w:rPr>
          <w:rFonts w:asciiTheme="majorHAnsi" w:hAnsiTheme="majorHAnsi" w:cstheme="majorHAnsi"/>
          <w:bCs/>
          <w:sz w:val="24"/>
          <w:szCs w:val="24"/>
          <w:lang w:val="ro-RO"/>
        </w:rPr>
        <w:t xml:space="preserve"> </w:t>
      </w:r>
      <w:r w:rsidR="00C50714" w:rsidRPr="00720652">
        <w:rPr>
          <w:rFonts w:asciiTheme="majorHAnsi" w:hAnsiTheme="majorHAnsi" w:cstheme="majorHAnsi"/>
          <w:bCs/>
          <w:sz w:val="24"/>
          <w:szCs w:val="24"/>
          <w:lang w:val="ro-RO"/>
        </w:rPr>
        <w:t>„P</w:t>
      </w:r>
      <w:r w:rsidR="009D6F0A" w:rsidRPr="00720652">
        <w:rPr>
          <w:rFonts w:asciiTheme="majorHAnsi" w:hAnsiTheme="majorHAnsi" w:cstheme="majorHAnsi"/>
          <w:bCs/>
          <w:sz w:val="24"/>
          <w:szCs w:val="24"/>
          <w:lang w:val="ro-RO"/>
        </w:rPr>
        <w:t>rivind Raportul auditului performanței asupra gestionării Fondului ecologic național în exercițiul bugetar 2016</w:t>
      </w:r>
      <w:r w:rsidRPr="00720652">
        <w:rPr>
          <w:rFonts w:asciiTheme="majorHAnsi" w:hAnsiTheme="majorHAnsi" w:cstheme="majorHAnsi"/>
          <w:bCs/>
          <w:sz w:val="24"/>
          <w:szCs w:val="24"/>
          <w:lang w:val="ro-RO"/>
        </w:rPr>
        <w:t>”</w:t>
      </w:r>
      <w:r w:rsidR="00DA5096" w:rsidRPr="00720652">
        <w:rPr>
          <w:rFonts w:asciiTheme="majorHAnsi" w:hAnsiTheme="majorHAnsi" w:cstheme="majorHAnsi"/>
          <w:bCs/>
          <w:sz w:val="24"/>
          <w:szCs w:val="24"/>
          <w:lang w:val="ro-RO"/>
        </w:rPr>
        <w:t>,</w:t>
      </w:r>
      <w:r w:rsidR="00BF64D8" w:rsidRPr="00720652">
        <w:rPr>
          <w:rFonts w:asciiTheme="majorHAnsi" w:hAnsiTheme="majorHAnsi" w:cstheme="majorHAnsi"/>
          <w:bCs/>
          <w:sz w:val="24"/>
          <w:szCs w:val="24"/>
          <w:lang w:val="ro-RO"/>
        </w:rPr>
        <w:t xml:space="preserve"> </w:t>
      </w:r>
      <w:r w:rsidRPr="00720652">
        <w:rPr>
          <w:rFonts w:asciiTheme="majorHAnsi" w:hAnsiTheme="majorHAnsi" w:cstheme="majorHAnsi"/>
          <w:bCs/>
          <w:sz w:val="24"/>
          <w:szCs w:val="24"/>
          <w:lang w:val="ro-RO"/>
        </w:rPr>
        <w:t xml:space="preserve">cu </w:t>
      </w:r>
      <w:r w:rsidR="00BF64D8" w:rsidRPr="00720652">
        <w:rPr>
          <w:rFonts w:asciiTheme="majorHAnsi" w:hAnsiTheme="majorHAnsi" w:cstheme="majorHAnsi"/>
          <w:sz w:val="24"/>
          <w:szCs w:val="24"/>
          <w:lang w:val="ro-RO"/>
        </w:rPr>
        <w:t>nivel</w:t>
      </w:r>
      <w:r w:rsidR="00A66B35" w:rsidRPr="00720652">
        <w:rPr>
          <w:rFonts w:asciiTheme="majorHAnsi" w:hAnsiTheme="majorHAnsi" w:cstheme="majorHAnsi"/>
          <w:sz w:val="24"/>
          <w:szCs w:val="24"/>
          <w:lang w:val="ro-RO"/>
        </w:rPr>
        <w:t>ul</w:t>
      </w:r>
      <w:r w:rsidR="00BF64D8" w:rsidRPr="00720652">
        <w:rPr>
          <w:rFonts w:asciiTheme="majorHAnsi" w:hAnsiTheme="majorHAnsi" w:cstheme="majorHAnsi"/>
          <w:sz w:val="24"/>
          <w:szCs w:val="24"/>
          <w:lang w:val="ro-RO"/>
        </w:rPr>
        <w:t xml:space="preserve"> de </w:t>
      </w:r>
      <w:r w:rsidR="00A66B35" w:rsidRPr="00720652">
        <w:rPr>
          <w:rFonts w:asciiTheme="majorHAnsi" w:hAnsiTheme="majorHAnsi" w:cstheme="majorHAnsi"/>
          <w:sz w:val="24"/>
          <w:szCs w:val="24"/>
          <w:lang w:val="ro-RO"/>
        </w:rPr>
        <w:t xml:space="preserve">realizare </w:t>
      </w:r>
      <w:r w:rsidRPr="00720652">
        <w:rPr>
          <w:rFonts w:asciiTheme="majorHAnsi" w:hAnsiTheme="majorHAnsi" w:cstheme="majorHAnsi"/>
          <w:sz w:val="24"/>
          <w:szCs w:val="24"/>
          <w:lang w:val="ro-RO"/>
        </w:rPr>
        <w:t xml:space="preserve">de </w:t>
      </w:r>
      <w:r w:rsidR="006F4A15" w:rsidRPr="00720652">
        <w:rPr>
          <w:rFonts w:asciiTheme="majorHAnsi" w:hAnsiTheme="majorHAnsi" w:cstheme="majorHAnsi"/>
          <w:sz w:val="24"/>
          <w:szCs w:val="24"/>
          <w:lang w:val="ro-RO"/>
        </w:rPr>
        <w:t>19,2</w:t>
      </w:r>
      <w:r w:rsidR="00BF64D8" w:rsidRPr="00720652">
        <w:rPr>
          <w:rFonts w:asciiTheme="majorHAnsi" w:hAnsiTheme="majorHAnsi" w:cstheme="majorHAnsi"/>
          <w:sz w:val="24"/>
          <w:szCs w:val="24"/>
          <w:lang w:val="ro-RO"/>
        </w:rPr>
        <w:t>%</w:t>
      </w:r>
      <w:r w:rsidRPr="00720652">
        <w:rPr>
          <w:rFonts w:asciiTheme="majorHAnsi" w:hAnsiTheme="majorHAnsi" w:cstheme="majorHAnsi"/>
          <w:sz w:val="24"/>
          <w:szCs w:val="24"/>
          <w:lang w:val="ro-RO"/>
        </w:rPr>
        <w:t>,</w:t>
      </w:r>
      <w:r w:rsidR="00BF64D8" w:rsidRPr="00720652">
        <w:rPr>
          <w:rFonts w:asciiTheme="majorHAnsi" w:hAnsiTheme="majorHAnsi" w:cstheme="majorHAnsi"/>
          <w:sz w:val="24"/>
          <w:szCs w:val="24"/>
          <w:lang w:val="ro-RO"/>
        </w:rPr>
        <w:t xml:space="preserve"> </w:t>
      </w:r>
      <w:proofErr w:type="spellStart"/>
      <w:r w:rsidR="00BF64D8" w:rsidRPr="00720652">
        <w:rPr>
          <w:rFonts w:asciiTheme="majorHAnsi" w:hAnsiTheme="majorHAnsi" w:cstheme="majorHAnsi"/>
          <w:sz w:val="24"/>
          <w:szCs w:val="24"/>
          <w:lang w:val="ro-RO"/>
        </w:rPr>
        <w:t>şi</w:t>
      </w:r>
      <w:proofErr w:type="spellEnd"/>
      <w:r w:rsidR="009D6F0A" w:rsidRPr="00720652">
        <w:rPr>
          <w:rFonts w:asciiTheme="majorHAnsi" w:hAnsiTheme="majorHAnsi" w:cstheme="majorHAnsi"/>
          <w:bCs/>
          <w:sz w:val="24"/>
          <w:szCs w:val="24"/>
          <w:lang w:val="ro-RO"/>
        </w:rPr>
        <w:t xml:space="preserve"> </w:t>
      </w:r>
      <w:r w:rsidR="00201825" w:rsidRPr="00720652">
        <w:rPr>
          <w:rFonts w:asciiTheme="majorHAnsi" w:hAnsiTheme="majorHAnsi" w:cstheme="majorHAnsi"/>
          <w:bCs/>
          <w:sz w:val="24"/>
          <w:szCs w:val="24"/>
          <w:lang w:val="ro-RO"/>
        </w:rPr>
        <w:t xml:space="preserve">Hotărârea Curții de Conturi nr.39 din 26 iunie 2018 </w:t>
      </w:r>
      <w:r w:rsidRPr="00720652">
        <w:rPr>
          <w:rFonts w:asciiTheme="majorHAnsi" w:hAnsiTheme="majorHAnsi" w:cstheme="majorHAnsi"/>
          <w:bCs/>
          <w:sz w:val="24"/>
          <w:szCs w:val="24"/>
          <w:lang w:val="ro-RO"/>
        </w:rPr>
        <w:t>„P</w:t>
      </w:r>
      <w:r w:rsidR="009D6F0A" w:rsidRPr="00720652">
        <w:rPr>
          <w:rFonts w:asciiTheme="majorHAnsi" w:hAnsiTheme="majorHAnsi" w:cstheme="majorHAnsi"/>
          <w:bCs/>
          <w:sz w:val="24"/>
          <w:szCs w:val="24"/>
          <w:lang w:val="ro-RO"/>
        </w:rPr>
        <w:t>rivind Raportul auditului conformității gestionării mijloacelor Fondului Ecologic Național în anul 2017</w:t>
      </w:r>
      <w:r w:rsidRPr="00720652">
        <w:rPr>
          <w:rFonts w:asciiTheme="majorHAnsi" w:hAnsiTheme="majorHAnsi" w:cstheme="majorHAnsi"/>
          <w:bCs/>
          <w:sz w:val="24"/>
          <w:szCs w:val="24"/>
          <w:lang w:val="ro-RO"/>
        </w:rPr>
        <w:t>”</w:t>
      </w:r>
      <w:r w:rsidR="00201825" w:rsidRPr="00720652">
        <w:rPr>
          <w:rFonts w:asciiTheme="majorHAnsi" w:hAnsiTheme="majorHAnsi" w:cstheme="majorHAnsi"/>
          <w:bCs/>
          <w:sz w:val="24"/>
          <w:szCs w:val="24"/>
          <w:lang w:val="ro-RO"/>
        </w:rPr>
        <w:t>,</w:t>
      </w:r>
      <w:r w:rsidR="003121C9" w:rsidRPr="00720652">
        <w:rPr>
          <w:rFonts w:asciiTheme="majorHAnsi" w:hAnsiTheme="majorHAnsi" w:cstheme="majorHAnsi"/>
          <w:sz w:val="24"/>
          <w:szCs w:val="24"/>
          <w:lang w:val="ro-RO"/>
        </w:rPr>
        <w:t xml:space="preserve"> </w:t>
      </w:r>
      <w:r w:rsidRPr="00720652">
        <w:rPr>
          <w:rFonts w:asciiTheme="majorHAnsi" w:hAnsiTheme="majorHAnsi" w:cstheme="majorHAnsi"/>
          <w:sz w:val="24"/>
          <w:szCs w:val="24"/>
          <w:lang w:val="ro-RO"/>
        </w:rPr>
        <w:t xml:space="preserve">cu </w:t>
      </w:r>
      <w:r w:rsidR="00A66B35" w:rsidRPr="00720652">
        <w:rPr>
          <w:rFonts w:asciiTheme="majorHAnsi" w:hAnsiTheme="majorHAnsi" w:cstheme="majorHAnsi"/>
          <w:bCs/>
          <w:sz w:val="24"/>
          <w:szCs w:val="24"/>
          <w:lang w:val="ro-RO"/>
        </w:rPr>
        <w:t>nivelul de realizare</w:t>
      </w:r>
      <w:r w:rsidR="00DA5096" w:rsidRPr="00720652">
        <w:rPr>
          <w:rFonts w:asciiTheme="majorHAnsi" w:hAnsiTheme="majorHAnsi" w:cstheme="majorHAnsi"/>
          <w:bCs/>
          <w:sz w:val="24"/>
          <w:szCs w:val="24"/>
          <w:lang w:val="ro-RO"/>
        </w:rPr>
        <w:t xml:space="preserve"> </w:t>
      </w:r>
      <w:r w:rsidRPr="00720652">
        <w:rPr>
          <w:rFonts w:asciiTheme="majorHAnsi" w:hAnsiTheme="majorHAnsi" w:cstheme="majorHAnsi"/>
          <w:bCs/>
          <w:sz w:val="24"/>
          <w:szCs w:val="24"/>
          <w:lang w:val="ro-RO"/>
        </w:rPr>
        <w:t xml:space="preserve">de </w:t>
      </w:r>
      <w:r w:rsidR="006F4A15" w:rsidRPr="00720652">
        <w:rPr>
          <w:rFonts w:asciiTheme="majorHAnsi" w:hAnsiTheme="majorHAnsi" w:cstheme="majorHAnsi"/>
          <w:sz w:val="24"/>
          <w:szCs w:val="24"/>
          <w:lang w:val="ro-RO"/>
        </w:rPr>
        <w:t>24,</w:t>
      </w:r>
      <w:r w:rsidR="00A66B35" w:rsidRPr="00720652">
        <w:rPr>
          <w:rFonts w:asciiTheme="majorHAnsi" w:hAnsiTheme="majorHAnsi" w:cstheme="majorHAnsi"/>
          <w:sz w:val="24"/>
          <w:szCs w:val="24"/>
          <w:lang w:val="ro-RO"/>
        </w:rPr>
        <w:t>3</w:t>
      </w:r>
      <w:r w:rsidR="00DA5096" w:rsidRPr="00720652">
        <w:rPr>
          <w:rFonts w:asciiTheme="majorHAnsi" w:hAnsiTheme="majorHAnsi" w:cstheme="majorHAnsi"/>
          <w:sz w:val="24"/>
          <w:szCs w:val="24"/>
          <w:lang w:val="ro-RO"/>
        </w:rPr>
        <w:t>%</w:t>
      </w:r>
      <w:r w:rsidR="00A66B35" w:rsidRPr="00720652">
        <w:rPr>
          <w:rFonts w:asciiTheme="majorHAnsi" w:hAnsiTheme="majorHAnsi" w:cstheme="majorHAnsi"/>
          <w:sz w:val="24"/>
          <w:szCs w:val="24"/>
          <w:lang w:val="ro-RO"/>
        </w:rPr>
        <w:t xml:space="preserve">, ca urmare a </w:t>
      </w:r>
      <w:r w:rsidR="008B24CC" w:rsidRPr="00720652">
        <w:rPr>
          <w:rFonts w:asciiTheme="majorHAnsi" w:hAnsiTheme="majorHAnsi" w:cstheme="majorHAnsi"/>
          <w:bCs/>
          <w:sz w:val="24"/>
          <w:szCs w:val="24"/>
          <w:lang w:val="ro-RO"/>
        </w:rPr>
        <w:t>irelevanței</w:t>
      </w:r>
      <w:r w:rsidR="002C3083" w:rsidRPr="00720652">
        <w:rPr>
          <w:rFonts w:asciiTheme="majorHAnsi" w:hAnsiTheme="majorHAnsi" w:cstheme="majorHAnsi"/>
          <w:bCs/>
          <w:sz w:val="24"/>
          <w:szCs w:val="24"/>
          <w:lang w:val="ro-RO"/>
        </w:rPr>
        <w:t xml:space="preserve"> recomandărilor</w:t>
      </w:r>
      <w:r w:rsidR="008B24CC" w:rsidRPr="00720652">
        <w:rPr>
          <w:rFonts w:asciiTheme="majorHAnsi" w:hAnsiTheme="majorHAnsi" w:cstheme="majorHAnsi"/>
          <w:bCs/>
          <w:sz w:val="24"/>
          <w:szCs w:val="24"/>
          <w:lang w:val="ro-RO"/>
        </w:rPr>
        <w:t xml:space="preserve"> neimplementate</w:t>
      </w:r>
      <w:r w:rsidR="002C3083" w:rsidRPr="00720652">
        <w:rPr>
          <w:rFonts w:asciiTheme="majorHAnsi" w:hAnsiTheme="majorHAnsi" w:cstheme="majorHAnsi"/>
          <w:bCs/>
          <w:sz w:val="24"/>
          <w:szCs w:val="24"/>
          <w:lang w:val="ro-RO"/>
        </w:rPr>
        <w:t xml:space="preserve"> </w:t>
      </w:r>
      <w:r w:rsidR="002257D4" w:rsidRPr="00720652">
        <w:rPr>
          <w:rFonts w:asciiTheme="majorHAnsi" w:hAnsiTheme="majorHAnsi" w:cstheme="majorHAnsi"/>
          <w:bCs/>
          <w:sz w:val="24"/>
          <w:szCs w:val="24"/>
          <w:lang w:val="ro-RO"/>
        </w:rPr>
        <w:t xml:space="preserve">în contextul </w:t>
      </w:r>
      <w:r w:rsidRPr="00720652">
        <w:rPr>
          <w:rFonts w:asciiTheme="majorHAnsi" w:hAnsiTheme="majorHAnsi" w:cstheme="majorHAnsi"/>
          <w:bCs/>
          <w:sz w:val="24"/>
          <w:szCs w:val="24"/>
          <w:lang w:val="ro-RO"/>
        </w:rPr>
        <w:t>în</w:t>
      </w:r>
      <w:r w:rsidR="00A66B35" w:rsidRPr="00720652">
        <w:rPr>
          <w:rFonts w:asciiTheme="majorHAnsi" w:hAnsiTheme="majorHAnsi" w:cstheme="majorHAnsi"/>
          <w:bCs/>
          <w:sz w:val="24"/>
          <w:szCs w:val="24"/>
          <w:lang w:val="ro-RO"/>
        </w:rPr>
        <w:t xml:space="preserve"> care </w:t>
      </w:r>
      <w:r w:rsidR="00556BA1" w:rsidRPr="00720652">
        <w:rPr>
          <w:rFonts w:asciiTheme="majorHAnsi" w:hAnsiTheme="majorHAnsi" w:cstheme="majorHAnsi"/>
          <w:bCs/>
          <w:sz w:val="24"/>
          <w:szCs w:val="24"/>
          <w:lang w:val="ro-RO"/>
        </w:rPr>
        <w:t>Fondul</w:t>
      </w:r>
      <w:r w:rsidR="00A66B35" w:rsidRPr="00720652">
        <w:rPr>
          <w:rFonts w:asciiTheme="majorHAnsi" w:hAnsiTheme="majorHAnsi" w:cstheme="majorHAnsi"/>
          <w:bCs/>
          <w:sz w:val="24"/>
          <w:szCs w:val="24"/>
          <w:lang w:val="ro-RO"/>
        </w:rPr>
        <w:t xml:space="preserve"> </w:t>
      </w:r>
      <w:r w:rsidR="00556BA1" w:rsidRPr="00720652">
        <w:rPr>
          <w:rFonts w:asciiTheme="majorHAnsi" w:hAnsiTheme="majorHAnsi" w:cstheme="majorHAnsi"/>
          <w:bCs/>
          <w:sz w:val="24"/>
          <w:szCs w:val="24"/>
          <w:lang w:val="ro-RO"/>
        </w:rPr>
        <w:t xml:space="preserve">Ecologic </w:t>
      </w:r>
      <w:r w:rsidR="00A83CF8" w:rsidRPr="00720652">
        <w:rPr>
          <w:rFonts w:asciiTheme="majorHAnsi" w:hAnsiTheme="majorHAnsi" w:cstheme="majorHAnsi"/>
          <w:bCs/>
          <w:sz w:val="24"/>
          <w:szCs w:val="24"/>
          <w:lang w:val="ro-RO"/>
        </w:rPr>
        <w:t>Național</w:t>
      </w:r>
      <w:r w:rsidR="00556BA1" w:rsidRPr="00720652">
        <w:rPr>
          <w:rFonts w:asciiTheme="majorHAnsi" w:hAnsiTheme="majorHAnsi" w:cstheme="majorHAnsi"/>
          <w:bCs/>
          <w:sz w:val="24"/>
          <w:szCs w:val="24"/>
          <w:lang w:val="ro-RO"/>
        </w:rPr>
        <w:t xml:space="preserve"> </w:t>
      </w:r>
      <w:r w:rsidR="00A66B35" w:rsidRPr="00720652">
        <w:rPr>
          <w:rFonts w:asciiTheme="majorHAnsi" w:hAnsiTheme="majorHAnsi" w:cstheme="majorHAnsi"/>
          <w:bCs/>
          <w:sz w:val="24"/>
          <w:szCs w:val="24"/>
          <w:lang w:val="ro-RO"/>
        </w:rPr>
        <w:t xml:space="preserve">a fost lichidat și creat </w:t>
      </w:r>
      <w:r w:rsidR="00556BA1" w:rsidRPr="00720652">
        <w:rPr>
          <w:rFonts w:asciiTheme="majorHAnsi" w:hAnsiTheme="majorHAnsi" w:cstheme="majorHAnsi"/>
          <w:bCs/>
          <w:sz w:val="24"/>
          <w:szCs w:val="24"/>
          <w:lang w:val="ro-RO"/>
        </w:rPr>
        <w:t>Fondul Național pentru Mediu</w:t>
      </w:r>
      <w:r w:rsidR="00DA5096" w:rsidRPr="00720652">
        <w:rPr>
          <w:rFonts w:asciiTheme="majorHAnsi" w:hAnsiTheme="majorHAnsi" w:cstheme="majorHAnsi"/>
          <w:bCs/>
          <w:sz w:val="24"/>
          <w:szCs w:val="24"/>
          <w:lang w:val="ro-RO"/>
        </w:rPr>
        <w:t xml:space="preserve">.  </w:t>
      </w:r>
    </w:p>
    <w:p w14:paraId="1BD4F87F" w14:textId="77777777" w:rsidR="00D53307" w:rsidRPr="00720652" w:rsidRDefault="00DA5096" w:rsidP="00307CB9">
      <w:pPr>
        <w:shd w:val="clear" w:color="auto" w:fill="FFFFFF" w:themeFill="background1"/>
        <w:spacing w:after="0" w:line="276" w:lineRule="auto"/>
        <w:ind w:firstLine="567"/>
        <w:jc w:val="both"/>
        <w:rPr>
          <w:rFonts w:asciiTheme="majorHAnsi" w:eastAsia="Calibri" w:hAnsiTheme="majorHAnsi" w:cstheme="majorHAnsi"/>
          <w:sz w:val="24"/>
          <w:szCs w:val="24"/>
          <w:lang w:val="ro-RO"/>
        </w:rPr>
      </w:pPr>
      <w:r w:rsidRPr="00720652">
        <w:rPr>
          <w:rFonts w:asciiTheme="majorHAnsi" w:eastAsia="Times New Roman" w:hAnsiTheme="majorHAnsi" w:cstheme="majorHAnsi"/>
          <w:b/>
          <w:sz w:val="24"/>
          <w:szCs w:val="24"/>
          <w:lang w:val="ro-RO"/>
        </w:rPr>
        <w:t>4</w:t>
      </w:r>
      <w:r w:rsidR="0086403C" w:rsidRPr="00720652">
        <w:rPr>
          <w:rFonts w:asciiTheme="majorHAnsi" w:eastAsia="Times New Roman" w:hAnsiTheme="majorHAnsi" w:cstheme="majorHAnsi"/>
          <w:b/>
          <w:sz w:val="24"/>
          <w:szCs w:val="24"/>
          <w:lang w:val="ro-RO"/>
        </w:rPr>
        <w:t>.</w:t>
      </w:r>
      <w:r w:rsidR="00841B67" w:rsidRPr="00720652">
        <w:rPr>
          <w:rFonts w:asciiTheme="majorHAnsi" w:eastAsia="Calibri" w:hAnsiTheme="majorHAnsi" w:cstheme="majorHAnsi"/>
          <w:sz w:val="24"/>
          <w:szCs w:val="24"/>
          <w:lang w:val="ro-RO"/>
        </w:rPr>
        <w:t xml:space="preserve"> </w:t>
      </w:r>
      <w:r w:rsidR="00D53307" w:rsidRPr="00720652">
        <w:rPr>
          <w:rFonts w:asciiTheme="majorHAnsi" w:eastAsia="Calibri" w:hAnsiTheme="majorHAnsi" w:cstheme="majorHAnsi"/>
          <w:bCs/>
          <w:sz w:val="24"/>
          <w:szCs w:val="24"/>
          <w:lang w:val="ro-RO"/>
        </w:rPr>
        <w:t xml:space="preserve">Prezenta Hotărâre intră în vigoare din data publicării </w:t>
      </w:r>
      <w:r w:rsidR="00D53307" w:rsidRPr="00720652">
        <w:rPr>
          <w:rFonts w:asciiTheme="majorHAnsi" w:eastAsia="Calibri" w:hAnsiTheme="majorHAnsi" w:cstheme="majorHAnsi"/>
          <w:sz w:val="24"/>
          <w:szCs w:val="24"/>
          <w:lang w:val="ro-RO"/>
        </w:rPr>
        <w:t>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544DD170" w14:textId="166FD144" w:rsidR="00400B7A" w:rsidRPr="00720652" w:rsidRDefault="00DA5096" w:rsidP="00307CB9">
      <w:pPr>
        <w:shd w:val="clear" w:color="auto" w:fill="FFFFFF" w:themeFill="background1"/>
        <w:spacing w:after="0" w:line="276" w:lineRule="auto"/>
        <w:ind w:firstLine="567"/>
        <w:jc w:val="both"/>
        <w:rPr>
          <w:rFonts w:asciiTheme="majorHAnsi" w:eastAsia="Calibri" w:hAnsiTheme="majorHAnsi" w:cstheme="majorHAnsi"/>
          <w:sz w:val="24"/>
          <w:szCs w:val="24"/>
          <w:lang w:val="ro-RO"/>
        </w:rPr>
      </w:pPr>
      <w:r w:rsidRPr="00720652">
        <w:rPr>
          <w:rFonts w:asciiTheme="majorHAnsi" w:eastAsia="Calibri" w:hAnsiTheme="majorHAnsi" w:cstheme="majorHAnsi"/>
          <w:b/>
          <w:bCs/>
          <w:sz w:val="24"/>
          <w:szCs w:val="24"/>
          <w:lang w:val="ro-RO"/>
        </w:rPr>
        <w:t>5</w:t>
      </w:r>
      <w:r w:rsidR="00D53307" w:rsidRPr="00720652">
        <w:rPr>
          <w:rFonts w:asciiTheme="majorHAnsi" w:eastAsia="Calibri" w:hAnsiTheme="majorHAnsi" w:cstheme="majorHAnsi"/>
          <w:b/>
          <w:bCs/>
          <w:sz w:val="24"/>
          <w:szCs w:val="24"/>
          <w:lang w:val="ro-RO"/>
        </w:rPr>
        <w:t xml:space="preserve">. </w:t>
      </w:r>
      <w:r w:rsidR="00D53307" w:rsidRPr="00720652">
        <w:rPr>
          <w:rFonts w:asciiTheme="majorHAnsi" w:eastAsia="Calibri" w:hAnsiTheme="majorHAnsi" w:cstheme="majorHAnsi"/>
          <w:sz w:val="24"/>
          <w:szCs w:val="24"/>
          <w:lang w:val="ro-RO"/>
        </w:rPr>
        <w:t>Curtea de Conturi va fi informată,</w:t>
      </w:r>
      <w:r w:rsidR="00400B7A" w:rsidRPr="00720652">
        <w:rPr>
          <w:rFonts w:asciiTheme="majorHAnsi" w:eastAsia="Calibri" w:hAnsiTheme="majorHAnsi" w:cstheme="majorHAnsi"/>
          <w:sz w:val="24"/>
          <w:szCs w:val="24"/>
          <w:lang w:val="ro-RO"/>
        </w:rPr>
        <w:t xml:space="preserve"> cu raportare trimestrială, </w:t>
      </w:r>
      <w:r w:rsidR="00980E8F" w:rsidRPr="00720652">
        <w:rPr>
          <w:rFonts w:asciiTheme="majorHAnsi" w:eastAsia="Calibri" w:hAnsiTheme="majorHAnsi" w:cstheme="majorHAnsi"/>
          <w:sz w:val="24"/>
          <w:szCs w:val="24"/>
          <w:lang w:val="ro-RO"/>
        </w:rPr>
        <w:t xml:space="preserve">în termen de </w:t>
      </w:r>
      <w:r w:rsidR="00180BA2" w:rsidRPr="00720652">
        <w:rPr>
          <w:rFonts w:asciiTheme="majorHAnsi" w:eastAsia="Calibri" w:hAnsiTheme="majorHAnsi" w:cstheme="majorHAnsi"/>
          <w:sz w:val="24"/>
          <w:szCs w:val="24"/>
          <w:lang w:val="ro-RO"/>
        </w:rPr>
        <w:t xml:space="preserve">12 </w:t>
      </w:r>
      <w:r w:rsidR="00980E8F" w:rsidRPr="00720652">
        <w:rPr>
          <w:rFonts w:asciiTheme="majorHAnsi" w:eastAsia="Calibri" w:hAnsiTheme="majorHAnsi" w:cstheme="majorHAnsi"/>
          <w:sz w:val="24"/>
          <w:szCs w:val="24"/>
          <w:lang w:val="ro-RO"/>
        </w:rPr>
        <w:t xml:space="preserve">luni din data publicării Hotărârii în Monitorul Oficial al Republicii Moldova, </w:t>
      </w:r>
      <w:r w:rsidR="00400B7A" w:rsidRPr="00720652">
        <w:rPr>
          <w:rFonts w:asciiTheme="majorHAnsi" w:eastAsia="Calibri" w:hAnsiTheme="majorHAnsi" w:cstheme="majorHAnsi"/>
          <w:sz w:val="24"/>
          <w:szCs w:val="24"/>
          <w:lang w:val="ro-RO"/>
        </w:rPr>
        <w:t xml:space="preserve">despre acțiunile întreprinse pentru executarea </w:t>
      </w:r>
      <w:r w:rsidR="00356AA5" w:rsidRPr="00720652">
        <w:rPr>
          <w:rFonts w:asciiTheme="majorHAnsi" w:eastAsia="Calibri" w:hAnsiTheme="majorHAnsi" w:cstheme="majorHAnsi"/>
          <w:sz w:val="24"/>
          <w:szCs w:val="24"/>
          <w:lang w:val="ro-RO"/>
        </w:rPr>
        <w:t xml:space="preserve">recomandărilor </w:t>
      </w:r>
      <w:r w:rsidR="00C351C9" w:rsidRPr="00720652">
        <w:rPr>
          <w:rFonts w:asciiTheme="majorHAnsi" w:eastAsia="Calibri" w:hAnsiTheme="majorHAnsi" w:cstheme="majorHAnsi"/>
          <w:sz w:val="24"/>
          <w:szCs w:val="24"/>
          <w:lang w:val="ro-RO"/>
        </w:rPr>
        <w:t xml:space="preserve">1-3 </w:t>
      </w:r>
      <w:proofErr w:type="spellStart"/>
      <w:r w:rsidR="00C351C9" w:rsidRPr="00720652">
        <w:rPr>
          <w:rFonts w:asciiTheme="majorHAnsi" w:eastAsia="Calibri" w:hAnsiTheme="majorHAnsi" w:cstheme="majorHAnsi"/>
          <w:sz w:val="24"/>
          <w:szCs w:val="24"/>
          <w:lang w:val="ro-RO"/>
        </w:rPr>
        <w:t>şi</w:t>
      </w:r>
      <w:proofErr w:type="spellEnd"/>
      <w:r w:rsidR="00C351C9" w:rsidRPr="00720652">
        <w:rPr>
          <w:rFonts w:asciiTheme="majorHAnsi" w:eastAsia="Calibri" w:hAnsiTheme="majorHAnsi" w:cstheme="majorHAnsi"/>
          <w:sz w:val="24"/>
          <w:szCs w:val="24"/>
          <w:lang w:val="ro-RO"/>
        </w:rPr>
        <w:t xml:space="preserve"> 5-1</w:t>
      </w:r>
      <w:r w:rsidR="009A1CCF" w:rsidRPr="00720652">
        <w:rPr>
          <w:rFonts w:asciiTheme="majorHAnsi" w:eastAsia="Calibri" w:hAnsiTheme="majorHAnsi" w:cstheme="majorHAnsi"/>
          <w:sz w:val="24"/>
          <w:szCs w:val="24"/>
          <w:lang w:val="ro-RO"/>
        </w:rPr>
        <w:t>0</w:t>
      </w:r>
      <w:r w:rsidR="00180BA2" w:rsidRPr="00720652">
        <w:rPr>
          <w:rFonts w:asciiTheme="majorHAnsi" w:eastAsia="Calibri" w:hAnsiTheme="majorHAnsi" w:cstheme="majorHAnsi"/>
          <w:sz w:val="24"/>
          <w:szCs w:val="24"/>
          <w:lang w:val="ro-RO"/>
        </w:rPr>
        <w:t xml:space="preserve"> </w:t>
      </w:r>
      <w:r w:rsidR="00980E8F" w:rsidRPr="00720652">
        <w:rPr>
          <w:rFonts w:asciiTheme="majorHAnsi" w:eastAsia="Calibri" w:hAnsiTheme="majorHAnsi" w:cstheme="majorHAnsi"/>
          <w:sz w:val="24"/>
          <w:szCs w:val="24"/>
          <w:lang w:val="ro-RO"/>
        </w:rPr>
        <w:t xml:space="preserve">din </w:t>
      </w:r>
      <w:r w:rsidR="00180BA2" w:rsidRPr="00720652">
        <w:rPr>
          <w:rFonts w:asciiTheme="majorHAnsi" w:eastAsia="Calibri" w:hAnsiTheme="majorHAnsi" w:cstheme="majorHAnsi"/>
          <w:sz w:val="24"/>
          <w:szCs w:val="24"/>
          <w:lang w:val="ro-RO"/>
        </w:rPr>
        <w:t>Raportul de audit</w:t>
      </w:r>
      <w:r w:rsidR="00D53307" w:rsidRPr="00720652">
        <w:rPr>
          <w:rFonts w:asciiTheme="majorHAnsi" w:eastAsia="Calibri" w:hAnsiTheme="majorHAnsi" w:cstheme="majorHAnsi"/>
          <w:sz w:val="24"/>
          <w:szCs w:val="24"/>
          <w:lang w:val="ro-RO"/>
        </w:rPr>
        <w:t xml:space="preserve"> </w:t>
      </w:r>
      <w:r w:rsidR="005A7C11" w:rsidRPr="00720652">
        <w:rPr>
          <w:rFonts w:asciiTheme="majorHAnsi" w:eastAsia="Calibri" w:hAnsiTheme="majorHAnsi" w:cstheme="majorHAnsi"/>
          <w:sz w:val="24"/>
          <w:szCs w:val="24"/>
          <w:lang w:val="ro-RO"/>
        </w:rPr>
        <w:t>și</w:t>
      </w:r>
      <w:r w:rsidR="00980E8F" w:rsidRPr="00720652">
        <w:rPr>
          <w:rFonts w:asciiTheme="majorHAnsi" w:eastAsia="Calibri" w:hAnsiTheme="majorHAnsi" w:cstheme="majorHAnsi"/>
          <w:sz w:val="24"/>
          <w:szCs w:val="24"/>
          <w:lang w:val="ro-RO"/>
        </w:rPr>
        <w:t>, respectiv,</w:t>
      </w:r>
      <w:r w:rsidR="005A7C11" w:rsidRPr="00720652">
        <w:rPr>
          <w:rFonts w:asciiTheme="majorHAnsi" w:eastAsia="Calibri" w:hAnsiTheme="majorHAnsi" w:cstheme="majorHAnsi"/>
          <w:sz w:val="24"/>
          <w:szCs w:val="24"/>
          <w:lang w:val="ro-RO"/>
        </w:rPr>
        <w:t xml:space="preserve"> </w:t>
      </w:r>
      <w:r w:rsidR="00A5665B" w:rsidRPr="00720652">
        <w:rPr>
          <w:rFonts w:asciiTheme="majorHAnsi" w:eastAsia="Calibri" w:hAnsiTheme="majorHAnsi" w:cstheme="majorHAnsi"/>
          <w:sz w:val="24"/>
          <w:szCs w:val="24"/>
          <w:lang w:val="ro-RO"/>
        </w:rPr>
        <w:t xml:space="preserve">în termen de </w:t>
      </w:r>
      <w:r w:rsidR="00180BA2" w:rsidRPr="00720652">
        <w:rPr>
          <w:rFonts w:asciiTheme="majorHAnsi" w:eastAsia="Calibri" w:hAnsiTheme="majorHAnsi" w:cstheme="majorHAnsi"/>
          <w:sz w:val="24"/>
          <w:szCs w:val="24"/>
          <w:lang w:val="ro-RO"/>
        </w:rPr>
        <w:t xml:space="preserve">24 </w:t>
      </w:r>
      <w:r w:rsidR="00A5665B" w:rsidRPr="00720652">
        <w:rPr>
          <w:rFonts w:asciiTheme="majorHAnsi" w:eastAsia="Calibri" w:hAnsiTheme="majorHAnsi" w:cstheme="majorHAnsi"/>
          <w:sz w:val="24"/>
          <w:szCs w:val="24"/>
          <w:lang w:val="ro-RO"/>
        </w:rPr>
        <w:t>luni</w:t>
      </w:r>
      <w:r w:rsidR="00E3734A" w:rsidRPr="00720652">
        <w:rPr>
          <w:rFonts w:asciiTheme="majorHAnsi" w:eastAsia="Calibri" w:hAnsiTheme="majorHAnsi" w:cstheme="majorHAnsi"/>
          <w:sz w:val="24"/>
          <w:szCs w:val="24"/>
          <w:lang w:val="ro-RO"/>
        </w:rPr>
        <w:t xml:space="preserve">, </w:t>
      </w:r>
      <w:r w:rsidR="00980E8F" w:rsidRPr="00720652">
        <w:rPr>
          <w:rFonts w:asciiTheme="majorHAnsi" w:eastAsia="Calibri" w:hAnsiTheme="majorHAnsi" w:cstheme="majorHAnsi"/>
          <w:sz w:val="24"/>
          <w:szCs w:val="24"/>
          <w:lang w:val="ro-RO"/>
        </w:rPr>
        <w:t xml:space="preserve">despre acțiunile întreprinse pentru executarea </w:t>
      </w:r>
      <w:r w:rsidR="00180BA2" w:rsidRPr="00720652">
        <w:rPr>
          <w:rFonts w:asciiTheme="majorHAnsi" w:eastAsia="Calibri" w:hAnsiTheme="majorHAnsi" w:cstheme="majorHAnsi"/>
          <w:sz w:val="24"/>
          <w:szCs w:val="24"/>
          <w:lang w:val="ro-RO"/>
        </w:rPr>
        <w:t xml:space="preserve">recomandării </w:t>
      </w:r>
      <w:r w:rsidR="00C351C9" w:rsidRPr="00720652">
        <w:rPr>
          <w:rFonts w:asciiTheme="majorHAnsi" w:eastAsia="Calibri" w:hAnsiTheme="majorHAnsi" w:cstheme="majorHAnsi"/>
          <w:sz w:val="24"/>
          <w:szCs w:val="24"/>
          <w:lang w:val="ro-RO"/>
        </w:rPr>
        <w:t xml:space="preserve">4 </w:t>
      </w:r>
      <w:r w:rsidR="00180BA2" w:rsidRPr="00720652">
        <w:rPr>
          <w:rFonts w:asciiTheme="majorHAnsi" w:eastAsia="Calibri" w:hAnsiTheme="majorHAnsi" w:cstheme="majorHAnsi"/>
          <w:sz w:val="24"/>
          <w:szCs w:val="24"/>
          <w:lang w:val="ro-RO"/>
        </w:rPr>
        <w:t>din Raportul de audit.</w:t>
      </w:r>
    </w:p>
    <w:p w14:paraId="4868A375" w14:textId="77777777" w:rsidR="00D53307" w:rsidRPr="00720652" w:rsidRDefault="00DA5096" w:rsidP="009E6346">
      <w:pPr>
        <w:spacing w:after="0" w:line="276" w:lineRule="auto"/>
        <w:ind w:firstLine="567"/>
        <w:jc w:val="both"/>
        <w:rPr>
          <w:rFonts w:asciiTheme="majorHAnsi" w:eastAsia="Calibri" w:hAnsiTheme="majorHAnsi" w:cstheme="majorHAnsi"/>
          <w:sz w:val="24"/>
          <w:szCs w:val="24"/>
          <w:lang w:val="ro-RO"/>
        </w:rPr>
      </w:pPr>
      <w:r w:rsidRPr="00720652">
        <w:rPr>
          <w:rFonts w:asciiTheme="majorHAnsi" w:eastAsia="Calibri" w:hAnsiTheme="majorHAnsi" w:cstheme="majorHAnsi"/>
          <w:b/>
          <w:sz w:val="24"/>
          <w:szCs w:val="24"/>
          <w:lang w:val="ro-RO"/>
        </w:rPr>
        <w:t>6</w:t>
      </w:r>
      <w:r w:rsidR="00D53307" w:rsidRPr="00720652">
        <w:rPr>
          <w:rFonts w:asciiTheme="majorHAnsi" w:eastAsia="Calibri" w:hAnsiTheme="majorHAnsi" w:cstheme="majorHAnsi"/>
          <w:b/>
          <w:sz w:val="24"/>
          <w:szCs w:val="24"/>
          <w:lang w:val="ro-RO"/>
        </w:rPr>
        <w:t>.</w:t>
      </w:r>
      <w:r w:rsidR="00D53307" w:rsidRPr="00720652">
        <w:rPr>
          <w:rFonts w:asciiTheme="majorHAnsi" w:eastAsia="Calibri" w:hAnsiTheme="majorHAnsi" w:cstheme="majorHAnsi"/>
          <w:sz w:val="24"/>
          <w:szCs w:val="24"/>
          <w:lang w:val="ro-RO"/>
        </w:rPr>
        <w:t xml:space="preserve"> Hotărârea și </w:t>
      </w:r>
      <w:r w:rsidR="00D53307" w:rsidRPr="00720652">
        <w:rPr>
          <w:rFonts w:asciiTheme="majorHAnsi" w:eastAsia="Calibri" w:hAnsiTheme="majorHAnsi" w:cstheme="majorHAnsi"/>
          <w:bCs/>
          <w:sz w:val="24"/>
          <w:szCs w:val="24"/>
          <w:lang w:val="ro-RO"/>
        </w:rPr>
        <w:t>Raportul a</w:t>
      </w:r>
      <w:bookmarkStart w:id="14" w:name="_GoBack"/>
      <w:bookmarkEnd w:id="14"/>
      <w:r w:rsidR="00D53307" w:rsidRPr="00720652">
        <w:rPr>
          <w:rFonts w:asciiTheme="majorHAnsi" w:eastAsia="Calibri" w:hAnsiTheme="majorHAnsi" w:cstheme="majorHAnsi"/>
          <w:bCs/>
          <w:sz w:val="24"/>
          <w:szCs w:val="24"/>
          <w:lang w:val="ro-RO"/>
        </w:rPr>
        <w:t xml:space="preserve">uditului performanței </w:t>
      </w:r>
      <w:r w:rsidR="002268F4" w:rsidRPr="00720652">
        <w:rPr>
          <w:rFonts w:asciiTheme="majorHAnsi" w:eastAsia="Times New Roman" w:hAnsiTheme="majorHAnsi" w:cstheme="majorHAnsi"/>
          <w:bCs/>
          <w:iCs/>
          <w:sz w:val="24"/>
          <w:szCs w:val="24"/>
          <w:lang w:val="ro-RO"/>
        </w:rPr>
        <w:t xml:space="preserve">„Progresele atinse în cadrul implementării Strategiei de alimentare cu apă </w:t>
      </w:r>
      <w:proofErr w:type="spellStart"/>
      <w:r w:rsidR="002268F4" w:rsidRPr="00720652">
        <w:rPr>
          <w:rFonts w:asciiTheme="majorHAnsi" w:eastAsia="Times New Roman" w:hAnsiTheme="majorHAnsi" w:cstheme="majorHAnsi"/>
          <w:bCs/>
          <w:iCs/>
          <w:sz w:val="24"/>
          <w:szCs w:val="24"/>
          <w:lang w:val="ro-RO"/>
        </w:rPr>
        <w:t>şi</w:t>
      </w:r>
      <w:proofErr w:type="spellEnd"/>
      <w:r w:rsidR="002268F4" w:rsidRPr="00720652">
        <w:rPr>
          <w:rFonts w:asciiTheme="majorHAnsi" w:eastAsia="Times New Roman" w:hAnsiTheme="majorHAnsi" w:cstheme="majorHAnsi"/>
          <w:bCs/>
          <w:iCs/>
          <w:sz w:val="24"/>
          <w:szCs w:val="24"/>
          <w:lang w:val="ro-RO"/>
        </w:rPr>
        <w:t xml:space="preserve"> </w:t>
      </w:r>
      <w:proofErr w:type="spellStart"/>
      <w:r w:rsidR="002268F4" w:rsidRPr="00720652">
        <w:rPr>
          <w:rFonts w:asciiTheme="majorHAnsi" w:eastAsia="Times New Roman" w:hAnsiTheme="majorHAnsi" w:cstheme="majorHAnsi"/>
          <w:bCs/>
          <w:iCs/>
          <w:sz w:val="24"/>
          <w:szCs w:val="24"/>
          <w:lang w:val="ro-RO"/>
        </w:rPr>
        <w:t>sanitaţie</w:t>
      </w:r>
      <w:proofErr w:type="spellEnd"/>
      <w:r w:rsidR="002268F4" w:rsidRPr="00720652">
        <w:rPr>
          <w:rFonts w:asciiTheme="majorHAnsi" w:eastAsia="Times New Roman" w:hAnsiTheme="majorHAnsi" w:cstheme="majorHAnsi"/>
          <w:bCs/>
          <w:iCs/>
          <w:sz w:val="24"/>
          <w:szCs w:val="24"/>
          <w:lang w:val="ro-RO"/>
        </w:rPr>
        <w:t xml:space="preserve"> (2014-2030)” </w:t>
      </w:r>
      <w:r w:rsidR="00D53307" w:rsidRPr="00720652">
        <w:rPr>
          <w:rFonts w:asciiTheme="majorHAnsi" w:eastAsia="Calibri" w:hAnsiTheme="majorHAnsi" w:cstheme="majorHAnsi"/>
          <w:sz w:val="24"/>
          <w:szCs w:val="24"/>
          <w:lang w:val="ro-RO"/>
        </w:rPr>
        <w:t>se plasează pe site-ul oficial al Curții de Conturi (</w:t>
      </w:r>
      <w:hyperlink r:id="rId9" w:history="1">
        <w:r w:rsidR="00D62F07" w:rsidRPr="00720652">
          <w:rPr>
            <w:rStyle w:val="af2"/>
            <w:rFonts w:asciiTheme="majorHAnsi" w:eastAsia="Calibri" w:hAnsiTheme="majorHAnsi" w:cstheme="majorHAnsi"/>
            <w:color w:val="002060"/>
            <w:sz w:val="24"/>
            <w:szCs w:val="24"/>
            <w:lang w:val="ro-RO"/>
          </w:rPr>
          <w:t>https://www.ccrm.md/ro/decisions</w:t>
        </w:r>
      </w:hyperlink>
      <w:r w:rsidR="00D53307" w:rsidRPr="00720652">
        <w:rPr>
          <w:rFonts w:asciiTheme="majorHAnsi" w:eastAsia="Calibri" w:hAnsiTheme="majorHAnsi" w:cstheme="majorHAnsi"/>
          <w:sz w:val="24"/>
          <w:szCs w:val="24"/>
          <w:lang w:val="ro-RO"/>
        </w:rPr>
        <w:t>).</w:t>
      </w:r>
    </w:p>
    <w:p w14:paraId="71539D50" w14:textId="77777777" w:rsidR="00402320" w:rsidRPr="00720652" w:rsidRDefault="00402320" w:rsidP="009E6346">
      <w:pPr>
        <w:spacing w:after="0" w:line="276" w:lineRule="auto"/>
        <w:ind w:firstLine="567"/>
        <w:jc w:val="both"/>
        <w:rPr>
          <w:rFonts w:asciiTheme="majorHAnsi" w:eastAsia="Times New Roman" w:hAnsiTheme="majorHAnsi" w:cstheme="majorHAnsi"/>
          <w:sz w:val="24"/>
          <w:szCs w:val="24"/>
          <w:lang w:val="ro-RO"/>
        </w:rPr>
      </w:pPr>
    </w:p>
    <w:p w14:paraId="2FC6EFCA" w14:textId="77777777" w:rsidR="00910A50" w:rsidRPr="00720652" w:rsidRDefault="00910A50" w:rsidP="009E6346">
      <w:pPr>
        <w:spacing w:after="0" w:line="276" w:lineRule="auto"/>
        <w:jc w:val="right"/>
        <w:rPr>
          <w:rFonts w:asciiTheme="majorHAnsi" w:eastAsia="Times New Roman" w:hAnsiTheme="majorHAnsi" w:cstheme="majorHAnsi"/>
          <w:b/>
          <w:sz w:val="24"/>
          <w:szCs w:val="24"/>
          <w:lang w:val="ro-RO"/>
        </w:rPr>
      </w:pPr>
    </w:p>
    <w:p w14:paraId="7DE9D73F" w14:textId="77777777" w:rsidR="004D23AF" w:rsidRPr="00720652" w:rsidRDefault="00EF1727" w:rsidP="009E6346">
      <w:pPr>
        <w:spacing w:after="0" w:line="276" w:lineRule="auto"/>
        <w:jc w:val="right"/>
        <w:rPr>
          <w:rFonts w:asciiTheme="majorHAnsi" w:eastAsia="Times New Roman" w:hAnsiTheme="majorHAnsi" w:cstheme="majorHAnsi"/>
          <w:b/>
          <w:sz w:val="24"/>
          <w:szCs w:val="24"/>
          <w:lang w:val="ro-RO"/>
        </w:rPr>
      </w:pPr>
      <w:r w:rsidRPr="00720652">
        <w:rPr>
          <w:rFonts w:asciiTheme="majorHAnsi" w:eastAsia="Times New Roman" w:hAnsiTheme="majorHAnsi" w:cstheme="majorHAnsi"/>
          <w:b/>
          <w:sz w:val="24"/>
          <w:szCs w:val="24"/>
          <w:lang w:val="ro-RO"/>
        </w:rPr>
        <w:t>Marian L</w:t>
      </w:r>
      <w:r w:rsidR="004D23AF" w:rsidRPr="00720652">
        <w:rPr>
          <w:rFonts w:asciiTheme="majorHAnsi" w:eastAsia="Times New Roman" w:hAnsiTheme="majorHAnsi" w:cstheme="majorHAnsi"/>
          <w:b/>
          <w:sz w:val="24"/>
          <w:szCs w:val="24"/>
          <w:lang w:val="ro-RO"/>
        </w:rPr>
        <w:t>U</w:t>
      </w:r>
      <w:r w:rsidRPr="00720652">
        <w:rPr>
          <w:rFonts w:asciiTheme="majorHAnsi" w:eastAsia="Times New Roman" w:hAnsiTheme="majorHAnsi" w:cstheme="majorHAnsi"/>
          <w:b/>
          <w:sz w:val="24"/>
          <w:szCs w:val="24"/>
          <w:lang w:val="ro-RO"/>
        </w:rPr>
        <w:t>PU</w:t>
      </w:r>
      <w:r w:rsidR="004D23AF" w:rsidRPr="00720652">
        <w:rPr>
          <w:rFonts w:asciiTheme="majorHAnsi" w:eastAsia="Times New Roman" w:hAnsiTheme="majorHAnsi" w:cstheme="majorHAnsi"/>
          <w:b/>
          <w:sz w:val="24"/>
          <w:szCs w:val="24"/>
          <w:lang w:val="ro-RO"/>
        </w:rPr>
        <w:t>,</w:t>
      </w:r>
    </w:p>
    <w:p w14:paraId="0EF374F1" w14:textId="77777777" w:rsidR="003A126D" w:rsidRPr="00720652" w:rsidRDefault="00EF1727" w:rsidP="009E6346">
      <w:pPr>
        <w:spacing w:after="0" w:line="276" w:lineRule="auto"/>
        <w:jc w:val="right"/>
        <w:rPr>
          <w:rFonts w:asciiTheme="majorHAnsi" w:hAnsiTheme="majorHAnsi" w:cstheme="majorHAnsi"/>
          <w:sz w:val="24"/>
          <w:szCs w:val="24"/>
          <w:lang w:val="ro-RO"/>
        </w:rPr>
      </w:pPr>
      <w:r w:rsidRPr="00720652">
        <w:rPr>
          <w:rFonts w:asciiTheme="majorHAnsi" w:eastAsia="Times New Roman" w:hAnsiTheme="majorHAnsi" w:cstheme="majorHAnsi"/>
          <w:b/>
          <w:sz w:val="24"/>
          <w:szCs w:val="24"/>
          <w:lang w:val="ro-RO"/>
        </w:rPr>
        <w:t>P</w:t>
      </w:r>
      <w:r w:rsidR="004D23AF" w:rsidRPr="00720652">
        <w:rPr>
          <w:rFonts w:asciiTheme="majorHAnsi" w:eastAsia="Times New Roman" w:hAnsiTheme="majorHAnsi" w:cstheme="majorHAnsi"/>
          <w:b/>
          <w:sz w:val="24"/>
          <w:szCs w:val="24"/>
          <w:lang w:val="ro-RO"/>
        </w:rPr>
        <w:t>reședinte</w:t>
      </w:r>
      <w:r w:rsidR="0068090E" w:rsidRPr="00720652">
        <w:rPr>
          <w:rFonts w:asciiTheme="majorHAnsi" w:hAnsiTheme="majorHAnsi" w:cstheme="majorHAnsi"/>
          <w:sz w:val="24"/>
          <w:szCs w:val="24"/>
          <w:lang w:val="ro-RO"/>
        </w:rPr>
        <w:t xml:space="preserve"> </w:t>
      </w:r>
    </w:p>
    <w:p w14:paraId="6E65FDA2" w14:textId="5F4EFA23" w:rsidR="004D23AF" w:rsidRPr="00720652" w:rsidRDefault="004D23AF" w:rsidP="00450CDD">
      <w:pPr>
        <w:spacing w:after="0" w:line="276" w:lineRule="auto"/>
        <w:rPr>
          <w:rFonts w:asciiTheme="majorHAnsi" w:eastAsia="Times New Roman" w:hAnsiTheme="majorHAnsi" w:cstheme="majorHAnsi"/>
          <w:sz w:val="24"/>
          <w:szCs w:val="24"/>
          <w:lang w:val="ro-RO"/>
        </w:rPr>
      </w:pPr>
    </w:p>
    <w:sectPr w:rsidR="004D23AF" w:rsidRPr="00720652" w:rsidSect="00E13795">
      <w:headerReference w:type="default" r:id="rId10"/>
      <w:footerReference w:type="default" r:id="rId11"/>
      <w:headerReference w:type="first" r:id="rId12"/>
      <w:pgSz w:w="11906" w:h="16838" w:code="9"/>
      <w:pgMar w:top="709" w:right="851" w:bottom="851" w:left="153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40220" w14:textId="77777777" w:rsidR="00A8016C" w:rsidRDefault="00A8016C" w:rsidP="0086403C">
      <w:pPr>
        <w:spacing w:after="0" w:line="240" w:lineRule="auto"/>
      </w:pPr>
      <w:r>
        <w:separator/>
      </w:r>
    </w:p>
  </w:endnote>
  <w:endnote w:type="continuationSeparator" w:id="0">
    <w:p w14:paraId="287DF95A" w14:textId="77777777" w:rsidR="00A8016C" w:rsidRDefault="00A8016C"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18207"/>
      <w:docPartObj>
        <w:docPartGallery w:val="Page Numbers (Bottom of Page)"/>
        <w:docPartUnique/>
      </w:docPartObj>
    </w:sdtPr>
    <w:sdtEndPr>
      <w:rPr>
        <w:noProof/>
      </w:rPr>
    </w:sdtEndPr>
    <w:sdtContent>
      <w:p w14:paraId="3C4A8D06" w14:textId="6F919230" w:rsidR="00733D25" w:rsidRDefault="00D62F07">
        <w:pPr>
          <w:pStyle w:val="a3"/>
          <w:jc w:val="right"/>
        </w:pPr>
        <w:r>
          <w:fldChar w:fldCharType="begin"/>
        </w:r>
        <w:r w:rsidR="00733D25">
          <w:instrText xml:space="preserve"> PAGE   \* MERGEFORMAT </w:instrText>
        </w:r>
        <w:r>
          <w:fldChar w:fldCharType="separate"/>
        </w:r>
        <w:r w:rsidR="00C56C94">
          <w:rPr>
            <w:noProof/>
          </w:rPr>
          <w:t>8</w:t>
        </w:r>
        <w:r>
          <w:rPr>
            <w:noProof/>
          </w:rPr>
          <w:fldChar w:fldCharType="end"/>
        </w:r>
      </w:p>
    </w:sdtContent>
  </w:sdt>
  <w:p w14:paraId="1310E744" w14:textId="77777777" w:rsidR="00733D25" w:rsidRDefault="00733D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0D28" w14:textId="77777777" w:rsidR="00A8016C" w:rsidRDefault="00A8016C" w:rsidP="0086403C">
      <w:pPr>
        <w:spacing w:after="0" w:line="240" w:lineRule="auto"/>
      </w:pPr>
      <w:r>
        <w:separator/>
      </w:r>
    </w:p>
  </w:footnote>
  <w:footnote w:type="continuationSeparator" w:id="0">
    <w:p w14:paraId="4CF1B50A" w14:textId="77777777" w:rsidR="00A8016C" w:rsidRDefault="00A8016C" w:rsidP="0086403C">
      <w:pPr>
        <w:spacing w:after="0" w:line="240" w:lineRule="auto"/>
      </w:pPr>
      <w:r>
        <w:continuationSeparator/>
      </w:r>
    </w:p>
  </w:footnote>
  <w:footnote w:id="1">
    <w:p w14:paraId="3C328534" w14:textId="77777777" w:rsidR="00733D25" w:rsidRPr="004417E5" w:rsidRDefault="00733D25" w:rsidP="00A50EA4">
      <w:pPr>
        <w:pStyle w:val="a6"/>
        <w:jc w:val="both"/>
        <w:rPr>
          <w:rFonts w:asciiTheme="majorHAnsi" w:eastAsia="Times New Roman" w:hAnsiTheme="majorHAnsi" w:cstheme="majorHAnsi"/>
          <w:sz w:val="16"/>
          <w:szCs w:val="16"/>
          <w:lang w:val="ro-MD"/>
        </w:rPr>
      </w:pPr>
      <w:r w:rsidRPr="004417E5">
        <w:rPr>
          <w:rFonts w:asciiTheme="majorHAnsi" w:eastAsia="Times New Roman" w:hAnsiTheme="majorHAnsi" w:cstheme="majorHAnsi"/>
          <w:sz w:val="16"/>
          <w:szCs w:val="16"/>
          <w:vertAlign w:val="superscript"/>
          <w:lang w:val="ro-MD"/>
        </w:rPr>
        <w:footnoteRef/>
      </w:r>
      <w:r w:rsidRPr="004417E5">
        <w:rPr>
          <w:rFonts w:asciiTheme="majorHAnsi" w:eastAsia="Times New Roman" w:hAnsiTheme="majorHAnsi" w:cstheme="majorHAnsi"/>
          <w:sz w:val="16"/>
          <w:szCs w:val="16"/>
          <w:lang w:val="ro-MD"/>
        </w:rPr>
        <w:t xml:space="preserve"> Legea privind organizarea și funcționarea Curții de Conturi a Republicii Moldova nr.260 din 07.12.2017 (în continuare – Legea nr.260 din 07.12.2017).</w:t>
      </w:r>
    </w:p>
  </w:footnote>
  <w:footnote w:id="2">
    <w:p w14:paraId="792CEEFC" w14:textId="77777777" w:rsidR="00733D25" w:rsidRPr="004417E5" w:rsidRDefault="00733D25" w:rsidP="00923219">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Programul activității de audit pe anul 2022, aprobat prin Hotărârea Curții de Conturi nr.75 din 28.12.2021,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Programul activității de audit pe anul 2023, aprobat prin Hotărârea Curții de Conturi nr.65 din 22.12.2022.</w:t>
      </w:r>
    </w:p>
  </w:footnote>
  <w:footnote w:id="3">
    <w:p w14:paraId="4BD9243F" w14:textId="1E737CAB" w:rsidR="00733D25" w:rsidRPr="004417E5" w:rsidRDefault="00733D25" w:rsidP="00846513">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Aprobat prin Hotărârea Curții de Conturi nr.2 din 24.01.2020; ISSAI 100 „Principii fundamentale ale auditului sectorului public”; ISSAI 300 „Principii fundamental</w:t>
      </w:r>
      <w:r w:rsidR="00720652">
        <w:rPr>
          <w:rFonts w:asciiTheme="majorHAnsi" w:hAnsiTheme="majorHAnsi" w:cstheme="majorHAnsi"/>
          <w:sz w:val="16"/>
          <w:szCs w:val="16"/>
          <w:lang w:val="ro-MD"/>
        </w:rPr>
        <w:t>e ale auditului performanței” și</w:t>
      </w:r>
      <w:r w:rsidRPr="004417E5">
        <w:rPr>
          <w:rFonts w:asciiTheme="majorHAnsi" w:hAnsiTheme="majorHAnsi" w:cstheme="majorHAnsi"/>
          <w:sz w:val="16"/>
          <w:szCs w:val="16"/>
          <w:lang w:val="ro-MD"/>
        </w:rPr>
        <w:t xml:space="preserve"> ISSAI 3000 „Standardul auditului </w:t>
      </w:r>
      <w:r w:rsidR="00D67D3A" w:rsidRPr="004417E5">
        <w:rPr>
          <w:rFonts w:asciiTheme="majorHAnsi" w:hAnsiTheme="majorHAnsi" w:cstheme="majorHAnsi"/>
          <w:sz w:val="16"/>
          <w:szCs w:val="16"/>
          <w:lang w:val="ro-MD"/>
        </w:rPr>
        <w:t>performanței</w:t>
      </w:r>
      <w:r w:rsidRPr="004417E5">
        <w:rPr>
          <w:rFonts w:asciiTheme="majorHAnsi" w:hAnsiTheme="majorHAnsi" w:cstheme="majorHAnsi"/>
          <w:sz w:val="16"/>
          <w:szCs w:val="16"/>
          <w:lang w:val="ro-MD"/>
        </w:rPr>
        <w:t>”.</w:t>
      </w:r>
    </w:p>
  </w:footnote>
  <w:footnote w:id="4">
    <w:p w14:paraId="64505189" w14:textId="77777777" w:rsidR="00733D25" w:rsidRPr="004417E5" w:rsidRDefault="00733D25" w:rsidP="00403AB2">
      <w:pPr>
        <w:pStyle w:val="a6"/>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Prin Hotărârea Guvernului nr.442 din 01.07.2020.</w:t>
      </w:r>
    </w:p>
  </w:footnote>
  <w:footnote w:id="5">
    <w:p w14:paraId="7854EE00" w14:textId="77777777" w:rsidR="002B0FB6" w:rsidRPr="004417E5" w:rsidRDefault="00733D25">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w:t>
      </w:r>
      <w:r w:rsidR="001F555D" w:rsidRPr="004417E5">
        <w:rPr>
          <w:rFonts w:asciiTheme="majorHAnsi" w:hAnsiTheme="majorHAnsi" w:cstheme="majorHAnsi"/>
          <w:sz w:val="16"/>
          <w:szCs w:val="16"/>
          <w:lang w:val="ro-MD"/>
        </w:rPr>
        <w:t>Legea nr.315 din 17.11.2022 pentru aprobarea Strategiei naționale de dezvoltare „Moldova Europeană 2030”.</w:t>
      </w:r>
    </w:p>
  </w:footnote>
  <w:footnote w:id="6">
    <w:p w14:paraId="6D3B7227" w14:textId="77777777" w:rsidR="00733D25" w:rsidRPr="004417E5" w:rsidRDefault="00733D25" w:rsidP="00F7751F">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Obiectivul general 2 „</w:t>
      </w:r>
      <w:proofErr w:type="spellStart"/>
      <w:r w:rsidRPr="004417E5">
        <w:rPr>
          <w:rFonts w:asciiTheme="majorHAnsi" w:hAnsiTheme="majorHAnsi" w:cstheme="majorHAnsi"/>
          <w:sz w:val="16"/>
          <w:szCs w:val="16"/>
          <w:lang w:val="ro-MD"/>
        </w:rPr>
        <w:t>Îmbunătăţirea</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condiţiilor</w:t>
      </w:r>
      <w:proofErr w:type="spellEnd"/>
      <w:r w:rsidRPr="004417E5">
        <w:rPr>
          <w:rFonts w:asciiTheme="majorHAnsi" w:hAnsiTheme="majorHAnsi" w:cstheme="majorHAnsi"/>
          <w:sz w:val="16"/>
          <w:szCs w:val="16"/>
          <w:lang w:val="ro-MD"/>
        </w:rPr>
        <w:t xml:space="preserve"> de trai” </w:t>
      </w:r>
      <w:proofErr w:type="spellStart"/>
      <w:r w:rsidRPr="004417E5">
        <w:rPr>
          <w:rFonts w:asciiTheme="majorHAnsi" w:hAnsiTheme="majorHAnsi" w:cstheme="majorHAnsi"/>
          <w:sz w:val="16"/>
          <w:szCs w:val="16"/>
          <w:lang w:val="ro-MD"/>
        </w:rPr>
        <w:t>conţine</w:t>
      </w:r>
      <w:proofErr w:type="spellEnd"/>
      <w:r w:rsidRPr="004417E5">
        <w:rPr>
          <w:rFonts w:asciiTheme="majorHAnsi" w:hAnsiTheme="majorHAnsi" w:cstheme="majorHAnsi"/>
          <w:sz w:val="16"/>
          <w:szCs w:val="16"/>
          <w:lang w:val="ro-MD"/>
        </w:rPr>
        <w:t xml:space="preserve"> Obiectivul specific 2.3 „Asigurarea accesului universal la apeducte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la sisteme de </w:t>
      </w:r>
      <w:proofErr w:type="spellStart"/>
      <w:r w:rsidRPr="004417E5">
        <w:rPr>
          <w:rFonts w:asciiTheme="majorHAnsi" w:hAnsiTheme="majorHAnsi" w:cstheme="majorHAnsi"/>
          <w:sz w:val="16"/>
          <w:szCs w:val="16"/>
          <w:lang w:val="ro-MD"/>
        </w:rPr>
        <w:t>sanitaţie</w:t>
      </w:r>
      <w:proofErr w:type="spellEnd"/>
      <w:r w:rsidRPr="004417E5">
        <w:rPr>
          <w:rFonts w:asciiTheme="majorHAnsi" w:hAnsiTheme="majorHAnsi" w:cstheme="majorHAnsi"/>
          <w:sz w:val="16"/>
          <w:szCs w:val="16"/>
          <w:lang w:val="ro-MD"/>
        </w:rPr>
        <w:t xml:space="preserve"> sigure”.</w:t>
      </w:r>
    </w:p>
  </w:footnote>
  <w:footnote w:id="7">
    <w:p w14:paraId="1C9741A0" w14:textId="77777777" w:rsidR="00733D25" w:rsidRPr="004417E5" w:rsidRDefault="00733D25" w:rsidP="00F7751F">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Strategia de alimentare cu apă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sanitație 2014-2030, Strategiile de dezvolta</w:t>
      </w:r>
      <w:r w:rsidR="00F7751F" w:rsidRPr="004417E5">
        <w:rPr>
          <w:rFonts w:asciiTheme="majorHAnsi" w:hAnsiTheme="majorHAnsi" w:cstheme="majorHAnsi"/>
          <w:sz w:val="16"/>
          <w:szCs w:val="16"/>
          <w:lang w:val="ro-MD"/>
        </w:rPr>
        <w:t>r</w:t>
      </w:r>
      <w:r w:rsidRPr="004417E5">
        <w:rPr>
          <w:rFonts w:asciiTheme="majorHAnsi" w:hAnsiTheme="majorHAnsi" w:cstheme="majorHAnsi"/>
          <w:sz w:val="16"/>
          <w:szCs w:val="16"/>
          <w:lang w:val="ro-MD"/>
        </w:rPr>
        <w:t>e regională pentru anii 2013-2015, 2016-2020 și 2022-2024, Strategia de mediu pentru anii 2014-2023.</w:t>
      </w:r>
    </w:p>
  </w:footnote>
  <w:footnote w:id="8">
    <w:p w14:paraId="71BD498D" w14:textId="77777777" w:rsidR="00733D25" w:rsidRPr="004417E5" w:rsidRDefault="00733D25" w:rsidP="00A97AB9">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Aprovizionarea cu apă potabilă și canalizare a locuitorilor satelor Risipeni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Bocșa și a instituțiilor de menire social-culturală (Fălești)</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11,95 mil.lei; </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Asigurarea or. Fălești cu apă din râul Prut II</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35,14 mil.lei; </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Aprovizionarea cu apă potabilă și canalizare</w:t>
      </w:r>
      <w:r w:rsidR="007E7F42" w:rsidRPr="004417E5">
        <w:rPr>
          <w:rFonts w:asciiTheme="majorHAnsi" w:hAnsiTheme="majorHAnsi" w:cstheme="majorHAnsi"/>
          <w:sz w:val="16"/>
          <w:szCs w:val="16"/>
          <w:lang w:val="ro-MD"/>
        </w:rPr>
        <w:t xml:space="preserve"> </w:t>
      </w:r>
      <w:r w:rsidRPr="004417E5">
        <w:rPr>
          <w:rFonts w:asciiTheme="majorHAnsi" w:hAnsiTheme="majorHAnsi" w:cstheme="majorHAnsi"/>
          <w:sz w:val="16"/>
          <w:szCs w:val="16"/>
          <w:lang w:val="ro-MD"/>
        </w:rPr>
        <w:t>a localităților din lunca Prutului (Balatina, Cuhnești, r-nul Glodeni)</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37,6 mil.lei.</w:t>
      </w:r>
    </w:p>
  </w:footnote>
  <w:footnote w:id="9">
    <w:p w14:paraId="05BB896E" w14:textId="77777777" w:rsidR="00733D25" w:rsidRPr="004417E5" w:rsidRDefault="00733D25" w:rsidP="00A97AB9">
      <w:pPr>
        <w:pStyle w:val="a6"/>
        <w:jc w:val="both"/>
        <w:rPr>
          <w:sz w:val="16"/>
          <w:szCs w:val="16"/>
          <w:lang w:val="ro-MD"/>
        </w:rPr>
      </w:pPr>
      <w:r w:rsidRPr="004417E5">
        <w:rPr>
          <w:rFonts w:asciiTheme="majorHAnsi" w:hAnsiTheme="majorHAnsi" w:cstheme="majorHAnsi"/>
          <w:sz w:val="16"/>
          <w:szCs w:val="16"/>
          <w:vertAlign w:val="superscript"/>
          <w:lang w:val="ro-MD"/>
        </w:rPr>
        <w:footnoteRef/>
      </w:r>
      <w:r w:rsidRPr="004417E5">
        <w:rPr>
          <w:rFonts w:asciiTheme="majorHAnsi" w:hAnsiTheme="majorHAnsi" w:cstheme="majorHAnsi"/>
          <w:sz w:val="16"/>
          <w:szCs w:val="16"/>
          <w:vertAlign w:val="superscript"/>
          <w:lang w:val="ro-MD"/>
        </w:rPr>
        <w:t xml:space="preserve"> </w:t>
      </w:r>
      <w:r w:rsidRPr="004417E5">
        <w:rPr>
          <w:rFonts w:asciiTheme="majorHAnsi" w:hAnsiTheme="majorHAnsi" w:cstheme="majorHAnsi"/>
          <w:sz w:val="16"/>
          <w:szCs w:val="16"/>
          <w:lang w:val="ro-MD"/>
        </w:rPr>
        <w:t xml:space="preserve">Proiectul „Îmbunătățirea calității vieții populației rurale prin construcția sistemelor de apă potabilă și de canalizare, regionalizarea serviciilor comunale în satele din lunca râului </w:t>
      </w:r>
      <w:proofErr w:type="spellStart"/>
      <w:r w:rsidRPr="004417E5">
        <w:rPr>
          <w:rFonts w:asciiTheme="majorHAnsi" w:hAnsiTheme="majorHAnsi" w:cstheme="majorHAnsi"/>
          <w:sz w:val="16"/>
          <w:szCs w:val="16"/>
          <w:lang w:val="ro-MD"/>
        </w:rPr>
        <w:t>Lapușnița</w:t>
      </w:r>
      <w:proofErr w:type="spellEnd"/>
      <w:r w:rsidRPr="004417E5">
        <w:rPr>
          <w:rFonts w:asciiTheme="majorHAnsi" w:hAnsiTheme="majorHAnsi" w:cstheme="majorHAnsi"/>
          <w:sz w:val="16"/>
          <w:szCs w:val="16"/>
          <w:lang w:val="ro-MD"/>
        </w:rPr>
        <w:t>, raionul Hâncești”, inițiat în 2014, în valoare de 20,8 mil.lei.</w:t>
      </w:r>
    </w:p>
  </w:footnote>
  <w:footnote w:id="10">
    <w:p w14:paraId="06940753" w14:textId="360E5DEE" w:rsidR="00733D25" w:rsidRPr="004417E5" w:rsidRDefault="00733D25" w:rsidP="00A97AB9">
      <w:pPr>
        <w:pStyle w:val="a6"/>
        <w:jc w:val="both"/>
        <w:rPr>
          <w:rFonts w:asciiTheme="majorHAnsi" w:hAnsiTheme="majorHAnsi" w:cstheme="majorHAnsi"/>
          <w:sz w:val="16"/>
          <w:szCs w:val="16"/>
          <w:lang w:val="ro-MD"/>
        </w:rPr>
      </w:pPr>
      <w:r w:rsidRPr="004417E5">
        <w:rPr>
          <w:rStyle w:val="a7"/>
          <w:rFonts w:asciiTheme="majorHAnsi" w:hAnsiTheme="majorHAnsi" w:cstheme="majorHAnsi"/>
          <w:sz w:val="16"/>
          <w:szCs w:val="16"/>
          <w:lang w:val="ro-MD"/>
        </w:rPr>
        <w:footnoteRef/>
      </w:r>
      <w:r w:rsidRPr="004417E5">
        <w:rPr>
          <w:rFonts w:asciiTheme="majorHAnsi" w:hAnsiTheme="majorHAnsi" w:cstheme="majorHAnsi"/>
          <w:sz w:val="16"/>
          <w:szCs w:val="16"/>
          <w:lang w:val="ro-MD"/>
        </w:rPr>
        <w:t xml:space="preserve"> </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Construcția stației raionale de epurare și dezvoltare</w:t>
      </w:r>
      <w:r w:rsidR="007E7F42" w:rsidRPr="004417E5">
        <w:rPr>
          <w:rFonts w:asciiTheme="majorHAnsi" w:hAnsiTheme="majorHAnsi" w:cstheme="majorHAnsi"/>
          <w:sz w:val="16"/>
          <w:szCs w:val="16"/>
          <w:lang w:val="ro-MD"/>
        </w:rPr>
        <w:t xml:space="preserve"> </w:t>
      </w:r>
      <w:r w:rsidRPr="004417E5">
        <w:rPr>
          <w:rFonts w:asciiTheme="majorHAnsi" w:hAnsiTheme="majorHAnsi" w:cstheme="majorHAnsi"/>
          <w:sz w:val="16"/>
          <w:szCs w:val="16"/>
          <w:lang w:val="ro-MD"/>
        </w:rPr>
        <w:t>a sistemului public de canalizare și epurare a apelor uzate la nivel intercomunitar</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w:t>
      </w:r>
      <w:r w:rsidR="00D62F07" w:rsidRPr="004417E5">
        <w:rPr>
          <w:rFonts w:asciiTheme="majorHAnsi" w:hAnsiTheme="majorHAnsi" w:cstheme="majorHAnsi"/>
          <w:sz w:val="16"/>
          <w:szCs w:val="16"/>
          <w:lang w:val="ro-MD"/>
        </w:rPr>
        <w:t>26,03</w:t>
      </w:r>
      <w:r w:rsidR="00053AA6" w:rsidRPr="004417E5">
        <w:rPr>
          <w:rFonts w:asciiTheme="majorHAnsi" w:hAnsiTheme="majorHAnsi" w:cstheme="majorHAnsi"/>
          <w:sz w:val="16"/>
          <w:szCs w:val="16"/>
          <w:lang w:val="ro-MD"/>
        </w:rPr>
        <w:t xml:space="preserve"> mil.lei</w:t>
      </w:r>
      <w:r w:rsidRPr="004417E5">
        <w:rPr>
          <w:rFonts w:asciiTheme="majorHAnsi" w:hAnsiTheme="majorHAnsi" w:cstheme="majorHAnsi"/>
          <w:sz w:val="16"/>
          <w:szCs w:val="16"/>
          <w:lang w:val="ro-MD"/>
        </w:rPr>
        <w:t xml:space="preserve">; </w:t>
      </w:r>
      <w:r w:rsidR="00360F84">
        <w:rPr>
          <w:rFonts w:asciiTheme="majorHAnsi" w:hAnsiTheme="majorHAnsi" w:cstheme="majorHAnsi"/>
          <w:sz w:val="16"/>
          <w:szCs w:val="16"/>
          <w:lang w:val="ro-MD"/>
        </w:rPr>
        <w:t>„</w:t>
      </w:r>
      <w:proofErr w:type="spellStart"/>
      <w:r w:rsidRPr="004417E5">
        <w:rPr>
          <w:rFonts w:asciiTheme="majorHAnsi" w:hAnsiTheme="majorHAnsi" w:cstheme="majorHAnsi"/>
          <w:sz w:val="16"/>
          <w:szCs w:val="16"/>
          <w:lang w:val="ro-MD"/>
        </w:rPr>
        <w:t>Construcţia</w:t>
      </w:r>
      <w:proofErr w:type="spellEnd"/>
      <w:r w:rsidRPr="004417E5">
        <w:rPr>
          <w:rFonts w:asciiTheme="majorHAnsi" w:hAnsiTheme="majorHAnsi" w:cstheme="majorHAnsi"/>
          <w:sz w:val="16"/>
          <w:szCs w:val="16"/>
          <w:lang w:val="ro-MD"/>
        </w:rPr>
        <w:t xml:space="preserve"> apeductului magistral Leova-Iargara</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w:t>
      </w:r>
      <w:r w:rsidR="00D62F07" w:rsidRPr="004417E5">
        <w:rPr>
          <w:rFonts w:asciiTheme="majorHAnsi" w:hAnsiTheme="majorHAnsi" w:cstheme="majorHAnsi"/>
          <w:sz w:val="16"/>
          <w:szCs w:val="16"/>
          <w:lang w:val="ro-MD"/>
        </w:rPr>
        <w:t>63,99</w:t>
      </w:r>
      <w:r w:rsidR="00053AA6" w:rsidRPr="004417E5">
        <w:rPr>
          <w:rFonts w:asciiTheme="majorHAnsi" w:hAnsiTheme="majorHAnsi" w:cstheme="majorHAnsi"/>
          <w:sz w:val="16"/>
          <w:szCs w:val="16"/>
          <w:lang w:val="ro-MD"/>
        </w:rPr>
        <w:t xml:space="preserve"> mil.lei</w:t>
      </w:r>
      <w:r w:rsidR="00D62F07" w:rsidRPr="004417E5">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Aprovizionarea cu apă potabilă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canalizare a locuitorilor satelor Risipeni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Bocşa</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a </w:t>
      </w:r>
      <w:proofErr w:type="spellStart"/>
      <w:r w:rsidRPr="004417E5">
        <w:rPr>
          <w:rFonts w:asciiTheme="majorHAnsi" w:hAnsiTheme="majorHAnsi" w:cstheme="majorHAnsi"/>
          <w:sz w:val="16"/>
          <w:szCs w:val="16"/>
          <w:lang w:val="ro-MD"/>
        </w:rPr>
        <w:t>instituţiilor</w:t>
      </w:r>
      <w:proofErr w:type="spellEnd"/>
      <w:r w:rsidRPr="004417E5">
        <w:rPr>
          <w:rFonts w:asciiTheme="majorHAnsi" w:hAnsiTheme="majorHAnsi" w:cstheme="majorHAnsi"/>
          <w:sz w:val="16"/>
          <w:szCs w:val="16"/>
          <w:lang w:val="ro-MD"/>
        </w:rPr>
        <w:t xml:space="preserve"> de menire social-culturală</w:t>
      </w:r>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w:t>
      </w:r>
      <w:r w:rsidR="00D62F07" w:rsidRPr="004417E5">
        <w:rPr>
          <w:rFonts w:asciiTheme="majorHAnsi" w:hAnsiTheme="majorHAnsi" w:cstheme="majorHAnsi"/>
          <w:sz w:val="16"/>
          <w:szCs w:val="16"/>
          <w:lang w:val="ro-MD"/>
        </w:rPr>
        <w:t>11,95</w:t>
      </w:r>
      <w:r w:rsidR="00053AA6" w:rsidRPr="004417E5">
        <w:rPr>
          <w:rFonts w:asciiTheme="majorHAnsi" w:hAnsiTheme="majorHAnsi" w:cstheme="majorHAnsi"/>
          <w:sz w:val="16"/>
          <w:szCs w:val="16"/>
          <w:lang w:val="ro-MD"/>
        </w:rPr>
        <w:t xml:space="preserve"> mil.lei</w:t>
      </w:r>
      <w:r w:rsidR="00D62F07" w:rsidRPr="004417E5">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w:t>
      </w:r>
      <w:r w:rsidR="00360F84">
        <w:rPr>
          <w:rFonts w:asciiTheme="majorHAnsi" w:hAnsiTheme="majorHAnsi" w:cstheme="majorHAnsi"/>
          <w:sz w:val="16"/>
          <w:szCs w:val="16"/>
          <w:lang w:val="ro-MD"/>
        </w:rPr>
        <w:t>„</w:t>
      </w:r>
      <w:proofErr w:type="spellStart"/>
      <w:r w:rsidRPr="004417E5">
        <w:rPr>
          <w:rFonts w:asciiTheme="majorHAnsi" w:hAnsiTheme="majorHAnsi" w:cstheme="majorHAnsi"/>
          <w:sz w:val="16"/>
          <w:szCs w:val="16"/>
          <w:lang w:val="ro-MD"/>
        </w:rPr>
        <w:t>Îmbunătăţirea</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calităţii</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vieţii</w:t>
      </w:r>
      <w:proofErr w:type="spellEnd"/>
      <w:r w:rsidRPr="004417E5">
        <w:rPr>
          <w:rFonts w:asciiTheme="majorHAnsi" w:hAnsiTheme="majorHAnsi" w:cstheme="majorHAnsi"/>
          <w:sz w:val="16"/>
          <w:szCs w:val="16"/>
          <w:lang w:val="ro-MD"/>
        </w:rPr>
        <w:t xml:space="preserve"> </w:t>
      </w:r>
      <w:proofErr w:type="spellStart"/>
      <w:r w:rsidRPr="004417E5">
        <w:rPr>
          <w:rFonts w:asciiTheme="majorHAnsi" w:hAnsiTheme="majorHAnsi" w:cstheme="majorHAnsi"/>
          <w:sz w:val="16"/>
          <w:szCs w:val="16"/>
          <w:lang w:val="ro-MD"/>
        </w:rPr>
        <w:t>populaţiei</w:t>
      </w:r>
      <w:proofErr w:type="spellEnd"/>
      <w:r w:rsidRPr="004417E5">
        <w:rPr>
          <w:rFonts w:asciiTheme="majorHAnsi" w:hAnsiTheme="majorHAnsi" w:cstheme="majorHAnsi"/>
          <w:sz w:val="16"/>
          <w:szCs w:val="16"/>
          <w:lang w:val="ro-MD"/>
        </w:rPr>
        <w:t xml:space="preserve"> rurale prin </w:t>
      </w:r>
      <w:proofErr w:type="spellStart"/>
      <w:r w:rsidRPr="004417E5">
        <w:rPr>
          <w:rFonts w:asciiTheme="majorHAnsi" w:hAnsiTheme="majorHAnsi" w:cstheme="majorHAnsi"/>
          <w:sz w:val="16"/>
          <w:szCs w:val="16"/>
          <w:lang w:val="ro-MD"/>
        </w:rPr>
        <w:t>construcţia</w:t>
      </w:r>
      <w:proofErr w:type="spellEnd"/>
      <w:r w:rsidRPr="004417E5">
        <w:rPr>
          <w:rFonts w:asciiTheme="majorHAnsi" w:hAnsiTheme="majorHAnsi" w:cstheme="majorHAnsi"/>
          <w:sz w:val="16"/>
          <w:szCs w:val="16"/>
          <w:lang w:val="ro-MD"/>
        </w:rPr>
        <w:t xml:space="preserve"> sistemelor de apă potabilă </w:t>
      </w:r>
      <w:proofErr w:type="spellStart"/>
      <w:r w:rsidRPr="004417E5">
        <w:rPr>
          <w:rFonts w:asciiTheme="majorHAnsi" w:hAnsiTheme="majorHAnsi" w:cstheme="majorHAnsi"/>
          <w:sz w:val="16"/>
          <w:szCs w:val="16"/>
          <w:lang w:val="ro-MD"/>
        </w:rPr>
        <w:t>şi</w:t>
      </w:r>
      <w:proofErr w:type="spellEnd"/>
      <w:r w:rsidRPr="004417E5">
        <w:rPr>
          <w:rFonts w:asciiTheme="majorHAnsi" w:hAnsiTheme="majorHAnsi" w:cstheme="majorHAnsi"/>
          <w:sz w:val="16"/>
          <w:szCs w:val="16"/>
          <w:lang w:val="ro-MD"/>
        </w:rPr>
        <w:t xml:space="preserve"> de canalizare, regionalizarea serviciilor comunale în satele din lunca râului </w:t>
      </w:r>
      <w:proofErr w:type="spellStart"/>
      <w:r w:rsidRPr="004417E5">
        <w:rPr>
          <w:rFonts w:asciiTheme="majorHAnsi" w:hAnsiTheme="majorHAnsi" w:cstheme="majorHAnsi"/>
          <w:sz w:val="16"/>
          <w:szCs w:val="16"/>
          <w:lang w:val="ro-MD"/>
        </w:rPr>
        <w:t>Lapuşniţa</w:t>
      </w:r>
      <w:proofErr w:type="spellEnd"/>
      <w:r w:rsidRPr="004417E5">
        <w:rPr>
          <w:rFonts w:asciiTheme="majorHAnsi" w:hAnsiTheme="majorHAnsi" w:cstheme="majorHAnsi"/>
          <w:sz w:val="16"/>
          <w:szCs w:val="16"/>
          <w:lang w:val="ro-MD"/>
        </w:rPr>
        <w:t xml:space="preserve">, raionul </w:t>
      </w:r>
      <w:proofErr w:type="spellStart"/>
      <w:r w:rsidRPr="004417E5">
        <w:rPr>
          <w:rFonts w:asciiTheme="majorHAnsi" w:hAnsiTheme="majorHAnsi" w:cstheme="majorHAnsi"/>
          <w:sz w:val="16"/>
          <w:szCs w:val="16"/>
          <w:lang w:val="ro-MD"/>
        </w:rPr>
        <w:t>Hânceşti</w:t>
      </w:r>
      <w:proofErr w:type="spellEnd"/>
      <w:r w:rsidR="00360F84">
        <w:rPr>
          <w:rFonts w:asciiTheme="majorHAnsi" w:hAnsiTheme="majorHAnsi" w:cstheme="majorHAnsi"/>
          <w:sz w:val="16"/>
          <w:szCs w:val="16"/>
          <w:lang w:val="ro-MD"/>
        </w:rPr>
        <w:t>”</w:t>
      </w:r>
      <w:r w:rsidRPr="004417E5">
        <w:rPr>
          <w:rFonts w:asciiTheme="majorHAnsi" w:hAnsiTheme="majorHAnsi" w:cstheme="majorHAnsi"/>
          <w:sz w:val="16"/>
          <w:szCs w:val="16"/>
          <w:lang w:val="ro-MD"/>
        </w:rPr>
        <w:t xml:space="preserve"> – </w:t>
      </w:r>
      <w:r w:rsidR="00D62F07" w:rsidRPr="004417E5">
        <w:rPr>
          <w:rFonts w:asciiTheme="majorHAnsi" w:hAnsiTheme="majorHAnsi" w:cstheme="majorHAnsi"/>
          <w:sz w:val="16"/>
          <w:szCs w:val="16"/>
          <w:lang w:val="ro-MD"/>
        </w:rPr>
        <w:t xml:space="preserve">20,8. </w:t>
      </w:r>
      <w:r w:rsidR="00053AA6" w:rsidRPr="004417E5">
        <w:rPr>
          <w:rFonts w:asciiTheme="majorHAnsi" w:hAnsiTheme="majorHAnsi" w:cstheme="majorHAnsi"/>
          <w:sz w:val="16"/>
          <w:szCs w:val="16"/>
          <w:lang w:val="ro-MD"/>
        </w:rPr>
        <w:t>m</w:t>
      </w:r>
      <w:r w:rsidR="00D62F07" w:rsidRPr="004417E5">
        <w:rPr>
          <w:rFonts w:asciiTheme="majorHAnsi" w:hAnsiTheme="majorHAnsi" w:cstheme="majorHAnsi"/>
          <w:sz w:val="16"/>
          <w:szCs w:val="16"/>
          <w:lang w:val="ro-MD"/>
        </w:rPr>
        <w:t>il.lei</w:t>
      </w:r>
      <w:r w:rsidR="00053AA6" w:rsidRPr="004417E5">
        <w:rPr>
          <w:rFonts w:asciiTheme="majorHAnsi" w:hAnsiTheme="majorHAnsi" w:cstheme="majorHAnsi"/>
          <w:sz w:val="16"/>
          <w:szCs w:val="16"/>
          <w:lang w:val="ro-MD"/>
        </w:rPr>
        <w:t>.</w:t>
      </w:r>
    </w:p>
  </w:footnote>
  <w:footnote w:id="11">
    <w:p w14:paraId="77E99DC4" w14:textId="77777777" w:rsidR="00733D25" w:rsidRPr="002C16E2" w:rsidRDefault="00733D25" w:rsidP="001C5684">
      <w:pPr>
        <w:pStyle w:val="a6"/>
        <w:jc w:val="both"/>
        <w:rPr>
          <w:rFonts w:asciiTheme="majorHAnsi" w:hAnsiTheme="majorHAnsi" w:cstheme="majorHAnsi"/>
          <w:sz w:val="16"/>
          <w:szCs w:val="16"/>
          <w:lang w:val="ro-RO"/>
        </w:rPr>
      </w:pPr>
      <w:r w:rsidRPr="002C16E2">
        <w:rPr>
          <w:rStyle w:val="a7"/>
          <w:rFonts w:asciiTheme="majorHAnsi" w:hAnsiTheme="majorHAnsi" w:cstheme="majorHAnsi"/>
          <w:sz w:val="16"/>
          <w:szCs w:val="16"/>
          <w:lang w:val="ro-RO"/>
        </w:rPr>
        <w:footnoteRef/>
      </w:r>
      <w:r w:rsidRPr="002C16E2">
        <w:rPr>
          <w:rFonts w:asciiTheme="majorHAnsi" w:hAnsiTheme="majorHAnsi" w:cstheme="majorHAnsi"/>
          <w:sz w:val="16"/>
          <w:szCs w:val="16"/>
          <w:lang w:val="ro-RO"/>
        </w:rPr>
        <w:t xml:space="preserve"> Epurare insuficientă – stațiile construite încă în timpul sovietic, care nu au fost prevăzute cu toate treptele de epurare necesare procesului tehnologic.</w:t>
      </w:r>
    </w:p>
  </w:footnote>
  <w:footnote w:id="12">
    <w:p w14:paraId="58566542" w14:textId="77777777" w:rsidR="002B0FB6" w:rsidRPr="002C16E2" w:rsidRDefault="00733D25">
      <w:pPr>
        <w:pStyle w:val="a6"/>
        <w:jc w:val="both"/>
        <w:rPr>
          <w:rFonts w:asciiTheme="majorHAnsi" w:hAnsiTheme="majorHAnsi" w:cstheme="majorHAnsi"/>
          <w:bCs/>
          <w:sz w:val="16"/>
          <w:szCs w:val="16"/>
          <w:lang w:val="ro-RO"/>
        </w:rPr>
      </w:pPr>
      <w:r w:rsidRPr="002C16E2">
        <w:rPr>
          <w:rStyle w:val="a7"/>
          <w:rFonts w:asciiTheme="majorHAnsi" w:hAnsiTheme="majorHAnsi" w:cstheme="majorHAnsi"/>
          <w:bCs/>
          <w:sz w:val="16"/>
          <w:szCs w:val="16"/>
          <w:lang w:val="ro-RO"/>
        </w:rPr>
        <w:footnoteRef/>
      </w:r>
      <w:r w:rsidRPr="002C16E2">
        <w:rPr>
          <w:rFonts w:asciiTheme="majorHAnsi" w:hAnsiTheme="majorHAnsi" w:cstheme="majorHAnsi"/>
          <w:bCs/>
          <w:sz w:val="16"/>
          <w:szCs w:val="16"/>
          <w:lang w:val="ro-RO"/>
        </w:rPr>
        <w:t xml:space="preserve"> Sunt utilizate datele BNS disponibile pentru anii 2016-2018. Datele pentru alte perioade nu sunt disponibile. Pentru anii 2019-2021 datele lipsesc. BNS a schimbat formatul raportului </w:t>
      </w:r>
      <w:proofErr w:type="spellStart"/>
      <w:r w:rsidRPr="002C16E2">
        <w:rPr>
          <w:rFonts w:asciiTheme="majorHAnsi" w:hAnsiTheme="majorHAnsi" w:cstheme="majorHAnsi"/>
          <w:bCs/>
          <w:sz w:val="16"/>
          <w:szCs w:val="16"/>
          <w:lang w:val="ro-RO"/>
        </w:rPr>
        <w:t>şi</w:t>
      </w:r>
      <w:proofErr w:type="spellEnd"/>
      <w:r w:rsidRPr="002C16E2">
        <w:rPr>
          <w:rFonts w:asciiTheme="majorHAnsi" w:hAnsiTheme="majorHAnsi" w:cstheme="majorHAnsi"/>
          <w:bCs/>
          <w:sz w:val="16"/>
          <w:szCs w:val="16"/>
          <w:lang w:val="ro-RO"/>
        </w:rPr>
        <w:t xml:space="preserve"> nu mai colectează asemenea date. IPM nu deține astfel de date. </w:t>
      </w:r>
    </w:p>
  </w:footnote>
  <w:footnote w:id="13">
    <w:p w14:paraId="057774F7" w14:textId="603654DE" w:rsidR="00E911ED" w:rsidRPr="004417E5" w:rsidRDefault="00E911ED">
      <w:pPr>
        <w:pStyle w:val="a6"/>
        <w:rPr>
          <w:rFonts w:asciiTheme="majorHAnsi" w:hAnsiTheme="majorHAnsi" w:cstheme="majorHAnsi"/>
          <w:sz w:val="16"/>
          <w:szCs w:val="16"/>
          <w:lang w:val="ro-RO"/>
        </w:rPr>
      </w:pPr>
      <w:r w:rsidRPr="004417E5">
        <w:rPr>
          <w:rStyle w:val="a7"/>
          <w:rFonts w:asciiTheme="majorHAnsi" w:hAnsiTheme="majorHAnsi" w:cstheme="majorHAnsi"/>
          <w:sz w:val="16"/>
          <w:szCs w:val="16"/>
        </w:rPr>
        <w:footnoteRef/>
      </w:r>
      <w:r w:rsidRPr="004417E5">
        <w:rPr>
          <w:rFonts w:asciiTheme="majorHAnsi" w:hAnsiTheme="majorHAnsi" w:cstheme="majorHAnsi"/>
          <w:sz w:val="16"/>
          <w:szCs w:val="16"/>
          <w:lang w:val="ro-RO"/>
        </w:rPr>
        <w:t xml:space="preserve"> Pâ</w:t>
      </w:r>
      <w:r w:rsidRPr="00A1194B">
        <w:rPr>
          <w:rFonts w:asciiTheme="majorHAnsi" w:eastAsia="Times New Roman" w:hAnsiTheme="majorHAnsi" w:cstheme="majorHAnsi"/>
          <w:sz w:val="16"/>
          <w:szCs w:val="16"/>
          <w:shd w:val="clear" w:color="auto" w:fill="FFFFFF"/>
          <w:lang w:val="ro-RO"/>
        </w:rPr>
        <w:t>nă în anul 2019, termenul de prescripție pentru prejudicii</w:t>
      </w:r>
      <w:r w:rsidR="00A1194B">
        <w:rPr>
          <w:rFonts w:asciiTheme="majorHAnsi" w:eastAsia="Times New Roman" w:hAnsiTheme="majorHAnsi" w:cstheme="majorHAnsi"/>
          <w:sz w:val="16"/>
          <w:szCs w:val="16"/>
          <w:shd w:val="clear" w:color="auto" w:fill="FFFFFF"/>
          <w:lang w:val="ro-RO"/>
        </w:rPr>
        <w:t>le</w:t>
      </w:r>
      <w:r w:rsidRPr="00A1194B">
        <w:rPr>
          <w:rFonts w:asciiTheme="majorHAnsi" w:eastAsia="Times New Roman" w:hAnsiTheme="majorHAnsi" w:cstheme="majorHAnsi"/>
          <w:sz w:val="16"/>
          <w:szCs w:val="16"/>
          <w:shd w:val="clear" w:color="auto" w:fill="FFFFFF"/>
          <w:lang w:val="ro-RO"/>
        </w:rPr>
        <w:t xml:space="preserve"> cauzate mediului era </w:t>
      </w:r>
      <w:r w:rsidR="00A1194B">
        <w:rPr>
          <w:rFonts w:asciiTheme="majorHAnsi" w:eastAsia="Times New Roman" w:hAnsiTheme="majorHAnsi" w:cstheme="majorHAnsi"/>
          <w:sz w:val="16"/>
          <w:szCs w:val="16"/>
          <w:shd w:val="clear" w:color="auto" w:fill="FFFFFF"/>
          <w:lang w:val="ro-RO"/>
        </w:rPr>
        <w:t xml:space="preserve">de </w:t>
      </w:r>
      <w:r w:rsidRPr="00A1194B">
        <w:rPr>
          <w:rFonts w:asciiTheme="majorHAnsi" w:eastAsia="Times New Roman" w:hAnsiTheme="majorHAnsi" w:cstheme="majorHAnsi"/>
          <w:sz w:val="16"/>
          <w:szCs w:val="16"/>
          <w:shd w:val="clear" w:color="auto" w:fill="FFFFFF"/>
          <w:lang w:val="ro-RO"/>
        </w:rPr>
        <w:t xml:space="preserve">3 ani, iar urmare a republicării Codului civil în </w:t>
      </w:r>
      <w:proofErr w:type="spellStart"/>
      <w:r w:rsidRPr="00A1194B">
        <w:rPr>
          <w:rFonts w:asciiTheme="majorHAnsi" w:eastAsia="Times New Roman" w:hAnsiTheme="majorHAnsi" w:cstheme="majorHAnsi"/>
          <w:sz w:val="16"/>
          <w:szCs w:val="16"/>
          <w:shd w:val="clear" w:color="auto" w:fill="FFFFFF"/>
          <w:lang w:val="ro-RO"/>
        </w:rPr>
        <w:t>redacţie</w:t>
      </w:r>
      <w:proofErr w:type="spellEnd"/>
      <w:r w:rsidRPr="00A1194B">
        <w:rPr>
          <w:rFonts w:asciiTheme="majorHAnsi" w:eastAsia="Times New Roman" w:hAnsiTheme="majorHAnsi" w:cstheme="majorHAnsi"/>
          <w:sz w:val="16"/>
          <w:szCs w:val="16"/>
          <w:shd w:val="clear" w:color="auto" w:fill="FFFFFF"/>
          <w:lang w:val="ro-RO"/>
        </w:rPr>
        <w:t xml:space="preserve"> nouă </w:t>
      </w:r>
      <w:r w:rsidR="00A1194B">
        <w:rPr>
          <w:rFonts w:asciiTheme="majorHAnsi" w:eastAsia="Times New Roman" w:hAnsiTheme="majorHAnsi" w:cstheme="majorHAnsi"/>
          <w:sz w:val="16"/>
          <w:szCs w:val="16"/>
          <w:shd w:val="clear" w:color="auto" w:fill="FFFFFF"/>
          <w:lang w:val="ro-RO"/>
        </w:rPr>
        <w:t>î</w:t>
      </w:r>
      <w:r w:rsidRPr="00A1194B">
        <w:rPr>
          <w:rFonts w:asciiTheme="majorHAnsi" w:eastAsia="Times New Roman" w:hAnsiTheme="majorHAnsi" w:cstheme="majorHAnsi"/>
          <w:sz w:val="16"/>
          <w:szCs w:val="16"/>
          <w:shd w:val="clear" w:color="auto" w:fill="FFFFFF"/>
          <w:lang w:val="ro-RO"/>
        </w:rPr>
        <w:t>n 01.03.2019, acesta a fost extins p</w:t>
      </w:r>
      <w:r w:rsidR="00D967C4" w:rsidRPr="00A1194B">
        <w:rPr>
          <w:rFonts w:asciiTheme="majorHAnsi" w:eastAsia="Times New Roman" w:hAnsiTheme="majorHAnsi" w:cstheme="majorHAnsi"/>
          <w:sz w:val="16"/>
          <w:szCs w:val="16"/>
          <w:shd w:val="clear" w:color="auto" w:fill="FFFFFF"/>
          <w:lang w:val="ro-RO"/>
        </w:rPr>
        <w:t>â</w:t>
      </w:r>
      <w:r w:rsidRPr="00A1194B">
        <w:rPr>
          <w:rFonts w:asciiTheme="majorHAnsi" w:eastAsia="Times New Roman" w:hAnsiTheme="majorHAnsi" w:cstheme="majorHAnsi"/>
          <w:sz w:val="16"/>
          <w:szCs w:val="16"/>
          <w:shd w:val="clear" w:color="auto" w:fill="FFFFFF"/>
          <w:lang w:val="ro-RO"/>
        </w:rPr>
        <w:t>nă la 10 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CA16" w14:textId="77777777" w:rsidR="00733D25" w:rsidRPr="0037459B" w:rsidRDefault="00733D25" w:rsidP="0086403C">
    <w:pPr>
      <w:pStyle w:val="a8"/>
      <w:jc w:val="right"/>
      <w:rPr>
        <w:rFonts w:asciiTheme="majorHAnsi" w:hAnsiTheme="majorHAnsi" w:cstheme="majorHAnsi"/>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BAB7" w14:textId="77777777" w:rsidR="00EC77BC" w:rsidRDefault="00EC77BC">
    <w:pPr>
      <w:pStyle w:val="a8"/>
    </w:pPr>
  </w:p>
  <w:p w14:paraId="6586C0A4" w14:textId="77777777" w:rsidR="00733D25" w:rsidRDefault="00733D25" w:rsidP="00A67AA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msoF233"/>
      </v:shape>
    </w:pict>
  </w:numPicBullet>
  <w:abstractNum w:abstractNumId="0" w15:restartNumberingAfterBreak="0">
    <w:nsid w:val="00462C4A"/>
    <w:multiLevelType w:val="multilevel"/>
    <w:tmpl w:val="F372DDB6"/>
    <w:lvl w:ilvl="0">
      <w:start w:val="8"/>
      <w:numFmt w:val="decimal"/>
      <w:lvlText w:val="%1."/>
      <w:lvlJc w:val="left"/>
      <w:pPr>
        <w:ind w:left="555" w:hanging="555"/>
      </w:pPr>
      <w:rPr>
        <w:rFonts w:hint="default"/>
        <w:b/>
      </w:rPr>
    </w:lvl>
    <w:lvl w:ilvl="1">
      <w:start w:val="21"/>
      <w:numFmt w:val="decimal"/>
      <w:lvlText w:val="%1.%2."/>
      <w:lvlJc w:val="left"/>
      <w:pPr>
        <w:ind w:left="1995" w:hanging="555"/>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 w15:restartNumberingAfterBreak="0">
    <w:nsid w:val="051B0B9C"/>
    <w:multiLevelType w:val="hybridMultilevel"/>
    <w:tmpl w:val="D0A6073A"/>
    <w:lvl w:ilvl="0" w:tplc="AB76725E">
      <w:start w:val="1"/>
      <w:numFmt w:val="lowerRoman"/>
      <w:lvlText w:val="(%1)"/>
      <w:lvlJc w:val="left"/>
      <w:pPr>
        <w:ind w:left="1955" w:hanging="1035"/>
      </w:pPr>
      <w:rPr>
        <w:rFonts w:hint="default"/>
        <w:b/>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CF70D0D"/>
    <w:multiLevelType w:val="hybridMultilevel"/>
    <w:tmpl w:val="ED9630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761FE"/>
    <w:multiLevelType w:val="hybridMultilevel"/>
    <w:tmpl w:val="205479D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17BC31C2"/>
    <w:multiLevelType w:val="hybridMultilevel"/>
    <w:tmpl w:val="3C642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964354"/>
    <w:multiLevelType w:val="hybridMultilevel"/>
    <w:tmpl w:val="CDB2B7D6"/>
    <w:lvl w:ilvl="0" w:tplc="040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DB4453F"/>
    <w:multiLevelType w:val="hybridMultilevel"/>
    <w:tmpl w:val="F8FA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87C03"/>
    <w:multiLevelType w:val="multilevel"/>
    <w:tmpl w:val="899A8304"/>
    <w:lvl w:ilvl="0">
      <w:start w:val="4"/>
      <w:numFmt w:val="decimal"/>
      <w:lvlText w:val="%1."/>
      <w:lvlJc w:val="left"/>
      <w:pPr>
        <w:ind w:left="690" w:hanging="690"/>
      </w:pPr>
      <w:rPr>
        <w:rFonts w:hint="default"/>
      </w:rPr>
    </w:lvl>
    <w:lvl w:ilvl="1">
      <w:start w:val="3"/>
      <w:numFmt w:val="decimal"/>
      <w:lvlText w:val="%1.%2."/>
      <w:lvlJc w:val="left"/>
      <w:pPr>
        <w:ind w:left="1050" w:hanging="69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C73781"/>
    <w:multiLevelType w:val="hybridMultilevel"/>
    <w:tmpl w:val="38A805B6"/>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1" w15:restartNumberingAfterBreak="0">
    <w:nsid w:val="22AD7DE8"/>
    <w:multiLevelType w:val="hybridMultilevel"/>
    <w:tmpl w:val="5882CD4C"/>
    <w:lvl w:ilvl="0" w:tplc="914822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E6518F"/>
    <w:multiLevelType w:val="hybridMultilevel"/>
    <w:tmpl w:val="E5AC7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8A03C6D"/>
    <w:multiLevelType w:val="multilevel"/>
    <w:tmpl w:val="928C6DEA"/>
    <w:lvl w:ilvl="0">
      <w:start w:val="2"/>
      <w:numFmt w:val="decimal"/>
      <w:lvlText w:val="%1."/>
      <w:lvlJc w:val="left"/>
      <w:pPr>
        <w:ind w:left="396" w:hanging="396"/>
      </w:pPr>
      <w:rPr>
        <w:rFonts w:hint="default"/>
      </w:rPr>
    </w:lvl>
    <w:lvl w:ilvl="1">
      <w:start w:val="7"/>
      <w:numFmt w:val="decimal"/>
      <w:lvlText w:val="%1.%2."/>
      <w:lvlJc w:val="left"/>
      <w:pPr>
        <w:ind w:left="964" w:hanging="396"/>
      </w:pPr>
      <w:rPr>
        <w:rFonts w:hint="default"/>
        <w:b/>
        <w:bCs w:val="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4" w15:restartNumberingAfterBreak="0">
    <w:nsid w:val="2A610465"/>
    <w:multiLevelType w:val="hybridMultilevel"/>
    <w:tmpl w:val="C0B44388"/>
    <w:lvl w:ilvl="0" w:tplc="13E458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6" w15:restartNumberingAfterBreak="0">
    <w:nsid w:val="2FD253C8"/>
    <w:multiLevelType w:val="hybridMultilevel"/>
    <w:tmpl w:val="FBC2D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7B738E5"/>
    <w:multiLevelType w:val="hybridMultilevel"/>
    <w:tmpl w:val="3F7E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3B8C1BBF"/>
    <w:multiLevelType w:val="multilevel"/>
    <w:tmpl w:val="9178530C"/>
    <w:lvl w:ilvl="0">
      <w:start w:val="4"/>
      <w:numFmt w:val="decimal"/>
      <w:lvlText w:val="%1."/>
      <w:lvlJc w:val="left"/>
      <w:pPr>
        <w:ind w:left="645" w:hanging="645"/>
      </w:pPr>
      <w:rPr>
        <w:rFonts w:hint="default"/>
      </w:rPr>
    </w:lvl>
    <w:lvl w:ilvl="1">
      <w:start w:val="3"/>
      <w:numFmt w:val="decimal"/>
      <w:lvlText w:val="%1.%2."/>
      <w:lvlJc w:val="left"/>
      <w:pPr>
        <w:ind w:left="1005" w:hanging="645"/>
      </w:pPr>
      <w:rPr>
        <w:rFonts w:hint="default"/>
        <w:color w:val="0070C0"/>
        <w:sz w:val="28"/>
        <w:szCs w:val="28"/>
        <w:lang w:val="ro-RO"/>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1A443F"/>
    <w:multiLevelType w:val="multilevel"/>
    <w:tmpl w:val="CDF26434"/>
    <w:lvl w:ilvl="0">
      <w:start w:val="4"/>
      <w:numFmt w:val="decimal"/>
      <w:lvlText w:val="%1."/>
      <w:lvlJc w:val="left"/>
      <w:pPr>
        <w:ind w:left="492" w:hanging="492"/>
      </w:pPr>
      <w:rPr>
        <w:rFonts w:hint="default"/>
      </w:rPr>
    </w:lvl>
    <w:lvl w:ilvl="1">
      <w:start w:val="5"/>
      <w:numFmt w:val="decimal"/>
      <w:lvlText w:val="%1.%2."/>
      <w:lvlJc w:val="left"/>
      <w:pPr>
        <w:ind w:left="492" w:hanging="49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966365"/>
    <w:multiLevelType w:val="hybridMultilevel"/>
    <w:tmpl w:val="2934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4CC432F2"/>
    <w:multiLevelType w:val="hybridMultilevel"/>
    <w:tmpl w:val="3D16FE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E716C9"/>
    <w:multiLevelType w:val="hybridMultilevel"/>
    <w:tmpl w:val="DE1A4912"/>
    <w:lvl w:ilvl="0" w:tplc="CE4CC3F0">
      <w:start w:val="1"/>
      <w:numFmt w:val="bullet"/>
      <w:lvlText w:val=""/>
      <w:lvlJc w:val="left"/>
      <w:pPr>
        <w:ind w:left="928" w:hanging="360"/>
      </w:pPr>
      <w:rPr>
        <w:rFonts w:ascii="Symbol" w:hAnsi="Symbol" w:hint="default"/>
        <w:color w:val="auto"/>
        <w:sz w:val="22"/>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7605521"/>
    <w:multiLevelType w:val="multilevel"/>
    <w:tmpl w:val="48B26B0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F51193"/>
    <w:multiLevelType w:val="hybridMultilevel"/>
    <w:tmpl w:val="1DEC35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DFE23B8"/>
    <w:multiLevelType w:val="hybridMultilevel"/>
    <w:tmpl w:val="EC82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C60EF"/>
    <w:multiLevelType w:val="hybridMultilevel"/>
    <w:tmpl w:val="6AD039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679733E"/>
    <w:multiLevelType w:val="hybridMultilevel"/>
    <w:tmpl w:val="304657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15:restartNumberingAfterBreak="0">
    <w:nsid w:val="7657486E"/>
    <w:multiLevelType w:val="hybridMultilevel"/>
    <w:tmpl w:val="0A0845B8"/>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69A4AA8"/>
    <w:multiLevelType w:val="hybridMultilevel"/>
    <w:tmpl w:val="9D6A78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7ED50E18"/>
    <w:multiLevelType w:val="hybridMultilevel"/>
    <w:tmpl w:val="BA5AB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2"/>
  </w:num>
  <w:num w:numId="4">
    <w:abstractNumId w:val="15"/>
  </w:num>
  <w:num w:numId="5">
    <w:abstractNumId w:val="18"/>
  </w:num>
  <w:num w:numId="6">
    <w:abstractNumId w:val="2"/>
  </w:num>
  <w:num w:numId="7">
    <w:abstractNumId w:val="14"/>
  </w:num>
  <w:num w:numId="8">
    <w:abstractNumId w:val="26"/>
  </w:num>
  <w:num w:numId="9">
    <w:abstractNumId w:val="28"/>
  </w:num>
  <w:num w:numId="10">
    <w:abstractNumId w:val="10"/>
  </w:num>
  <w:num w:numId="11">
    <w:abstractNumId w:val="7"/>
  </w:num>
  <w:num w:numId="12">
    <w:abstractNumId w:val="23"/>
  </w:num>
  <w:num w:numId="13">
    <w:abstractNumId w:val="11"/>
  </w:num>
  <w:num w:numId="14">
    <w:abstractNumId w:val="6"/>
  </w:num>
  <w:num w:numId="15">
    <w:abstractNumId w:val="33"/>
  </w:num>
  <w:num w:numId="16">
    <w:abstractNumId w:val="25"/>
  </w:num>
  <w:num w:numId="17">
    <w:abstractNumId w:val="1"/>
  </w:num>
  <w:num w:numId="18">
    <w:abstractNumId w:val="27"/>
  </w:num>
  <w:num w:numId="19">
    <w:abstractNumId w:val="32"/>
  </w:num>
  <w:num w:numId="20">
    <w:abstractNumId w:val="29"/>
  </w:num>
  <w:num w:numId="21">
    <w:abstractNumId w:val="9"/>
  </w:num>
  <w:num w:numId="22">
    <w:abstractNumId w:val="17"/>
  </w:num>
  <w:num w:numId="23">
    <w:abstractNumId w:val="3"/>
  </w:num>
  <w:num w:numId="24">
    <w:abstractNumId w:val="19"/>
  </w:num>
  <w:num w:numId="25">
    <w:abstractNumId w:val="31"/>
  </w:num>
  <w:num w:numId="26">
    <w:abstractNumId w:val="20"/>
  </w:num>
  <w:num w:numId="27">
    <w:abstractNumId w:val="24"/>
  </w:num>
  <w:num w:numId="28">
    <w:abstractNumId w:val="16"/>
  </w:num>
  <w:num w:numId="29">
    <w:abstractNumId w:val="12"/>
  </w:num>
  <w:num w:numId="30">
    <w:abstractNumId w:val="4"/>
  </w:num>
  <w:num w:numId="31">
    <w:abstractNumId w:val="21"/>
  </w:num>
  <w:num w:numId="32">
    <w:abstractNumId w:val="8"/>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001C1"/>
    <w:rsid w:val="00010503"/>
    <w:rsid w:val="00010FE2"/>
    <w:rsid w:val="00012109"/>
    <w:rsid w:val="000174FA"/>
    <w:rsid w:val="00020A6B"/>
    <w:rsid w:val="00024EA7"/>
    <w:rsid w:val="000275FE"/>
    <w:rsid w:val="00030DF6"/>
    <w:rsid w:val="00031AB5"/>
    <w:rsid w:val="00032739"/>
    <w:rsid w:val="00032872"/>
    <w:rsid w:val="0003364D"/>
    <w:rsid w:val="00033F19"/>
    <w:rsid w:val="000413AA"/>
    <w:rsid w:val="00042292"/>
    <w:rsid w:val="000425E5"/>
    <w:rsid w:val="0004372E"/>
    <w:rsid w:val="00046FCD"/>
    <w:rsid w:val="00050E5D"/>
    <w:rsid w:val="000523B8"/>
    <w:rsid w:val="00053AA6"/>
    <w:rsid w:val="00054BB3"/>
    <w:rsid w:val="00054F09"/>
    <w:rsid w:val="00057B1E"/>
    <w:rsid w:val="00070BED"/>
    <w:rsid w:val="000738A9"/>
    <w:rsid w:val="00076134"/>
    <w:rsid w:val="00084927"/>
    <w:rsid w:val="000851D6"/>
    <w:rsid w:val="00087F54"/>
    <w:rsid w:val="0009230D"/>
    <w:rsid w:val="000934BE"/>
    <w:rsid w:val="000956ED"/>
    <w:rsid w:val="000A31A1"/>
    <w:rsid w:val="000B2756"/>
    <w:rsid w:val="000B463D"/>
    <w:rsid w:val="000B4A9A"/>
    <w:rsid w:val="000C0867"/>
    <w:rsid w:val="000C757F"/>
    <w:rsid w:val="000D0BF7"/>
    <w:rsid w:val="000D0D58"/>
    <w:rsid w:val="000D2FEB"/>
    <w:rsid w:val="000D6FC9"/>
    <w:rsid w:val="000E10E2"/>
    <w:rsid w:val="000E3DE1"/>
    <w:rsid w:val="000E5339"/>
    <w:rsid w:val="000E724D"/>
    <w:rsid w:val="001011C3"/>
    <w:rsid w:val="001015AB"/>
    <w:rsid w:val="00107053"/>
    <w:rsid w:val="00110F99"/>
    <w:rsid w:val="0011307D"/>
    <w:rsid w:val="00113808"/>
    <w:rsid w:val="00115397"/>
    <w:rsid w:val="0011542A"/>
    <w:rsid w:val="001255AE"/>
    <w:rsid w:val="0012581A"/>
    <w:rsid w:val="00127503"/>
    <w:rsid w:val="00130DEC"/>
    <w:rsid w:val="00131812"/>
    <w:rsid w:val="00131E75"/>
    <w:rsid w:val="00132465"/>
    <w:rsid w:val="00132AEF"/>
    <w:rsid w:val="001337FD"/>
    <w:rsid w:val="0013611F"/>
    <w:rsid w:val="001361D0"/>
    <w:rsid w:val="001406BC"/>
    <w:rsid w:val="001431A3"/>
    <w:rsid w:val="001446F7"/>
    <w:rsid w:val="001448A6"/>
    <w:rsid w:val="001470EE"/>
    <w:rsid w:val="00147104"/>
    <w:rsid w:val="00147B76"/>
    <w:rsid w:val="00151265"/>
    <w:rsid w:val="00160654"/>
    <w:rsid w:val="0016116C"/>
    <w:rsid w:val="001622C5"/>
    <w:rsid w:val="00163456"/>
    <w:rsid w:val="001664EA"/>
    <w:rsid w:val="00174377"/>
    <w:rsid w:val="00176AFD"/>
    <w:rsid w:val="00180BA2"/>
    <w:rsid w:val="0018149B"/>
    <w:rsid w:val="00183DC1"/>
    <w:rsid w:val="00187270"/>
    <w:rsid w:val="00193BE9"/>
    <w:rsid w:val="00193DA0"/>
    <w:rsid w:val="00194179"/>
    <w:rsid w:val="00195354"/>
    <w:rsid w:val="00196786"/>
    <w:rsid w:val="001A1855"/>
    <w:rsid w:val="001A6147"/>
    <w:rsid w:val="001A63CE"/>
    <w:rsid w:val="001A68A5"/>
    <w:rsid w:val="001B1561"/>
    <w:rsid w:val="001B159C"/>
    <w:rsid w:val="001B3885"/>
    <w:rsid w:val="001C0E0F"/>
    <w:rsid w:val="001C3154"/>
    <w:rsid w:val="001C5684"/>
    <w:rsid w:val="001D27FA"/>
    <w:rsid w:val="001E5792"/>
    <w:rsid w:val="001E6AA7"/>
    <w:rsid w:val="001E7C98"/>
    <w:rsid w:val="001F092E"/>
    <w:rsid w:val="001F26B9"/>
    <w:rsid w:val="001F43E6"/>
    <w:rsid w:val="001F555D"/>
    <w:rsid w:val="001F5C16"/>
    <w:rsid w:val="001F6484"/>
    <w:rsid w:val="001F6E41"/>
    <w:rsid w:val="001F789D"/>
    <w:rsid w:val="002003D3"/>
    <w:rsid w:val="00201825"/>
    <w:rsid w:val="002028E3"/>
    <w:rsid w:val="0021098B"/>
    <w:rsid w:val="00214BBE"/>
    <w:rsid w:val="00214F7E"/>
    <w:rsid w:val="00215E0F"/>
    <w:rsid w:val="002173A2"/>
    <w:rsid w:val="00222CCA"/>
    <w:rsid w:val="002254E5"/>
    <w:rsid w:val="002257D4"/>
    <w:rsid w:val="002268F4"/>
    <w:rsid w:val="00227323"/>
    <w:rsid w:val="00230C34"/>
    <w:rsid w:val="00230FEB"/>
    <w:rsid w:val="00232643"/>
    <w:rsid w:val="0023428D"/>
    <w:rsid w:val="0025058A"/>
    <w:rsid w:val="00255F6A"/>
    <w:rsid w:val="0025706B"/>
    <w:rsid w:val="00261B09"/>
    <w:rsid w:val="00271CAB"/>
    <w:rsid w:val="00273CC9"/>
    <w:rsid w:val="0027500E"/>
    <w:rsid w:val="00277152"/>
    <w:rsid w:val="00280EC4"/>
    <w:rsid w:val="002829D0"/>
    <w:rsid w:val="00282F33"/>
    <w:rsid w:val="00285103"/>
    <w:rsid w:val="0028511A"/>
    <w:rsid w:val="002926DD"/>
    <w:rsid w:val="00295D07"/>
    <w:rsid w:val="00296746"/>
    <w:rsid w:val="002A4252"/>
    <w:rsid w:val="002A67E7"/>
    <w:rsid w:val="002A7A83"/>
    <w:rsid w:val="002B0FB6"/>
    <w:rsid w:val="002B489A"/>
    <w:rsid w:val="002C0052"/>
    <w:rsid w:val="002C06ED"/>
    <w:rsid w:val="002C16E2"/>
    <w:rsid w:val="002C1E3A"/>
    <w:rsid w:val="002C23E3"/>
    <w:rsid w:val="002C2C0F"/>
    <w:rsid w:val="002C3083"/>
    <w:rsid w:val="002C75CA"/>
    <w:rsid w:val="002D7C2D"/>
    <w:rsid w:val="002E2C6B"/>
    <w:rsid w:val="0030333E"/>
    <w:rsid w:val="00304757"/>
    <w:rsid w:val="00307CB9"/>
    <w:rsid w:val="00307F55"/>
    <w:rsid w:val="003121C9"/>
    <w:rsid w:val="00314417"/>
    <w:rsid w:val="00314E4E"/>
    <w:rsid w:val="00321351"/>
    <w:rsid w:val="00321C10"/>
    <w:rsid w:val="00322C6F"/>
    <w:rsid w:val="00326453"/>
    <w:rsid w:val="003275C3"/>
    <w:rsid w:val="0033035C"/>
    <w:rsid w:val="00331ED7"/>
    <w:rsid w:val="0033427F"/>
    <w:rsid w:val="00334331"/>
    <w:rsid w:val="0033491D"/>
    <w:rsid w:val="00335737"/>
    <w:rsid w:val="0033799D"/>
    <w:rsid w:val="00344C4B"/>
    <w:rsid w:val="00345F23"/>
    <w:rsid w:val="00356787"/>
    <w:rsid w:val="00356AA5"/>
    <w:rsid w:val="0035709F"/>
    <w:rsid w:val="00360152"/>
    <w:rsid w:val="00360F84"/>
    <w:rsid w:val="0036262A"/>
    <w:rsid w:val="003705C6"/>
    <w:rsid w:val="0037459B"/>
    <w:rsid w:val="0037464E"/>
    <w:rsid w:val="00377A1E"/>
    <w:rsid w:val="00380E2A"/>
    <w:rsid w:val="00386B46"/>
    <w:rsid w:val="00390C9F"/>
    <w:rsid w:val="00395F57"/>
    <w:rsid w:val="003A126D"/>
    <w:rsid w:val="003B5D58"/>
    <w:rsid w:val="003B6B8B"/>
    <w:rsid w:val="003C1614"/>
    <w:rsid w:val="003C5724"/>
    <w:rsid w:val="003C6361"/>
    <w:rsid w:val="003D0AE0"/>
    <w:rsid w:val="003D0B87"/>
    <w:rsid w:val="003D45A3"/>
    <w:rsid w:val="003E14A5"/>
    <w:rsid w:val="003E27BA"/>
    <w:rsid w:val="003E28D4"/>
    <w:rsid w:val="003E4227"/>
    <w:rsid w:val="003E6399"/>
    <w:rsid w:val="003E6ECA"/>
    <w:rsid w:val="003F48DB"/>
    <w:rsid w:val="00400B7A"/>
    <w:rsid w:val="004017D7"/>
    <w:rsid w:val="00402320"/>
    <w:rsid w:val="00403AB2"/>
    <w:rsid w:val="004114C7"/>
    <w:rsid w:val="0041213F"/>
    <w:rsid w:val="00412709"/>
    <w:rsid w:val="00414CD0"/>
    <w:rsid w:val="004204D5"/>
    <w:rsid w:val="00423386"/>
    <w:rsid w:val="00423BF1"/>
    <w:rsid w:val="0042632D"/>
    <w:rsid w:val="00432869"/>
    <w:rsid w:val="00435001"/>
    <w:rsid w:val="004350CE"/>
    <w:rsid w:val="004417E5"/>
    <w:rsid w:val="004448A3"/>
    <w:rsid w:val="00446010"/>
    <w:rsid w:val="00450CDD"/>
    <w:rsid w:val="004522E1"/>
    <w:rsid w:val="004538CE"/>
    <w:rsid w:val="00454CD3"/>
    <w:rsid w:val="00456C40"/>
    <w:rsid w:val="00465A7D"/>
    <w:rsid w:val="00470B5F"/>
    <w:rsid w:val="00470BCA"/>
    <w:rsid w:val="00470D2C"/>
    <w:rsid w:val="0047204D"/>
    <w:rsid w:val="0047402F"/>
    <w:rsid w:val="00474297"/>
    <w:rsid w:val="00474670"/>
    <w:rsid w:val="00476513"/>
    <w:rsid w:val="0047755B"/>
    <w:rsid w:val="00477CD0"/>
    <w:rsid w:val="00487340"/>
    <w:rsid w:val="00492F85"/>
    <w:rsid w:val="0049598F"/>
    <w:rsid w:val="004A167B"/>
    <w:rsid w:val="004B0BFA"/>
    <w:rsid w:val="004B19AF"/>
    <w:rsid w:val="004B2372"/>
    <w:rsid w:val="004B68F3"/>
    <w:rsid w:val="004C31DE"/>
    <w:rsid w:val="004C33BD"/>
    <w:rsid w:val="004C7702"/>
    <w:rsid w:val="004C7C9A"/>
    <w:rsid w:val="004D23AF"/>
    <w:rsid w:val="004D3C0C"/>
    <w:rsid w:val="004D5F72"/>
    <w:rsid w:val="004F20AB"/>
    <w:rsid w:val="004F24A6"/>
    <w:rsid w:val="004F286F"/>
    <w:rsid w:val="004F3F12"/>
    <w:rsid w:val="004F7D1B"/>
    <w:rsid w:val="00500D9C"/>
    <w:rsid w:val="00511C65"/>
    <w:rsid w:val="00512370"/>
    <w:rsid w:val="00514A89"/>
    <w:rsid w:val="005151CF"/>
    <w:rsid w:val="00520603"/>
    <w:rsid w:val="005231C5"/>
    <w:rsid w:val="0052578E"/>
    <w:rsid w:val="00531986"/>
    <w:rsid w:val="00533339"/>
    <w:rsid w:val="00533C21"/>
    <w:rsid w:val="005346E7"/>
    <w:rsid w:val="00536095"/>
    <w:rsid w:val="005368C2"/>
    <w:rsid w:val="00536934"/>
    <w:rsid w:val="0054277C"/>
    <w:rsid w:val="00550876"/>
    <w:rsid w:val="005517EC"/>
    <w:rsid w:val="00551A22"/>
    <w:rsid w:val="00552B74"/>
    <w:rsid w:val="0055347C"/>
    <w:rsid w:val="00556568"/>
    <w:rsid w:val="00556BA1"/>
    <w:rsid w:val="00560243"/>
    <w:rsid w:val="00560A53"/>
    <w:rsid w:val="005622C8"/>
    <w:rsid w:val="0056479C"/>
    <w:rsid w:val="005647A7"/>
    <w:rsid w:val="00565B5B"/>
    <w:rsid w:val="00570849"/>
    <w:rsid w:val="00570B9E"/>
    <w:rsid w:val="00572CA9"/>
    <w:rsid w:val="00573000"/>
    <w:rsid w:val="00573AA9"/>
    <w:rsid w:val="005777A6"/>
    <w:rsid w:val="00577A9F"/>
    <w:rsid w:val="005914E3"/>
    <w:rsid w:val="0059167D"/>
    <w:rsid w:val="00591706"/>
    <w:rsid w:val="00591A69"/>
    <w:rsid w:val="0059478A"/>
    <w:rsid w:val="00595E1D"/>
    <w:rsid w:val="005A1634"/>
    <w:rsid w:val="005A2405"/>
    <w:rsid w:val="005A5684"/>
    <w:rsid w:val="005A5CFD"/>
    <w:rsid w:val="005A6B4D"/>
    <w:rsid w:val="005A71F6"/>
    <w:rsid w:val="005A7C11"/>
    <w:rsid w:val="005B0202"/>
    <w:rsid w:val="005B08CA"/>
    <w:rsid w:val="005B0902"/>
    <w:rsid w:val="005B2B31"/>
    <w:rsid w:val="005B7046"/>
    <w:rsid w:val="005C149E"/>
    <w:rsid w:val="005C17D6"/>
    <w:rsid w:val="005C2190"/>
    <w:rsid w:val="005C2936"/>
    <w:rsid w:val="005C446B"/>
    <w:rsid w:val="005C5B5E"/>
    <w:rsid w:val="005D6B4A"/>
    <w:rsid w:val="005D6C72"/>
    <w:rsid w:val="005E77DF"/>
    <w:rsid w:val="005F3DB7"/>
    <w:rsid w:val="00600F44"/>
    <w:rsid w:val="006034FD"/>
    <w:rsid w:val="0061070D"/>
    <w:rsid w:val="00610841"/>
    <w:rsid w:val="00612314"/>
    <w:rsid w:val="006154EF"/>
    <w:rsid w:val="00615DF3"/>
    <w:rsid w:val="00616132"/>
    <w:rsid w:val="00621B4E"/>
    <w:rsid w:val="00622D3D"/>
    <w:rsid w:val="00624F91"/>
    <w:rsid w:val="0063680D"/>
    <w:rsid w:val="0064043A"/>
    <w:rsid w:val="00640861"/>
    <w:rsid w:val="00640A50"/>
    <w:rsid w:val="0064137B"/>
    <w:rsid w:val="00645D0C"/>
    <w:rsid w:val="006503DB"/>
    <w:rsid w:val="006511D9"/>
    <w:rsid w:val="00652B60"/>
    <w:rsid w:val="00654C6C"/>
    <w:rsid w:val="006618E4"/>
    <w:rsid w:val="0066438A"/>
    <w:rsid w:val="00664C52"/>
    <w:rsid w:val="006666EA"/>
    <w:rsid w:val="0066794A"/>
    <w:rsid w:val="0067321E"/>
    <w:rsid w:val="00676E72"/>
    <w:rsid w:val="0068025D"/>
    <w:rsid w:val="0068090E"/>
    <w:rsid w:val="00680C92"/>
    <w:rsid w:val="00685569"/>
    <w:rsid w:val="0068586F"/>
    <w:rsid w:val="006869A1"/>
    <w:rsid w:val="00697098"/>
    <w:rsid w:val="006A1C73"/>
    <w:rsid w:val="006A45FE"/>
    <w:rsid w:val="006A674E"/>
    <w:rsid w:val="006A69F0"/>
    <w:rsid w:val="006A7BF5"/>
    <w:rsid w:val="006A7DF6"/>
    <w:rsid w:val="006C1220"/>
    <w:rsid w:val="006D0659"/>
    <w:rsid w:val="006D1D06"/>
    <w:rsid w:val="006D2952"/>
    <w:rsid w:val="006E290F"/>
    <w:rsid w:val="006E61EF"/>
    <w:rsid w:val="006E6C2F"/>
    <w:rsid w:val="006E795F"/>
    <w:rsid w:val="006F321F"/>
    <w:rsid w:val="006F35A4"/>
    <w:rsid w:val="006F384E"/>
    <w:rsid w:val="006F4A15"/>
    <w:rsid w:val="00712AF3"/>
    <w:rsid w:val="00716F88"/>
    <w:rsid w:val="00717B2E"/>
    <w:rsid w:val="00720652"/>
    <w:rsid w:val="00720698"/>
    <w:rsid w:val="007219AC"/>
    <w:rsid w:val="00724E22"/>
    <w:rsid w:val="007263FF"/>
    <w:rsid w:val="00733D25"/>
    <w:rsid w:val="00736679"/>
    <w:rsid w:val="007369A4"/>
    <w:rsid w:val="0074312F"/>
    <w:rsid w:val="007436D7"/>
    <w:rsid w:val="00743BE3"/>
    <w:rsid w:val="00744DCF"/>
    <w:rsid w:val="00746F23"/>
    <w:rsid w:val="0075246E"/>
    <w:rsid w:val="00753503"/>
    <w:rsid w:val="007539A4"/>
    <w:rsid w:val="00754CB5"/>
    <w:rsid w:val="00756B52"/>
    <w:rsid w:val="00756D09"/>
    <w:rsid w:val="007605D8"/>
    <w:rsid w:val="00761205"/>
    <w:rsid w:val="007636F0"/>
    <w:rsid w:val="00765620"/>
    <w:rsid w:val="00774523"/>
    <w:rsid w:val="00775383"/>
    <w:rsid w:val="007754A2"/>
    <w:rsid w:val="00777B0E"/>
    <w:rsid w:val="00783107"/>
    <w:rsid w:val="007854FB"/>
    <w:rsid w:val="00792E76"/>
    <w:rsid w:val="0079632B"/>
    <w:rsid w:val="007967FE"/>
    <w:rsid w:val="007A2A17"/>
    <w:rsid w:val="007A79C9"/>
    <w:rsid w:val="007B5366"/>
    <w:rsid w:val="007C34FD"/>
    <w:rsid w:val="007C3A87"/>
    <w:rsid w:val="007C7E44"/>
    <w:rsid w:val="007D12C9"/>
    <w:rsid w:val="007D175C"/>
    <w:rsid w:val="007D2C88"/>
    <w:rsid w:val="007D60B6"/>
    <w:rsid w:val="007E17FB"/>
    <w:rsid w:val="007E2279"/>
    <w:rsid w:val="007E57F9"/>
    <w:rsid w:val="007E7F42"/>
    <w:rsid w:val="007F264C"/>
    <w:rsid w:val="007F5664"/>
    <w:rsid w:val="008104CC"/>
    <w:rsid w:val="00810F44"/>
    <w:rsid w:val="008153A9"/>
    <w:rsid w:val="00815E3F"/>
    <w:rsid w:val="008224CF"/>
    <w:rsid w:val="00824BDE"/>
    <w:rsid w:val="00826233"/>
    <w:rsid w:val="00826249"/>
    <w:rsid w:val="00826BF6"/>
    <w:rsid w:val="008349AE"/>
    <w:rsid w:val="0083503E"/>
    <w:rsid w:val="00840ECB"/>
    <w:rsid w:val="00840FD4"/>
    <w:rsid w:val="00841B67"/>
    <w:rsid w:val="00845F3D"/>
    <w:rsid w:val="00846513"/>
    <w:rsid w:val="00846EC1"/>
    <w:rsid w:val="00852AE2"/>
    <w:rsid w:val="00852C38"/>
    <w:rsid w:val="0085558D"/>
    <w:rsid w:val="008606CC"/>
    <w:rsid w:val="00862684"/>
    <w:rsid w:val="0086403C"/>
    <w:rsid w:val="008640F4"/>
    <w:rsid w:val="00864251"/>
    <w:rsid w:val="00866BC3"/>
    <w:rsid w:val="0087033F"/>
    <w:rsid w:val="008720C7"/>
    <w:rsid w:val="00876382"/>
    <w:rsid w:val="00877BBB"/>
    <w:rsid w:val="00877C20"/>
    <w:rsid w:val="0088362B"/>
    <w:rsid w:val="00887D42"/>
    <w:rsid w:val="008915BA"/>
    <w:rsid w:val="008A415B"/>
    <w:rsid w:val="008B0543"/>
    <w:rsid w:val="008B24CC"/>
    <w:rsid w:val="008B2D36"/>
    <w:rsid w:val="008B71AF"/>
    <w:rsid w:val="008C4F26"/>
    <w:rsid w:val="008C6FD0"/>
    <w:rsid w:val="008D06D4"/>
    <w:rsid w:val="008D1A13"/>
    <w:rsid w:val="008D4C1C"/>
    <w:rsid w:val="008E2065"/>
    <w:rsid w:val="008E5A00"/>
    <w:rsid w:val="008E75D9"/>
    <w:rsid w:val="008F0B8B"/>
    <w:rsid w:val="008F7CE8"/>
    <w:rsid w:val="009006C6"/>
    <w:rsid w:val="00910A50"/>
    <w:rsid w:val="00912D26"/>
    <w:rsid w:val="00923219"/>
    <w:rsid w:val="00936567"/>
    <w:rsid w:val="009367FA"/>
    <w:rsid w:val="009418B2"/>
    <w:rsid w:val="00942212"/>
    <w:rsid w:val="00944438"/>
    <w:rsid w:val="009448A5"/>
    <w:rsid w:val="00952056"/>
    <w:rsid w:val="009524CA"/>
    <w:rsid w:val="0095568D"/>
    <w:rsid w:val="00956671"/>
    <w:rsid w:val="00956AD3"/>
    <w:rsid w:val="009626A9"/>
    <w:rsid w:val="009720E3"/>
    <w:rsid w:val="00976F76"/>
    <w:rsid w:val="00977133"/>
    <w:rsid w:val="009807B0"/>
    <w:rsid w:val="00980E8F"/>
    <w:rsid w:val="00983C8C"/>
    <w:rsid w:val="00986374"/>
    <w:rsid w:val="0099024D"/>
    <w:rsid w:val="00990AAD"/>
    <w:rsid w:val="009928BE"/>
    <w:rsid w:val="00997826"/>
    <w:rsid w:val="009A17EB"/>
    <w:rsid w:val="009A18E3"/>
    <w:rsid w:val="009A1CCF"/>
    <w:rsid w:val="009A2617"/>
    <w:rsid w:val="009A262F"/>
    <w:rsid w:val="009A32DF"/>
    <w:rsid w:val="009A45B5"/>
    <w:rsid w:val="009A627F"/>
    <w:rsid w:val="009A6430"/>
    <w:rsid w:val="009B4703"/>
    <w:rsid w:val="009B52C6"/>
    <w:rsid w:val="009C1D01"/>
    <w:rsid w:val="009C4FD5"/>
    <w:rsid w:val="009C4FEC"/>
    <w:rsid w:val="009C711B"/>
    <w:rsid w:val="009D35DC"/>
    <w:rsid w:val="009D41A6"/>
    <w:rsid w:val="009D6F0A"/>
    <w:rsid w:val="009D7807"/>
    <w:rsid w:val="009E1509"/>
    <w:rsid w:val="009E4C5A"/>
    <w:rsid w:val="009E6346"/>
    <w:rsid w:val="00A0439D"/>
    <w:rsid w:val="00A07FFA"/>
    <w:rsid w:val="00A1172A"/>
    <w:rsid w:val="00A1194B"/>
    <w:rsid w:val="00A15720"/>
    <w:rsid w:val="00A22182"/>
    <w:rsid w:val="00A25B64"/>
    <w:rsid w:val="00A25EB2"/>
    <w:rsid w:val="00A27B0D"/>
    <w:rsid w:val="00A34A07"/>
    <w:rsid w:val="00A3551E"/>
    <w:rsid w:val="00A41219"/>
    <w:rsid w:val="00A428AB"/>
    <w:rsid w:val="00A50756"/>
    <w:rsid w:val="00A50EA4"/>
    <w:rsid w:val="00A52A49"/>
    <w:rsid w:val="00A5665B"/>
    <w:rsid w:val="00A56717"/>
    <w:rsid w:val="00A66B35"/>
    <w:rsid w:val="00A67AA7"/>
    <w:rsid w:val="00A71BEF"/>
    <w:rsid w:val="00A77AA6"/>
    <w:rsid w:val="00A8016C"/>
    <w:rsid w:val="00A83CF8"/>
    <w:rsid w:val="00A84DC4"/>
    <w:rsid w:val="00A86AA4"/>
    <w:rsid w:val="00A871B1"/>
    <w:rsid w:val="00A91B24"/>
    <w:rsid w:val="00A91C1E"/>
    <w:rsid w:val="00A95DD0"/>
    <w:rsid w:val="00A97AB9"/>
    <w:rsid w:val="00A97B1C"/>
    <w:rsid w:val="00AA09AF"/>
    <w:rsid w:val="00AB311A"/>
    <w:rsid w:val="00AC2B86"/>
    <w:rsid w:val="00AC3636"/>
    <w:rsid w:val="00AC4D1E"/>
    <w:rsid w:val="00AC69AE"/>
    <w:rsid w:val="00AC7EB2"/>
    <w:rsid w:val="00AD06AC"/>
    <w:rsid w:val="00AD1BE4"/>
    <w:rsid w:val="00AD23AF"/>
    <w:rsid w:val="00AD3AA5"/>
    <w:rsid w:val="00AD5191"/>
    <w:rsid w:val="00AD7F17"/>
    <w:rsid w:val="00AE01D3"/>
    <w:rsid w:val="00AE0348"/>
    <w:rsid w:val="00AE2DED"/>
    <w:rsid w:val="00AE381C"/>
    <w:rsid w:val="00AE652E"/>
    <w:rsid w:val="00AF0613"/>
    <w:rsid w:val="00AF2868"/>
    <w:rsid w:val="00AF39B8"/>
    <w:rsid w:val="00AF6770"/>
    <w:rsid w:val="00B00232"/>
    <w:rsid w:val="00B0125F"/>
    <w:rsid w:val="00B03268"/>
    <w:rsid w:val="00B0380A"/>
    <w:rsid w:val="00B07E85"/>
    <w:rsid w:val="00B154A2"/>
    <w:rsid w:val="00B22B5C"/>
    <w:rsid w:val="00B2488A"/>
    <w:rsid w:val="00B26261"/>
    <w:rsid w:val="00B26C4A"/>
    <w:rsid w:val="00B3112D"/>
    <w:rsid w:val="00B401B9"/>
    <w:rsid w:val="00B401FD"/>
    <w:rsid w:val="00B4075C"/>
    <w:rsid w:val="00B40B3F"/>
    <w:rsid w:val="00B412EC"/>
    <w:rsid w:val="00B46F0D"/>
    <w:rsid w:val="00B54B34"/>
    <w:rsid w:val="00B55B55"/>
    <w:rsid w:val="00B5632F"/>
    <w:rsid w:val="00B57A18"/>
    <w:rsid w:val="00B57B78"/>
    <w:rsid w:val="00B6584F"/>
    <w:rsid w:val="00B703CE"/>
    <w:rsid w:val="00B72EAA"/>
    <w:rsid w:val="00B74E2F"/>
    <w:rsid w:val="00B77B35"/>
    <w:rsid w:val="00B81A21"/>
    <w:rsid w:val="00B83386"/>
    <w:rsid w:val="00B92764"/>
    <w:rsid w:val="00B929A0"/>
    <w:rsid w:val="00BA1600"/>
    <w:rsid w:val="00BA1D3D"/>
    <w:rsid w:val="00BA3ADD"/>
    <w:rsid w:val="00BA6190"/>
    <w:rsid w:val="00BA6208"/>
    <w:rsid w:val="00BA671E"/>
    <w:rsid w:val="00BA73DC"/>
    <w:rsid w:val="00BB26C2"/>
    <w:rsid w:val="00BC09FB"/>
    <w:rsid w:val="00BC2F73"/>
    <w:rsid w:val="00BC2FC4"/>
    <w:rsid w:val="00BC56EE"/>
    <w:rsid w:val="00BC6A44"/>
    <w:rsid w:val="00BD1E01"/>
    <w:rsid w:val="00BD3F85"/>
    <w:rsid w:val="00BF0555"/>
    <w:rsid w:val="00BF64D8"/>
    <w:rsid w:val="00C0096E"/>
    <w:rsid w:val="00C009A4"/>
    <w:rsid w:val="00C01B0C"/>
    <w:rsid w:val="00C040DB"/>
    <w:rsid w:val="00C04625"/>
    <w:rsid w:val="00C0653E"/>
    <w:rsid w:val="00C135C9"/>
    <w:rsid w:val="00C15C96"/>
    <w:rsid w:val="00C20DB4"/>
    <w:rsid w:val="00C226F4"/>
    <w:rsid w:val="00C23157"/>
    <w:rsid w:val="00C241CB"/>
    <w:rsid w:val="00C322E7"/>
    <w:rsid w:val="00C32AF3"/>
    <w:rsid w:val="00C33882"/>
    <w:rsid w:val="00C33ED6"/>
    <w:rsid w:val="00C351C9"/>
    <w:rsid w:val="00C36EF1"/>
    <w:rsid w:val="00C37831"/>
    <w:rsid w:val="00C50714"/>
    <w:rsid w:val="00C52E43"/>
    <w:rsid w:val="00C53035"/>
    <w:rsid w:val="00C53427"/>
    <w:rsid w:val="00C53E64"/>
    <w:rsid w:val="00C544D5"/>
    <w:rsid w:val="00C56C94"/>
    <w:rsid w:val="00C60F15"/>
    <w:rsid w:val="00C619AD"/>
    <w:rsid w:val="00C63ADA"/>
    <w:rsid w:val="00C660C1"/>
    <w:rsid w:val="00C72B2B"/>
    <w:rsid w:val="00C740F4"/>
    <w:rsid w:val="00C74CBB"/>
    <w:rsid w:val="00C77319"/>
    <w:rsid w:val="00C77CF3"/>
    <w:rsid w:val="00C81FE3"/>
    <w:rsid w:val="00C84B40"/>
    <w:rsid w:val="00C92861"/>
    <w:rsid w:val="00C931CC"/>
    <w:rsid w:val="00C941D9"/>
    <w:rsid w:val="00C96EF0"/>
    <w:rsid w:val="00CA2B85"/>
    <w:rsid w:val="00CA2EBF"/>
    <w:rsid w:val="00CA68D5"/>
    <w:rsid w:val="00CA77C1"/>
    <w:rsid w:val="00CB1C9D"/>
    <w:rsid w:val="00CC060E"/>
    <w:rsid w:val="00CD022B"/>
    <w:rsid w:val="00CD1C45"/>
    <w:rsid w:val="00CD382B"/>
    <w:rsid w:val="00CD5268"/>
    <w:rsid w:val="00CE33D8"/>
    <w:rsid w:val="00CE45F6"/>
    <w:rsid w:val="00CE70A2"/>
    <w:rsid w:val="00CF12FA"/>
    <w:rsid w:val="00CF23E4"/>
    <w:rsid w:val="00CF76D9"/>
    <w:rsid w:val="00CF7A1B"/>
    <w:rsid w:val="00D076AF"/>
    <w:rsid w:val="00D142A5"/>
    <w:rsid w:val="00D158FC"/>
    <w:rsid w:val="00D16448"/>
    <w:rsid w:val="00D200E2"/>
    <w:rsid w:val="00D21081"/>
    <w:rsid w:val="00D26407"/>
    <w:rsid w:val="00D3008C"/>
    <w:rsid w:val="00D3507E"/>
    <w:rsid w:val="00D36EA5"/>
    <w:rsid w:val="00D45F3F"/>
    <w:rsid w:val="00D47D8D"/>
    <w:rsid w:val="00D47FB3"/>
    <w:rsid w:val="00D52B26"/>
    <w:rsid w:val="00D53307"/>
    <w:rsid w:val="00D5576E"/>
    <w:rsid w:val="00D62F07"/>
    <w:rsid w:val="00D64A00"/>
    <w:rsid w:val="00D67D3A"/>
    <w:rsid w:val="00D70A41"/>
    <w:rsid w:val="00D745EA"/>
    <w:rsid w:val="00D75C72"/>
    <w:rsid w:val="00D8106F"/>
    <w:rsid w:val="00D81342"/>
    <w:rsid w:val="00D85C28"/>
    <w:rsid w:val="00D85D45"/>
    <w:rsid w:val="00D86465"/>
    <w:rsid w:val="00D86797"/>
    <w:rsid w:val="00D967C4"/>
    <w:rsid w:val="00D96BC1"/>
    <w:rsid w:val="00DA1050"/>
    <w:rsid w:val="00DA136A"/>
    <w:rsid w:val="00DA5096"/>
    <w:rsid w:val="00DB320F"/>
    <w:rsid w:val="00DB65F2"/>
    <w:rsid w:val="00DB742F"/>
    <w:rsid w:val="00DB79CE"/>
    <w:rsid w:val="00DC1659"/>
    <w:rsid w:val="00DC4356"/>
    <w:rsid w:val="00DC6483"/>
    <w:rsid w:val="00DC7D8A"/>
    <w:rsid w:val="00DD06A4"/>
    <w:rsid w:val="00DD4C83"/>
    <w:rsid w:val="00DD7938"/>
    <w:rsid w:val="00DE0CD1"/>
    <w:rsid w:val="00DE4CD7"/>
    <w:rsid w:val="00DE63AB"/>
    <w:rsid w:val="00DE6C64"/>
    <w:rsid w:val="00DF605E"/>
    <w:rsid w:val="00E04B90"/>
    <w:rsid w:val="00E05C90"/>
    <w:rsid w:val="00E07D5C"/>
    <w:rsid w:val="00E117B7"/>
    <w:rsid w:val="00E127EB"/>
    <w:rsid w:val="00E13795"/>
    <w:rsid w:val="00E13B9E"/>
    <w:rsid w:val="00E14EAF"/>
    <w:rsid w:val="00E20148"/>
    <w:rsid w:val="00E20C17"/>
    <w:rsid w:val="00E239F3"/>
    <w:rsid w:val="00E2420B"/>
    <w:rsid w:val="00E259F1"/>
    <w:rsid w:val="00E31601"/>
    <w:rsid w:val="00E320AB"/>
    <w:rsid w:val="00E32E08"/>
    <w:rsid w:val="00E35599"/>
    <w:rsid w:val="00E36B04"/>
    <w:rsid w:val="00E370EB"/>
    <w:rsid w:val="00E3734A"/>
    <w:rsid w:val="00E41E54"/>
    <w:rsid w:val="00E4319C"/>
    <w:rsid w:val="00E51B1E"/>
    <w:rsid w:val="00E610D7"/>
    <w:rsid w:val="00E630F3"/>
    <w:rsid w:val="00E662EA"/>
    <w:rsid w:val="00E7663A"/>
    <w:rsid w:val="00E82311"/>
    <w:rsid w:val="00E911ED"/>
    <w:rsid w:val="00E96293"/>
    <w:rsid w:val="00E96F53"/>
    <w:rsid w:val="00E97C13"/>
    <w:rsid w:val="00E97E9B"/>
    <w:rsid w:val="00EB4BA1"/>
    <w:rsid w:val="00EB6A63"/>
    <w:rsid w:val="00EB7627"/>
    <w:rsid w:val="00EC679F"/>
    <w:rsid w:val="00EC7219"/>
    <w:rsid w:val="00EC77BC"/>
    <w:rsid w:val="00ED1B9C"/>
    <w:rsid w:val="00ED4E7E"/>
    <w:rsid w:val="00ED59E5"/>
    <w:rsid w:val="00EE2B66"/>
    <w:rsid w:val="00EE51E4"/>
    <w:rsid w:val="00EF09E0"/>
    <w:rsid w:val="00EF1727"/>
    <w:rsid w:val="00EF41BD"/>
    <w:rsid w:val="00F06644"/>
    <w:rsid w:val="00F10045"/>
    <w:rsid w:val="00F13462"/>
    <w:rsid w:val="00F13FDA"/>
    <w:rsid w:val="00F15F29"/>
    <w:rsid w:val="00F16E12"/>
    <w:rsid w:val="00F2040C"/>
    <w:rsid w:val="00F209FD"/>
    <w:rsid w:val="00F23B59"/>
    <w:rsid w:val="00F23BB4"/>
    <w:rsid w:val="00F3432D"/>
    <w:rsid w:val="00F37366"/>
    <w:rsid w:val="00F37BD0"/>
    <w:rsid w:val="00F40853"/>
    <w:rsid w:val="00F46FBD"/>
    <w:rsid w:val="00F5054D"/>
    <w:rsid w:val="00F51956"/>
    <w:rsid w:val="00F52CDF"/>
    <w:rsid w:val="00F55BE2"/>
    <w:rsid w:val="00F56F6F"/>
    <w:rsid w:val="00F574EE"/>
    <w:rsid w:val="00F61646"/>
    <w:rsid w:val="00F66C58"/>
    <w:rsid w:val="00F7751F"/>
    <w:rsid w:val="00F84649"/>
    <w:rsid w:val="00F84FAF"/>
    <w:rsid w:val="00F86091"/>
    <w:rsid w:val="00F9110B"/>
    <w:rsid w:val="00F911E1"/>
    <w:rsid w:val="00F91F2D"/>
    <w:rsid w:val="00F92857"/>
    <w:rsid w:val="00F94E07"/>
    <w:rsid w:val="00FA39D8"/>
    <w:rsid w:val="00FA461C"/>
    <w:rsid w:val="00FB024C"/>
    <w:rsid w:val="00FB2F75"/>
    <w:rsid w:val="00FB6185"/>
    <w:rsid w:val="00FB73FC"/>
    <w:rsid w:val="00FC1408"/>
    <w:rsid w:val="00FC61F6"/>
    <w:rsid w:val="00FD3E73"/>
    <w:rsid w:val="00FD3F6F"/>
    <w:rsid w:val="00FD4FB9"/>
    <w:rsid w:val="00FD7B71"/>
    <w:rsid w:val="00FE01E0"/>
    <w:rsid w:val="00FE25FD"/>
    <w:rsid w:val="00FE5C85"/>
    <w:rsid w:val="00FE637E"/>
    <w:rsid w:val="00FF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5E4E"/>
  <w15:docId w15:val="{110A04BD-114E-424D-9893-78BFB4DD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E22"/>
  </w:style>
  <w:style w:type="paragraph" w:styleId="1">
    <w:name w:val="heading 1"/>
    <w:basedOn w:val="a"/>
    <w:next w:val="a"/>
    <w:link w:val="10"/>
    <w:uiPriority w:val="9"/>
    <w:qFormat/>
    <w:rsid w:val="00F911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unhideWhenUsed/>
    <w:qFormat/>
    <w:rsid w:val="00FB024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454CD3"/>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403C"/>
    <w:pPr>
      <w:tabs>
        <w:tab w:val="center" w:pos="4680"/>
        <w:tab w:val="right" w:pos="9360"/>
      </w:tabs>
      <w:spacing w:after="0" w:line="240" w:lineRule="auto"/>
    </w:pPr>
  </w:style>
  <w:style w:type="character" w:customStyle="1" w:styleId="a4">
    <w:name w:val="Нижний колонтитул Знак"/>
    <w:basedOn w:val="a0"/>
    <w:link w:val="a3"/>
    <w:uiPriority w:val="99"/>
    <w:rsid w:val="0086403C"/>
  </w:style>
  <w:style w:type="character" w:customStyle="1" w:styleId="a5">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6"/>
    <w:uiPriority w:val="99"/>
    <w:locked/>
    <w:rsid w:val="0086403C"/>
    <w:rPr>
      <w:sz w:val="20"/>
      <w:szCs w:val="20"/>
    </w:rPr>
  </w:style>
  <w:style w:type="paragraph" w:styleId="a6">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5"/>
    <w:uiPriority w:val="99"/>
    <w:unhideWhenUsed/>
    <w:qFormat/>
    <w:rsid w:val="0086403C"/>
    <w:pPr>
      <w:spacing w:after="0" w:line="240" w:lineRule="auto"/>
    </w:pPr>
    <w:rPr>
      <w:sz w:val="20"/>
      <w:szCs w:val="20"/>
    </w:rPr>
  </w:style>
  <w:style w:type="character" w:customStyle="1" w:styleId="FootnoteTextChar1">
    <w:name w:val="Footnote Text Char1"/>
    <w:basedOn w:val="a0"/>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86403C"/>
    <w:rPr>
      <w:vertAlign w:val="superscript"/>
    </w:rPr>
  </w:style>
  <w:style w:type="character" w:styleId="a7">
    <w:name w:val="footnote reference"/>
    <w:aliases w:val="Footnote Text Char2,fr,Cha Char1,R"/>
    <w:basedOn w:val="a0"/>
    <w:uiPriority w:val="99"/>
    <w:unhideWhenUsed/>
    <w:rsid w:val="0086403C"/>
    <w:rPr>
      <w:vertAlign w:val="superscript"/>
    </w:rPr>
  </w:style>
  <w:style w:type="paragraph" w:styleId="a8">
    <w:name w:val="header"/>
    <w:basedOn w:val="a"/>
    <w:link w:val="a9"/>
    <w:uiPriority w:val="99"/>
    <w:unhideWhenUsed/>
    <w:rsid w:val="0086403C"/>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86403C"/>
  </w:style>
  <w:style w:type="table" w:styleId="aa">
    <w:name w:val="Table Grid"/>
    <w:basedOn w:val="a1"/>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63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6399"/>
    <w:rPr>
      <w:rFonts w:ascii="Tahoma" w:hAnsi="Tahoma" w:cs="Tahoma"/>
      <w:sz w:val="16"/>
      <w:szCs w:val="16"/>
    </w:rPr>
  </w:style>
  <w:style w:type="character" w:styleId="ad">
    <w:name w:val="annotation reference"/>
    <w:basedOn w:val="a0"/>
    <w:uiPriority w:val="99"/>
    <w:semiHidden/>
    <w:unhideWhenUsed/>
    <w:rsid w:val="003E6399"/>
    <w:rPr>
      <w:sz w:val="16"/>
      <w:szCs w:val="16"/>
    </w:rPr>
  </w:style>
  <w:style w:type="paragraph" w:styleId="ae">
    <w:name w:val="annotation text"/>
    <w:basedOn w:val="a"/>
    <w:link w:val="af"/>
    <w:uiPriority w:val="99"/>
    <w:semiHidden/>
    <w:unhideWhenUsed/>
    <w:rsid w:val="003E6399"/>
    <w:pPr>
      <w:spacing w:line="240" w:lineRule="auto"/>
    </w:pPr>
    <w:rPr>
      <w:sz w:val="20"/>
      <w:szCs w:val="20"/>
    </w:rPr>
  </w:style>
  <w:style w:type="character" w:customStyle="1" w:styleId="af">
    <w:name w:val="Текст примечания Знак"/>
    <w:basedOn w:val="a0"/>
    <w:link w:val="ae"/>
    <w:uiPriority w:val="99"/>
    <w:semiHidden/>
    <w:rsid w:val="003E6399"/>
    <w:rPr>
      <w:sz w:val="20"/>
      <w:szCs w:val="20"/>
    </w:rPr>
  </w:style>
  <w:style w:type="paragraph" w:styleId="af0">
    <w:name w:val="annotation subject"/>
    <w:basedOn w:val="ae"/>
    <w:next w:val="ae"/>
    <w:link w:val="af1"/>
    <w:uiPriority w:val="99"/>
    <w:semiHidden/>
    <w:unhideWhenUsed/>
    <w:rsid w:val="003E6399"/>
    <w:rPr>
      <w:b/>
      <w:bCs/>
    </w:rPr>
  </w:style>
  <w:style w:type="character" w:customStyle="1" w:styleId="af1">
    <w:name w:val="Тема примечания Знак"/>
    <w:basedOn w:val="af"/>
    <w:link w:val="af0"/>
    <w:uiPriority w:val="99"/>
    <w:semiHidden/>
    <w:rsid w:val="003E6399"/>
    <w:rPr>
      <w:b/>
      <w:bCs/>
      <w:sz w:val="20"/>
      <w:szCs w:val="20"/>
    </w:rPr>
  </w:style>
  <w:style w:type="character" w:styleId="af2">
    <w:name w:val="Hyperlink"/>
    <w:basedOn w:val="a0"/>
    <w:uiPriority w:val="99"/>
    <w:unhideWhenUsed/>
    <w:rsid w:val="00D53307"/>
    <w:rPr>
      <w:color w:val="0563C1" w:themeColor="hyperlink"/>
      <w:u w:val="single"/>
    </w:rPr>
  </w:style>
  <w:style w:type="paragraph" w:styleId="af3">
    <w:name w:val="List Paragraph"/>
    <w:aliases w:val="List Paragraph 1,Scriptoria bullet points,strikethrough,Абзац списка1,standaard met opsomming,List Paragraph1,Bullets,References,Liste 1,List Paragraph nowy,Numbered List Paragraph,List Paragraph (numbered (a)),Medium Grid 1 - Accent 21"/>
    <w:basedOn w:val="a"/>
    <w:link w:val="af4"/>
    <w:uiPriority w:val="34"/>
    <w:qFormat/>
    <w:rsid w:val="00640861"/>
    <w:pPr>
      <w:ind w:left="720"/>
      <w:contextualSpacing/>
    </w:pPr>
  </w:style>
  <w:style w:type="character" w:customStyle="1" w:styleId="af4">
    <w:name w:val="Абзац списка Знак"/>
    <w:aliases w:val="List Paragraph 1 Знак,Scriptoria bullet points Знак,strikethrough Знак,Абзац списка1 Знак,standaard met opsomming Знак,List Paragraph1 Знак,Bullets Знак,References Знак,Liste 1 Знак,List Paragraph nowy Знак,Numbered List Paragraph Знак"/>
    <w:link w:val="af3"/>
    <w:uiPriority w:val="34"/>
    <w:qFormat/>
    <w:locked/>
    <w:rsid w:val="00EF1727"/>
  </w:style>
  <w:style w:type="character" w:customStyle="1" w:styleId="40">
    <w:name w:val="Заголовок 4 Знак"/>
    <w:basedOn w:val="a0"/>
    <w:link w:val="4"/>
    <w:uiPriority w:val="9"/>
    <w:rsid w:val="00454CD3"/>
    <w:rPr>
      <w:rFonts w:ascii="Times New Roman" w:eastAsia="Times New Roman" w:hAnsi="Times New Roman" w:cs="Times New Roman"/>
      <w:b/>
      <w:bCs/>
      <w:sz w:val="24"/>
      <w:szCs w:val="24"/>
      <w:lang w:val="ru-RU" w:eastAsia="ru-RU"/>
    </w:rPr>
  </w:style>
  <w:style w:type="character" w:styleId="af5">
    <w:name w:val="Strong"/>
    <w:basedOn w:val="a0"/>
    <w:uiPriority w:val="22"/>
    <w:qFormat/>
    <w:rsid w:val="00454CD3"/>
    <w:rPr>
      <w:b/>
      <w:bCs/>
    </w:rPr>
  </w:style>
  <w:style w:type="character" w:customStyle="1" w:styleId="30">
    <w:name w:val="Заголовок 3 Знак"/>
    <w:basedOn w:val="a0"/>
    <w:link w:val="3"/>
    <w:uiPriority w:val="9"/>
    <w:rsid w:val="00FB024C"/>
    <w:rPr>
      <w:rFonts w:asciiTheme="majorHAnsi" w:eastAsiaTheme="majorEastAsia" w:hAnsiTheme="majorHAnsi" w:cstheme="majorBidi"/>
      <w:b/>
      <w:bCs/>
      <w:color w:val="5B9BD5" w:themeColor="accent1"/>
    </w:rPr>
  </w:style>
  <w:style w:type="character" w:customStyle="1" w:styleId="10">
    <w:name w:val="Заголовок 1 Знак"/>
    <w:basedOn w:val="a0"/>
    <w:link w:val="1"/>
    <w:uiPriority w:val="9"/>
    <w:rsid w:val="00F911E1"/>
    <w:rPr>
      <w:rFonts w:asciiTheme="majorHAnsi" w:eastAsiaTheme="majorEastAsia" w:hAnsiTheme="majorHAnsi" w:cstheme="majorBidi"/>
      <w:b/>
      <w:bCs/>
      <w:color w:val="2E74B5" w:themeColor="accent1" w:themeShade="BF"/>
      <w:sz w:val="28"/>
      <w:szCs w:val="28"/>
    </w:rPr>
  </w:style>
  <w:style w:type="paragraph" w:styleId="af6">
    <w:name w:val="Body Text"/>
    <w:basedOn w:val="a"/>
    <w:link w:val="af7"/>
    <w:uiPriority w:val="1"/>
    <w:qFormat/>
    <w:rsid w:val="0079632B"/>
    <w:pPr>
      <w:widowControl w:val="0"/>
      <w:autoSpaceDE w:val="0"/>
      <w:autoSpaceDN w:val="0"/>
      <w:spacing w:after="0" w:line="240" w:lineRule="auto"/>
    </w:pPr>
    <w:rPr>
      <w:rFonts w:ascii="Times New Roman" w:eastAsia="Times New Roman" w:hAnsi="Times New Roman" w:cs="Times New Roman"/>
      <w:sz w:val="26"/>
      <w:szCs w:val="26"/>
      <w:lang w:val="ro-RO"/>
    </w:rPr>
  </w:style>
  <w:style w:type="character" w:customStyle="1" w:styleId="af7">
    <w:name w:val="Основной текст Знак"/>
    <w:basedOn w:val="a0"/>
    <w:link w:val="af6"/>
    <w:uiPriority w:val="1"/>
    <w:rsid w:val="0079632B"/>
    <w:rPr>
      <w:rFonts w:ascii="Times New Roman" w:eastAsia="Times New Roman" w:hAnsi="Times New Roman" w:cs="Times New Roman"/>
      <w:sz w:val="26"/>
      <w:szCs w:val="26"/>
      <w:lang w:val="ro-RO"/>
    </w:rPr>
  </w:style>
  <w:style w:type="paragraph" w:styleId="af8">
    <w:name w:val="Normal (Web)"/>
    <w:basedOn w:val="a"/>
    <w:uiPriority w:val="99"/>
    <w:unhideWhenUsed/>
    <w:rsid w:val="00314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2222">
      <w:bodyDiv w:val="1"/>
      <w:marLeft w:val="0"/>
      <w:marRight w:val="0"/>
      <w:marTop w:val="0"/>
      <w:marBottom w:val="0"/>
      <w:divBdr>
        <w:top w:val="none" w:sz="0" w:space="0" w:color="auto"/>
        <w:left w:val="none" w:sz="0" w:space="0" w:color="auto"/>
        <w:bottom w:val="none" w:sz="0" w:space="0" w:color="auto"/>
        <w:right w:val="none" w:sz="0" w:space="0" w:color="auto"/>
      </w:divBdr>
    </w:div>
    <w:div w:id="387459806">
      <w:bodyDiv w:val="1"/>
      <w:marLeft w:val="0"/>
      <w:marRight w:val="0"/>
      <w:marTop w:val="0"/>
      <w:marBottom w:val="0"/>
      <w:divBdr>
        <w:top w:val="none" w:sz="0" w:space="0" w:color="auto"/>
        <w:left w:val="none" w:sz="0" w:space="0" w:color="auto"/>
        <w:bottom w:val="none" w:sz="0" w:space="0" w:color="auto"/>
        <w:right w:val="none" w:sz="0" w:space="0" w:color="auto"/>
      </w:divBdr>
    </w:div>
    <w:div w:id="480540377">
      <w:bodyDiv w:val="1"/>
      <w:marLeft w:val="0"/>
      <w:marRight w:val="0"/>
      <w:marTop w:val="0"/>
      <w:marBottom w:val="0"/>
      <w:divBdr>
        <w:top w:val="none" w:sz="0" w:space="0" w:color="auto"/>
        <w:left w:val="none" w:sz="0" w:space="0" w:color="auto"/>
        <w:bottom w:val="none" w:sz="0" w:space="0" w:color="auto"/>
        <w:right w:val="none" w:sz="0" w:space="0" w:color="auto"/>
      </w:divBdr>
      <w:divsChild>
        <w:div w:id="107043212">
          <w:marLeft w:val="0"/>
          <w:marRight w:val="0"/>
          <w:marTop w:val="0"/>
          <w:marBottom w:val="0"/>
          <w:divBdr>
            <w:top w:val="none" w:sz="0" w:space="0" w:color="auto"/>
            <w:left w:val="none" w:sz="0" w:space="0" w:color="auto"/>
            <w:bottom w:val="none" w:sz="0" w:space="0" w:color="auto"/>
            <w:right w:val="none" w:sz="0" w:space="0" w:color="auto"/>
          </w:divBdr>
        </w:div>
        <w:div w:id="2059431007">
          <w:marLeft w:val="0"/>
          <w:marRight w:val="0"/>
          <w:marTop w:val="0"/>
          <w:marBottom w:val="0"/>
          <w:divBdr>
            <w:top w:val="none" w:sz="0" w:space="0" w:color="auto"/>
            <w:left w:val="none" w:sz="0" w:space="0" w:color="auto"/>
            <w:bottom w:val="none" w:sz="0" w:space="0" w:color="auto"/>
            <w:right w:val="none" w:sz="0" w:space="0" w:color="auto"/>
          </w:divBdr>
        </w:div>
      </w:divsChild>
    </w:div>
    <w:div w:id="585189349">
      <w:bodyDiv w:val="1"/>
      <w:marLeft w:val="0"/>
      <w:marRight w:val="0"/>
      <w:marTop w:val="0"/>
      <w:marBottom w:val="0"/>
      <w:divBdr>
        <w:top w:val="none" w:sz="0" w:space="0" w:color="auto"/>
        <w:left w:val="none" w:sz="0" w:space="0" w:color="auto"/>
        <w:bottom w:val="none" w:sz="0" w:space="0" w:color="auto"/>
        <w:right w:val="none" w:sz="0" w:space="0" w:color="auto"/>
      </w:divBdr>
    </w:div>
    <w:div w:id="19842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3BA0-B723-4EFE-B67D-22676B00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3495</Words>
  <Characters>19927</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Заголовки</vt:lpstr>
      </vt:variant>
      <vt:variant>
        <vt:i4>11</vt:i4>
      </vt:variant>
      <vt:variant>
        <vt:lpstr>Title</vt:lpstr>
      </vt:variant>
      <vt:variant>
        <vt:i4>1</vt:i4>
      </vt:variant>
    </vt:vector>
  </HeadingPairs>
  <TitlesOfParts>
    <vt:vector size="13" baseType="lpstr">
      <vt:lpstr/>
      <vt:lpstr>        lipsa unor date complete privind resursele alocate pentru implementarea Strategi</vt:lpstr>
      <vt:lpstr>        indicatorii de evaluare a accesului populației la apeducte și sisteme de sanitaț</vt:lpstr>
      <vt:lpstr>ponderea proiectelor aferente alimentării cu apă și sanitației finanțate din Fon</vt:lpstr>
      <vt:lpstr>nu toate stațiile de epurare dispun de documentația de proiect și de avizele IPM</vt:lpstr>
      <vt:lpstr>o mare parte a stațiilor de epurare a apelor uzate nu asigură epurarea la nivel </vt:lpstr>
      <vt:lpstr/>
      <vt:lpstr>funcționează cu epurare parțială;</vt:lpstr>
      <vt:lpstr>sistemul de date aferente domeniului alimentării cu apă şi sanitației, colectat </vt:lpstr>
      <vt:lpstr>deși conceptul Sistemului informaţional Registrul obiectelor infrastructurii teh</vt:lpstr>
      <vt:lpstr>tarifele pentru prestarea serviciilor de aprovizionare cu apă și sanitație la o </vt:lpstr>
      <vt:lpstr>contractele de gestiune delegată nu includ mărimea redevenței sau altor plăți, r</vt:lpstr>
      <vt:lpstr/>
    </vt:vector>
  </TitlesOfParts>
  <Company>CtrlSoft</Company>
  <LinksUpToDate>false</LinksUpToDate>
  <CharactersWithSpaces>23376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Zamăneagră Lilia</dc:creator>
  <cp:lastModifiedBy>Paiu Eugenia</cp:lastModifiedBy>
  <cp:revision>13</cp:revision>
  <cp:lastPrinted>2023-04-20T11:24:00Z</cp:lastPrinted>
  <dcterms:created xsi:type="dcterms:W3CDTF">2023-04-12T10:59:00Z</dcterms:created>
  <dcterms:modified xsi:type="dcterms:W3CDTF">2023-04-20T11:26:00Z</dcterms:modified>
</cp:coreProperties>
</file>